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8FC08">
      <w:pPr>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4EB9F9B">
      <w:pPr>
        <w:pageBreakBefore w:val="0"/>
        <w:kinsoku/>
        <w:wordWrap/>
        <w:overflowPunct/>
        <w:topLinePunct w:val="0"/>
        <w:bidi w:val="0"/>
        <w:spacing w:line="240" w:lineRule="auto"/>
        <w:jc w:val="center"/>
        <w:rPr>
          <w:rFonts w:hint="eastAsia" w:ascii="宋体" w:hAnsi="宋体" w:eastAsia="宋体" w:cs="宋体"/>
          <w:b/>
          <w:color w:val="auto"/>
          <w:spacing w:val="-11"/>
          <w:sz w:val="48"/>
          <w:szCs w:val="48"/>
          <w:highlight w:val="none"/>
          <w:lang w:eastAsia="zh-CN"/>
        </w:rPr>
      </w:pPr>
    </w:p>
    <w:p w14:paraId="3CB7D4C0">
      <w:pPr>
        <w:pageBreakBefore w:val="0"/>
        <w:kinsoku/>
        <w:wordWrap/>
        <w:overflowPunct/>
        <w:topLinePunct w:val="0"/>
        <w:bidi w:val="0"/>
        <w:spacing w:line="240" w:lineRule="auto"/>
        <w:jc w:val="center"/>
        <w:rPr>
          <w:rFonts w:hint="eastAsia" w:ascii="宋体" w:hAnsi="宋体" w:eastAsia="宋体" w:cs="宋体"/>
          <w:b/>
          <w:color w:val="auto"/>
          <w:spacing w:val="-11"/>
          <w:sz w:val="48"/>
          <w:szCs w:val="48"/>
          <w:highlight w:val="none"/>
          <w:lang w:eastAsia="zh-CN"/>
        </w:rPr>
      </w:pPr>
      <w:r>
        <w:rPr>
          <w:rFonts w:hint="eastAsia" w:ascii="宋体" w:hAnsi="宋体" w:eastAsia="宋体" w:cs="宋体"/>
          <w:b/>
          <w:color w:val="auto"/>
          <w:spacing w:val="-11"/>
          <w:sz w:val="48"/>
          <w:szCs w:val="48"/>
          <w:highlight w:val="none"/>
          <w:lang w:eastAsia="zh-CN"/>
        </w:rPr>
        <w:t>天台县森林草地湿地普查工作</w:t>
      </w:r>
    </w:p>
    <w:p w14:paraId="5D4B9FEC">
      <w:pPr>
        <w:pStyle w:val="39"/>
        <w:rPr>
          <w:rFonts w:hint="eastAsia" w:ascii="宋体" w:hAnsi="宋体" w:eastAsia="宋体" w:cs="宋体"/>
          <w:color w:val="auto"/>
          <w:highlight w:val="none"/>
          <w:lang w:eastAsia="zh-CN"/>
        </w:rPr>
      </w:pPr>
    </w:p>
    <w:p w14:paraId="52621F3F">
      <w:pPr>
        <w:pStyle w:val="43"/>
        <w:rPr>
          <w:rFonts w:hint="eastAsia" w:ascii="宋体" w:hAnsi="宋体" w:eastAsia="宋体" w:cs="宋体"/>
          <w:color w:val="auto"/>
          <w:highlight w:val="none"/>
        </w:rPr>
      </w:pPr>
    </w:p>
    <w:p w14:paraId="2AE4CAB0">
      <w:pPr>
        <w:pageBreakBefore w:val="0"/>
        <w:kinsoku/>
        <w:wordWrap/>
        <w:overflowPunct/>
        <w:topLinePunct w:val="0"/>
        <w:bidi w:val="0"/>
        <w:spacing w:line="240" w:lineRule="auto"/>
        <w:jc w:val="center"/>
        <w:rPr>
          <w:rFonts w:hint="eastAsia" w:ascii="宋体" w:hAnsi="宋体" w:eastAsia="宋体" w:cs="宋体"/>
          <w:b/>
          <w:color w:val="auto"/>
          <w:sz w:val="84"/>
          <w:szCs w:val="84"/>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sz w:val="84"/>
          <w:szCs w:val="84"/>
          <w:highlight w:val="none"/>
          <w14:textOutline w14:w="3175" w14:cap="flat" w14:cmpd="sng" w14:algn="ctr">
            <w14:solidFill>
              <w14:schemeClr w14:val="tx1"/>
            </w14:solidFill>
            <w14:prstDash w14:val="solid"/>
            <w14:round/>
          </w14:textOutline>
        </w:rPr>
        <w:t>公开招标采购文件</w:t>
      </w:r>
    </w:p>
    <w:p w14:paraId="6851E9AD">
      <w:pPr>
        <w:pageBreakBefore w:val="0"/>
        <w:widowControl/>
        <w:kinsoku/>
        <w:wordWrap/>
        <w:overflowPunct/>
        <w:topLinePunct w:val="0"/>
        <w:bidi w:val="0"/>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（线上电子招投标）</w:t>
      </w:r>
    </w:p>
    <w:p w14:paraId="6575A25D">
      <w:pPr>
        <w:pStyle w:val="3"/>
        <w:pageBreakBefore w:val="0"/>
        <w:kinsoku/>
        <w:wordWrap/>
        <w:overflowPunct/>
        <w:topLinePunct w:val="0"/>
        <w:bidi w:val="0"/>
        <w:spacing w:line="240" w:lineRule="auto"/>
        <w:jc w:val="center"/>
        <w:rPr>
          <w:rFonts w:hint="eastAsia" w:ascii="宋体" w:hAnsi="宋体" w:eastAsia="宋体" w:cs="宋体"/>
          <w:color w:val="auto"/>
          <w:sz w:val="32"/>
          <w:szCs w:val="32"/>
          <w:highlight w:val="none"/>
        </w:rPr>
      </w:pPr>
    </w:p>
    <w:p w14:paraId="218C2462">
      <w:pPr>
        <w:pStyle w:val="3"/>
        <w:pageBreakBefore w:val="0"/>
        <w:kinsoku/>
        <w:wordWrap/>
        <w:overflowPunct/>
        <w:topLinePunct w:val="0"/>
        <w:bidi w:val="0"/>
        <w:spacing w:line="240" w:lineRule="auto"/>
        <w:rPr>
          <w:rFonts w:hint="eastAsia" w:ascii="宋体" w:hAnsi="宋体" w:eastAsia="宋体" w:cs="宋体"/>
          <w:color w:val="auto"/>
          <w:highlight w:val="none"/>
        </w:rPr>
      </w:pPr>
    </w:p>
    <w:p w14:paraId="5E6A283F">
      <w:pPr>
        <w:pStyle w:val="3"/>
        <w:pageBreakBefore w:val="0"/>
        <w:kinsoku/>
        <w:wordWrap/>
        <w:overflowPunct/>
        <w:topLinePunct w:val="0"/>
        <w:bidi w:val="0"/>
        <w:spacing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tbl>
      <w:tblPr>
        <w:tblStyle w:val="31"/>
        <w:tblW w:w="7590" w:type="dxa"/>
        <w:jc w:val="center"/>
        <w:tblLayout w:type="fixed"/>
        <w:tblCellMar>
          <w:top w:w="0" w:type="dxa"/>
          <w:left w:w="108" w:type="dxa"/>
          <w:bottom w:w="0" w:type="dxa"/>
          <w:right w:w="108" w:type="dxa"/>
        </w:tblCellMar>
      </w:tblPr>
      <w:tblGrid>
        <w:gridCol w:w="2550"/>
        <w:gridCol w:w="5040"/>
      </w:tblGrid>
      <w:tr w14:paraId="0177C7FF">
        <w:tblPrEx>
          <w:tblCellMar>
            <w:top w:w="0" w:type="dxa"/>
            <w:left w:w="108" w:type="dxa"/>
            <w:bottom w:w="0" w:type="dxa"/>
            <w:right w:w="108" w:type="dxa"/>
          </w:tblCellMar>
        </w:tblPrEx>
        <w:trPr>
          <w:trHeight w:val="567" w:hRule="exact"/>
          <w:jc w:val="center"/>
        </w:trPr>
        <w:tc>
          <w:tcPr>
            <w:tcW w:w="2550" w:type="dxa"/>
            <w:vAlign w:val="center"/>
          </w:tcPr>
          <w:p w14:paraId="408BC59B">
            <w:pPr>
              <w:pageBreakBefore w:val="0"/>
              <w:kinsoku/>
              <w:wordWrap/>
              <w:overflowPunct/>
              <w:topLinePunct w:val="0"/>
              <w:bidi w:val="0"/>
              <w:spacing w:line="24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项目编号：</w:t>
            </w:r>
          </w:p>
        </w:tc>
        <w:tc>
          <w:tcPr>
            <w:tcW w:w="5040" w:type="dxa"/>
            <w:vAlign w:val="center"/>
          </w:tcPr>
          <w:p w14:paraId="46FBA445">
            <w:pPr>
              <w:pageBreakBefore w:val="0"/>
              <w:kinsoku/>
              <w:wordWrap/>
              <w:overflowPunct/>
              <w:topLinePunct w:val="0"/>
              <w:bidi w:val="0"/>
              <w:spacing w:line="240" w:lineRule="auto"/>
              <w:rPr>
                <w:rFonts w:hint="eastAsia" w:ascii="宋体" w:hAnsi="宋体" w:eastAsia="宋体" w:cs="宋体"/>
                <w:color w:val="auto"/>
                <w:sz w:val="28"/>
                <w:highlight w:val="none"/>
                <w:u w:val="single"/>
                <w:lang w:eastAsia="zh-CN"/>
              </w:rPr>
            </w:pPr>
            <w:r>
              <w:rPr>
                <w:rFonts w:hint="eastAsia" w:ascii="宋体" w:hAnsi="宋体" w:cs="宋体"/>
                <w:color w:val="auto"/>
                <w:sz w:val="28"/>
                <w:highlight w:val="none"/>
                <w:u w:val="single"/>
                <w:lang w:eastAsia="zh-CN"/>
              </w:rPr>
              <w:t>TCCG-2025-Z006</w:t>
            </w:r>
          </w:p>
        </w:tc>
      </w:tr>
      <w:tr w14:paraId="1CC36F28">
        <w:tblPrEx>
          <w:tblCellMar>
            <w:top w:w="0" w:type="dxa"/>
            <w:left w:w="108" w:type="dxa"/>
            <w:bottom w:w="0" w:type="dxa"/>
            <w:right w:w="108" w:type="dxa"/>
          </w:tblCellMar>
        </w:tblPrEx>
        <w:trPr>
          <w:trHeight w:val="567" w:hRule="exact"/>
          <w:jc w:val="center"/>
        </w:trPr>
        <w:tc>
          <w:tcPr>
            <w:tcW w:w="2550" w:type="dxa"/>
            <w:vAlign w:val="center"/>
          </w:tcPr>
          <w:p w14:paraId="0D0D125C">
            <w:pPr>
              <w:pageBreakBefore w:val="0"/>
              <w:kinsoku/>
              <w:wordWrap/>
              <w:overflowPunct/>
              <w:topLinePunct w:val="0"/>
              <w:bidi w:val="0"/>
              <w:spacing w:line="24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采购单位：</w:t>
            </w:r>
          </w:p>
        </w:tc>
        <w:tc>
          <w:tcPr>
            <w:tcW w:w="5040" w:type="dxa"/>
            <w:vAlign w:val="center"/>
          </w:tcPr>
          <w:p w14:paraId="095F7F03">
            <w:pPr>
              <w:pageBreakBefore w:val="0"/>
              <w:kinsoku/>
              <w:wordWrap/>
              <w:overflowPunct/>
              <w:topLinePunct w:val="0"/>
              <w:bidi w:val="0"/>
              <w:spacing w:line="240" w:lineRule="auto"/>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天台县自然资源和规划局</w:t>
            </w:r>
          </w:p>
        </w:tc>
      </w:tr>
      <w:tr w14:paraId="157334F3">
        <w:tblPrEx>
          <w:tblCellMar>
            <w:top w:w="0" w:type="dxa"/>
            <w:left w:w="108" w:type="dxa"/>
            <w:bottom w:w="0" w:type="dxa"/>
            <w:right w:w="108" w:type="dxa"/>
          </w:tblCellMar>
        </w:tblPrEx>
        <w:trPr>
          <w:trHeight w:val="567" w:hRule="exact"/>
          <w:jc w:val="center"/>
        </w:trPr>
        <w:tc>
          <w:tcPr>
            <w:tcW w:w="2550" w:type="dxa"/>
            <w:vAlign w:val="center"/>
          </w:tcPr>
          <w:p w14:paraId="680E7EEF">
            <w:pPr>
              <w:pageBreakBefore w:val="0"/>
              <w:kinsoku/>
              <w:wordWrap/>
              <w:overflowPunct/>
              <w:topLinePunct w:val="0"/>
              <w:bidi w:val="0"/>
              <w:spacing w:line="24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联系人：</w:t>
            </w:r>
          </w:p>
        </w:tc>
        <w:tc>
          <w:tcPr>
            <w:tcW w:w="5040" w:type="dxa"/>
            <w:vAlign w:val="center"/>
          </w:tcPr>
          <w:p w14:paraId="7CFBE691">
            <w:pPr>
              <w:pageBreakBefore w:val="0"/>
              <w:kinsoku/>
              <w:wordWrap/>
              <w:overflowPunct/>
              <w:topLinePunct w:val="0"/>
              <w:bidi w:val="0"/>
              <w:spacing w:line="240" w:lineRule="auto"/>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徐友盛</w:t>
            </w:r>
          </w:p>
        </w:tc>
      </w:tr>
      <w:tr w14:paraId="630ED56B">
        <w:tblPrEx>
          <w:tblCellMar>
            <w:top w:w="0" w:type="dxa"/>
            <w:left w:w="108" w:type="dxa"/>
            <w:bottom w:w="0" w:type="dxa"/>
            <w:right w:w="108" w:type="dxa"/>
          </w:tblCellMar>
        </w:tblPrEx>
        <w:trPr>
          <w:trHeight w:val="567" w:hRule="exact"/>
          <w:jc w:val="center"/>
        </w:trPr>
        <w:tc>
          <w:tcPr>
            <w:tcW w:w="2550" w:type="dxa"/>
            <w:vAlign w:val="center"/>
          </w:tcPr>
          <w:p w14:paraId="4A6267A2">
            <w:pPr>
              <w:pageBreakBefore w:val="0"/>
              <w:kinsoku/>
              <w:wordWrap/>
              <w:overflowPunct/>
              <w:topLinePunct w:val="0"/>
              <w:bidi w:val="0"/>
              <w:spacing w:line="24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联系电话：</w:t>
            </w:r>
          </w:p>
        </w:tc>
        <w:tc>
          <w:tcPr>
            <w:tcW w:w="5040" w:type="dxa"/>
            <w:vAlign w:val="center"/>
          </w:tcPr>
          <w:p w14:paraId="147DA17C">
            <w:pPr>
              <w:pageBreakBefore w:val="0"/>
              <w:kinsoku/>
              <w:wordWrap/>
              <w:overflowPunct/>
              <w:topLinePunct w:val="0"/>
              <w:bidi w:val="0"/>
              <w:spacing w:line="240" w:lineRule="auto"/>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18158609985</w:t>
            </w:r>
          </w:p>
        </w:tc>
      </w:tr>
      <w:tr w14:paraId="464BE534">
        <w:tblPrEx>
          <w:tblCellMar>
            <w:top w:w="0" w:type="dxa"/>
            <w:left w:w="108" w:type="dxa"/>
            <w:bottom w:w="0" w:type="dxa"/>
            <w:right w:w="108" w:type="dxa"/>
          </w:tblCellMar>
        </w:tblPrEx>
        <w:trPr>
          <w:trHeight w:val="567" w:hRule="exact"/>
          <w:jc w:val="center"/>
        </w:trPr>
        <w:tc>
          <w:tcPr>
            <w:tcW w:w="2550" w:type="dxa"/>
            <w:vAlign w:val="center"/>
          </w:tcPr>
          <w:p w14:paraId="7BA829C0">
            <w:pPr>
              <w:pageBreakBefore w:val="0"/>
              <w:kinsoku/>
              <w:wordWrap/>
              <w:overflowPunct/>
              <w:topLinePunct w:val="0"/>
              <w:bidi w:val="0"/>
              <w:spacing w:line="24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采购代理机构：</w:t>
            </w:r>
          </w:p>
        </w:tc>
        <w:tc>
          <w:tcPr>
            <w:tcW w:w="5040" w:type="dxa"/>
            <w:vAlign w:val="center"/>
          </w:tcPr>
          <w:p w14:paraId="791CF295">
            <w:pPr>
              <w:pageBreakBefore w:val="0"/>
              <w:kinsoku/>
              <w:wordWrap/>
              <w:overflowPunct/>
              <w:topLinePunct w:val="0"/>
              <w:bidi w:val="0"/>
              <w:spacing w:line="24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台州市天诚工程造价咨询有限公司</w:t>
            </w:r>
          </w:p>
        </w:tc>
      </w:tr>
      <w:tr w14:paraId="6D4655EC">
        <w:tblPrEx>
          <w:tblCellMar>
            <w:top w:w="0" w:type="dxa"/>
            <w:left w:w="108" w:type="dxa"/>
            <w:bottom w:w="0" w:type="dxa"/>
            <w:right w:w="108" w:type="dxa"/>
          </w:tblCellMar>
        </w:tblPrEx>
        <w:trPr>
          <w:trHeight w:val="567" w:hRule="exact"/>
          <w:jc w:val="center"/>
        </w:trPr>
        <w:tc>
          <w:tcPr>
            <w:tcW w:w="2550" w:type="dxa"/>
            <w:vAlign w:val="center"/>
          </w:tcPr>
          <w:p w14:paraId="1F4B27C3">
            <w:pPr>
              <w:pageBreakBefore w:val="0"/>
              <w:kinsoku/>
              <w:wordWrap/>
              <w:overflowPunct/>
              <w:topLinePunct w:val="0"/>
              <w:bidi w:val="0"/>
              <w:spacing w:line="24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lang w:val="en-US" w:eastAsia="zh-CN"/>
              </w:rPr>
              <w:t>联系人</w:t>
            </w:r>
            <w:r>
              <w:rPr>
                <w:rFonts w:hint="eastAsia" w:ascii="宋体" w:hAnsi="宋体" w:eastAsia="宋体" w:cs="宋体"/>
                <w:color w:val="auto"/>
                <w:sz w:val="28"/>
                <w:highlight w:val="none"/>
              </w:rPr>
              <w:t>：</w:t>
            </w:r>
          </w:p>
        </w:tc>
        <w:tc>
          <w:tcPr>
            <w:tcW w:w="5040" w:type="dxa"/>
            <w:vAlign w:val="center"/>
          </w:tcPr>
          <w:p w14:paraId="7B5F6461">
            <w:pPr>
              <w:pageBreakBefore w:val="0"/>
              <w:kinsoku/>
              <w:wordWrap/>
              <w:overflowPunct/>
              <w:topLinePunct w:val="0"/>
              <w:bidi w:val="0"/>
              <w:spacing w:line="240" w:lineRule="auto"/>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val="en-US" w:eastAsia="zh-CN"/>
              </w:rPr>
              <w:t>谷婷婷</w:t>
            </w:r>
            <w:r>
              <w:rPr>
                <w:rFonts w:hint="eastAsia" w:ascii="宋体" w:hAnsi="宋体" w:eastAsia="宋体" w:cs="宋体"/>
                <w:color w:val="auto"/>
                <w:sz w:val="28"/>
                <w:highlight w:val="none"/>
              </w:rPr>
              <w:t xml:space="preserve">  </w:t>
            </w:r>
            <w:r>
              <w:rPr>
                <w:rFonts w:hint="eastAsia" w:ascii="宋体" w:hAnsi="宋体" w:eastAsia="宋体" w:cs="宋体"/>
                <w:color w:val="auto"/>
                <w:sz w:val="28"/>
                <w:highlight w:val="none"/>
                <w:lang w:val="en-US" w:eastAsia="zh-CN"/>
              </w:rPr>
              <w:t>褚洪彬</w:t>
            </w:r>
          </w:p>
        </w:tc>
      </w:tr>
      <w:tr w14:paraId="545ADAEB">
        <w:tblPrEx>
          <w:tblCellMar>
            <w:top w:w="0" w:type="dxa"/>
            <w:left w:w="108" w:type="dxa"/>
            <w:bottom w:w="0" w:type="dxa"/>
            <w:right w:w="108" w:type="dxa"/>
          </w:tblCellMar>
        </w:tblPrEx>
        <w:trPr>
          <w:trHeight w:val="567" w:hRule="exact"/>
          <w:jc w:val="center"/>
        </w:trPr>
        <w:tc>
          <w:tcPr>
            <w:tcW w:w="2550" w:type="dxa"/>
            <w:vAlign w:val="center"/>
          </w:tcPr>
          <w:p w14:paraId="48403BB5">
            <w:pPr>
              <w:pageBreakBefore w:val="0"/>
              <w:kinsoku/>
              <w:wordWrap/>
              <w:overflowPunct/>
              <w:topLinePunct w:val="0"/>
              <w:bidi w:val="0"/>
              <w:spacing w:line="24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联系电话：</w:t>
            </w:r>
          </w:p>
        </w:tc>
        <w:tc>
          <w:tcPr>
            <w:tcW w:w="5040" w:type="dxa"/>
            <w:vAlign w:val="center"/>
          </w:tcPr>
          <w:p w14:paraId="09F49F0D">
            <w:pPr>
              <w:pageBreakBefore w:val="0"/>
              <w:kinsoku/>
              <w:wordWrap/>
              <w:overflowPunct/>
              <w:topLinePunct w:val="0"/>
              <w:bidi w:val="0"/>
              <w:spacing w:line="24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15968606386  18858644891</w:t>
            </w:r>
          </w:p>
        </w:tc>
      </w:tr>
    </w:tbl>
    <w:p w14:paraId="1F693BF7">
      <w:pPr>
        <w:pageBreakBefore w:val="0"/>
        <w:kinsoku/>
        <w:wordWrap/>
        <w:overflowPunct/>
        <w:topLinePunct w:val="0"/>
        <w:bidi w:val="0"/>
        <w:spacing w:line="240" w:lineRule="auto"/>
        <w:rPr>
          <w:rFonts w:hint="eastAsia" w:ascii="宋体" w:hAnsi="宋体" w:eastAsia="宋体" w:cs="宋体"/>
          <w:b/>
          <w:color w:val="auto"/>
          <w:spacing w:val="20"/>
          <w:kern w:val="21"/>
          <w:sz w:val="30"/>
          <w:szCs w:val="30"/>
          <w:highlight w:val="none"/>
        </w:rPr>
      </w:pPr>
    </w:p>
    <w:p w14:paraId="0CEC9C33">
      <w:pPr>
        <w:pStyle w:val="16"/>
        <w:pageBreakBefore w:val="0"/>
        <w:kinsoku/>
        <w:wordWrap/>
        <w:overflowPunct/>
        <w:topLinePunct w:val="0"/>
        <w:bidi w:val="0"/>
        <w:spacing w:line="240" w:lineRule="auto"/>
        <w:ind w:firstLine="341"/>
        <w:rPr>
          <w:rFonts w:hint="eastAsia" w:ascii="宋体" w:hAnsi="宋体" w:eastAsia="宋体" w:cs="宋体"/>
          <w:b/>
          <w:color w:val="auto"/>
          <w:spacing w:val="20"/>
          <w:kern w:val="21"/>
          <w:sz w:val="30"/>
          <w:szCs w:val="30"/>
          <w:highlight w:val="none"/>
        </w:rPr>
      </w:pPr>
    </w:p>
    <w:p w14:paraId="153B9978">
      <w:pPr>
        <w:pageBreakBefore w:val="0"/>
        <w:kinsoku/>
        <w:wordWrap/>
        <w:overflowPunct/>
        <w:topLinePunct w:val="0"/>
        <w:bidi w:val="0"/>
        <w:spacing w:line="240" w:lineRule="auto"/>
        <w:jc w:val="center"/>
        <w:rPr>
          <w:rFonts w:hint="eastAsia" w:ascii="宋体" w:hAnsi="宋体" w:eastAsia="宋体" w:cs="宋体"/>
          <w:b/>
          <w:color w:val="auto"/>
          <w:spacing w:val="20"/>
          <w:kern w:val="21"/>
          <w:sz w:val="32"/>
          <w:szCs w:val="32"/>
          <w:highlight w:val="none"/>
        </w:rPr>
      </w:pPr>
      <w:r>
        <w:rPr>
          <w:rFonts w:hint="eastAsia" w:ascii="宋体" w:hAnsi="宋体" w:eastAsia="宋体" w:cs="宋体"/>
          <w:b/>
          <w:color w:val="auto"/>
          <w:spacing w:val="20"/>
          <w:kern w:val="21"/>
          <w:sz w:val="32"/>
          <w:szCs w:val="32"/>
          <w:highlight w:val="none"/>
        </w:rPr>
        <w:t>二〇二</w:t>
      </w:r>
      <w:r>
        <w:rPr>
          <w:rFonts w:hint="eastAsia" w:ascii="宋体" w:hAnsi="宋体" w:cs="宋体"/>
          <w:b/>
          <w:color w:val="auto"/>
          <w:spacing w:val="20"/>
          <w:kern w:val="21"/>
          <w:sz w:val="32"/>
          <w:szCs w:val="32"/>
          <w:highlight w:val="none"/>
          <w:lang w:val="en-US" w:eastAsia="zh-CN"/>
        </w:rPr>
        <w:t>五</w:t>
      </w:r>
      <w:r>
        <w:rPr>
          <w:rFonts w:hint="eastAsia" w:ascii="宋体" w:hAnsi="宋体" w:eastAsia="宋体" w:cs="宋体"/>
          <w:b/>
          <w:color w:val="auto"/>
          <w:spacing w:val="20"/>
          <w:kern w:val="21"/>
          <w:sz w:val="32"/>
          <w:szCs w:val="32"/>
          <w:highlight w:val="none"/>
        </w:rPr>
        <w:t>年</w:t>
      </w:r>
      <w:r>
        <w:rPr>
          <w:rFonts w:hint="eastAsia" w:ascii="宋体" w:hAnsi="宋体" w:cs="宋体"/>
          <w:b/>
          <w:color w:val="auto"/>
          <w:spacing w:val="20"/>
          <w:kern w:val="21"/>
          <w:sz w:val="32"/>
          <w:szCs w:val="32"/>
          <w:highlight w:val="none"/>
          <w:lang w:val="en-US" w:eastAsia="zh-CN"/>
        </w:rPr>
        <w:t>一</w:t>
      </w:r>
      <w:r>
        <w:rPr>
          <w:rFonts w:hint="eastAsia" w:ascii="宋体" w:hAnsi="宋体" w:eastAsia="宋体" w:cs="宋体"/>
          <w:b/>
          <w:color w:val="auto"/>
          <w:spacing w:val="20"/>
          <w:kern w:val="21"/>
          <w:sz w:val="32"/>
          <w:szCs w:val="32"/>
          <w:highlight w:val="none"/>
        </w:rPr>
        <w:t>月</w:t>
      </w:r>
    </w:p>
    <w:p w14:paraId="2A1DE1B2">
      <w:pPr>
        <w:pStyle w:val="16"/>
        <w:pageBreakBefore w:val="0"/>
        <w:kinsoku/>
        <w:wordWrap/>
        <w:overflowPunct/>
        <w:topLinePunct w:val="0"/>
        <w:bidi w:val="0"/>
        <w:spacing w:line="240" w:lineRule="auto"/>
        <w:ind w:left="0" w:leftChars="0" w:firstLine="0" w:firstLineChars="0"/>
        <w:rPr>
          <w:rFonts w:hint="eastAsia" w:ascii="宋体" w:hAnsi="宋体" w:eastAsia="宋体" w:cs="宋体"/>
          <w:color w:val="auto"/>
          <w:highlight w:val="none"/>
        </w:rPr>
        <w:sectPr>
          <w:pgSz w:w="11905"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04" w:charSpace="0"/>
        </w:sectPr>
      </w:pPr>
    </w:p>
    <w:p w14:paraId="3B85D256">
      <w:pPr>
        <w:pageBreakBefore w:val="0"/>
        <w:kinsoku/>
        <w:wordWrap/>
        <w:overflowPunct/>
        <w:topLinePunct w:val="0"/>
        <w:bidi w:val="0"/>
        <w:spacing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05505CC3">
      <w:pPr>
        <w:pStyle w:val="15"/>
        <w:pageBreakBefore w:val="0"/>
        <w:kinsoku/>
        <w:wordWrap/>
        <w:overflowPunct/>
        <w:topLinePunct w:val="0"/>
        <w:bidi w:val="0"/>
        <w:spacing w:line="240" w:lineRule="auto"/>
        <w:rPr>
          <w:rFonts w:hint="eastAsia" w:ascii="宋体" w:hAnsi="宋体" w:eastAsia="宋体" w:cs="宋体"/>
          <w:color w:val="auto"/>
          <w:highlight w:val="none"/>
        </w:rPr>
      </w:pPr>
    </w:p>
    <w:p w14:paraId="6B1F0656">
      <w:pPr>
        <w:pStyle w:val="25"/>
        <w:tabs>
          <w:tab w:val="right" w:leader="dot" w:pos="9745"/>
          <w:tab w:val="clear" w:pos="9060"/>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_Toc32317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_Toc32317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AC4F015">
      <w:pPr>
        <w:pStyle w:val="25"/>
        <w:tabs>
          <w:tab w:val="right" w:leader="dot" w:pos="9745"/>
          <w:tab w:val="clear" w:pos="9060"/>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CA9E61">
      <w:pPr>
        <w:pStyle w:val="27"/>
        <w:tabs>
          <w:tab w:val="right" w:leader="dot" w:pos="9745"/>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_Toc25504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投标人须知前附表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_Toc25504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F9635FC">
      <w:pPr>
        <w:pStyle w:val="27"/>
        <w:tabs>
          <w:tab w:val="right" w:leader="dot" w:pos="9745"/>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第一节  总 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D88C05">
      <w:pPr>
        <w:pStyle w:val="27"/>
        <w:tabs>
          <w:tab w:val="right" w:leader="dot" w:pos="9745"/>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_Toc13674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第二节  采购文件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_Toc13674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C31043">
      <w:pPr>
        <w:pStyle w:val="27"/>
        <w:tabs>
          <w:tab w:val="right" w:leader="dot" w:pos="9745"/>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第三节  投标文件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_Toc5331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57CCAB">
      <w:pPr>
        <w:pStyle w:val="27"/>
        <w:tabs>
          <w:tab w:val="right" w:leader="dot" w:pos="9745"/>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_Toc22990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第四节  投 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_Toc22990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24385D">
      <w:pPr>
        <w:pStyle w:val="27"/>
        <w:tabs>
          <w:tab w:val="right" w:leader="dot" w:pos="9745"/>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_Toc10662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第五节  开 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_Toc10662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E4E9109">
      <w:pPr>
        <w:pStyle w:val="27"/>
        <w:tabs>
          <w:tab w:val="right" w:leader="dot" w:pos="9745"/>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_Toc17521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第六节  评 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_Toc17521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4F3E89">
      <w:pPr>
        <w:pStyle w:val="27"/>
        <w:tabs>
          <w:tab w:val="right" w:leader="dot" w:pos="9745"/>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_Toc24840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第七节  定 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_Toc24840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E089DBF">
      <w:pPr>
        <w:pStyle w:val="27"/>
        <w:tabs>
          <w:tab w:val="right" w:leader="dot" w:pos="9745"/>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_Toc24712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第八节  合同签订及其他</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_Toc24712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57D45C0">
      <w:pPr>
        <w:pStyle w:val="25"/>
        <w:tabs>
          <w:tab w:val="right" w:leader="dot" w:pos="9745"/>
          <w:tab w:val="clear" w:pos="9060"/>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_Toc19885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招标内容及需求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_Toc19885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0958F4">
      <w:pPr>
        <w:pStyle w:val="25"/>
        <w:tabs>
          <w:tab w:val="right" w:leader="dot" w:pos="9745"/>
          <w:tab w:val="clear" w:pos="9060"/>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_Toc16642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_Toc16642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4ABB7D1">
      <w:pPr>
        <w:pStyle w:val="25"/>
        <w:tabs>
          <w:tab w:val="right" w:leader="dot" w:pos="9745"/>
          <w:tab w:val="clear" w:pos="9060"/>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_Toc32166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_Toc32166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BE79AE">
      <w:pPr>
        <w:pStyle w:val="25"/>
        <w:tabs>
          <w:tab w:val="right" w:leader="dot" w:pos="9745"/>
          <w:tab w:val="clear" w:pos="9060"/>
          <w:tab w:val="clear" w:pos="91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_Toc28422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_Toc28422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4838E3">
      <w:pPr>
        <w:pageBreakBefore w:val="0"/>
        <w:kinsoku/>
        <w:wordWrap/>
        <w:overflowPunct/>
        <w:topLinePunct w:val="0"/>
        <w:bidi w:val="0"/>
        <w:spacing w:after="96" w:afterLines="40" w:line="480" w:lineRule="auto"/>
        <w:jc w:val="center"/>
        <w:outlineLvl w:val="0"/>
        <w:rPr>
          <w:rFonts w:hint="eastAsia" w:ascii="宋体" w:hAnsi="宋体" w:eastAsia="宋体" w:cs="宋体"/>
          <w:b/>
          <w:color w:val="auto"/>
          <w:sz w:val="36"/>
          <w:szCs w:val="44"/>
          <w:highlight w:val="none"/>
        </w:rPr>
        <w:sectPr>
          <w:headerReference r:id="rId3" w:type="default"/>
          <w:footerReference r:id="rId4" w:type="default"/>
          <w:pgSz w:w="11905"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04" w:charSpace="0"/>
        </w:sectPr>
      </w:pPr>
      <w:r>
        <w:rPr>
          <w:rFonts w:hint="eastAsia" w:ascii="宋体" w:hAnsi="宋体" w:eastAsia="宋体" w:cs="宋体"/>
          <w:color w:val="auto"/>
          <w:sz w:val="28"/>
          <w:szCs w:val="28"/>
          <w:highlight w:val="none"/>
        </w:rPr>
        <w:fldChar w:fldCharType="end"/>
      </w:r>
    </w:p>
    <w:p w14:paraId="52EA9D4C">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96" w:afterLines="40" w:line="240" w:lineRule="auto"/>
        <w:jc w:val="center"/>
        <w:textAlignment w:val="auto"/>
        <w:outlineLvl w:val="0"/>
        <w:rPr>
          <w:rFonts w:hint="eastAsia" w:ascii="宋体" w:hAnsi="宋体" w:eastAsia="宋体" w:cs="宋体"/>
          <w:b/>
          <w:color w:val="auto"/>
          <w:sz w:val="36"/>
          <w:szCs w:val="44"/>
          <w:highlight w:val="none"/>
        </w:rPr>
      </w:pPr>
      <w:bookmarkStart w:id="0" w:name="_Toc32317"/>
      <w:r>
        <w:rPr>
          <w:rFonts w:hint="eastAsia" w:ascii="宋体" w:hAnsi="宋体" w:eastAsia="宋体" w:cs="宋体"/>
          <w:b/>
          <w:color w:val="auto"/>
          <w:sz w:val="36"/>
          <w:szCs w:val="44"/>
          <w:highlight w:val="none"/>
        </w:rPr>
        <w:t>招标公告</w:t>
      </w:r>
      <w:bookmarkEnd w:id="0"/>
    </w:p>
    <w:tbl>
      <w:tblPr>
        <w:tblStyle w:val="3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5DCC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shd w:val="clear" w:color="auto" w:fill="auto"/>
          </w:tcPr>
          <w:p w14:paraId="35DCEF58">
            <w:pPr>
              <w:keepLines w:val="0"/>
              <w:pageBreakBefore w:val="0"/>
              <w:kinsoku/>
              <w:wordWrap/>
              <w:overflowPunct/>
              <w:topLinePunct w:val="0"/>
              <w:autoSpaceDE/>
              <w:autoSpaceDN/>
              <w:bidi w:val="0"/>
              <w:snapToGrid/>
              <w:spacing w:line="288" w:lineRule="auto"/>
              <w:jc w:val="left"/>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项目概况</w:t>
            </w:r>
          </w:p>
          <w:p w14:paraId="5D136552">
            <w:pPr>
              <w:keepLines w:val="0"/>
              <w:pageBreakBefore w:val="0"/>
              <w:kinsoku/>
              <w:wordWrap/>
              <w:overflowPunct/>
              <w:topLinePunct w:val="0"/>
              <w:autoSpaceDE/>
              <w:autoSpaceDN/>
              <w:bidi w:val="0"/>
              <w:snapToGrid/>
              <w:spacing w:line="288" w:lineRule="auto"/>
              <w:ind w:firstLine="480" w:firstLineChars="200"/>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u w:val="single"/>
                <w:lang w:eastAsia="zh-CN"/>
              </w:rPr>
              <w:t>天台县森林草地湿地普查工作</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政府采购云平台（www.zcygov.cn）</w:t>
            </w:r>
            <w:r>
              <w:rPr>
                <w:rFonts w:hint="eastAsia" w:ascii="宋体" w:hAnsi="宋体" w:eastAsia="宋体" w:cs="宋体"/>
                <w:color w:val="auto"/>
                <w:sz w:val="24"/>
                <w:highlight w:val="none"/>
              </w:rPr>
              <w:t>获取（下载）招标文件，并于</w:t>
            </w:r>
            <w:r>
              <w:rPr>
                <w:rFonts w:hint="eastAsia" w:ascii="宋体" w:hAnsi="宋体" w:cs="宋体"/>
                <w:b/>
                <w:bCs/>
                <w:color w:val="auto"/>
                <w:sz w:val="24"/>
                <w:highlight w:val="none"/>
                <w:u w:val="single"/>
                <w:lang w:eastAsia="zh-CN"/>
              </w:rPr>
              <w:t>2025年02月18日</w:t>
            </w:r>
            <w:r>
              <w:rPr>
                <w:rFonts w:hint="eastAsia" w:ascii="宋体" w:hAnsi="宋体" w:eastAsia="宋体" w:cs="宋体"/>
                <w:b/>
                <w:bCs/>
                <w:color w:val="auto"/>
                <w:sz w:val="24"/>
                <w:highlight w:val="none"/>
                <w:u w:val="single"/>
                <w:lang w:eastAsia="zh-CN"/>
              </w:rPr>
              <w:t xml:space="preserve">09：00 </w:t>
            </w:r>
            <w:r>
              <w:rPr>
                <w:rFonts w:hint="eastAsia" w:ascii="宋体" w:hAnsi="宋体" w:eastAsia="宋体" w:cs="宋体"/>
                <w:b/>
                <w:bCs/>
                <w:color w:val="auto"/>
                <w:sz w:val="24"/>
                <w:highlight w:val="none"/>
              </w:rPr>
              <w:t>（北京时间）</w:t>
            </w:r>
            <w:r>
              <w:rPr>
                <w:rFonts w:hint="eastAsia" w:ascii="宋体" w:hAnsi="宋体" w:eastAsia="宋体" w:cs="宋体"/>
                <w:color w:val="auto"/>
                <w:sz w:val="24"/>
                <w:highlight w:val="none"/>
              </w:rPr>
              <w:t>前递交（上传）投标文件。</w:t>
            </w:r>
            <w:r>
              <w:rPr>
                <w:rFonts w:hint="eastAsia" w:ascii="宋体" w:hAnsi="宋体" w:eastAsia="宋体" w:cs="宋体"/>
                <w:color w:val="auto"/>
                <w:sz w:val="27"/>
                <w:szCs w:val="27"/>
                <w:highlight w:val="none"/>
              </w:rPr>
              <w:t>      </w:t>
            </w:r>
          </w:p>
        </w:tc>
      </w:tr>
    </w:tbl>
    <w:p w14:paraId="5FFB060B">
      <w:pPr>
        <w:keepLines w:val="0"/>
        <w:pageBreakBefore w:val="0"/>
        <w:kinsoku/>
        <w:wordWrap/>
        <w:overflowPunct/>
        <w:topLinePunct w:val="0"/>
        <w:autoSpaceDE/>
        <w:autoSpaceDN/>
        <w:bidi w:val="0"/>
        <w:snapToGrid/>
        <w:spacing w:line="288" w:lineRule="auto"/>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一、项目基本情况</w:t>
      </w:r>
    </w:p>
    <w:p w14:paraId="206C4BB0">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项目编号：</w:t>
      </w:r>
      <w:r>
        <w:rPr>
          <w:rFonts w:hint="eastAsia" w:ascii="宋体" w:hAnsi="宋体" w:cs="宋体"/>
          <w:b w:val="0"/>
          <w:bCs w:val="0"/>
          <w:color w:val="auto"/>
          <w:sz w:val="24"/>
          <w:highlight w:val="none"/>
          <w:lang w:eastAsia="zh-CN"/>
        </w:rPr>
        <w:t>TCCG-2025-Z006</w:t>
      </w:r>
    </w:p>
    <w:p w14:paraId="199BF692">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eastAsia="zh-CN"/>
        </w:rPr>
        <w:t>天台县森林草地湿地普查工作</w:t>
      </w:r>
    </w:p>
    <w:p w14:paraId="54A8BB9E">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预算金额（元）：</w:t>
      </w:r>
      <w:r>
        <w:rPr>
          <w:rFonts w:hint="eastAsia" w:ascii="宋体" w:hAnsi="宋体" w:eastAsia="宋体" w:cs="宋体"/>
          <w:b w:val="0"/>
          <w:bCs w:val="0"/>
          <w:color w:val="auto"/>
          <w:sz w:val="24"/>
          <w:highlight w:val="none"/>
          <w:lang w:eastAsia="zh-CN"/>
        </w:rPr>
        <w:t>1800000</w:t>
      </w:r>
    </w:p>
    <w:p w14:paraId="6F925F5B">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最高限价（元）：</w:t>
      </w:r>
      <w:r>
        <w:rPr>
          <w:rFonts w:hint="eastAsia" w:ascii="宋体" w:hAnsi="宋体" w:eastAsia="宋体" w:cs="宋体"/>
          <w:b w:val="0"/>
          <w:bCs w:val="0"/>
          <w:color w:val="auto"/>
          <w:sz w:val="24"/>
          <w:highlight w:val="none"/>
          <w:lang w:eastAsia="zh-CN"/>
        </w:rPr>
        <w:t>1800000</w:t>
      </w:r>
    </w:p>
    <w:p w14:paraId="2DF09E75">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采购需求：</w:t>
      </w:r>
    </w:p>
    <w:p w14:paraId="379ECE35">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color w:val="auto"/>
          <w:sz w:val="24"/>
          <w:highlight w:val="none"/>
        </w:rPr>
      </w:pPr>
    </w:p>
    <w:p w14:paraId="07E09E28">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标项名称: </w:t>
      </w:r>
      <w:r>
        <w:rPr>
          <w:rFonts w:hint="eastAsia" w:ascii="宋体" w:hAnsi="宋体" w:eastAsia="宋体" w:cs="宋体"/>
          <w:color w:val="auto"/>
          <w:sz w:val="24"/>
          <w:highlight w:val="none"/>
          <w:lang w:eastAsia="zh-CN"/>
        </w:rPr>
        <w:t>天台县森林草地湿地普查工作</w:t>
      </w:r>
    </w:p>
    <w:p w14:paraId="36F5EFBE">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数量: </w:t>
      </w:r>
      <w:r>
        <w:rPr>
          <w:rFonts w:hint="eastAsia" w:ascii="宋体" w:hAnsi="宋体" w:eastAsia="宋体" w:cs="宋体"/>
          <w:color w:val="auto"/>
          <w:sz w:val="24"/>
          <w:highlight w:val="none"/>
          <w:lang w:val="en-US" w:eastAsia="zh-CN"/>
        </w:rPr>
        <w:t>不限</w:t>
      </w:r>
    </w:p>
    <w:p w14:paraId="1E99F7AB">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预算金额（元）: </w:t>
      </w:r>
      <w:r>
        <w:rPr>
          <w:rFonts w:hint="eastAsia" w:ascii="宋体" w:hAnsi="宋体" w:eastAsia="宋体" w:cs="宋体"/>
          <w:color w:val="auto"/>
          <w:sz w:val="24"/>
          <w:highlight w:val="none"/>
          <w:lang w:eastAsia="zh-CN"/>
        </w:rPr>
        <w:t>1800000</w:t>
      </w:r>
      <w:r>
        <w:rPr>
          <w:rFonts w:hint="eastAsia" w:ascii="宋体" w:hAnsi="宋体" w:eastAsia="宋体" w:cs="宋体"/>
          <w:color w:val="auto"/>
          <w:sz w:val="24"/>
          <w:highlight w:val="none"/>
        </w:rPr>
        <w:t> </w:t>
      </w:r>
    </w:p>
    <w:p w14:paraId="753CE855">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简要规格描述或项目基本概况介绍、用途：详见采购文件第三章。</w:t>
      </w:r>
    </w:p>
    <w:p w14:paraId="0331E0F4">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备注： </w:t>
      </w:r>
    </w:p>
    <w:p w14:paraId="5B438A44">
      <w:pPr>
        <w:pStyle w:val="15"/>
        <w:keepLines w:val="0"/>
        <w:pageBreakBefore w:val="0"/>
        <w:kinsoku/>
        <w:wordWrap/>
        <w:overflowPunct/>
        <w:topLinePunct w:val="0"/>
        <w:autoSpaceDE/>
        <w:autoSpaceDN/>
        <w:bidi w:val="0"/>
        <w:snapToGrid/>
        <w:spacing w:line="288" w:lineRule="auto"/>
        <w:textAlignment w:val="auto"/>
        <w:outlineLvl w:val="9"/>
        <w:rPr>
          <w:rFonts w:hint="eastAsia" w:ascii="宋体" w:hAnsi="宋体" w:eastAsia="宋体" w:cs="宋体"/>
          <w:color w:val="auto"/>
          <w:highlight w:val="none"/>
        </w:rPr>
      </w:pPr>
    </w:p>
    <w:p w14:paraId="251BB892">
      <w:pPr>
        <w:keepLines w:val="0"/>
        <w:pageBreakBefore w:val="0"/>
        <w:kinsoku/>
        <w:wordWrap/>
        <w:overflowPunct/>
        <w:topLinePunct w:val="0"/>
        <w:autoSpaceDE/>
        <w:autoSpaceDN/>
        <w:bidi w:val="0"/>
        <w:snapToGrid/>
        <w:spacing w:line="288" w:lineRule="auto"/>
        <w:ind w:firstLine="482"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w:t>
      </w:r>
      <w:r>
        <w:rPr>
          <w:rFonts w:hint="eastAsia" w:ascii="宋体" w:hAnsi="宋体" w:cs="宋体"/>
          <w:b/>
          <w:bCs/>
          <w:color w:val="auto"/>
          <w:sz w:val="24"/>
          <w:highlight w:val="none"/>
          <w:lang w:eastAsia="zh-CN"/>
        </w:rPr>
        <w:t>于2025年05月底前完成并通过验收。（具体时间以采购人要求为准）</w:t>
      </w:r>
    </w:p>
    <w:p w14:paraId="728587A1">
      <w:pPr>
        <w:keepLines w:val="0"/>
        <w:pageBreakBefore w:val="0"/>
        <w:kinsoku/>
        <w:wordWrap/>
        <w:overflowPunct/>
        <w:topLinePunct w:val="0"/>
        <w:autoSpaceDE/>
        <w:autoSpaceDN/>
        <w:bidi w:val="0"/>
        <w:snapToGrid/>
        <w:spacing w:line="288" w:lineRule="auto"/>
        <w:ind w:firstLine="482" w:firstLineChars="20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w:t>
      </w:r>
      <w:r>
        <w:rPr>
          <w:rFonts w:hint="eastAsia" w:ascii="宋体" w:hAnsi="宋体" w:cs="宋体"/>
          <w:b/>
          <w:bCs/>
          <w:color w:val="auto"/>
          <w:sz w:val="24"/>
          <w:highlight w:val="none"/>
          <w:lang w:val="en-US" w:eastAsia="zh-CN"/>
        </w:rPr>
        <w:t>是</w:t>
      </w:r>
      <w:r>
        <w:rPr>
          <w:rFonts w:hint="eastAsia" w:ascii="宋体" w:hAnsi="宋体" w:eastAsia="宋体" w:cs="宋体"/>
          <w:b/>
          <w:bCs/>
          <w:color w:val="auto"/>
          <w:sz w:val="24"/>
          <w:highlight w:val="none"/>
        </w:rPr>
        <w:t>）接受联合体投标。</w:t>
      </w:r>
    </w:p>
    <w:p w14:paraId="1DA79CE2">
      <w:pPr>
        <w:keepLines w:val="0"/>
        <w:pageBreakBefore w:val="0"/>
        <w:widowControl/>
        <w:kinsoku/>
        <w:wordWrap/>
        <w:overflowPunct/>
        <w:topLinePunct w:val="0"/>
        <w:autoSpaceDE/>
        <w:autoSpaceDN/>
        <w:bidi w:val="0"/>
        <w:snapToGrid/>
        <w:spacing w:line="288" w:lineRule="auto"/>
        <w:jc w:val="left"/>
        <w:textAlignment w:val="auto"/>
        <w:outlineLvl w:val="9"/>
        <w:rPr>
          <w:rFonts w:hint="eastAsia" w:ascii="宋体" w:hAnsi="宋体" w:eastAsia="宋体" w:cs="宋体"/>
          <w:b/>
          <w:bCs/>
          <w:color w:val="auto"/>
          <w:sz w:val="24"/>
          <w:highlight w:val="none"/>
        </w:rPr>
      </w:pPr>
      <w:bookmarkStart w:id="1" w:name="_Toc35393630"/>
      <w:bookmarkStart w:id="2" w:name="_Toc28359013"/>
      <w:bookmarkStart w:id="3" w:name="_Toc35393799"/>
      <w:bookmarkStart w:id="4" w:name="_Toc28359090"/>
      <w:r>
        <w:rPr>
          <w:rFonts w:hint="eastAsia" w:ascii="宋体" w:hAnsi="宋体" w:eastAsia="宋体" w:cs="宋体"/>
          <w:b/>
          <w:bCs/>
          <w:color w:val="auto"/>
          <w:sz w:val="24"/>
          <w:highlight w:val="none"/>
        </w:rPr>
        <w:t>二、申请人的资格要求</w:t>
      </w:r>
      <w:bookmarkEnd w:id="1"/>
      <w:bookmarkEnd w:id="2"/>
      <w:bookmarkEnd w:id="3"/>
      <w:bookmarkEnd w:id="4"/>
    </w:p>
    <w:p w14:paraId="41DE56C3">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29026B78">
      <w:pPr>
        <w:pStyle w:val="56"/>
        <w:keepLines w:val="0"/>
        <w:pageBreakBefore w:val="0"/>
        <w:kinsoku/>
        <w:wordWrap/>
        <w:overflowPunct/>
        <w:topLinePunct w:val="0"/>
        <w:autoSpaceDE/>
        <w:autoSpaceDN/>
        <w:bidi w:val="0"/>
        <w:snapToGrid/>
        <w:spacing w:line="288" w:lineRule="auto"/>
        <w:ind w:left="420" w:firstLine="240" w:firstLineChars="100"/>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2.落实政府采购政策需满足的资格要求：</w:t>
      </w:r>
      <w:r>
        <w:rPr>
          <w:rFonts w:hint="eastAsia" w:ascii="宋体" w:hAnsi="宋体" w:eastAsia="宋体" w:cs="宋体"/>
          <w:color w:val="auto"/>
          <w:kern w:val="2"/>
          <w:sz w:val="24"/>
          <w:szCs w:val="24"/>
          <w:highlight w:val="none"/>
          <w:lang w:val="en-US" w:eastAsia="zh-CN"/>
        </w:rPr>
        <w:t>无</w:t>
      </w:r>
    </w:p>
    <w:p w14:paraId="466C9B07">
      <w:pPr>
        <w:pStyle w:val="56"/>
        <w:keepLines w:val="0"/>
        <w:pageBreakBefore w:val="0"/>
        <w:kinsoku/>
        <w:wordWrap/>
        <w:overflowPunct/>
        <w:topLinePunct w:val="0"/>
        <w:autoSpaceDE/>
        <w:autoSpaceDN/>
        <w:bidi w:val="0"/>
        <w:snapToGrid/>
        <w:spacing w:line="288" w:lineRule="auto"/>
        <w:ind w:left="420" w:firstLine="240" w:firstLineChars="100"/>
        <w:textAlignment w:val="auto"/>
        <w:outlineLvl w:val="9"/>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3.本项目的特定资格要求</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无</w:t>
      </w:r>
    </w:p>
    <w:p w14:paraId="66A5C2B1">
      <w:pPr>
        <w:keepLines w:val="0"/>
        <w:pageBreakBefore w:val="0"/>
        <w:widowControl/>
        <w:kinsoku/>
        <w:wordWrap/>
        <w:overflowPunct/>
        <w:topLinePunct w:val="0"/>
        <w:autoSpaceDE/>
        <w:autoSpaceDN/>
        <w:bidi w:val="0"/>
        <w:snapToGrid/>
        <w:spacing w:line="288" w:lineRule="auto"/>
        <w:jc w:val="left"/>
        <w:textAlignment w:val="auto"/>
        <w:outlineLvl w:val="9"/>
        <w:rPr>
          <w:rFonts w:hint="eastAsia" w:ascii="宋体" w:hAnsi="宋体" w:eastAsia="宋体" w:cs="宋体"/>
          <w:b/>
          <w:bCs/>
          <w:color w:val="auto"/>
          <w:sz w:val="24"/>
          <w:highlight w:val="none"/>
        </w:rPr>
      </w:pPr>
      <w:bookmarkStart w:id="5" w:name="_Toc28359014"/>
      <w:bookmarkStart w:id="6" w:name="_Toc35393800"/>
      <w:bookmarkStart w:id="7" w:name="_Toc35393631"/>
      <w:bookmarkStart w:id="8" w:name="_Toc28359091"/>
      <w:r>
        <w:rPr>
          <w:rFonts w:hint="eastAsia" w:ascii="宋体" w:hAnsi="宋体" w:eastAsia="宋体" w:cs="宋体"/>
          <w:b/>
          <w:bCs/>
          <w:color w:val="auto"/>
          <w:sz w:val="24"/>
          <w:highlight w:val="none"/>
        </w:rPr>
        <w:t>三、获取招标文件</w:t>
      </w:r>
      <w:bookmarkEnd w:id="5"/>
      <w:bookmarkEnd w:id="6"/>
      <w:bookmarkEnd w:id="7"/>
      <w:bookmarkEnd w:id="8"/>
    </w:p>
    <w:p w14:paraId="4044D209">
      <w:pPr>
        <w:keepLines w:val="0"/>
        <w:pageBreakBefore w:val="0"/>
        <w:kinsoku/>
        <w:wordWrap/>
        <w:overflowPunct/>
        <w:topLinePunct w:val="0"/>
        <w:autoSpaceDE/>
        <w:autoSpaceDN/>
        <w:bidi w:val="0"/>
        <w:snapToGrid/>
        <w:spacing w:line="288" w:lineRule="auto"/>
        <w:ind w:firstLine="54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时间：</w:t>
      </w:r>
      <w:r>
        <w:rPr>
          <w:rFonts w:hint="eastAsia" w:ascii="宋体" w:hAnsi="宋体" w:eastAsia="宋体" w:cs="宋体"/>
          <w:color w:val="auto"/>
          <w:sz w:val="24"/>
          <w:highlight w:val="none"/>
          <w:u w:val="single"/>
        </w:rPr>
        <w:t>公告发布之日起至投标文件提交截止时间</w:t>
      </w:r>
      <w:r>
        <w:rPr>
          <w:rFonts w:hint="eastAsia" w:ascii="宋体" w:hAnsi="宋体" w:eastAsia="宋体" w:cs="宋体"/>
          <w:color w:val="auto"/>
          <w:sz w:val="24"/>
          <w:highlight w:val="none"/>
        </w:rPr>
        <w:t>；</w:t>
      </w:r>
    </w:p>
    <w:p w14:paraId="25AC1702">
      <w:pPr>
        <w:keepLines w:val="0"/>
        <w:pageBreakBefore w:val="0"/>
        <w:kinsoku/>
        <w:wordWrap/>
        <w:overflowPunct/>
        <w:topLinePunct w:val="0"/>
        <w:autoSpaceDE/>
        <w:autoSpaceDN/>
        <w:bidi w:val="0"/>
        <w:snapToGrid/>
        <w:spacing w:line="288" w:lineRule="auto"/>
        <w:ind w:firstLine="54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地点（网址）：</w:t>
      </w:r>
      <w:r>
        <w:rPr>
          <w:rFonts w:hint="eastAsia" w:ascii="宋体" w:hAnsi="宋体" w:eastAsia="宋体" w:cs="宋体"/>
          <w:color w:val="auto"/>
          <w:sz w:val="24"/>
          <w:highlight w:val="none"/>
        </w:rPr>
        <w:t>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"http://www.zcygov.cn），以下简称" </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sz w:val="24"/>
          <w:highlight w:val="none"/>
        </w:rPr>
        <w:t>www.zcygov.cn）</w:t>
      </w:r>
      <w:r>
        <w:rPr>
          <w:rStyle w:val="38"/>
          <w:rFonts w:hint="eastAsia" w:ascii="宋体" w:hAnsi="宋体" w:eastAsia="宋体" w:cs="宋体"/>
          <w:color w:val="auto"/>
          <w:sz w:val="24"/>
          <w:highlight w:val="none"/>
        </w:rPr>
        <w:fldChar w:fldCharType="end"/>
      </w:r>
    </w:p>
    <w:p w14:paraId="602247D8">
      <w:pPr>
        <w:keepLines w:val="0"/>
        <w:pageBreakBefore w:val="0"/>
        <w:kinsoku/>
        <w:wordWrap/>
        <w:overflowPunct/>
        <w:topLinePunct w:val="0"/>
        <w:autoSpaceDE/>
        <w:autoSpaceDN/>
        <w:bidi w:val="0"/>
        <w:snapToGrid/>
        <w:spacing w:line="288" w:lineRule="auto"/>
        <w:ind w:firstLine="540"/>
        <w:textAlignment w:val="auto"/>
        <w:outlineLvl w:val="9"/>
        <w:rPr>
          <w:rFonts w:hint="eastAsia" w:ascii="宋体" w:hAnsi="宋体" w:eastAsia="宋体" w:cs="宋体"/>
          <w:color w:val="auto"/>
          <w:spacing w:val="-23"/>
          <w:sz w:val="24"/>
          <w:highlight w:val="none"/>
        </w:rPr>
      </w:pPr>
      <w:r>
        <w:rPr>
          <w:rFonts w:hint="eastAsia" w:ascii="宋体" w:hAnsi="宋体" w:eastAsia="宋体" w:cs="宋体"/>
          <w:b/>
          <w:bCs/>
          <w:color w:val="auto"/>
          <w:sz w:val="24"/>
          <w:highlight w:val="none"/>
        </w:rPr>
        <w:t>方式：</w:t>
      </w:r>
      <w:bookmarkStart w:id="9" w:name="_Toc35393632"/>
      <w:bookmarkStart w:id="10" w:name="_Toc28359092"/>
      <w:bookmarkStart w:id="11" w:name="_Toc35393801"/>
      <w:bookmarkStart w:id="12" w:name="_Toc28359015"/>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27080145">
      <w:pPr>
        <w:pStyle w:val="16"/>
        <w:keepLines w:val="0"/>
        <w:pageBreakBefore w:val="0"/>
        <w:kinsoku/>
        <w:wordWrap/>
        <w:overflowPunct/>
        <w:topLinePunct w:val="0"/>
        <w:autoSpaceDE/>
        <w:autoSpaceDN/>
        <w:bidi w:val="0"/>
        <w:snapToGrid/>
        <w:spacing w:after="0" w:line="288" w:lineRule="auto"/>
        <w:ind w:firstLine="241"/>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highlight w:val="none"/>
        </w:rPr>
        <w:t xml:space="preserve">  售价（元）：</w:t>
      </w:r>
      <w:r>
        <w:rPr>
          <w:rFonts w:hint="eastAsia" w:ascii="宋体" w:hAnsi="宋体" w:eastAsia="宋体" w:cs="宋体"/>
          <w:color w:val="auto"/>
          <w:sz w:val="24"/>
          <w:highlight w:val="none"/>
        </w:rPr>
        <w:t>0；</w:t>
      </w:r>
    </w:p>
    <w:p w14:paraId="78979302">
      <w:pPr>
        <w:keepLines w:val="0"/>
        <w:pageBreakBefore w:val="0"/>
        <w:kinsoku/>
        <w:wordWrap/>
        <w:overflowPunct/>
        <w:topLinePunct w:val="0"/>
        <w:autoSpaceDE/>
        <w:autoSpaceDN/>
        <w:bidi w:val="0"/>
        <w:snapToGrid/>
        <w:spacing w:line="288" w:lineRule="auto"/>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bookmarkEnd w:id="9"/>
      <w:bookmarkEnd w:id="10"/>
      <w:bookmarkEnd w:id="11"/>
      <w:bookmarkEnd w:id="12"/>
      <w:r>
        <w:rPr>
          <w:rFonts w:hint="eastAsia" w:ascii="宋体" w:hAnsi="宋体" w:eastAsia="宋体" w:cs="宋体"/>
          <w:bCs/>
          <w:color w:val="auto"/>
          <w:sz w:val="24"/>
          <w:szCs w:val="24"/>
          <w:highlight w:val="none"/>
        </w:rPr>
        <w:t>提交投标文件截止时间、开标时间和地点</w:t>
      </w:r>
    </w:p>
    <w:p w14:paraId="2677BA9C">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宋体" w:hAnsi="宋体" w:eastAsia="宋体" w:cs="宋体"/>
          <w:b/>
          <w:bCs/>
          <w:color w:val="auto"/>
          <w:kern w:val="2"/>
          <w:sz w:val="24"/>
          <w:szCs w:val="24"/>
          <w:highlight w:val="none"/>
        </w:rPr>
      </w:pPr>
      <w:bookmarkStart w:id="13" w:name="_Toc35393634"/>
      <w:bookmarkStart w:id="14" w:name="_Toc35393803"/>
      <w:bookmarkStart w:id="15" w:name="_Toc28359017"/>
      <w:bookmarkStart w:id="16" w:name="_Toc28359094"/>
      <w:r>
        <w:rPr>
          <w:rFonts w:hint="eastAsia" w:ascii="宋体" w:hAnsi="宋体" w:eastAsia="宋体" w:cs="宋体"/>
          <w:b/>
          <w:bCs/>
          <w:color w:val="auto"/>
          <w:kern w:val="2"/>
          <w:sz w:val="24"/>
          <w:szCs w:val="24"/>
          <w:highlight w:val="none"/>
        </w:rPr>
        <w:t>提交投标文件截止时间：</w:t>
      </w:r>
      <w:r>
        <w:rPr>
          <w:rFonts w:hint="eastAsia" w:ascii="宋体" w:hAnsi="宋体" w:cs="宋体"/>
          <w:b/>
          <w:bCs/>
          <w:color w:val="auto"/>
          <w:kern w:val="2"/>
          <w:sz w:val="24"/>
          <w:szCs w:val="24"/>
          <w:highlight w:val="none"/>
          <w:lang w:eastAsia="zh-CN"/>
        </w:rPr>
        <w:t>2025年02月18日</w:t>
      </w:r>
      <w:r>
        <w:rPr>
          <w:rFonts w:hint="eastAsia" w:ascii="宋体" w:hAnsi="宋体" w:eastAsia="宋体" w:cs="宋体"/>
          <w:b/>
          <w:bCs/>
          <w:color w:val="auto"/>
          <w:kern w:val="2"/>
          <w:sz w:val="24"/>
          <w:szCs w:val="24"/>
          <w:highlight w:val="none"/>
          <w:lang w:eastAsia="zh-CN"/>
        </w:rPr>
        <w:t xml:space="preserve">09：00 </w:t>
      </w:r>
      <w:r>
        <w:rPr>
          <w:rFonts w:hint="eastAsia" w:ascii="宋体" w:hAnsi="宋体" w:eastAsia="宋体" w:cs="宋体"/>
          <w:b/>
          <w:bCs/>
          <w:color w:val="auto"/>
          <w:kern w:val="2"/>
          <w:sz w:val="24"/>
          <w:szCs w:val="24"/>
          <w:highlight w:val="none"/>
        </w:rPr>
        <w:t>（北京时间）</w:t>
      </w:r>
    </w:p>
    <w:p w14:paraId="69F400AE">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投标地点（网址）：请登录政采云投标客户端投标</w:t>
      </w:r>
    </w:p>
    <w:p w14:paraId="2F6EC037">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开标时间：</w:t>
      </w:r>
      <w:r>
        <w:rPr>
          <w:rFonts w:hint="eastAsia" w:ascii="宋体" w:hAnsi="宋体" w:cs="宋体"/>
          <w:b/>
          <w:bCs/>
          <w:color w:val="auto"/>
          <w:kern w:val="2"/>
          <w:sz w:val="24"/>
          <w:szCs w:val="24"/>
          <w:highlight w:val="none"/>
          <w:lang w:eastAsia="zh-CN"/>
        </w:rPr>
        <w:t>2025年02月18日</w:t>
      </w:r>
      <w:r>
        <w:rPr>
          <w:rFonts w:hint="eastAsia" w:ascii="宋体" w:hAnsi="宋体" w:eastAsia="宋体" w:cs="宋体"/>
          <w:b/>
          <w:bCs/>
          <w:color w:val="auto"/>
          <w:kern w:val="2"/>
          <w:sz w:val="24"/>
          <w:szCs w:val="24"/>
          <w:highlight w:val="none"/>
          <w:lang w:eastAsia="zh-CN"/>
        </w:rPr>
        <w:t xml:space="preserve">09：00 </w:t>
      </w:r>
      <w:r>
        <w:rPr>
          <w:rFonts w:hint="eastAsia" w:ascii="宋体" w:hAnsi="宋体" w:eastAsia="宋体" w:cs="宋体"/>
          <w:b/>
          <w:bCs/>
          <w:color w:val="auto"/>
          <w:kern w:val="2"/>
          <w:sz w:val="24"/>
          <w:szCs w:val="24"/>
          <w:highlight w:val="none"/>
        </w:rPr>
        <w:t>（北京时间）</w:t>
      </w:r>
    </w:p>
    <w:p w14:paraId="2D7DC37C">
      <w:pPr>
        <w:pStyle w:val="56"/>
        <w:keepLines w:val="0"/>
        <w:pageBreakBefore w:val="0"/>
        <w:kinsoku/>
        <w:wordWrap/>
        <w:overflowPunct/>
        <w:topLinePunct w:val="0"/>
        <w:autoSpaceDE/>
        <w:autoSpaceDN/>
        <w:bidi w:val="0"/>
        <w:snapToGrid/>
        <w:spacing w:line="288" w:lineRule="auto"/>
        <w:ind w:left="420"/>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 xml:space="preserve">开标地点（网址）：天台县公共资源交易中心开标室1  </w:t>
      </w:r>
    </w:p>
    <w:p w14:paraId="5FFC17B3">
      <w:pPr>
        <w:keepLines w:val="0"/>
        <w:pageBreakBefore w:val="0"/>
        <w:kinsoku/>
        <w:wordWrap/>
        <w:overflowPunct/>
        <w:topLinePunct w:val="0"/>
        <w:autoSpaceDE/>
        <w:autoSpaceDN/>
        <w:bidi w:val="0"/>
        <w:snapToGrid/>
        <w:spacing w:line="288" w:lineRule="auto"/>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五、公告期限</w:t>
      </w:r>
      <w:bookmarkEnd w:id="13"/>
      <w:bookmarkEnd w:id="14"/>
      <w:bookmarkEnd w:id="15"/>
      <w:bookmarkEnd w:id="16"/>
    </w:p>
    <w:p w14:paraId="7FB8D2B1">
      <w:pPr>
        <w:keepLines w:val="0"/>
        <w:pageBreakBefore w:val="0"/>
        <w:kinsoku/>
        <w:wordWrap/>
        <w:overflowPunct/>
        <w:topLinePunct w:val="0"/>
        <w:autoSpaceDE/>
        <w:autoSpaceDN/>
        <w:bidi w:val="0"/>
        <w:snapToGrid/>
        <w:spacing w:line="288"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14:paraId="7DD2E321">
      <w:pPr>
        <w:keepLines w:val="0"/>
        <w:pageBreakBefore w:val="0"/>
        <w:numPr>
          <w:ilvl w:val="0"/>
          <w:numId w:val="4"/>
        </w:numPr>
        <w:kinsoku/>
        <w:wordWrap/>
        <w:overflowPunct/>
        <w:topLinePunct w:val="0"/>
        <w:autoSpaceDE/>
        <w:autoSpaceDN/>
        <w:bidi w:val="0"/>
        <w:snapToGrid/>
        <w:spacing w:line="288" w:lineRule="auto"/>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其他补充事宜</w:t>
      </w:r>
    </w:p>
    <w:p w14:paraId="2C78FDDA">
      <w:pPr>
        <w:keepLines w:val="0"/>
        <w:pageBreakBefore w:val="0"/>
        <w:widowControl/>
        <w:kinsoku/>
        <w:wordWrap/>
        <w:overflowPunct/>
        <w:topLinePunct w:val="0"/>
        <w:autoSpaceDE/>
        <w:autoSpaceDN/>
        <w:bidi w:val="0"/>
        <w:snapToGrid/>
        <w:spacing w:line="288"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4FA5C2C">
      <w:pPr>
        <w:keepLines w:val="0"/>
        <w:pageBreakBefore w:val="0"/>
        <w:widowControl/>
        <w:kinsoku/>
        <w:wordWrap/>
        <w:overflowPunct/>
        <w:topLinePunct w:val="0"/>
        <w:autoSpaceDE/>
        <w:autoSpaceDN/>
        <w:bidi w:val="0"/>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34BCF4">
      <w:pPr>
        <w:keepLines w:val="0"/>
        <w:pageBreakBefore w:val="0"/>
        <w:widowControl/>
        <w:kinsoku/>
        <w:wordWrap/>
        <w:overflowPunct/>
        <w:topLinePunct w:val="0"/>
        <w:autoSpaceDE/>
        <w:autoSpaceDN/>
        <w:bidi w:val="0"/>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485201">
      <w:pPr>
        <w:keepLines w:val="0"/>
        <w:pageBreakBefore w:val="0"/>
        <w:widowControl/>
        <w:kinsoku/>
        <w:wordWrap/>
        <w:overflowPunct/>
        <w:topLinePunct w:val="0"/>
        <w:autoSpaceDE/>
        <w:autoSpaceDN/>
        <w:bidi w:val="0"/>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4.</w:t>
      </w:r>
      <w:r>
        <w:rPr>
          <w:rFonts w:hint="eastAsia" w:ascii="宋体" w:hAnsi="宋体" w:eastAsia="宋体" w:cs="宋体"/>
          <w:color w:val="auto"/>
          <w:sz w:val="24"/>
          <w:highlight w:val="none"/>
        </w:rPr>
        <w:t>其他事项：为保障项目开标的连贯性、减少电子投标的意外事件，建议制作电子投标文件人员与参加开标人员为同一人，并提前熟悉政采云-供应商操作指南：浙江省“电子交易/不见面开评标”学习专题：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20"/>
          <w:highlight w:val="none"/>
        </w:rPr>
        <w:fldChar w:fldCharType="begin"/>
      </w:r>
      <w:r>
        <w:rPr>
          <w:rFonts w:hint="eastAsia" w:ascii="宋体" w:hAnsi="宋体" w:eastAsia="宋体" w:cs="宋体"/>
          <w:color w:val="auto"/>
          <w:spacing w:val="-20"/>
          <w:highlight w:val="none"/>
        </w:rPr>
        <w:instrText xml:space="preserve"> HYPERLINK "https://edu.zcygov.cn/luban/e-biding" </w:instrText>
      </w:r>
      <w:r>
        <w:rPr>
          <w:rFonts w:hint="eastAsia" w:ascii="宋体" w:hAnsi="宋体" w:eastAsia="宋体" w:cs="宋体"/>
          <w:color w:val="auto"/>
          <w:spacing w:val="-20"/>
          <w:highlight w:val="none"/>
        </w:rPr>
        <w:fldChar w:fldCharType="separate"/>
      </w:r>
      <w:r>
        <w:rPr>
          <w:rStyle w:val="36"/>
          <w:rFonts w:hint="eastAsia" w:ascii="宋体" w:hAnsi="宋体" w:eastAsia="宋体" w:cs="宋体"/>
          <w:color w:val="auto"/>
          <w:spacing w:val="-20"/>
          <w:sz w:val="24"/>
          <w:highlight w:val="none"/>
          <w:u w:val="single"/>
        </w:rPr>
        <w:t>https://edu.zcygov.cn/luban/e-biding</w:t>
      </w:r>
      <w:r>
        <w:rPr>
          <w:rStyle w:val="36"/>
          <w:rFonts w:hint="eastAsia" w:ascii="宋体" w:hAnsi="宋体" w:eastAsia="宋体" w:cs="宋体"/>
          <w:color w:val="auto"/>
          <w:spacing w:val="-20"/>
          <w:sz w:val="24"/>
          <w:highlight w:val="none"/>
          <w:u w:val="single"/>
        </w:rPr>
        <w:fldChar w:fldCharType="end"/>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w:t>
      </w:r>
    </w:p>
    <w:p w14:paraId="3F753B12">
      <w:pPr>
        <w:keepLines w:val="0"/>
        <w:pageBreakBefore w:val="0"/>
        <w:numPr>
          <w:ilvl w:val="0"/>
          <w:numId w:val="4"/>
        </w:numPr>
        <w:kinsoku/>
        <w:wordWrap/>
        <w:overflowPunct/>
        <w:topLinePunct w:val="0"/>
        <w:autoSpaceDE/>
        <w:autoSpaceDN/>
        <w:bidi w:val="0"/>
        <w:snapToGrid/>
        <w:spacing w:line="288" w:lineRule="auto"/>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对本次采购提出询问、质疑、投诉，请按以下方式联系</w:t>
      </w:r>
    </w:p>
    <w:p w14:paraId="091CB5DD">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9D8ECAB">
      <w:pPr>
        <w:keepNext w:val="0"/>
        <w:keepLines w:val="0"/>
        <w:pageBreakBefore w:val="0"/>
        <w:widowControl/>
        <w:tabs>
          <w:tab w:val="left" w:pos="7443"/>
        </w:tabs>
        <w:kinsoku/>
        <w:wordWrap/>
        <w:overflowPunct/>
        <w:topLinePunct w:val="0"/>
        <w:autoSpaceDE/>
        <w:autoSpaceDN/>
        <w:bidi w:val="0"/>
        <w:adjustRightInd/>
        <w:snapToGrid/>
        <w:spacing w:line="288"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名    称：</w:t>
      </w:r>
      <w:r>
        <w:rPr>
          <w:rFonts w:hint="eastAsia" w:ascii="宋体" w:hAnsi="宋体" w:eastAsia="宋体" w:cs="宋体"/>
          <w:color w:val="auto"/>
          <w:sz w:val="24"/>
          <w:highlight w:val="none"/>
          <w:lang w:eastAsia="zh-CN"/>
        </w:rPr>
        <w:t>天台县自然资源和规划局</w:t>
      </w:r>
      <w:r>
        <w:rPr>
          <w:rFonts w:hint="eastAsia" w:ascii="宋体" w:hAnsi="宋体" w:eastAsia="宋体" w:cs="宋体"/>
          <w:color w:val="auto"/>
          <w:sz w:val="24"/>
          <w:highlight w:val="none"/>
        </w:rPr>
        <w:tab/>
      </w:r>
    </w:p>
    <w:p w14:paraId="150F1EF0">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地    址：</w:t>
      </w:r>
      <w:r>
        <w:rPr>
          <w:rFonts w:hint="eastAsia" w:ascii="宋体" w:hAnsi="宋体" w:eastAsia="宋体" w:cs="宋体"/>
          <w:color w:val="auto"/>
          <w:sz w:val="24"/>
          <w:highlight w:val="none"/>
          <w:lang w:eastAsia="zh-CN"/>
        </w:rPr>
        <w:t>天台县工人东路111号</w:t>
      </w:r>
    </w:p>
    <w:p w14:paraId="41E22E1B">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传    真：/  </w:t>
      </w:r>
    </w:p>
    <w:p w14:paraId="003F5E81">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项目联系人（询问）：</w:t>
      </w:r>
      <w:r>
        <w:rPr>
          <w:rFonts w:hint="eastAsia" w:ascii="宋体" w:hAnsi="宋体" w:eastAsia="宋体" w:cs="宋体"/>
          <w:color w:val="auto"/>
          <w:sz w:val="24"/>
          <w:highlight w:val="none"/>
          <w:lang w:eastAsia="zh-CN"/>
        </w:rPr>
        <w:t>徐友盛</w:t>
      </w:r>
    </w:p>
    <w:p w14:paraId="27F14D29">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项目联系方式（询问）：</w:t>
      </w:r>
      <w:r>
        <w:rPr>
          <w:rFonts w:hint="eastAsia" w:ascii="宋体" w:hAnsi="宋体" w:eastAsia="宋体" w:cs="宋体"/>
          <w:color w:val="auto"/>
          <w:sz w:val="24"/>
          <w:highlight w:val="none"/>
          <w:lang w:eastAsia="zh-CN"/>
        </w:rPr>
        <w:t>18158609985</w:t>
      </w:r>
    </w:p>
    <w:p w14:paraId="453DE4E8">
      <w:pPr>
        <w:keepNext w:val="0"/>
        <w:keepLines w:val="0"/>
        <w:pageBreakBefore w:val="0"/>
        <w:widowControl/>
        <w:tabs>
          <w:tab w:val="left" w:pos="7420"/>
        </w:tabs>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质疑联系人：</w:t>
      </w:r>
      <w:r>
        <w:rPr>
          <w:rFonts w:hint="eastAsia" w:ascii="宋体" w:hAnsi="宋体" w:eastAsia="宋体" w:cs="宋体"/>
          <w:color w:val="auto"/>
          <w:sz w:val="24"/>
          <w:highlight w:val="none"/>
          <w:lang w:eastAsia="zh-CN"/>
        </w:rPr>
        <w:t>王永胜</w:t>
      </w:r>
      <w:r>
        <w:rPr>
          <w:rFonts w:hint="eastAsia" w:ascii="宋体" w:hAnsi="宋体" w:eastAsia="宋体" w:cs="宋体"/>
          <w:color w:val="auto"/>
          <w:sz w:val="24"/>
          <w:highlight w:val="none"/>
        </w:rPr>
        <w:t>   </w:t>
      </w:r>
      <w:r>
        <w:rPr>
          <w:rFonts w:hint="eastAsia" w:ascii="宋体" w:hAnsi="宋体" w:eastAsia="宋体" w:cs="宋体"/>
          <w:color w:val="auto"/>
          <w:sz w:val="24"/>
          <w:highlight w:val="none"/>
        </w:rPr>
        <w:tab/>
      </w:r>
    </w:p>
    <w:p w14:paraId="4617FDBE">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质疑联系方式：</w:t>
      </w:r>
      <w:r>
        <w:rPr>
          <w:rFonts w:hint="eastAsia" w:ascii="宋体" w:hAnsi="宋体" w:eastAsia="宋体" w:cs="宋体"/>
          <w:color w:val="auto"/>
          <w:sz w:val="24"/>
          <w:highlight w:val="none"/>
          <w:lang w:eastAsia="zh-CN"/>
        </w:rPr>
        <w:t>0576-83895520</w:t>
      </w:r>
    </w:p>
    <w:p w14:paraId="1A843ACA">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2.采购代理机构信息            </w:t>
      </w:r>
    </w:p>
    <w:p w14:paraId="564D99F8">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名    称：台州市天诚工程造价咨询有限公司             </w:t>
      </w:r>
    </w:p>
    <w:p w14:paraId="79B98F01">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地    址：天台县赤城街道春晓路200号天诚大厦二楼（招标代理部）</w:t>
      </w:r>
    </w:p>
    <w:p w14:paraId="282F3D80">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传    真：/             </w:t>
      </w:r>
    </w:p>
    <w:p w14:paraId="44A0D994">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项目联系人（询问）：谷婷婷              </w:t>
      </w:r>
    </w:p>
    <w:p w14:paraId="46AB5319">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项目联系方式（询问）：15968606386</w:t>
      </w:r>
    </w:p>
    <w:p w14:paraId="4EA7DB3F">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质疑联系人：褚洪彬             </w:t>
      </w:r>
    </w:p>
    <w:p w14:paraId="16417BDB">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质疑联系方式：18858644891　　　　　　     </w:t>
      </w:r>
    </w:p>
    <w:p w14:paraId="770209EE">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3.同级政府采购监督管理部门            </w:t>
      </w:r>
    </w:p>
    <w:p w14:paraId="6A350188">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名    称：天台县财政局             </w:t>
      </w:r>
    </w:p>
    <w:p w14:paraId="15ED5D47">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地    址：天台县飞鹤路189号            </w:t>
      </w:r>
    </w:p>
    <w:p w14:paraId="3DA81BD5">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传    真：/             </w:t>
      </w:r>
    </w:p>
    <w:p w14:paraId="7E559EB1">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联系人 ：王女士            </w:t>
      </w:r>
    </w:p>
    <w:p w14:paraId="4D4799DA">
      <w:pPr>
        <w:keepNext w:val="0"/>
        <w:keepLines w:val="0"/>
        <w:pageBreakBefore w:val="0"/>
        <w:widowControl/>
        <w:tabs>
          <w:tab w:val="center" w:pos="4592"/>
        </w:tabs>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监督投诉电话：0576-89353856  </w:t>
      </w:r>
      <w:r>
        <w:rPr>
          <w:rFonts w:hint="eastAsia" w:ascii="宋体" w:hAnsi="宋体" w:eastAsia="宋体" w:cs="宋体"/>
          <w:color w:val="auto"/>
          <w:sz w:val="24"/>
          <w:highlight w:val="none"/>
        </w:rPr>
        <w:tab/>
      </w:r>
    </w:p>
    <w:p w14:paraId="40C3723D">
      <w:pPr>
        <w:keepLines w:val="0"/>
        <w:pageBreakBefore w:val="0"/>
        <w:kinsoku/>
        <w:wordWrap/>
        <w:overflowPunct/>
        <w:topLinePunct w:val="0"/>
        <w:bidi w:val="0"/>
        <w:spacing w:line="400" w:lineRule="exact"/>
        <w:rPr>
          <w:rFonts w:hint="eastAsia" w:ascii="宋体" w:hAnsi="宋体" w:eastAsia="宋体" w:cs="宋体"/>
          <w:color w:val="auto"/>
          <w:sz w:val="24"/>
          <w:highlight w:val="none"/>
        </w:rPr>
      </w:pPr>
    </w:p>
    <w:p w14:paraId="67FE1DB9">
      <w:pPr>
        <w:pStyle w:val="15"/>
        <w:rPr>
          <w:rFonts w:hint="eastAsia" w:ascii="宋体" w:hAnsi="宋体" w:eastAsia="宋体" w:cs="宋体"/>
          <w:color w:val="auto"/>
          <w:sz w:val="24"/>
          <w:highlight w:val="none"/>
        </w:rPr>
      </w:pPr>
    </w:p>
    <w:p w14:paraId="2A0B9A2B">
      <w:pPr>
        <w:keepLines w:val="0"/>
        <w:pageBreakBefore w:val="0"/>
        <w:kinsoku/>
        <w:wordWrap/>
        <w:overflowPunct/>
        <w:topLinePunct w:val="0"/>
        <w:autoSpaceDE/>
        <w:autoSpaceDN/>
        <w:bidi w:val="0"/>
        <w:snapToGrid/>
        <w:spacing w:line="288" w:lineRule="auto"/>
        <w:ind w:firstLine="480" w:firstLineChars="200"/>
        <w:textAlignment w:val="auto"/>
        <w:rPr>
          <w:rFonts w:hint="eastAsia" w:ascii="宋体" w:hAnsi="宋体" w:eastAsia="宋体" w:cs="宋体"/>
          <w:b w:val="0"/>
          <w:bCs w:val="0"/>
          <w:color w:val="auto"/>
          <w:sz w:val="24"/>
          <w:highlight w:val="none"/>
        </w:rPr>
      </w:pPr>
    </w:p>
    <w:p w14:paraId="5E149106">
      <w:pPr>
        <w:keepNext w:val="0"/>
        <w:keepLines w:val="0"/>
        <w:pageBreakBefore w:val="0"/>
        <w:widowControl w:val="0"/>
        <w:kinsoku/>
        <w:wordWrap/>
        <w:overflowPunct/>
        <w:topLinePunct w:val="0"/>
        <w:autoSpaceDE/>
        <w:autoSpaceDN/>
        <w:bidi w:val="0"/>
        <w:adjustRightInd/>
        <w:snapToGrid/>
        <w:spacing w:after="313" w:afterLines="100" w:line="288" w:lineRule="auto"/>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若对项目采购电子交易系统操作有疑问，可登录政采云（https://www.zcygov.cn/），点击右侧咨询小采，获取采小蜜智能服务管家帮助，或拨打政采云服务热线400-881-7190获取热线服务帮助。       </w:t>
      </w:r>
    </w:p>
    <w:p w14:paraId="1C9FE58C">
      <w:pPr>
        <w:keepNext w:val="0"/>
        <w:keepLines w:val="0"/>
        <w:pageBreakBefore w:val="0"/>
        <w:widowControl w:val="0"/>
        <w:kinsoku/>
        <w:wordWrap/>
        <w:overflowPunct/>
        <w:topLinePunct w:val="0"/>
        <w:autoSpaceDE/>
        <w:autoSpaceDN/>
        <w:bidi w:val="0"/>
        <w:adjustRightInd/>
        <w:snapToGrid/>
        <w:spacing w:after="313" w:afterLines="100" w:line="288" w:lineRule="auto"/>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CA问题联系电话（人工）：汇信CA 400-888-4636；天谷CA 400-087-8198。</w:t>
      </w:r>
    </w:p>
    <w:p w14:paraId="0ED7CD1E">
      <w:pPr>
        <w:pStyle w:val="28"/>
        <w:keepNext w:val="0"/>
        <w:keepLines w:val="0"/>
        <w:widowControl/>
        <w:suppressLineNumbers w:val="0"/>
        <w:rPr>
          <w:rFonts w:hint="eastAsia" w:ascii="宋体" w:hAnsi="宋体" w:eastAsia="宋体" w:cs="宋体"/>
          <w:color w:val="auto"/>
          <w:highlight w:val="none"/>
        </w:rPr>
      </w:pPr>
    </w:p>
    <w:p w14:paraId="61F882D4">
      <w:pPr>
        <w:pStyle w:val="40"/>
        <w:rPr>
          <w:rFonts w:hint="eastAsia" w:ascii="宋体" w:hAnsi="宋体" w:eastAsia="宋体" w:cs="宋体"/>
          <w:color w:val="auto"/>
          <w:highlight w:val="none"/>
        </w:rPr>
      </w:pPr>
    </w:p>
    <w:p w14:paraId="7E365FF7">
      <w:pPr>
        <w:rPr>
          <w:rFonts w:hint="eastAsia" w:ascii="宋体" w:hAnsi="宋体" w:eastAsia="宋体" w:cs="宋体"/>
          <w:color w:val="auto"/>
          <w:highlight w:val="none"/>
        </w:rPr>
      </w:pPr>
    </w:p>
    <w:p w14:paraId="43D068EE">
      <w:pPr>
        <w:pStyle w:val="40"/>
        <w:rPr>
          <w:rFonts w:hint="eastAsia" w:ascii="宋体" w:hAnsi="宋体" w:eastAsia="宋体" w:cs="宋体"/>
          <w:color w:val="auto"/>
          <w:highlight w:val="none"/>
        </w:rPr>
      </w:pPr>
    </w:p>
    <w:p w14:paraId="7770772A">
      <w:pPr>
        <w:rPr>
          <w:rFonts w:hint="eastAsia" w:ascii="宋体" w:hAnsi="宋体" w:eastAsia="宋体" w:cs="宋体"/>
          <w:color w:val="auto"/>
          <w:highlight w:val="none"/>
        </w:rPr>
      </w:pPr>
    </w:p>
    <w:p w14:paraId="723044C8">
      <w:pPr>
        <w:pStyle w:val="40"/>
        <w:rPr>
          <w:rFonts w:hint="eastAsia" w:ascii="宋体" w:hAnsi="宋体" w:eastAsia="宋体" w:cs="宋体"/>
          <w:color w:val="auto"/>
          <w:highlight w:val="none"/>
        </w:rPr>
      </w:pPr>
    </w:p>
    <w:p w14:paraId="17852185">
      <w:pPr>
        <w:rPr>
          <w:rFonts w:hint="eastAsia" w:ascii="宋体" w:hAnsi="宋体" w:eastAsia="宋体" w:cs="宋体"/>
          <w:color w:val="auto"/>
          <w:highlight w:val="none"/>
        </w:rPr>
      </w:pPr>
    </w:p>
    <w:p w14:paraId="2028F9B9">
      <w:pPr>
        <w:pStyle w:val="39"/>
        <w:rPr>
          <w:rFonts w:hint="eastAsia" w:ascii="宋体" w:hAnsi="宋体" w:eastAsia="宋体" w:cs="宋体"/>
          <w:color w:val="auto"/>
          <w:highlight w:val="none"/>
        </w:rPr>
      </w:pPr>
    </w:p>
    <w:p w14:paraId="7E67BAC6">
      <w:pPr>
        <w:pStyle w:val="39"/>
        <w:rPr>
          <w:rFonts w:hint="eastAsia" w:ascii="宋体" w:hAnsi="宋体" w:eastAsia="宋体" w:cs="宋体"/>
          <w:color w:val="auto"/>
          <w:highlight w:val="none"/>
        </w:rPr>
      </w:pPr>
    </w:p>
    <w:p w14:paraId="77C7C355">
      <w:pPr>
        <w:pStyle w:val="39"/>
        <w:rPr>
          <w:rFonts w:hint="eastAsia" w:ascii="宋体" w:hAnsi="宋体" w:eastAsia="宋体" w:cs="宋体"/>
          <w:color w:val="auto"/>
          <w:highlight w:val="none"/>
        </w:rPr>
      </w:pPr>
    </w:p>
    <w:p w14:paraId="515025D9">
      <w:pPr>
        <w:pStyle w:val="39"/>
        <w:rPr>
          <w:rFonts w:hint="eastAsia" w:ascii="宋体" w:hAnsi="宋体" w:eastAsia="宋体" w:cs="宋体"/>
          <w:color w:val="auto"/>
          <w:highlight w:val="none"/>
        </w:rPr>
      </w:pPr>
    </w:p>
    <w:p w14:paraId="2416FFC5">
      <w:pPr>
        <w:pStyle w:val="39"/>
        <w:rPr>
          <w:rFonts w:hint="eastAsia" w:ascii="宋体" w:hAnsi="宋体" w:eastAsia="宋体" w:cs="宋体"/>
          <w:color w:val="auto"/>
          <w:highlight w:val="none"/>
        </w:rPr>
      </w:pPr>
    </w:p>
    <w:p w14:paraId="2E355C48">
      <w:pPr>
        <w:pStyle w:val="39"/>
        <w:rPr>
          <w:rFonts w:hint="eastAsia" w:ascii="宋体" w:hAnsi="宋体" w:eastAsia="宋体" w:cs="宋体"/>
          <w:color w:val="auto"/>
          <w:highlight w:val="none"/>
        </w:rPr>
      </w:pPr>
    </w:p>
    <w:p w14:paraId="7474081A">
      <w:pPr>
        <w:pStyle w:val="39"/>
        <w:rPr>
          <w:rFonts w:hint="eastAsia" w:ascii="宋体" w:hAnsi="宋体" w:eastAsia="宋体" w:cs="宋体"/>
          <w:color w:val="auto"/>
          <w:highlight w:val="none"/>
        </w:rPr>
      </w:pPr>
    </w:p>
    <w:p w14:paraId="1D8A5875">
      <w:pPr>
        <w:pStyle w:val="39"/>
        <w:rPr>
          <w:rFonts w:hint="eastAsia" w:ascii="宋体" w:hAnsi="宋体" w:eastAsia="宋体" w:cs="宋体"/>
          <w:color w:val="auto"/>
          <w:highlight w:val="none"/>
        </w:rPr>
      </w:pPr>
    </w:p>
    <w:p w14:paraId="791C8DDE">
      <w:pPr>
        <w:pStyle w:val="39"/>
        <w:rPr>
          <w:rFonts w:hint="eastAsia" w:ascii="宋体" w:hAnsi="宋体" w:eastAsia="宋体" w:cs="宋体"/>
          <w:color w:val="auto"/>
          <w:highlight w:val="none"/>
        </w:rPr>
      </w:pPr>
    </w:p>
    <w:p w14:paraId="7A48B189">
      <w:pPr>
        <w:pStyle w:val="39"/>
        <w:rPr>
          <w:rFonts w:hint="eastAsia" w:ascii="宋体" w:hAnsi="宋体" w:eastAsia="宋体" w:cs="宋体"/>
          <w:color w:val="auto"/>
          <w:highlight w:val="none"/>
        </w:rPr>
      </w:pPr>
    </w:p>
    <w:p w14:paraId="697D730A">
      <w:pPr>
        <w:pStyle w:val="39"/>
        <w:rPr>
          <w:rFonts w:hint="eastAsia" w:ascii="宋体" w:hAnsi="宋体" w:eastAsia="宋体" w:cs="宋体"/>
          <w:color w:val="auto"/>
          <w:highlight w:val="none"/>
        </w:rPr>
      </w:pPr>
    </w:p>
    <w:p w14:paraId="71EFC7F0">
      <w:pPr>
        <w:pStyle w:val="39"/>
        <w:rPr>
          <w:rFonts w:hint="eastAsia" w:ascii="宋体" w:hAnsi="宋体" w:eastAsia="宋体" w:cs="宋体"/>
          <w:color w:val="auto"/>
          <w:highlight w:val="none"/>
        </w:rPr>
      </w:pPr>
    </w:p>
    <w:p w14:paraId="0C767CA7">
      <w:pPr>
        <w:pStyle w:val="39"/>
        <w:rPr>
          <w:rFonts w:hint="eastAsia" w:ascii="宋体" w:hAnsi="宋体" w:eastAsia="宋体" w:cs="宋体"/>
          <w:color w:val="auto"/>
          <w:highlight w:val="none"/>
        </w:rPr>
      </w:pPr>
    </w:p>
    <w:p w14:paraId="30B6278A">
      <w:pPr>
        <w:pStyle w:val="40"/>
        <w:rPr>
          <w:rFonts w:hint="eastAsia" w:ascii="宋体" w:hAnsi="宋体" w:eastAsia="宋体" w:cs="宋体"/>
          <w:color w:val="auto"/>
          <w:highlight w:val="none"/>
        </w:rPr>
      </w:pPr>
    </w:p>
    <w:p w14:paraId="717B7E97">
      <w:pPr>
        <w:rPr>
          <w:rFonts w:hint="eastAsia" w:ascii="宋体" w:hAnsi="宋体" w:eastAsia="宋体" w:cs="宋体"/>
          <w:color w:val="auto"/>
          <w:highlight w:val="none"/>
        </w:rPr>
      </w:pPr>
    </w:p>
    <w:p w14:paraId="45836708">
      <w:pPr>
        <w:pStyle w:val="40"/>
        <w:rPr>
          <w:rFonts w:hint="eastAsia" w:ascii="宋体" w:hAnsi="宋体" w:eastAsia="宋体" w:cs="宋体"/>
          <w:color w:val="auto"/>
          <w:highlight w:val="none"/>
        </w:rPr>
      </w:pPr>
    </w:p>
    <w:p w14:paraId="0DA0177C">
      <w:pPr>
        <w:rPr>
          <w:rFonts w:hint="eastAsia" w:ascii="宋体" w:hAnsi="宋体" w:eastAsia="宋体" w:cs="宋体"/>
          <w:color w:val="auto"/>
          <w:highlight w:val="none"/>
        </w:rPr>
      </w:pPr>
    </w:p>
    <w:p w14:paraId="5734B97E">
      <w:pPr>
        <w:keepNext w:val="0"/>
        <w:keepLines w:val="0"/>
        <w:pageBreakBefore w:val="0"/>
        <w:widowControl w:val="0"/>
        <w:kinsoku/>
        <w:wordWrap/>
        <w:overflowPunct/>
        <w:topLinePunct w:val="0"/>
        <w:autoSpaceDE/>
        <w:autoSpaceDN/>
        <w:bidi w:val="0"/>
        <w:adjustRightInd/>
        <w:snapToGrid/>
        <w:spacing w:before="625" w:beforeLines="200" w:after="126" w:afterLines="40" w:line="400" w:lineRule="exact"/>
        <w:jc w:val="center"/>
        <w:textAlignment w:val="auto"/>
        <w:outlineLvl w:val="0"/>
        <w:rPr>
          <w:rFonts w:hint="eastAsia" w:ascii="宋体" w:hAnsi="宋体" w:eastAsia="宋体" w:cs="宋体"/>
          <w:b/>
          <w:color w:val="auto"/>
          <w:sz w:val="36"/>
          <w:szCs w:val="44"/>
          <w:highlight w:val="none"/>
        </w:rPr>
      </w:pPr>
      <w:r>
        <w:rPr>
          <w:rFonts w:hint="eastAsia" w:ascii="宋体" w:hAnsi="宋体" w:eastAsia="宋体" w:cs="宋体"/>
          <w:b/>
          <w:color w:val="auto"/>
          <w:sz w:val="36"/>
          <w:szCs w:val="44"/>
          <w:highlight w:val="none"/>
        </w:rPr>
        <w:t xml:space="preserve"> </w:t>
      </w:r>
      <w:bookmarkStart w:id="17" w:name="_Toc702"/>
      <w:r>
        <w:rPr>
          <w:rFonts w:hint="eastAsia" w:ascii="宋体" w:hAnsi="宋体" w:eastAsia="宋体" w:cs="宋体"/>
          <w:b/>
          <w:color w:val="auto"/>
          <w:sz w:val="36"/>
          <w:szCs w:val="44"/>
          <w:highlight w:val="none"/>
        </w:rPr>
        <w:t>第二章 投标人须知</w:t>
      </w:r>
      <w:bookmarkEnd w:id="17"/>
    </w:p>
    <w:p w14:paraId="32663F45">
      <w:pPr>
        <w:pStyle w:val="6"/>
        <w:keepLines w:val="0"/>
        <w:pageBreakBefore w:val="0"/>
        <w:kinsoku/>
        <w:wordWrap/>
        <w:overflowPunct/>
        <w:topLinePunct w:val="0"/>
        <w:bidi w:val="0"/>
        <w:spacing w:line="400" w:lineRule="exact"/>
        <w:jc w:val="center"/>
        <w:outlineLvl w:val="1"/>
        <w:rPr>
          <w:rFonts w:hint="eastAsia" w:ascii="宋体" w:hAnsi="宋体" w:eastAsia="宋体" w:cs="宋体"/>
          <w:b/>
          <w:bCs/>
          <w:color w:val="auto"/>
          <w:sz w:val="30"/>
          <w:szCs w:val="30"/>
          <w:highlight w:val="none"/>
        </w:rPr>
      </w:pPr>
      <w:bookmarkStart w:id="18" w:name="_Toc25504"/>
      <w:r>
        <w:rPr>
          <w:rFonts w:hint="eastAsia" w:ascii="宋体" w:hAnsi="宋体" w:eastAsia="宋体" w:cs="宋体"/>
          <w:b/>
          <w:bCs/>
          <w:color w:val="auto"/>
          <w:sz w:val="30"/>
          <w:szCs w:val="30"/>
          <w:highlight w:val="none"/>
        </w:rPr>
        <w:t>投标人须知前附表</w:t>
      </w:r>
      <w:bookmarkEnd w:id="18"/>
    </w:p>
    <w:tbl>
      <w:tblPr>
        <w:tblStyle w:val="31"/>
        <w:tblW w:w="96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771"/>
        <w:gridCol w:w="1907"/>
        <w:gridCol w:w="6956"/>
      </w:tblGrid>
      <w:tr w14:paraId="2455F4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tblHeader/>
          <w:jc w:val="center"/>
        </w:trPr>
        <w:tc>
          <w:tcPr>
            <w:tcW w:w="771" w:type="dxa"/>
            <w:tcBorders>
              <w:tl2br w:val="nil"/>
              <w:tr2bl w:val="nil"/>
            </w:tcBorders>
            <w:shd w:val="clear" w:color="auto" w:fill="auto"/>
            <w:vAlign w:val="center"/>
          </w:tcPr>
          <w:p w14:paraId="2CDE54B3">
            <w:pPr>
              <w:keepLines w:val="0"/>
              <w:pageBreakBefore w:val="0"/>
              <w:kinsoku/>
              <w:wordWrap/>
              <w:overflowPunct/>
              <w:topLinePunct w:val="0"/>
              <w:bidi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07" w:type="dxa"/>
            <w:tcBorders>
              <w:tl2br w:val="nil"/>
              <w:tr2bl w:val="nil"/>
            </w:tcBorders>
            <w:shd w:val="clear" w:color="auto" w:fill="auto"/>
            <w:vAlign w:val="center"/>
          </w:tcPr>
          <w:p w14:paraId="319C096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6956" w:type="dxa"/>
            <w:tcBorders>
              <w:tl2br w:val="nil"/>
              <w:tr2bl w:val="nil"/>
            </w:tcBorders>
            <w:shd w:val="clear" w:color="auto" w:fill="auto"/>
            <w:vAlign w:val="center"/>
          </w:tcPr>
          <w:p w14:paraId="49A85D4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说明与要求</w:t>
            </w:r>
          </w:p>
        </w:tc>
      </w:tr>
      <w:tr w14:paraId="7B6F3F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285EB6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555CE82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56" w:type="dxa"/>
            <w:tcBorders>
              <w:tl2br w:val="nil"/>
              <w:tr2bl w:val="nil"/>
            </w:tcBorders>
            <w:vAlign w:val="center"/>
          </w:tcPr>
          <w:p w14:paraId="4F1C3E2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天台县森林草地湿地普查工作</w:t>
            </w:r>
          </w:p>
        </w:tc>
      </w:tr>
      <w:tr w14:paraId="3F4A8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D322081">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3A6F383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956" w:type="dxa"/>
            <w:tcBorders>
              <w:tl2br w:val="nil"/>
              <w:tr2bl w:val="nil"/>
            </w:tcBorders>
            <w:vAlign w:val="center"/>
          </w:tcPr>
          <w:p w14:paraId="1DC7144F">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TCCG-2025-Z006</w:t>
            </w:r>
          </w:p>
        </w:tc>
      </w:tr>
      <w:tr w14:paraId="76EEB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6EF2043A">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387A7BB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6956" w:type="dxa"/>
            <w:tcBorders>
              <w:tl2br w:val="nil"/>
              <w:tr2bl w:val="nil"/>
            </w:tcBorders>
            <w:vAlign w:val="center"/>
          </w:tcPr>
          <w:p w14:paraId="642A0833">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p>
        </w:tc>
      </w:tr>
      <w:tr w14:paraId="25892C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BCD48C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207B921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w:t>
            </w:r>
          </w:p>
        </w:tc>
        <w:tc>
          <w:tcPr>
            <w:tcW w:w="6956" w:type="dxa"/>
            <w:tcBorders>
              <w:tl2br w:val="nil"/>
              <w:tr2bl w:val="nil"/>
            </w:tcBorders>
            <w:vAlign w:val="center"/>
          </w:tcPr>
          <w:p w14:paraId="6BA809E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1800000</w:t>
            </w:r>
            <w:r>
              <w:rPr>
                <w:rFonts w:hint="eastAsia" w:ascii="宋体" w:hAnsi="宋体" w:eastAsia="宋体" w:cs="宋体"/>
                <w:b/>
                <w:color w:val="auto"/>
                <w:sz w:val="24"/>
                <w:highlight w:val="none"/>
              </w:rPr>
              <w:t>元</w:t>
            </w:r>
          </w:p>
        </w:tc>
      </w:tr>
      <w:tr w14:paraId="18C15F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77B097E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25D597D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w:t>
            </w:r>
          </w:p>
        </w:tc>
        <w:tc>
          <w:tcPr>
            <w:tcW w:w="6956" w:type="dxa"/>
            <w:tcBorders>
              <w:tl2br w:val="nil"/>
              <w:tr2bl w:val="nil"/>
            </w:tcBorders>
            <w:vAlign w:val="center"/>
          </w:tcPr>
          <w:p w14:paraId="7DB656CE">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4"/>
                <w:highlight w:val="none"/>
              </w:rPr>
            </w:pPr>
            <w:r>
              <w:rPr>
                <w:rFonts w:hint="eastAsia" w:ascii="宋体" w:hAnsi="宋体" w:cs="宋体"/>
                <w:b/>
                <w:bCs/>
                <w:color w:val="auto"/>
                <w:sz w:val="24"/>
                <w:highlight w:val="none"/>
                <w:lang w:eastAsia="zh-CN"/>
              </w:rPr>
              <w:t>于2025年05月底前完成并通过验收。（具体时间以采购人要求为准）</w:t>
            </w:r>
          </w:p>
        </w:tc>
      </w:tr>
      <w:tr w14:paraId="4CF10D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3F53EB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78F96A0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6956" w:type="dxa"/>
            <w:tcBorders>
              <w:tl2br w:val="nil"/>
              <w:tr2bl w:val="nil"/>
            </w:tcBorders>
            <w:vAlign w:val="center"/>
          </w:tcPr>
          <w:p w14:paraId="4505DBA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采购人指定地点</w:t>
            </w:r>
          </w:p>
        </w:tc>
      </w:tr>
      <w:tr w14:paraId="2E1CD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85A1CEC">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1CDCADE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6956" w:type="dxa"/>
            <w:tcBorders>
              <w:tl2br w:val="nil"/>
              <w:tr2bl w:val="nil"/>
            </w:tcBorders>
            <w:vAlign w:val="center"/>
          </w:tcPr>
          <w:p w14:paraId="733841D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详见采购文件第三章</w:t>
            </w:r>
          </w:p>
        </w:tc>
      </w:tr>
      <w:tr w14:paraId="7A6609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57F034D">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0CF8A4C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56" w:type="dxa"/>
            <w:tcBorders>
              <w:tl2br w:val="nil"/>
              <w:tr2bl w:val="nil"/>
            </w:tcBorders>
            <w:vAlign w:val="center"/>
          </w:tcPr>
          <w:p w14:paraId="0630EBC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天台县自然资源和规划局</w:t>
            </w:r>
          </w:p>
          <w:p w14:paraId="0D95F14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eastAsia="zh-CN"/>
              </w:rPr>
              <w:t>址：天台县工人东路111号</w:t>
            </w:r>
          </w:p>
          <w:p w14:paraId="043E53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徐友盛</w:t>
            </w:r>
            <w:r>
              <w:rPr>
                <w:rFonts w:hint="eastAsia" w:ascii="宋体" w:hAnsi="宋体" w:eastAsia="宋体" w:cs="宋体"/>
                <w:color w:val="auto"/>
                <w:sz w:val="24"/>
                <w:highlight w:val="none"/>
              </w:rPr>
              <w:t> </w:t>
            </w:r>
          </w:p>
          <w:p w14:paraId="31F109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18158609985</w:t>
            </w:r>
            <w:r>
              <w:rPr>
                <w:rFonts w:hint="eastAsia" w:ascii="宋体" w:hAnsi="宋体" w:eastAsia="宋体" w:cs="宋体"/>
                <w:color w:val="auto"/>
                <w:sz w:val="24"/>
                <w:highlight w:val="none"/>
              </w:rPr>
              <w:t xml:space="preserve"> </w:t>
            </w:r>
          </w:p>
        </w:tc>
      </w:tr>
      <w:tr w14:paraId="6F7F2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100FC47">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33E80E0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c>
          <w:tcPr>
            <w:tcW w:w="6956" w:type="dxa"/>
            <w:tcBorders>
              <w:tl2br w:val="nil"/>
              <w:tr2bl w:val="nil"/>
            </w:tcBorders>
            <w:vAlign w:val="center"/>
          </w:tcPr>
          <w:p w14:paraId="0C856B7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名称：台州市天诚工程造价咨询有限公司</w:t>
            </w:r>
          </w:p>
          <w:p w14:paraId="32F4EA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地址：天台县赤城街道春晓路200号天诚大厦二楼（招标代理部）</w:t>
            </w:r>
          </w:p>
          <w:p w14:paraId="01478ED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项目联系人：谷婷婷  褚洪彬</w:t>
            </w:r>
          </w:p>
          <w:p w14:paraId="5546008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联系电话：15968606386  18858644891</w:t>
            </w:r>
          </w:p>
          <w:p w14:paraId="5F22A0F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指定邮箱：772022916@qq.com</w:t>
            </w:r>
          </w:p>
        </w:tc>
      </w:tr>
      <w:tr w14:paraId="54BF7F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724629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145A64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6956" w:type="dxa"/>
            <w:tcBorders>
              <w:tl2br w:val="nil"/>
              <w:tr2bl w:val="nil"/>
            </w:tcBorders>
            <w:vAlign w:val="center"/>
          </w:tcPr>
          <w:p w14:paraId="5A6B0FEC">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w:t>
            </w:r>
          </w:p>
        </w:tc>
      </w:tr>
      <w:tr w14:paraId="12FB9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D55769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502B4A1B">
            <w:pPr>
              <w:pStyle w:val="6"/>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中标候选人</w:t>
            </w:r>
            <w:r>
              <w:rPr>
                <w:rFonts w:hint="eastAsia" w:ascii="宋体" w:hAnsi="宋体" w:eastAsia="宋体" w:cs="宋体"/>
                <w:b w:val="0"/>
                <w:bCs w:val="0"/>
                <w:color w:val="auto"/>
                <w:sz w:val="24"/>
                <w:highlight w:val="none"/>
                <w:lang w:val="en-US" w:eastAsia="zh-CN"/>
              </w:rPr>
              <w:t>数</w:t>
            </w:r>
          </w:p>
        </w:tc>
        <w:tc>
          <w:tcPr>
            <w:tcW w:w="6956" w:type="dxa"/>
            <w:tcBorders>
              <w:tl2br w:val="nil"/>
              <w:tr2bl w:val="nil"/>
            </w:tcBorders>
            <w:vAlign w:val="center"/>
          </w:tcPr>
          <w:p w14:paraId="211CFD01">
            <w:pPr>
              <w:pStyle w:val="6"/>
              <w:keepNext w:val="0"/>
              <w:keepLines w:val="0"/>
              <w:pageBreakBefore w:val="0"/>
              <w:kinsoku/>
              <w:wordWrap/>
              <w:overflowPunct/>
              <w:topLinePunct w:val="0"/>
              <w:autoSpaceDE/>
              <w:autoSpaceDN/>
              <w:bidi w:val="0"/>
              <w:adjustRightInd/>
              <w:snapToGrid/>
              <w:spacing w:line="300" w:lineRule="exact"/>
              <w:ind w:firstLine="240" w:firstLineChars="100"/>
              <w:jc w:val="both"/>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推荐一名中标候选人</w:t>
            </w:r>
          </w:p>
        </w:tc>
      </w:tr>
      <w:tr w14:paraId="0B65D6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E248CE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71847C0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投标截止时间</w:t>
            </w:r>
          </w:p>
        </w:tc>
        <w:tc>
          <w:tcPr>
            <w:tcW w:w="6956" w:type="dxa"/>
            <w:tcBorders>
              <w:tl2br w:val="nil"/>
              <w:tr2bl w:val="nil"/>
            </w:tcBorders>
            <w:vAlign w:val="center"/>
          </w:tcPr>
          <w:p w14:paraId="6A87798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2025年02月18日</w:t>
            </w:r>
            <w:r>
              <w:rPr>
                <w:rFonts w:hint="eastAsia" w:ascii="宋体" w:hAnsi="宋体" w:eastAsia="宋体" w:cs="宋体"/>
                <w:b/>
                <w:bCs/>
                <w:color w:val="auto"/>
                <w:sz w:val="24"/>
                <w:highlight w:val="none"/>
                <w:lang w:eastAsia="zh-CN"/>
              </w:rPr>
              <w:t xml:space="preserve">09：00 </w:t>
            </w:r>
            <w:r>
              <w:rPr>
                <w:rFonts w:hint="eastAsia" w:ascii="宋体" w:hAnsi="宋体" w:eastAsia="宋体" w:cs="宋体"/>
                <w:b/>
                <w:bCs/>
                <w:color w:val="auto"/>
                <w:sz w:val="24"/>
                <w:highlight w:val="none"/>
              </w:rPr>
              <w:t>（北京时间）</w:t>
            </w:r>
          </w:p>
        </w:tc>
      </w:tr>
      <w:tr w14:paraId="2BA885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57C5412">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4597572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w:t>
            </w:r>
          </w:p>
        </w:tc>
        <w:tc>
          <w:tcPr>
            <w:tcW w:w="6956" w:type="dxa"/>
            <w:tcBorders>
              <w:tl2br w:val="nil"/>
              <w:tr2bl w:val="nil"/>
            </w:tcBorders>
            <w:vAlign w:val="center"/>
          </w:tcPr>
          <w:p w14:paraId="6B0F8404">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请登录政采云投标客户端投标</w:t>
            </w:r>
          </w:p>
        </w:tc>
      </w:tr>
      <w:tr w14:paraId="3D40ED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787622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0382784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开标时间</w:t>
            </w:r>
          </w:p>
        </w:tc>
        <w:tc>
          <w:tcPr>
            <w:tcW w:w="6956" w:type="dxa"/>
            <w:tcBorders>
              <w:tl2br w:val="nil"/>
              <w:tr2bl w:val="nil"/>
            </w:tcBorders>
            <w:vAlign w:val="center"/>
          </w:tcPr>
          <w:p w14:paraId="580B983F">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2025年02月18日</w:t>
            </w:r>
            <w:r>
              <w:rPr>
                <w:rFonts w:hint="eastAsia" w:ascii="宋体" w:hAnsi="宋体" w:eastAsia="宋体" w:cs="宋体"/>
                <w:b/>
                <w:bCs/>
                <w:color w:val="auto"/>
                <w:sz w:val="24"/>
                <w:highlight w:val="none"/>
                <w:lang w:eastAsia="zh-CN"/>
              </w:rPr>
              <w:t xml:space="preserve">09：00 </w:t>
            </w:r>
            <w:r>
              <w:rPr>
                <w:rFonts w:hint="eastAsia" w:ascii="宋体" w:hAnsi="宋体" w:eastAsia="宋体" w:cs="宋体"/>
                <w:b/>
                <w:bCs/>
                <w:color w:val="auto"/>
                <w:sz w:val="24"/>
                <w:highlight w:val="none"/>
              </w:rPr>
              <w:t>（北京时间）</w:t>
            </w:r>
          </w:p>
        </w:tc>
      </w:tr>
      <w:tr w14:paraId="7854EB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9DDA49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1D7C5FD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开标地点（网址）</w:t>
            </w:r>
          </w:p>
        </w:tc>
        <w:tc>
          <w:tcPr>
            <w:tcW w:w="6956" w:type="dxa"/>
            <w:tcBorders>
              <w:tl2br w:val="nil"/>
              <w:tr2bl w:val="nil"/>
            </w:tcBorders>
            <w:vAlign w:val="center"/>
          </w:tcPr>
          <w:p w14:paraId="7C476795">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天台县公共资源交易中心开标室1</w:t>
            </w:r>
          </w:p>
        </w:tc>
      </w:tr>
      <w:tr w14:paraId="30A993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70A49841">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1EC81B0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资格审查方式</w:t>
            </w:r>
          </w:p>
        </w:tc>
        <w:tc>
          <w:tcPr>
            <w:tcW w:w="6956" w:type="dxa"/>
            <w:tcBorders>
              <w:tl2br w:val="nil"/>
              <w:tr2bl w:val="nil"/>
            </w:tcBorders>
            <w:vAlign w:val="center"/>
          </w:tcPr>
          <w:p w14:paraId="0D06EDA6">
            <w:pPr>
              <w:pStyle w:val="15"/>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资格后审。开标后由采购人代表或采购代理机构根据采购文件的规定对投标人进行的资格审查，资格后审不合格的投标人，其投标作无效标处理。</w:t>
            </w:r>
          </w:p>
        </w:tc>
      </w:tr>
      <w:tr w14:paraId="589A8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2885984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02C9DA3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投标文件组成</w:t>
            </w:r>
          </w:p>
        </w:tc>
        <w:tc>
          <w:tcPr>
            <w:tcW w:w="6956" w:type="dxa"/>
            <w:tcBorders>
              <w:tl2br w:val="nil"/>
              <w:tr2bl w:val="nil"/>
            </w:tcBorders>
            <w:vAlign w:val="center"/>
          </w:tcPr>
          <w:p w14:paraId="764B7B4B">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投标文件由资格文件、商务技术文件、报价文件三部分组成。</w:t>
            </w:r>
          </w:p>
        </w:tc>
      </w:tr>
      <w:tr w14:paraId="5B134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94FC643">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1855728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投标文件编制</w:t>
            </w:r>
          </w:p>
        </w:tc>
        <w:tc>
          <w:tcPr>
            <w:tcW w:w="6956" w:type="dxa"/>
            <w:tcBorders>
              <w:tl2br w:val="nil"/>
              <w:tr2bl w:val="nil"/>
            </w:tcBorders>
            <w:vAlign w:val="center"/>
          </w:tcPr>
          <w:p w14:paraId="0EC511B6">
            <w:pPr>
              <w:pStyle w:val="28"/>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供应商应先进行“政采云电子交易客户端”安装及CA数字证书申领，并按照本采购文件和“政采云平台”的要求，通过“政采云电子交易客户端”编制并加密投标文件。</w:t>
            </w:r>
          </w:p>
          <w:p w14:paraId="2154ADF8">
            <w:pPr>
              <w:pStyle w:val="28"/>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电子交易客户端下载：</w:t>
            </w:r>
            <w:r>
              <w:rPr>
                <w:rFonts w:hint="eastAsia" w:ascii="宋体" w:hAnsi="宋体" w:eastAsia="宋体" w:cs="宋体"/>
                <w:color w:val="auto"/>
                <w:spacing w:val="-40"/>
                <w:sz w:val="24"/>
                <w:highlight w:val="none"/>
                <w:u w:val="single"/>
              </w:rPr>
              <w:t>https://zfcg.czt.zj.gov.cn/site/detail?parentId=600030&amp;articleId=ZoGATzO%2FwUdM7eXAIXLAyg%3D%3D；</w:t>
            </w:r>
          </w:p>
          <w:p w14:paraId="75B5F165">
            <w:pPr>
              <w:pStyle w:val="28"/>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highlight w:val="none"/>
              </w:rPr>
              <w:t>CA数字证书申领：</w:t>
            </w:r>
            <w:r>
              <w:rPr>
                <w:rFonts w:hint="eastAsia" w:ascii="宋体" w:hAnsi="宋体" w:eastAsia="宋体" w:cs="宋体"/>
                <w:color w:val="auto"/>
                <w:spacing w:val="-40"/>
                <w:sz w:val="24"/>
                <w:highlight w:val="none"/>
                <w:u w:val="single"/>
              </w:rPr>
              <w:t>https://zfcg.czt.zj.gov.cn/site/category?parentId=600030&amp;childrenCode=zjcgCategory17</w:t>
            </w:r>
          </w:p>
        </w:tc>
      </w:tr>
      <w:tr w14:paraId="715B32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570D3B8C">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709F564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▲投标文件的签章</w:t>
            </w:r>
          </w:p>
        </w:tc>
        <w:tc>
          <w:tcPr>
            <w:tcW w:w="6956" w:type="dxa"/>
            <w:tcBorders>
              <w:tl2br w:val="nil"/>
              <w:tr2bl w:val="nil"/>
            </w:tcBorders>
            <w:vAlign w:val="center"/>
          </w:tcPr>
          <w:p w14:paraId="10B4BBC7">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采用CA电子签章；其中法定代表人（负责人）或授权代表签字或盖章的，可线下签字或盖章后上传相关文件；直接键盘输入姓名文字，视为无效；</w:t>
            </w:r>
          </w:p>
        </w:tc>
      </w:tr>
      <w:tr w14:paraId="210BF6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75F332E4">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6D8670A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投标文件的形式</w:t>
            </w:r>
          </w:p>
        </w:tc>
        <w:tc>
          <w:tcPr>
            <w:tcW w:w="6956" w:type="dxa"/>
            <w:tcBorders>
              <w:tl2br w:val="nil"/>
              <w:tr2bl w:val="nil"/>
            </w:tcBorders>
            <w:vAlign w:val="center"/>
          </w:tcPr>
          <w:p w14:paraId="031FC7E2">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r>
              <w:rPr>
                <w:rFonts w:hint="eastAsia" w:ascii="宋体" w:hAnsi="宋体" w:eastAsia="宋体" w:cs="宋体"/>
                <w:b/>
                <w:bCs/>
                <w:color w:val="auto"/>
                <w:sz w:val="24"/>
                <w:highlight w:val="none"/>
              </w:rPr>
              <w:t>：</w:t>
            </w:r>
          </w:p>
          <w:p w14:paraId="25C2AB43">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1.“电子加密投标文件</w:t>
            </w:r>
            <w:r>
              <w:rPr>
                <w:rFonts w:hint="eastAsia" w:ascii="宋体" w:hAnsi="宋体" w:eastAsia="宋体" w:cs="宋体"/>
                <w:b/>
                <w:bCs/>
                <w:color w:val="auto"/>
                <w:szCs w:val="21"/>
                <w:highlight w:val="none"/>
              </w:rPr>
              <w:t>（文件扩展名为.jmbs）</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是指通过“政采云电子交易客户端”完成投标文件编制后生成并加密的数据电文形式的投标文件，用于供应商投标上传。</w:t>
            </w:r>
          </w:p>
          <w:p w14:paraId="6331D717">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2.“备份投标文件</w:t>
            </w:r>
            <w:r>
              <w:rPr>
                <w:rFonts w:hint="eastAsia" w:ascii="宋体" w:hAnsi="宋体" w:eastAsia="宋体" w:cs="宋体"/>
                <w:b/>
                <w:bCs/>
                <w:color w:val="auto"/>
                <w:szCs w:val="21"/>
                <w:highlight w:val="none"/>
              </w:rPr>
              <w:t>（文件扩展名为.bfbs）</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是指与“电子加密投标文件”同时生成的数据电文形式的电子文件（备份标书），用于供应商标书解密异常时应急使用，其他方式编制的备份投标文件视为无效“备份投标文件”。</w:t>
            </w:r>
          </w:p>
        </w:tc>
      </w:tr>
      <w:tr w14:paraId="13EECD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C2AF200">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5512EB9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投标文件份数</w:t>
            </w:r>
          </w:p>
        </w:tc>
        <w:tc>
          <w:tcPr>
            <w:tcW w:w="6956" w:type="dxa"/>
            <w:tcBorders>
              <w:tl2br w:val="nil"/>
              <w:tr2bl w:val="nil"/>
            </w:tcBorders>
            <w:vAlign w:val="center"/>
          </w:tcPr>
          <w:p w14:paraId="024F0E44">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1.“电子加密投标文件”：在“政采云平台”制作上传，一份。</w:t>
            </w:r>
          </w:p>
          <w:p w14:paraId="7FDC554E">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2.“备份投标文件”：以电子邮件方式递交（非强制递交），一份。</w:t>
            </w:r>
            <w:r>
              <w:rPr>
                <w:rFonts w:hint="eastAsia" w:ascii="宋体" w:hAnsi="宋体" w:eastAsia="宋体" w:cs="宋体"/>
                <w:b/>
                <w:bCs/>
                <w:color w:val="auto"/>
                <w:sz w:val="24"/>
                <w:highlight w:val="none"/>
              </w:rPr>
              <w:t>本项目指定邮箱</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"mailto:772022916@qq.com"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highlight w:val="none"/>
                <w:u w:val="single"/>
              </w:rPr>
              <w:t>772022916@qq.com</w:t>
            </w:r>
            <w:r>
              <w:rPr>
                <w:rFonts w:hint="eastAsia" w:ascii="宋体" w:hAnsi="宋体" w:eastAsia="宋体" w:cs="宋体"/>
                <w:b/>
                <w:bCs/>
                <w:color w:val="auto"/>
                <w:sz w:val="24"/>
                <w:highlight w:val="none"/>
                <w:u w:val="single"/>
              </w:rPr>
              <w:fldChar w:fldCharType="end"/>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w:t>
            </w:r>
          </w:p>
          <w:p w14:paraId="32E0A8C1">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注：中标供应商在领取中标通知书时须向采购代理机构提供与电子投标文件内容一致的纸质投标文件</w:t>
            </w:r>
            <w:r>
              <w:rPr>
                <w:rFonts w:hint="eastAsia" w:ascii="宋体" w:hAnsi="宋体" w:eastAsia="宋体" w:cs="宋体"/>
                <w:b/>
                <w:bCs/>
                <w:color w:val="auto"/>
                <w:sz w:val="24"/>
                <w:highlight w:val="none"/>
                <w:u w:val="none"/>
                <w:lang w:val="en-US" w:eastAsia="zh-CN"/>
              </w:rPr>
              <w:t>肆</w:t>
            </w:r>
            <w:r>
              <w:rPr>
                <w:rFonts w:hint="eastAsia" w:ascii="宋体" w:hAnsi="宋体" w:eastAsia="宋体" w:cs="宋体"/>
                <w:b/>
                <w:bCs/>
                <w:color w:val="auto"/>
                <w:sz w:val="24"/>
                <w:highlight w:val="none"/>
                <w:u w:val="none"/>
              </w:rPr>
              <w:t>份</w:t>
            </w:r>
            <w:r>
              <w:rPr>
                <w:rFonts w:hint="eastAsia" w:ascii="宋体" w:hAnsi="宋体" w:eastAsia="宋体" w:cs="宋体"/>
                <w:color w:val="auto"/>
                <w:sz w:val="24"/>
                <w:highlight w:val="none"/>
              </w:rPr>
              <w:t>，装订成册。递交或邮寄信息：详见本表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"代理机构" </w:instrText>
            </w:r>
            <w:r>
              <w:rPr>
                <w:rFonts w:hint="eastAsia" w:ascii="宋体" w:hAnsi="宋体" w:eastAsia="宋体" w:cs="宋体"/>
                <w:color w:val="auto"/>
                <w:highlight w:val="none"/>
              </w:rPr>
              <w:fldChar w:fldCharType="separate"/>
            </w:r>
            <w:r>
              <w:rPr>
                <w:rStyle w:val="36"/>
                <w:rFonts w:hint="eastAsia" w:ascii="宋体" w:hAnsi="宋体" w:eastAsia="宋体" w:cs="宋体"/>
                <w:b/>
                <w:bCs/>
                <w:color w:val="auto"/>
                <w:szCs w:val="21"/>
                <w:highlight w:val="none"/>
                <w:u w:val="single"/>
              </w:rPr>
              <w:t>序号9</w:t>
            </w:r>
            <w:r>
              <w:rPr>
                <w:rStyle w:val="36"/>
                <w:rFonts w:hint="eastAsia" w:ascii="宋体" w:hAnsi="宋体" w:eastAsia="宋体" w:cs="宋体"/>
                <w:b/>
                <w:bCs/>
                <w:color w:val="auto"/>
                <w:szCs w:val="21"/>
                <w:highlight w:val="none"/>
                <w:u w:val="single"/>
              </w:rPr>
              <w:fldChar w:fldCharType="end"/>
            </w:r>
            <w:r>
              <w:rPr>
                <w:rFonts w:hint="eastAsia" w:ascii="宋体" w:hAnsi="宋体" w:eastAsia="宋体" w:cs="宋体"/>
                <w:b/>
                <w:bCs/>
                <w:color w:val="auto"/>
                <w:szCs w:val="21"/>
                <w:highlight w:val="none"/>
                <w:u w:val="single"/>
              </w:rPr>
              <w:t>.</w:t>
            </w:r>
            <w:r>
              <w:rPr>
                <w:rFonts w:hint="eastAsia" w:ascii="宋体" w:hAnsi="宋体" w:eastAsia="宋体" w:cs="宋体"/>
                <w:color w:val="auto"/>
                <w:sz w:val="24"/>
                <w:highlight w:val="none"/>
              </w:rPr>
              <w:t>。</w:t>
            </w:r>
          </w:p>
        </w:tc>
      </w:tr>
      <w:tr w14:paraId="1E39C3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7063DBF1">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2393E36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投标文件的上传和递交</w:t>
            </w:r>
          </w:p>
        </w:tc>
        <w:tc>
          <w:tcPr>
            <w:tcW w:w="6956" w:type="dxa"/>
            <w:tcBorders>
              <w:tl2br w:val="nil"/>
              <w:tr2bl w:val="nil"/>
            </w:tcBorders>
            <w:vAlign w:val="center"/>
          </w:tcPr>
          <w:p w14:paraId="6F0991C3">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1.“电子加密投标文件”的上传、递交：</w:t>
            </w:r>
          </w:p>
          <w:p w14:paraId="6F345228">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a.</w:t>
            </w:r>
            <w:r>
              <w:rPr>
                <w:rFonts w:hint="eastAsia" w:ascii="宋体" w:hAnsi="宋体" w:eastAsia="宋体" w:cs="宋体"/>
                <w:color w:val="auto"/>
                <w:sz w:val="24"/>
                <w:highlight w:val="none"/>
              </w:rPr>
              <w:t>供应商应在投标截止时间前将“电子加密投标文件”成功上传递交至“政采云平台”，否则投标无效。</w:t>
            </w:r>
          </w:p>
          <w:p w14:paraId="3800F695">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b.</w:t>
            </w:r>
            <w:r>
              <w:rPr>
                <w:rFonts w:hint="eastAsia" w:ascii="宋体" w:hAnsi="宋体" w:eastAsia="宋体" w:cs="宋体"/>
                <w:color w:val="auto"/>
                <w:sz w:val="24"/>
                <w:highlight w:val="none"/>
              </w:rPr>
              <w:t>在投标文件上传页面，需填写基本信息，当投标文件开始解密，系统将发送短信至指定联系人（法定代表人或授权代表）手机，请准确填写。</w:t>
            </w:r>
          </w:p>
          <w:p w14:paraId="0EE33965">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c.</w:t>
            </w:r>
            <w:r>
              <w:rPr>
                <w:rFonts w:hint="eastAsia" w:ascii="宋体" w:hAnsi="宋体" w:eastAsia="宋体" w:cs="宋体"/>
                <w:color w:val="auto"/>
                <w:sz w:val="24"/>
                <w:highlight w:val="none"/>
              </w:rPr>
              <w:t>“电子加密投标文件”成功上传递交后，供应商可自行打印投标文件接收回执。</w:t>
            </w:r>
          </w:p>
          <w:p w14:paraId="43803E7C">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2.“备份投标文件”的上传、递交：</w:t>
            </w:r>
          </w:p>
          <w:p w14:paraId="44927906">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a.</w:t>
            </w:r>
            <w:r>
              <w:rPr>
                <w:rFonts w:hint="eastAsia" w:ascii="宋体" w:hAnsi="宋体" w:eastAsia="宋体" w:cs="宋体"/>
                <w:color w:val="auto"/>
                <w:sz w:val="24"/>
                <w:highlight w:val="none"/>
              </w:rPr>
              <w:t>本项目不强制供应商递交“备份投标文件”。如在开评标时出现电子投标文件无法解密或解密失败等情况，因供应商未提供有效“备份投标文件”而造成投标无效等一切后果和风险由供应商自行承担。</w:t>
            </w:r>
          </w:p>
          <w:p w14:paraId="44D98EBB">
            <w:pPr>
              <w:pStyle w:val="90"/>
              <w:keepNext w:val="0"/>
              <w:keepLines w:val="0"/>
              <w:pageBreakBefore w:val="0"/>
              <w:kinsoku/>
              <w:wordWrap/>
              <w:overflowPunct/>
              <w:topLinePunct w:val="0"/>
              <w:autoSpaceDE/>
              <w:autoSpaceDN/>
              <w:bidi w:val="0"/>
              <w:adjustRightInd/>
              <w:snapToGrid/>
              <w:spacing w:line="300" w:lineRule="exact"/>
              <w:ind w:firstLine="48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kern w:val="2"/>
                <w:szCs w:val="24"/>
                <w:highlight w:val="none"/>
                <w:lang w:eastAsia="zh-CN"/>
              </w:rPr>
              <w:t>b.</w:t>
            </w:r>
            <w:r>
              <w:rPr>
                <w:rFonts w:hint="eastAsia" w:ascii="宋体" w:hAnsi="宋体" w:eastAsia="宋体" w:cs="宋体"/>
                <w:b/>
                <w:bCs/>
                <w:color w:val="auto"/>
                <w:highlight w:val="none"/>
                <w:u w:val="single"/>
                <w:lang w:eastAsia="zh-CN"/>
              </w:rPr>
              <w:t>“备份投标文件”提交说明</w:t>
            </w:r>
            <w:r>
              <w:rPr>
                <w:rFonts w:hint="eastAsia" w:ascii="宋体" w:hAnsi="宋体" w:eastAsia="宋体" w:cs="宋体"/>
                <w:b/>
                <w:bCs/>
                <w:color w:val="auto"/>
                <w:highlight w:val="none"/>
                <w:lang w:eastAsia="zh-CN"/>
              </w:rPr>
              <w:t>：</w:t>
            </w:r>
          </w:p>
          <w:p w14:paraId="00DE3563">
            <w:pPr>
              <w:pStyle w:val="90"/>
              <w:keepNext w:val="0"/>
              <w:keepLines w:val="0"/>
              <w:pageBreakBefore w:val="0"/>
              <w:kinsoku/>
              <w:wordWrap/>
              <w:overflowPunct/>
              <w:topLinePunct w:val="0"/>
              <w:autoSpaceDE/>
              <w:autoSpaceDN/>
              <w:bidi w:val="0"/>
              <w:adjustRightInd/>
              <w:snapToGrid/>
              <w:spacing w:line="300" w:lineRule="exact"/>
              <w:ind w:firstLine="480"/>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"mailto:供应商在投标截止时间前自愿将" </w:instrText>
            </w:r>
            <w:r>
              <w:rPr>
                <w:rFonts w:hint="eastAsia" w:ascii="宋体" w:hAnsi="宋体" w:eastAsia="宋体" w:cs="宋体"/>
                <w:color w:val="auto"/>
                <w:highlight w:val="none"/>
              </w:rPr>
              <w:fldChar w:fldCharType="separate"/>
            </w:r>
            <w:r>
              <w:rPr>
                <w:rStyle w:val="38"/>
                <w:rFonts w:hint="eastAsia" w:ascii="宋体" w:hAnsi="宋体" w:eastAsia="宋体" w:cs="宋体"/>
                <w:b/>
                <w:bCs/>
                <w:color w:val="auto"/>
                <w:highlight w:val="none"/>
                <w:lang w:eastAsia="zh-CN"/>
              </w:rPr>
              <w:t>供应商在投标截止时间前将“备份投标文件”</w:t>
            </w:r>
            <w:r>
              <w:rPr>
                <w:rFonts w:hint="eastAsia" w:ascii="宋体" w:hAnsi="宋体" w:eastAsia="宋体" w:cs="宋体"/>
                <w:b/>
                <w:bCs/>
                <w:color w:val="auto"/>
                <w:szCs w:val="21"/>
                <w:highlight w:val="none"/>
                <w:lang w:eastAsia="zh-CN" w:bidi="ar"/>
              </w:rPr>
              <w:t>以邮件附件形式</w:t>
            </w:r>
            <w:r>
              <w:rPr>
                <w:rStyle w:val="38"/>
                <w:rFonts w:hint="eastAsia" w:ascii="宋体" w:hAnsi="宋体" w:eastAsia="宋体" w:cs="宋体"/>
                <w:b/>
                <w:bCs/>
                <w:color w:val="auto"/>
                <w:highlight w:val="none"/>
                <w:lang w:eastAsia="zh-CN"/>
              </w:rPr>
              <w:t>发送至采购代理机构指定邮箱。邮件主题：</w:t>
            </w:r>
            <w:r>
              <w:rPr>
                <w:rStyle w:val="38"/>
                <w:rFonts w:hint="eastAsia" w:ascii="宋体" w:hAnsi="宋体" w:eastAsia="宋体" w:cs="宋体"/>
                <w:b/>
                <w:bCs/>
                <w:color w:val="auto"/>
                <w:highlight w:val="none"/>
                <w:u w:val="single"/>
                <w:lang w:eastAsia="zh-CN"/>
              </w:rPr>
              <w:t xml:space="preserve"> ***公司备份投标文件 </w:t>
            </w:r>
            <w:r>
              <w:rPr>
                <w:rStyle w:val="38"/>
                <w:rFonts w:hint="eastAsia" w:ascii="宋体" w:hAnsi="宋体" w:eastAsia="宋体" w:cs="宋体"/>
                <w:b/>
                <w:bCs/>
                <w:color w:val="auto"/>
                <w:highlight w:val="none"/>
                <w:lang w:eastAsia="zh-CN"/>
              </w:rPr>
              <w:t>。请注意查收回执（自动回复），送达时间以采购代理机构实际接收邮件时间为准。</w:t>
            </w:r>
            <w:r>
              <w:rPr>
                <w:rStyle w:val="38"/>
                <w:rFonts w:hint="eastAsia" w:ascii="宋体" w:hAnsi="宋体" w:eastAsia="宋体" w:cs="宋体"/>
                <w:b/>
                <w:bCs/>
                <w:color w:val="auto"/>
                <w:highlight w:val="none"/>
                <w:lang w:eastAsia="zh-CN"/>
              </w:rPr>
              <w:fldChar w:fldCharType="end"/>
            </w:r>
            <w:r>
              <w:rPr>
                <w:rFonts w:hint="eastAsia" w:ascii="宋体" w:hAnsi="宋体" w:eastAsia="宋体" w:cs="宋体"/>
                <w:b/>
                <w:bCs/>
                <w:color w:val="auto"/>
                <w:highlight w:val="none"/>
                <w:lang w:eastAsia="zh-CN"/>
              </w:rPr>
              <w:t>“备份投标文件”逾期或未按要求提供的视为未提供。</w:t>
            </w:r>
          </w:p>
          <w:p w14:paraId="77D8D048">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c.</w:t>
            </w:r>
            <w:r>
              <w:rPr>
                <w:rFonts w:hint="eastAsia" w:ascii="宋体" w:hAnsi="宋体" w:eastAsia="宋体" w:cs="宋体"/>
                <w:color w:val="auto"/>
                <w:sz w:val="24"/>
                <w:highlight w:val="none"/>
              </w:rPr>
              <w:t>投标截止时间前，投标供应商仅提供了“备份投标文件”而未将“电子加密投标文件”成功上传至“政采云平台”的，投标无效。</w:t>
            </w:r>
          </w:p>
          <w:p w14:paraId="0DF2F64A">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3.投标文件启用顺序和效力：</w:t>
            </w:r>
          </w:p>
          <w:p w14:paraId="71A7B3AB">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投标文件的启用，按先后顺位分别为“电子加密投标文件”、“备份投标文件”。在下一顺位的投标文件启用时，前一顺位的投标文件自动失效。所有投标文件逾期解密的视作无效标。</w:t>
            </w:r>
          </w:p>
        </w:tc>
      </w:tr>
      <w:tr w14:paraId="31D78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7D9E916F">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0657B28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电子加密投标文件的解密和异常情况处理</w:t>
            </w:r>
          </w:p>
          <w:p w14:paraId="2940A11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p>
        </w:tc>
        <w:tc>
          <w:tcPr>
            <w:tcW w:w="6956" w:type="dxa"/>
            <w:tcBorders>
              <w:tl2br w:val="nil"/>
              <w:tr2bl w:val="nil"/>
            </w:tcBorders>
            <w:vAlign w:val="center"/>
          </w:tcPr>
          <w:p w14:paraId="4F4F3A9E">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1.开标后，采购代理机构将通过“政采云平台”向各投标人发出“电子加密投标文件”的解密通知，各投标人应当在接到解密通知后</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30分钟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内用“项目采购-开标评标”功能自行完成“电子加密投标文件”的在线解密。</w:t>
            </w:r>
          </w:p>
          <w:p w14:paraId="4D5414BE">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2.通过“政采云平台”成功上传递交的“电子加密投标文件”无法按时解密，投标人如按规定递交了“备份投标文件”的，以“备份投标文件”为依据；</w:t>
            </w:r>
          </w:p>
          <w:p w14:paraId="1DD95F7F">
            <w:pPr>
              <w:keepNext w:val="0"/>
              <w:keepLines w:val="0"/>
              <w:pageBreakBefore w:val="0"/>
              <w:kinsoku/>
              <w:wordWrap/>
              <w:overflowPunct/>
              <w:topLinePunct w:val="0"/>
              <w:autoSpaceDE/>
              <w:autoSpaceDN/>
              <w:bidi w:val="0"/>
              <w:adjustRightInd/>
              <w:snapToGrid/>
              <w:spacing w:line="300" w:lineRule="exact"/>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采购代理机构在收到供应商“备份投标文件”同时，视为已获得对该供应商进行异常处理的授权，但备份投标文件上传失败的风险由供应商自行承担。</w:t>
            </w:r>
          </w:p>
          <w:p w14:paraId="32BC003D">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按“政采云平台”操作规范将“备份投标文件”上传至“政采云平台”，上传成功后，“电子加密投标文件”自动失效，未按规定递交合格“备份投标文件”的或递交的“备份投标文件”无法成功上传的，视为投标文件撤回。</w:t>
            </w:r>
          </w:p>
          <w:p w14:paraId="5B339A8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注：供应商在投标过程中遇到涉及平台使用的任何问题，可登录政采云点击右侧咨询小采或拨打政采云服务热线400-881-7190。</w:t>
            </w:r>
          </w:p>
        </w:tc>
      </w:tr>
      <w:tr w14:paraId="028F9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7974648B">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67E85B6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注意事项</w:t>
            </w:r>
          </w:p>
        </w:tc>
        <w:tc>
          <w:tcPr>
            <w:tcW w:w="6956" w:type="dxa"/>
            <w:tcBorders>
              <w:tl2br w:val="nil"/>
              <w:tr2bl w:val="nil"/>
            </w:tcBorders>
            <w:vAlign w:val="center"/>
          </w:tcPr>
          <w:p w14:paraId="080C071B">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1.请务必确保投标文件制作客户端为最新版本，旧版本可能导致投标文件解密失败。</w:t>
            </w:r>
          </w:p>
          <w:p w14:paraId="1C7C431B">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2.请务必确保投标文件制作时所用的 CA 锁与投标文件解密时的 CA 锁为同一把，否则可能导致投标文件解密失败。</w:t>
            </w:r>
          </w:p>
          <w:p w14:paraId="30EC15B4">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3.投标人授权委托书上的邮箱为合法往来函件的邮箱。“备份投标文件”等原则上应从该邮箱发出，否则引起的一切后果和风险由投标人自行承担。</w:t>
            </w:r>
          </w:p>
        </w:tc>
      </w:tr>
      <w:tr w14:paraId="13DEB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3E4A05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15972DA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56" w:type="dxa"/>
            <w:tcBorders>
              <w:tl2br w:val="nil"/>
              <w:tr2bl w:val="nil"/>
            </w:tcBorders>
            <w:vAlign w:val="center"/>
          </w:tcPr>
          <w:p w14:paraId="4E369142">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提交投标文件截止时间起90天内</w:t>
            </w:r>
          </w:p>
        </w:tc>
      </w:tr>
      <w:tr w14:paraId="6DE5CE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49D51D17">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3E4FC9A5">
            <w:pPr>
              <w:pStyle w:val="6"/>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▲投标报价币种及单位</w:t>
            </w:r>
          </w:p>
        </w:tc>
        <w:tc>
          <w:tcPr>
            <w:tcW w:w="6956" w:type="dxa"/>
            <w:tcBorders>
              <w:tl2br w:val="nil"/>
              <w:tr2bl w:val="nil"/>
            </w:tcBorders>
            <w:vAlign w:val="center"/>
          </w:tcPr>
          <w:p w14:paraId="05A9782B">
            <w:pPr>
              <w:pStyle w:val="6"/>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人民币、元</w:t>
            </w:r>
          </w:p>
        </w:tc>
      </w:tr>
      <w:tr w14:paraId="025CB4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5AE1611D">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50506A2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是否接受联合体投标</w:t>
            </w:r>
          </w:p>
        </w:tc>
        <w:tc>
          <w:tcPr>
            <w:tcW w:w="6956" w:type="dxa"/>
            <w:tcBorders>
              <w:tl2br w:val="nil"/>
              <w:tr2bl w:val="nil"/>
            </w:tcBorders>
            <w:vAlign w:val="center"/>
          </w:tcPr>
          <w:p w14:paraId="216868CF">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不接受</w:t>
            </w:r>
          </w:p>
          <w:p w14:paraId="7F85E8D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sym w:font="Wingdings 2" w:char="0052"/>
            </w:r>
            <w:r>
              <w:rPr>
                <w:rFonts w:hint="eastAsia" w:ascii="宋体" w:hAnsi="宋体" w:eastAsia="宋体" w:cs="宋体"/>
                <w:b/>
                <w:bCs/>
                <w:color w:val="auto"/>
                <w:sz w:val="24"/>
                <w:highlight w:val="none"/>
              </w:rPr>
              <w:t>接受，</w:t>
            </w:r>
            <w:r>
              <w:rPr>
                <w:rFonts w:hint="eastAsia" w:ascii="宋体" w:hAnsi="宋体" w:eastAsia="宋体" w:cs="宋体"/>
                <w:b w:val="0"/>
                <w:bCs w:val="0"/>
                <w:color w:val="auto"/>
                <w:sz w:val="24"/>
                <w:highlight w:val="none"/>
              </w:rPr>
              <w:t>联合体投标的，应满足下列要求：联合体各方不得再以自己名义单独或加入其他联合体对本项目进行投标，联合体各方应签署具有法律效力的联合协议，</w:t>
            </w:r>
            <w:r>
              <w:rPr>
                <w:rFonts w:hint="eastAsia" w:ascii="宋体" w:hAnsi="宋体" w:eastAsia="宋体" w:cs="宋体"/>
                <w:b w:val="0"/>
                <w:bCs w:val="0"/>
                <w:color w:val="auto"/>
                <w:sz w:val="24"/>
                <w:highlight w:val="none"/>
                <w:lang w:val="en-US" w:eastAsia="zh-CN"/>
              </w:rPr>
              <w:t>并编入</w:t>
            </w:r>
            <w:r>
              <w:rPr>
                <w:rFonts w:hint="eastAsia" w:ascii="宋体" w:hAnsi="宋体" w:eastAsia="宋体" w:cs="宋体"/>
                <w:b w:val="0"/>
                <w:bCs w:val="0"/>
                <w:color w:val="auto"/>
                <w:sz w:val="24"/>
                <w:highlight w:val="none"/>
              </w:rPr>
              <w:t>投标文件中。</w:t>
            </w:r>
          </w:p>
        </w:tc>
      </w:tr>
      <w:tr w14:paraId="00F816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68C98CAD">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2E339FB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956" w:type="dxa"/>
            <w:tcBorders>
              <w:tl2br w:val="nil"/>
              <w:tr2bl w:val="nil"/>
            </w:tcBorders>
            <w:vAlign w:val="center"/>
          </w:tcPr>
          <w:p w14:paraId="5D1B9D17">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w:t>
            </w:r>
          </w:p>
        </w:tc>
      </w:tr>
      <w:tr w14:paraId="2BFF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0AA6BDB3">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6540977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pacing w:val="-20"/>
                <w:sz w:val="24"/>
                <w:highlight w:val="none"/>
              </w:rPr>
            </w:pPr>
            <w:r>
              <w:rPr>
                <w:rFonts w:hint="eastAsia" w:ascii="宋体" w:hAnsi="宋体" w:eastAsia="宋体" w:cs="宋体"/>
                <w:b w:val="0"/>
                <w:bCs w:val="0"/>
                <w:color w:val="auto"/>
                <w:sz w:val="24"/>
                <w:highlight w:val="none"/>
              </w:rPr>
              <w:t>是否接受转包与分包</w:t>
            </w:r>
          </w:p>
        </w:tc>
        <w:tc>
          <w:tcPr>
            <w:tcW w:w="6956" w:type="dxa"/>
            <w:tcBorders>
              <w:tl2br w:val="nil"/>
              <w:tr2bl w:val="nil"/>
            </w:tcBorders>
            <w:vAlign w:val="center"/>
          </w:tcPr>
          <w:p w14:paraId="535F2BD9">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转包：</w:t>
            </w:r>
            <w:r>
              <w:rPr>
                <w:rFonts w:hint="eastAsia" w:ascii="宋体" w:hAnsi="宋体" w:eastAsia="宋体" w:cs="宋体"/>
                <w:b w:val="0"/>
                <w:bCs w:val="0"/>
                <w:color w:val="auto"/>
                <w:sz w:val="24"/>
                <w:highlight w:val="none"/>
                <w:lang w:val="en-US" w:eastAsia="zh-CN"/>
              </w:rPr>
              <w:t>不接受</w:t>
            </w:r>
          </w:p>
          <w:p w14:paraId="0209C86C">
            <w:pPr>
              <w:spacing w:line="24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分包：</w:t>
            </w:r>
            <w:r>
              <w:rPr>
                <w:rFonts w:hint="eastAsia" w:ascii="宋体" w:hAnsi="宋体" w:eastAsia="宋体" w:cs="宋体"/>
                <w:b w:val="0"/>
                <w:bCs w:val="0"/>
                <w:color w:val="auto"/>
                <w:sz w:val="24"/>
                <w:highlight w:val="none"/>
                <w:lang w:val="en-US" w:eastAsia="zh-CN"/>
              </w:rPr>
              <w:t>接受分包；主体、关键性工作不允许分包。</w:t>
            </w:r>
          </w:p>
        </w:tc>
      </w:tr>
      <w:tr w14:paraId="2A8AD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F32BE32">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497E2B2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投标样品</w:t>
            </w:r>
          </w:p>
        </w:tc>
        <w:tc>
          <w:tcPr>
            <w:tcW w:w="6956" w:type="dxa"/>
            <w:tcBorders>
              <w:tl2br w:val="nil"/>
              <w:tr2bl w:val="nil"/>
            </w:tcBorders>
            <w:vAlign w:val="center"/>
          </w:tcPr>
          <w:p w14:paraId="7CF5CA01">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不需要</w:t>
            </w:r>
          </w:p>
        </w:tc>
      </w:tr>
      <w:tr w14:paraId="768CC1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007ABCE">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41AE868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演示</w:t>
            </w:r>
          </w:p>
        </w:tc>
        <w:tc>
          <w:tcPr>
            <w:tcW w:w="6956" w:type="dxa"/>
            <w:tcBorders>
              <w:tl2br w:val="nil"/>
              <w:tr2bl w:val="nil"/>
            </w:tcBorders>
            <w:vAlign w:val="center"/>
          </w:tcPr>
          <w:p w14:paraId="2729DA94">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不需要</w:t>
            </w:r>
          </w:p>
        </w:tc>
      </w:tr>
      <w:tr w14:paraId="0CB3E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16B38A0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7C120F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w:t>
            </w:r>
          </w:p>
        </w:tc>
        <w:tc>
          <w:tcPr>
            <w:tcW w:w="6956" w:type="dxa"/>
            <w:tcBorders>
              <w:tl2br w:val="nil"/>
              <w:tr2bl w:val="nil"/>
            </w:tcBorders>
            <w:vAlign w:val="center"/>
          </w:tcPr>
          <w:p w14:paraId="182D8237">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sym w:font="Wingdings 2" w:char="0052"/>
            </w:r>
            <w:r>
              <w:rPr>
                <w:rFonts w:hint="eastAsia" w:ascii="宋体" w:hAnsi="宋体" w:eastAsia="宋体" w:cs="宋体"/>
                <w:b/>
                <w:bCs/>
                <w:color w:val="auto"/>
                <w:sz w:val="24"/>
                <w:highlight w:val="none"/>
              </w:rPr>
              <w:t>不需要</w:t>
            </w:r>
          </w:p>
          <w:p w14:paraId="4CE8313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需要 领取中标通知书后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个工作日内，中标人须向采购人交纳相当于中标价</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eastAsia="zh-CN"/>
              </w:rPr>
              <w:t>1％</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履约保证金（鼓励以银行、保险公司出具的履约保函形式提交；若以电汇</w:t>
            </w:r>
            <w:r>
              <w:rPr>
                <w:rFonts w:hint="eastAsia" w:ascii="宋体" w:hAnsi="宋体" w:eastAsia="宋体" w:cs="宋体"/>
                <w:color w:val="auto"/>
                <w:sz w:val="24"/>
                <w:highlight w:val="none"/>
              </w:rPr>
              <w:t>、银行转账方式提交的，必须转到采购人的指定账户。</w:t>
            </w:r>
          </w:p>
          <w:p w14:paraId="79D4B827">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如果中标供应商在</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eastAsia="zh-CN"/>
              </w:rPr>
              <w:t>期内没有涉及采购人的应付而未付金额或违约行为，采购人在项目终验合格后或提前终止合同后30天内全额无息退还履约保证金。</w:t>
            </w:r>
          </w:p>
        </w:tc>
      </w:tr>
      <w:tr w14:paraId="68F037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511474C5">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11221D7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中小企业划分</w:t>
            </w:r>
          </w:p>
          <w:p w14:paraId="6DA305C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标准所属行业</w:t>
            </w:r>
          </w:p>
        </w:tc>
        <w:tc>
          <w:tcPr>
            <w:tcW w:w="6956" w:type="dxa"/>
            <w:tcBorders>
              <w:tl2br w:val="nil"/>
              <w:tr2bl w:val="nil"/>
            </w:tcBorders>
            <w:vAlign w:val="center"/>
          </w:tcPr>
          <w:p w14:paraId="06E2EB24">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b w:val="0"/>
                <w:bCs w:val="0"/>
                <w:i w:val="0"/>
                <w:iCs w:val="0"/>
                <w:color w:val="auto"/>
                <w:sz w:val="24"/>
                <w:highlight w:val="none"/>
                <w:u w:val="single"/>
                <w:lang w:val="en-US" w:eastAsia="zh-CN"/>
              </w:rPr>
              <w:t xml:space="preserve"> 否 </w:t>
            </w:r>
            <w:r>
              <w:rPr>
                <w:rFonts w:hint="eastAsia" w:ascii="宋体" w:hAnsi="宋体" w:eastAsia="宋体" w:cs="宋体"/>
                <w:color w:val="auto"/>
                <w:sz w:val="24"/>
                <w:highlight w:val="none"/>
              </w:rPr>
              <w:t>属于专门面向中小企业采购的项目。</w:t>
            </w:r>
          </w:p>
          <w:tbl>
            <w:tblPr>
              <w:tblStyle w:val="32"/>
              <w:tblW w:w="6521"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051"/>
              <w:gridCol w:w="1213"/>
              <w:gridCol w:w="4257"/>
            </w:tblGrid>
            <w:tr w14:paraId="77FAE64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051" w:type="dxa"/>
                  <w:tcBorders>
                    <w:tl2br w:val="nil"/>
                    <w:tr2bl w:val="nil"/>
                  </w:tcBorders>
                  <w:vAlign w:val="center"/>
                </w:tcPr>
                <w:p w14:paraId="23186A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采购标的</w:t>
                  </w:r>
                </w:p>
              </w:tc>
              <w:tc>
                <w:tcPr>
                  <w:tcW w:w="1213" w:type="dxa"/>
                  <w:tcBorders>
                    <w:tl2br w:val="nil"/>
                    <w:tr2bl w:val="nil"/>
                  </w:tcBorders>
                  <w:vAlign w:val="center"/>
                </w:tcPr>
                <w:p w14:paraId="4FFF7D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所属行业</w:t>
                  </w:r>
                </w:p>
              </w:tc>
              <w:tc>
                <w:tcPr>
                  <w:tcW w:w="4257" w:type="dxa"/>
                  <w:tcBorders>
                    <w:tl2br w:val="nil"/>
                    <w:tr2bl w:val="nil"/>
                  </w:tcBorders>
                  <w:vAlign w:val="center"/>
                </w:tcPr>
                <w:p w14:paraId="1F023C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中小企业划型标准</w:t>
                  </w:r>
                </w:p>
              </w:tc>
            </w:tr>
            <w:tr w14:paraId="4A6D504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14" w:hRule="atLeast"/>
              </w:trPr>
              <w:tc>
                <w:tcPr>
                  <w:tcW w:w="1051" w:type="dxa"/>
                  <w:tcBorders>
                    <w:tl2br w:val="nil"/>
                    <w:tr2bl w:val="nil"/>
                  </w:tcBorders>
                  <w:vAlign w:val="center"/>
                </w:tcPr>
                <w:p w14:paraId="4C8F6E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普查工作</w:t>
                  </w:r>
                </w:p>
              </w:tc>
              <w:tc>
                <w:tcPr>
                  <w:tcW w:w="1213" w:type="dxa"/>
                  <w:tcBorders>
                    <w:tl2br w:val="nil"/>
                    <w:tr2bl w:val="nil"/>
                  </w:tcBorders>
                  <w:vAlign w:val="center"/>
                </w:tcPr>
                <w:p w14:paraId="3B5431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其他未列明行业</w:t>
                  </w:r>
                </w:p>
              </w:tc>
              <w:tc>
                <w:tcPr>
                  <w:tcW w:w="4257" w:type="dxa"/>
                  <w:tcBorders>
                    <w:tl2br w:val="nil"/>
                    <w:tr2bl w:val="nil"/>
                  </w:tcBorders>
                  <w:vAlign w:val="center"/>
                </w:tcPr>
                <w:p w14:paraId="67BF3DB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从业人员300人以下的为中小微型企业。其中，从业人员100人及以上的为中型企业；从业人员10人及以上的为小型企业；从业人员10人以下的为微型企业。</w:t>
                  </w:r>
                </w:p>
              </w:tc>
            </w:tr>
            <w:tr w14:paraId="25DA229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6521" w:type="dxa"/>
                  <w:gridSpan w:val="3"/>
                  <w:tcBorders>
                    <w:tl2br w:val="nil"/>
                    <w:tr2bl w:val="nil"/>
                  </w:tcBorders>
                  <w:vAlign w:val="center"/>
                </w:tcPr>
                <w:p w14:paraId="1189B9B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说明：中型企业标准上限即为大型企业标准的下限。</w:t>
                  </w:r>
                </w:p>
              </w:tc>
            </w:tr>
          </w:tbl>
          <w:p w14:paraId="115DC15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highlight w:val="none"/>
              </w:rPr>
            </w:pPr>
          </w:p>
        </w:tc>
      </w:tr>
      <w:tr w14:paraId="1BA34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6E48060E">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0A1937B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落实</w:t>
            </w:r>
            <w:r>
              <w:rPr>
                <w:rFonts w:hint="eastAsia" w:ascii="宋体" w:hAnsi="宋体" w:eastAsia="宋体" w:cs="宋体"/>
                <w:color w:val="auto"/>
                <w:sz w:val="24"/>
                <w:highlight w:val="none"/>
              </w:rPr>
              <w:t>政府</w:t>
            </w:r>
          </w:p>
          <w:p w14:paraId="5E50D7B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采购政策</w:t>
            </w:r>
          </w:p>
        </w:tc>
        <w:tc>
          <w:tcPr>
            <w:tcW w:w="6956" w:type="dxa"/>
            <w:tcBorders>
              <w:tl2br w:val="nil"/>
              <w:tr2bl w:val="nil"/>
            </w:tcBorders>
            <w:vAlign w:val="center"/>
          </w:tcPr>
          <w:p w14:paraId="564C0277">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详见采购文件第</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章</w:t>
            </w:r>
          </w:p>
        </w:tc>
      </w:tr>
      <w:tr w14:paraId="53910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634684E7">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2FCA032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供应商信用查询</w:t>
            </w:r>
          </w:p>
        </w:tc>
        <w:tc>
          <w:tcPr>
            <w:tcW w:w="6956" w:type="dxa"/>
            <w:tcBorders>
              <w:tl2br w:val="nil"/>
              <w:tr2bl w:val="nil"/>
            </w:tcBorders>
            <w:vAlign w:val="center"/>
          </w:tcPr>
          <w:p w14:paraId="22C1C5D1">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3CF9946A">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1.采购人或采购代理机构将对本项目供应商的信用记录进行查询。查询渠道：信用中国网站（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36"/>
                <w:rFonts w:hint="eastAsia" w:ascii="宋体" w:hAnsi="宋体" w:eastAsia="宋体" w:cs="宋体"/>
                <w:color w:val="auto"/>
                <w:sz w:val="24"/>
                <w:highlight w:val="none"/>
              </w:rPr>
              <w:t>www.creditchina.gov.cn</w:t>
            </w:r>
            <w:r>
              <w:rPr>
                <w:rStyle w:val="36"/>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36"/>
                <w:rFonts w:hint="eastAsia" w:ascii="宋体" w:hAnsi="宋体" w:eastAsia="宋体" w:cs="宋体"/>
                <w:color w:val="auto"/>
                <w:sz w:val="24"/>
                <w:highlight w:val="none"/>
              </w:rPr>
              <w:t>www.ccgp.gov.cn</w:t>
            </w:r>
            <w:r>
              <w:rPr>
                <w:rStyle w:val="36"/>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14:paraId="31F6B73C">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2.信用信息查询截止时点：开标后评标前；</w:t>
            </w:r>
          </w:p>
          <w:p w14:paraId="20D9C078">
            <w:pPr>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3.信用信息查询记录和证据留存的具体方式：由采购组织机构在规定查询时间内打印信用信息查询记录并归入项目档案；</w:t>
            </w:r>
          </w:p>
          <w:p w14:paraId="7E2F9092">
            <w:pPr>
              <w:keepNext w:val="0"/>
              <w:keepLines w:val="0"/>
              <w:pageBreakBefore w:val="0"/>
              <w:kinsoku/>
              <w:wordWrap/>
              <w:overflowPunct/>
              <w:topLinePunct w:val="0"/>
              <w:autoSpaceDE/>
              <w:autoSpaceDN/>
              <w:bidi w:val="0"/>
              <w:adjustRightInd/>
              <w:snapToGrid/>
              <w:spacing w:line="3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4.信用信息的使用规则：</w:t>
            </w:r>
            <w:r>
              <w:rPr>
                <w:rFonts w:hint="eastAsia" w:ascii="宋体" w:hAnsi="宋体" w:eastAsia="宋体" w:cs="宋体"/>
                <w:color w:val="auto"/>
                <w:sz w:val="24"/>
                <w:highlight w:val="none"/>
              </w:rPr>
              <w:t>对列入失信被执行人、重大税收违法案件当事人名单、政府采购严重违法失信行为记录名单及其他不符合《中华人民共和国政府采购法》第二十二条规定条件的供应商，将被拒绝其参与政府采购活动。</w:t>
            </w:r>
            <w:r>
              <w:rPr>
                <w:rFonts w:hint="eastAsia" w:ascii="宋体" w:hAnsi="宋体" w:eastAsia="宋体" w:cs="宋体"/>
                <w:b/>
                <w:bCs/>
                <w:color w:val="auto"/>
                <w:sz w:val="24"/>
                <w:highlight w:val="none"/>
              </w:rPr>
              <w:t>联合体成员任意一方存在不良信用记录的，视同联合体存在不良信用记录。</w:t>
            </w:r>
          </w:p>
        </w:tc>
      </w:tr>
      <w:tr w14:paraId="29C3A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3D64C0CA">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64BC4D15">
            <w:pPr>
              <w:pStyle w:val="6"/>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中标公告和中标通知书</w:t>
            </w:r>
          </w:p>
        </w:tc>
        <w:tc>
          <w:tcPr>
            <w:tcW w:w="6956" w:type="dxa"/>
            <w:tcBorders>
              <w:tl2br w:val="nil"/>
              <w:tr2bl w:val="nil"/>
            </w:tcBorders>
            <w:vAlign w:val="center"/>
          </w:tcPr>
          <w:p w14:paraId="79E9491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1.中标公告发布网址：浙江</w:t>
            </w:r>
            <w:r>
              <w:rPr>
                <w:rFonts w:hint="eastAsia" w:ascii="宋体" w:hAnsi="宋体" w:eastAsia="宋体" w:cs="宋体"/>
                <w:color w:val="auto"/>
                <w:sz w:val="24"/>
                <w:szCs w:val="24"/>
                <w:highlight w:val="none"/>
              </w:rPr>
              <w:t>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pacing w:val="-28"/>
                <w:sz w:val="24"/>
                <w:szCs w:val="24"/>
                <w:highlight w:val="none"/>
              </w:rPr>
              <w:t>http://zfcg.czt.zj.gov.cn/</w:t>
            </w:r>
            <w:r>
              <w:rPr>
                <w:rStyle w:val="36"/>
                <w:rFonts w:hint="eastAsia" w:ascii="宋体" w:hAnsi="宋体" w:eastAsia="宋体" w:cs="宋体"/>
                <w:color w:val="auto"/>
                <w:spacing w:val="-28"/>
                <w:sz w:val="24"/>
                <w:szCs w:val="24"/>
                <w:highlight w:val="none"/>
              </w:rPr>
              <w:fldChar w:fldCharType="end"/>
            </w:r>
            <w:r>
              <w:rPr>
                <w:rFonts w:hint="eastAsia" w:ascii="宋体" w:hAnsi="宋体" w:eastAsia="宋体" w:cs="宋体"/>
                <w:color w:val="auto"/>
                <w:sz w:val="24"/>
                <w:szCs w:val="24"/>
                <w:highlight w:val="none"/>
              </w:rPr>
              <w:t>；天台县公共资源交易中心网：</w:t>
            </w:r>
            <w:r>
              <w:rPr>
                <w:rFonts w:hint="eastAsia" w:ascii="宋体" w:hAnsi="宋体" w:eastAsia="宋体" w:cs="宋体"/>
                <w:color w:val="auto"/>
                <w:spacing w:val="-11"/>
                <w:sz w:val="24"/>
                <w:szCs w:val="24"/>
                <w:highlight w:val="none"/>
              </w:rPr>
              <w:t>http://www.zjtt.gov.cn/col/col1229793705/index.html</w:t>
            </w:r>
            <w:r>
              <w:rPr>
                <w:rFonts w:hint="eastAsia" w:ascii="宋体" w:hAnsi="宋体" w:eastAsia="宋体" w:cs="宋体"/>
                <w:color w:val="auto"/>
                <w:sz w:val="24"/>
                <w:szCs w:val="24"/>
                <w:highlight w:val="none"/>
              </w:rPr>
              <w:t>；</w:t>
            </w:r>
          </w:p>
          <w:p w14:paraId="158B2B9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2.中标公告期限为1个工作日，中标公告的同时发出中标通知书。</w:t>
            </w:r>
          </w:p>
        </w:tc>
      </w:tr>
      <w:tr w14:paraId="4F702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12847439">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1512ADD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合同备案</w:t>
            </w:r>
          </w:p>
        </w:tc>
        <w:tc>
          <w:tcPr>
            <w:tcW w:w="6956" w:type="dxa"/>
            <w:tcBorders>
              <w:tl2br w:val="nil"/>
              <w:tr2bl w:val="nil"/>
            </w:tcBorders>
            <w:vAlign w:val="center"/>
          </w:tcPr>
          <w:p w14:paraId="2D6BBC9B">
            <w:pPr>
              <w:pStyle w:val="6"/>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中标供应商须在发出中标通知书之日起</w:t>
            </w:r>
            <w:r>
              <w:rPr>
                <w:rFonts w:hint="eastAsia" w:ascii="宋体" w:hAnsi="宋体" w:eastAsia="宋体" w:cs="宋体"/>
                <w:b/>
                <w:bCs/>
                <w:color w:val="auto"/>
                <w:sz w:val="24"/>
                <w:highlight w:val="none"/>
                <w:u w:val="single"/>
                <w:lang w:val="en-US" w:eastAsia="zh-CN"/>
              </w:rPr>
              <w:t xml:space="preserve"> </w:t>
            </w:r>
            <w:r>
              <w:rPr>
                <w:rFonts w:hint="eastAsia" w:hAnsi="宋体" w:cs="宋体"/>
                <w:b/>
                <w:bCs/>
                <w:color w:val="auto"/>
                <w:sz w:val="24"/>
                <w:highlight w:val="none"/>
                <w:u w:val="single"/>
                <w:lang w:val="en-US" w:eastAsia="zh-CN"/>
              </w:rPr>
              <w:t>15日</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color w:val="auto"/>
                <w:sz w:val="24"/>
                <w:highlight w:val="none"/>
                <w:lang w:eastAsia="zh-CN"/>
              </w:rPr>
              <w:t>内</w:t>
            </w:r>
            <w:r>
              <w:rPr>
                <w:rFonts w:hint="eastAsia" w:ascii="宋体" w:hAnsi="宋体" w:eastAsia="宋体" w:cs="宋体"/>
                <w:color w:val="auto"/>
                <w:sz w:val="24"/>
                <w:highlight w:val="none"/>
              </w:rPr>
              <w:t>与采购人签订合同，并在签订后2个工作日内将合同扫描件发送至采购代理机构指定邮箱备案存档。</w:t>
            </w:r>
          </w:p>
        </w:tc>
      </w:tr>
      <w:tr w14:paraId="035EE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112A4AF6">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6C8B683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w:t>
            </w:r>
          </w:p>
        </w:tc>
        <w:tc>
          <w:tcPr>
            <w:tcW w:w="6956" w:type="dxa"/>
            <w:tcBorders>
              <w:tl2br w:val="nil"/>
              <w:tr2bl w:val="nil"/>
            </w:tcBorders>
            <w:vAlign w:val="center"/>
          </w:tcPr>
          <w:p w14:paraId="160D8646">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依法获取采购文件后认为采购文件使自己的权益受到损害的，可以自获取采购文件之日或者采购文件公告期限届满之日（公告发布后的第6个工作日）起7个工作日内，以书面形式向采购人和采购代理机构提出质疑。采购人和采购代理机构将在规定时间前进行答疑与澄清。</w:t>
            </w:r>
          </w:p>
          <w:p w14:paraId="09860CD2">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2.供应商一旦参与本次采购活动，即被视为接受了本采购文件的所有内容，如有任何异议，均应在答疑截止时间前提出。</w:t>
            </w:r>
          </w:p>
        </w:tc>
      </w:tr>
      <w:tr w14:paraId="74AAC4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454" w:hRule="atLeast"/>
          <w:jc w:val="center"/>
        </w:trPr>
        <w:tc>
          <w:tcPr>
            <w:tcW w:w="771" w:type="dxa"/>
            <w:tcBorders>
              <w:tl2br w:val="nil"/>
              <w:tr2bl w:val="nil"/>
            </w:tcBorders>
            <w:vAlign w:val="center"/>
          </w:tcPr>
          <w:p w14:paraId="0FA3D5D3">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0A1DD6A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信用融资</w:t>
            </w:r>
          </w:p>
        </w:tc>
        <w:tc>
          <w:tcPr>
            <w:tcW w:w="6956" w:type="dxa"/>
            <w:tcBorders>
              <w:tl2br w:val="nil"/>
              <w:tr2bl w:val="nil"/>
            </w:tcBorders>
            <w:vAlign w:val="center"/>
          </w:tcPr>
          <w:p w14:paraId="5ED414C9">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为支持和促进中小企业发展，进一步发挥政府采购政策功能，中标供应商若有融资意向，可点击“政采云平台”-金融服务模块查看信用融资政策文件及各相关银行服务方案，使用以下银行的政采贷（或政采保）</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服务。</w:t>
            </w:r>
          </w:p>
          <w:p w14:paraId="59D2DD92">
            <w:pPr>
              <w:keepNext w:val="0"/>
              <w:keepLines w:val="0"/>
              <w:pageBreakBefore w:val="0"/>
              <w:kinsoku/>
              <w:wordWrap/>
              <w:overflowPunct/>
              <w:topLinePunct w:val="0"/>
              <w:autoSpaceDE/>
              <w:autoSpaceDN/>
              <w:bidi w:val="0"/>
              <w:adjustRightInd/>
              <w:snapToGrid/>
              <w:spacing w:line="300" w:lineRule="exact"/>
              <w:ind w:firstLine="180" w:firstLineChars="10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附：政采贷联系方式</w:t>
            </w:r>
            <w:r>
              <w:rPr>
                <w:rFonts w:hint="eastAsia" w:ascii="宋体" w:hAnsi="宋体" w:eastAsia="宋体" w:cs="宋体"/>
                <w:color w:val="auto"/>
                <w:sz w:val="18"/>
                <w:szCs w:val="18"/>
                <w:highlight w:val="none"/>
                <w:lang w:eastAsia="zh-CN"/>
              </w:rPr>
              <w:t>：</w:t>
            </w:r>
          </w:p>
          <w:tbl>
            <w:tblPr>
              <w:tblStyle w:val="32"/>
              <w:tblW w:w="636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408"/>
              <w:gridCol w:w="1275"/>
              <w:gridCol w:w="1103"/>
              <w:gridCol w:w="1580"/>
            </w:tblGrid>
            <w:tr w14:paraId="77ABD6E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4CDB13E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合作银行</w:t>
                  </w:r>
                </w:p>
              </w:tc>
              <w:tc>
                <w:tcPr>
                  <w:tcW w:w="1275" w:type="dxa"/>
                  <w:tcBorders>
                    <w:tl2br w:val="nil"/>
                    <w:tr2bl w:val="nil"/>
                  </w:tcBorders>
                  <w:vAlign w:val="center"/>
                </w:tcPr>
                <w:p w14:paraId="38E837B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贷款年利率</w:t>
                  </w:r>
                </w:p>
              </w:tc>
              <w:tc>
                <w:tcPr>
                  <w:tcW w:w="1103" w:type="dxa"/>
                  <w:tcBorders>
                    <w:tl2br w:val="nil"/>
                    <w:tr2bl w:val="nil"/>
                  </w:tcBorders>
                  <w:vAlign w:val="center"/>
                </w:tcPr>
                <w:p w14:paraId="5F2E01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w:t>
                  </w:r>
                </w:p>
              </w:tc>
              <w:tc>
                <w:tcPr>
                  <w:tcW w:w="1580" w:type="dxa"/>
                  <w:tcBorders>
                    <w:tl2br w:val="nil"/>
                    <w:tr2bl w:val="nil"/>
                  </w:tcBorders>
                  <w:vAlign w:val="center"/>
                </w:tcPr>
                <w:p w14:paraId="1148298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电话</w:t>
                  </w:r>
                </w:p>
              </w:tc>
            </w:tr>
            <w:tr w14:paraId="2F130E3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68A9E71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中国农业银行股份有限公司天台县支行</w:t>
                  </w:r>
                </w:p>
              </w:tc>
              <w:tc>
                <w:tcPr>
                  <w:tcW w:w="1275" w:type="dxa"/>
                  <w:tcBorders>
                    <w:tl2br w:val="nil"/>
                    <w:tr2bl w:val="nil"/>
                  </w:tcBorders>
                  <w:vAlign w:val="center"/>
                </w:tcPr>
                <w:p w14:paraId="0C97CA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3.8%起</w:t>
                  </w:r>
                </w:p>
              </w:tc>
              <w:tc>
                <w:tcPr>
                  <w:tcW w:w="1103" w:type="dxa"/>
                  <w:tcBorders>
                    <w:tl2br w:val="nil"/>
                    <w:tr2bl w:val="nil"/>
                  </w:tcBorders>
                  <w:vAlign w:val="center"/>
                </w:tcPr>
                <w:p w14:paraId="35D984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章泳</w:t>
                  </w:r>
                </w:p>
              </w:tc>
              <w:tc>
                <w:tcPr>
                  <w:tcW w:w="1580" w:type="dxa"/>
                  <w:tcBorders>
                    <w:tl2br w:val="nil"/>
                    <w:tr2bl w:val="nil"/>
                  </w:tcBorders>
                  <w:vAlign w:val="center"/>
                </w:tcPr>
                <w:p w14:paraId="605F1F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18267658216</w:t>
                  </w:r>
                </w:p>
              </w:tc>
            </w:tr>
            <w:tr w14:paraId="0C19CFB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0149D2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中国建设银行股份有限公司天台支行</w:t>
                  </w:r>
                </w:p>
              </w:tc>
              <w:tc>
                <w:tcPr>
                  <w:tcW w:w="1275" w:type="dxa"/>
                  <w:tcBorders>
                    <w:tl2br w:val="nil"/>
                    <w:tr2bl w:val="nil"/>
                  </w:tcBorders>
                  <w:vAlign w:val="center"/>
                </w:tcPr>
                <w:p w14:paraId="47A3BE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3.35%起</w:t>
                  </w:r>
                </w:p>
              </w:tc>
              <w:tc>
                <w:tcPr>
                  <w:tcW w:w="1103" w:type="dxa"/>
                  <w:tcBorders>
                    <w:tl2br w:val="nil"/>
                    <w:tr2bl w:val="nil"/>
                  </w:tcBorders>
                  <w:vAlign w:val="center"/>
                </w:tcPr>
                <w:p w14:paraId="55B23E9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蒋晓峰</w:t>
                  </w:r>
                </w:p>
              </w:tc>
              <w:tc>
                <w:tcPr>
                  <w:tcW w:w="1580" w:type="dxa"/>
                  <w:tcBorders>
                    <w:tl2br w:val="nil"/>
                    <w:tr2bl w:val="nil"/>
                  </w:tcBorders>
                  <w:vAlign w:val="center"/>
                </w:tcPr>
                <w:p w14:paraId="2FFD78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13968595968</w:t>
                  </w:r>
                </w:p>
              </w:tc>
            </w:tr>
            <w:tr w14:paraId="7732B58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408" w:type="dxa"/>
                  <w:tcBorders>
                    <w:tl2br w:val="nil"/>
                    <w:tr2bl w:val="nil"/>
                  </w:tcBorders>
                  <w:vAlign w:val="center"/>
                </w:tcPr>
                <w:p w14:paraId="0D2344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中国工商银行股份有限公司天台支行</w:t>
                  </w:r>
                </w:p>
              </w:tc>
              <w:tc>
                <w:tcPr>
                  <w:tcW w:w="1275" w:type="dxa"/>
                  <w:tcBorders>
                    <w:tl2br w:val="nil"/>
                    <w:tr2bl w:val="nil"/>
                  </w:tcBorders>
                  <w:vAlign w:val="center"/>
                </w:tcPr>
                <w:p w14:paraId="6D9C67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4.5%起</w:t>
                  </w:r>
                </w:p>
              </w:tc>
              <w:tc>
                <w:tcPr>
                  <w:tcW w:w="1103" w:type="dxa"/>
                  <w:tcBorders>
                    <w:tl2br w:val="nil"/>
                    <w:tr2bl w:val="nil"/>
                  </w:tcBorders>
                  <w:vAlign w:val="center"/>
                </w:tcPr>
                <w:p w14:paraId="55FB73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洪文强</w:t>
                  </w:r>
                </w:p>
              </w:tc>
              <w:tc>
                <w:tcPr>
                  <w:tcW w:w="1580" w:type="dxa"/>
                  <w:tcBorders>
                    <w:tl2br w:val="nil"/>
                    <w:tr2bl w:val="nil"/>
                  </w:tcBorders>
                  <w:vAlign w:val="center"/>
                </w:tcPr>
                <w:p w14:paraId="0852C8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0576-83815605</w:t>
                  </w:r>
                </w:p>
              </w:tc>
            </w:tr>
          </w:tbl>
          <w:p w14:paraId="0F799AE5">
            <w:pPr>
              <w:keepNext w:val="0"/>
              <w:keepLines w:val="0"/>
              <w:pageBreakBefore w:val="0"/>
              <w:kinsoku/>
              <w:wordWrap/>
              <w:overflowPunct/>
              <w:topLinePunct w:val="0"/>
              <w:autoSpaceDE/>
              <w:autoSpaceDN/>
              <w:bidi w:val="0"/>
              <w:adjustRightInd/>
              <w:snapToGrid/>
              <w:spacing w:line="300" w:lineRule="exact"/>
              <w:ind w:firstLine="180" w:firstLineChars="10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政采保联系方式</w:t>
            </w:r>
            <w:r>
              <w:rPr>
                <w:rFonts w:hint="eastAsia" w:ascii="宋体" w:hAnsi="宋体" w:eastAsia="宋体" w:cs="宋体"/>
                <w:color w:val="auto"/>
                <w:sz w:val="18"/>
                <w:szCs w:val="18"/>
                <w:highlight w:val="none"/>
                <w:lang w:eastAsia="zh-CN"/>
              </w:rPr>
              <w:t>：</w:t>
            </w:r>
          </w:p>
          <w:tbl>
            <w:tblPr>
              <w:tblStyle w:val="31"/>
              <w:tblW w:w="638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675"/>
              <w:gridCol w:w="1142"/>
              <w:gridCol w:w="1564"/>
            </w:tblGrid>
            <w:tr w14:paraId="7A0E8A9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tcPr>
                <w:p w14:paraId="7343BFC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合作银行</w:t>
                  </w:r>
                </w:p>
              </w:tc>
              <w:tc>
                <w:tcPr>
                  <w:tcW w:w="1142" w:type="dxa"/>
                  <w:tcBorders>
                    <w:tl2br w:val="nil"/>
                    <w:tr2bl w:val="nil"/>
                  </w:tcBorders>
                </w:tcPr>
                <w:p w14:paraId="2FCA6B5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w:t>
                  </w:r>
                </w:p>
              </w:tc>
              <w:tc>
                <w:tcPr>
                  <w:tcW w:w="1564" w:type="dxa"/>
                  <w:tcBorders>
                    <w:tl2br w:val="nil"/>
                    <w:tr2bl w:val="nil"/>
                  </w:tcBorders>
                </w:tcPr>
                <w:p w14:paraId="081C7B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电话</w:t>
                  </w:r>
                </w:p>
              </w:tc>
            </w:tr>
            <w:tr w14:paraId="3949797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tcPr>
                <w:p w14:paraId="5B0B962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中国农业银行股份有限公司天台县支行</w:t>
                  </w:r>
                </w:p>
              </w:tc>
              <w:tc>
                <w:tcPr>
                  <w:tcW w:w="1142" w:type="dxa"/>
                  <w:tcBorders>
                    <w:tl2br w:val="nil"/>
                    <w:tr2bl w:val="nil"/>
                  </w:tcBorders>
                </w:tcPr>
                <w:p w14:paraId="492541F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章泳</w:t>
                  </w:r>
                </w:p>
              </w:tc>
              <w:tc>
                <w:tcPr>
                  <w:tcW w:w="1564" w:type="dxa"/>
                  <w:tcBorders>
                    <w:tl2br w:val="nil"/>
                    <w:tr2bl w:val="nil"/>
                  </w:tcBorders>
                </w:tcPr>
                <w:p w14:paraId="3872D71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18267658216</w:t>
                  </w:r>
                </w:p>
              </w:tc>
            </w:tr>
            <w:tr w14:paraId="43A23FE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tcPr>
                <w:p w14:paraId="647C433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中国建设银行股份有限公司天台支行</w:t>
                  </w:r>
                </w:p>
              </w:tc>
              <w:tc>
                <w:tcPr>
                  <w:tcW w:w="1142" w:type="dxa"/>
                  <w:tcBorders>
                    <w:tl2br w:val="nil"/>
                    <w:tr2bl w:val="nil"/>
                  </w:tcBorders>
                </w:tcPr>
                <w:p w14:paraId="1084EEE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葛宇凡</w:t>
                  </w:r>
                </w:p>
              </w:tc>
              <w:tc>
                <w:tcPr>
                  <w:tcW w:w="1564" w:type="dxa"/>
                  <w:tcBorders>
                    <w:tl2br w:val="nil"/>
                    <w:tr2bl w:val="nil"/>
                  </w:tcBorders>
                </w:tcPr>
                <w:p w14:paraId="4FC2A47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18252002669</w:t>
                  </w:r>
                </w:p>
              </w:tc>
            </w:tr>
            <w:tr w14:paraId="6798FE0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675" w:type="dxa"/>
                  <w:tcBorders>
                    <w:tl2br w:val="nil"/>
                    <w:tr2bl w:val="nil"/>
                  </w:tcBorders>
                  <w:vAlign w:val="center"/>
                </w:tcPr>
                <w:p w14:paraId="0E64358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中国工商银行股份有限公司天台支行</w:t>
                  </w:r>
                </w:p>
              </w:tc>
              <w:tc>
                <w:tcPr>
                  <w:tcW w:w="1142" w:type="dxa"/>
                  <w:tcBorders>
                    <w:tl2br w:val="nil"/>
                    <w:tr2bl w:val="nil"/>
                  </w:tcBorders>
                  <w:vAlign w:val="center"/>
                </w:tcPr>
                <w:p w14:paraId="5F81B4E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洪文强</w:t>
                  </w:r>
                </w:p>
              </w:tc>
              <w:tc>
                <w:tcPr>
                  <w:tcW w:w="1564" w:type="dxa"/>
                  <w:tcBorders>
                    <w:tl2br w:val="nil"/>
                    <w:tr2bl w:val="nil"/>
                  </w:tcBorders>
                  <w:vAlign w:val="center"/>
                </w:tcPr>
                <w:p w14:paraId="1C1F25F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0576-83815605</w:t>
                  </w:r>
                </w:p>
              </w:tc>
            </w:tr>
          </w:tbl>
          <w:p w14:paraId="07596822">
            <w:pPr>
              <w:keepNext w:val="0"/>
              <w:keepLines w:val="0"/>
              <w:pageBreakBefore w:val="0"/>
              <w:kinsoku/>
              <w:wordWrap/>
              <w:overflowPunct/>
              <w:topLinePunct w:val="0"/>
              <w:autoSpaceDE/>
              <w:autoSpaceDN/>
              <w:bidi w:val="0"/>
              <w:adjustRightInd/>
              <w:snapToGrid/>
              <w:spacing w:line="300" w:lineRule="exact"/>
              <w:ind w:firstLine="180" w:firstLineChars="1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预付款保函联系方式：</w:t>
            </w:r>
          </w:p>
          <w:tbl>
            <w:tblPr>
              <w:tblStyle w:val="31"/>
              <w:tblW w:w="643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729"/>
              <w:gridCol w:w="1148"/>
              <w:gridCol w:w="1558"/>
            </w:tblGrid>
            <w:tr w14:paraId="3CFCB62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29" w:type="dxa"/>
                  <w:tcBorders>
                    <w:tl2br w:val="nil"/>
                    <w:tr2bl w:val="nil"/>
                  </w:tcBorders>
                </w:tcPr>
                <w:p w14:paraId="4B93165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合作银行</w:t>
                  </w:r>
                </w:p>
              </w:tc>
              <w:tc>
                <w:tcPr>
                  <w:tcW w:w="1148" w:type="dxa"/>
                  <w:tcBorders>
                    <w:tl2br w:val="nil"/>
                    <w:tr2bl w:val="nil"/>
                  </w:tcBorders>
                </w:tcPr>
                <w:p w14:paraId="2B7B540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w:t>
                  </w:r>
                </w:p>
              </w:tc>
              <w:tc>
                <w:tcPr>
                  <w:tcW w:w="1558" w:type="dxa"/>
                  <w:tcBorders>
                    <w:tl2br w:val="nil"/>
                    <w:tr2bl w:val="nil"/>
                  </w:tcBorders>
                </w:tcPr>
                <w:p w14:paraId="218F005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电话</w:t>
                  </w:r>
                </w:p>
              </w:tc>
            </w:tr>
            <w:tr w14:paraId="4072405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29" w:type="dxa"/>
                  <w:tcBorders>
                    <w:tl2br w:val="nil"/>
                    <w:tr2bl w:val="nil"/>
                  </w:tcBorders>
                </w:tcPr>
                <w:p w14:paraId="5647C0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中国建设银行股份有限公司天台支行</w:t>
                  </w:r>
                </w:p>
              </w:tc>
              <w:tc>
                <w:tcPr>
                  <w:tcW w:w="1148" w:type="dxa"/>
                  <w:tcBorders>
                    <w:tl2br w:val="nil"/>
                    <w:tr2bl w:val="nil"/>
                  </w:tcBorders>
                </w:tcPr>
                <w:p w14:paraId="63AFC22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蒋晓峰</w:t>
                  </w:r>
                </w:p>
              </w:tc>
              <w:tc>
                <w:tcPr>
                  <w:tcW w:w="1558" w:type="dxa"/>
                  <w:tcBorders>
                    <w:tl2br w:val="nil"/>
                    <w:tr2bl w:val="nil"/>
                  </w:tcBorders>
                </w:tcPr>
                <w:p w14:paraId="075DF5E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13968595968</w:t>
                  </w:r>
                </w:p>
              </w:tc>
            </w:tr>
            <w:tr w14:paraId="30C7C5B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3729" w:type="dxa"/>
                  <w:tcBorders>
                    <w:tl2br w:val="nil"/>
                    <w:tr2bl w:val="nil"/>
                  </w:tcBorders>
                  <w:vAlign w:val="center"/>
                </w:tcPr>
                <w:p w14:paraId="0DA667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中国工商银行股份有限公司天台支行</w:t>
                  </w:r>
                </w:p>
              </w:tc>
              <w:tc>
                <w:tcPr>
                  <w:tcW w:w="1148" w:type="dxa"/>
                  <w:tcBorders>
                    <w:tl2br w:val="nil"/>
                    <w:tr2bl w:val="nil"/>
                  </w:tcBorders>
                  <w:vAlign w:val="center"/>
                </w:tcPr>
                <w:p w14:paraId="0EFF8BC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洪文强</w:t>
                  </w:r>
                </w:p>
              </w:tc>
              <w:tc>
                <w:tcPr>
                  <w:tcW w:w="1558" w:type="dxa"/>
                  <w:tcBorders>
                    <w:tl2br w:val="nil"/>
                    <w:tr2bl w:val="nil"/>
                  </w:tcBorders>
                  <w:vAlign w:val="center"/>
                </w:tcPr>
                <w:p w14:paraId="755E2CA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0576-83815605</w:t>
                  </w:r>
                </w:p>
              </w:tc>
            </w:tr>
          </w:tbl>
          <w:p w14:paraId="3A0A0670">
            <w:pPr>
              <w:keepNext w:val="0"/>
              <w:keepLines w:val="0"/>
              <w:pageBreakBefore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2.除了以上银行外，供应商也可以选择其他有能力的银行进行融资。</w:t>
            </w:r>
          </w:p>
        </w:tc>
      </w:tr>
      <w:tr w14:paraId="2E42EC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7FDE069D">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color w:val="auto"/>
                <w:sz w:val="24"/>
                <w:highlight w:val="none"/>
              </w:rPr>
            </w:pPr>
          </w:p>
        </w:tc>
        <w:tc>
          <w:tcPr>
            <w:tcW w:w="1907" w:type="dxa"/>
            <w:tcBorders>
              <w:tl2br w:val="nil"/>
              <w:tr2bl w:val="nil"/>
            </w:tcBorders>
            <w:vAlign w:val="center"/>
          </w:tcPr>
          <w:p w14:paraId="24A9FE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免责声明</w:t>
            </w:r>
          </w:p>
        </w:tc>
        <w:tc>
          <w:tcPr>
            <w:tcW w:w="6956" w:type="dxa"/>
            <w:tcBorders>
              <w:tl2br w:val="nil"/>
              <w:tr2bl w:val="nil"/>
            </w:tcBorders>
            <w:vAlign w:val="center"/>
          </w:tcPr>
          <w:p w14:paraId="478763E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1.投标供应商自行承担投标过程中产生的费用。无论何种因素导致采购项目延期开标、废标（流标）、投标供应商未中标、项目终止采购的，采购人与代理机构均不承担供应商投标费用。</w:t>
            </w:r>
          </w:p>
          <w:p w14:paraId="7BAF4EE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FB0B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cantSplit/>
          <w:trHeight w:val="454" w:hRule="atLeast"/>
          <w:jc w:val="center"/>
        </w:trPr>
        <w:tc>
          <w:tcPr>
            <w:tcW w:w="771" w:type="dxa"/>
            <w:tcBorders>
              <w:tl2br w:val="nil"/>
              <w:tr2bl w:val="nil"/>
            </w:tcBorders>
            <w:vAlign w:val="center"/>
          </w:tcPr>
          <w:p w14:paraId="678CB0AD">
            <w:pPr>
              <w:keepLines w:val="0"/>
              <w:pageBreakBefore w:val="0"/>
              <w:numPr>
                <w:ilvl w:val="0"/>
                <w:numId w:val="5"/>
              </w:numPr>
              <w:kinsoku/>
              <w:wordWrap/>
              <w:overflowPunct/>
              <w:topLinePunct w:val="0"/>
              <w:bidi w:val="0"/>
              <w:spacing w:line="400" w:lineRule="exact"/>
              <w:ind w:left="425" w:leftChars="0" w:hanging="425" w:firstLineChars="0"/>
              <w:jc w:val="center"/>
              <w:rPr>
                <w:rFonts w:hint="eastAsia" w:ascii="宋体" w:hAnsi="宋体" w:eastAsia="宋体" w:cs="宋体"/>
                <w:b w:val="0"/>
                <w:bCs w:val="0"/>
                <w:color w:val="auto"/>
                <w:sz w:val="24"/>
                <w:highlight w:val="none"/>
                <w:lang w:val="en-US" w:eastAsia="zh-CN"/>
              </w:rPr>
            </w:pPr>
          </w:p>
        </w:tc>
        <w:tc>
          <w:tcPr>
            <w:tcW w:w="1907" w:type="dxa"/>
            <w:tcBorders>
              <w:tl2br w:val="nil"/>
              <w:tr2bl w:val="nil"/>
            </w:tcBorders>
            <w:vAlign w:val="center"/>
          </w:tcPr>
          <w:p w14:paraId="1032883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解释权</w:t>
            </w:r>
          </w:p>
        </w:tc>
        <w:tc>
          <w:tcPr>
            <w:tcW w:w="6956" w:type="dxa"/>
            <w:tcBorders>
              <w:tl2br w:val="nil"/>
              <w:tr2bl w:val="nil"/>
            </w:tcBorders>
            <w:vAlign w:val="center"/>
          </w:tcPr>
          <w:p w14:paraId="230CA915">
            <w:pPr>
              <w:pStyle w:val="12"/>
              <w:keepNext w:val="0"/>
              <w:keepLines w:val="0"/>
              <w:pageBreakBefore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本表与采购文件其他部分内容不一致的，以本表为准。本采购文件的解释权属于采购人和采购代理机构。</w:t>
            </w:r>
          </w:p>
        </w:tc>
      </w:tr>
    </w:tbl>
    <w:p w14:paraId="3AC3D093">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宋体" w:hAnsi="宋体" w:eastAsia="宋体" w:cs="宋体"/>
          <w:b/>
          <w:bCs/>
          <w:color w:val="auto"/>
          <w:sz w:val="30"/>
          <w:szCs w:val="30"/>
          <w:highlight w:val="none"/>
        </w:rPr>
      </w:pPr>
      <w:bookmarkStart w:id="19" w:name="_Toc2872"/>
    </w:p>
    <w:p w14:paraId="67F8427B">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第一节  总 则</w:t>
      </w:r>
      <w:bookmarkEnd w:id="19"/>
    </w:p>
    <w:p w14:paraId="59DDC4B6">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适用范围</w:t>
      </w:r>
    </w:p>
    <w:p w14:paraId="1FDACC3C">
      <w:pPr>
        <w:pStyle w:val="12"/>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1.1.本采购文件适用于本次项目的招标、投标、评标、定标、验收、合同履约、付款等行为（法律、法规另有规定的，从其规定）。</w:t>
      </w:r>
    </w:p>
    <w:p w14:paraId="014A48C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74B1E28E">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2.1.采购组织机构：是指采购人委托组织招标的采购代理机构；</w:t>
      </w:r>
    </w:p>
    <w:p w14:paraId="04F7741F">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2.2.采购人：是指依法进行政府采购的国家机关、事业单位、团体组织；</w:t>
      </w:r>
    </w:p>
    <w:p w14:paraId="33161632">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2.3.供应商：是指向采购人提供货物、工程或者服务的法人、其他组织或者自然人；</w:t>
      </w:r>
    </w:p>
    <w:p w14:paraId="0A358584">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2.4.货物：是指各种形态和种类的物品，包括原材料、燃料、设备、产品等；</w:t>
      </w:r>
    </w:p>
    <w:p w14:paraId="503DC60A">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2.5.服务：是指除货物和工程以外的政府采购对象，包括各类专业服务、信息网络开发服务、金融保险服务、运输服务，以及维修与维护服务等；</w:t>
      </w:r>
    </w:p>
    <w:p w14:paraId="48728F7F">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2.6.书面形式：包括信函、传真、电子文档等，官方指定网站公示的内容视为书面告知；</w:t>
      </w:r>
    </w:p>
    <w:p w14:paraId="2EE0F2AB">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2.7.“▲”条款系指实质性条款，电子投标文件须作出实质性响应，否则作无效标处理。</w:t>
      </w:r>
    </w:p>
    <w:p w14:paraId="4DDE6677">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招标方式</w:t>
      </w:r>
    </w:p>
    <w:p w14:paraId="5ED08621">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w:t>
      </w:r>
      <w:r>
        <w:rPr>
          <w:rFonts w:hint="eastAsia" w:ascii="宋体" w:hAnsi="宋体" w:eastAsia="宋体" w:cs="宋体"/>
          <w:color w:val="auto"/>
          <w:sz w:val="24"/>
          <w:highlight w:val="none"/>
          <w:u w:val="single"/>
        </w:rPr>
        <w:t>公开招标</w:t>
      </w:r>
      <w:r>
        <w:rPr>
          <w:rFonts w:hint="eastAsia" w:ascii="宋体" w:hAnsi="宋体" w:eastAsia="宋体" w:cs="宋体"/>
          <w:color w:val="auto"/>
          <w:sz w:val="24"/>
          <w:highlight w:val="none"/>
        </w:rPr>
        <w:t>方式进行。</w:t>
      </w:r>
    </w:p>
    <w:p w14:paraId="74E4042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投标委托</w:t>
      </w:r>
    </w:p>
    <w:p w14:paraId="251DA75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投标人的法定代表人可以授权其单位的其他在职员工全权代表其处理与本次投标有关的事项，但其授权代表必须持有经法定代表人（负责人）签字（或盖章）的授权委托书。</w:t>
      </w:r>
    </w:p>
    <w:p w14:paraId="13E64A87">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联合体投标</w:t>
      </w:r>
    </w:p>
    <w:p w14:paraId="4EA91A8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firstLine="241" w:firstLineChars="1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rPr>
        <w:t>须知前附表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规定</w:t>
      </w:r>
      <w:r>
        <w:rPr>
          <w:rFonts w:hint="eastAsia" w:ascii="宋体" w:hAnsi="宋体" w:eastAsia="宋体" w:cs="宋体"/>
          <w:b/>
          <w:bCs/>
          <w:color w:val="auto"/>
          <w:sz w:val="24"/>
          <w:highlight w:val="none"/>
          <w:lang w:val="en-US" w:eastAsia="zh-CN"/>
        </w:rPr>
        <w:t>可</w:t>
      </w:r>
      <w:r>
        <w:rPr>
          <w:rFonts w:hint="eastAsia" w:ascii="宋体" w:hAnsi="宋体" w:eastAsia="宋体" w:cs="宋体"/>
          <w:b/>
          <w:bCs/>
          <w:color w:val="auto"/>
          <w:sz w:val="24"/>
          <w:highlight w:val="none"/>
        </w:rPr>
        <w:t>接受联合体投标的，</w:t>
      </w:r>
      <w:r>
        <w:rPr>
          <w:rFonts w:hint="eastAsia" w:ascii="宋体" w:hAnsi="宋体" w:eastAsia="宋体" w:cs="宋体"/>
          <w:b/>
          <w:bCs/>
          <w:color w:val="auto"/>
          <w:sz w:val="24"/>
          <w:highlight w:val="none"/>
          <w:lang w:val="en-US" w:eastAsia="zh-CN"/>
        </w:rPr>
        <w:t>则</w:t>
      </w:r>
      <w:r>
        <w:rPr>
          <w:rFonts w:hint="eastAsia" w:ascii="宋体" w:hAnsi="宋体" w:eastAsia="宋体" w:cs="宋体"/>
          <w:b/>
          <w:bCs/>
          <w:color w:val="auto"/>
          <w:sz w:val="24"/>
          <w:highlight w:val="none"/>
        </w:rPr>
        <w:t>应遵守以下规定：</w:t>
      </w:r>
    </w:p>
    <w:p w14:paraId="4EBA3CAB">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5.1.</w:t>
      </w:r>
      <w:r>
        <w:rPr>
          <w:rFonts w:hint="eastAsia" w:ascii="宋体" w:hAnsi="宋体" w:eastAsia="宋体" w:cs="宋体"/>
          <w:color w:val="auto"/>
          <w:sz w:val="24"/>
          <w:highlight w:val="none"/>
        </w:rPr>
        <w:t>两个以上的自然人、法人或者其他组织可以组成一个联合体，以一个供应商的身份共同参加政府采购。</w:t>
      </w:r>
    </w:p>
    <w:p w14:paraId="2CD12B12">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w:t>
      </w:r>
      <w:r>
        <w:rPr>
          <w:rFonts w:hint="eastAsia" w:ascii="宋体" w:hAnsi="宋体" w:eastAsia="宋体" w:cs="宋体"/>
          <w:color w:val="auto"/>
          <w:sz w:val="24"/>
          <w:highlight w:val="none"/>
        </w:rPr>
        <w:t>以联合体形式进行政府采购的，参加联合体的供应商均应当具备</w:t>
      </w:r>
      <w:r>
        <w:rPr>
          <w:rFonts w:hint="eastAsia" w:ascii="宋体" w:hAnsi="宋体" w:eastAsia="宋体" w:cs="宋体"/>
          <w:color w:val="auto"/>
          <w:sz w:val="24"/>
          <w:highlight w:val="none"/>
          <w:lang w:eastAsia="zh-CN"/>
        </w:rPr>
        <w:t>《中华人民共和国政府采购法》</w:t>
      </w:r>
      <w:r>
        <w:rPr>
          <w:rFonts w:hint="eastAsia" w:ascii="宋体" w:hAnsi="宋体" w:eastAsia="宋体" w:cs="宋体"/>
          <w:color w:val="auto"/>
          <w:sz w:val="24"/>
          <w:highlight w:val="none"/>
        </w:rPr>
        <w:t>第二十二条规定的条件，并应当向采购人提交联合协议，载明联合体各方承担的工作和义务。联合体各方应当共同与采购人签订采购合同，就采购合同约定的事项对采购人承担连带责任。</w:t>
      </w:r>
    </w:p>
    <w:p w14:paraId="2F3887C5">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5.3.</w:t>
      </w:r>
      <w:r>
        <w:rPr>
          <w:rFonts w:hint="eastAsia" w:ascii="宋体" w:hAnsi="宋体" w:eastAsia="宋体" w:cs="宋体"/>
          <w:color w:val="auto"/>
          <w:sz w:val="24"/>
          <w:highlight w:val="none"/>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543E4948">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5.4.</w:t>
      </w:r>
      <w:r>
        <w:rPr>
          <w:rFonts w:hint="eastAsia" w:ascii="宋体" w:hAnsi="宋体" w:eastAsia="宋体" w:cs="宋体"/>
          <w:color w:val="auto"/>
          <w:sz w:val="24"/>
          <w:highlight w:val="none"/>
        </w:rPr>
        <w:t>投标文件须由牵头人盖章及其全权代表签署。</w:t>
      </w:r>
    </w:p>
    <w:p w14:paraId="384A928B">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转包与分包</w:t>
      </w:r>
    </w:p>
    <w:p w14:paraId="499F9CA6">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6.1.本项目不允许转包。</w:t>
      </w:r>
    </w:p>
    <w:p w14:paraId="5C17258E">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6.2.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须知前附表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规定</w:t>
      </w:r>
      <w:r>
        <w:rPr>
          <w:rFonts w:hint="eastAsia" w:ascii="宋体" w:hAnsi="宋体" w:eastAsia="宋体" w:cs="宋体"/>
          <w:b/>
          <w:bCs/>
          <w:color w:val="auto"/>
          <w:highlight w:val="none"/>
          <w:lang w:val="en-US" w:eastAsia="zh-CN"/>
        </w:rPr>
        <w:t>可</w:t>
      </w:r>
      <w:r>
        <w:rPr>
          <w:rFonts w:hint="eastAsia" w:ascii="宋体" w:hAnsi="宋体" w:eastAsia="宋体" w:cs="宋体"/>
          <w:b/>
          <w:bCs/>
          <w:color w:val="auto"/>
          <w:highlight w:val="none"/>
        </w:rPr>
        <w:t>接受分包的，</w:t>
      </w:r>
      <w:r>
        <w:rPr>
          <w:rFonts w:hint="eastAsia" w:ascii="宋体" w:hAnsi="宋体" w:eastAsia="宋体" w:cs="宋体"/>
          <w:b/>
          <w:bCs/>
          <w:color w:val="auto"/>
          <w:highlight w:val="none"/>
          <w:lang w:val="en-US" w:eastAsia="zh-CN"/>
        </w:rPr>
        <w:t>则</w:t>
      </w:r>
      <w:r>
        <w:rPr>
          <w:rFonts w:hint="eastAsia" w:ascii="宋体" w:hAnsi="宋体" w:eastAsia="宋体" w:cs="宋体"/>
          <w:b/>
          <w:bCs/>
          <w:color w:val="auto"/>
          <w:highlight w:val="none"/>
        </w:rPr>
        <w:t>应遵守以下规定：</w:t>
      </w:r>
    </w:p>
    <w:p w14:paraId="2DF77EC6">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6.2.1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及其分包项目向采购人负责，分包供应商就分包项目承担连带责任。</w:t>
      </w:r>
    </w:p>
    <w:p w14:paraId="2546C679">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6.2.2</w:t>
      </w:r>
      <w:r>
        <w:rPr>
          <w:rFonts w:hint="eastAsia" w:ascii="宋体" w:hAnsi="宋体" w:eastAsia="宋体" w:cs="宋体"/>
          <w:color w:val="auto"/>
          <w:highlight w:val="none"/>
        </w:rPr>
        <w:t>中小企业享受扶持政策获得政府采购合同的，小微企业不得将合同分包给大中型企业，中型企业不得将合同分包给大型企业</w:t>
      </w:r>
      <w:r>
        <w:rPr>
          <w:rFonts w:hint="eastAsia" w:ascii="宋体" w:hAnsi="宋体" w:eastAsia="宋体" w:cs="宋体"/>
          <w:color w:val="auto"/>
          <w:highlight w:val="none"/>
          <w:lang w:eastAsia="zh-CN"/>
        </w:rPr>
        <w:t>。</w:t>
      </w:r>
    </w:p>
    <w:p w14:paraId="7C8D292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现场踏勘</w:t>
      </w:r>
    </w:p>
    <w:p w14:paraId="7EF1E9E3">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本项目不组织现场踏勘。投标人如有需要，经采购人同意后可自行前往，踏勘期间发生的费用或意外导致伤亡等一切责任和损失均由投标人自负。</w:t>
      </w:r>
    </w:p>
    <w:p w14:paraId="2E4CC20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投标费用</w:t>
      </w:r>
    </w:p>
    <w:p w14:paraId="3000BA60">
      <w:pPr>
        <w:keepNext w:val="0"/>
        <w:keepLines w:val="0"/>
        <w:pageBreakBefore w:val="0"/>
        <w:widowControl w:val="0"/>
        <w:kinsoku/>
        <w:wordWrap/>
        <w:overflowPunct/>
        <w:topLinePunct w:val="0"/>
        <w:autoSpaceDE/>
        <w:autoSpaceDN/>
        <w:bidi w:val="0"/>
        <w:adjustRightInd/>
        <w:snapToGrid w:val="0"/>
        <w:spacing w:before="157" w:beforeLines="50" w:after="157" w:afterLines="50" w:line="264" w:lineRule="auto"/>
        <w:ind w:firstLine="240" w:firstLine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8.1.不论投标过程和结果如何，供应商自行承担与投标有关的全部费用（采购文件有其他相反规定除外）。</w:t>
      </w:r>
    </w:p>
    <w:p w14:paraId="5E8EAE21">
      <w:pPr>
        <w:keepNext w:val="0"/>
        <w:keepLines w:val="0"/>
        <w:pageBreakBefore w:val="0"/>
        <w:widowControl w:val="0"/>
        <w:kinsoku/>
        <w:wordWrap/>
        <w:overflowPunct/>
        <w:topLinePunct w:val="0"/>
        <w:autoSpaceDE/>
        <w:autoSpaceDN/>
        <w:bidi w:val="0"/>
        <w:adjustRightIn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8.2.本项目由中标人承担招标代理服务费，按</w:t>
      </w:r>
      <w:r>
        <w:rPr>
          <w:rFonts w:hint="eastAsia" w:ascii="宋体" w:hAnsi="宋体" w:eastAsia="宋体" w:cs="宋体"/>
          <w:color w:val="auto"/>
          <w:sz w:val="24"/>
          <w:highlight w:val="none"/>
          <w:lang w:val="en-US" w:eastAsia="zh-CN"/>
        </w:rPr>
        <w:t>附表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服务招标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计算标准向中标人收取。代理服务费包含在报价其他费用内，不在报价中单列，并在领取中标通知书前向采购代理机构提交。代理服务费金额为固定金额，不随合同金额的增减而浮动。</w:t>
      </w:r>
    </w:p>
    <w:p w14:paraId="0AED7B9D">
      <w:pPr>
        <w:keepNext w:val="0"/>
        <w:keepLines w:val="0"/>
        <w:pageBreakBefore w:val="0"/>
        <w:kinsoku/>
        <w:wordWrap/>
        <w:overflowPunct/>
        <w:topLinePunct w:val="0"/>
        <w:bidi w:val="0"/>
        <w:spacing w:before="157" w:beforeLines="50" w:after="157" w:afterLines="50" w:line="264" w:lineRule="auto"/>
        <w:ind w:firstLine="180" w:firstLine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 招标代理服务收费标准</w:t>
      </w:r>
    </w:p>
    <w:tbl>
      <w:tblPr>
        <w:tblStyle w:val="31"/>
        <w:tblW w:w="7791" w:type="dxa"/>
        <w:jc w:val="center"/>
        <w:tblLayout w:type="fixed"/>
        <w:tblCellMar>
          <w:top w:w="0" w:type="dxa"/>
          <w:left w:w="108" w:type="dxa"/>
          <w:bottom w:w="0" w:type="dxa"/>
          <w:right w:w="108" w:type="dxa"/>
        </w:tblCellMar>
      </w:tblPr>
      <w:tblGrid>
        <w:gridCol w:w="3162"/>
        <w:gridCol w:w="4629"/>
      </w:tblGrid>
      <w:tr w14:paraId="489DE22E">
        <w:tblPrEx>
          <w:tblCellMar>
            <w:top w:w="0" w:type="dxa"/>
            <w:left w:w="108" w:type="dxa"/>
            <w:bottom w:w="0" w:type="dxa"/>
            <w:right w:w="108" w:type="dxa"/>
          </w:tblCellMar>
        </w:tblPrEx>
        <w:trPr>
          <w:trHeight w:val="283" w:hRule="atLeast"/>
          <w:jc w:val="center"/>
        </w:trPr>
        <w:tc>
          <w:tcPr>
            <w:tcW w:w="3162"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0B46EADC">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中标金额（万元）</w:t>
            </w:r>
          </w:p>
        </w:tc>
        <w:tc>
          <w:tcPr>
            <w:tcW w:w="4629"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514141F4">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服务招标收费费率</w:t>
            </w:r>
          </w:p>
        </w:tc>
      </w:tr>
      <w:tr w14:paraId="119A805C">
        <w:tblPrEx>
          <w:tblCellMar>
            <w:top w:w="0" w:type="dxa"/>
            <w:left w:w="108" w:type="dxa"/>
            <w:bottom w:w="0" w:type="dxa"/>
            <w:right w:w="108" w:type="dxa"/>
          </w:tblCellMar>
        </w:tblPrEx>
        <w:trPr>
          <w:trHeight w:val="283" w:hRule="atLeast"/>
          <w:jc w:val="center"/>
        </w:trPr>
        <w:tc>
          <w:tcPr>
            <w:tcW w:w="3162"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3F54E9C7">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100万元以下</w:t>
            </w:r>
          </w:p>
        </w:tc>
        <w:tc>
          <w:tcPr>
            <w:tcW w:w="4629"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1535B947">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r>
      <w:tr w14:paraId="734D7549">
        <w:tblPrEx>
          <w:tblCellMar>
            <w:top w:w="0" w:type="dxa"/>
            <w:left w:w="108" w:type="dxa"/>
            <w:bottom w:w="0" w:type="dxa"/>
            <w:right w:w="108" w:type="dxa"/>
          </w:tblCellMar>
        </w:tblPrEx>
        <w:trPr>
          <w:trHeight w:val="283" w:hRule="atLeast"/>
          <w:jc w:val="center"/>
        </w:trPr>
        <w:tc>
          <w:tcPr>
            <w:tcW w:w="3162"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4C4E325E">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100～500万元</w:t>
            </w:r>
          </w:p>
        </w:tc>
        <w:tc>
          <w:tcPr>
            <w:tcW w:w="4629"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14:paraId="38F40EAA">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0.8%</w:t>
            </w:r>
          </w:p>
        </w:tc>
      </w:tr>
    </w:tbl>
    <w:p w14:paraId="7D6E1012">
      <w:pPr>
        <w:keepNext w:val="0"/>
        <w:keepLines w:val="0"/>
        <w:pageBreakBefore w:val="0"/>
        <w:kinsoku/>
        <w:wordWrap/>
        <w:overflowPunct/>
        <w:topLinePunct w:val="0"/>
        <w:bidi w:val="0"/>
        <w:spacing w:before="157" w:beforeLines="50" w:after="157" w:afterLines="50" w:line="264" w:lineRule="auto"/>
        <w:ind w:firstLine="720" w:firstLineChars="4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说明：招标代理服务收费按差额定率累进法计算,以电汇、银行转账方式转入指定账户。</w:t>
      </w:r>
    </w:p>
    <w:p w14:paraId="4ED913BB">
      <w:pPr>
        <w:keepNext w:val="0"/>
        <w:keepLines w:val="0"/>
        <w:pageBreakBefore w:val="0"/>
        <w:kinsoku/>
        <w:wordWrap/>
        <w:overflowPunct/>
        <w:topLinePunct w:val="0"/>
        <w:bidi w:val="0"/>
        <w:spacing w:before="157" w:beforeLines="50" w:after="157" w:afterLines="50" w:line="264" w:lineRule="auto"/>
        <w:ind w:firstLine="720" w:firstLineChars="4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收款单位： 台州市天诚工程造价咨询有限公司 ；</w:t>
      </w:r>
    </w:p>
    <w:p w14:paraId="34ADD853">
      <w:pPr>
        <w:keepNext w:val="0"/>
        <w:keepLines w:val="0"/>
        <w:pageBreakBefore w:val="0"/>
        <w:kinsoku/>
        <w:wordWrap/>
        <w:overflowPunct/>
        <w:topLinePunct w:val="0"/>
        <w:bidi w:val="0"/>
        <w:spacing w:before="157" w:beforeLines="50" w:after="157" w:afterLines="50" w:line="264" w:lineRule="auto"/>
        <w:ind w:firstLine="720" w:firstLineChars="4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开户银行： 工商银行天台县支行 ；            </w:t>
      </w:r>
    </w:p>
    <w:p w14:paraId="54DE46D4">
      <w:pPr>
        <w:keepNext w:val="0"/>
        <w:keepLines w:val="0"/>
        <w:pageBreakBefore w:val="0"/>
        <w:kinsoku/>
        <w:wordWrap/>
        <w:overflowPunct/>
        <w:topLinePunct w:val="0"/>
        <w:bidi w:val="0"/>
        <w:spacing w:before="157" w:beforeLines="50" w:after="157" w:afterLines="50" w:line="264" w:lineRule="auto"/>
        <w:ind w:firstLine="720" w:firstLineChars="4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银行账号：  1207061109201001718 。</w:t>
      </w:r>
    </w:p>
    <w:p w14:paraId="4D4172D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采购项目需要落实的政府采购政策：</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详见采购文件第五章</w:t>
      </w:r>
      <w:r>
        <w:rPr>
          <w:rFonts w:hint="eastAsia" w:ascii="宋体" w:hAnsi="宋体" w:eastAsia="宋体" w:cs="宋体"/>
          <w:b/>
          <w:color w:val="auto"/>
          <w:sz w:val="24"/>
          <w:highlight w:val="none"/>
          <w:lang w:eastAsia="zh-CN"/>
        </w:rPr>
        <w:t>）</w:t>
      </w:r>
    </w:p>
    <w:p w14:paraId="5D8BFDD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3678D207">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▲10.1.供应商不得是采购人的附属机构（单位）。</w:t>
      </w:r>
    </w:p>
    <w:p w14:paraId="15943D43">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▲10.2.单位负责人为同一人或者存在直接控股、管理关系的不同供应商，不得参加同一合同项下的政府采购活动。</w:t>
      </w:r>
    </w:p>
    <w:p w14:paraId="698DBD52">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▲10.3.除单一来源采购项目外，为采购项目提供整体设计、规范编制或者项目管理、监理、检测等服务的供应商，不得再参加该采购项目的其他采购活动。</w:t>
      </w:r>
    </w:p>
    <w:p w14:paraId="5260D50E">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10.4.</w:t>
      </w:r>
      <w:r>
        <w:rPr>
          <w:rFonts w:hint="eastAsia" w:ascii="宋体" w:hAnsi="宋体" w:eastAsia="宋体" w:cs="宋体"/>
          <w:color w:val="auto"/>
          <w:sz w:val="24"/>
          <w:highlight w:val="none"/>
        </w:rPr>
        <w:t>公益一类事业单位、使用事业编制且由财政拨款保障的群团组织，不作为政府购买服务的购买主体和承接主体。</w:t>
      </w:r>
    </w:p>
    <w:p w14:paraId="3FC7BB14">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员工。</w:t>
      </w:r>
    </w:p>
    <w:p w14:paraId="3F5461F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4ADA548">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10.7.</w:t>
      </w:r>
      <w:r>
        <w:rPr>
          <w:rFonts w:hint="eastAsia" w:ascii="宋体" w:hAnsi="宋体" w:eastAsia="宋体" w:cs="宋体"/>
          <w:color w:val="auto"/>
          <w:sz w:val="24"/>
          <w:highlight w:val="none"/>
        </w:rPr>
        <w:t>投标供应商所投产品除招标文件中明确规定要求“提供官网截图或相应检测报告 的证明材料”以外，所有技术参数描述均以投标文件为准，投标供应商需在投标文件中说明本次投标产品的技术参数是否与官网上公开的技术参数一致，如不一致，明确哪些 参数不一致，不一致的原因以及使用何种技术可以达到投标产品参数。投标供应商对所 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2ABBD597">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1780B8">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8D879F">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287E6CA3">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本项目的核心产品为：</w:t>
      </w:r>
      <w:r>
        <w:rPr>
          <w:rFonts w:hint="eastAsia" w:ascii="宋体" w:hAnsi="宋体" w:eastAsia="宋体" w:cs="宋体"/>
          <w:b/>
          <w:bCs/>
          <w:color w:val="auto"/>
          <w:sz w:val="24"/>
          <w:highlight w:val="none"/>
          <w:u w:val="single"/>
        </w:rPr>
        <w:t xml:space="preserve">     /     </w:t>
      </w:r>
      <w:r>
        <w:rPr>
          <w:rFonts w:hint="eastAsia" w:ascii="宋体" w:hAnsi="宋体" w:eastAsia="宋体" w:cs="宋体"/>
          <w:b/>
          <w:bCs/>
          <w:color w:val="auto"/>
          <w:sz w:val="24"/>
          <w:highlight w:val="none"/>
        </w:rPr>
        <w:t>。</w:t>
      </w:r>
    </w:p>
    <w:p w14:paraId="6DDC887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供应商在投标活动中提供虚假材料谋取中标、成交的,其投标无效，并报有关行政监督部门查处。中标后发现的,根据《中华人民共和国政府采购法》第七十七条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B233412">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宋体" w:hAnsi="宋体" w:eastAsia="宋体" w:cs="宋体"/>
          <w:b/>
          <w:bCs/>
          <w:color w:val="auto"/>
          <w:sz w:val="30"/>
          <w:szCs w:val="30"/>
          <w:highlight w:val="none"/>
        </w:rPr>
      </w:pPr>
      <w:bookmarkStart w:id="20" w:name="_Toc13674"/>
      <w:r>
        <w:rPr>
          <w:rFonts w:hint="eastAsia" w:ascii="宋体" w:hAnsi="宋体" w:eastAsia="宋体" w:cs="宋体"/>
          <w:b/>
          <w:bCs/>
          <w:color w:val="auto"/>
          <w:sz w:val="30"/>
          <w:szCs w:val="30"/>
          <w:highlight w:val="none"/>
        </w:rPr>
        <w:t>第二节  采购文件</w:t>
      </w:r>
      <w:bookmarkEnd w:id="20"/>
    </w:p>
    <w:p w14:paraId="4F5430AB">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采购文件发放</w:t>
      </w:r>
    </w:p>
    <w:p w14:paraId="1725BBD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投标供应商网上自行下载采购文件。</w:t>
      </w:r>
    </w:p>
    <w:p w14:paraId="46BB620B">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采购文件约束力</w:t>
      </w:r>
    </w:p>
    <w:p w14:paraId="67307884">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供应商一旦获取本采购文件并参加投标，即被</w:t>
      </w:r>
      <w:r>
        <w:rPr>
          <w:rFonts w:hint="eastAsia" w:ascii="宋体" w:hAnsi="宋体" w:eastAsia="宋体" w:cs="宋体"/>
          <w:color w:val="auto"/>
          <w:sz w:val="24"/>
          <w:highlight w:val="none"/>
        </w:rPr>
        <w:t>视</w:t>
      </w:r>
      <w:r>
        <w:rPr>
          <w:rFonts w:hint="eastAsia" w:ascii="宋体" w:hAnsi="宋体" w:eastAsia="宋体" w:cs="宋体"/>
          <w:color w:val="auto"/>
          <w:sz w:val="24"/>
          <w:highlight w:val="none"/>
          <w:lang w:val="zh-CN"/>
        </w:rPr>
        <w:t>为接受了本采购文件</w:t>
      </w:r>
      <w:r>
        <w:rPr>
          <w:rFonts w:hint="eastAsia" w:ascii="宋体" w:hAnsi="宋体" w:eastAsia="宋体" w:cs="宋体"/>
          <w:color w:val="auto"/>
          <w:sz w:val="24"/>
          <w:highlight w:val="none"/>
        </w:rPr>
        <w:t>的所有内容</w:t>
      </w:r>
      <w:r>
        <w:rPr>
          <w:rFonts w:hint="eastAsia" w:ascii="宋体" w:hAnsi="宋体" w:eastAsia="宋体" w:cs="宋体"/>
          <w:color w:val="auto"/>
          <w:sz w:val="24"/>
          <w:highlight w:val="none"/>
          <w:lang w:val="zh-CN"/>
        </w:rPr>
        <w:t>。</w:t>
      </w:r>
    </w:p>
    <w:p w14:paraId="623F4B87">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采购文件的组成</w:t>
      </w:r>
    </w:p>
    <w:p w14:paraId="11965691">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13.1.第一章 招标公告</w:t>
      </w:r>
    </w:p>
    <w:p w14:paraId="6ED7B7F7">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13.2.第二章 投标人须知</w:t>
      </w:r>
    </w:p>
    <w:p w14:paraId="04D01D1E">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13.3.第三章 招标内容及需求</w:t>
      </w:r>
    </w:p>
    <w:p w14:paraId="0ECEA3AE">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13.4.第四章 合同主要条款</w:t>
      </w:r>
    </w:p>
    <w:p w14:paraId="3213D295">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13.5.第五章 评标办法及评分标准</w:t>
      </w:r>
    </w:p>
    <w:p w14:paraId="4385A28A">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13.6.第六章 应提交的有关格式范例</w:t>
      </w:r>
    </w:p>
    <w:p w14:paraId="5A6526EC">
      <w:pPr>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13.7.本项目采购文件的澄清、答复、修改、补充的内容</w:t>
      </w:r>
    </w:p>
    <w:p w14:paraId="69B0EAE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投标人的风险</w:t>
      </w:r>
    </w:p>
    <w:p w14:paraId="543817A1">
      <w:pPr>
        <w:pStyle w:val="26"/>
        <w:keepNext w:val="0"/>
        <w:keepLines w:val="0"/>
        <w:pageBreakBefore w:val="0"/>
        <w:widowControl w:val="0"/>
        <w:kinsoku/>
        <w:wordWrap/>
        <w:overflowPunct/>
        <w:topLinePunct w:val="0"/>
        <w:autoSpaceDE/>
        <w:autoSpaceDN/>
        <w:bidi w:val="0"/>
        <w:adjustRightInd/>
        <w:snapToGrid w:val="0"/>
        <w:spacing w:before="157" w:beforeLines="50" w:after="157" w:afterLines="50" w:line="26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投标人没有按照采购文件要求提供全部资料，或者投标人没有对采购文件在各方面作出实质性响应是投标人的风险，并可能导致其投标被拒绝。</w:t>
      </w:r>
    </w:p>
    <w:p w14:paraId="6B7E03EB">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采购文件的澄清、修改和补充</w:t>
      </w:r>
    </w:p>
    <w:p w14:paraId="77142AD0">
      <w:pPr>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15.1.投标人按招标公告要求依法获取采购文件后，应认真阅读本采购文件的所有内容，发现其中有误或有不合理要求的，投标人必须在法定时间内以书面形式要求采购人澄清。逾期提出的，采购人将不予受理。</w:t>
      </w:r>
      <w:r>
        <w:rPr>
          <w:rFonts w:hint="eastAsia" w:ascii="宋体" w:hAnsi="宋体" w:eastAsia="宋体" w:cs="宋体"/>
          <w:b/>
          <w:bCs/>
          <w:color w:val="auto"/>
          <w:sz w:val="24"/>
          <w:highlight w:val="none"/>
        </w:rPr>
        <w:t>供应商在规定的时间内未对采购文件提出质疑或要求澄清的，将视其为无异议。</w:t>
      </w:r>
      <w:r>
        <w:rPr>
          <w:rFonts w:hint="eastAsia" w:ascii="宋体" w:hAnsi="宋体" w:eastAsia="宋体" w:cs="宋体"/>
          <w:color w:val="auto"/>
          <w:sz w:val="24"/>
          <w:highlight w:val="none"/>
        </w:rPr>
        <w:t>质疑函范本、投诉书范本请到浙江政府采购网下载专区下载。</w:t>
      </w:r>
    </w:p>
    <w:p w14:paraId="3ADD3907">
      <w:pPr>
        <w:keepNext w:val="0"/>
        <w:keepLines w:val="0"/>
        <w:pageBreakBefore w:val="0"/>
        <w:widowControl/>
        <w:kinsoku/>
        <w:wordWrap/>
        <w:overflowPunct/>
        <w:topLinePunct w:val="0"/>
        <w:autoSpaceDE/>
        <w:autoSpaceDN/>
        <w:bidi w:val="0"/>
        <w:adjustRightInd/>
        <w:snapToGrid/>
        <w:spacing w:before="157" w:beforeLines="50" w:after="157" w:afterLines="50" w:line="264"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采购代理机构如对采购文件进行澄清、修改、补充的，或者在投标截止时间前规定时间内，采购代理机构需要对采购文件进行补充或修改的，将会通过投标人须知前附表规定的网址以更正公告的形式发布。更正公告作为采购文件的补充和组成部分，对所有投标人均有约束力。当采购文件与采购文件的澄清、修改、补充通知就同一内容的表述不一致时，以最后发出的文件为准。</w:t>
      </w:r>
      <w:r>
        <w:rPr>
          <w:rFonts w:hint="eastAsia" w:ascii="宋体" w:hAnsi="宋体" w:eastAsia="宋体" w:cs="宋体"/>
          <w:b/>
          <w:bCs/>
          <w:color w:val="auto"/>
          <w:sz w:val="24"/>
          <w:highlight w:val="none"/>
        </w:rPr>
        <w:t>投标人须在投标截止前自行查看是否有补充、更正文件，并按补充、更正文件要求投标，否则责任自负。</w:t>
      </w:r>
    </w:p>
    <w:p w14:paraId="618DAA36">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宋体" w:hAnsi="宋体" w:eastAsia="宋体" w:cs="宋体"/>
          <w:b/>
          <w:bCs/>
          <w:color w:val="auto"/>
          <w:sz w:val="30"/>
          <w:szCs w:val="30"/>
          <w:highlight w:val="none"/>
        </w:rPr>
      </w:pPr>
      <w:bookmarkStart w:id="21" w:name="_Toc5331"/>
      <w:r>
        <w:rPr>
          <w:rFonts w:hint="eastAsia" w:ascii="宋体" w:hAnsi="宋体" w:eastAsia="宋体" w:cs="宋体"/>
          <w:b/>
          <w:bCs/>
          <w:color w:val="auto"/>
          <w:sz w:val="30"/>
          <w:szCs w:val="30"/>
          <w:highlight w:val="none"/>
        </w:rPr>
        <w:t>第三节  投标文件</w:t>
      </w:r>
      <w:bookmarkEnd w:id="21"/>
    </w:p>
    <w:p w14:paraId="6F085A8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投标文件的编制</w:t>
      </w:r>
    </w:p>
    <w:p w14:paraId="4041771B">
      <w:pPr>
        <w:pStyle w:val="6"/>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本项目通过“政采云平台（www.zcygov.cn）”实行在线投标响应（电子投标）。供应商应先进行“政采云电子交易客户端”安装及CA数字证书申领，并按照本采购文件和“政采云平台”的要求，通过“政采云电子交易客户端”编制并加密响应文件。电子响应文件包括“电子加密响应文件”和“备份响应文件”，在响应文件编制完成后同时生成。</w:t>
      </w:r>
    </w:p>
    <w:p w14:paraId="3C6167A3">
      <w:pPr>
        <w:keepNext w:val="0"/>
        <w:keepLines w:val="0"/>
        <w:pageBreakBefore w:val="0"/>
        <w:widowControl/>
        <w:kinsoku/>
        <w:wordWrap/>
        <w:overflowPunct/>
        <w:topLinePunct w:val="0"/>
        <w:autoSpaceDE/>
        <w:autoSpaceDN/>
        <w:bidi w:val="0"/>
        <w:adjustRightInd/>
        <w:snapToGrid/>
        <w:spacing w:before="157" w:beforeLines="50" w:after="157" w:afterLines="50" w:line="264" w:lineRule="auto"/>
        <w:ind w:firstLine="240" w:firstLine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投标人应仔细阅读采购文件(包括澄清或者修改)的所有内容，并对采购文件实质性内容作出响应，制作投标文件时，内容简洁明了、有针对性。所提交的全部资料必须真实有效，并且要保证字迹清晰易于辨认。</w:t>
      </w:r>
    </w:p>
    <w:p w14:paraId="0AAF8200">
      <w:pPr>
        <w:pStyle w:val="6"/>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16.3.本项目所涉投标文件格式详见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"第六章" </w:instrText>
      </w:r>
      <w:r>
        <w:rPr>
          <w:rFonts w:hint="eastAsia" w:ascii="宋体" w:hAnsi="宋体" w:eastAsia="宋体" w:cs="宋体"/>
          <w:color w:val="auto"/>
          <w:highlight w:val="none"/>
        </w:rPr>
        <w:fldChar w:fldCharType="separate"/>
      </w:r>
      <w:r>
        <w:rPr>
          <w:rStyle w:val="36"/>
          <w:rFonts w:hint="eastAsia" w:ascii="宋体" w:hAnsi="宋体" w:eastAsia="宋体" w:cs="宋体"/>
          <w:color w:val="auto"/>
          <w:sz w:val="24"/>
          <w:highlight w:val="none"/>
          <w:u w:val="single"/>
        </w:rPr>
        <w:t>第六章</w:t>
      </w:r>
      <w:r>
        <w:rPr>
          <w:rStyle w:val="36"/>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rPr>
        <w:t>，格式中要求提供相关证明材料的还需后附相关证明材料，并按格式要求在指定位置进行签章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编制投标文件时，不得随意对</w:t>
      </w:r>
      <w:r>
        <w:rPr>
          <w:rStyle w:val="36"/>
          <w:rFonts w:hint="eastAsia" w:ascii="宋体" w:hAnsi="宋体" w:eastAsia="宋体" w:cs="宋体"/>
          <w:color w:val="auto"/>
          <w:sz w:val="24"/>
          <w:highlight w:val="none"/>
          <w:u w:val="none"/>
          <w:lang w:val="en-US" w:eastAsia="zh-CN"/>
        </w:rPr>
        <w:t>附件</w:t>
      </w:r>
      <w:r>
        <w:rPr>
          <w:rFonts w:hint="eastAsia" w:ascii="宋体" w:hAnsi="宋体" w:eastAsia="宋体" w:cs="宋体"/>
          <w:color w:val="auto"/>
          <w:sz w:val="24"/>
          <w:highlight w:val="none"/>
          <w:lang w:val="en-US" w:eastAsia="zh-CN"/>
        </w:rPr>
        <w:t>格式进行增删更改，若影响实质性内容的表达，将按无效标处理。</w:t>
      </w:r>
      <w:r>
        <w:rPr>
          <w:rFonts w:hint="eastAsia" w:ascii="宋体" w:hAnsi="宋体" w:eastAsia="宋体" w:cs="宋体"/>
          <w:color w:val="auto"/>
          <w:sz w:val="24"/>
          <w:highlight w:val="none"/>
        </w:rPr>
        <w:t>未提供格式的，请各投标单位自行拟定格式</w:t>
      </w:r>
      <w:r>
        <w:rPr>
          <w:rFonts w:hint="eastAsia" w:ascii="宋体" w:hAnsi="宋体" w:eastAsia="宋体" w:cs="宋体"/>
          <w:color w:val="auto"/>
          <w:sz w:val="24"/>
          <w:highlight w:val="none"/>
          <w:lang w:eastAsia="zh-CN"/>
        </w:rPr>
        <w:t>。</w:t>
      </w:r>
    </w:p>
    <w:p w14:paraId="2724F34C">
      <w:pPr>
        <w:pStyle w:val="6"/>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16.4.制作投标文件时做好关联定位，以便评标委员会在评标时，点击评分项，可直接定位到该评分项内容。（关联定位规则：一个关联点只能关联一页，不能关联多页；多个关联点可以关联同一页）</w:t>
      </w:r>
    </w:p>
    <w:p w14:paraId="7D2C04CE">
      <w:pPr>
        <w:pStyle w:val="6"/>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16.5.当投标人先前存在机构合并、分立、重组等情况造成提供的证明材料单位名称与营业执照上的单位名称不一致时，必须提供相关变更证明材料，以供专家评审。</w:t>
      </w:r>
    </w:p>
    <w:p w14:paraId="6837B923">
      <w:pPr>
        <w:pStyle w:val="6"/>
        <w:keepNext w:val="0"/>
        <w:keepLines w:val="0"/>
        <w:pageBreakBefore w:val="0"/>
        <w:kinsoku/>
        <w:wordWrap/>
        <w:overflowPunct/>
        <w:topLinePunct w:val="0"/>
        <w:autoSpaceDE/>
        <w:autoSpaceDN/>
        <w:bidi w:val="0"/>
        <w:adjustRightInd/>
        <w:snapToGrid/>
        <w:spacing w:before="157" w:beforeLines="50" w:after="157" w:afterLines="50" w:line="264"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16.6 如联合体投标的，投标文件中除联合协议外，所有盖章、签字部分仅需联合体牵头人盖章和签字。</w:t>
      </w:r>
    </w:p>
    <w:p w14:paraId="123FEFF4">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投标文件的组成</w:t>
      </w:r>
    </w:p>
    <w:p w14:paraId="11937F2B">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投标文件由【资格文件】、【商务技术文件】、【报价文件】三部分组成。</w:t>
      </w:r>
    </w:p>
    <w:p w14:paraId="3158F03D">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48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color w:val="auto"/>
          <w:sz w:val="24"/>
          <w:highlight w:val="none"/>
          <w:lang w:val="en-US" w:eastAsia="zh-CN"/>
        </w:rPr>
        <w:t>除特别注明外，表格内</w:t>
      </w:r>
      <w:r>
        <w:rPr>
          <w:rFonts w:hint="eastAsia" w:ascii="宋体" w:hAnsi="宋体" w:eastAsia="宋体" w:cs="宋体"/>
          <w:b/>
          <w:color w:val="auto"/>
          <w:sz w:val="24"/>
          <w:highlight w:val="none"/>
        </w:rPr>
        <w:t>“▲”的内容为必须提供的内容，未提供的投标无效。联合体投标</w:t>
      </w:r>
      <w:r>
        <w:rPr>
          <w:rFonts w:hint="eastAsia" w:ascii="宋体" w:hAnsi="宋体" w:eastAsia="宋体" w:cs="宋体"/>
          <w:b/>
          <w:color w:val="auto"/>
          <w:sz w:val="24"/>
          <w:highlight w:val="none"/>
          <w:lang w:val="en-US" w:eastAsia="zh-CN"/>
        </w:rPr>
        <w:t>的，表格内</w:t>
      </w:r>
      <w:r>
        <w:rPr>
          <w:rFonts w:hint="eastAsia" w:ascii="宋体" w:hAnsi="宋体" w:eastAsia="宋体" w:cs="宋体"/>
          <w:b/>
          <w:color w:val="auto"/>
          <w:sz w:val="24"/>
          <w:highlight w:val="none"/>
        </w:rPr>
        <w:t>未作</w:t>
      </w:r>
      <w:r>
        <w:rPr>
          <w:rFonts w:hint="eastAsia" w:ascii="宋体" w:hAnsi="宋体" w:eastAsia="宋体" w:cs="宋体"/>
          <w:b/>
          <w:color w:val="auto"/>
          <w:sz w:val="24"/>
          <w:highlight w:val="none"/>
          <w:lang w:val="en-US" w:eastAsia="zh-CN"/>
        </w:rPr>
        <w:t>特别注明</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val="en-US" w:eastAsia="zh-CN"/>
        </w:rPr>
        <w:t>应由</w:t>
      </w:r>
      <w:r>
        <w:rPr>
          <w:rFonts w:hint="eastAsia" w:ascii="宋体" w:hAnsi="宋体" w:eastAsia="宋体" w:cs="宋体"/>
          <w:b/>
          <w:color w:val="auto"/>
          <w:sz w:val="24"/>
          <w:highlight w:val="none"/>
        </w:rPr>
        <w:t>联合体牵头人单位提供。</w:t>
      </w:r>
    </w:p>
    <w:p w14:paraId="16466B0A">
      <w:pPr>
        <w:pStyle w:val="6"/>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资格文件包括（加盖单位公章）：</w:t>
      </w:r>
    </w:p>
    <w:tbl>
      <w:tblPr>
        <w:tblStyle w:val="32"/>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9"/>
        <w:gridCol w:w="8794"/>
      </w:tblGrid>
      <w:tr w14:paraId="6B1A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3" w:hRule="atLeast"/>
          <w:jc w:val="center"/>
        </w:trPr>
        <w:tc>
          <w:tcPr>
            <w:tcW w:w="759" w:type="dxa"/>
            <w:tcBorders>
              <w:tl2br w:val="nil"/>
              <w:tr2bl w:val="nil"/>
            </w:tcBorders>
            <w:shd w:val="clear" w:color="auto" w:fill="auto"/>
            <w:vAlign w:val="center"/>
          </w:tcPr>
          <w:p w14:paraId="041C32B3">
            <w:pPr>
              <w:keepNext w:val="0"/>
              <w:keepLines w:val="0"/>
              <w:pageBreakBefore w:val="0"/>
              <w:kinsoku/>
              <w:wordWrap/>
              <w:overflowPunct/>
              <w:topLinePunct w:val="0"/>
              <w:bidi w:val="0"/>
              <w:spacing w:before="157" w:beforeLines="50" w:after="157" w:afterLines="50" w:line="264"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94" w:type="dxa"/>
            <w:tcBorders>
              <w:tl2br w:val="nil"/>
              <w:tr2bl w:val="nil"/>
            </w:tcBorders>
            <w:shd w:val="clear" w:color="auto" w:fill="auto"/>
            <w:vAlign w:val="center"/>
          </w:tcPr>
          <w:p w14:paraId="6A8078D3">
            <w:pPr>
              <w:keepNext w:val="0"/>
              <w:keepLines w:val="0"/>
              <w:pageBreakBefore w:val="0"/>
              <w:kinsoku/>
              <w:wordWrap/>
              <w:overflowPunct/>
              <w:topLinePunct w:val="0"/>
              <w:bidi w:val="0"/>
              <w:spacing w:before="157" w:beforeLines="50" w:after="157" w:afterLines="50" w:line="264"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内    容</w:t>
            </w:r>
          </w:p>
        </w:tc>
      </w:tr>
      <w:tr w14:paraId="1697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60A2A85F">
            <w:pPr>
              <w:keepNext w:val="0"/>
              <w:keepLines w:val="0"/>
              <w:pageBreakBefore w:val="0"/>
              <w:numPr>
                <w:ilvl w:val="0"/>
                <w:numId w:val="8"/>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94" w:type="dxa"/>
            <w:tcBorders>
              <w:tl2br w:val="nil"/>
              <w:tr2bl w:val="nil"/>
            </w:tcBorders>
            <w:shd w:val="clear" w:color="auto" w:fill="auto"/>
            <w:vAlign w:val="center"/>
          </w:tcPr>
          <w:p w14:paraId="77B66F07">
            <w:pPr>
              <w:pStyle w:val="15"/>
              <w:keepNext w:val="0"/>
              <w:keepLines w:val="0"/>
              <w:pageBreakBefore w:val="0"/>
              <w:kinsoku/>
              <w:wordWrap/>
              <w:overflowPunct/>
              <w:topLinePunct w:val="0"/>
              <w:bidi w:val="0"/>
              <w:spacing w:before="157" w:beforeLines="50" w:after="157" w:afterLines="50" w:line="240" w:lineRule="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《资格文件》封面；</w:t>
            </w:r>
            <w:r>
              <w:rPr>
                <w:rFonts w:hint="eastAsia" w:ascii="宋体" w:hAnsi="宋体" w:eastAsia="宋体" w:cs="宋体"/>
                <w:color w:val="auto"/>
                <w:sz w:val="20"/>
                <w:szCs w:val="20"/>
                <w:highlight w:val="none"/>
              </w:rPr>
              <w:t>（</w:t>
            </w:r>
            <w:r>
              <w:rPr>
                <w:rFonts w:hint="eastAsia" w:ascii="宋体" w:hAnsi="宋体" w:eastAsia="宋体" w:cs="宋体"/>
                <w:color w:val="auto"/>
                <w:kern w:val="2"/>
                <w:sz w:val="20"/>
                <w:szCs w:val="20"/>
                <w:highlight w:val="none"/>
                <w:u w:val="single"/>
                <w:shd w:val="clear" w:color="auto" w:fill="auto"/>
                <w:lang w:val="en-US" w:eastAsia="zh-CN" w:bidi="ar-SA"/>
              </w:rPr>
              <w:t>附件1</w:t>
            </w:r>
            <w:r>
              <w:rPr>
                <w:rFonts w:hint="eastAsia" w:ascii="宋体" w:hAnsi="宋体" w:eastAsia="宋体" w:cs="宋体"/>
                <w:color w:val="auto"/>
                <w:sz w:val="20"/>
                <w:szCs w:val="20"/>
                <w:highlight w:val="none"/>
                <w:lang w:val="en-US" w:eastAsia="zh-CN"/>
              </w:rPr>
              <w:t>，如有</w:t>
            </w:r>
            <w:r>
              <w:rPr>
                <w:rFonts w:hint="eastAsia" w:ascii="宋体" w:hAnsi="宋体" w:eastAsia="宋体" w:cs="宋体"/>
                <w:color w:val="auto"/>
                <w:sz w:val="20"/>
                <w:szCs w:val="20"/>
                <w:highlight w:val="none"/>
              </w:rPr>
              <w:t>）</w:t>
            </w:r>
          </w:p>
        </w:tc>
      </w:tr>
      <w:tr w14:paraId="4CF1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36E7DC04">
            <w:pPr>
              <w:keepNext w:val="0"/>
              <w:keepLines w:val="0"/>
              <w:pageBreakBefore w:val="0"/>
              <w:numPr>
                <w:ilvl w:val="0"/>
                <w:numId w:val="8"/>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94" w:type="dxa"/>
            <w:tcBorders>
              <w:tl2br w:val="nil"/>
              <w:tr2bl w:val="nil"/>
            </w:tcBorders>
            <w:shd w:val="clear" w:color="auto" w:fill="auto"/>
            <w:vAlign w:val="center"/>
          </w:tcPr>
          <w:p w14:paraId="7E185942">
            <w:pPr>
              <w:pStyle w:val="15"/>
              <w:keepNext w:val="0"/>
              <w:keepLines w:val="0"/>
              <w:pageBreakBefore w:val="0"/>
              <w:kinsoku/>
              <w:wordWrap/>
              <w:overflowPunct/>
              <w:topLinePunct w:val="0"/>
              <w:bidi w:val="0"/>
              <w:spacing w:before="157" w:beforeLines="50" w:after="157" w:afterLines="5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lang w:val="zh-CN"/>
              </w:rPr>
              <w:t>投标资格声明函》；</w:t>
            </w:r>
            <w:r>
              <w:rPr>
                <w:rFonts w:hint="eastAsia" w:ascii="宋体" w:hAnsi="宋体" w:eastAsia="宋体" w:cs="宋体"/>
                <w:color w:val="auto"/>
                <w:sz w:val="20"/>
                <w:szCs w:val="20"/>
                <w:highlight w:val="none"/>
                <w:u w:val="single"/>
                <w:shd w:val="clear" w:color="auto" w:fill="auto"/>
              </w:rPr>
              <w:fldChar w:fldCharType="begin"/>
            </w:r>
            <w:r>
              <w:rPr>
                <w:rFonts w:hint="eastAsia" w:ascii="宋体" w:hAnsi="宋体" w:eastAsia="宋体" w:cs="宋体"/>
                <w:color w:val="auto"/>
                <w:sz w:val="20"/>
                <w:szCs w:val="20"/>
                <w:highlight w:val="none"/>
                <w:u w:val="single"/>
                <w:shd w:val="clear" w:color="auto" w:fill="auto"/>
              </w:rPr>
              <w:instrText xml:space="preserve"> HYPERLINK \l "残疾人单位" </w:instrText>
            </w:r>
            <w:r>
              <w:rPr>
                <w:rFonts w:hint="eastAsia" w:ascii="宋体" w:hAnsi="宋体" w:eastAsia="宋体" w:cs="宋体"/>
                <w:color w:val="auto"/>
                <w:sz w:val="20"/>
                <w:szCs w:val="20"/>
                <w:highlight w:val="none"/>
                <w:u w:val="single"/>
                <w:shd w:val="clear" w:color="auto" w:fill="auto"/>
              </w:rPr>
              <w:fldChar w:fldCharType="separate"/>
            </w:r>
            <w:r>
              <w:rPr>
                <w:rFonts w:hint="eastAsia" w:ascii="宋体" w:hAnsi="宋体" w:eastAsia="宋体" w:cs="宋体"/>
                <w:color w:val="auto"/>
                <w:sz w:val="20"/>
                <w:szCs w:val="20"/>
                <w:highlight w:val="none"/>
                <w:u w:val="single"/>
                <w:shd w:val="clear" w:color="auto" w:fill="auto"/>
              </w:rPr>
              <w:t>（附件</w:t>
            </w:r>
            <w:r>
              <w:rPr>
                <w:rFonts w:hint="eastAsia" w:ascii="宋体" w:hAnsi="宋体" w:eastAsia="宋体" w:cs="宋体"/>
                <w:color w:val="auto"/>
                <w:sz w:val="20"/>
                <w:szCs w:val="20"/>
                <w:highlight w:val="none"/>
                <w:u w:val="single"/>
                <w:shd w:val="clear" w:color="auto" w:fill="auto"/>
                <w:lang w:val="en-US" w:eastAsia="zh-CN"/>
              </w:rPr>
              <w:t>5</w:t>
            </w:r>
            <w:r>
              <w:rPr>
                <w:rFonts w:hint="eastAsia" w:ascii="宋体" w:hAnsi="宋体" w:eastAsia="宋体" w:cs="宋体"/>
                <w:color w:val="auto"/>
                <w:sz w:val="20"/>
                <w:szCs w:val="20"/>
                <w:highlight w:val="none"/>
                <w:u w:val="single"/>
                <w:shd w:val="clear" w:color="auto" w:fill="auto"/>
              </w:rPr>
              <w:t>）</w:t>
            </w:r>
            <w:r>
              <w:rPr>
                <w:rFonts w:hint="eastAsia" w:ascii="宋体" w:hAnsi="宋体" w:eastAsia="宋体" w:cs="宋体"/>
                <w:color w:val="auto"/>
                <w:sz w:val="20"/>
                <w:szCs w:val="20"/>
                <w:highlight w:val="none"/>
                <w:u w:val="single"/>
                <w:shd w:val="clear" w:color="auto" w:fill="auto"/>
              </w:rPr>
              <w:fldChar w:fldCharType="end"/>
            </w:r>
          </w:p>
        </w:tc>
      </w:tr>
      <w:tr w14:paraId="3200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096E3437">
            <w:pPr>
              <w:keepNext w:val="0"/>
              <w:keepLines w:val="0"/>
              <w:pageBreakBefore w:val="0"/>
              <w:numPr>
                <w:ilvl w:val="0"/>
                <w:numId w:val="8"/>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94" w:type="dxa"/>
            <w:tcBorders>
              <w:tl2br w:val="nil"/>
              <w:tr2bl w:val="nil"/>
            </w:tcBorders>
            <w:shd w:val="clear" w:color="auto" w:fill="auto"/>
            <w:vAlign w:val="center"/>
          </w:tcPr>
          <w:p w14:paraId="469D6DEA">
            <w:pPr>
              <w:keepNext w:val="0"/>
              <w:keepLines w:val="0"/>
              <w:pageBreakBefore w:val="0"/>
              <w:kinsoku/>
              <w:wordWrap/>
              <w:overflowPunct/>
              <w:topLinePunct w:val="0"/>
              <w:bidi w:val="0"/>
              <w:spacing w:before="157" w:beforeLines="50" w:after="157" w:afterLines="50"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szCs w:val="24"/>
                <w:highlight w:val="none"/>
                <w:lang w:val="en-US" w:eastAsia="zh-CN"/>
              </w:rPr>
              <w:t>若为联合体投标，联合体成员均须提供】</w:t>
            </w:r>
          </w:p>
          <w:p w14:paraId="048AAAE8">
            <w:pPr>
              <w:keepNext w:val="0"/>
              <w:keepLines w:val="0"/>
              <w:pageBreakBefore w:val="0"/>
              <w:kinsoku/>
              <w:wordWrap/>
              <w:overflowPunct/>
              <w:topLinePunct w:val="0"/>
              <w:bidi w:val="0"/>
              <w:spacing w:before="157" w:beforeLines="50" w:after="157" w:afterLines="50"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提供企业法人营业执照（或事业单位法人证书）或其他组织（个体工商户）的营业执照或者民办非企业单位登记证书，如为自然人的需附身份证明并签字。</w:t>
            </w:r>
          </w:p>
          <w:p w14:paraId="5F701EAE">
            <w:pPr>
              <w:pStyle w:val="15"/>
              <w:keepNext w:val="0"/>
              <w:keepLines w:val="0"/>
              <w:pageBreakBefore w:val="0"/>
              <w:kinsoku/>
              <w:wordWrap/>
              <w:overflowPunct/>
              <w:topLinePunct w:val="0"/>
              <w:bidi w:val="0"/>
              <w:spacing w:before="157" w:beforeLines="50" w:after="157" w:afterLines="50" w:line="240" w:lineRule="auto"/>
              <w:ind w:firstLine="240" w:firstLineChars="100"/>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注：金融、保险、通讯等特定行业的全国性企业所设立的区域性分支机构，以及个体工商户、个人独资企业、合伙企业，如果已经依法办理了工商、税务和社保登记手续，并且</w:t>
            </w:r>
            <w:r>
              <w:rPr>
                <w:rFonts w:hint="eastAsia" w:ascii="宋体" w:hAnsi="宋体" w:eastAsia="宋体" w:cs="宋体"/>
                <w:b w:val="0"/>
                <w:bCs w:val="0"/>
                <w:color w:val="auto"/>
                <w:highlight w:val="none"/>
                <w:u w:val="single"/>
              </w:rPr>
              <w:t>获得总公司（总机构）授权或能够提供房产权证或其他有效财产证明材料</w:t>
            </w:r>
            <w:r>
              <w:rPr>
                <w:rFonts w:hint="eastAsia" w:ascii="宋体" w:hAnsi="宋体" w:eastAsia="宋体" w:cs="宋体"/>
                <w:b w:val="0"/>
                <w:bCs w:val="0"/>
                <w:color w:val="auto"/>
                <w:highlight w:val="none"/>
              </w:rPr>
              <w:t>，证明其具备实际承担责任的能力和法定的缔结合同能力，可以允许其独立参加政府采购活动。</w:t>
            </w:r>
          </w:p>
        </w:tc>
      </w:tr>
      <w:tr w14:paraId="40FD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9" w:type="dxa"/>
            <w:tcBorders>
              <w:tl2br w:val="nil"/>
              <w:tr2bl w:val="nil"/>
            </w:tcBorders>
            <w:shd w:val="clear" w:color="auto" w:fill="auto"/>
            <w:vAlign w:val="center"/>
          </w:tcPr>
          <w:p w14:paraId="6D2B56F8">
            <w:pPr>
              <w:keepNext w:val="0"/>
              <w:keepLines w:val="0"/>
              <w:pageBreakBefore w:val="0"/>
              <w:numPr>
                <w:ilvl w:val="0"/>
                <w:numId w:val="8"/>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en-US"/>
              </w:rPr>
            </w:pPr>
          </w:p>
        </w:tc>
        <w:tc>
          <w:tcPr>
            <w:tcW w:w="8794" w:type="dxa"/>
            <w:tcBorders>
              <w:tl2br w:val="nil"/>
              <w:tr2bl w:val="nil"/>
            </w:tcBorders>
            <w:shd w:val="clear" w:color="auto" w:fill="auto"/>
            <w:vAlign w:val="center"/>
          </w:tcPr>
          <w:p w14:paraId="619DEC6E">
            <w:pPr>
              <w:pStyle w:val="56"/>
              <w:keepNext w:val="0"/>
              <w:keepLines w:val="0"/>
              <w:pageBreakBefore w:val="0"/>
              <w:kinsoku/>
              <w:wordWrap/>
              <w:overflowPunct/>
              <w:topLinePunct w:val="0"/>
              <w:autoSpaceDE/>
              <w:autoSpaceDN/>
              <w:bidi w:val="0"/>
              <w:snapToGrid/>
              <w:spacing w:before="157" w:beforeLines="50" w:after="157" w:afterLines="50" w:line="240" w:lineRule="auto"/>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《联合协议》；</w:t>
            </w:r>
            <w:r>
              <w:rPr>
                <w:rFonts w:hint="eastAsia" w:ascii="宋体" w:hAnsi="宋体" w:eastAsia="宋体" w:cs="宋体"/>
                <w:color w:val="auto"/>
                <w:sz w:val="20"/>
                <w:szCs w:val="20"/>
                <w:highlight w:val="none"/>
                <w:u w:val="single"/>
                <w:shd w:val="clear" w:color="auto" w:fill="auto"/>
                <w:lang w:val="en-US" w:eastAsia="zh-CN"/>
              </w:rPr>
              <w:t>（附件8</w:t>
            </w:r>
            <w:r>
              <w:rPr>
                <w:rFonts w:hint="eastAsia" w:ascii="宋体" w:hAnsi="宋体" w:eastAsia="宋体" w:cs="宋体"/>
                <w:color w:val="auto"/>
                <w:sz w:val="20"/>
                <w:szCs w:val="20"/>
                <w:highlight w:val="none"/>
                <w:u w:val="single"/>
                <w:lang w:val="en-US" w:eastAsia="zh-CN"/>
              </w:rPr>
              <w:t>，如有</w:t>
            </w:r>
            <w:r>
              <w:rPr>
                <w:rFonts w:hint="eastAsia" w:ascii="宋体" w:hAnsi="宋体" w:eastAsia="宋体" w:cs="宋体"/>
                <w:color w:val="auto"/>
                <w:sz w:val="20"/>
                <w:szCs w:val="20"/>
                <w:highlight w:val="none"/>
                <w:u w:val="single"/>
              </w:rPr>
              <w:t>）</w:t>
            </w:r>
          </w:p>
          <w:p w14:paraId="7AB0D830">
            <w:pPr>
              <w:pStyle w:val="56"/>
              <w:keepNext w:val="0"/>
              <w:keepLines w:val="0"/>
              <w:pageBreakBefore w:val="0"/>
              <w:kinsoku/>
              <w:wordWrap/>
              <w:overflowPunct/>
              <w:topLinePunct w:val="0"/>
              <w:autoSpaceDE/>
              <w:autoSpaceDN/>
              <w:bidi w:val="0"/>
              <w:snapToGrid/>
              <w:spacing w:before="157" w:beforeLines="50" w:after="157" w:afterLines="50" w:line="240" w:lineRule="auto"/>
              <w:ind w:firstLine="20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0"/>
                <w:szCs w:val="20"/>
                <w:highlight w:val="none"/>
                <w:lang w:val="en-US" w:eastAsia="zh-CN"/>
              </w:rPr>
              <w:t>注：若本项目不接受联合体投标或者投标人不以联合体形式投标的，则无需提供。</w:t>
            </w:r>
          </w:p>
        </w:tc>
      </w:tr>
    </w:tbl>
    <w:p w14:paraId="5C6EDA8C">
      <w:pPr>
        <w:pStyle w:val="6"/>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商务技术文件包括（加盖单位公章）：</w:t>
      </w:r>
    </w:p>
    <w:tbl>
      <w:tblPr>
        <w:tblStyle w:val="31"/>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3"/>
        <w:gridCol w:w="8744"/>
      </w:tblGrid>
      <w:tr w14:paraId="4394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78242682">
            <w:pPr>
              <w:keepNext w:val="0"/>
              <w:keepLines w:val="0"/>
              <w:pageBreakBefore w:val="0"/>
              <w:kinsoku/>
              <w:wordWrap/>
              <w:overflowPunct/>
              <w:topLinePunct w:val="0"/>
              <w:bidi w:val="0"/>
              <w:spacing w:before="157" w:beforeLines="50" w:after="157" w:afterLines="50" w:line="264"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8744" w:type="dxa"/>
            <w:shd w:val="clear" w:color="auto" w:fill="auto"/>
            <w:vAlign w:val="center"/>
          </w:tcPr>
          <w:p w14:paraId="7054746E">
            <w:pPr>
              <w:keepNext w:val="0"/>
              <w:keepLines w:val="0"/>
              <w:pageBreakBefore w:val="0"/>
              <w:kinsoku/>
              <w:wordWrap/>
              <w:overflowPunct/>
              <w:topLinePunct w:val="0"/>
              <w:bidi w:val="0"/>
              <w:spacing w:before="157" w:beforeLines="50" w:after="157" w:afterLines="50" w:line="264"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内    容</w:t>
            </w:r>
          </w:p>
        </w:tc>
      </w:tr>
      <w:tr w14:paraId="77A8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158E2573">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zh-CN"/>
              </w:rPr>
            </w:pPr>
          </w:p>
        </w:tc>
        <w:tc>
          <w:tcPr>
            <w:tcW w:w="8744" w:type="dxa"/>
            <w:shd w:val="clear" w:color="auto" w:fill="auto"/>
            <w:vAlign w:val="center"/>
          </w:tcPr>
          <w:p w14:paraId="545E0189">
            <w:pPr>
              <w:keepNext w:val="0"/>
              <w:keepLines w:val="0"/>
              <w:pageBreakBefore w:val="0"/>
              <w:kinsoku/>
              <w:wordWrap/>
              <w:overflowPunct/>
              <w:topLinePunct w:val="0"/>
              <w:bidi w:val="0"/>
              <w:spacing w:before="157" w:beforeLines="50" w:after="157" w:afterLines="50"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《商务技术文件》封面；</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u w:val="single"/>
                <w:shd w:val="clear" w:color="auto" w:fill="auto"/>
                <w:lang w:val="en-US" w:eastAsia="zh-CN"/>
              </w:rPr>
              <w:t>附件1</w:t>
            </w:r>
            <w:r>
              <w:rPr>
                <w:rFonts w:hint="eastAsia" w:ascii="宋体" w:hAnsi="宋体" w:eastAsia="宋体" w:cs="宋体"/>
                <w:color w:val="auto"/>
                <w:sz w:val="20"/>
                <w:szCs w:val="20"/>
                <w:highlight w:val="none"/>
                <w:lang w:val="en-US" w:eastAsia="zh-CN"/>
              </w:rPr>
              <w:t>，如有</w:t>
            </w:r>
            <w:r>
              <w:rPr>
                <w:rFonts w:hint="eastAsia" w:ascii="宋体" w:hAnsi="宋体" w:eastAsia="宋体" w:cs="宋体"/>
                <w:color w:val="auto"/>
                <w:sz w:val="20"/>
                <w:szCs w:val="20"/>
                <w:highlight w:val="none"/>
              </w:rPr>
              <w:t>）</w:t>
            </w:r>
          </w:p>
        </w:tc>
      </w:tr>
      <w:tr w14:paraId="6C4B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63B2DBE2">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zh-CN"/>
              </w:rPr>
            </w:pPr>
          </w:p>
        </w:tc>
        <w:tc>
          <w:tcPr>
            <w:tcW w:w="8744" w:type="dxa"/>
            <w:shd w:val="clear" w:color="auto" w:fill="auto"/>
            <w:vAlign w:val="center"/>
          </w:tcPr>
          <w:p w14:paraId="00DD0010">
            <w:pPr>
              <w:keepNext w:val="0"/>
              <w:keepLines w:val="0"/>
              <w:pageBreakBefore w:val="0"/>
              <w:kinsoku/>
              <w:wordWrap/>
              <w:overflowPunct/>
              <w:topLinePunct w:val="0"/>
              <w:bidi w:val="0"/>
              <w:spacing w:before="157" w:beforeLines="50" w:after="157" w:afterLines="50"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《商务技术文件》目录；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"基本情况" </w:instrText>
            </w:r>
            <w:r>
              <w:rPr>
                <w:rFonts w:hint="eastAsia" w:ascii="宋体" w:hAnsi="宋体" w:eastAsia="宋体" w:cs="宋体"/>
                <w:color w:val="auto"/>
                <w:highlight w:val="none"/>
              </w:rPr>
              <w:fldChar w:fldCharType="separate"/>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格式自拟，如有</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rPr>
              <w:fldChar w:fldCharType="end"/>
            </w:r>
          </w:p>
        </w:tc>
      </w:tr>
      <w:tr w14:paraId="37CB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704D6DF">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1DA87E57">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▲法定代表人（负责人）资格证明书；</w:t>
            </w:r>
            <w:r>
              <w:rPr>
                <w:rFonts w:hint="eastAsia" w:ascii="宋体" w:hAnsi="宋体" w:eastAsia="宋体" w:cs="宋体"/>
                <w:color w:val="auto"/>
                <w:sz w:val="20"/>
                <w:szCs w:val="20"/>
                <w:highlight w:val="none"/>
                <w:u w:val="single"/>
              </w:rPr>
              <w:t>（</w:t>
            </w:r>
            <w:r>
              <w:rPr>
                <w:rFonts w:hint="eastAsia" w:ascii="宋体" w:hAnsi="宋体" w:eastAsia="宋体" w:cs="宋体"/>
                <w:color w:val="auto"/>
                <w:sz w:val="20"/>
                <w:szCs w:val="20"/>
                <w:highlight w:val="none"/>
                <w:u w:val="single"/>
                <w:shd w:val="clear" w:color="auto" w:fill="auto"/>
                <w:lang w:val="en-US" w:eastAsia="zh-CN"/>
              </w:rPr>
              <w:t>附件3</w:t>
            </w:r>
            <w:r>
              <w:rPr>
                <w:rFonts w:hint="eastAsia" w:ascii="宋体" w:hAnsi="宋体" w:eastAsia="宋体" w:cs="宋体"/>
                <w:color w:val="auto"/>
                <w:sz w:val="20"/>
                <w:szCs w:val="20"/>
                <w:highlight w:val="none"/>
                <w:u w:val="single"/>
              </w:rPr>
              <w:t>）</w:t>
            </w:r>
          </w:p>
        </w:tc>
      </w:tr>
      <w:tr w14:paraId="61D8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7D3E2B9D">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12C963D4">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0"/>
                <w:szCs w:val="20"/>
                <w:highlight w:val="none"/>
                <w:u w:val="single"/>
              </w:rPr>
            </w:pPr>
            <w:r>
              <w:rPr>
                <w:rFonts w:hint="eastAsia" w:ascii="宋体" w:hAnsi="宋体" w:eastAsia="宋体" w:cs="宋体"/>
                <w:color w:val="auto"/>
                <w:sz w:val="24"/>
                <w:highlight w:val="none"/>
              </w:rPr>
              <w:t>▲法定代表人（负责人）授权委托书；</w:t>
            </w:r>
            <w:r>
              <w:rPr>
                <w:rFonts w:hint="eastAsia" w:ascii="宋体" w:hAnsi="宋体" w:eastAsia="宋体" w:cs="宋体"/>
                <w:color w:val="auto"/>
                <w:sz w:val="20"/>
                <w:szCs w:val="20"/>
                <w:highlight w:val="none"/>
                <w:u w:val="single"/>
              </w:rPr>
              <w:fldChar w:fldCharType="begin"/>
            </w:r>
            <w:r>
              <w:rPr>
                <w:rFonts w:hint="eastAsia" w:ascii="宋体" w:hAnsi="宋体" w:eastAsia="宋体" w:cs="宋体"/>
                <w:color w:val="auto"/>
                <w:sz w:val="20"/>
                <w:szCs w:val="20"/>
                <w:highlight w:val="none"/>
                <w:u w:val="single"/>
              </w:rPr>
              <w:instrText xml:space="preserve"> HYPERLINK \l "授权委托" </w:instrText>
            </w:r>
            <w:r>
              <w:rPr>
                <w:rFonts w:hint="eastAsia" w:ascii="宋体" w:hAnsi="宋体" w:eastAsia="宋体" w:cs="宋体"/>
                <w:color w:val="auto"/>
                <w:sz w:val="20"/>
                <w:szCs w:val="20"/>
                <w:highlight w:val="none"/>
                <w:u w:val="single"/>
              </w:rPr>
              <w:fldChar w:fldCharType="separate"/>
            </w:r>
            <w:r>
              <w:rPr>
                <w:rFonts w:hint="eastAsia" w:ascii="宋体" w:hAnsi="宋体" w:eastAsia="宋体" w:cs="宋体"/>
                <w:color w:val="auto"/>
                <w:sz w:val="20"/>
                <w:szCs w:val="20"/>
                <w:highlight w:val="none"/>
                <w:u w:val="single"/>
              </w:rPr>
              <w:t>（</w:t>
            </w:r>
            <w:r>
              <w:rPr>
                <w:rFonts w:hint="eastAsia" w:ascii="宋体" w:hAnsi="宋体" w:eastAsia="宋体" w:cs="宋体"/>
                <w:color w:val="auto"/>
                <w:sz w:val="20"/>
                <w:szCs w:val="20"/>
                <w:highlight w:val="none"/>
                <w:u w:val="single"/>
                <w:lang w:val="en-US" w:eastAsia="zh-CN"/>
              </w:rPr>
              <w:t>附件4</w:t>
            </w:r>
            <w:r>
              <w:rPr>
                <w:rFonts w:hint="eastAsia" w:ascii="宋体" w:hAnsi="宋体" w:eastAsia="宋体" w:cs="宋体"/>
                <w:color w:val="auto"/>
                <w:sz w:val="20"/>
                <w:szCs w:val="20"/>
                <w:highlight w:val="none"/>
                <w:u w:val="single"/>
              </w:rPr>
              <w:t>）</w:t>
            </w:r>
            <w:r>
              <w:rPr>
                <w:rFonts w:hint="eastAsia" w:ascii="宋体" w:hAnsi="宋体" w:eastAsia="宋体" w:cs="宋体"/>
                <w:color w:val="auto"/>
                <w:sz w:val="20"/>
                <w:szCs w:val="20"/>
                <w:highlight w:val="none"/>
                <w:u w:val="single"/>
              </w:rPr>
              <w:fldChar w:fldCharType="end"/>
            </w:r>
          </w:p>
          <w:p w14:paraId="33D2258D">
            <w:pPr>
              <w:keepNext w:val="0"/>
              <w:keepLines w:val="0"/>
              <w:pageBreakBefore w:val="0"/>
              <w:kinsoku/>
              <w:wordWrap/>
              <w:overflowPunct/>
              <w:topLinePunct w:val="0"/>
              <w:bidi w:val="0"/>
              <w:snapToGrid w:val="0"/>
              <w:spacing w:before="157" w:beforeLines="50" w:after="157" w:afterLines="50" w:line="240" w:lineRule="auto"/>
              <w:ind w:firstLine="20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0"/>
                <w:szCs w:val="20"/>
                <w:highlight w:val="none"/>
              </w:rPr>
              <w:t>注：法定代表人（负责人）亲自办理投标事宜的，本项无需提供。</w:t>
            </w:r>
          </w:p>
        </w:tc>
      </w:tr>
      <w:tr w14:paraId="058D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5A1B2FD8">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025D5CD6">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▲商务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条款偏离表；</w:t>
            </w:r>
            <w:r>
              <w:rPr>
                <w:rFonts w:hint="eastAsia" w:ascii="宋体" w:hAnsi="宋体" w:eastAsia="宋体" w:cs="宋体"/>
                <w:color w:val="auto"/>
                <w:sz w:val="20"/>
                <w:szCs w:val="20"/>
                <w:highlight w:val="none"/>
                <w:u w:val="single"/>
              </w:rPr>
              <w:fldChar w:fldCharType="begin"/>
            </w:r>
            <w:r>
              <w:rPr>
                <w:rFonts w:hint="eastAsia" w:ascii="宋体" w:hAnsi="宋体" w:eastAsia="宋体" w:cs="宋体"/>
                <w:color w:val="auto"/>
                <w:sz w:val="20"/>
                <w:szCs w:val="20"/>
                <w:highlight w:val="none"/>
                <w:u w:val="single"/>
              </w:rPr>
              <w:instrText xml:space="preserve"> HYPERLINK \l "偏离表" </w:instrText>
            </w:r>
            <w:r>
              <w:rPr>
                <w:rFonts w:hint="eastAsia" w:ascii="宋体" w:hAnsi="宋体" w:eastAsia="宋体" w:cs="宋体"/>
                <w:color w:val="auto"/>
                <w:sz w:val="20"/>
                <w:szCs w:val="20"/>
                <w:highlight w:val="none"/>
                <w:u w:val="single"/>
              </w:rPr>
              <w:fldChar w:fldCharType="separate"/>
            </w:r>
            <w:r>
              <w:rPr>
                <w:rFonts w:hint="eastAsia" w:ascii="宋体" w:hAnsi="宋体" w:eastAsia="宋体" w:cs="宋体"/>
                <w:color w:val="auto"/>
                <w:sz w:val="20"/>
                <w:szCs w:val="20"/>
                <w:highlight w:val="none"/>
                <w:u w:val="single"/>
              </w:rPr>
              <w:t>（</w:t>
            </w:r>
            <w:r>
              <w:rPr>
                <w:rFonts w:hint="eastAsia" w:ascii="宋体" w:hAnsi="宋体" w:eastAsia="宋体" w:cs="宋体"/>
                <w:color w:val="auto"/>
                <w:sz w:val="20"/>
                <w:szCs w:val="20"/>
                <w:highlight w:val="none"/>
                <w:u w:val="single"/>
                <w:lang w:val="en-US" w:eastAsia="zh-CN"/>
              </w:rPr>
              <w:t>附件6</w:t>
            </w:r>
            <w:r>
              <w:rPr>
                <w:rFonts w:hint="eastAsia" w:ascii="宋体" w:hAnsi="宋体" w:eastAsia="宋体" w:cs="宋体"/>
                <w:color w:val="auto"/>
                <w:sz w:val="20"/>
                <w:szCs w:val="20"/>
                <w:highlight w:val="none"/>
                <w:u w:val="single"/>
              </w:rPr>
              <w:t>）</w:t>
            </w:r>
            <w:r>
              <w:rPr>
                <w:rFonts w:hint="eastAsia" w:ascii="宋体" w:hAnsi="宋体" w:eastAsia="宋体" w:cs="宋体"/>
                <w:color w:val="auto"/>
                <w:sz w:val="20"/>
                <w:szCs w:val="20"/>
                <w:highlight w:val="none"/>
                <w:u w:val="single"/>
              </w:rPr>
              <w:fldChar w:fldCharType="end"/>
            </w:r>
          </w:p>
        </w:tc>
      </w:tr>
      <w:tr w14:paraId="1AE8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82C78BB">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057978E0">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投标人基本情况表；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"基本情况" </w:instrText>
            </w:r>
            <w:r>
              <w:rPr>
                <w:rFonts w:hint="eastAsia" w:ascii="宋体" w:hAnsi="宋体" w:eastAsia="宋体" w:cs="宋体"/>
                <w:color w:val="auto"/>
                <w:highlight w:val="none"/>
              </w:rPr>
              <w:fldChar w:fldCharType="separate"/>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u w:val="single"/>
                <w:lang w:val="en-US" w:eastAsia="zh-CN"/>
              </w:rPr>
              <w:t>附件12</w:t>
            </w:r>
            <w:r>
              <w:rPr>
                <w:rFonts w:hint="eastAsia" w:ascii="宋体" w:hAnsi="宋体" w:eastAsia="宋体" w:cs="宋体"/>
                <w:color w:val="auto"/>
                <w:sz w:val="20"/>
                <w:szCs w:val="20"/>
                <w:highlight w:val="none"/>
              </w:rPr>
              <w:t>，如有</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可根据评分标准提供）</w:t>
            </w:r>
            <w:r>
              <w:rPr>
                <w:rFonts w:hint="eastAsia" w:ascii="宋体" w:hAnsi="宋体" w:eastAsia="宋体" w:cs="宋体"/>
                <w:color w:val="auto"/>
                <w:sz w:val="20"/>
                <w:szCs w:val="20"/>
                <w:highlight w:val="none"/>
              </w:rPr>
              <w:fldChar w:fldCharType="end"/>
            </w:r>
          </w:p>
        </w:tc>
      </w:tr>
      <w:tr w14:paraId="0B57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627D3782">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6148A78B">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相关资信证明材料</w:t>
            </w:r>
            <w:r>
              <w:rPr>
                <w:rFonts w:hint="eastAsia" w:ascii="宋体" w:hAnsi="宋体" w:eastAsia="宋体" w:cs="宋体"/>
                <w:color w:val="auto"/>
                <w:sz w:val="24"/>
                <w:highlight w:val="none"/>
              </w:rPr>
              <w:t>；</w:t>
            </w:r>
            <w:r>
              <w:rPr>
                <w:rFonts w:hint="eastAsia" w:ascii="宋体" w:hAnsi="宋体" w:eastAsia="宋体" w:cs="宋体"/>
                <w:color w:val="auto"/>
                <w:sz w:val="20"/>
                <w:szCs w:val="20"/>
                <w:highlight w:val="none"/>
              </w:rPr>
              <w:t>（如有，可根据评分标准提供）</w:t>
            </w:r>
          </w:p>
        </w:tc>
      </w:tr>
      <w:tr w14:paraId="7B6B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4DC2B829">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27BDCA7A">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项目理解与分析</w:t>
            </w:r>
            <w:r>
              <w:rPr>
                <w:rFonts w:hint="eastAsia" w:ascii="宋体" w:hAnsi="宋体" w:eastAsia="宋体" w:cs="宋体"/>
                <w:color w:val="auto"/>
                <w:sz w:val="24"/>
                <w:highlight w:val="none"/>
              </w:rPr>
              <w:t>；</w:t>
            </w:r>
            <w:r>
              <w:rPr>
                <w:rFonts w:hint="eastAsia" w:ascii="宋体" w:hAnsi="宋体" w:eastAsia="宋体" w:cs="宋体"/>
                <w:color w:val="auto"/>
                <w:sz w:val="20"/>
                <w:szCs w:val="20"/>
                <w:highlight w:val="none"/>
              </w:rPr>
              <w:t>（如有，可根据评分标准提供）</w:t>
            </w:r>
          </w:p>
        </w:tc>
      </w:tr>
      <w:tr w14:paraId="7BA6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F790579">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3AFD7D55">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重点、难点分析及解决措施</w:t>
            </w:r>
            <w:r>
              <w:rPr>
                <w:rFonts w:hint="eastAsia" w:ascii="宋体" w:hAnsi="宋体" w:eastAsia="宋体" w:cs="宋体"/>
                <w:color w:val="auto"/>
                <w:sz w:val="20"/>
                <w:szCs w:val="20"/>
                <w:highlight w:val="none"/>
              </w:rPr>
              <w:t>（如有，可根据评分标准提供）</w:t>
            </w:r>
          </w:p>
        </w:tc>
      </w:tr>
      <w:tr w14:paraId="2B80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5AF0C2E4">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0BE906C7">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实施</w:t>
            </w:r>
            <w:r>
              <w:rPr>
                <w:rFonts w:hint="eastAsia" w:ascii="宋体" w:hAnsi="宋体" w:eastAsia="宋体" w:cs="宋体"/>
                <w:color w:val="auto"/>
                <w:sz w:val="24"/>
                <w:highlight w:val="none"/>
              </w:rPr>
              <w:t>方案</w:t>
            </w:r>
            <w:r>
              <w:rPr>
                <w:rFonts w:hint="eastAsia" w:ascii="宋体" w:hAnsi="宋体" w:eastAsia="宋体" w:cs="宋体"/>
                <w:color w:val="auto"/>
                <w:sz w:val="20"/>
                <w:szCs w:val="20"/>
                <w:highlight w:val="none"/>
              </w:rPr>
              <w:t>（包含工作安排、本项目难点及对策、进度/质量/安全保证措施、技术手段、作业方法、解决方案等，格式自拟）；（如有，可根据评分标准编制）</w:t>
            </w:r>
          </w:p>
        </w:tc>
      </w:tr>
      <w:tr w14:paraId="5892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3A5D70B0">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605593F3">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拟派</w:t>
            </w:r>
            <w:r>
              <w:rPr>
                <w:rFonts w:hint="eastAsia" w:ascii="宋体" w:hAnsi="宋体" w:eastAsia="宋体" w:cs="宋体"/>
                <w:color w:val="auto"/>
                <w:sz w:val="24"/>
                <w:highlight w:val="none"/>
              </w:rPr>
              <w:t>人员一览表；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"拟派人员" </w:instrText>
            </w:r>
            <w:r>
              <w:rPr>
                <w:rFonts w:hint="eastAsia" w:ascii="宋体" w:hAnsi="宋体" w:eastAsia="宋体" w:cs="宋体"/>
                <w:color w:val="auto"/>
                <w:highlight w:val="none"/>
              </w:rPr>
              <w:fldChar w:fldCharType="separate"/>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u w:val="single"/>
                <w:shd w:val="clear" w:color="auto" w:fill="auto"/>
                <w:lang w:val="en-US" w:eastAsia="zh-CN"/>
              </w:rPr>
              <w:t>附件13</w:t>
            </w:r>
            <w:r>
              <w:rPr>
                <w:rFonts w:hint="eastAsia" w:ascii="宋体" w:hAnsi="宋体" w:eastAsia="宋体" w:cs="宋体"/>
                <w:color w:val="auto"/>
                <w:sz w:val="20"/>
                <w:szCs w:val="20"/>
                <w:highlight w:val="none"/>
              </w:rPr>
              <w:t>，如有</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可根据评分标准提供）</w:t>
            </w:r>
            <w:r>
              <w:rPr>
                <w:rFonts w:hint="eastAsia" w:ascii="宋体" w:hAnsi="宋体" w:eastAsia="宋体" w:cs="宋体"/>
                <w:color w:val="auto"/>
                <w:sz w:val="20"/>
                <w:szCs w:val="20"/>
                <w:highlight w:val="none"/>
              </w:rPr>
              <w:fldChar w:fldCharType="end"/>
            </w:r>
          </w:p>
        </w:tc>
      </w:tr>
      <w:tr w14:paraId="62B6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77866CD0">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577E020A">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相关业绩一览表</w:t>
            </w:r>
            <w:r>
              <w:rPr>
                <w:rFonts w:hint="eastAsia" w:ascii="宋体" w:hAnsi="宋体" w:eastAsia="宋体" w:cs="宋体"/>
                <w:color w:val="auto"/>
                <w:sz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"业绩" </w:instrText>
            </w:r>
            <w:r>
              <w:rPr>
                <w:rFonts w:hint="eastAsia" w:ascii="宋体" w:hAnsi="宋体" w:eastAsia="宋体" w:cs="宋体"/>
                <w:color w:val="auto"/>
                <w:highlight w:val="none"/>
              </w:rPr>
              <w:fldChar w:fldCharType="separate"/>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u w:val="single"/>
                <w:shd w:val="clear" w:color="auto" w:fill="auto"/>
                <w:lang w:val="en-US" w:eastAsia="zh-CN"/>
              </w:rPr>
              <w:t>附件14</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fldChar w:fldCharType="end"/>
            </w:r>
            <w:r>
              <w:rPr>
                <w:rFonts w:hint="eastAsia" w:ascii="宋体" w:hAnsi="宋体" w:eastAsia="宋体" w:cs="宋体"/>
                <w:color w:val="auto"/>
                <w:sz w:val="20"/>
                <w:szCs w:val="20"/>
                <w:highlight w:val="none"/>
              </w:rPr>
              <w:t>如有，可根据评分标准提供）</w:t>
            </w:r>
          </w:p>
        </w:tc>
      </w:tr>
      <w:tr w14:paraId="3EA6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545539DB">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en-US" w:eastAsia="zh-CN"/>
              </w:rPr>
            </w:pPr>
          </w:p>
        </w:tc>
        <w:tc>
          <w:tcPr>
            <w:tcW w:w="8744" w:type="dxa"/>
            <w:shd w:val="clear" w:color="auto" w:fill="auto"/>
            <w:vAlign w:val="center"/>
          </w:tcPr>
          <w:p w14:paraId="0A2F3608">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后续服务及承诺；</w:t>
            </w:r>
            <w:r>
              <w:rPr>
                <w:rFonts w:hint="eastAsia" w:ascii="宋体" w:hAnsi="宋体" w:eastAsia="宋体" w:cs="宋体"/>
                <w:color w:val="auto"/>
                <w:sz w:val="20"/>
                <w:szCs w:val="20"/>
                <w:highlight w:val="none"/>
              </w:rPr>
              <w:t>（如有，可根据评分标准编制）</w:t>
            </w:r>
          </w:p>
        </w:tc>
      </w:tr>
      <w:tr w14:paraId="73E6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56E5DD20">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en-US" w:eastAsia="zh-CN"/>
              </w:rPr>
            </w:pPr>
          </w:p>
        </w:tc>
        <w:tc>
          <w:tcPr>
            <w:tcW w:w="8744" w:type="dxa"/>
            <w:shd w:val="clear" w:color="auto" w:fill="auto"/>
            <w:vAlign w:val="center"/>
          </w:tcPr>
          <w:p w14:paraId="0C6EEEF8">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合理化建议</w:t>
            </w:r>
            <w:r>
              <w:rPr>
                <w:rFonts w:hint="eastAsia" w:ascii="宋体" w:hAnsi="宋体" w:eastAsia="宋体" w:cs="宋体"/>
                <w:color w:val="auto"/>
                <w:sz w:val="24"/>
                <w:highlight w:val="none"/>
              </w:rPr>
              <w:t>；</w:t>
            </w:r>
            <w:r>
              <w:rPr>
                <w:rFonts w:hint="eastAsia" w:ascii="宋体" w:hAnsi="宋体" w:eastAsia="宋体" w:cs="宋体"/>
                <w:color w:val="auto"/>
                <w:sz w:val="20"/>
                <w:szCs w:val="20"/>
                <w:highlight w:val="none"/>
              </w:rPr>
              <w:t>（如有，可根据评分标准编制）</w:t>
            </w:r>
          </w:p>
        </w:tc>
      </w:tr>
      <w:tr w14:paraId="5A01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6FA97A28">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44" w:type="dxa"/>
            <w:shd w:val="clear" w:color="auto" w:fill="auto"/>
            <w:vAlign w:val="center"/>
          </w:tcPr>
          <w:p w14:paraId="72C5F58C">
            <w:pPr>
              <w:pStyle w:val="56"/>
              <w:keepNext w:val="0"/>
              <w:keepLines w:val="0"/>
              <w:pageBreakBefore w:val="0"/>
              <w:kinsoku/>
              <w:wordWrap/>
              <w:overflowPunct/>
              <w:topLinePunct w:val="0"/>
              <w:autoSpaceDE/>
              <w:autoSpaceDN/>
              <w:bidi w:val="0"/>
              <w:snapToGrid/>
              <w:spacing w:before="157" w:beforeLines="50" w:after="157" w:afterLines="50" w:line="240" w:lineRule="auto"/>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4"/>
                <w:highlight w:val="none"/>
                <w:lang w:val="en-US" w:eastAsia="zh-CN"/>
              </w:rPr>
              <w:t>《分包意向协议》；</w:t>
            </w:r>
            <w:r>
              <w:rPr>
                <w:rFonts w:hint="eastAsia" w:ascii="宋体" w:hAnsi="宋体" w:eastAsia="宋体" w:cs="宋体"/>
                <w:color w:val="auto"/>
                <w:sz w:val="20"/>
                <w:szCs w:val="20"/>
                <w:highlight w:val="none"/>
                <w:u w:val="single"/>
                <w:shd w:val="clear" w:color="auto" w:fill="auto"/>
                <w:lang w:val="en-US" w:eastAsia="zh-CN"/>
              </w:rPr>
              <w:t>（附件9</w:t>
            </w:r>
            <w:r>
              <w:rPr>
                <w:rFonts w:hint="eastAsia" w:ascii="宋体" w:hAnsi="宋体" w:eastAsia="宋体" w:cs="宋体"/>
                <w:color w:val="auto"/>
                <w:sz w:val="20"/>
                <w:szCs w:val="20"/>
                <w:highlight w:val="none"/>
                <w:u w:val="single"/>
                <w:lang w:val="en-US" w:eastAsia="zh-CN"/>
              </w:rPr>
              <w:t>，如有</w:t>
            </w:r>
            <w:r>
              <w:rPr>
                <w:rFonts w:hint="eastAsia" w:ascii="宋体" w:hAnsi="宋体" w:eastAsia="宋体" w:cs="宋体"/>
                <w:color w:val="auto"/>
                <w:sz w:val="20"/>
                <w:szCs w:val="20"/>
                <w:highlight w:val="none"/>
                <w:u w:val="single"/>
              </w:rPr>
              <w:t>）</w:t>
            </w:r>
          </w:p>
          <w:p w14:paraId="0024ED71">
            <w:pPr>
              <w:keepNext w:val="0"/>
              <w:keepLines w:val="0"/>
              <w:pageBreakBefore w:val="0"/>
              <w:kinsoku/>
              <w:wordWrap/>
              <w:overflowPunct/>
              <w:topLinePunct w:val="0"/>
              <w:bidi w:val="0"/>
              <w:snapToGrid w:val="0"/>
              <w:spacing w:before="157" w:beforeLines="50" w:after="157" w:afterLines="50" w:line="240" w:lineRule="auto"/>
              <w:ind w:firstLine="200" w:firstLineChars="100"/>
              <w:rPr>
                <w:rFonts w:hint="eastAsia" w:ascii="宋体" w:hAnsi="宋体" w:eastAsia="宋体" w:cs="宋体"/>
                <w:color w:val="auto"/>
                <w:sz w:val="24"/>
                <w:highlight w:val="none"/>
              </w:rPr>
            </w:pPr>
            <w:r>
              <w:rPr>
                <w:rFonts w:hint="eastAsia" w:ascii="宋体" w:hAnsi="宋体" w:eastAsia="宋体" w:cs="宋体"/>
                <w:b w:val="0"/>
                <w:bCs w:val="0"/>
                <w:color w:val="auto"/>
                <w:sz w:val="20"/>
                <w:szCs w:val="20"/>
                <w:highlight w:val="none"/>
                <w:lang w:val="en-US" w:eastAsia="zh-CN"/>
              </w:rPr>
              <w:t>注：采购人不同意分包或者投标人中标后不以分包方式履行合同的，则无需提供。</w:t>
            </w:r>
          </w:p>
        </w:tc>
      </w:tr>
      <w:tr w14:paraId="66CE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73" w:type="dxa"/>
            <w:shd w:val="clear" w:color="auto" w:fill="auto"/>
            <w:vAlign w:val="center"/>
          </w:tcPr>
          <w:p w14:paraId="0251509D">
            <w:pPr>
              <w:keepNext w:val="0"/>
              <w:keepLines w:val="0"/>
              <w:pageBreakBefore w:val="0"/>
              <w:numPr>
                <w:ilvl w:val="0"/>
                <w:numId w:val="9"/>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en-US" w:eastAsia="zh-CN"/>
              </w:rPr>
            </w:pPr>
          </w:p>
        </w:tc>
        <w:tc>
          <w:tcPr>
            <w:tcW w:w="8744" w:type="dxa"/>
            <w:shd w:val="clear" w:color="auto" w:fill="auto"/>
            <w:vAlign w:val="center"/>
          </w:tcPr>
          <w:p w14:paraId="5A982D0B">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投标人认为需要提供的其他相关材料；</w:t>
            </w:r>
            <w:r>
              <w:rPr>
                <w:rFonts w:hint="eastAsia" w:ascii="宋体" w:hAnsi="宋体" w:eastAsia="宋体" w:cs="宋体"/>
                <w:color w:val="auto"/>
                <w:sz w:val="20"/>
                <w:szCs w:val="20"/>
                <w:highlight w:val="none"/>
              </w:rPr>
              <w:t>（如有，可根据评分标准提供）</w:t>
            </w:r>
          </w:p>
        </w:tc>
      </w:tr>
    </w:tbl>
    <w:p w14:paraId="23458965">
      <w:pPr>
        <w:pStyle w:val="6"/>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报价文件包括（加盖单位公章）：</w:t>
      </w:r>
      <w:r>
        <w:rPr>
          <w:rFonts w:hint="eastAsia" w:ascii="宋体" w:hAnsi="宋体" w:eastAsia="宋体" w:cs="宋体"/>
          <w:b/>
          <w:color w:val="auto"/>
          <w:sz w:val="24"/>
          <w:highlight w:val="none"/>
          <w:lang w:eastAsia="zh-CN"/>
        </w:rPr>
        <w:tab/>
      </w:r>
    </w:p>
    <w:tbl>
      <w:tblPr>
        <w:tblStyle w:val="31"/>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4"/>
        <w:gridCol w:w="6235"/>
        <w:gridCol w:w="2534"/>
      </w:tblGrid>
      <w:tr w14:paraId="5359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84" w:type="dxa"/>
            <w:shd w:val="clear" w:color="auto" w:fill="auto"/>
            <w:vAlign w:val="center"/>
          </w:tcPr>
          <w:p w14:paraId="483F1BAE">
            <w:pPr>
              <w:keepNext w:val="0"/>
              <w:keepLines w:val="0"/>
              <w:pageBreakBefore w:val="0"/>
              <w:kinsoku/>
              <w:wordWrap/>
              <w:overflowPunct/>
              <w:topLinePunct w:val="0"/>
              <w:autoSpaceDE w:val="0"/>
              <w:autoSpaceDN w:val="0"/>
              <w:bidi w:val="0"/>
              <w:adjustRightInd w:val="0"/>
              <w:snapToGrid w:val="0"/>
              <w:spacing w:before="157" w:beforeLines="50" w:after="157" w:afterLines="50" w:line="264" w:lineRule="auto"/>
              <w:jc w:val="center"/>
              <w:rPr>
                <w:rFonts w:hint="eastAsia" w:ascii="宋体" w:hAnsi="宋体" w:eastAsia="宋体" w:cs="宋体"/>
                <w:color w:val="auto"/>
                <w:sz w:val="22"/>
                <w:highlight w:val="none"/>
                <w:shd w:val="clear" w:color="auto" w:fill="auto"/>
                <w:lang w:val="zh-CN"/>
              </w:rPr>
            </w:pPr>
            <w:r>
              <w:rPr>
                <w:rFonts w:hint="eastAsia" w:ascii="宋体" w:hAnsi="宋体" w:eastAsia="宋体" w:cs="宋体"/>
                <w:color w:val="auto"/>
                <w:sz w:val="24"/>
                <w:highlight w:val="none"/>
                <w:shd w:val="clear" w:color="auto" w:fill="auto"/>
                <w:lang w:val="zh-CN"/>
              </w:rPr>
              <w:t>序号</w:t>
            </w:r>
          </w:p>
        </w:tc>
        <w:tc>
          <w:tcPr>
            <w:tcW w:w="8769" w:type="dxa"/>
            <w:gridSpan w:val="2"/>
            <w:shd w:val="clear" w:color="auto" w:fill="auto"/>
            <w:vAlign w:val="center"/>
          </w:tcPr>
          <w:p w14:paraId="73749F2A">
            <w:pPr>
              <w:keepNext w:val="0"/>
              <w:keepLines w:val="0"/>
              <w:pageBreakBefore w:val="0"/>
              <w:kinsoku/>
              <w:wordWrap/>
              <w:overflowPunct/>
              <w:topLinePunct w:val="0"/>
              <w:autoSpaceDE w:val="0"/>
              <w:autoSpaceDN w:val="0"/>
              <w:bidi w:val="0"/>
              <w:adjustRightInd w:val="0"/>
              <w:snapToGrid w:val="0"/>
              <w:spacing w:before="157" w:beforeLines="50" w:after="157" w:afterLines="50" w:line="264" w:lineRule="auto"/>
              <w:jc w:val="center"/>
              <w:rPr>
                <w:rFonts w:hint="eastAsia" w:ascii="宋体" w:hAnsi="宋体" w:eastAsia="宋体" w:cs="宋体"/>
                <w:color w:val="auto"/>
                <w:sz w:val="22"/>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内    容</w:t>
            </w:r>
          </w:p>
        </w:tc>
      </w:tr>
      <w:tr w14:paraId="60DF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84" w:type="dxa"/>
            <w:shd w:val="clear" w:color="auto" w:fill="auto"/>
            <w:vAlign w:val="center"/>
          </w:tcPr>
          <w:p w14:paraId="47DA75C0">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zh-CN"/>
              </w:rPr>
            </w:pPr>
          </w:p>
        </w:tc>
        <w:tc>
          <w:tcPr>
            <w:tcW w:w="8769" w:type="dxa"/>
            <w:gridSpan w:val="2"/>
            <w:shd w:val="clear" w:color="auto" w:fill="auto"/>
            <w:vAlign w:val="center"/>
          </w:tcPr>
          <w:p w14:paraId="6314E304">
            <w:pPr>
              <w:keepNext w:val="0"/>
              <w:keepLines w:val="0"/>
              <w:pageBreakBefore w:val="0"/>
              <w:kinsoku/>
              <w:wordWrap/>
              <w:overflowPunct/>
              <w:topLinePunct w:val="0"/>
              <w:bidi w:val="0"/>
              <w:spacing w:before="157" w:beforeLines="50" w:after="157" w:afterLines="50" w:line="240" w:lineRule="auto"/>
              <w:jc w:val="left"/>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《报价文件》封面；</w:t>
            </w:r>
            <w:r>
              <w:rPr>
                <w:rFonts w:hint="eastAsia" w:ascii="宋体" w:hAnsi="宋体" w:eastAsia="宋体" w:cs="宋体"/>
                <w:color w:val="auto"/>
                <w:sz w:val="20"/>
                <w:szCs w:val="20"/>
                <w:highlight w:val="none"/>
                <w:u w:val="single"/>
                <w:shd w:val="clear" w:color="auto" w:fill="auto"/>
              </w:rPr>
              <w:t>（</w:t>
            </w:r>
            <w:r>
              <w:rPr>
                <w:rFonts w:hint="eastAsia" w:ascii="宋体" w:hAnsi="宋体" w:eastAsia="宋体" w:cs="宋体"/>
                <w:color w:val="auto"/>
                <w:sz w:val="20"/>
                <w:szCs w:val="20"/>
                <w:highlight w:val="none"/>
                <w:u w:val="single"/>
                <w:shd w:val="clear" w:color="auto" w:fill="auto"/>
                <w:lang w:val="en-US" w:eastAsia="zh-CN"/>
              </w:rPr>
              <w:t>附件1</w:t>
            </w:r>
            <w:r>
              <w:rPr>
                <w:rFonts w:hint="eastAsia" w:ascii="宋体" w:hAnsi="宋体" w:eastAsia="宋体" w:cs="宋体"/>
                <w:color w:val="auto"/>
                <w:sz w:val="20"/>
                <w:szCs w:val="20"/>
                <w:highlight w:val="none"/>
                <w:u w:val="single"/>
                <w:shd w:val="clear" w:color="auto" w:fill="auto"/>
              </w:rPr>
              <w:t>）</w:t>
            </w:r>
          </w:p>
        </w:tc>
      </w:tr>
      <w:tr w14:paraId="4C07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shd w:val="clear" w:color="auto" w:fill="auto"/>
            <w:vAlign w:val="center"/>
          </w:tcPr>
          <w:p w14:paraId="6B65582B">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zh-CN"/>
              </w:rPr>
            </w:pPr>
          </w:p>
        </w:tc>
        <w:tc>
          <w:tcPr>
            <w:tcW w:w="8769" w:type="dxa"/>
            <w:gridSpan w:val="2"/>
            <w:shd w:val="clear" w:color="auto" w:fill="auto"/>
            <w:vAlign w:val="center"/>
          </w:tcPr>
          <w:p w14:paraId="7D6409F8">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▲投标函；</w:t>
            </w:r>
            <w:r>
              <w:rPr>
                <w:rFonts w:hint="eastAsia" w:ascii="宋体" w:hAnsi="宋体" w:eastAsia="宋体" w:cs="宋体"/>
                <w:color w:val="auto"/>
                <w:sz w:val="20"/>
                <w:szCs w:val="20"/>
                <w:highlight w:val="none"/>
                <w:u w:val="single"/>
                <w:shd w:val="clear" w:color="auto" w:fill="auto"/>
              </w:rPr>
              <w:fldChar w:fldCharType="begin"/>
            </w:r>
            <w:r>
              <w:rPr>
                <w:rFonts w:hint="eastAsia" w:ascii="宋体" w:hAnsi="宋体" w:eastAsia="宋体" w:cs="宋体"/>
                <w:color w:val="auto"/>
                <w:sz w:val="20"/>
                <w:szCs w:val="20"/>
                <w:highlight w:val="none"/>
                <w:u w:val="single"/>
                <w:shd w:val="clear" w:color="auto" w:fill="auto"/>
              </w:rPr>
              <w:instrText xml:space="preserve"> HYPERLINK \l "投标函" </w:instrText>
            </w:r>
            <w:r>
              <w:rPr>
                <w:rFonts w:hint="eastAsia" w:ascii="宋体" w:hAnsi="宋体" w:eastAsia="宋体" w:cs="宋体"/>
                <w:color w:val="auto"/>
                <w:sz w:val="20"/>
                <w:szCs w:val="20"/>
                <w:highlight w:val="none"/>
                <w:u w:val="single"/>
                <w:shd w:val="clear" w:color="auto" w:fill="auto"/>
              </w:rPr>
              <w:fldChar w:fldCharType="separate"/>
            </w:r>
            <w:r>
              <w:rPr>
                <w:rFonts w:hint="eastAsia" w:ascii="宋体" w:hAnsi="宋体" w:eastAsia="宋体" w:cs="宋体"/>
                <w:color w:val="auto"/>
                <w:sz w:val="20"/>
                <w:szCs w:val="20"/>
                <w:highlight w:val="none"/>
                <w:u w:val="single"/>
                <w:shd w:val="clear" w:color="auto" w:fill="auto"/>
              </w:rPr>
              <w:t>（</w:t>
            </w:r>
            <w:r>
              <w:rPr>
                <w:rFonts w:hint="eastAsia" w:ascii="宋体" w:hAnsi="宋体" w:eastAsia="宋体" w:cs="宋体"/>
                <w:color w:val="auto"/>
                <w:sz w:val="20"/>
                <w:szCs w:val="20"/>
                <w:highlight w:val="none"/>
                <w:u w:val="single"/>
                <w:shd w:val="clear" w:color="auto" w:fill="auto"/>
                <w:lang w:val="en-US" w:eastAsia="zh-CN"/>
              </w:rPr>
              <w:t>附件10</w:t>
            </w:r>
            <w:r>
              <w:rPr>
                <w:rFonts w:hint="eastAsia" w:ascii="宋体" w:hAnsi="宋体" w:eastAsia="宋体" w:cs="宋体"/>
                <w:color w:val="auto"/>
                <w:sz w:val="20"/>
                <w:szCs w:val="20"/>
                <w:highlight w:val="none"/>
                <w:u w:val="single"/>
                <w:shd w:val="clear" w:color="auto" w:fill="auto"/>
              </w:rPr>
              <w:t>）</w:t>
            </w:r>
            <w:r>
              <w:rPr>
                <w:rFonts w:hint="eastAsia" w:ascii="宋体" w:hAnsi="宋体" w:eastAsia="宋体" w:cs="宋体"/>
                <w:color w:val="auto"/>
                <w:sz w:val="20"/>
                <w:szCs w:val="20"/>
                <w:highlight w:val="none"/>
                <w:u w:val="single"/>
                <w:shd w:val="clear" w:color="auto" w:fill="auto"/>
              </w:rPr>
              <w:fldChar w:fldCharType="end"/>
            </w:r>
          </w:p>
        </w:tc>
      </w:tr>
      <w:tr w14:paraId="1404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84" w:type="dxa"/>
            <w:shd w:val="clear" w:color="auto" w:fill="auto"/>
            <w:vAlign w:val="center"/>
          </w:tcPr>
          <w:p w14:paraId="488E7F21">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rPr>
            </w:pPr>
          </w:p>
        </w:tc>
        <w:tc>
          <w:tcPr>
            <w:tcW w:w="8769" w:type="dxa"/>
            <w:gridSpan w:val="2"/>
            <w:shd w:val="clear" w:color="auto" w:fill="auto"/>
            <w:vAlign w:val="center"/>
          </w:tcPr>
          <w:p w14:paraId="7431F87E">
            <w:pPr>
              <w:keepNext w:val="0"/>
              <w:keepLines w:val="0"/>
              <w:pageBreakBefore w:val="0"/>
              <w:kinsoku/>
              <w:wordWrap/>
              <w:overflowPunct/>
              <w:topLinePunct w:val="0"/>
              <w:bidi w:val="0"/>
              <w:snapToGrid w:val="0"/>
              <w:spacing w:before="157" w:beforeLines="50" w:after="157" w:afterLines="50" w:line="240" w:lineRule="auto"/>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▲开标一览表；</w:t>
            </w:r>
            <w:r>
              <w:rPr>
                <w:rFonts w:hint="eastAsia" w:ascii="宋体" w:hAnsi="宋体" w:eastAsia="宋体" w:cs="宋体"/>
                <w:color w:val="auto"/>
                <w:sz w:val="20"/>
                <w:szCs w:val="20"/>
                <w:highlight w:val="none"/>
                <w:u w:val="single"/>
                <w:shd w:val="clear" w:color="auto" w:fill="auto"/>
              </w:rPr>
              <w:fldChar w:fldCharType="begin"/>
            </w:r>
            <w:r>
              <w:rPr>
                <w:rFonts w:hint="eastAsia" w:ascii="宋体" w:hAnsi="宋体" w:eastAsia="宋体" w:cs="宋体"/>
                <w:color w:val="auto"/>
                <w:sz w:val="20"/>
                <w:szCs w:val="20"/>
                <w:highlight w:val="none"/>
                <w:u w:val="single"/>
                <w:shd w:val="clear" w:color="auto" w:fill="auto"/>
              </w:rPr>
              <w:instrText xml:space="preserve"> HYPERLINK \l "报价一览表" </w:instrText>
            </w:r>
            <w:r>
              <w:rPr>
                <w:rFonts w:hint="eastAsia" w:ascii="宋体" w:hAnsi="宋体" w:eastAsia="宋体" w:cs="宋体"/>
                <w:color w:val="auto"/>
                <w:sz w:val="20"/>
                <w:szCs w:val="20"/>
                <w:highlight w:val="none"/>
                <w:u w:val="single"/>
                <w:shd w:val="clear" w:color="auto" w:fill="auto"/>
              </w:rPr>
              <w:fldChar w:fldCharType="separate"/>
            </w:r>
            <w:r>
              <w:rPr>
                <w:rFonts w:hint="eastAsia" w:ascii="宋体" w:hAnsi="宋体" w:eastAsia="宋体" w:cs="宋体"/>
                <w:color w:val="auto"/>
                <w:sz w:val="20"/>
                <w:szCs w:val="20"/>
                <w:highlight w:val="none"/>
                <w:u w:val="single"/>
                <w:shd w:val="clear" w:color="auto" w:fill="auto"/>
              </w:rPr>
              <w:t>（</w:t>
            </w:r>
            <w:r>
              <w:rPr>
                <w:rFonts w:hint="eastAsia" w:ascii="宋体" w:hAnsi="宋体" w:eastAsia="宋体" w:cs="宋体"/>
                <w:color w:val="auto"/>
                <w:sz w:val="20"/>
                <w:szCs w:val="20"/>
                <w:highlight w:val="none"/>
                <w:u w:val="single"/>
                <w:shd w:val="clear" w:color="auto" w:fill="auto"/>
                <w:lang w:val="en-US" w:eastAsia="zh-CN"/>
              </w:rPr>
              <w:t>附件11</w:t>
            </w:r>
            <w:r>
              <w:rPr>
                <w:rFonts w:hint="eastAsia" w:ascii="宋体" w:hAnsi="宋体" w:eastAsia="宋体" w:cs="宋体"/>
                <w:color w:val="auto"/>
                <w:sz w:val="20"/>
                <w:szCs w:val="20"/>
                <w:highlight w:val="none"/>
                <w:u w:val="single"/>
                <w:shd w:val="clear" w:color="auto" w:fill="auto"/>
              </w:rPr>
              <w:t>)</w:t>
            </w:r>
            <w:r>
              <w:rPr>
                <w:rFonts w:hint="eastAsia" w:ascii="宋体" w:hAnsi="宋体" w:eastAsia="宋体" w:cs="宋体"/>
                <w:color w:val="auto"/>
                <w:sz w:val="20"/>
                <w:szCs w:val="20"/>
                <w:highlight w:val="none"/>
                <w:u w:val="single"/>
                <w:shd w:val="clear" w:color="auto" w:fill="auto"/>
              </w:rPr>
              <w:fldChar w:fldCharType="end"/>
            </w:r>
          </w:p>
        </w:tc>
      </w:tr>
      <w:tr w14:paraId="3281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84" w:type="dxa"/>
            <w:shd w:val="clear" w:color="auto" w:fill="auto"/>
            <w:vAlign w:val="center"/>
          </w:tcPr>
          <w:p w14:paraId="6BF264FC">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en-US" w:eastAsia="zh-CN"/>
              </w:rPr>
            </w:pPr>
          </w:p>
        </w:tc>
        <w:tc>
          <w:tcPr>
            <w:tcW w:w="6235" w:type="dxa"/>
            <w:shd w:val="clear" w:color="auto" w:fill="auto"/>
            <w:vAlign w:val="top"/>
          </w:tcPr>
          <w:p w14:paraId="07DCDEA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rPr>
                <w:rFonts w:hint="eastAsia" w:ascii="宋体" w:hAnsi="宋体" w:eastAsia="宋体" w:cs="宋体"/>
                <w:b/>
                <w:bCs/>
                <w:color w:val="auto"/>
                <w:sz w:val="24"/>
                <w:highlight w:val="none"/>
                <w:shd w:val="clear" w:color="auto" w:fill="auto"/>
                <w:lang w:val="en-US" w:eastAsia="zh-CN"/>
              </w:rPr>
            </w:pPr>
            <w:r>
              <w:rPr>
                <w:rFonts w:hint="eastAsia" w:ascii="宋体" w:hAnsi="宋体" w:eastAsia="宋体" w:cs="宋体"/>
                <w:b/>
                <w:bCs/>
                <w:color w:val="auto"/>
                <w:sz w:val="24"/>
                <w:highlight w:val="none"/>
                <w:shd w:val="clear" w:color="auto" w:fill="auto"/>
                <w:lang w:val="en-US" w:eastAsia="zh-CN"/>
              </w:rPr>
              <w:t>满足以下对应条件，可享受</w:t>
            </w:r>
            <w:r>
              <w:rPr>
                <w:rFonts w:hint="eastAsia" w:ascii="宋体" w:hAnsi="宋体" w:eastAsia="宋体" w:cs="宋体"/>
                <w:b/>
                <w:bCs/>
                <w:i w:val="0"/>
                <w:iCs w:val="0"/>
                <w:color w:val="auto"/>
                <w:sz w:val="24"/>
                <w:highlight w:val="none"/>
                <w:u w:val="none"/>
                <w:shd w:val="clear" w:color="auto" w:fill="auto"/>
                <w:lang w:val="en-US" w:eastAsia="zh-CN"/>
              </w:rPr>
              <w:t>价格扣除优惠政策</w:t>
            </w:r>
            <w:r>
              <w:rPr>
                <w:rFonts w:hint="eastAsia" w:ascii="宋体" w:hAnsi="宋体" w:eastAsia="宋体" w:cs="宋体"/>
                <w:b/>
                <w:bCs/>
                <w:color w:val="auto"/>
                <w:sz w:val="24"/>
                <w:highlight w:val="none"/>
                <w:shd w:val="clear" w:color="auto" w:fill="auto"/>
                <w:lang w:val="en-US" w:eastAsia="zh-CN"/>
              </w:rPr>
              <w:t>：</w:t>
            </w:r>
          </w:p>
          <w:p w14:paraId="71E890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240" w:firstLineChars="100"/>
              <w:jc w:val="both"/>
              <w:textAlignment w:val="auto"/>
              <w:rPr>
                <w:rFonts w:hint="eastAsia" w:ascii="宋体" w:hAnsi="宋体" w:eastAsia="宋体" w:cs="宋体"/>
                <w:b w:val="0"/>
                <w:bCs w:val="0"/>
                <w:color w:val="auto"/>
                <w:sz w:val="24"/>
                <w:highlight w:val="none"/>
                <w:shd w:val="clear" w:color="auto" w:fill="auto"/>
                <w:lang w:val="en-US" w:eastAsia="zh-CN"/>
              </w:rPr>
            </w:pPr>
            <w:r>
              <w:rPr>
                <w:rFonts w:hint="eastAsia" w:ascii="宋体" w:hAnsi="宋体" w:eastAsia="宋体" w:cs="宋体"/>
                <w:b w:val="0"/>
                <w:bCs w:val="0"/>
                <w:color w:val="auto"/>
                <w:sz w:val="24"/>
                <w:highlight w:val="none"/>
                <w:shd w:val="clear" w:color="auto" w:fill="auto"/>
                <w:lang w:val="en-US" w:eastAsia="zh-CN"/>
              </w:rPr>
              <w:t>（1）符合《政府采购促进中小企业发展管理办法》规定的小微企业拟享受价格扣除优惠政策的，需提供</w:t>
            </w:r>
            <w:r>
              <w:rPr>
                <w:rFonts w:hint="eastAsia" w:ascii="宋体" w:hAnsi="宋体" w:eastAsia="宋体" w:cs="宋体"/>
                <w:b/>
                <w:bCs/>
                <w:color w:val="auto"/>
                <w:sz w:val="24"/>
                <w:highlight w:val="none"/>
                <w:shd w:val="clear" w:color="auto" w:fill="auto"/>
                <w:lang w:val="en-US" w:eastAsia="zh-CN"/>
              </w:rPr>
              <w:t>《中小企业声明函》</w:t>
            </w:r>
            <w:r>
              <w:rPr>
                <w:rFonts w:hint="eastAsia" w:ascii="宋体" w:hAnsi="宋体" w:eastAsia="宋体" w:cs="宋体"/>
                <w:b/>
                <w:bCs/>
                <w:color w:val="auto"/>
                <w:sz w:val="20"/>
                <w:szCs w:val="20"/>
                <w:highlight w:val="none"/>
                <w:u w:val="none"/>
                <w:shd w:val="clear" w:color="auto" w:fill="auto"/>
                <w:lang w:val="en-US" w:eastAsia="zh-CN"/>
              </w:rPr>
              <w:t>（</w:t>
            </w:r>
            <w:r>
              <w:rPr>
                <w:rFonts w:hint="eastAsia" w:ascii="宋体" w:hAnsi="宋体" w:eastAsia="宋体" w:cs="宋体"/>
                <w:b/>
                <w:bCs/>
                <w:color w:val="auto"/>
                <w:sz w:val="20"/>
                <w:szCs w:val="20"/>
                <w:highlight w:val="none"/>
                <w:u w:val="single"/>
                <w:shd w:val="clear" w:color="auto" w:fill="auto"/>
                <w:lang w:val="en-US" w:eastAsia="zh-CN"/>
              </w:rPr>
              <w:t>附件</w:t>
            </w:r>
            <w:r>
              <w:rPr>
                <w:rFonts w:hint="eastAsia" w:ascii="宋体" w:hAnsi="宋体" w:eastAsia="宋体" w:cs="宋体"/>
                <w:b/>
                <w:bCs/>
                <w:color w:val="auto"/>
                <w:sz w:val="20"/>
                <w:szCs w:val="20"/>
                <w:highlight w:val="none"/>
                <w:u w:val="single"/>
                <w:shd w:val="clear" w:color="auto" w:fill="auto"/>
                <w:lang w:val="en-US" w:eastAsia="zh-CN"/>
              </w:rPr>
              <w:fldChar w:fldCharType="begin"/>
            </w:r>
            <w:r>
              <w:rPr>
                <w:rFonts w:hint="eastAsia" w:ascii="宋体" w:hAnsi="宋体" w:eastAsia="宋体" w:cs="宋体"/>
                <w:b/>
                <w:bCs/>
                <w:color w:val="auto"/>
                <w:sz w:val="20"/>
                <w:szCs w:val="20"/>
                <w:highlight w:val="none"/>
                <w:u w:val="single"/>
                <w:shd w:val="clear" w:color="auto" w:fill="auto"/>
                <w:lang w:val="en-US" w:eastAsia="zh-CN"/>
              </w:rPr>
              <w:instrText xml:space="preserve"> HYPERLINK \l "小微企业" </w:instrText>
            </w:r>
            <w:r>
              <w:rPr>
                <w:rFonts w:hint="eastAsia" w:ascii="宋体" w:hAnsi="宋体" w:eastAsia="宋体" w:cs="宋体"/>
                <w:b/>
                <w:bCs/>
                <w:color w:val="auto"/>
                <w:sz w:val="20"/>
                <w:szCs w:val="20"/>
                <w:highlight w:val="none"/>
                <w:u w:val="single"/>
                <w:shd w:val="clear" w:color="auto" w:fill="auto"/>
                <w:lang w:val="en-US" w:eastAsia="zh-CN"/>
              </w:rPr>
              <w:fldChar w:fldCharType="separate"/>
            </w:r>
            <w:r>
              <w:rPr>
                <w:rFonts w:hint="eastAsia" w:ascii="宋体" w:hAnsi="宋体" w:eastAsia="宋体" w:cs="宋体"/>
                <w:b/>
                <w:bCs/>
                <w:color w:val="auto"/>
                <w:sz w:val="20"/>
                <w:szCs w:val="20"/>
                <w:highlight w:val="none"/>
                <w:u w:val="single"/>
                <w:shd w:val="clear" w:color="auto" w:fill="auto"/>
                <w:lang w:val="en-US" w:eastAsia="zh-CN"/>
              </w:rPr>
              <w:t>7-2）</w:t>
            </w:r>
            <w:r>
              <w:rPr>
                <w:rFonts w:hint="eastAsia" w:ascii="宋体" w:hAnsi="宋体" w:eastAsia="宋体" w:cs="宋体"/>
                <w:b/>
                <w:bCs/>
                <w:color w:val="auto"/>
                <w:sz w:val="20"/>
                <w:szCs w:val="20"/>
                <w:highlight w:val="none"/>
                <w:u w:val="single"/>
                <w:shd w:val="clear" w:color="auto" w:fill="auto"/>
                <w:lang w:val="en-US" w:eastAsia="zh-CN"/>
              </w:rPr>
              <w:fldChar w:fldCharType="end"/>
            </w:r>
            <w:r>
              <w:rPr>
                <w:rFonts w:hint="eastAsia" w:ascii="宋体" w:hAnsi="宋体" w:eastAsia="宋体" w:cs="宋体"/>
                <w:b w:val="0"/>
                <w:bCs w:val="0"/>
                <w:color w:val="auto"/>
                <w:sz w:val="24"/>
                <w:highlight w:val="none"/>
                <w:shd w:val="clear" w:color="auto" w:fill="auto"/>
                <w:lang w:val="en-US" w:eastAsia="zh-CN"/>
              </w:rPr>
              <w:t>；</w:t>
            </w:r>
          </w:p>
          <w:p w14:paraId="0F87B2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0" w:firstLineChars="200"/>
              <w:jc w:val="both"/>
              <w:textAlignment w:val="auto"/>
              <w:rPr>
                <w:rFonts w:hint="eastAsia" w:ascii="宋体" w:hAnsi="宋体" w:eastAsia="宋体" w:cs="宋体"/>
                <w:b w:val="0"/>
                <w:bCs w:val="0"/>
                <w:color w:val="auto"/>
                <w:sz w:val="24"/>
                <w:highlight w:val="none"/>
                <w:shd w:val="clear" w:color="auto" w:fill="auto"/>
                <w:lang w:val="en-US" w:eastAsia="zh-CN"/>
              </w:rPr>
            </w:pPr>
            <w:r>
              <w:rPr>
                <w:rFonts w:hint="eastAsia" w:ascii="宋体" w:hAnsi="宋体" w:eastAsia="宋体" w:cs="宋体"/>
                <w:b w:val="0"/>
                <w:bCs w:val="0"/>
                <w:color w:val="auto"/>
                <w:sz w:val="24"/>
                <w:highlight w:val="none"/>
                <w:shd w:val="clear" w:color="auto" w:fill="auto"/>
                <w:lang w:val="en-US" w:eastAsia="zh-CN"/>
              </w:rPr>
              <w:t>符合《关于促进残疾人就业政府采购政策的通知》（财库〔2017〕141号）规定的条件并提供</w:t>
            </w:r>
            <w:r>
              <w:rPr>
                <w:rFonts w:hint="eastAsia" w:ascii="宋体" w:hAnsi="宋体" w:eastAsia="宋体" w:cs="宋体"/>
                <w:b/>
                <w:bCs/>
                <w:color w:val="auto"/>
                <w:sz w:val="24"/>
                <w:highlight w:val="none"/>
                <w:shd w:val="clear" w:color="auto" w:fill="auto"/>
                <w:lang w:val="en-US" w:eastAsia="zh-CN"/>
              </w:rPr>
              <w:t>《残疾人福利性单位声明函》</w:t>
            </w:r>
            <w:r>
              <w:rPr>
                <w:rFonts w:hint="eastAsia" w:ascii="宋体" w:hAnsi="宋体" w:eastAsia="宋体" w:cs="宋体"/>
                <w:b/>
                <w:bCs/>
                <w:color w:val="auto"/>
                <w:sz w:val="20"/>
                <w:szCs w:val="20"/>
                <w:highlight w:val="none"/>
                <w:u w:val="none"/>
                <w:shd w:val="clear" w:color="auto" w:fill="auto"/>
                <w:lang w:val="en-US" w:eastAsia="zh-CN"/>
              </w:rPr>
              <w:t>（</w:t>
            </w:r>
            <w:r>
              <w:rPr>
                <w:rFonts w:hint="eastAsia" w:ascii="宋体" w:hAnsi="宋体" w:eastAsia="宋体" w:cs="宋体"/>
                <w:b/>
                <w:bCs/>
                <w:color w:val="auto"/>
                <w:sz w:val="20"/>
                <w:szCs w:val="20"/>
                <w:highlight w:val="none"/>
                <w:u w:val="single"/>
                <w:shd w:val="clear" w:color="auto" w:fill="auto"/>
                <w:lang w:val="en-US" w:eastAsia="zh-CN"/>
              </w:rPr>
              <w:t>附件</w:t>
            </w:r>
            <w:r>
              <w:rPr>
                <w:rFonts w:hint="eastAsia" w:ascii="宋体" w:hAnsi="宋体" w:eastAsia="宋体" w:cs="宋体"/>
                <w:b/>
                <w:bCs/>
                <w:color w:val="auto"/>
                <w:sz w:val="20"/>
                <w:szCs w:val="20"/>
                <w:highlight w:val="none"/>
                <w:u w:val="single"/>
                <w:shd w:val="clear" w:color="auto" w:fill="auto"/>
                <w:lang w:val="en-US" w:eastAsia="zh-CN"/>
              </w:rPr>
              <w:fldChar w:fldCharType="begin"/>
            </w:r>
            <w:r>
              <w:rPr>
                <w:rFonts w:hint="eastAsia" w:ascii="宋体" w:hAnsi="宋体" w:eastAsia="宋体" w:cs="宋体"/>
                <w:b/>
                <w:bCs/>
                <w:color w:val="auto"/>
                <w:sz w:val="20"/>
                <w:szCs w:val="20"/>
                <w:highlight w:val="none"/>
                <w:u w:val="single"/>
                <w:shd w:val="clear" w:color="auto" w:fill="auto"/>
                <w:lang w:val="en-US" w:eastAsia="zh-CN"/>
              </w:rPr>
              <w:instrText xml:space="preserve"> HYPERLINK \l "小微企业" </w:instrText>
            </w:r>
            <w:r>
              <w:rPr>
                <w:rFonts w:hint="eastAsia" w:ascii="宋体" w:hAnsi="宋体" w:eastAsia="宋体" w:cs="宋体"/>
                <w:b/>
                <w:bCs/>
                <w:color w:val="auto"/>
                <w:sz w:val="20"/>
                <w:szCs w:val="20"/>
                <w:highlight w:val="none"/>
                <w:u w:val="single"/>
                <w:shd w:val="clear" w:color="auto" w:fill="auto"/>
                <w:lang w:val="en-US" w:eastAsia="zh-CN"/>
              </w:rPr>
              <w:fldChar w:fldCharType="separate"/>
            </w:r>
            <w:r>
              <w:rPr>
                <w:rFonts w:hint="eastAsia" w:ascii="宋体" w:hAnsi="宋体" w:eastAsia="宋体" w:cs="宋体"/>
                <w:b/>
                <w:bCs/>
                <w:color w:val="auto"/>
                <w:sz w:val="20"/>
                <w:szCs w:val="20"/>
                <w:highlight w:val="none"/>
                <w:u w:val="single"/>
                <w:shd w:val="clear" w:color="auto" w:fill="auto"/>
                <w:lang w:val="en-US" w:eastAsia="zh-CN"/>
              </w:rPr>
              <w:t>7-3）</w:t>
            </w:r>
            <w:r>
              <w:rPr>
                <w:rFonts w:hint="eastAsia" w:ascii="宋体" w:hAnsi="宋体" w:eastAsia="宋体" w:cs="宋体"/>
                <w:b/>
                <w:bCs/>
                <w:color w:val="auto"/>
                <w:sz w:val="20"/>
                <w:szCs w:val="20"/>
                <w:highlight w:val="none"/>
                <w:u w:val="single"/>
                <w:shd w:val="clear" w:color="auto" w:fill="auto"/>
                <w:lang w:val="en-US" w:eastAsia="zh-CN"/>
              </w:rPr>
              <w:fldChar w:fldCharType="end"/>
            </w:r>
            <w:r>
              <w:rPr>
                <w:rFonts w:hint="eastAsia" w:ascii="宋体" w:hAnsi="宋体" w:eastAsia="宋体" w:cs="宋体"/>
                <w:b w:val="0"/>
                <w:bCs w:val="0"/>
                <w:color w:val="auto"/>
                <w:sz w:val="24"/>
                <w:highlight w:val="none"/>
                <w:shd w:val="clear" w:color="auto" w:fill="auto"/>
                <w:lang w:val="en-US" w:eastAsia="zh-CN"/>
              </w:rPr>
              <w:t>的残疾人福利性单位视同小型、微型企业；</w:t>
            </w:r>
          </w:p>
          <w:p w14:paraId="1F99D59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80" w:firstLineChars="200"/>
              <w:jc w:val="both"/>
              <w:textAlignment w:val="auto"/>
              <w:rPr>
                <w:rFonts w:hint="eastAsia" w:ascii="宋体" w:hAnsi="宋体" w:eastAsia="宋体" w:cs="宋体"/>
                <w:b w:val="0"/>
                <w:bCs w:val="0"/>
                <w:color w:val="auto"/>
                <w:sz w:val="24"/>
                <w:highlight w:val="none"/>
                <w:shd w:val="clear" w:color="auto" w:fill="auto"/>
                <w:lang w:val="en-US" w:eastAsia="zh-CN"/>
              </w:rPr>
            </w:pPr>
            <w:r>
              <w:rPr>
                <w:rFonts w:hint="eastAsia" w:ascii="宋体" w:hAnsi="宋体" w:eastAsia="宋体" w:cs="宋体"/>
                <w:b w:val="0"/>
                <w:bCs w:val="0"/>
                <w:color w:val="auto"/>
                <w:sz w:val="24"/>
                <w:highlight w:val="none"/>
                <w:shd w:val="clear" w:color="auto" w:fill="auto"/>
                <w:lang w:val="en-US" w:eastAsia="zh-CN"/>
              </w:rPr>
              <w:t>根据《关于政府采购支持监狱企业发展有关问题的通知》（财库[2014]68号）的规定，投标人提供由省级以上监狱管理局、戒毒管理局（含新疆生产建设兵团）出具的属于</w:t>
            </w:r>
            <w:r>
              <w:rPr>
                <w:rFonts w:hint="eastAsia" w:ascii="宋体" w:hAnsi="宋体" w:eastAsia="宋体" w:cs="宋体"/>
                <w:b/>
                <w:bCs/>
                <w:color w:val="auto"/>
                <w:sz w:val="24"/>
                <w:highlight w:val="none"/>
                <w:shd w:val="clear" w:color="auto" w:fill="auto"/>
                <w:lang w:val="en-US" w:eastAsia="zh-CN"/>
              </w:rPr>
              <w:t>监狱企业证明文件</w:t>
            </w:r>
            <w:r>
              <w:rPr>
                <w:rFonts w:hint="eastAsia" w:ascii="宋体" w:hAnsi="宋体" w:eastAsia="宋体" w:cs="宋体"/>
                <w:b w:val="0"/>
                <w:bCs w:val="0"/>
                <w:color w:val="auto"/>
                <w:sz w:val="24"/>
                <w:highlight w:val="none"/>
                <w:shd w:val="clear" w:color="auto" w:fill="auto"/>
                <w:lang w:val="en-US" w:eastAsia="zh-CN"/>
              </w:rPr>
              <w:t>的，视同为小型和微型企业。</w:t>
            </w:r>
          </w:p>
          <w:p w14:paraId="4CF851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240" w:firstLineChars="1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val="0"/>
                <w:bCs w:val="0"/>
                <w:color w:val="auto"/>
                <w:sz w:val="24"/>
                <w:highlight w:val="none"/>
                <w:shd w:val="clear" w:color="auto" w:fill="auto"/>
                <w:lang w:val="en-US" w:eastAsia="zh-CN"/>
              </w:rPr>
              <w:t>（2）</w:t>
            </w:r>
            <w:r>
              <w:rPr>
                <w:rFonts w:hint="eastAsia" w:ascii="宋体" w:hAnsi="宋体" w:eastAsia="宋体" w:cs="宋体"/>
                <w:color w:val="auto"/>
                <w:kern w:val="2"/>
                <w:sz w:val="24"/>
                <w:szCs w:val="24"/>
                <w:highlight w:val="none"/>
                <w:shd w:val="clear" w:color="auto" w:fill="auto"/>
                <w:lang w:val="en-US" w:eastAsia="zh-CN" w:bidi="ar-SA"/>
              </w:rPr>
              <w:t>需要以联合体形式参标，</w:t>
            </w:r>
            <w:r>
              <w:rPr>
                <w:rFonts w:hint="eastAsia" w:ascii="宋体" w:hAnsi="宋体" w:eastAsia="宋体" w:cs="宋体"/>
                <w:b w:val="0"/>
                <w:bCs w:val="0"/>
                <w:color w:val="auto"/>
                <w:sz w:val="24"/>
                <w:highlight w:val="none"/>
                <w:shd w:val="clear" w:color="auto" w:fill="auto"/>
                <w:lang w:val="en-US" w:eastAsia="zh-CN"/>
              </w:rPr>
              <w:t>拟享受价格扣除优惠政策的，</w:t>
            </w:r>
            <w:r>
              <w:rPr>
                <w:rFonts w:hint="eastAsia" w:ascii="宋体" w:hAnsi="宋体" w:eastAsia="宋体" w:cs="宋体"/>
                <w:color w:val="auto"/>
                <w:kern w:val="2"/>
                <w:sz w:val="24"/>
                <w:szCs w:val="24"/>
                <w:highlight w:val="none"/>
                <w:shd w:val="clear" w:color="auto" w:fill="auto"/>
                <w:lang w:val="en-US" w:eastAsia="zh-CN" w:bidi="ar-SA"/>
              </w:rPr>
              <w:t>除提供第（1）条相应材料外，还需提供</w:t>
            </w:r>
            <w:r>
              <w:rPr>
                <w:rFonts w:hint="eastAsia" w:ascii="宋体" w:hAnsi="宋体" w:eastAsia="宋体" w:cs="宋体"/>
                <w:b/>
                <w:bCs/>
                <w:color w:val="auto"/>
                <w:kern w:val="2"/>
                <w:sz w:val="24"/>
                <w:szCs w:val="24"/>
                <w:highlight w:val="none"/>
                <w:shd w:val="clear" w:color="auto" w:fill="auto"/>
                <w:lang w:val="en-US" w:eastAsia="zh-CN" w:bidi="ar-SA"/>
              </w:rPr>
              <w:t>联合协议</w:t>
            </w:r>
            <w:r>
              <w:rPr>
                <w:rFonts w:hint="eastAsia" w:ascii="宋体" w:hAnsi="宋体" w:eastAsia="宋体" w:cs="宋体"/>
                <w:b/>
                <w:bCs/>
                <w:color w:val="auto"/>
                <w:sz w:val="20"/>
                <w:szCs w:val="20"/>
                <w:highlight w:val="none"/>
                <w:u w:val="single"/>
                <w:shd w:val="clear" w:color="auto" w:fill="auto"/>
                <w:lang w:val="en-US" w:eastAsia="zh-CN"/>
              </w:rPr>
              <w:t>（附件8）</w:t>
            </w:r>
            <w:r>
              <w:rPr>
                <w:rFonts w:hint="eastAsia" w:ascii="宋体" w:hAnsi="宋体" w:eastAsia="宋体" w:cs="宋体"/>
                <w:color w:val="auto"/>
                <w:kern w:val="2"/>
                <w:sz w:val="24"/>
                <w:szCs w:val="24"/>
                <w:highlight w:val="none"/>
                <w:shd w:val="clear" w:color="auto" w:fill="auto"/>
                <w:lang w:val="en-US" w:eastAsia="zh-CN" w:bidi="ar-SA"/>
              </w:rPr>
              <w:t>；</w:t>
            </w:r>
          </w:p>
          <w:p w14:paraId="424FCB77">
            <w:pPr>
              <w:keepNext w:val="0"/>
              <w:keepLines w:val="0"/>
              <w:pageBreakBefore w:val="0"/>
              <w:kinsoku/>
              <w:wordWrap/>
              <w:overflowPunct/>
              <w:topLinePunct w:val="0"/>
              <w:bidi w:val="0"/>
              <w:snapToGrid w:val="0"/>
              <w:spacing w:before="157" w:beforeLines="50" w:after="157" w:afterLines="50" w:line="240" w:lineRule="auto"/>
              <w:ind w:firstLine="240" w:firstLineChars="100"/>
              <w:jc w:val="both"/>
              <w:rPr>
                <w:rFonts w:hint="eastAsia" w:ascii="宋体" w:hAnsi="宋体" w:eastAsia="宋体" w:cs="宋体"/>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en-US" w:eastAsia="zh-CN"/>
              </w:rPr>
              <w:t>需要合同分包，</w:t>
            </w:r>
            <w:r>
              <w:rPr>
                <w:rFonts w:hint="eastAsia" w:ascii="宋体" w:hAnsi="宋体" w:eastAsia="宋体" w:cs="宋体"/>
                <w:b w:val="0"/>
                <w:bCs w:val="0"/>
                <w:color w:val="auto"/>
                <w:sz w:val="24"/>
                <w:highlight w:val="none"/>
                <w:shd w:val="clear" w:color="auto" w:fill="auto"/>
                <w:lang w:val="en-US" w:eastAsia="zh-CN"/>
              </w:rPr>
              <w:t>拟享受价格扣除优惠政策的，</w:t>
            </w:r>
            <w:r>
              <w:rPr>
                <w:rFonts w:hint="eastAsia" w:ascii="宋体" w:hAnsi="宋体" w:eastAsia="宋体" w:cs="宋体"/>
                <w:color w:val="auto"/>
                <w:kern w:val="2"/>
                <w:sz w:val="24"/>
                <w:szCs w:val="24"/>
                <w:highlight w:val="none"/>
                <w:shd w:val="clear" w:color="auto" w:fill="auto"/>
                <w:lang w:val="en-US" w:eastAsia="zh-CN" w:bidi="ar-SA"/>
              </w:rPr>
              <w:t>除提供第（1）条相应材料外，还需提供</w:t>
            </w:r>
            <w:r>
              <w:rPr>
                <w:rFonts w:hint="eastAsia" w:ascii="宋体" w:hAnsi="宋体" w:eastAsia="宋体" w:cs="宋体"/>
                <w:b/>
                <w:bCs/>
                <w:color w:val="auto"/>
                <w:sz w:val="24"/>
                <w:highlight w:val="none"/>
                <w:shd w:val="clear" w:color="auto" w:fill="auto"/>
                <w:lang w:val="en-US" w:eastAsia="zh-CN"/>
              </w:rPr>
              <w:t>分包意向协议</w:t>
            </w:r>
            <w:r>
              <w:rPr>
                <w:rFonts w:hint="eastAsia" w:ascii="宋体" w:hAnsi="宋体" w:eastAsia="宋体" w:cs="宋体"/>
                <w:b/>
                <w:bCs/>
                <w:color w:val="auto"/>
                <w:sz w:val="20"/>
                <w:szCs w:val="20"/>
                <w:highlight w:val="none"/>
                <w:u w:val="single"/>
                <w:shd w:val="clear" w:color="auto" w:fill="auto"/>
                <w:lang w:val="en-US" w:eastAsia="zh-CN"/>
              </w:rPr>
              <w:t>（附件9）</w:t>
            </w:r>
            <w:r>
              <w:rPr>
                <w:rFonts w:hint="eastAsia" w:ascii="宋体" w:hAnsi="宋体" w:eastAsia="宋体" w:cs="宋体"/>
                <w:color w:val="auto"/>
                <w:sz w:val="20"/>
                <w:szCs w:val="20"/>
                <w:highlight w:val="none"/>
                <w:u w:val="none"/>
                <w:shd w:val="clear" w:color="auto" w:fill="auto"/>
                <w:lang w:val="en-US" w:eastAsia="zh-CN"/>
              </w:rPr>
              <w:t>。</w:t>
            </w:r>
          </w:p>
        </w:tc>
        <w:tc>
          <w:tcPr>
            <w:tcW w:w="2534" w:type="dxa"/>
            <w:shd w:val="clear" w:color="auto" w:fill="auto"/>
            <w:vAlign w:val="center"/>
          </w:tcPr>
          <w:p w14:paraId="078A37C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b w:val="0"/>
                <w:bCs w:val="0"/>
                <w:color w:val="auto"/>
                <w:sz w:val="24"/>
                <w:highlight w:val="none"/>
                <w:shd w:val="clear" w:color="auto" w:fill="auto"/>
                <w:lang w:val="en-US" w:eastAsia="zh-CN"/>
              </w:rPr>
            </w:pPr>
            <w:r>
              <w:rPr>
                <w:rFonts w:hint="eastAsia" w:ascii="宋体" w:hAnsi="宋体" w:eastAsia="宋体" w:cs="宋体"/>
                <w:b w:val="0"/>
                <w:bCs w:val="0"/>
                <w:color w:val="auto"/>
                <w:sz w:val="24"/>
                <w:highlight w:val="none"/>
                <w:shd w:val="clear" w:color="auto" w:fill="auto"/>
                <w:lang w:val="en-US" w:eastAsia="zh-CN"/>
              </w:rPr>
              <w:t>注：</w:t>
            </w:r>
          </w:p>
          <w:p w14:paraId="0C90AEF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b w:val="0"/>
                <w:bCs w:val="0"/>
                <w:color w:val="auto"/>
                <w:sz w:val="24"/>
                <w:highlight w:val="none"/>
                <w:shd w:val="clear" w:color="auto" w:fill="auto"/>
                <w:lang w:val="en-US" w:eastAsia="zh-CN"/>
              </w:rPr>
            </w:pPr>
            <w:r>
              <w:rPr>
                <w:rFonts w:hint="eastAsia" w:ascii="宋体" w:hAnsi="宋体" w:eastAsia="宋体" w:cs="宋体"/>
                <w:b w:val="0"/>
                <w:bCs w:val="0"/>
                <w:color w:val="auto"/>
                <w:sz w:val="24"/>
                <w:highlight w:val="none"/>
                <w:shd w:val="clear" w:color="auto" w:fill="auto"/>
                <w:lang w:val="en-US" w:eastAsia="zh-CN"/>
              </w:rPr>
              <w:t>1.同一供应商（包括联合体），小微企业、监狱企业、残疾人福利性单位价格扣除优惠只享受一次，不得重复享受。</w:t>
            </w:r>
          </w:p>
          <w:p w14:paraId="13AC706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b w:val="0"/>
                <w:bCs w:val="0"/>
                <w:color w:val="auto"/>
                <w:sz w:val="24"/>
                <w:highlight w:val="none"/>
                <w:shd w:val="clear" w:color="auto" w:fill="auto"/>
                <w:lang w:val="en-US" w:eastAsia="zh-CN"/>
              </w:rPr>
            </w:pPr>
            <w:r>
              <w:rPr>
                <w:rFonts w:hint="eastAsia" w:ascii="宋体" w:hAnsi="宋体" w:eastAsia="宋体" w:cs="宋体"/>
                <w:b w:val="0"/>
                <w:bCs w:val="0"/>
                <w:color w:val="auto"/>
                <w:sz w:val="24"/>
                <w:highlight w:val="none"/>
                <w:shd w:val="clear" w:color="auto" w:fill="auto"/>
                <w:lang w:val="en-US" w:eastAsia="zh-CN"/>
              </w:rPr>
              <w:t>2.联合协议或者分包意向协议需明确约定小微企业的合同份额，未明确或不符合要求或未出具中小企业声明函等，则不享受价格扣除优惠政策。</w:t>
            </w:r>
          </w:p>
        </w:tc>
      </w:tr>
      <w:tr w14:paraId="0BF5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84" w:type="dxa"/>
            <w:shd w:val="clear" w:color="auto" w:fill="auto"/>
            <w:vAlign w:val="center"/>
          </w:tcPr>
          <w:p w14:paraId="1FB29109">
            <w:pPr>
              <w:keepNext w:val="0"/>
              <w:keepLines w:val="0"/>
              <w:pageBreakBefore w:val="0"/>
              <w:numPr>
                <w:ilvl w:val="0"/>
                <w:numId w:val="10"/>
              </w:numPr>
              <w:kinsoku/>
              <w:wordWrap/>
              <w:overflowPunct/>
              <w:topLinePunct w:val="0"/>
              <w:bidi w:val="0"/>
              <w:snapToGrid w:val="0"/>
              <w:spacing w:before="157" w:beforeLines="50" w:after="157" w:afterLines="50" w:line="240" w:lineRule="auto"/>
              <w:ind w:left="425" w:leftChars="0" w:hanging="425" w:firstLineChars="0"/>
              <w:jc w:val="center"/>
              <w:rPr>
                <w:rFonts w:hint="eastAsia" w:ascii="宋体" w:hAnsi="宋体" w:eastAsia="宋体" w:cs="宋体"/>
                <w:color w:val="auto"/>
                <w:sz w:val="24"/>
                <w:highlight w:val="none"/>
                <w:lang w:val="en-US" w:eastAsia="zh-CN"/>
              </w:rPr>
            </w:pPr>
          </w:p>
        </w:tc>
        <w:tc>
          <w:tcPr>
            <w:tcW w:w="8769" w:type="dxa"/>
            <w:gridSpan w:val="2"/>
            <w:shd w:val="clear" w:color="auto" w:fill="auto"/>
            <w:vAlign w:val="center"/>
          </w:tcPr>
          <w:p w14:paraId="0256CBF6">
            <w:pPr>
              <w:keepNext w:val="0"/>
              <w:keepLines w:val="0"/>
              <w:pageBreakBefore w:val="0"/>
              <w:kinsoku/>
              <w:wordWrap/>
              <w:overflowPunct/>
              <w:topLinePunct w:val="0"/>
              <w:bidi w:val="0"/>
              <w:spacing w:before="157" w:beforeLines="50" w:after="157" w:afterLines="50" w:line="24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投标人认为需要提供的其他政府采购优惠政策相关材料；</w:t>
            </w:r>
            <w:r>
              <w:rPr>
                <w:rFonts w:hint="eastAsia" w:ascii="宋体" w:hAnsi="宋体" w:eastAsia="宋体" w:cs="宋体"/>
                <w:color w:val="auto"/>
                <w:sz w:val="20"/>
                <w:szCs w:val="20"/>
                <w:highlight w:val="none"/>
                <w:u w:val="none"/>
                <w:shd w:val="clear" w:color="auto" w:fill="auto"/>
                <w:lang w:val="en-US" w:eastAsia="zh-CN"/>
              </w:rPr>
              <w:t>（如有）</w:t>
            </w:r>
          </w:p>
        </w:tc>
      </w:tr>
    </w:tbl>
    <w:p w14:paraId="559EA92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投标文件的语言及计量</w:t>
      </w:r>
    </w:p>
    <w:p w14:paraId="23BD3EFF">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18.1.投标文件以及投标方与招标方就有关投标事宜的所有来往函电，均应以中文汉语书写。除签名、盖章、专用名称等特殊情形外，以中文汉语以外的文字表述的投标文件视同未提供。</w:t>
      </w:r>
    </w:p>
    <w:p w14:paraId="22D434AA">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18.2.投标计量单位，采购文件已有明确规定的，使用采购文件规定的计量单位；采购文件没有规定的，应采用中华人民共和国法定计量单位（货币单位：人民币元），否则视同未响应。</w:t>
      </w:r>
    </w:p>
    <w:p w14:paraId="301A7844">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投标文件的签章</w:t>
      </w:r>
    </w:p>
    <w:p w14:paraId="556A2F05">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▲根据采购文件要求在投标文件相应位置盖章并由投标供应商法定代表人（负责人）或授权代表（签字或盖章），投标供应商应写全称。电子投标文件中采用CA签章。</w:t>
      </w:r>
    </w:p>
    <w:p w14:paraId="51480CE5">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p w14:paraId="35FF4B8A">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b/>
          <w:color w:val="auto"/>
          <w:sz w:val="24"/>
          <w:highlight w:val="none"/>
          <w:u w:val="single"/>
          <w:lang w:eastAsia="zh-CN"/>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20.1.</w:t>
      </w:r>
      <w:r>
        <w:rPr>
          <w:rFonts w:hint="eastAsia" w:ascii="宋体" w:hAnsi="宋体" w:eastAsia="宋体" w:cs="宋体"/>
          <w:b/>
          <w:color w:val="auto"/>
          <w:sz w:val="24"/>
          <w:highlight w:val="none"/>
          <w:u w:val="single"/>
          <w:lang w:eastAsia="zh-CN"/>
        </w:rPr>
        <w:t>投标报价是履行合同的最终价格，投标报价应包括：市场调研、数据整理、外业调查、资料费、成果验收费、交通费、成果印制费、成果维护费、售后服务费、差旅费、利润、税费等配合业主通过有关政府部门审批的相关服务等全部项目的费用及工作所发生的一切应有费用。</w:t>
      </w:r>
    </w:p>
    <w:p w14:paraId="79F38DDD">
      <w:pPr>
        <w:pStyle w:val="6"/>
        <w:keepNext w:val="0"/>
        <w:keepLines w:val="0"/>
        <w:pageBreakBefore w:val="0"/>
        <w:kinsoku/>
        <w:wordWrap/>
        <w:overflowPunct/>
        <w:topLinePunct w:val="0"/>
        <w:bidi w:val="0"/>
        <w:spacing w:before="157" w:beforeLines="50" w:after="157" w:afterLines="50" w:line="264"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20.2.报价超过采购预算（或最高限价）的，作无效标处理。</w:t>
      </w:r>
    </w:p>
    <w:p w14:paraId="7B9AE377">
      <w:pPr>
        <w:pStyle w:val="6"/>
        <w:keepNext w:val="0"/>
        <w:keepLines w:val="0"/>
        <w:pageBreakBefore w:val="0"/>
        <w:kinsoku/>
        <w:wordWrap/>
        <w:overflowPunct/>
        <w:topLinePunct w:val="0"/>
        <w:bidi w:val="0"/>
        <w:spacing w:before="157" w:beforeLines="50" w:after="157" w:afterLines="50" w:line="264"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.投标文件只允许有一个报价，提供两个或多个报价的按无效标处理。 </w:t>
      </w:r>
    </w:p>
    <w:p w14:paraId="10A91D64">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投标文件有效期</w:t>
      </w:r>
    </w:p>
    <w:p w14:paraId="2CEEA8A9">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b/>
          <w:bCs/>
          <w:color w:val="auto"/>
          <w:sz w:val="24"/>
          <w:highlight w:val="none"/>
        </w:rPr>
        <w:t>投标文件有效期为90天</w:t>
      </w:r>
      <w:r>
        <w:rPr>
          <w:rFonts w:hint="eastAsia" w:ascii="宋体" w:hAnsi="宋体" w:eastAsia="宋体" w:cs="宋体"/>
          <w:color w:val="auto"/>
          <w:sz w:val="24"/>
          <w:highlight w:val="none"/>
        </w:rPr>
        <w:t>，从采购文件规定的提交投标文件截止之日起计算，在此期限内，供应商不得撤回或修改其投标文件。</w:t>
      </w:r>
    </w:p>
    <w:p w14:paraId="78123A5C">
      <w:pPr>
        <w:pStyle w:val="6"/>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A5C6F1A">
      <w:pPr>
        <w:pStyle w:val="6"/>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21.3.中标人的投标文件自开标之日起至合同履行完毕止均应保持有效。</w:t>
      </w:r>
    </w:p>
    <w:p w14:paraId="4BA1EFF9">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宋体" w:hAnsi="宋体" w:eastAsia="宋体" w:cs="宋体"/>
          <w:b/>
          <w:bCs/>
          <w:color w:val="auto"/>
          <w:sz w:val="30"/>
          <w:szCs w:val="30"/>
          <w:highlight w:val="none"/>
        </w:rPr>
      </w:pPr>
      <w:bookmarkStart w:id="22" w:name="_Toc22990"/>
      <w:r>
        <w:rPr>
          <w:rFonts w:hint="eastAsia" w:ascii="宋体" w:hAnsi="宋体" w:eastAsia="宋体" w:cs="宋体"/>
          <w:b/>
          <w:bCs/>
          <w:color w:val="auto"/>
          <w:sz w:val="30"/>
          <w:szCs w:val="30"/>
          <w:highlight w:val="none"/>
        </w:rPr>
        <w:t>第四节  投 标</w:t>
      </w:r>
      <w:bookmarkEnd w:id="22"/>
    </w:p>
    <w:p w14:paraId="73B174F0">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投标文件的上传和递交</w:t>
      </w:r>
    </w:p>
    <w:p w14:paraId="0FBD229C">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b/>
          <w:bCs/>
          <w:color w:val="auto"/>
          <w:sz w:val="24"/>
          <w:highlight w:val="none"/>
        </w:rPr>
        <w:t>投标文件的上传提交</w:t>
      </w:r>
    </w:p>
    <w:p w14:paraId="6CB0339B">
      <w:pPr>
        <w:pStyle w:val="41"/>
        <w:keepNext w:val="0"/>
        <w:keepLines w:val="0"/>
        <w:pageBreakBefore w:val="0"/>
        <w:kinsoku/>
        <w:wordWrap/>
        <w:overflowPunct/>
        <w:topLinePunct w:val="0"/>
        <w:bidi w:val="0"/>
        <w:spacing w:before="157" w:beforeLines="50" w:after="157" w:afterLines="50" w:line="264" w:lineRule="auto"/>
        <w:ind w:firstLine="720" w:firstLineChars="300"/>
        <w:rPr>
          <w:rFonts w:hint="eastAsia" w:ascii="宋体" w:hAnsi="宋体" w:eastAsia="宋体" w:cs="宋体"/>
          <w:color w:val="auto"/>
          <w:kern w:val="2"/>
          <w:sz w:val="24"/>
          <w:highlight w:val="none"/>
          <w:lang w:bidi="zh-CN"/>
        </w:rPr>
      </w:pPr>
      <w:r>
        <w:rPr>
          <w:rFonts w:hint="eastAsia" w:ascii="宋体" w:hAnsi="宋体" w:eastAsia="宋体" w:cs="宋体"/>
          <w:color w:val="auto"/>
          <w:kern w:val="2"/>
          <w:sz w:val="24"/>
          <w:highlight w:val="none"/>
          <w:lang w:bidi="zh-CN"/>
        </w:rPr>
        <w:t>详见《投标人须知前附表》。</w:t>
      </w:r>
    </w:p>
    <w:p w14:paraId="763D7A25">
      <w:pPr>
        <w:pStyle w:val="12"/>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22.2.</w:t>
      </w:r>
      <w:r>
        <w:rPr>
          <w:rFonts w:hint="eastAsia" w:ascii="宋体" w:hAnsi="宋体" w:eastAsia="宋体" w:cs="宋体"/>
          <w:b/>
          <w:bCs/>
          <w:color w:val="auto"/>
          <w:sz w:val="24"/>
          <w:highlight w:val="none"/>
          <w:lang w:bidi="zh-CN"/>
        </w:rPr>
        <w:t>供应商须按照采购文件和政采云平台的要求编制并加密投标文件。在投标文件递交截止时间以前完成投标文件的传输递交，截止时间后递交的投标文件，将被拒收。</w:t>
      </w:r>
    </w:p>
    <w:p w14:paraId="0EC6260A">
      <w:pPr>
        <w:pStyle w:val="12"/>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22.3.如有特殊情况，采购组织机构延长截止时间和开标时间，采购组织机构和供应商的权利和义务将受到新的截止时间和开标时间的约束。</w:t>
      </w:r>
    </w:p>
    <w:p w14:paraId="6A1F7A8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投标文件的补充、修改和撤回</w:t>
      </w:r>
    </w:p>
    <w:p w14:paraId="0B0D80B8">
      <w:pPr>
        <w:keepNext w:val="0"/>
        <w:keepLines w:val="0"/>
        <w:pageBreakBefore w:val="0"/>
        <w:kinsoku/>
        <w:wordWrap/>
        <w:overflowPunct/>
        <w:topLinePunct w:val="0"/>
        <w:bidi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采云平台”将予以拒收。投标截止时间后，投标人不得修改（补充）或撤回其投标文件。</w:t>
      </w:r>
      <w:r>
        <w:rPr>
          <w:rFonts w:hint="eastAsia" w:ascii="宋体" w:hAnsi="宋体" w:eastAsia="宋体" w:cs="宋体"/>
          <w:b/>
          <w:bCs/>
          <w:color w:val="auto"/>
          <w:sz w:val="24"/>
          <w:highlight w:val="none"/>
          <w:u w:val="single"/>
        </w:rPr>
        <w:t>供应商提交的“备份投标文件</w:t>
      </w:r>
      <w:r>
        <w:rPr>
          <w:rFonts w:hint="eastAsia" w:ascii="宋体" w:hAnsi="宋体" w:eastAsia="宋体" w:cs="宋体"/>
          <w:color w:val="auto"/>
          <w:sz w:val="24"/>
          <w:highlight w:val="none"/>
          <w:u w:val="single"/>
        </w:rPr>
        <w:t>”</w:t>
      </w:r>
      <w:r>
        <w:rPr>
          <w:rFonts w:hint="eastAsia" w:ascii="宋体" w:hAnsi="宋体" w:eastAsia="宋体" w:cs="宋体"/>
          <w:b/>
          <w:bCs/>
          <w:color w:val="auto"/>
          <w:sz w:val="24"/>
          <w:highlight w:val="none"/>
          <w:u w:val="single"/>
        </w:rPr>
        <w:t>以投标截止时间前指定邮箱最终收到的文件为准，逾期或未按要求提供的视为未提供。</w:t>
      </w:r>
    </w:p>
    <w:p w14:paraId="57CD499E">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投标无效的情形：</w:t>
      </w:r>
    </w:p>
    <w:p w14:paraId="641EFC51">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 w:val="0"/>
          <w:bCs/>
          <w:color w:val="auto"/>
          <w:highlight w:val="none"/>
        </w:rPr>
      </w:pPr>
      <w:r>
        <w:rPr>
          <w:rFonts w:hint="eastAsia" w:ascii="宋体" w:hAnsi="宋体" w:eastAsia="宋体" w:cs="宋体"/>
          <w:bCs/>
          <w:color w:val="auto"/>
          <w:highlight w:val="none"/>
        </w:rPr>
        <w:t>24.1.仅提交备份响应文件的或电子加密投标文件未按时上传解密，又未提供备份响</w:t>
      </w:r>
      <w:r>
        <w:rPr>
          <w:rFonts w:hint="eastAsia" w:ascii="宋体" w:hAnsi="宋体" w:eastAsia="宋体" w:cs="宋体"/>
          <w:b w:val="0"/>
          <w:bCs/>
          <w:color w:val="auto"/>
          <w:highlight w:val="none"/>
        </w:rPr>
        <w:t>应文件文件的；</w:t>
      </w:r>
    </w:p>
    <w:p w14:paraId="5C02412B">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24.2.不符合采购文件标明的资格要求的；</w:t>
      </w:r>
    </w:p>
    <w:p w14:paraId="1BF03930">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24.3.</w:t>
      </w:r>
      <w:r>
        <w:rPr>
          <w:rFonts w:hint="eastAsia" w:ascii="宋体" w:hAnsi="宋体" w:eastAsia="宋体" w:cs="宋体"/>
          <w:b/>
          <w:bCs w:val="0"/>
          <w:color w:val="auto"/>
          <w:highlight w:val="none"/>
        </w:rPr>
        <w:t>不同投标人IP、MAC、硬件信息相同的；</w:t>
      </w:r>
    </w:p>
    <w:p w14:paraId="135ECDA6">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lang w:eastAsia="zh-CN"/>
        </w:rPr>
      </w:pPr>
      <w:r>
        <w:rPr>
          <w:rFonts w:hint="eastAsia" w:ascii="宋体" w:hAnsi="宋体" w:eastAsia="宋体" w:cs="宋体"/>
          <w:b w:val="0"/>
          <w:bCs/>
          <w:color w:val="auto"/>
          <w:highlight w:val="none"/>
        </w:rPr>
        <w:t>24.</w:t>
      </w:r>
      <w:r>
        <w:rPr>
          <w:rFonts w:hint="eastAsia" w:ascii="宋体" w:hAnsi="宋体" w:eastAsia="宋体" w:cs="宋体"/>
          <w:b w:val="0"/>
          <w:bCs/>
          <w:color w:val="auto"/>
          <w:highlight w:val="none"/>
          <w:lang w:val="en-US" w:eastAsia="zh-CN"/>
        </w:rPr>
        <w:t>4</w:t>
      </w:r>
      <w:r>
        <w:rPr>
          <w:rFonts w:hint="eastAsia" w:ascii="宋体" w:hAnsi="宋体" w:eastAsia="宋体" w:cs="宋体"/>
          <w:b w:val="0"/>
          <w:bCs/>
          <w:color w:val="auto"/>
          <w:highlight w:val="none"/>
        </w:rPr>
        <w:t>.投标文件组</w:t>
      </w:r>
      <w:r>
        <w:rPr>
          <w:rFonts w:hint="eastAsia" w:ascii="宋体" w:hAnsi="宋体" w:eastAsia="宋体" w:cs="宋体"/>
          <w:bCs/>
          <w:color w:val="auto"/>
          <w:highlight w:val="none"/>
        </w:rPr>
        <w:t>成不符合采购文件要求的</w:t>
      </w:r>
      <w:r>
        <w:rPr>
          <w:rFonts w:hint="eastAsia" w:ascii="宋体" w:hAnsi="宋体" w:eastAsia="宋体" w:cs="宋体"/>
          <w:bCs/>
          <w:color w:val="auto"/>
          <w:highlight w:val="none"/>
          <w:lang w:eastAsia="zh-CN"/>
        </w:rPr>
        <w:t>；</w:t>
      </w:r>
    </w:p>
    <w:p w14:paraId="2C1F5776">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24.5.</w:t>
      </w:r>
      <w:r>
        <w:rPr>
          <w:rFonts w:hint="eastAsia" w:ascii="宋体" w:hAnsi="宋体" w:eastAsia="宋体" w:cs="宋体"/>
          <w:bCs/>
          <w:color w:val="auto"/>
          <w:highlight w:val="none"/>
        </w:rPr>
        <w:t>未按规定</w:t>
      </w:r>
      <w:r>
        <w:rPr>
          <w:rFonts w:hint="eastAsia" w:ascii="宋体" w:hAnsi="宋体" w:eastAsia="宋体" w:cs="宋体"/>
          <w:bCs/>
          <w:color w:val="auto"/>
          <w:highlight w:val="none"/>
          <w:lang w:val="en-US" w:eastAsia="zh-CN"/>
        </w:rPr>
        <w:t>标记、</w:t>
      </w:r>
      <w:r>
        <w:rPr>
          <w:rFonts w:hint="eastAsia" w:ascii="宋体" w:hAnsi="宋体" w:eastAsia="宋体" w:cs="宋体"/>
          <w:bCs/>
          <w:color w:val="auto"/>
          <w:highlight w:val="none"/>
        </w:rPr>
        <w:t>签署、盖章的；</w:t>
      </w:r>
    </w:p>
    <w:p w14:paraId="4351877F">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24.</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 xml:space="preserve">.投标文件的实质性内容未使用中文表述、意思表述不明确、前后矛盾或者使用计量单位不符合招标文件要求的（经评标委员会认定并允许其当场更正的笔误除外）。 </w:t>
      </w:r>
    </w:p>
    <w:p w14:paraId="4477BDAE">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24.</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 xml:space="preserve">.不响应采购文件实质性内容的（采购文件中带“▲”内容及被拒绝的条款）； </w:t>
      </w:r>
    </w:p>
    <w:p w14:paraId="7921B577">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24.8.</w:t>
      </w:r>
      <w:r>
        <w:rPr>
          <w:rFonts w:hint="eastAsia" w:ascii="宋体" w:hAnsi="宋体" w:eastAsia="宋体" w:cs="宋体"/>
          <w:bCs/>
          <w:color w:val="auto"/>
          <w:highlight w:val="none"/>
        </w:rPr>
        <w:t>允许偏离的技术、性能指标或者辅助功能项目负偏离</w:t>
      </w:r>
      <w:r>
        <w:rPr>
          <w:rFonts w:hint="eastAsia" w:ascii="宋体" w:hAnsi="宋体" w:eastAsia="宋体" w:cs="宋体"/>
          <w:bCs/>
          <w:color w:val="auto"/>
          <w:highlight w:val="none"/>
          <w:u w:val="single"/>
        </w:rPr>
        <w:t xml:space="preserve"> / </w:t>
      </w:r>
      <w:r>
        <w:rPr>
          <w:rFonts w:hint="eastAsia" w:ascii="宋体" w:hAnsi="宋体" w:eastAsia="宋体" w:cs="宋体"/>
          <w:bCs/>
          <w:color w:val="auto"/>
          <w:highlight w:val="none"/>
        </w:rPr>
        <w:t>项</w:t>
      </w:r>
      <w:r>
        <w:rPr>
          <w:rFonts w:hint="eastAsia" w:ascii="宋体" w:hAnsi="宋体" w:cs="宋体"/>
          <w:bCs/>
          <w:color w:val="auto"/>
          <w:highlight w:val="none"/>
          <w:lang w:eastAsia="zh-CN"/>
        </w:rPr>
        <w:t>(含)</w:t>
      </w:r>
      <w:r>
        <w:rPr>
          <w:rFonts w:hint="eastAsia" w:ascii="宋体" w:hAnsi="宋体" w:eastAsia="宋体" w:cs="宋体"/>
          <w:bCs/>
          <w:color w:val="auto"/>
          <w:highlight w:val="none"/>
        </w:rPr>
        <w:t>以上的；</w:t>
      </w:r>
    </w:p>
    <w:p w14:paraId="27FA1E0F">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24.</w:t>
      </w:r>
      <w:r>
        <w:rPr>
          <w:rFonts w:hint="eastAsia" w:ascii="宋体" w:hAnsi="宋体" w:eastAsia="宋体" w:cs="宋体"/>
          <w:bCs/>
          <w:color w:val="auto"/>
          <w:highlight w:val="none"/>
          <w:lang w:val="en-US" w:eastAsia="zh-CN"/>
        </w:rPr>
        <w:t>9</w:t>
      </w:r>
      <w:r>
        <w:rPr>
          <w:rFonts w:hint="eastAsia" w:ascii="宋体" w:hAnsi="宋体" w:eastAsia="宋体" w:cs="宋体"/>
          <w:bCs/>
          <w:color w:val="auto"/>
          <w:highlight w:val="none"/>
        </w:rPr>
        <w:t>.投标技术方案不明确，存在一个或一个以上备选（替代）投标方案的；</w:t>
      </w:r>
    </w:p>
    <w:p w14:paraId="2EB2003C">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24.</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.投标文件含有采购人不能接受的附加条件的；</w:t>
      </w:r>
    </w:p>
    <w:p w14:paraId="60C55109">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24.</w:t>
      </w:r>
      <w:r>
        <w:rPr>
          <w:rFonts w:hint="eastAsia" w:ascii="宋体" w:hAnsi="宋体" w:eastAsia="宋体" w:cs="宋体"/>
          <w:bCs/>
          <w:color w:val="auto"/>
          <w:highlight w:val="none"/>
          <w:lang w:val="en-US" w:eastAsia="zh-CN"/>
        </w:rPr>
        <w:t>11</w:t>
      </w:r>
      <w:r>
        <w:rPr>
          <w:rFonts w:hint="eastAsia" w:ascii="宋体" w:hAnsi="宋体" w:eastAsia="宋体" w:cs="宋体"/>
          <w:bCs/>
          <w:color w:val="auto"/>
          <w:highlight w:val="none"/>
        </w:rPr>
        <w:t>.未按采购文件格式要求编制、随意进行增删更改、影响实质性内容表达的；</w:t>
      </w:r>
    </w:p>
    <w:p w14:paraId="6769796B">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24.</w:t>
      </w:r>
      <w:r>
        <w:rPr>
          <w:rFonts w:hint="eastAsia" w:ascii="宋体" w:hAnsi="宋体" w:eastAsia="宋体" w:cs="宋体"/>
          <w:bCs/>
          <w:color w:val="auto"/>
          <w:highlight w:val="none"/>
          <w:lang w:val="en-US" w:eastAsia="zh-CN"/>
        </w:rPr>
        <w:t>12</w:t>
      </w:r>
      <w:r>
        <w:rPr>
          <w:rFonts w:hint="eastAsia" w:ascii="宋体" w:hAnsi="宋体" w:eastAsia="宋体" w:cs="宋体"/>
          <w:bCs/>
          <w:color w:val="auto"/>
          <w:highlight w:val="none"/>
        </w:rPr>
        <w:t>.报价超过采购文件中规定的预算金额或者最高限价的；</w:t>
      </w:r>
    </w:p>
    <w:p w14:paraId="641C235F">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24.1</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.投标文件中对同一项目提供两个或多个报价、参数或其他可选择内容的；</w:t>
      </w:r>
    </w:p>
    <w:p w14:paraId="64CDAA48">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24.1</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.投标报价明细表总额与开标一览表总价不一致，并拒绝按采购文件要求调整修正的；</w:t>
      </w:r>
    </w:p>
    <w:p w14:paraId="271BD02B">
      <w:pPr>
        <w:pStyle w:val="15"/>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24.1</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.投标人的报价明显低于其他通过符合性审查投标人的报价，</w:t>
      </w:r>
      <w:r>
        <w:rPr>
          <w:rFonts w:hint="eastAsia" w:ascii="宋体" w:hAnsi="宋体" w:eastAsia="宋体" w:cs="宋体"/>
          <w:bCs/>
          <w:color w:val="auto"/>
          <w:highlight w:val="none"/>
          <w:lang w:val="en-US" w:eastAsia="zh-CN"/>
        </w:rPr>
        <w:t>且</w:t>
      </w:r>
      <w:r>
        <w:rPr>
          <w:rFonts w:hint="eastAsia" w:ascii="宋体" w:hAnsi="宋体" w:eastAsia="宋体" w:cs="宋体"/>
          <w:bCs/>
          <w:color w:val="auto"/>
          <w:highlight w:val="none"/>
        </w:rPr>
        <w:t>不能在评标委员会要求的时间内作出合理答复</w:t>
      </w:r>
      <w:r>
        <w:rPr>
          <w:rFonts w:hint="eastAsia" w:ascii="宋体" w:hAnsi="宋体" w:eastAsia="宋体" w:cs="宋体"/>
          <w:bCs/>
          <w:color w:val="auto"/>
          <w:highlight w:val="none"/>
          <w:lang w:val="en-US" w:eastAsia="zh-CN"/>
        </w:rPr>
        <w:t>并</w:t>
      </w:r>
      <w:r>
        <w:rPr>
          <w:rFonts w:hint="eastAsia" w:ascii="宋体" w:hAnsi="宋体" w:eastAsia="宋体" w:cs="宋体"/>
          <w:bCs/>
          <w:color w:val="auto"/>
          <w:highlight w:val="none"/>
        </w:rPr>
        <w:t>提供相关证明材料的，或者评标委员会认为其所作出的答复不合理的；</w:t>
      </w:r>
    </w:p>
    <w:p w14:paraId="1000B39C">
      <w:pPr>
        <w:pStyle w:val="15"/>
        <w:keepNext w:val="0"/>
        <w:keepLines w:val="0"/>
        <w:pageBreakBefore w:val="0"/>
        <w:kinsoku/>
        <w:wordWrap/>
        <w:overflowPunct/>
        <w:topLinePunct w:val="0"/>
        <w:bidi w:val="0"/>
        <w:spacing w:before="157" w:beforeLines="50" w:after="157" w:afterLines="50" w:line="264" w:lineRule="auto"/>
        <w:ind w:firstLine="482" w:firstLineChars="200"/>
        <w:rPr>
          <w:rFonts w:hint="eastAsia" w:ascii="宋体" w:hAnsi="宋体" w:eastAsia="宋体" w:cs="宋体"/>
          <w:bCs/>
          <w:color w:val="auto"/>
          <w:highlight w:val="none"/>
        </w:rPr>
      </w:pPr>
      <w:r>
        <w:rPr>
          <w:rFonts w:hint="eastAsia" w:ascii="宋体" w:hAnsi="宋体" w:eastAsia="宋体" w:cs="宋体"/>
          <w:b/>
          <w:color w:val="auto"/>
          <w:highlight w:val="none"/>
        </w:rPr>
        <w:t>24.1</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.存在法律、法规和采购文件规定的其他无效情形</w:t>
      </w:r>
      <w:r>
        <w:rPr>
          <w:rFonts w:hint="eastAsia" w:ascii="宋体" w:hAnsi="宋体" w:eastAsia="宋体" w:cs="宋体"/>
          <w:bCs/>
          <w:color w:val="auto"/>
          <w:highlight w:val="none"/>
        </w:rPr>
        <w:t xml:space="preserve">。                                                     </w:t>
      </w:r>
    </w:p>
    <w:p w14:paraId="6ACE448B">
      <w:pPr>
        <w:pStyle w:val="15"/>
        <w:keepNext w:val="0"/>
        <w:keepLines w:val="0"/>
        <w:pageBreakBefore w:val="0"/>
        <w:kinsoku/>
        <w:wordWrap/>
        <w:overflowPunct/>
        <w:topLinePunct w:val="0"/>
        <w:bidi w:val="0"/>
        <w:spacing w:before="157" w:beforeLines="50" w:after="157" w:afterLines="50" w:line="264"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24.1</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.被拒绝的投标文件为无效。</w:t>
      </w:r>
    </w:p>
    <w:p w14:paraId="39245528">
      <w:pPr>
        <w:pStyle w:val="16"/>
        <w:rPr>
          <w:rFonts w:hint="eastAsia" w:ascii="宋体" w:hAnsi="宋体" w:eastAsia="宋体" w:cs="宋体"/>
          <w:color w:val="auto"/>
          <w:highlight w:val="none"/>
        </w:rPr>
      </w:pPr>
    </w:p>
    <w:p w14:paraId="26A092A9">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宋体" w:hAnsi="宋体" w:eastAsia="宋体" w:cs="宋体"/>
          <w:b/>
          <w:bCs/>
          <w:color w:val="auto"/>
          <w:sz w:val="30"/>
          <w:szCs w:val="30"/>
          <w:highlight w:val="none"/>
        </w:rPr>
      </w:pPr>
      <w:bookmarkStart w:id="23" w:name="_Toc10662"/>
      <w:r>
        <w:rPr>
          <w:rFonts w:hint="eastAsia" w:ascii="宋体" w:hAnsi="宋体" w:eastAsia="宋体" w:cs="宋体"/>
          <w:b/>
          <w:bCs/>
          <w:color w:val="auto"/>
          <w:sz w:val="30"/>
          <w:szCs w:val="30"/>
          <w:highlight w:val="none"/>
        </w:rPr>
        <w:t>第五节  开 标</w:t>
      </w:r>
      <w:bookmarkEnd w:id="23"/>
    </w:p>
    <w:p w14:paraId="621CBAF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开标会议</w:t>
      </w:r>
    </w:p>
    <w:p w14:paraId="1EBA4802">
      <w:pPr>
        <w:pStyle w:val="6"/>
        <w:keepNext w:val="0"/>
        <w:keepLines w:val="0"/>
        <w:pageBreakBefore w:val="0"/>
        <w:kinsoku/>
        <w:wordWrap/>
        <w:overflowPunct/>
        <w:topLinePunct w:val="0"/>
        <w:bidi w:val="0"/>
        <w:adjustRightInd w:val="0"/>
        <w:snapToGrid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25.1.采购代理机构将在“投标人须知前附表”中规定的时间和地点举行开标会议。</w:t>
      </w:r>
    </w:p>
    <w:p w14:paraId="12DFD8CA">
      <w:pPr>
        <w:pStyle w:val="6"/>
        <w:keepNext w:val="0"/>
        <w:keepLines w:val="0"/>
        <w:pageBreakBefore w:val="0"/>
        <w:kinsoku/>
        <w:wordWrap/>
        <w:overflowPunct/>
        <w:topLinePunct w:val="0"/>
        <w:bidi w:val="0"/>
        <w:adjustRightInd w:val="0"/>
        <w:snapToGrid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25.2.开标会议由采购代理机构主持，监管人员、采购人代表及有关工作人员参加。</w:t>
      </w:r>
    </w:p>
    <w:p w14:paraId="5B9B4F83">
      <w:pPr>
        <w:pStyle w:val="6"/>
        <w:keepNext w:val="0"/>
        <w:keepLines w:val="0"/>
        <w:pageBreakBefore w:val="0"/>
        <w:kinsoku/>
        <w:wordWrap/>
        <w:overflowPunct/>
        <w:topLinePunct w:val="0"/>
        <w:bidi w:val="0"/>
        <w:adjustRightInd w:val="0"/>
        <w:snapToGrid w:val="0"/>
        <w:spacing w:before="157" w:beforeLines="50" w:after="157" w:afterLines="50" w:line="264"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25.3.采购人或采购代理机构负责组织本项目的评审工作，并履行《政府采购货物和服务招标投标管理办法（财政部第87号令）》第四十五条规定的职责。</w:t>
      </w:r>
    </w:p>
    <w:p w14:paraId="12DED4F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开标程序（先资格、商务技术后报价）</w:t>
      </w:r>
    </w:p>
    <w:p w14:paraId="430ECBAA">
      <w:pPr>
        <w:keepNext w:val="0"/>
        <w:keepLines w:val="0"/>
        <w:pageBreakBefore w:val="0"/>
        <w:kinsoku/>
        <w:wordWrap/>
        <w:overflowPunct/>
        <w:topLinePunct w:val="0"/>
        <w:bidi w:val="0"/>
        <w:snapToGrid w:val="0"/>
        <w:spacing w:before="157" w:beforeLines="50" w:after="157" w:afterLines="50" w:line="264" w:lineRule="auto"/>
        <w:ind w:firstLine="241" w:firstLine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26.1.开标形式</w:t>
      </w:r>
    </w:p>
    <w:p w14:paraId="6C63CCE9">
      <w:pPr>
        <w:pStyle w:val="6"/>
        <w:keepNext w:val="0"/>
        <w:keepLines w:val="0"/>
        <w:pageBreakBefore w:val="0"/>
        <w:kinsoku/>
        <w:wordWrap/>
        <w:overflowPunct/>
        <w:topLinePunct w:val="0"/>
        <w:bidi w:val="0"/>
        <w:adjustRightInd w:val="0"/>
        <w:snapToGrid w:val="0"/>
        <w:spacing w:before="157" w:beforeLines="50" w:after="157" w:afterLines="50" w:line="26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电子交易，采购代理机构将按照采购文件规定的时间通过“政采云平台”组织开标、开启投标文件，所有供应商均应当准时在线参加，并通过“政采云平台”了解开标情况，直至评审结束。供应商因未在线参加开标而导致投标文件无法按时解密等一切后果由供应商自行承担。</w:t>
      </w:r>
    </w:p>
    <w:p w14:paraId="13D2F1B3">
      <w:pPr>
        <w:keepNext w:val="0"/>
        <w:keepLines w:val="0"/>
        <w:pageBreakBefore w:val="0"/>
        <w:kinsoku/>
        <w:wordWrap/>
        <w:overflowPunct/>
        <w:topLinePunct w:val="0"/>
        <w:bidi w:val="0"/>
        <w:snapToGrid w:val="0"/>
        <w:spacing w:before="157" w:beforeLines="50" w:after="157" w:afterLines="50" w:line="264" w:lineRule="auto"/>
        <w:ind w:firstLine="241" w:firstLine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26.2.开标程序</w:t>
      </w:r>
    </w:p>
    <w:p w14:paraId="51AA04C3">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（1）代理机构发出【开始解密】通知后，由供应商按采购文件规定的时间</w:t>
      </w:r>
      <w:r>
        <w:rPr>
          <w:rFonts w:hint="eastAsia" w:ascii="宋体" w:hAnsi="宋体" w:eastAsia="宋体" w:cs="宋体"/>
          <w:b/>
          <w:bCs/>
          <w:color w:val="auto"/>
          <w:sz w:val="24"/>
          <w:highlight w:val="none"/>
          <w:lang w:bidi="zh-CN"/>
        </w:rPr>
        <w:t>（30分钟）</w:t>
      </w:r>
      <w:r>
        <w:rPr>
          <w:rFonts w:hint="eastAsia" w:ascii="宋体" w:hAnsi="宋体" w:eastAsia="宋体" w:cs="宋体"/>
          <w:color w:val="auto"/>
          <w:sz w:val="24"/>
          <w:highlight w:val="none"/>
          <w:lang w:bidi="zh-CN"/>
        </w:rPr>
        <w:t>内自行进行投标文件解密。解密不成功时，如供应商已按规定递交了“备份投标文件”并经确认启用的，采购代理机构将通过【异常处理】端口对备份投标文件上传、解密；</w:t>
      </w:r>
    </w:p>
    <w:p w14:paraId="1CFCB060">
      <w:pPr>
        <w:pStyle w:val="12"/>
        <w:keepNext w:val="0"/>
        <w:keepLines w:val="0"/>
        <w:pageBreakBefore w:val="0"/>
        <w:kinsoku/>
        <w:wordWrap/>
        <w:overflowPunct/>
        <w:topLinePunct w:val="0"/>
        <w:bidi w:val="0"/>
        <w:spacing w:before="157" w:beforeLines="50" w:after="157" w:afterLines="50" w:line="264" w:lineRule="auto"/>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（2）响应文件解密结束，开启标书信息，供应商在规定时间</w:t>
      </w:r>
      <w:r>
        <w:rPr>
          <w:rFonts w:hint="eastAsia" w:ascii="宋体" w:hAnsi="宋体" w:eastAsia="宋体" w:cs="宋体"/>
          <w:b/>
          <w:bCs/>
          <w:color w:val="auto"/>
          <w:sz w:val="24"/>
          <w:highlight w:val="none"/>
          <w:u w:val="single"/>
          <w:lang w:bidi="zh-CN"/>
        </w:rPr>
        <w:t>20分钟</w:t>
      </w:r>
      <w:r>
        <w:rPr>
          <w:rFonts w:hint="eastAsia" w:ascii="宋体" w:hAnsi="宋体" w:eastAsia="宋体" w:cs="宋体"/>
          <w:color w:val="auto"/>
          <w:sz w:val="24"/>
          <w:highlight w:val="none"/>
          <w:lang w:bidi="zh-CN"/>
        </w:rPr>
        <w:t>内通过邮件形式将经授权代表签署的不影响公平竞争的</w:t>
      </w:r>
      <w:r>
        <w:rPr>
          <w:rFonts w:hint="eastAsia" w:ascii="宋体" w:hAnsi="宋体" w:eastAsia="宋体" w:cs="宋体"/>
          <w:b/>
          <w:bCs/>
          <w:color w:val="auto"/>
          <w:sz w:val="24"/>
          <w:highlight w:val="none"/>
          <w:lang w:bidi="zh-CN"/>
        </w:rPr>
        <w:t>《政府采购活动现场确认声明书》</w:t>
      </w:r>
      <w:r>
        <w:rPr>
          <w:rFonts w:hint="eastAsia" w:ascii="宋体" w:hAnsi="宋体" w:eastAsia="宋体" w:cs="宋体"/>
          <w:color w:val="auto"/>
          <w:sz w:val="20"/>
          <w:szCs w:val="20"/>
          <w:highlight w:val="none"/>
          <w:lang w:bidi="zh-CN"/>
        </w:rPr>
        <w:t>（附件2）</w:t>
      </w:r>
      <w:r>
        <w:rPr>
          <w:rFonts w:hint="eastAsia" w:ascii="宋体" w:hAnsi="宋体" w:eastAsia="宋体" w:cs="宋体"/>
          <w:color w:val="auto"/>
          <w:sz w:val="24"/>
          <w:highlight w:val="none"/>
          <w:lang w:bidi="zh-CN"/>
        </w:rPr>
        <w:t>扫描件发送至采购代理机构指定邮箱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"mailto:772022916@qq.com" </w:instrText>
      </w:r>
      <w:r>
        <w:rPr>
          <w:rFonts w:hint="eastAsia" w:ascii="宋体" w:hAnsi="宋体" w:eastAsia="宋体" w:cs="宋体"/>
          <w:color w:val="auto"/>
          <w:highlight w:val="none"/>
        </w:rPr>
        <w:fldChar w:fldCharType="separate"/>
      </w:r>
      <w:r>
        <w:rPr>
          <w:rStyle w:val="38"/>
          <w:rFonts w:hint="eastAsia" w:ascii="宋体" w:hAnsi="宋体" w:eastAsia="宋体" w:cs="宋体"/>
          <w:b/>
          <w:bCs/>
          <w:color w:val="auto"/>
          <w:sz w:val="24"/>
          <w:highlight w:val="none"/>
          <w:u w:val="single"/>
          <w:lang w:bidi="zh-CN"/>
        </w:rPr>
        <w:t>772022916@qq.com</w:t>
      </w:r>
      <w:r>
        <w:rPr>
          <w:rStyle w:val="38"/>
          <w:rFonts w:hint="eastAsia" w:ascii="宋体" w:hAnsi="宋体" w:eastAsia="宋体" w:cs="宋体"/>
          <w:b/>
          <w:bCs/>
          <w:color w:val="auto"/>
          <w:sz w:val="24"/>
          <w:highlight w:val="none"/>
          <w:u w:val="single"/>
          <w:lang w:bidi="zh-CN"/>
        </w:rPr>
        <w:fldChar w:fldCharType="end"/>
      </w:r>
      <w:r>
        <w:rPr>
          <w:rFonts w:hint="eastAsia" w:ascii="宋体" w:hAnsi="宋体" w:eastAsia="宋体" w:cs="宋体"/>
          <w:b/>
          <w:bCs/>
          <w:color w:val="auto"/>
          <w:sz w:val="24"/>
          <w:highlight w:val="none"/>
          <w:u w:val="single"/>
          <w:lang w:bidi="zh-CN"/>
        </w:rPr>
        <w:t xml:space="preserve"> </w:t>
      </w:r>
      <w:r>
        <w:rPr>
          <w:rFonts w:hint="eastAsia" w:ascii="宋体" w:hAnsi="宋体" w:eastAsia="宋体" w:cs="宋体"/>
          <w:color w:val="auto"/>
          <w:sz w:val="24"/>
          <w:highlight w:val="none"/>
          <w:lang w:bidi="zh-CN"/>
        </w:rPr>
        <w:t>。不填写或未按规定发出邮件的，视为默认不存在确认声明书中的相关违规情形；</w:t>
      </w:r>
    </w:p>
    <w:p w14:paraId="52711458">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（3）进入资格审查：采购人或采购代理机构依据法律法规和采购文件的规定，对投标人的基本资格条件、特定资格条件进行审查；</w:t>
      </w:r>
    </w:p>
    <w:p w14:paraId="7693E36C">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6DF9E3F1">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投标供应商提交的资格证明材料无法证明其符合采购文件规定的“投标供应商资格要求”的，采购人或采购代理机构将对其作“资格审查不合格”处理（无效投标），并不再将其投标提交评标委员会进行后续评审。</w:t>
      </w:r>
    </w:p>
    <w:p w14:paraId="7F40D076">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b/>
          <w:bCs/>
          <w:color w:val="auto"/>
          <w:sz w:val="24"/>
          <w:highlight w:val="none"/>
          <w:lang w:bidi="zh-CN"/>
        </w:rPr>
      </w:pPr>
      <w:r>
        <w:rPr>
          <w:rFonts w:hint="eastAsia" w:ascii="宋体" w:hAnsi="宋体" w:eastAsia="宋体" w:cs="宋体"/>
          <w:b/>
          <w:bCs/>
          <w:color w:val="auto"/>
          <w:sz w:val="24"/>
          <w:highlight w:val="none"/>
          <w:lang w:bidi="zh-CN"/>
        </w:rPr>
        <w:t>供应商信用查询：</w:t>
      </w:r>
      <w:r>
        <w:rPr>
          <w:rFonts w:hint="eastAsia" w:ascii="宋体" w:hAnsi="宋体" w:eastAsia="宋体" w:cs="宋体"/>
          <w:b/>
          <w:bCs/>
          <w:color w:val="auto"/>
          <w:sz w:val="24"/>
          <w:highlight w:val="none"/>
          <w:lang w:val="en-US" w:bidi="zh-CN"/>
        </w:rPr>
        <w:t>详</w:t>
      </w:r>
      <w:r>
        <w:rPr>
          <w:rFonts w:hint="eastAsia" w:ascii="宋体" w:hAnsi="宋体" w:eastAsia="宋体" w:cs="宋体"/>
          <w:b/>
          <w:bCs/>
          <w:color w:val="auto"/>
          <w:sz w:val="24"/>
          <w:highlight w:val="none"/>
          <w:lang w:bidi="zh-CN"/>
        </w:rPr>
        <w:t>见</w:t>
      </w:r>
      <w:r>
        <w:rPr>
          <w:rFonts w:hint="eastAsia" w:ascii="宋体" w:hAnsi="宋体" w:eastAsia="宋体" w:cs="宋体"/>
          <w:b/>
          <w:bCs/>
          <w:color w:val="auto"/>
          <w:sz w:val="24"/>
          <w:highlight w:val="none"/>
          <w:u w:val="single"/>
          <w:lang w:bidi="zh-CN"/>
        </w:rPr>
        <w:t>《</w:t>
      </w:r>
      <w:r>
        <w:rPr>
          <w:rFonts w:hint="eastAsia" w:ascii="宋体" w:hAnsi="宋体" w:eastAsia="宋体" w:cs="宋体"/>
          <w:b/>
          <w:bCs/>
          <w:color w:val="auto"/>
          <w:sz w:val="24"/>
          <w:highlight w:val="none"/>
          <w:u w:val="single"/>
          <w:lang w:val="en-US" w:bidi="zh-CN"/>
        </w:rPr>
        <w:t>投标人</w:t>
      </w:r>
      <w:r>
        <w:rPr>
          <w:rFonts w:hint="eastAsia" w:ascii="宋体" w:hAnsi="宋体" w:eastAsia="宋体" w:cs="宋体"/>
          <w:b/>
          <w:bCs/>
          <w:color w:val="auto"/>
          <w:sz w:val="24"/>
          <w:highlight w:val="none"/>
          <w:u w:val="single"/>
          <w:lang w:bidi="zh-CN"/>
        </w:rPr>
        <w:t>须知前附表》</w:t>
      </w:r>
      <w:r>
        <w:rPr>
          <w:rFonts w:hint="eastAsia" w:ascii="宋体" w:hAnsi="宋体" w:eastAsia="宋体" w:cs="宋体"/>
          <w:b/>
          <w:bCs/>
          <w:color w:val="auto"/>
          <w:sz w:val="24"/>
          <w:highlight w:val="none"/>
          <w:lang w:bidi="zh-CN"/>
        </w:rPr>
        <w:t>。</w:t>
      </w:r>
    </w:p>
    <w:p w14:paraId="6348BE5B">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（4）评标委员会对通过资格审查供应商的投标文件进行符合性评审、商务技术评审；</w:t>
      </w:r>
    </w:p>
    <w:p w14:paraId="6C6B47CA">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（5）在系统上公开资格和商务技术评审结果；</w:t>
      </w:r>
    </w:p>
    <w:p w14:paraId="7CF55D78">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（6）在系统上公开报价开标情况，并【开启签字时段】，供应商对开标</w:t>
      </w:r>
      <w:r>
        <w:rPr>
          <w:rFonts w:hint="eastAsia" w:ascii="宋体" w:hAnsi="宋体" w:eastAsia="宋体" w:cs="宋体"/>
          <w:color w:val="auto"/>
          <w:sz w:val="24"/>
          <w:highlight w:val="none"/>
          <w:lang w:val="en-US" w:bidi="zh-CN"/>
        </w:rPr>
        <w:t>记录</w:t>
      </w:r>
      <w:r>
        <w:rPr>
          <w:rFonts w:hint="eastAsia" w:ascii="宋体" w:hAnsi="宋体" w:eastAsia="宋体" w:cs="宋体"/>
          <w:color w:val="auto"/>
          <w:sz w:val="24"/>
          <w:highlight w:val="none"/>
          <w:lang w:bidi="zh-CN"/>
        </w:rPr>
        <w:t>进行在线签字确认（不予确认的应说明理由，否则视为无异议）。</w:t>
      </w:r>
    </w:p>
    <w:p w14:paraId="14E28B51">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（7）评标委员会对报价的合理性、准确性等进行审查核实；</w:t>
      </w:r>
    </w:p>
    <w:p w14:paraId="3EE7D70D">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（8）采购代理机构在系统上公布评审结果。</w:t>
      </w:r>
    </w:p>
    <w:p w14:paraId="2F34E010">
      <w:pPr>
        <w:pStyle w:val="12"/>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注：在电子开评标期间，投标人需确保所在区域具备上网的技术条件并保持网络及联系方式畅通，同时为避免出现意外，建议全程由一台电脑进行操作（包括标书制作、上传、解密等），中途不要随意更换电脑。</w:t>
      </w:r>
    </w:p>
    <w:p w14:paraId="53CD7AA4">
      <w:pPr>
        <w:keepNext w:val="0"/>
        <w:keepLines w:val="0"/>
        <w:pageBreakBefore w:val="0"/>
        <w:kinsoku/>
        <w:wordWrap/>
        <w:overflowPunct/>
        <w:topLinePunct w:val="0"/>
        <w:bidi w:val="0"/>
        <w:snapToGrid w:val="0"/>
        <w:spacing w:before="157" w:beforeLines="50" w:after="157" w:afterLines="50" w:line="264" w:lineRule="auto"/>
        <w:ind w:firstLine="241" w:firstLine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26.3.本项目原则上采用</w:t>
      </w:r>
      <w:r>
        <w:rPr>
          <w:rFonts w:hint="eastAsia" w:ascii="宋体" w:hAnsi="宋体" w:eastAsia="宋体" w:cs="宋体"/>
          <w:b/>
          <w:bCs/>
          <w:color w:val="auto"/>
          <w:sz w:val="24"/>
          <w:highlight w:val="none"/>
          <w:u w:val="single"/>
        </w:rPr>
        <w:t>政采云电子招投标开标及评审程序</w:t>
      </w:r>
      <w:r>
        <w:rPr>
          <w:rFonts w:hint="eastAsia" w:ascii="宋体" w:hAnsi="宋体" w:eastAsia="宋体" w:cs="宋体"/>
          <w:b/>
          <w:bCs/>
          <w:color w:val="auto"/>
          <w:sz w:val="24"/>
          <w:highlight w:val="none"/>
        </w:rPr>
        <w:t>，但有以下情形之一的，按以下情况处理：</w:t>
      </w:r>
    </w:p>
    <w:p w14:paraId="58590E53">
      <w:pPr>
        <w:keepNext w:val="0"/>
        <w:keepLines w:val="0"/>
        <w:pageBreakBefore w:val="0"/>
        <w:kinsoku/>
        <w:wordWrap/>
        <w:overflowPunct/>
        <w:topLinePunct w:val="0"/>
        <w:bidi w:val="0"/>
        <w:snapToGrid w:val="0"/>
        <w:spacing w:before="157" w:beforeLines="50" w:after="157" w:afterLines="50" w:line="264" w:lineRule="auto"/>
        <w:ind w:left="19" w:leftChars="9" w:firstLine="458" w:firstLineChars="19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（一）若投标人的电子加密投标文件在规定时间（接到解密通知后30分钟）内无法解密或解密失败，采购代理机构将上传投标人的备份投标文件（如有），以完成开标。</w:t>
      </w:r>
    </w:p>
    <w:p w14:paraId="6262EDED">
      <w:pPr>
        <w:pStyle w:val="12"/>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rPr>
        <w:t>（二）若因政采云平台原因无法读取或电子开评标无法正常进行，采购代理机构将上传投标人</w:t>
      </w:r>
      <w:r>
        <w:rPr>
          <w:rFonts w:hint="eastAsia" w:ascii="宋体" w:hAnsi="宋体" w:eastAsia="宋体" w:cs="宋体"/>
          <w:color w:val="auto"/>
          <w:sz w:val="24"/>
          <w:highlight w:val="none"/>
          <w:lang w:bidi="zh-CN"/>
        </w:rPr>
        <w:t>的备份投标文件</w:t>
      </w:r>
      <w:r>
        <w:rPr>
          <w:rFonts w:hint="eastAsia" w:ascii="宋体" w:hAnsi="宋体" w:eastAsia="宋体" w:cs="宋体"/>
          <w:color w:val="auto"/>
          <w:sz w:val="24"/>
          <w:highlight w:val="none"/>
        </w:rPr>
        <w:t>（如有）</w:t>
      </w:r>
      <w:r>
        <w:rPr>
          <w:rFonts w:hint="eastAsia" w:ascii="宋体" w:hAnsi="宋体" w:eastAsia="宋体" w:cs="宋体"/>
          <w:color w:val="auto"/>
          <w:sz w:val="24"/>
          <w:highlight w:val="none"/>
          <w:lang w:bidi="zh-CN"/>
        </w:rPr>
        <w:t>，以完成开标。</w:t>
      </w:r>
    </w:p>
    <w:p w14:paraId="39980B67">
      <w:pPr>
        <w:pStyle w:val="12"/>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color w:val="auto"/>
          <w:highlight w:val="none"/>
        </w:rPr>
      </w:pPr>
      <w:r>
        <w:rPr>
          <w:rFonts w:hint="eastAsia" w:ascii="宋体" w:hAnsi="宋体" w:eastAsia="宋体" w:cs="宋体"/>
          <w:b/>
          <w:bCs/>
          <w:color w:val="auto"/>
          <w:sz w:val="24"/>
          <w:highlight w:val="none"/>
          <w:lang w:bidi="zh-CN"/>
        </w:rPr>
        <w:t>如遇“政采云平台”电子化开标或评审程序调整的，按调整后程序执行。</w:t>
      </w:r>
    </w:p>
    <w:p w14:paraId="7D0F9D39">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宋体" w:hAnsi="宋体" w:eastAsia="宋体" w:cs="宋体"/>
          <w:b/>
          <w:bCs/>
          <w:color w:val="auto"/>
          <w:sz w:val="30"/>
          <w:szCs w:val="30"/>
          <w:highlight w:val="none"/>
        </w:rPr>
      </w:pPr>
      <w:bookmarkStart w:id="24" w:name="_Toc17521"/>
      <w:r>
        <w:rPr>
          <w:rFonts w:hint="eastAsia" w:ascii="宋体" w:hAnsi="宋体" w:eastAsia="宋体" w:cs="宋体"/>
          <w:b/>
          <w:bCs/>
          <w:color w:val="auto"/>
          <w:sz w:val="30"/>
          <w:szCs w:val="30"/>
          <w:highlight w:val="none"/>
        </w:rPr>
        <w:t>第六节  评 标</w:t>
      </w:r>
      <w:bookmarkEnd w:id="24"/>
    </w:p>
    <w:p w14:paraId="1D0EA012">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评标委员会的组建</w:t>
      </w:r>
    </w:p>
    <w:p w14:paraId="016DB5B3">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由采购人或采购代理机构在监管部门的监督下依法组建，成员由采购人代表和评审专家组成，成员人数为五人或以上单数，其中评审专家不少于成员总数的三分之二。评标委员会成员名单在采购结果公告前保密。</w:t>
      </w:r>
    </w:p>
    <w:p w14:paraId="769EC033">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评标的方式</w:t>
      </w:r>
    </w:p>
    <w:p w14:paraId="04E9BDC1">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本项目采用不公开方式评标，评标的依据为采购文件和投标文件。</w:t>
      </w:r>
    </w:p>
    <w:p w14:paraId="5D79070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评标委员会的职责</w:t>
      </w:r>
    </w:p>
    <w:p w14:paraId="46FD0208">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（一）审查、评价投标文件是否符合采购文件的商务、技术等实质性要求；</w:t>
      </w:r>
    </w:p>
    <w:p w14:paraId="4EE5784A">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（二）要求投标人对投标文件有关事项作出澄清或者说明；</w:t>
      </w:r>
    </w:p>
    <w:p w14:paraId="3A0D5D4C">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（三）对投标文件进行比较和评价；</w:t>
      </w:r>
    </w:p>
    <w:p w14:paraId="6F4615D8">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（四）确定中标候选人名单，以及根据采购人委托直接确定中标人；</w:t>
      </w:r>
    </w:p>
    <w:p w14:paraId="46E9670E">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（五）向采购人、采购代理机构或者有关部门报告评标中发现的违法行为。</w:t>
      </w:r>
    </w:p>
    <w:p w14:paraId="18F37E98">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评标原则</w:t>
      </w:r>
    </w:p>
    <w:p w14:paraId="47908D4C">
      <w:pPr>
        <w:keepNext w:val="0"/>
        <w:keepLines w:val="0"/>
        <w:pageBreakBefore w:val="0"/>
        <w:kinsoku/>
        <w:wordWrap/>
        <w:overflowPunct/>
        <w:topLinePunct w:val="0"/>
        <w:bidi w:val="0"/>
        <w:snapToGrid w:val="0"/>
        <w:spacing w:before="157" w:beforeLines="50" w:after="157" w:afterLines="50" w:line="264"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30.1.评标委员会应当按照客观、公正、审慎的原则，根据采购文件规定的评审程序、评审方法和评审标准进行独立评审。</w:t>
      </w:r>
    </w:p>
    <w:p w14:paraId="20D879C1">
      <w:pPr>
        <w:keepNext w:val="0"/>
        <w:keepLines w:val="0"/>
        <w:pageBreakBefore w:val="0"/>
        <w:kinsoku/>
        <w:wordWrap/>
        <w:overflowPunct/>
        <w:topLinePunct w:val="0"/>
        <w:bidi w:val="0"/>
        <w:adjustRightInd w:val="0"/>
        <w:snapToGrid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30.2.</w:t>
      </w:r>
      <w:r>
        <w:rPr>
          <w:rFonts w:hint="eastAsia" w:ascii="宋体" w:hAnsi="宋体" w:eastAsia="宋体" w:cs="宋体"/>
          <w:b/>
          <w:bCs/>
          <w:color w:val="auto"/>
          <w:sz w:val="24"/>
          <w:highlight w:val="none"/>
        </w:rPr>
        <w:t>评标委员会成员对需要共同认定的事项存在争议的，应当按照少数服从多数的原则作出结论。</w:t>
      </w:r>
      <w:r>
        <w:rPr>
          <w:rFonts w:hint="eastAsia" w:ascii="宋体" w:hAnsi="宋体" w:eastAsia="宋体" w:cs="宋体"/>
          <w:color w:val="auto"/>
          <w:sz w:val="24"/>
          <w:highlight w:val="none"/>
        </w:rPr>
        <w:t>持不同意见的评标委员会成员应当在评标报告上签署不同意见及理由，否则视为同意评标报告。</w:t>
      </w:r>
    </w:p>
    <w:p w14:paraId="3979B4A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评委纪律</w:t>
      </w:r>
    </w:p>
    <w:p w14:paraId="1A9D2636">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23E2998F">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评标办法及评分标准：（</w:t>
      </w:r>
      <w:r>
        <w:rPr>
          <w:rFonts w:hint="eastAsia" w:ascii="宋体" w:hAnsi="宋体" w:eastAsia="宋体" w:cs="宋体"/>
          <w:b/>
          <w:color w:val="auto"/>
          <w:sz w:val="24"/>
          <w:highlight w:val="none"/>
          <w:lang w:eastAsia="zh-CN"/>
        </w:rPr>
        <w:t>详见采购文件第五章</w:t>
      </w:r>
      <w:r>
        <w:rPr>
          <w:rFonts w:hint="eastAsia" w:ascii="宋体" w:hAnsi="宋体" w:eastAsia="宋体" w:cs="宋体"/>
          <w:b/>
          <w:color w:val="auto"/>
          <w:sz w:val="24"/>
          <w:highlight w:val="none"/>
        </w:rPr>
        <w:t>）</w:t>
      </w:r>
    </w:p>
    <w:p w14:paraId="38875364">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评标程序</w:t>
      </w:r>
    </w:p>
    <w:p w14:paraId="385BBEF8">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（1）由评审专家推选评审小组组长，采购人代表不得担任评审小组组长。</w:t>
      </w:r>
    </w:p>
    <w:p w14:paraId="65DE79C9">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小组组长召集成员认真阅读采购文件以及相关补充、质疑、答复文件、项目书面说明等材料，熟悉采购项目的基本概况，采购项目的质量要求、数量、主要技术标准或服务需求，采购合同主要条款，采购响应文件无效情形，评审方法、评审依据、评审标准等。</w:t>
      </w:r>
    </w:p>
    <w:p w14:paraId="308B30DA">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（3）评审人员对各供应商采购响应文件的有效性、完整性和响应程度进行审查，确定是否对采购文件作出实质性响应。</w:t>
      </w:r>
    </w:p>
    <w:p w14:paraId="403F9649">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（4）评审人员按采购文件规定的评审方法和评审标准，依法独立对供应商采购响应文件进行评估、比较，并给予评价或打分，不受任何单位和个人的干预。</w:t>
      </w:r>
    </w:p>
    <w:p w14:paraId="061AE587">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人员对各供应商采购响应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14:paraId="467CF0A9">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评审人员需对采购组织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4569F2F">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（7）评审小组根据评审汇总情况和采购文件规定确定中标（成交）候选供应商排序名单。</w:t>
      </w:r>
    </w:p>
    <w:p w14:paraId="71E69E7B">
      <w:pPr>
        <w:keepNext w:val="0"/>
        <w:keepLines w:val="0"/>
        <w:pageBreakBefore w:val="0"/>
        <w:widowControl/>
        <w:kinsoku/>
        <w:wordWrap/>
        <w:overflowPunct/>
        <w:topLinePunct w:val="0"/>
        <w:bidi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（8）起草评审报告，所有评审人员须在评审报告上签字确认。</w:t>
      </w:r>
    </w:p>
    <w:p w14:paraId="35969CBF">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澄清问题的形式</w:t>
      </w:r>
    </w:p>
    <w:p w14:paraId="4A5C9A1C">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34.1.对于投标文件中含义不明确、同类问题表述不一致或者有明显文字和计算错误的内容，评标委员会将通过“政采云平台”在线询标（谈判）的形式要求供应商在规定的时间内作出必要的澄清、说明或者补正</w:t>
      </w:r>
      <w:r>
        <w:rPr>
          <w:rFonts w:hint="eastAsia" w:ascii="宋体" w:hAnsi="宋体" w:eastAsia="宋体" w:cs="宋体"/>
          <w:color w:val="auto"/>
          <w:sz w:val="24"/>
          <w:highlight w:val="none"/>
          <w:lang w:eastAsia="zh-CN"/>
        </w:rPr>
        <w:t>。</w:t>
      </w:r>
    </w:p>
    <w:p w14:paraId="02D906AF">
      <w:pPr>
        <w:keepNext w:val="0"/>
        <w:keepLines w:val="0"/>
        <w:pageBreakBefore w:val="0"/>
        <w:kinsoku/>
        <w:wordWrap/>
        <w:overflowPunct/>
        <w:topLinePunct w:val="0"/>
        <w:bidi w:val="0"/>
        <w:spacing w:before="157" w:beforeLines="50" w:after="157" w:afterLines="50" w:line="264"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供应商澄清、说明或补正时间为</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分钟。路径：应用中心—项目采购—询标澄清,或通过“待办事项”进入询标澄清页面。供应商澄清文件提交成功后，在“询标澄清-全部”标签页下显示状态为“已澄清”。</w:t>
      </w:r>
    </w:p>
    <w:p w14:paraId="3E9859A8">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34.2.投标人的澄清、说明或者补正应当采用书面形式，并加盖公章，或者由法定代表人或其授权的代表签字。投标人的澄清、说明或者补正不得超出投标文件的范围或者改变投标文件的实质性内容。如未及时进行澄清、说明或者补正的，视为放弃澄清、说明或者补正的权利。</w:t>
      </w:r>
    </w:p>
    <w:p w14:paraId="7B249551">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34.3.</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"mailto:（3）上述询标、澄清、说明和补正工作如因客观原因无法通过"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上述澄清、说明和补正工作如因客观原因无法通过“政采云平台”在线询标（谈判）的，将采用电子邮件形式进行，并由法定代表人或授权代表签字（或加盖公章）。</w:t>
      </w:r>
      <w:r>
        <w:rPr>
          <w:rFonts w:hint="eastAsia" w:ascii="宋体" w:hAnsi="宋体" w:eastAsia="宋体" w:cs="宋体"/>
          <w:color w:val="auto"/>
          <w:sz w:val="24"/>
          <w:highlight w:val="none"/>
        </w:rPr>
        <w:fldChar w:fldCharType="end"/>
      </w:r>
    </w:p>
    <w:p w14:paraId="34A4671B">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34.4.不接受投标人主动对投标文件的澄清、说明或者补正。</w:t>
      </w:r>
    </w:p>
    <w:p w14:paraId="4DCD88C2">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错误修正</w:t>
      </w:r>
    </w:p>
    <w:p w14:paraId="55E47813">
      <w:pPr>
        <w:keepNext w:val="0"/>
        <w:keepLines w:val="0"/>
        <w:pageBreakBefore w:val="0"/>
        <w:kinsoku/>
        <w:wordWrap/>
        <w:overflowPunct/>
        <w:topLinePunct w:val="0"/>
        <w:bidi w:val="0"/>
        <w:spacing w:before="157" w:beforeLines="50" w:after="157" w:afterLines="50" w:line="264"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35.1.投标文件报价出现前后不一致的，按照下列规定修正：</w:t>
      </w:r>
    </w:p>
    <w:p w14:paraId="53B159A7">
      <w:pPr>
        <w:pStyle w:val="7"/>
        <w:keepNext w:val="0"/>
        <w:keepLines w:val="0"/>
        <w:pageBreakBefore w:val="0"/>
        <w:numPr>
          <w:ilvl w:val="0"/>
          <w:numId w:val="11"/>
        </w:numPr>
        <w:kinsoku/>
        <w:wordWrap/>
        <w:overflowPunct/>
        <w:topLinePunct w:val="0"/>
        <w:bidi w:val="0"/>
        <w:spacing w:before="157" w:beforeLines="50" w:after="157" w:afterLines="50" w:line="264"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投标文件中开标一览表（报价表）内容与投标文件中相应内容不一致的，以开标一览表（报价表）为准；</w:t>
      </w:r>
    </w:p>
    <w:p w14:paraId="425C42B8">
      <w:pPr>
        <w:pStyle w:val="7"/>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（二）大写金额和小写金额不一致的，以大写金额为准；</w:t>
      </w:r>
    </w:p>
    <w:p w14:paraId="325DF4FB">
      <w:pPr>
        <w:pStyle w:val="7"/>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（三）单价金额小数点或者百分比有明显错位的，以开标一览表的总价为准，并修改单价；</w:t>
      </w:r>
    </w:p>
    <w:p w14:paraId="05F56248">
      <w:pPr>
        <w:pStyle w:val="7"/>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（四）总价金额与按单价汇总金额不一致的，以单价金额计算结果为准。</w:t>
      </w:r>
    </w:p>
    <w:p w14:paraId="04D4B019">
      <w:pPr>
        <w:pStyle w:val="7"/>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（五）若用文字表示的数值与用数字表示的数值不一致，以文字表示的数值为准；</w:t>
      </w:r>
    </w:p>
    <w:p w14:paraId="4B8BEEA7">
      <w:pPr>
        <w:pStyle w:val="7"/>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（六）如有多报（指数量超出采购文件需求）、重报（指同一货物重复报价），其投标总价在评标过程中不予调整，如其中标，其合同价按其投标单价予以调整；</w:t>
      </w:r>
    </w:p>
    <w:p w14:paraId="0132046E">
      <w:pPr>
        <w:pStyle w:val="7"/>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（七）对不同文字文本投标文件的解释发生异议的，以中文文本为准；</w:t>
      </w:r>
    </w:p>
    <w:p w14:paraId="404C4D12">
      <w:pPr>
        <w:pStyle w:val="7"/>
        <w:keepNext w:val="0"/>
        <w:keepLines w:val="0"/>
        <w:pageBreakBefore w:val="0"/>
        <w:kinsoku/>
        <w:wordWrap/>
        <w:overflowPunct/>
        <w:topLinePunct w:val="0"/>
        <w:bidi w:val="0"/>
        <w:spacing w:before="157" w:beforeLines="50" w:after="157" w:afterLines="50" w:line="264"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同时出现两种以上不一致的，按照前款规定的顺序修正。修正后的报价按照采购文件规定经投标人确认后产生约束力，投标人不确认的，其投标无效。</w:t>
      </w:r>
    </w:p>
    <w:p w14:paraId="0CBEC1C2">
      <w:pPr>
        <w:keepNext w:val="0"/>
        <w:keepLines w:val="0"/>
        <w:pageBreakBefore w:val="0"/>
        <w:kinsoku/>
        <w:wordWrap/>
        <w:overflowPunct/>
        <w:topLinePunct w:val="0"/>
        <w:bidi w:val="0"/>
        <w:spacing w:before="157" w:beforeLines="50" w:after="157" w:afterLines="50" w:line="264"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35.2.投标文件中开标一览表（报价表）内容与电子交易平台客户端开标一览表录入的投标总报价（含单价）或优惠率等不一致的，以投标文件中开标一览表为准；</w:t>
      </w:r>
    </w:p>
    <w:p w14:paraId="02C0EF3D">
      <w:pPr>
        <w:pStyle w:val="7"/>
        <w:keepNext w:val="0"/>
        <w:keepLines w:val="0"/>
        <w:pageBreakBefore w:val="0"/>
        <w:kinsoku/>
        <w:wordWrap/>
        <w:overflowPunct/>
        <w:topLinePunct w:val="0"/>
        <w:bidi w:val="0"/>
        <w:spacing w:before="157" w:beforeLines="50" w:after="157" w:afterLines="50" w:line="264"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修正应当采用电子询标的形式，时间为</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分钟，并按要求加盖公章（电子印章）。</w:t>
      </w:r>
    </w:p>
    <w:p w14:paraId="05DB535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修改评审结果</w:t>
      </w:r>
    </w:p>
    <w:p w14:paraId="4F10BA31">
      <w:pPr>
        <w:keepNext w:val="0"/>
        <w:keepLines w:val="0"/>
        <w:pageBreakBefore w:val="0"/>
        <w:kinsoku/>
        <w:wordWrap/>
        <w:overflowPunct/>
        <w:topLinePunct w:val="0"/>
        <w:bidi w:val="0"/>
        <w:spacing w:before="157" w:beforeLines="50" w:after="157" w:afterLines="50" w:line="264"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评标结果汇总完成后，除下列情形外，任何人不得修改评标结果：</w:t>
      </w:r>
    </w:p>
    <w:p w14:paraId="0EA2EB54">
      <w:pPr>
        <w:keepNext w:val="0"/>
        <w:keepLines w:val="0"/>
        <w:pageBreakBefore w:val="0"/>
        <w:kinsoku/>
        <w:wordWrap/>
        <w:overflowPunct/>
        <w:topLinePunct w:val="0"/>
        <w:bidi w:val="0"/>
        <w:spacing w:before="157" w:beforeLines="50" w:after="157" w:afterLines="50" w:line="264"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（一）分值汇总计算错误的；</w:t>
      </w:r>
    </w:p>
    <w:p w14:paraId="3BAE778F">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（二）分项评分超出评分标准范围的；</w:t>
      </w:r>
    </w:p>
    <w:p w14:paraId="18DAFDC5">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（三）评标委员会成员对客观评审因素评分不一致的；</w:t>
      </w:r>
    </w:p>
    <w:p w14:paraId="018A36BA">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（四）经评标委员会认定评分畸高、畸低的。</w:t>
      </w:r>
    </w:p>
    <w:p w14:paraId="06491267">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highlight w:val="none"/>
        </w:rPr>
      </w:pPr>
      <w:r>
        <w:rPr>
          <w:rFonts w:hint="eastAsia" w:ascii="宋体" w:hAnsi="宋体" w:eastAsia="宋体" w:cs="宋体"/>
          <w:bCs/>
          <w:color w:val="auto"/>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DD69D9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废标</w:t>
      </w:r>
    </w:p>
    <w:p w14:paraId="39C76565">
      <w:pPr>
        <w:keepNext w:val="0"/>
        <w:keepLines w:val="0"/>
        <w:pageBreakBefore w:val="0"/>
        <w:kinsoku/>
        <w:wordWrap/>
        <w:overflowPunct/>
        <w:topLinePunct w:val="0"/>
        <w:bidi w:val="0"/>
        <w:snapToGrid w:val="0"/>
        <w:spacing w:before="157" w:beforeLines="50" w:after="157" w:afterLines="50" w:line="264"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在招标采购中，出现下列情形之一的，应予废标：</w:t>
      </w:r>
    </w:p>
    <w:p w14:paraId="2795A442">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（一）符合专业条件的供应商或者对采购文件作实质响应的供应商不足三家的；</w:t>
      </w:r>
    </w:p>
    <w:p w14:paraId="716537E9">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（二）出现影响采购公正的违法、违规行为的；</w:t>
      </w:r>
    </w:p>
    <w:p w14:paraId="55AAD6D3">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（三）投标人的报价均超过了采购预算（或最高限价），采购人不能支付的；</w:t>
      </w:r>
    </w:p>
    <w:p w14:paraId="4AC2C3E8">
      <w:pPr>
        <w:keepNext w:val="0"/>
        <w:keepLines w:val="0"/>
        <w:pageBreakBefore w:val="0"/>
        <w:tabs>
          <w:tab w:val="left" w:pos="0"/>
          <w:tab w:val="left" w:pos="420"/>
        </w:tabs>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（四）因重大变故，采购任务取消的。</w:t>
      </w:r>
    </w:p>
    <w:p w14:paraId="1015AB0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突发情况处理</w:t>
      </w:r>
    </w:p>
    <w:p w14:paraId="73C0C3F1">
      <w:pPr>
        <w:pStyle w:val="6"/>
        <w:keepNext w:val="0"/>
        <w:keepLines w:val="0"/>
        <w:pageBreakBefore w:val="0"/>
        <w:kinsoku/>
        <w:wordWrap/>
        <w:overflowPunct/>
        <w:topLinePunct w:val="0"/>
        <w:bidi w:val="0"/>
        <w:snapToGrid w:val="0"/>
        <w:spacing w:before="157" w:beforeLines="50" w:after="157" w:afterLines="50" w:line="264" w:lineRule="auto"/>
        <w:ind w:firstLine="232" w:firstLineChars="100"/>
        <w:rPr>
          <w:rFonts w:hint="eastAsia" w:ascii="宋体" w:hAnsi="宋体" w:eastAsia="宋体" w:cs="宋体"/>
          <w:b/>
          <w:bCs/>
          <w:color w:val="auto"/>
          <w:spacing w:val="-4"/>
          <w:sz w:val="24"/>
          <w:highlight w:val="none"/>
        </w:rPr>
      </w:pPr>
      <w:r>
        <w:rPr>
          <w:rFonts w:hint="eastAsia" w:ascii="宋体" w:hAnsi="宋体" w:eastAsia="宋体" w:cs="宋体"/>
          <w:color w:val="auto"/>
          <w:spacing w:val="-4"/>
          <w:sz w:val="24"/>
          <w:highlight w:val="none"/>
        </w:rPr>
        <w:t>38.1.</w:t>
      </w:r>
      <w:r>
        <w:rPr>
          <w:rFonts w:hint="eastAsia" w:ascii="宋体" w:hAnsi="宋体" w:eastAsia="宋体" w:cs="宋体"/>
          <w:b/>
          <w:bCs/>
          <w:color w:val="auto"/>
          <w:spacing w:val="-4"/>
          <w:sz w:val="24"/>
          <w:highlight w:val="none"/>
        </w:rPr>
        <w:t>采购过程中出现以下情形，导致电子交易平台无法正常运行，或者无法保证电子交易的公平、公正和安全时，采购组织机构可中止电子交易活动：</w:t>
      </w:r>
    </w:p>
    <w:p w14:paraId="1F3E3D19">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（一）电子交易平台发生故障而无法登录访问的； </w:t>
      </w:r>
    </w:p>
    <w:p w14:paraId="017CB46B">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（二）电子交易平台应用或数据库出现错误，不能进行正常操作的；</w:t>
      </w:r>
    </w:p>
    <w:p w14:paraId="447A739F">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（三）电子交易平台发现严重安全漏洞，有潜在泄密危险的；</w:t>
      </w:r>
    </w:p>
    <w:p w14:paraId="79AEAA1B">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（四）病毒发作导致不能进行正常操作的； </w:t>
      </w:r>
    </w:p>
    <w:p w14:paraId="51E049D5">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（五）其他无法保证电子交易的公平、公正和安全的情况。</w:t>
      </w:r>
    </w:p>
    <w:p w14:paraId="4F827E80">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BE859AF">
      <w:pPr>
        <w:keepNext w:val="0"/>
        <w:keepLines w:val="0"/>
        <w:pageBreakBefore w:val="0"/>
        <w:kinsoku/>
        <w:wordWrap/>
        <w:overflowPunct/>
        <w:topLinePunct w:val="0"/>
        <w:bidi w:val="0"/>
        <w:snapToGrid w:val="0"/>
        <w:spacing w:before="157" w:beforeLines="50" w:after="157" w:afterLines="50" w:line="264"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38.2.</w:t>
      </w:r>
      <w:r>
        <w:rPr>
          <w:rFonts w:hint="eastAsia" w:ascii="宋体" w:hAnsi="宋体" w:eastAsia="宋体" w:cs="宋体"/>
          <w:b/>
          <w:bCs/>
          <w:color w:val="auto"/>
          <w:sz w:val="24"/>
          <w:highlight w:val="none"/>
        </w:rPr>
        <w:t>采购代理机构或评审小组因不可抗力（不可抗力包括但不限于自然灾害、断电、传播疫病等）原因造成电子交易活动无法正常运行的，将采取以下措施：</w:t>
      </w:r>
    </w:p>
    <w:p w14:paraId="2F475804">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（一）短时间内能消除不可抗力因素的，采购代理机构或评审小组在消除不可抗力因素后继续组织电子交易活动。</w:t>
      </w:r>
    </w:p>
    <w:p w14:paraId="6E4E1060">
      <w:pPr>
        <w:keepNext w:val="0"/>
        <w:keepLines w:val="0"/>
        <w:pageBreakBefore w:val="0"/>
        <w:kinsoku/>
        <w:wordWrap/>
        <w:overflowPunct/>
        <w:topLinePunct w:val="0"/>
        <w:bidi w:val="0"/>
        <w:snapToGrid w:val="0"/>
        <w:spacing w:before="157" w:beforeLines="50" w:after="157" w:afterLines="50" w:line="264"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（二）长时间内无法消除不可抗力因素的，采购代理机构或评审小组将中止电子交易活动。中止电子交易活动的，采购人应当重新组织政府采购活动。</w:t>
      </w:r>
    </w:p>
    <w:p w14:paraId="6A25743A">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宋体" w:hAnsi="宋体" w:eastAsia="宋体" w:cs="宋体"/>
          <w:b/>
          <w:bCs/>
          <w:color w:val="auto"/>
          <w:sz w:val="30"/>
          <w:szCs w:val="30"/>
          <w:highlight w:val="none"/>
        </w:rPr>
      </w:pPr>
      <w:bookmarkStart w:id="25" w:name="_Toc24840"/>
      <w:r>
        <w:rPr>
          <w:rFonts w:hint="eastAsia" w:ascii="宋体" w:hAnsi="宋体" w:eastAsia="宋体" w:cs="宋体"/>
          <w:b/>
          <w:bCs/>
          <w:color w:val="auto"/>
          <w:sz w:val="30"/>
          <w:szCs w:val="30"/>
          <w:highlight w:val="none"/>
        </w:rPr>
        <w:t>第七节  定 标</w:t>
      </w:r>
      <w:bookmarkEnd w:id="25"/>
    </w:p>
    <w:p w14:paraId="135C133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采购结果确认</w:t>
      </w:r>
    </w:p>
    <w:p w14:paraId="1B2BC14E">
      <w:pPr>
        <w:keepNext w:val="0"/>
        <w:keepLines w:val="0"/>
        <w:pageBreakBefore w:val="0"/>
        <w:kinsoku/>
        <w:wordWrap/>
        <w:overflowPunct/>
        <w:topLinePunct w:val="0"/>
        <w:bidi w:val="0"/>
        <w:snapToGrid w:val="0"/>
        <w:spacing w:before="157" w:beforeLines="50" w:after="157" w:afterLines="50" w:line="264" w:lineRule="auto"/>
        <w:ind w:firstLine="240" w:firstLineChars="100"/>
        <w:rPr>
          <w:rFonts w:hint="eastAsia" w:ascii="宋体" w:hAnsi="宋体" w:eastAsia="宋体" w:cs="宋体"/>
          <w:b/>
          <w:color w:val="auto"/>
          <w:kern w:val="0"/>
          <w:sz w:val="24"/>
          <w:szCs w:val="22"/>
          <w:highlight w:val="none"/>
        </w:rPr>
      </w:pPr>
      <w:r>
        <w:rPr>
          <w:rFonts w:hint="eastAsia" w:ascii="宋体" w:hAnsi="宋体" w:eastAsia="宋体" w:cs="宋体"/>
          <w:color w:val="auto"/>
          <w:sz w:val="24"/>
          <w:highlight w:val="none"/>
        </w:rPr>
        <w:t>39.1.</w:t>
      </w:r>
      <w:r>
        <w:rPr>
          <w:rFonts w:hint="eastAsia" w:ascii="宋体" w:hAnsi="宋体" w:eastAsia="宋体" w:cs="宋体"/>
          <w:b/>
          <w:color w:val="auto"/>
          <w:kern w:val="0"/>
          <w:sz w:val="24"/>
          <w:szCs w:val="22"/>
          <w:highlight w:val="none"/>
        </w:rPr>
        <w:t>本项目由采购人根据评标委员会提交的《评审报告》，通过“政采云平台”依法确认采购结果、确定中标供应商。具体流程如下：</w:t>
      </w:r>
    </w:p>
    <w:p w14:paraId="4D38EA0A">
      <w:pPr>
        <w:keepNext w:val="0"/>
        <w:keepLines w:val="0"/>
        <w:pageBreakBefore w:val="0"/>
        <w:kinsoku/>
        <w:wordWrap/>
        <w:overflowPunct/>
        <w:topLinePunct w:val="0"/>
        <w:bidi w:val="0"/>
        <w:spacing w:before="157" w:beforeLines="50" w:after="157" w:afterLines="50" w:line="264" w:lineRule="auto"/>
        <w:ind w:firstLine="420" w:firstLineChars="175"/>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（一）采购代理机构应当在评标结束后2个工作日内将评标报告送采购人。</w:t>
      </w:r>
    </w:p>
    <w:p w14:paraId="77E177F9">
      <w:pPr>
        <w:keepNext w:val="0"/>
        <w:keepLines w:val="0"/>
        <w:pageBreakBefore w:val="0"/>
        <w:kinsoku/>
        <w:wordWrap/>
        <w:overflowPunct/>
        <w:topLinePunct w:val="0"/>
        <w:bidi w:val="0"/>
        <w:spacing w:before="157" w:beforeLines="50" w:after="157" w:afterLines="50" w:line="264" w:lineRule="auto"/>
        <w:ind w:firstLine="420" w:firstLineChars="175"/>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（二）采购人应当自收到评标报告之日起5个工作日内，在评标报告确定的中标候选人名单中按顺序确定中标人，并将确认意见以书面形式回复采购代理机构。</w:t>
      </w:r>
      <w:r>
        <w:rPr>
          <w:rFonts w:hint="eastAsia" w:ascii="宋体" w:hAnsi="宋体" w:eastAsia="宋体" w:cs="宋体"/>
          <w:color w:val="auto"/>
          <w:sz w:val="24"/>
          <w:highlight w:val="none"/>
        </w:rPr>
        <w:t xml:space="preserve"> </w:t>
      </w:r>
    </w:p>
    <w:p w14:paraId="2FA6F8C9">
      <w:pPr>
        <w:keepNext w:val="0"/>
        <w:keepLines w:val="0"/>
        <w:pageBreakBefore w:val="0"/>
        <w:kinsoku/>
        <w:wordWrap/>
        <w:overflowPunct/>
        <w:topLinePunct w:val="0"/>
        <w:bidi w:val="0"/>
        <w:snapToGrid w:val="0"/>
        <w:spacing w:before="157" w:beforeLines="50" w:after="157" w:afterLines="50" w:line="264" w:lineRule="auto"/>
        <w:ind w:firstLine="240" w:firstLineChars="1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szCs w:val="22"/>
          <w:highlight w:val="none"/>
        </w:rPr>
        <w:t>39.2.采购结果经采购人确认后2个工作日内，采购代理机构将在投标人须知前附表规定的网址公告采购</w:t>
      </w:r>
      <w:r>
        <w:rPr>
          <w:rFonts w:hint="eastAsia" w:ascii="宋体" w:hAnsi="宋体" w:eastAsia="宋体" w:cs="宋体"/>
          <w:color w:val="auto"/>
          <w:sz w:val="24"/>
          <w:highlight w:val="none"/>
        </w:rPr>
        <w:t>结果，</w:t>
      </w:r>
      <w:r>
        <w:rPr>
          <w:rFonts w:hint="eastAsia" w:ascii="宋体" w:hAnsi="宋体" w:eastAsia="宋体" w:cs="宋体"/>
          <w:b/>
          <w:bCs/>
          <w:color w:val="auto"/>
          <w:sz w:val="24"/>
          <w:highlight w:val="none"/>
          <w:u w:val="single"/>
        </w:rPr>
        <w:t>中标公告期限为1个工作日。</w:t>
      </w:r>
    </w:p>
    <w:p w14:paraId="6BF03439">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质疑和投诉</w:t>
      </w:r>
    </w:p>
    <w:p w14:paraId="09CCC2D8">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40.1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3390BF7">
      <w:pPr>
        <w:keepNext w:val="0"/>
        <w:keepLines w:val="0"/>
        <w:pageBreakBefore w:val="0"/>
        <w:numPr>
          <w:ilvl w:val="0"/>
          <w:numId w:val="12"/>
        </w:numPr>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对可以质疑的采购文件提出质疑的，为收到采购文件之日或者采购文件公告期限届满之日；</w:t>
      </w:r>
    </w:p>
    <w:p w14:paraId="4ED364B5">
      <w:pPr>
        <w:keepNext w:val="0"/>
        <w:keepLines w:val="0"/>
        <w:pageBreakBefore w:val="0"/>
        <w:numPr>
          <w:ilvl w:val="0"/>
          <w:numId w:val="12"/>
        </w:numPr>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对采购过程提出质疑的，为各采购程序环节结束之日；</w:t>
      </w:r>
    </w:p>
    <w:p w14:paraId="42FED3E3">
      <w:pPr>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（三）对中标或者成交结果提出质疑的，为中标或者成交结果公告期限届满之日。</w:t>
      </w:r>
    </w:p>
    <w:p w14:paraId="531B90A2">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40.2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1FA69FE4">
      <w:pPr>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供应商为自然人的，应当由本人签字；供应商为法人或者其他组织的，应当由法定代表人、主要负责人，或者其授权代表签字或者盖章，并加盖公章。</w:t>
      </w:r>
    </w:p>
    <w:p w14:paraId="708FBC55">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highlight w:val="none"/>
        </w:rPr>
        <w:t>40.3.供应商质疑、投诉应当有明确的请求和必要的证明材料。供应商投诉的事项不得超出已质疑事项的范围。采购人及采购代理机构按《政府采购质疑和投诉办法》进行处理供应商质疑事项。</w:t>
      </w:r>
    </w:p>
    <w:p w14:paraId="200463FD">
      <w:pPr>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40.4.质疑供应商对采购人、采购代理机构的质疑答复不满意，或者采购人、采购代理机构未在规定期限内作出答复的，供应商可以在答复期满后15个工作日内向同级财政部门提起投诉。</w:t>
      </w:r>
    </w:p>
    <w:p w14:paraId="643D3E0D">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40.5.</w:t>
      </w:r>
      <w:r>
        <w:rPr>
          <w:rFonts w:hint="eastAsia" w:ascii="宋体" w:hAnsi="宋体" w:eastAsia="宋体" w:cs="宋体"/>
          <w:b/>
          <w:bCs/>
          <w:color w:val="auto"/>
          <w:sz w:val="24"/>
          <w:highlight w:val="none"/>
        </w:rPr>
        <w:t>供应商有下列情形之一的，采购代理机构将报天台县财政局，将其列入不良行为记录名单：</w:t>
      </w:r>
    </w:p>
    <w:p w14:paraId="3E791AFF">
      <w:pPr>
        <w:pStyle w:val="6"/>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（一）一年内三次以上质疑均查无实据的；</w:t>
      </w:r>
    </w:p>
    <w:p w14:paraId="0DD71739">
      <w:pPr>
        <w:pStyle w:val="6"/>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（二）捏造事实或者提供虚假质疑材料的。</w:t>
      </w:r>
    </w:p>
    <w:p w14:paraId="1C5EA2B4">
      <w:pPr>
        <w:keepNext w:val="0"/>
        <w:keepLines w:val="0"/>
        <w:pageBreakBefore w:val="0"/>
        <w:kinsoku/>
        <w:wordWrap/>
        <w:overflowPunct/>
        <w:topLinePunct w:val="0"/>
        <w:bidi w:val="0"/>
        <w:spacing w:before="157" w:beforeLines="50" w:after="157" w:afterLines="50" w:line="264"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（三）以非法手段取得证明材料。证据来源的合法性存在明显疑问，质疑人无法证明其取得方式合法的，视为以非法手段取得证明材料。</w:t>
      </w:r>
    </w:p>
    <w:p w14:paraId="5BB67361">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中标公告和中标通知书</w:t>
      </w:r>
    </w:p>
    <w:p w14:paraId="56FFC301">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41.1.采购人依法确认中标供应商后，采购代理机构在投标人须知前附表规定的网址公告中标结果，同时向中标供应商发出中标通知书。</w:t>
      </w:r>
    </w:p>
    <w:p w14:paraId="61B95CC8">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41.2.中标通知书的领取不妨碍相关质疑投诉的提出和处置，中标结果在法定情形内允许改变。</w:t>
      </w:r>
    </w:p>
    <w:p w14:paraId="3C74F086">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highlight w:val="none"/>
        </w:rPr>
        <w:t>41.3.中标通知书作为签订合同的重要依据，对采购人和中标供应商均具有法律效力。采购人改变中标结果或者中标供应商放弃中标项目的都应承担法律责任。</w:t>
      </w:r>
    </w:p>
    <w:p w14:paraId="25ABF85E">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264" w:lineRule="auto"/>
        <w:jc w:val="center"/>
        <w:textAlignment w:val="auto"/>
        <w:outlineLvl w:val="1"/>
        <w:rPr>
          <w:rFonts w:hint="eastAsia" w:ascii="宋体" w:hAnsi="宋体" w:eastAsia="宋体" w:cs="宋体"/>
          <w:b/>
          <w:bCs/>
          <w:color w:val="auto"/>
          <w:sz w:val="30"/>
          <w:szCs w:val="30"/>
          <w:highlight w:val="none"/>
        </w:rPr>
      </w:pPr>
      <w:bookmarkStart w:id="26" w:name="_Toc24712"/>
      <w:r>
        <w:rPr>
          <w:rFonts w:hint="eastAsia" w:ascii="宋体" w:hAnsi="宋体" w:eastAsia="宋体" w:cs="宋体"/>
          <w:b/>
          <w:bCs/>
          <w:color w:val="auto"/>
          <w:sz w:val="30"/>
          <w:szCs w:val="30"/>
          <w:highlight w:val="none"/>
        </w:rPr>
        <w:t>第八节  合同签订及其他</w:t>
      </w:r>
      <w:bookmarkEnd w:id="26"/>
    </w:p>
    <w:p w14:paraId="05F92FA8">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w:t>
      </w:r>
      <w:r>
        <w:rPr>
          <w:rFonts w:hint="eastAsia" w:ascii="宋体" w:hAnsi="宋体" w:eastAsia="宋体" w:cs="宋体"/>
          <w:b/>
          <w:color w:val="auto"/>
          <w:sz w:val="24"/>
          <w:highlight w:val="none"/>
          <w:lang w:val="en-US" w:eastAsia="zh-CN"/>
        </w:rPr>
        <w:t>担保</w:t>
      </w:r>
    </w:p>
    <w:p w14:paraId="0E717D00">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val="0"/>
        <w:spacing w:before="157" w:beforeLines="50" w:after="157" w:afterLines="50" w:line="264" w:lineRule="auto"/>
        <w:ind w:firstLine="241" w:firstLineChars="1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rPr>
        <w:t>须知前附表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规定</w:t>
      </w:r>
      <w:r>
        <w:rPr>
          <w:rFonts w:hint="eastAsia" w:ascii="宋体" w:hAnsi="宋体" w:eastAsia="宋体" w:cs="宋体"/>
          <w:b/>
          <w:bCs/>
          <w:color w:val="auto"/>
          <w:sz w:val="24"/>
          <w:highlight w:val="none"/>
          <w:lang w:val="en-US" w:eastAsia="zh-CN"/>
        </w:rPr>
        <w:t>需要提供履约担保</w:t>
      </w:r>
      <w:r>
        <w:rPr>
          <w:rFonts w:hint="eastAsia" w:ascii="宋体" w:hAnsi="宋体" w:eastAsia="宋体" w:cs="宋体"/>
          <w:b/>
          <w:bCs/>
          <w:color w:val="auto"/>
          <w:sz w:val="24"/>
          <w:highlight w:val="none"/>
        </w:rPr>
        <w:t>的，</w:t>
      </w:r>
      <w:r>
        <w:rPr>
          <w:rFonts w:hint="eastAsia" w:ascii="宋体" w:hAnsi="宋体" w:eastAsia="宋体" w:cs="宋体"/>
          <w:b/>
          <w:bCs/>
          <w:color w:val="auto"/>
          <w:sz w:val="24"/>
          <w:highlight w:val="none"/>
          <w:lang w:val="en-US" w:eastAsia="zh-CN"/>
        </w:rPr>
        <w:t>则</w:t>
      </w:r>
      <w:r>
        <w:rPr>
          <w:rFonts w:hint="eastAsia" w:ascii="宋体" w:hAnsi="宋体" w:eastAsia="宋体" w:cs="宋体"/>
          <w:b/>
          <w:bCs/>
          <w:color w:val="auto"/>
          <w:sz w:val="24"/>
          <w:highlight w:val="none"/>
        </w:rPr>
        <w:t>应遵守以下规定：</w:t>
      </w:r>
    </w:p>
    <w:p w14:paraId="5D6416A0">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42.1.中标供应商在领取中标通知书后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个工作日内，向采购人交纳相当于</w:t>
      </w:r>
      <w:r>
        <w:rPr>
          <w:rFonts w:hint="eastAsia" w:ascii="宋体" w:hAnsi="宋体" w:eastAsia="宋体" w:cs="宋体"/>
          <w:color w:val="auto"/>
          <w:sz w:val="24"/>
          <w:highlight w:val="none"/>
          <w:lang w:eastAsia="zh-CN"/>
        </w:rPr>
        <w:t>中标价</w:t>
      </w:r>
      <w:r>
        <w:rPr>
          <w:rFonts w:hint="eastAsia" w:ascii="宋体" w:hAnsi="宋体" w:eastAsia="宋体" w:cs="宋体"/>
          <w:color w:val="auto"/>
          <w:sz w:val="24"/>
          <w:highlight w:val="none"/>
          <w:u w:val="single"/>
          <w:lang w:val="en-US" w:eastAsia="zh-CN"/>
        </w:rPr>
        <w:t xml:space="preserve"> 1%</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履约保证金（鼓励以银行、保险公司出具的履约保函形式提交；若以电汇</w:t>
      </w:r>
      <w:r>
        <w:rPr>
          <w:rFonts w:hint="eastAsia" w:ascii="宋体" w:hAnsi="宋体" w:eastAsia="宋体" w:cs="宋体"/>
          <w:color w:val="auto"/>
          <w:sz w:val="24"/>
          <w:highlight w:val="none"/>
        </w:rPr>
        <w:t>、银行转账方式提交的，必须转到采购人的指定账户。</w:t>
      </w:r>
      <w:r>
        <w:rPr>
          <w:rFonts w:hint="eastAsia" w:ascii="宋体" w:hAnsi="宋体" w:eastAsia="宋体" w:cs="宋体"/>
          <w:color w:val="auto"/>
          <w:sz w:val="24"/>
          <w:highlight w:val="none"/>
          <w:lang w:eastAsia="zh-CN"/>
        </w:rPr>
        <w:t>）</w:t>
      </w:r>
    </w:p>
    <w:p w14:paraId="65548419">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42.2.签订合同后，如中标供应商不按合同约定履约的，履约保证金不予退还，履约保证金不足以赔偿损失的，按实际损失赔偿。</w:t>
      </w:r>
    </w:p>
    <w:p w14:paraId="0027582E">
      <w:pPr>
        <w:pStyle w:val="6"/>
        <w:keepNext w:val="0"/>
        <w:keepLines w:val="0"/>
        <w:pageBreakBefore w:val="0"/>
        <w:kinsoku/>
        <w:wordWrap/>
        <w:overflowPunct/>
        <w:topLinePunct w:val="0"/>
        <w:bidi w:val="0"/>
        <w:snapToGrid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42.4.如果中标供应商在服务期内没有涉及采购人的应付而未付金额或违约行为，采购人在项目终验合格后或提前终止合同后30天内全额无息退还履约保证金。</w:t>
      </w:r>
    </w:p>
    <w:p w14:paraId="7DC2A8B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签订合同及公告</w:t>
      </w:r>
    </w:p>
    <w:p w14:paraId="5D7E68FC">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43.1.采购人应当自中标通知书发出之日起</w:t>
      </w:r>
      <w:r>
        <w:rPr>
          <w:rFonts w:hint="eastAsia" w:hAnsi="宋体" w:cs="宋体"/>
          <w:b/>
          <w:bCs/>
          <w:color w:val="auto"/>
          <w:sz w:val="24"/>
          <w:highlight w:val="none"/>
          <w:u w:val="single"/>
          <w:lang w:val="en-US" w:eastAsia="zh-CN"/>
        </w:rPr>
        <w:t xml:space="preserve"> 15日 </w:t>
      </w:r>
      <w:r>
        <w:rPr>
          <w:rFonts w:hint="eastAsia" w:ascii="宋体" w:hAnsi="宋体" w:eastAsia="宋体" w:cs="宋体"/>
          <w:color w:val="auto"/>
          <w:sz w:val="24"/>
          <w:highlight w:val="none"/>
          <w:lang w:eastAsia="zh-CN"/>
        </w:rPr>
        <w:t>内</w:t>
      </w:r>
      <w:r>
        <w:rPr>
          <w:rFonts w:hint="eastAsia" w:ascii="宋体" w:hAnsi="宋体" w:eastAsia="宋体" w:cs="宋体"/>
          <w:color w:val="auto"/>
          <w:sz w:val="24"/>
          <w:highlight w:val="none"/>
        </w:rPr>
        <w:t>，按照采购文件和中标人投标文件的规定，与中标人签订书面合同。所签订的合同不得对采购文件确定的事项和中标人投标文件作实质性修改。</w:t>
      </w:r>
    </w:p>
    <w:p w14:paraId="7D31F8A6">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43.2.中标供应商拖延、拒签合同的, 取消中标资格，采购人将按《浙江省政府采购供应商注册及诚信管理暂行办法》的规定上报诚信状况。给采购人造成损失的还应当予以赔偿。</w:t>
      </w:r>
    </w:p>
    <w:p w14:paraId="1E2779DF">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43.3.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3966A0D">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43.4.采购人应当在政府采购合同签订之日起2个工作日内将政府采购合同在省级以上人民政府财政部门指定的媒体上公告，但政府采购合同中涉及国家秘密、商业秘密的内容除外。</w:t>
      </w:r>
    </w:p>
    <w:p w14:paraId="1AAC9C20">
      <w:pPr>
        <w:pStyle w:val="6"/>
        <w:keepNext w:val="0"/>
        <w:keepLines w:val="0"/>
        <w:pageBreakBefore w:val="0"/>
        <w:kinsoku/>
        <w:wordWrap/>
        <w:overflowPunct/>
        <w:topLinePunct w:val="0"/>
        <w:bidi w:val="0"/>
        <w:spacing w:before="157" w:beforeLines="50" w:after="157" w:afterLines="50" w:line="264"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43.5.采购人应当自政府采购合同签订之日起7个工作日内，将政府采购合同副本报同级人民政府财政部门备案以及采购代理机构存档。</w:t>
      </w:r>
    </w:p>
    <w:p w14:paraId="2A2C2ED7">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履约验收</w:t>
      </w:r>
    </w:p>
    <w:p w14:paraId="0606A558">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Chars="0" w:firstLine="240" w:firstLineChars="1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44.1.</w:t>
      </w:r>
      <w:r>
        <w:rPr>
          <w:rFonts w:hint="eastAsia" w:ascii="宋体" w:hAnsi="宋体" w:eastAsia="宋体" w:cs="宋体"/>
          <w:b w:val="0"/>
          <w:bCs/>
          <w:color w:val="auto"/>
          <w:sz w:val="24"/>
          <w:highlight w:val="none"/>
        </w:rPr>
        <w:t>采购人应当依法组织履约验收工作。</w:t>
      </w:r>
    </w:p>
    <w:p w14:paraId="11E9996C">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Chars="0" w:firstLine="240" w:firstLineChars="1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44.2.</w:t>
      </w:r>
      <w:r>
        <w:rPr>
          <w:rFonts w:hint="eastAsia" w:ascii="宋体" w:hAnsi="宋体" w:eastAsia="宋体" w:cs="宋体"/>
          <w:b w:val="0"/>
          <w:bCs/>
          <w:color w:val="auto"/>
          <w:sz w:val="24"/>
          <w:highlight w:val="none"/>
        </w:rPr>
        <w:t>服务类项目，可以根据项目特点对服务期内的服务实施情况进行分期考核，结合考</w:t>
      </w:r>
      <w:r>
        <w:rPr>
          <w:rFonts w:hint="eastAsia" w:ascii="宋体" w:hAnsi="宋体" w:eastAsia="宋体" w:cs="宋体"/>
          <w:b w:val="0"/>
          <w:bCs/>
          <w:color w:val="auto"/>
          <w:sz w:val="24"/>
          <w:highlight w:val="none"/>
          <w:lang w:val="en-US" w:eastAsia="zh-CN"/>
        </w:rPr>
        <w:t>核情况和服务效果进行验收。工程类项目应当按照行业管理部门规定的标准、方法和内容进行验收。</w:t>
      </w:r>
    </w:p>
    <w:p w14:paraId="56537C34">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Chars="0" w:firstLine="240" w:firstLineChars="1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44.3.采购人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14:paraId="654DBDB4">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239" w:leftChars="114" w:firstLine="0" w:firstLineChars="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44.4.采购合同的履行、违约责任和解决争议的方式等适用《中华人民共和国民法典》。</w:t>
      </w:r>
    </w:p>
    <w:p w14:paraId="1EA94FAC">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19" w:leftChars="9" w:firstLine="218" w:firstLineChars="91"/>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44.5.供应商在履约过程中有政府采购法律法规规定的违法违规情形的，采购人应当及时报告本级财政部门。</w:t>
      </w:r>
    </w:p>
    <w:p w14:paraId="54BB7FA2">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履约检查</w:t>
      </w:r>
    </w:p>
    <w:p w14:paraId="3E2383EC">
      <w:pPr>
        <w:keepNext w:val="0"/>
        <w:keepLines w:val="0"/>
        <w:pageBreakBefore w:val="0"/>
        <w:numPr>
          <w:ilvl w:val="0"/>
          <w:numId w:val="0"/>
        </w:numPr>
        <w:tabs>
          <w:tab w:val="left" w:pos="0"/>
          <w:tab w:val="left" w:pos="420"/>
        </w:tabs>
        <w:kinsoku/>
        <w:wordWrap/>
        <w:overflowPunct/>
        <w:topLinePunct w:val="0"/>
        <w:bidi w:val="0"/>
        <w:snapToGrid w:val="0"/>
        <w:spacing w:before="157" w:beforeLines="50" w:after="157" w:afterLines="50" w:line="264" w:lineRule="auto"/>
        <w:ind w:leftChars="0" w:firstLine="240" w:firstLineChars="1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45.1.</w:t>
      </w:r>
      <w:r>
        <w:rPr>
          <w:rFonts w:hint="eastAsia" w:ascii="宋体" w:hAnsi="宋体" w:eastAsia="宋体" w:cs="宋体"/>
          <w:b w:val="0"/>
          <w:bCs/>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58CE320A">
      <w:pPr>
        <w:keepNext w:val="0"/>
        <w:keepLines w:val="0"/>
        <w:pageBreakBefore w:val="0"/>
        <w:numPr>
          <w:ilvl w:val="0"/>
          <w:numId w:val="6"/>
        </w:numPr>
        <w:tabs>
          <w:tab w:val="left" w:pos="0"/>
          <w:tab w:val="left" w:pos="420"/>
        </w:tabs>
        <w:kinsoku/>
        <w:wordWrap/>
        <w:overflowPunct/>
        <w:topLinePunct w:val="0"/>
        <w:bidi w:val="0"/>
        <w:snapToGrid w:val="0"/>
        <w:spacing w:before="157" w:beforeLines="50" w:after="157" w:afterLines="50" w:line="264"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解释权</w:t>
      </w:r>
    </w:p>
    <w:p w14:paraId="07E233D4">
      <w:pPr>
        <w:keepNext w:val="0"/>
        <w:keepLines w:val="0"/>
        <w:pageBreakBefore w:val="0"/>
        <w:numPr>
          <w:ilvl w:val="1"/>
          <w:numId w:val="6"/>
        </w:numPr>
        <w:kinsoku/>
        <w:wordWrap/>
        <w:overflowPunct/>
        <w:topLinePunct w:val="0"/>
        <w:bidi w:val="0"/>
        <w:spacing w:before="157" w:beforeLines="50" w:after="157" w:afterLines="50" w:line="264" w:lineRule="auto"/>
        <w:ind w:left="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本采购文件的解释权属于采购单位和台州市天诚工程造价咨询有限公司。</w:t>
      </w:r>
    </w:p>
    <w:p w14:paraId="66153ADF">
      <w:pPr>
        <w:pStyle w:val="2"/>
        <w:keepNext/>
        <w:keepLines/>
        <w:widowControl w:val="0"/>
        <w:numPr>
          <w:ilvl w:val="0"/>
          <w:numId w:val="0"/>
        </w:numPr>
        <w:spacing w:before="340" w:after="330" w:line="578" w:lineRule="auto"/>
        <w:jc w:val="both"/>
        <w:outlineLvl w:val="0"/>
        <w:rPr>
          <w:rFonts w:hint="eastAsia"/>
          <w:color w:val="auto"/>
          <w:highlight w:val="none"/>
        </w:rPr>
      </w:pPr>
    </w:p>
    <w:p w14:paraId="69B28261">
      <w:pPr>
        <w:rPr>
          <w:rFonts w:hint="eastAsia"/>
          <w:color w:val="auto"/>
          <w:highlight w:val="none"/>
        </w:rPr>
      </w:pPr>
    </w:p>
    <w:p w14:paraId="137C2910">
      <w:pPr>
        <w:pStyle w:val="2"/>
        <w:rPr>
          <w:rFonts w:hint="eastAsia"/>
          <w:color w:val="auto"/>
          <w:highlight w:val="none"/>
        </w:rPr>
      </w:pPr>
    </w:p>
    <w:p w14:paraId="5933CF0D">
      <w:pPr>
        <w:rPr>
          <w:rFonts w:hint="eastAsia"/>
          <w:color w:val="auto"/>
          <w:highlight w:val="none"/>
        </w:rPr>
      </w:pPr>
    </w:p>
    <w:p w14:paraId="5DD6798D">
      <w:pPr>
        <w:pStyle w:val="2"/>
        <w:rPr>
          <w:rFonts w:hint="eastAsia"/>
          <w:color w:val="auto"/>
          <w:highlight w:val="none"/>
        </w:rPr>
      </w:pPr>
    </w:p>
    <w:p w14:paraId="42C76643">
      <w:pPr>
        <w:rPr>
          <w:rFonts w:hint="eastAsia"/>
          <w:color w:val="auto"/>
          <w:highlight w:val="none"/>
        </w:rPr>
      </w:pPr>
    </w:p>
    <w:p w14:paraId="61721AEB">
      <w:pPr>
        <w:pStyle w:val="2"/>
        <w:rPr>
          <w:rFonts w:hint="eastAsia"/>
          <w:color w:val="auto"/>
          <w:highlight w:val="none"/>
        </w:rPr>
      </w:pPr>
    </w:p>
    <w:p w14:paraId="6415BC49">
      <w:pPr>
        <w:rPr>
          <w:rFonts w:hint="eastAsia"/>
          <w:color w:val="auto"/>
          <w:highlight w:val="none"/>
        </w:rPr>
      </w:pPr>
    </w:p>
    <w:p w14:paraId="145E4D02">
      <w:pPr>
        <w:pStyle w:val="2"/>
        <w:rPr>
          <w:rFonts w:hint="eastAsia"/>
          <w:color w:val="auto"/>
          <w:highlight w:val="none"/>
        </w:rPr>
      </w:pPr>
    </w:p>
    <w:p w14:paraId="10959DD9">
      <w:pPr>
        <w:rPr>
          <w:rFonts w:hint="eastAsia"/>
          <w:color w:val="auto"/>
          <w:highlight w:val="none"/>
        </w:rPr>
      </w:pPr>
    </w:p>
    <w:p w14:paraId="25108D29">
      <w:pPr>
        <w:rPr>
          <w:rFonts w:hint="eastAsia"/>
          <w:color w:val="auto"/>
          <w:highlight w:val="none"/>
        </w:rPr>
      </w:pPr>
    </w:p>
    <w:p w14:paraId="32C98747">
      <w:pPr>
        <w:rPr>
          <w:rFonts w:hint="eastAsia"/>
          <w:color w:val="auto"/>
          <w:highlight w:val="none"/>
        </w:rPr>
      </w:pPr>
    </w:p>
    <w:p w14:paraId="4E08B463">
      <w:pPr>
        <w:rPr>
          <w:rFonts w:hint="eastAsia"/>
          <w:color w:val="auto"/>
          <w:highlight w:val="none"/>
        </w:rPr>
      </w:pPr>
    </w:p>
    <w:p w14:paraId="5DF093B8">
      <w:pPr>
        <w:keepNext w:val="0"/>
        <w:keepLines w:val="0"/>
        <w:pageBreakBefore w:val="0"/>
        <w:kinsoku/>
        <w:wordWrap/>
        <w:overflowPunct/>
        <w:topLinePunct w:val="0"/>
        <w:bidi w:val="0"/>
        <w:spacing w:before="157" w:beforeLines="50" w:after="157" w:afterLines="50" w:line="264" w:lineRule="auto"/>
        <w:rPr>
          <w:rFonts w:hint="eastAsia" w:ascii="宋体" w:hAnsi="宋体" w:eastAsia="宋体" w:cs="宋体"/>
          <w:b/>
          <w:bCs/>
          <w:color w:val="auto"/>
          <w:sz w:val="24"/>
          <w:highlight w:val="none"/>
        </w:rPr>
      </w:pPr>
    </w:p>
    <w:p w14:paraId="6F2121E4">
      <w:pPr>
        <w:keepLines w:val="0"/>
        <w:pageBreakBefore w:val="0"/>
        <w:kinsoku/>
        <w:wordWrap/>
        <w:overflowPunct/>
        <w:topLinePunct w:val="0"/>
        <w:bidi w:val="0"/>
        <w:spacing w:line="400" w:lineRule="exact"/>
        <w:jc w:val="center"/>
        <w:outlineLvl w:val="0"/>
        <w:rPr>
          <w:rFonts w:hint="eastAsia" w:ascii="宋体" w:hAnsi="宋体" w:eastAsia="宋体" w:cs="宋体"/>
          <w:b/>
          <w:bCs/>
          <w:color w:val="auto"/>
          <w:sz w:val="24"/>
          <w:highlight w:val="none"/>
        </w:rPr>
      </w:pPr>
      <w:bookmarkStart w:id="27" w:name="_Toc19885"/>
      <w:r>
        <w:rPr>
          <w:rFonts w:hint="eastAsia" w:ascii="宋体" w:hAnsi="宋体" w:eastAsia="宋体" w:cs="宋体"/>
          <w:b/>
          <w:color w:val="auto"/>
          <w:sz w:val="36"/>
          <w:szCs w:val="44"/>
          <w:highlight w:val="none"/>
        </w:rPr>
        <w:t>第三章 招标内容及需求</w:t>
      </w:r>
      <w:bookmarkEnd w:id="27"/>
      <w:bookmarkStart w:id="28" w:name="_Toc273284785"/>
      <w:bookmarkStart w:id="29" w:name="_Toc98821986"/>
    </w:p>
    <w:bookmarkEnd w:id="28"/>
    <w:bookmarkEnd w:id="29"/>
    <w:p w14:paraId="22F966E2">
      <w:pPr>
        <w:pStyle w:val="59"/>
        <w:keepLines w:val="0"/>
        <w:pageBreakBefore w:val="0"/>
        <w:kinsoku/>
        <w:wordWrap/>
        <w:overflowPunct/>
        <w:topLinePunct w:val="0"/>
        <w:bidi w:val="0"/>
        <w:spacing w:line="400" w:lineRule="exact"/>
        <w:ind w:left="0" w:firstLine="0"/>
        <w:jc w:val="center"/>
        <w:rPr>
          <w:rFonts w:hint="eastAsia" w:ascii="宋体" w:hAnsi="宋体" w:eastAsia="宋体" w:cs="宋体"/>
          <w:b/>
          <w:color w:val="auto"/>
          <w:sz w:val="24"/>
          <w:highlight w:val="none"/>
        </w:rPr>
      </w:pPr>
      <w:bookmarkStart w:id="30" w:name="_Toc274303249"/>
      <w:bookmarkStart w:id="31" w:name="_Toc368140185"/>
      <w:bookmarkStart w:id="32" w:name="_Toc238878121"/>
      <w:bookmarkStart w:id="33" w:name="_Toc25841878"/>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本章所有</w:t>
      </w:r>
      <w:r>
        <w:rPr>
          <w:rFonts w:hint="eastAsia" w:ascii="宋体" w:hAnsi="宋体" w:eastAsia="宋体" w:cs="宋体"/>
          <w:b/>
          <w:color w:val="auto"/>
          <w:sz w:val="24"/>
          <w:highlight w:val="none"/>
        </w:rPr>
        <w:t>条款为实质性响应条款▲，必须满足，否则作无效标处理）</w:t>
      </w:r>
    </w:p>
    <w:p w14:paraId="0C3979E4">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一、项目目标</w:t>
      </w:r>
    </w:p>
    <w:p w14:paraId="63CC7E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根据《自然资源部 国家林业和草原局关于开展全国森林草原湿地荒漠化普查工作的通知》(自然资发〔2024〕78号)和《浙江省自然资源厅 浙江省林业局关于关于开展全省森林草地湿地普查工作的通知》（浙自然资发〔2024〕4号），以2023年度国土变更调查成果为本底，融合2023年林草资源图，形成普查本底数据。利用最新高分辨率遥感影像，开展不一致图斑认定、全域图斑区划优化，完成生产经营档案、遥感变化图斑成果等专题数据的落图更新。同步开展森林、草地、湿地调查监测及森林督查工作，对图斑属性因子进行调查更新，获取林草湿现状及其变化数据，建立普查数据库，产出</w:t>
      </w:r>
      <w:r>
        <w:rPr>
          <w:rFonts w:hint="eastAsia" w:ascii="宋体" w:hAnsi="宋体" w:cs="宋体"/>
          <w:color w:val="auto"/>
          <w:sz w:val="24"/>
          <w:highlight w:val="none"/>
          <w:lang w:eastAsia="zh-CN"/>
        </w:rPr>
        <w:t>天台</w:t>
      </w:r>
      <w:r>
        <w:rPr>
          <w:rFonts w:hint="eastAsia" w:ascii="宋体" w:hAnsi="宋体" w:cs="宋体"/>
          <w:color w:val="auto"/>
          <w:sz w:val="24"/>
          <w:highlight w:val="none"/>
        </w:rPr>
        <w:t>县森林草地湿地普查成果。</w:t>
      </w:r>
    </w:p>
    <w:p w14:paraId="0B670FB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二、项目内容</w:t>
      </w:r>
    </w:p>
    <w:p w14:paraId="0E3343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地类对接。根据国家下发的2023年国土变更调查二级地类与林草湿调查监测植被覆盖类型不一致图斑，依据《国土空间调查、规划、用途管制用地用海分类指南》的统一标准，按照国土调查以实地现状认定地类原则，逐一核实确认和调查举证，做好与普查相关工作统筹,地类核实确认结果逐级共同审核。不一致图斑地类核实确认结果及时纳入年度国土变更调查成果。</w:t>
      </w:r>
    </w:p>
    <w:p w14:paraId="0802DF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图斑优化。地类对接形成的林地、草地、湿地等范围内的二级地类图斑作为普查基本单元。在国土调查确定的同一个二级地类图斑内，根据林业经营管理需要，基于遥感影像图，结合档案资料等开展图斑界区划优化，完善国有林场等林业经营管理界线，对原有的细碎散乱林地、草地、湿地小班进行调整优化，但不得突破国土调查的二级地类图斑。</w:t>
      </w:r>
    </w:p>
    <w:p w14:paraId="33F863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属性调查。以统一地类对接完成后的年度国土变更调查成果中的二级地类图斑为基础，采取遥感监测、档案更新、补充调查、现地核实等多种方法，摸清林草湿资源数量、质量、结构及其管理等情况，调查并标记可造林绿化的图斑。</w:t>
      </w:r>
    </w:p>
    <w:p w14:paraId="170F8C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林地管理边界确定。按照《自然资源部国家林业和草原局关于以第三次全国国土调查成果为基础明确林地管理边界规范林地管理的通知》(自然资发〔2023〕53号)要求，遵循依法依规、实事求是的原则，稳妥有序推进林地管理边界确定，落实管理属性，规范林地管理。</w:t>
      </w:r>
    </w:p>
    <w:p w14:paraId="28FE20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5.汇总分析。建立普查数据库，开展森林草地湿地植被状况、保护利用状况分析，编制普查报告，制作专题图件，产出森林草地湿地普查成果。</w:t>
      </w:r>
    </w:p>
    <w:p w14:paraId="0BEBD6B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三、提交成果要求</w:t>
      </w:r>
    </w:p>
    <w:p w14:paraId="65C9B4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1.主要包括数据库、统计表、专题图、成果报告等。</w:t>
      </w:r>
    </w:p>
    <w:p w14:paraId="09A196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（1）数据库。包括森林草地湿地图斑数据库、图斑地类对接数据库、林草湿图斑监测数据库等成果数据库，林草湿调查监测、国土造林绿化空间基础数据库。</w:t>
      </w:r>
    </w:p>
    <w:p w14:paraId="7FD9B2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统计表。包括林草湿资源现状及年度变化统计表，以及反映森林草地湿地保护利用状况、林草植被状况等一系列成果统计表。</w:t>
      </w:r>
    </w:p>
    <w:p w14:paraId="51E95B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（3）专题图。包括林草资源分布图、林草生态评价图，以及重点区域专题图等。</w:t>
      </w:r>
    </w:p>
    <w:p w14:paraId="3E27DC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（4）成果报告。林草湿普查报告等。</w:t>
      </w:r>
    </w:p>
    <w:p w14:paraId="751E61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上述成果的纸质版的份数按照采购方要求提供，并提供成果电子版1套（成果报告文本为doc格式，附表为Excel格式，图件为jpg、pdf格式，矢量数据为shape、gdb等格式）。</w:t>
      </w:r>
    </w:p>
    <w:p w14:paraId="5AC1EB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2.项目成果质量验收</w:t>
      </w:r>
    </w:p>
    <w:p w14:paraId="1CD2CF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项目成果必须通过县级自查、市级审查、省级审核和国家级复查四级检查和验收。</w:t>
      </w:r>
    </w:p>
    <w:p w14:paraId="775D60A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四、服务要求</w:t>
      </w:r>
    </w:p>
    <w:p w14:paraId="028380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1.服务响应：未经招标人许可，本项目投入人员不得擅自更换，工作期间，要求在24小时内响应招标单位提出的疑问并及时提交解释说明或修改意见。</w:t>
      </w:r>
    </w:p>
    <w:p w14:paraId="64B38A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2.项目负责人须全过程参与项目及各阶段项目成果的交流、汇报等工作。</w:t>
      </w:r>
    </w:p>
    <w:p w14:paraId="7F600AA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3.中标人须承担与此有关的技术情报和数据资料的保密责任。与本项目有关的资料及数据成果中涉及国家秘密的内容，均要求按照《国家保密法》及相关法律法规执行。</w:t>
      </w:r>
    </w:p>
    <w:p w14:paraId="0A1912EA">
      <w:pPr>
        <w:keepNext w:val="0"/>
        <w:keepLines w:val="0"/>
        <w:pageBreakBefore w:val="0"/>
        <w:widowControl/>
        <w:numPr>
          <w:ilvl w:val="0"/>
          <w:numId w:val="0"/>
        </w:numPr>
        <w:kinsoku/>
        <w:wordWrap/>
        <w:overflowPunct/>
        <w:topLinePunct w:val="0"/>
        <w:autoSpaceDE/>
        <w:autoSpaceDN/>
        <w:bidi w:val="0"/>
        <w:adjustRightInd w:val="0"/>
        <w:spacing w:before="157" w:beforeLines="50" w:after="157" w:afterLines="50" w:line="288"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kern w:val="0"/>
          <w:sz w:val="24"/>
          <w:highlight w:val="none"/>
          <w:lang w:eastAsia="zh-CN"/>
        </w:rPr>
        <w:t>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按有关规定采取严格的作业安全</w:t>
      </w:r>
      <w:r>
        <w:rPr>
          <w:rFonts w:hint="eastAsia" w:ascii="宋体" w:hAnsi="宋体" w:eastAsia="宋体" w:cs="宋体"/>
          <w:color w:val="auto"/>
          <w:kern w:val="0"/>
          <w:sz w:val="24"/>
          <w:highlight w:val="none"/>
          <w:lang w:val="en-US" w:eastAsia="zh-CN"/>
        </w:rPr>
        <w:t>保护</w:t>
      </w:r>
      <w:r>
        <w:rPr>
          <w:rFonts w:hint="eastAsia" w:ascii="宋体" w:hAnsi="宋体" w:eastAsia="宋体" w:cs="宋体"/>
          <w:color w:val="auto"/>
          <w:kern w:val="0"/>
          <w:sz w:val="24"/>
          <w:highlight w:val="none"/>
        </w:rPr>
        <w:t>措施，承担由于自身安全措施不力造成的事故责任和因此发生的费用及后果，中标供应商服务人员的人身安全由中标供应商负责。</w:t>
      </w:r>
    </w:p>
    <w:p w14:paraId="62C4402E">
      <w:pPr>
        <w:keepNext w:val="0"/>
        <w:keepLines w:val="0"/>
        <w:pageBreakBefore w:val="0"/>
        <w:widowControl/>
        <w:numPr>
          <w:ilvl w:val="0"/>
          <w:numId w:val="0"/>
        </w:numPr>
        <w:kinsoku/>
        <w:wordWrap/>
        <w:overflowPunct/>
        <w:topLinePunct w:val="0"/>
        <w:autoSpaceDE/>
        <w:autoSpaceDN/>
        <w:bidi w:val="0"/>
        <w:adjustRightInd w:val="0"/>
        <w:spacing w:before="157" w:beforeLines="50" w:after="157" w:afterLines="50" w:line="288" w:lineRule="auto"/>
        <w:ind w:firstLine="480" w:firstLineChars="200"/>
        <w:textAlignment w:val="auto"/>
        <w:outlineLvl w:val="9"/>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本次项目成果所有权和使用权均属于采购人。中标单位不得以任何借口留存，否则承担由此产生的一切法律和经济责任。未经允许，任何单位和个人不得转让和使用本项目成果。</w:t>
      </w:r>
    </w:p>
    <w:p w14:paraId="7E1C3D65">
      <w:pPr>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验收标准</w:t>
      </w:r>
    </w:p>
    <w:p w14:paraId="02875E66">
      <w:pPr>
        <w:keepNext w:val="0"/>
        <w:keepLines w:val="0"/>
        <w:pageBreakBefore w:val="0"/>
        <w:widowControl/>
        <w:numPr>
          <w:ilvl w:val="0"/>
          <w:numId w:val="0"/>
        </w:numPr>
        <w:kinsoku/>
        <w:wordWrap/>
        <w:overflowPunct/>
        <w:topLinePunct w:val="0"/>
        <w:autoSpaceDE/>
        <w:autoSpaceDN/>
        <w:bidi w:val="0"/>
        <w:adjustRightInd w:val="0"/>
        <w:spacing w:before="157" w:beforeLines="50" w:after="157" w:afterLines="50" w:line="288" w:lineRule="auto"/>
        <w:ind w:firstLine="480" w:firstLineChars="20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按照国家林业和草原局、浙江省林业局有关技术规程、规范规定的要求操作，项目最终成果需通过上级相关部门验收。</w:t>
      </w:r>
    </w:p>
    <w:p w14:paraId="720F34E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、项目进度要求</w:t>
      </w:r>
    </w:p>
    <w:p w14:paraId="0CE3160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月底前提交林草湿普查成果，阶段性成果提交时间节点以国家、省要求为准。</w:t>
      </w:r>
    </w:p>
    <w:p w14:paraId="5D61D15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、商务要求</w:t>
      </w:r>
    </w:p>
    <w:p w14:paraId="469102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1.质保和后期服务</w:t>
      </w:r>
    </w:p>
    <w:p w14:paraId="1FFCC6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1.1中标供应商须在项目成果提交并通过验收后，提供不得少于3个月免费技术服务期；</w:t>
      </w:r>
    </w:p>
    <w:p w14:paraId="2F7225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1.2中标供应商负责对招标人技术人员进行项目成果日常应用的免费培训和指导；</w:t>
      </w:r>
    </w:p>
    <w:p w14:paraId="39394D9D">
      <w:pPr>
        <w:snapToGrid w:val="0"/>
        <w:spacing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1.3中标供应商负责免费对项目成果错误内容进行及时更正。</w:t>
      </w:r>
    </w:p>
    <w:p w14:paraId="37770B02">
      <w:pPr>
        <w:snapToGrid w:val="0"/>
        <w:spacing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1.4 本项目不设置履约保证金。</w:t>
      </w:r>
    </w:p>
    <w:p w14:paraId="4E35584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 xml:space="preserve">、付款方式 </w:t>
      </w:r>
    </w:p>
    <w:p w14:paraId="549719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合同生效及具备实施条件后7个工作日内支付合同金额的40%作为预付款，待项目全部完成提交成果并通过验收后1个月内付至合同价的100%。中标人需提供正式发票。</w:t>
      </w:r>
    </w:p>
    <w:p w14:paraId="1588369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在签订合同时，供应商明确表示无需预付款或者主动要求降低预付款比例的，采购合同可不适用前述规定。采购人在向供应商支付预付款之前，有权要求供应商向采购人提供与预付款金额相对应的担保措施，担保措施可以是银行、保险公司等金融机构出具的预付款保函或其他担保措施。</w:t>
      </w:r>
      <w:r>
        <w:rPr>
          <w:rFonts w:hint="eastAsia" w:ascii="宋体" w:hAnsi="宋体" w:cs="宋体"/>
          <w:color w:val="auto"/>
          <w:sz w:val="24"/>
          <w:highlight w:val="none"/>
          <w:lang w:eastAsia="zh-CN"/>
        </w:rPr>
        <w:t>）</w:t>
      </w:r>
    </w:p>
    <w:p w14:paraId="62B4A779">
      <w:pPr>
        <w:spacing w:line="360" w:lineRule="auto"/>
        <w:ind w:firstLine="480" w:firstLineChars="200"/>
        <w:rPr>
          <w:rFonts w:hint="eastAsia" w:ascii="宋体" w:hAnsi="宋体" w:cs="宋体"/>
          <w:color w:val="auto"/>
          <w:sz w:val="24"/>
          <w:highlight w:val="none"/>
          <w:lang w:eastAsia="zh-CN"/>
        </w:rPr>
      </w:pPr>
    </w:p>
    <w:p w14:paraId="1E2B73B4">
      <w:pPr>
        <w:spacing w:line="360" w:lineRule="auto"/>
        <w:ind w:firstLine="480" w:firstLineChars="200"/>
        <w:rPr>
          <w:rFonts w:hint="eastAsia" w:ascii="宋体" w:hAnsi="宋体" w:cs="宋体"/>
          <w:color w:val="auto"/>
          <w:sz w:val="24"/>
          <w:highlight w:val="none"/>
          <w:lang w:eastAsia="zh-CN"/>
        </w:rPr>
      </w:pPr>
    </w:p>
    <w:p w14:paraId="1C50491C">
      <w:pPr>
        <w:spacing w:line="360" w:lineRule="auto"/>
        <w:ind w:firstLine="480" w:firstLineChars="200"/>
        <w:rPr>
          <w:rFonts w:hint="eastAsia" w:ascii="宋体" w:hAnsi="宋体" w:cs="宋体"/>
          <w:color w:val="auto"/>
          <w:sz w:val="24"/>
          <w:highlight w:val="none"/>
          <w:lang w:eastAsia="zh-CN"/>
        </w:rPr>
      </w:pPr>
    </w:p>
    <w:p w14:paraId="39F346A8">
      <w:pPr>
        <w:spacing w:line="360" w:lineRule="auto"/>
        <w:ind w:firstLine="480" w:firstLineChars="200"/>
        <w:rPr>
          <w:rFonts w:hint="eastAsia" w:ascii="宋体" w:hAnsi="宋体" w:cs="宋体"/>
          <w:color w:val="auto"/>
          <w:sz w:val="24"/>
          <w:highlight w:val="none"/>
          <w:lang w:eastAsia="zh-CN"/>
        </w:rPr>
      </w:pPr>
    </w:p>
    <w:p w14:paraId="3D5BC606">
      <w:pPr>
        <w:spacing w:line="360" w:lineRule="auto"/>
        <w:ind w:firstLine="480" w:firstLineChars="200"/>
        <w:rPr>
          <w:rFonts w:hint="eastAsia" w:ascii="宋体" w:hAnsi="宋体" w:cs="宋体"/>
          <w:color w:val="auto"/>
          <w:sz w:val="24"/>
          <w:highlight w:val="none"/>
          <w:lang w:eastAsia="zh-CN"/>
        </w:rPr>
      </w:pPr>
    </w:p>
    <w:p w14:paraId="5FD5A976">
      <w:pPr>
        <w:spacing w:line="360" w:lineRule="auto"/>
        <w:ind w:firstLine="480" w:firstLineChars="200"/>
        <w:rPr>
          <w:rFonts w:hint="eastAsia" w:ascii="宋体" w:hAnsi="宋体" w:cs="宋体"/>
          <w:color w:val="auto"/>
          <w:sz w:val="24"/>
          <w:highlight w:val="none"/>
          <w:lang w:eastAsia="zh-CN"/>
        </w:rPr>
      </w:pPr>
    </w:p>
    <w:p w14:paraId="02DC724E">
      <w:pPr>
        <w:spacing w:line="360" w:lineRule="auto"/>
        <w:ind w:firstLine="480" w:firstLineChars="200"/>
        <w:rPr>
          <w:rFonts w:hint="eastAsia" w:ascii="宋体" w:hAnsi="宋体" w:cs="宋体"/>
          <w:color w:val="auto"/>
          <w:sz w:val="24"/>
          <w:highlight w:val="none"/>
          <w:lang w:eastAsia="zh-CN"/>
        </w:rPr>
      </w:pPr>
    </w:p>
    <w:p w14:paraId="3BFB3B54">
      <w:pPr>
        <w:spacing w:line="360" w:lineRule="auto"/>
        <w:ind w:firstLine="480" w:firstLineChars="200"/>
        <w:rPr>
          <w:rFonts w:hint="eastAsia" w:ascii="宋体" w:hAnsi="宋体" w:cs="宋体"/>
          <w:color w:val="auto"/>
          <w:sz w:val="24"/>
          <w:highlight w:val="none"/>
          <w:lang w:eastAsia="zh-CN"/>
        </w:rPr>
      </w:pPr>
    </w:p>
    <w:p w14:paraId="42359D8F">
      <w:pPr>
        <w:spacing w:line="360" w:lineRule="auto"/>
        <w:ind w:firstLine="480" w:firstLineChars="200"/>
        <w:rPr>
          <w:rFonts w:hint="eastAsia" w:ascii="宋体" w:hAnsi="宋体" w:cs="宋体"/>
          <w:color w:val="auto"/>
          <w:sz w:val="24"/>
          <w:highlight w:val="none"/>
          <w:lang w:eastAsia="zh-CN"/>
        </w:rPr>
      </w:pPr>
    </w:p>
    <w:p w14:paraId="012F6938">
      <w:pPr>
        <w:spacing w:line="360" w:lineRule="auto"/>
        <w:ind w:firstLine="480" w:firstLineChars="200"/>
        <w:rPr>
          <w:rFonts w:hint="eastAsia" w:ascii="宋体" w:hAnsi="宋体" w:cs="宋体"/>
          <w:color w:val="auto"/>
          <w:sz w:val="24"/>
          <w:highlight w:val="none"/>
          <w:lang w:eastAsia="zh-CN"/>
        </w:rPr>
      </w:pPr>
    </w:p>
    <w:p w14:paraId="7BE9E308">
      <w:pPr>
        <w:spacing w:line="360" w:lineRule="auto"/>
        <w:ind w:firstLine="480" w:firstLineChars="200"/>
        <w:rPr>
          <w:rFonts w:hint="eastAsia" w:ascii="宋体" w:hAnsi="宋体" w:cs="宋体"/>
          <w:color w:val="auto"/>
          <w:sz w:val="24"/>
          <w:highlight w:val="none"/>
          <w:lang w:eastAsia="zh-CN"/>
        </w:rPr>
      </w:pPr>
    </w:p>
    <w:p w14:paraId="17E80503">
      <w:pPr>
        <w:spacing w:line="360" w:lineRule="auto"/>
        <w:ind w:firstLine="480" w:firstLineChars="200"/>
        <w:rPr>
          <w:rFonts w:hint="eastAsia" w:ascii="宋体" w:hAnsi="宋体" w:cs="宋体"/>
          <w:color w:val="auto"/>
          <w:sz w:val="24"/>
          <w:highlight w:val="none"/>
          <w:lang w:eastAsia="zh-CN"/>
        </w:rPr>
      </w:pPr>
    </w:p>
    <w:p w14:paraId="275EE6B6">
      <w:pPr>
        <w:spacing w:line="360" w:lineRule="auto"/>
        <w:ind w:firstLine="480" w:firstLineChars="200"/>
        <w:rPr>
          <w:rFonts w:hint="eastAsia" w:ascii="宋体" w:hAnsi="宋体" w:cs="宋体"/>
          <w:color w:val="auto"/>
          <w:sz w:val="24"/>
          <w:highlight w:val="none"/>
          <w:lang w:eastAsia="zh-CN"/>
        </w:rPr>
      </w:pPr>
    </w:p>
    <w:p w14:paraId="01DA9E30">
      <w:pPr>
        <w:spacing w:line="360" w:lineRule="auto"/>
        <w:ind w:firstLine="480" w:firstLineChars="200"/>
        <w:rPr>
          <w:rFonts w:hint="eastAsia" w:ascii="宋体" w:hAnsi="宋体" w:cs="宋体"/>
          <w:color w:val="auto"/>
          <w:sz w:val="24"/>
          <w:highlight w:val="none"/>
          <w:lang w:eastAsia="zh-CN"/>
        </w:rPr>
      </w:pPr>
    </w:p>
    <w:bookmarkEnd w:id="30"/>
    <w:bookmarkEnd w:id="31"/>
    <w:bookmarkEnd w:id="32"/>
    <w:bookmarkEnd w:id="33"/>
    <w:p w14:paraId="03EB446C">
      <w:pPr>
        <w:keepNext w:val="0"/>
        <w:keepLines w:val="0"/>
        <w:pageBreakBefore w:val="0"/>
        <w:widowControl w:val="0"/>
        <w:numPr>
          <w:ilvl w:val="0"/>
          <w:numId w:val="13"/>
        </w:numPr>
        <w:kinsoku/>
        <w:wordWrap/>
        <w:overflowPunct/>
        <w:topLinePunct w:val="0"/>
        <w:autoSpaceDE/>
        <w:autoSpaceDN/>
        <w:bidi w:val="0"/>
        <w:adjustRightInd/>
        <w:snapToGrid/>
        <w:spacing w:before="625" w:beforeLines="200" w:line="400" w:lineRule="exact"/>
        <w:jc w:val="center"/>
        <w:textAlignment w:val="auto"/>
        <w:outlineLvl w:val="0"/>
        <w:rPr>
          <w:rFonts w:hint="eastAsia" w:ascii="宋体" w:hAnsi="宋体" w:eastAsia="宋体" w:cs="宋体"/>
          <w:b/>
          <w:color w:val="auto"/>
          <w:sz w:val="36"/>
          <w:szCs w:val="44"/>
          <w:highlight w:val="none"/>
        </w:rPr>
      </w:pPr>
      <w:bookmarkStart w:id="34" w:name="_Toc16642"/>
      <w:r>
        <w:rPr>
          <w:rFonts w:hint="eastAsia" w:ascii="宋体" w:hAnsi="宋体" w:eastAsia="宋体" w:cs="宋体"/>
          <w:b/>
          <w:color w:val="auto"/>
          <w:sz w:val="36"/>
          <w:szCs w:val="44"/>
          <w:highlight w:val="none"/>
        </w:rPr>
        <w:t>合同主要条款</w:t>
      </w:r>
      <w:bookmarkEnd w:id="34"/>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351E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280" w:type="dxa"/>
            <w:noWrap w:val="0"/>
            <w:vAlign w:val="top"/>
          </w:tcPr>
          <w:p w14:paraId="772B27F4">
            <w:pPr>
              <w:snapToGrid w:val="0"/>
              <w:spacing w:before="120" w:beforeLines="50" w:after="120" w:afterLines="50" w:line="400" w:lineRule="exact"/>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注释：本格式条款仅作为双方签订合同的参考，为阐明各方的权利和义务，经协商后可相应修改，但不得与采购文件、</w:t>
            </w:r>
            <w:r>
              <w:rPr>
                <w:rFonts w:hint="eastAsia" w:ascii="宋体" w:hAnsi="宋体" w:eastAsia="宋体" w:cs="宋体"/>
                <w:bCs/>
                <w:snapToGrid w:val="0"/>
                <w:color w:val="auto"/>
                <w:kern w:val="0"/>
                <w:sz w:val="24"/>
                <w:highlight w:val="none"/>
                <w:lang w:val="en-US" w:eastAsia="zh-CN"/>
              </w:rPr>
              <w:t>投标</w:t>
            </w:r>
            <w:r>
              <w:rPr>
                <w:rFonts w:hint="eastAsia" w:ascii="宋体" w:hAnsi="宋体" w:eastAsia="宋体" w:cs="宋体"/>
                <w:bCs/>
                <w:snapToGrid w:val="0"/>
                <w:color w:val="auto"/>
                <w:kern w:val="0"/>
                <w:sz w:val="24"/>
                <w:highlight w:val="none"/>
              </w:rPr>
              <w:t>文件的实质性内容相背离。</w:t>
            </w:r>
          </w:p>
        </w:tc>
      </w:tr>
    </w:tbl>
    <w:p w14:paraId="1442D02A">
      <w:pPr>
        <w:pStyle w:val="12"/>
        <w:rPr>
          <w:rFonts w:hint="eastAsia" w:ascii="宋体" w:hAnsi="宋体" w:eastAsia="宋体" w:cs="宋体"/>
          <w:color w:val="auto"/>
          <w:highlight w:val="none"/>
        </w:rPr>
      </w:pPr>
    </w:p>
    <w:p w14:paraId="5575424D">
      <w:pPr>
        <w:tabs>
          <w:tab w:val="left" w:pos="3112"/>
        </w:tabs>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合同登记编号：</w:t>
      </w:r>
    </w:p>
    <w:p w14:paraId="2E01A963">
      <w:pPr>
        <w:jc w:val="left"/>
        <w:rPr>
          <w:rFonts w:hint="eastAsia" w:ascii="宋体" w:hAnsi="宋体" w:eastAsia="宋体" w:cs="宋体"/>
          <w:color w:val="auto"/>
          <w:highlight w:val="none"/>
        </w:rPr>
      </w:pPr>
    </w:p>
    <w:p w14:paraId="321029E6">
      <w:pPr>
        <w:jc w:val="left"/>
        <w:rPr>
          <w:rFonts w:hint="eastAsia" w:ascii="宋体" w:hAnsi="宋体" w:eastAsia="宋体" w:cs="宋体"/>
          <w:color w:val="auto"/>
          <w:highlight w:val="none"/>
        </w:rPr>
      </w:pPr>
    </w:p>
    <w:p w14:paraId="04EEE43D">
      <w:pPr>
        <w:pStyle w:val="41"/>
        <w:rPr>
          <w:rFonts w:hint="eastAsia" w:ascii="宋体" w:hAnsi="宋体" w:eastAsia="宋体" w:cs="宋体"/>
          <w:color w:val="auto"/>
          <w:highlight w:val="none"/>
        </w:rPr>
      </w:pPr>
    </w:p>
    <w:p w14:paraId="744DFEF3">
      <w:pPr>
        <w:pStyle w:val="12"/>
        <w:rPr>
          <w:rFonts w:hint="eastAsia" w:ascii="宋体" w:hAnsi="宋体" w:eastAsia="宋体" w:cs="宋体"/>
          <w:color w:val="auto"/>
          <w:highlight w:val="none"/>
        </w:rPr>
      </w:pPr>
    </w:p>
    <w:p w14:paraId="65C90AC9">
      <w:pPr>
        <w:rPr>
          <w:rFonts w:hint="eastAsia" w:ascii="宋体" w:hAnsi="宋体" w:eastAsia="宋体" w:cs="宋体"/>
          <w:color w:val="auto"/>
          <w:highlight w:val="none"/>
        </w:rPr>
      </w:pPr>
    </w:p>
    <w:p w14:paraId="3215F2C0">
      <w:pPr>
        <w:pStyle w:val="12"/>
        <w:ind w:firstLine="0"/>
        <w:rPr>
          <w:rFonts w:hint="eastAsia" w:ascii="宋体" w:hAnsi="宋体" w:eastAsia="宋体" w:cs="宋体"/>
          <w:color w:val="auto"/>
          <w:highlight w:val="none"/>
        </w:rPr>
      </w:pPr>
    </w:p>
    <w:p w14:paraId="489C4D0D">
      <w:pPr>
        <w:jc w:val="left"/>
        <w:rPr>
          <w:rFonts w:hint="eastAsia" w:ascii="宋体" w:hAnsi="宋体" w:eastAsia="宋体" w:cs="宋体"/>
          <w:color w:val="auto"/>
          <w:highlight w:val="none"/>
        </w:rPr>
      </w:pPr>
    </w:p>
    <w:p w14:paraId="39BFCBA9">
      <w:pPr>
        <w:jc w:val="center"/>
        <w:rPr>
          <w:rFonts w:hint="eastAsia" w:ascii="宋体" w:hAnsi="宋体" w:eastAsia="宋体" w:cs="宋体"/>
          <w:b/>
          <w:bCs/>
          <w:color w:val="auto"/>
          <w:spacing w:val="60"/>
          <w:sz w:val="44"/>
          <w:szCs w:val="44"/>
          <w:highlight w:val="none"/>
        </w:rPr>
      </w:pPr>
      <w:r>
        <w:rPr>
          <w:rFonts w:hint="eastAsia" w:ascii="宋体" w:hAnsi="宋体" w:eastAsia="宋体" w:cs="宋体"/>
          <w:b/>
          <w:bCs/>
          <w:color w:val="auto"/>
          <w:spacing w:val="60"/>
          <w:sz w:val="44"/>
          <w:szCs w:val="44"/>
          <w:highlight w:val="none"/>
        </w:rPr>
        <w:t>技 术 服 务 合 同 书</w:t>
      </w:r>
    </w:p>
    <w:p w14:paraId="4CF4CC43">
      <w:pPr>
        <w:jc w:val="center"/>
        <w:outlineLvl w:val="0"/>
        <w:rPr>
          <w:rFonts w:hint="eastAsia" w:ascii="宋体" w:hAnsi="宋体" w:eastAsia="宋体" w:cs="宋体"/>
          <w:color w:val="auto"/>
          <w:sz w:val="30"/>
          <w:highlight w:val="none"/>
        </w:rPr>
      </w:pPr>
    </w:p>
    <w:p w14:paraId="34C7614E">
      <w:pPr>
        <w:jc w:val="left"/>
        <w:rPr>
          <w:rFonts w:hint="eastAsia" w:ascii="宋体" w:hAnsi="宋体" w:eastAsia="宋体" w:cs="宋体"/>
          <w:color w:val="auto"/>
          <w:highlight w:val="none"/>
        </w:rPr>
      </w:pPr>
    </w:p>
    <w:p w14:paraId="6E8B72CF">
      <w:pPr>
        <w:pStyle w:val="41"/>
        <w:rPr>
          <w:rFonts w:hint="eastAsia" w:ascii="宋体" w:hAnsi="宋体" w:eastAsia="宋体" w:cs="宋体"/>
          <w:color w:val="auto"/>
          <w:highlight w:val="none"/>
        </w:rPr>
      </w:pPr>
    </w:p>
    <w:p w14:paraId="31EC88F9">
      <w:pPr>
        <w:pStyle w:val="15"/>
        <w:rPr>
          <w:rFonts w:hint="eastAsia" w:ascii="宋体" w:hAnsi="宋体" w:eastAsia="宋体" w:cs="宋体"/>
          <w:color w:val="auto"/>
          <w:highlight w:val="none"/>
        </w:rPr>
      </w:pPr>
    </w:p>
    <w:p w14:paraId="0521C943">
      <w:pPr>
        <w:spacing w:before="120" w:beforeLines="50" w:line="480" w:lineRule="auto"/>
        <w:ind w:left="1946" w:leftChars="284" w:hanging="1350" w:hangingChars="450"/>
        <w:jc w:val="left"/>
        <w:rPr>
          <w:rFonts w:hint="eastAsia" w:ascii="宋体" w:hAnsi="宋体" w:eastAsia="宋体" w:cs="宋体"/>
          <w:color w:val="auto"/>
          <w:spacing w:val="-20"/>
          <w:sz w:val="30"/>
          <w:szCs w:val="30"/>
          <w:highlight w:val="none"/>
          <w:u w:val="singl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pacing w:val="-20"/>
          <w:sz w:val="30"/>
          <w:szCs w:val="30"/>
          <w:highlight w:val="none"/>
          <w:u w:val="single"/>
          <w:lang w:eastAsia="zh-CN"/>
        </w:rPr>
        <w:t>天台县森林草地湿地普查工作</w:t>
      </w:r>
    </w:p>
    <w:p w14:paraId="2BA5F526">
      <w:pPr>
        <w:spacing w:line="480" w:lineRule="auto"/>
        <w:jc w:val="left"/>
        <w:rPr>
          <w:rFonts w:hint="eastAsia" w:ascii="宋体" w:hAnsi="宋体" w:eastAsia="宋体" w:cs="宋体"/>
          <w:color w:val="auto"/>
          <w:sz w:val="30"/>
          <w:highlight w:val="none"/>
        </w:rPr>
      </w:pPr>
    </w:p>
    <w:p w14:paraId="130BFEF1">
      <w:pPr>
        <w:spacing w:line="480" w:lineRule="auto"/>
        <w:ind w:firstLine="600" w:firstLineChars="200"/>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委 托 方：</w:t>
      </w:r>
      <w:r>
        <w:rPr>
          <w:rFonts w:hint="eastAsia" w:ascii="宋体" w:hAnsi="宋体" w:eastAsia="宋体" w:cs="宋体"/>
          <w:color w:val="auto"/>
          <w:spacing w:val="-20"/>
          <w:sz w:val="30"/>
          <w:szCs w:val="30"/>
          <w:highlight w:val="none"/>
          <w:u w:val="single"/>
          <w:lang w:eastAsia="zh-CN"/>
        </w:rPr>
        <w:t>天台县自然资源和规划局</w:t>
      </w:r>
      <w:r>
        <w:rPr>
          <w:rFonts w:hint="eastAsia" w:ascii="宋体" w:hAnsi="宋体" w:eastAsia="宋体" w:cs="宋体"/>
          <w:color w:val="auto"/>
          <w:spacing w:val="-20"/>
          <w:sz w:val="30"/>
          <w:szCs w:val="30"/>
          <w:highlight w:val="none"/>
          <w:u w:val="single"/>
        </w:rPr>
        <w:t xml:space="preserve"> </w:t>
      </w:r>
    </w:p>
    <w:p w14:paraId="55323D67">
      <w:pPr>
        <w:spacing w:line="480" w:lineRule="auto"/>
        <w:ind w:firstLine="600" w:firstLineChars="200"/>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（甲方）</w:t>
      </w:r>
    </w:p>
    <w:p w14:paraId="5E6EF214">
      <w:pPr>
        <w:spacing w:line="480" w:lineRule="auto"/>
        <w:ind w:firstLine="600" w:firstLineChars="200"/>
        <w:jc w:val="left"/>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承 担 方：</w:t>
      </w:r>
      <w:r>
        <w:rPr>
          <w:rFonts w:hint="eastAsia" w:ascii="宋体" w:hAnsi="宋体" w:eastAsia="宋体" w:cs="宋体"/>
          <w:color w:val="auto"/>
          <w:spacing w:val="-20"/>
          <w:sz w:val="30"/>
          <w:szCs w:val="30"/>
          <w:highlight w:val="none"/>
          <w:u w:val="single"/>
        </w:rPr>
        <w:t xml:space="preserve">                           </w:t>
      </w:r>
    </w:p>
    <w:p w14:paraId="2D35E61C">
      <w:pPr>
        <w:spacing w:line="480" w:lineRule="auto"/>
        <w:ind w:firstLine="600" w:firstLineChars="200"/>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（乙方）</w:t>
      </w:r>
    </w:p>
    <w:p w14:paraId="76DFD1A6">
      <w:pPr>
        <w:spacing w:line="360" w:lineRule="auto"/>
        <w:jc w:val="left"/>
        <w:rPr>
          <w:rFonts w:hint="eastAsia" w:ascii="宋体" w:hAnsi="宋体" w:eastAsia="宋体" w:cs="宋体"/>
          <w:color w:val="auto"/>
          <w:highlight w:val="none"/>
        </w:rPr>
      </w:pPr>
    </w:p>
    <w:p w14:paraId="4082DEF0">
      <w:pPr>
        <w:rPr>
          <w:rFonts w:hint="eastAsia" w:ascii="宋体" w:hAnsi="宋体" w:eastAsia="宋体" w:cs="宋体"/>
          <w:color w:val="auto"/>
          <w:highlight w:val="none"/>
        </w:rPr>
      </w:pPr>
    </w:p>
    <w:p w14:paraId="50A03DFB">
      <w:pPr>
        <w:pStyle w:val="12"/>
        <w:rPr>
          <w:rFonts w:hint="eastAsia" w:ascii="宋体" w:hAnsi="宋体" w:eastAsia="宋体" w:cs="宋体"/>
          <w:color w:val="auto"/>
          <w:highlight w:val="none"/>
        </w:rPr>
      </w:pPr>
    </w:p>
    <w:p w14:paraId="34C7F10C">
      <w:pPr>
        <w:rPr>
          <w:rFonts w:hint="eastAsia" w:ascii="宋体" w:hAnsi="宋体" w:eastAsia="宋体" w:cs="宋体"/>
          <w:color w:val="auto"/>
          <w:highlight w:val="none"/>
        </w:rPr>
      </w:pPr>
    </w:p>
    <w:p w14:paraId="4232BCF0">
      <w:pPr>
        <w:pStyle w:val="12"/>
        <w:rPr>
          <w:rFonts w:hint="eastAsia" w:ascii="宋体" w:hAnsi="宋体" w:eastAsia="宋体" w:cs="宋体"/>
          <w:color w:val="auto"/>
          <w:highlight w:val="none"/>
        </w:rPr>
      </w:pPr>
    </w:p>
    <w:p w14:paraId="7B4DF426">
      <w:pPr>
        <w:rPr>
          <w:rFonts w:hint="eastAsia" w:ascii="宋体" w:hAnsi="宋体" w:eastAsia="宋体" w:cs="宋体"/>
          <w:color w:val="auto"/>
          <w:highlight w:val="none"/>
        </w:rPr>
      </w:pPr>
    </w:p>
    <w:p w14:paraId="4E5E0CB6">
      <w:pPr>
        <w:pStyle w:val="30"/>
        <w:rPr>
          <w:rFonts w:hint="eastAsia" w:ascii="宋体" w:hAnsi="宋体" w:eastAsia="宋体" w:cs="宋体"/>
          <w:color w:val="auto"/>
          <w:highlight w:val="none"/>
        </w:rPr>
      </w:pPr>
    </w:p>
    <w:p w14:paraId="3CC05CE3">
      <w:pPr>
        <w:pStyle w:val="16"/>
        <w:rPr>
          <w:rFonts w:hint="eastAsia" w:ascii="宋体" w:hAnsi="宋体" w:eastAsia="宋体" w:cs="宋体"/>
          <w:color w:val="auto"/>
          <w:highlight w:val="none"/>
        </w:rPr>
      </w:pPr>
    </w:p>
    <w:p w14:paraId="232097C7">
      <w:pPr>
        <w:pStyle w:val="12"/>
        <w:rPr>
          <w:rFonts w:hint="eastAsia" w:ascii="宋体" w:hAnsi="宋体" w:eastAsia="宋体" w:cs="宋体"/>
          <w:color w:val="auto"/>
          <w:highlight w:val="none"/>
        </w:rPr>
      </w:pPr>
    </w:p>
    <w:p w14:paraId="26BC94B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82" w:leftChars="39"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根据公开招标结果及《中华人民共和国民法典》的规定，</w:t>
      </w:r>
      <w:r>
        <w:rPr>
          <w:rFonts w:hint="eastAsia" w:ascii="宋体" w:hAnsi="宋体" w:eastAsia="宋体" w:cs="宋体"/>
          <w:color w:val="auto"/>
          <w:sz w:val="24"/>
          <w:highlight w:val="none"/>
          <w:lang w:val="en-US" w:eastAsia="zh-CN"/>
        </w:rPr>
        <w:t>甲乙</w:t>
      </w:r>
      <w:r>
        <w:rPr>
          <w:rFonts w:hint="eastAsia" w:ascii="宋体" w:hAnsi="宋体" w:eastAsia="宋体" w:cs="宋体"/>
          <w:color w:val="auto"/>
          <w:sz w:val="24"/>
          <w:highlight w:val="none"/>
        </w:rPr>
        <w:t>双方就</w:t>
      </w:r>
      <w:r>
        <w:rPr>
          <w:rFonts w:hint="eastAsia" w:ascii="宋体" w:hAnsi="宋体" w:eastAsia="宋体" w:cs="宋体"/>
          <w:color w:val="auto"/>
          <w:sz w:val="24"/>
          <w:highlight w:val="none"/>
          <w:u w:val="single"/>
          <w:lang w:eastAsia="zh-CN"/>
        </w:rPr>
        <w:t>天台县森林草地湿地普查工作</w:t>
      </w:r>
      <w:r>
        <w:rPr>
          <w:rFonts w:hint="eastAsia" w:ascii="宋体" w:hAnsi="宋体" w:eastAsia="宋体" w:cs="宋体"/>
          <w:color w:val="auto"/>
          <w:sz w:val="24"/>
          <w:highlight w:val="none"/>
        </w:rPr>
        <w:t>的技术咨询，经协商一致，签订本合同。</w:t>
      </w:r>
    </w:p>
    <w:p w14:paraId="283E680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一、服务内容</w:t>
      </w:r>
    </w:p>
    <w:p w14:paraId="7DFF166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利用最新高分辨率遥感影像，开展不一致图斑认定、全域图斑区划优化，完成生产经营档案、遥感变化图斑成果等专题数据的落图更新。同步开展森林、草地、湿地调查监测及森林督查工作，对图斑属性因子进行调查更新，获取林草湿现状及其变化数据，建立普查数据库，产出天台县森林草地湿地普查成果。</w:t>
      </w:r>
    </w:p>
    <w:p w14:paraId="5A41C6E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二、合同金额</w:t>
      </w:r>
    </w:p>
    <w:p w14:paraId="5929DDE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本合同总金额为人民币（大写）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lang w:eastAsia="zh-CN"/>
        </w:rPr>
        <w:t>。</w:t>
      </w:r>
    </w:p>
    <w:p w14:paraId="7FBD422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eastAsia="zh-CN"/>
        </w:rPr>
        <w:t>本合同价款包括市场调研、数据整理、外业调查、资料费、成果验收费、交通费、成果印制费、成果维护费、售后服务费、差旅费、利润、税费等配合业主通过有关政府部门审批的相关服务等全部项目的费用及工作所发生的一切应有费用。</w:t>
      </w:r>
    </w:p>
    <w:p w14:paraId="63372C2B">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三、技术资料</w:t>
      </w:r>
    </w:p>
    <w:p w14:paraId="060194B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1.乙方应按招标文件规定的时间向甲方提供有关技术资料。</w:t>
      </w:r>
    </w:p>
    <w:p w14:paraId="60F799D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C6396B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四、知识产权</w:t>
      </w:r>
    </w:p>
    <w:p w14:paraId="370427F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1.乙方保证所提供的服务或其任何一部分组成均不侵犯任何第三方的知识产权。因乙方服务的知识产权引起的法律责任全部由乙方承担。</w:t>
      </w:r>
    </w:p>
    <w:p w14:paraId="6BB34B2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2.本项目所有成果的版权属甲方所有，乙方不得以任何形式向第三方提供，否则，按国家法律和有关规定追究乙方的一切责任。</w:t>
      </w:r>
    </w:p>
    <w:p w14:paraId="14FF09A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3.本项目作业过程中提供的或涉及的所有数据属甲方拥有，乙方无权在技术要求规定之外自行处置数据，不得自行删除、复制、调整完善、转移数据，不得以任何形式向第三方提供。</w:t>
      </w:r>
    </w:p>
    <w:p w14:paraId="5020569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五、履约保证金</w:t>
      </w:r>
    </w:p>
    <w:p w14:paraId="022B9F2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1.乙方应向甲方指定的账户缴纳合同总价</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lang w:val="en-US" w:eastAsia="zh-CN"/>
        </w:rPr>
        <w:t>%的履约保证金。履约保证金的交付方式：网银、支票、汇票、本票或者金融机构、担保机构出具的保函等非现金方式。</w:t>
      </w:r>
    </w:p>
    <w:p w14:paraId="3279FF0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2.履约保证金在服务期满，确认乙方无违约行为后30天内无息退还。</w:t>
      </w:r>
    </w:p>
    <w:p w14:paraId="3DD29A1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六、转包或分包</w:t>
      </w:r>
    </w:p>
    <w:p w14:paraId="56358F0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本合同范围的服务，应由乙方直接完成，不得转让给任何第三方</w:t>
      </w:r>
      <w:r>
        <w:rPr>
          <w:rFonts w:hint="eastAsia" w:ascii="宋体" w:hAnsi="宋体" w:eastAsia="宋体" w:cs="宋体"/>
          <w:color w:val="auto"/>
          <w:sz w:val="24"/>
          <w:szCs w:val="24"/>
          <w:highlight w:val="none"/>
          <w:lang w:val="en-US" w:eastAsia="zh-CN"/>
        </w:rPr>
        <w:t>；</w:t>
      </w:r>
    </w:p>
    <w:p w14:paraId="09D7454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1C7FA21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3.如有转让和未经甲方同意的分包行为，甲方有权解除合同，没收履约保证金并追究乙方的违约责任。</w:t>
      </w:r>
    </w:p>
    <w:p w14:paraId="7153A32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七、服务质量保证期(选用)</w:t>
      </w:r>
    </w:p>
    <w:p w14:paraId="002A385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服务质量保证期</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年。（自验收合格之日起计）</w:t>
      </w:r>
    </w:p>
    <w:p w14:paraId="12A1230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八、合同履行时间、履行方式及履行地点</w:t>
      </w:r>
    </w:p>
    <w:p w14:paraId="32A9506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1.履行时间：于2025年05月底前完成并通过验收。（具体时间以采购人要求为准） </w:t>
      </w:r>
    </w:p>
    <w:p w14:paraId="086C78C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2.履行方式：</w:t>
      </w:r>
    </w:p>
    <w:p w14:paraId="6EF45AD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3.履行地点：</w:t>
      </w:r>
    </w:p>
    <w:p w14:paraId="7063EDC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九、款项支付</w:t>
      </w:r>
    </w:p>
    <w:p w14:paraId="4387CA0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合同生效及具备实施条件后7个工作日内支付合同金额的40%作为预付款，待项目全部完成提交成果并通过验收后1个月内付至合同价的100%。中标人需提供正式发票。</w:t>
      </w:r>
    </w:p>
    <w:p w14:paraId="0AFBD5E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十、税费</w:t>
      </w:r>
    </w:p>
    <w:p w14:paraId="2FE17DF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本合同执行中相关的一切税费均由乙方负担。</w:t>
      </w:r>
    </w:p>
    <w:p w14:paraId="23BD92A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十一、质量保证及后续服务</w:t>
      </w:r>
    </w:p>
    <w:p w14:paraId="2861E4C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1.乙方应按招标文件规定向甲方提供服务。</w:t>
      </w:r>
    </w:p>
    <w:p w14:paraId="37F45570">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乙方提供的服务成果验收不合格的，或在服务期内出现问题，乙方应负责免费提供后续服务。对达不到服务要求的，根据实际情况，甲方有权自行选择以下办法处理：</w:t>
      </w:r>
    </w:p>
    <w:p w14:paraId="5DA85DA0">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重做：由乙方承担所发生的全部费用，并承担所有损失。</w:t>
      </w:r>
    </w:p>
    <w:p w14:paraId="09A4654C">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（2）贬值处理：由甲乙双方合议定价。</w:t>
      </w:r>
    </w:p>
    <w:p w14:paraId="2521B4BE">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解除合同：甲方拒付（或要求乙方退还）合同价款。</w:t>
      </w:r>
    </w:p>
    <w:p w14:paraId="7BD4581F">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在服务期限</w:t>
      </w:r>
      <w:r>
        <w:rPr>
          <w:rFonts w:hint="eastAsia" w:ascii="宋体" w:hAnsi="宋体" w:eastAsia="宋体" w:cs="宋体"/>
          <w:bCs/>
          <w:color w:val="auto"/>
          <w:kern w:val="0"/>
          <w:sz w:val="24"/>
          <w:highlight w:val="none"/>
        </w:rPr>
        <w:t>内，如遇特殊情况需要提供服务的，</w:t>
      </w:r>
      <w:r>
        <w:rPr>
          <w:rFonts w:hint="eastAsia" w:ascii="宋体" w:hAnsi="宋体" w:eastAsia="宋体" w:cs="宋体"/>
          <w:color w:val="auto"/>
          <w:sz w:val="24"/>
          <w:szCs w:val="24"/>
          <w:highlight w:val="none"/>
        </w:rPr>
        <w:t>乙方接到甲方通知后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小时内到达甲方现场。</w:t>
      </w:r>
    </w:p>
    <w:p w14:paraId="756FFA83">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4.在服务质量保证期内，乙方应对出现的质量及安全问题负责处理解决并承担一切费用。</w:t>
      </w:r>
    </w:p>
    <w:p w14:paraId="06A3F6A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十二、验收标准</w:t>
      </w:r>
    </w:p>
    <w:p w14:paraId="7903C0F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按照国家林业和草原局、浙江省林业局有关技术规程、规范规定的要求操作，项目最终成果需通过上级相关部门验收。</w:t>
      </w:r>
    </w:p>
    <w:p w14:paraId="790B73D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十三、违约责任</w:t>
      </w:r>
    </w:p>
    <w:p w14:paraId="30AA86B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1.甲方无正当理由拒收接受服务的，甲方向乙方偿付合同款项百分之五作为违约金。</w:t>
      </w:r>
    </w:p>
    <w:p w14:paraId="5A6FE1C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2.甲方无故逾期验收和办理款项支付手续的,甲方应按逾期付款总额每日万分之五向乙方支付违约金。</w:t>
      </w:r>
    </w:p>
    <w:p w14:paraId="52A7457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998695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十四、不可抗力事件处理</w:t>
      </w:r>
    </w:p>
    <w:p w14:paraId="0164317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1.在合同有效期内，任何一方因不可抗力事件导致不能履行合同，则合同履行期可延长，其延长期与不可抗力影响期相同。</w:t>
      </w:r>
    </w:p>
    <w:p w14:paraId="7975E4C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2.不可抗力事件发生后，应立即通知对方，并寄送有关权威机构出具的证明。</w:t>
      </w:r>
    </w:p>
    <w:p w14:paraId="51584D0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3.不可抗力事件延续一百二十天以上，双方应通过友好协商，确定是否继续履行合同。</w:t>
      </w:r>
    </w:p>
    <w:p w14:paraId="2FB2484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十五、诉讼</w:t>
      </w:r>
    </w:p>
    <w:p w14:paraId="5FF0F23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双方在执行合同中所发生的一切争议，应通过协商解决。如协商不成，可向甲方所在地法院起诉。       </w:t>
      </w:r>
    </w:p>
    <w:p w14:paraId="1551646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十六、合同生效及其它</w:t>
      </w:r>
    </w:p>
    <w:p w14:paraId="429753C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1.合同经双方法定代表人或授权代表签字并加盖单位公章后生效。</w:t>
      </w:r>
    </w:p>
    <w:p w14:paraId="1A15357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2.本合同未尽事宜，甲乙双方协商一致可以另行签订补充协议解决，或者遵照《中华人民共和国民法典》有关条文执行。</w:t>
      </w:r>
    </w:p>
    <w:p w14:paraId="2B0EE18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3.本合同一式五份，具有同等法律效力，甲乙双方各执两份，采购代理机构执一份。</w:t>
      </w:r>
    </w:p>
    <w:p w14:paraId="2FB9B310">
      <w:pPr>
        <w:keepNext w:val="0"/>
        <w:keepLines w:val="0"/>
        <w:pageBreakBefore w:val="0"/>
        <w:widowControl w:val="0"/>
        <w:kinsoku/>
        <w:wordWrap/>
        <w:overflowPunct/>
        <w:topLinePunct w:val="0"/>
        <w:autoSpaceDE/>
        <w:autoSpaceDN/>
        <w:bidi w:val="0"/>
        <w:adjustRightInd/>
        <w:spacing w:before="157" w:beforeLines="50" w:after="157" w:afterLines="50"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本合同附件及招标文件、投标文件、书面澄清（承诺）等系本合同的组成部分</w:t>
      </w:r>
      <w:r>
        <w:rPr>
          <w:rFonts w:hint="eastAsia" w:ascii="宋体" w:hAnsi="宋体" w:eastAsia="宋体" w:cs="宋体"/>
          <w:color w:val="auto"/>
          <w:sz w:val="24"/>
          <w:szCs w:val="24"/>
          <w:highlight w:val="none"/>
          <w:lang w:eastAsia="zh-CN"/>
        </w:rPr>
        <w:t>。</w:t>
      </w:r>
    </w:p>
    <w:p w14:paraId="38E01DC7">
      <w:pPr>
        <w:pStyle w:val="15"/>
        <w:rPr>
          <w:rFonts w:hint="eastAsia" w:ascii="宋体" w:hAnsi="宋体" w:eastAsia="宋体" w:cs="宋体"/>
          <w:color w:val="auto"/>
          <w:sz w:val="24"/>
          <w:szCs w:val="24"/>
          <w:highlight w:val="none"/>
          <w:lang w:eastAsia="zh-CN"/>
        </w:rPr>
      </w:pPr>
    </w:p>
    <w:p w14:paraId="70BC1D97">
      <w:pPr>
        <w:pStyle w:val="16"/>
        <w:rPr>
          <w:rFonts w:hint="eastAsia" w:ascii="宋体" w:hAnsi="宋体" w:eastAsia="宋体" w:cs="宋体"/>
          <w:color w:val="auto"/>
          <w:highlight w:val="none"/>
          <w:lang w:eastAsia="zh-CN"/>
        </w:rPr>
      </w:pPr>
    </w:p>
    <w:p w14:paraId="5156BA3A">
      <w:pPr>
        <w:pStyle w:val="12"/>
        <w:rPr>
          <w:rFonts w:hint="eastAsia" w:ascii="宋体" w:hAnsi="宋体" w:eastAsia="宋体" w:cs="宋体"/>
          <w:color w:val="auto"/>
          <w:sz w:val="24"/>
          <w:highlight w:val="none"/>
        </w:rPr>
      </w:pPr>
    </w:p>
    <w:p w14:paraId="57328E3F">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宋体" w:hAnsi="宋体" w:eastAsia="宋体" w:cs="宋体"/>
          <w:color w:val="auto"/>
          <w:kern w:val="0"/>
          <w:sz w:val="14"/>
          <w:szCs w:val="14"/>
          <w:highlight w:val="none"/>
        </w:rPr>
      </w:pPr>
      <w:r>
        <w:rPr>
          <w:rFonts w:hint="eastAsia" w:ascii="宋体" w:hAnsi="宋体" w:eastAsia="宋体" w:cs="宋体"/>
          <w:color w:val="auto"/>
          <w:kern w:val="0"/>
          <w:sz w:val="24"/>
          <w:highlight w:val="none"/>
        </w:rPr>
        <w:t>甲方（盖章）：</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乙方（盖章）：</w:t>
      </w:r>
      <w:r>
        <w:rPr>
          <w:rFonts w:hint="eastAsia" w:ascii="宋体" w:hAnsi="宋体" w:eastAsia="宋体" w:cs="宋体"/>
          <w:color w:val="auto"/>
          <w:kern w:val="0"/>
          <w:sz w:val="24"/>
          <w:highlight w:val="none"/>
          <w:u w:val="single"/>
        </w:rPr>
        <w:t xml:space="preserve">                         </w:t>
      </w:r>
    </w:p>
    <w:p w14:paraId="3D4045DC">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地址：</w:t>
      </w:r>
      <w:r>
        <w:rPr>
          <w:rFonts w:hint="eastAsia" w:ascii="宋体" w:hAnsi="宋体" w:eastAsia="宋体" w:cs="宋体"/>
          <w:color w:val="auto"/>
          <w:kern w:val="0"/>
          <w:sz w:val="24"/>
          <w:highlight w:val="none"/>
          <w:u w:val="single"/>
        </w:rPr>
        <w:t xml:space="preserve">                         　　　　</w:t>
      </w:r>
    </w:p>
    <w:p w14:paraId="68D02E6C">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法定代表人（负责人）：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法定代表人（负责人）：</w:t>
      </w:r>
      <w:r>
        <w:rPr>
          <w:rFonts w:hint="eastAsia" w:ascii="宋体" w:hAnsi="宋体" w:eastAsia="宋体" w:cs="宋体"/>
          <w:color w:val="auto"/>
          <w:kern w:val="0"/>
          <w:sz w:val="24"/>
          <w:highlight w:val="none"/>
          <w:u w:val="single"/>
        </w:rPr>
        <w:t xml:space="preserve">                 </w:t>
      </w:r>
    </w:p>
    <w:p w14:paraId="0F27AE88">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委托代理人：</w:t>
      </w:r>
      <w:r>
        <w:rPr>
          <w:rFonts w:hint="eastAsia" w:ascii="宋体" w:hAnsi="宋体" w:eastAsia="宋体" w:cs="宋体"/>
          <w:color w:val="auto"/>
          <w:kern w:val="0"/>
          <w:sz w:val="24"/>
          <w:highlight w:val="none"/>
          <w:u w:val="single"/>
        </w:rPr>
        <w:t xml:space="preserve">                           </w:t>
      </w:r>
    </w:p>
    <w:p w14:paraId="4F519310">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联系方式：</w:t>
      </w:r>
      <w:r>
        <w:rPr>
          <w:rFonts w:hint="eastAsia" w:ascii="宋体" w:hAnsi="宋体" w:eastAsia="宋体" w:cs="宋体"/>
          <w:color w:val="auto"/>
          <w:kern w:val="0"/>
          <w:sz w:val="24"/>
          <w:highlight w:val="none"/>
          <w:u w:val="single"/>
        </w:rPr>
        <w:t xml:space="preserve">　　　　　　　　　　    　　 </w:t>
      </w:r>
    </w:p>
    <w:p w14:paraId="3044E7BD">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宋体" w:hAnsi="宋体" w:eastAsia="宋体" w:cs="宋体"/>
          <w:color w:val="auto"/>
          <w:kern w:val="0"/>
          <w:sz w:val="14"/>
          <w:szCs w:val="14"/>
          <w:highlight w:val="none"/>
        </w:rPr>
      </w:pPr>
      <w:r>
        <w:rPr>
          <w:rFonts w:hint="eastAsia" w:ascii="宋体" w:hAnsi="宋体" w:eastAsia="宋体" w:cs="宋体"/>
          <w:color w:val="auto"/>
          <w:kern w:val="0"/>
          <w:sz w:val="24"/>
          <w:highlight w:val="none"/>
        </w:rPr>
        <w:t>账户名称：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账户名称：</w:t>
      </w:r>
      <w:r>
        <w:rPr>
          <w:rFonts w:hint="eastAsia" w:ascii="宋体" w:hAnsi="宋体" w:eastAsia="宋体" w:cs="宋体"/>
          <w:color w:val="auto"/>
          <w:kern w:val="0"/>
          <w:sz w:val="24"/>
          <w:highlight w:val="none"/>
          <w:u w:val="single"/>
        </w:rPr>
        <w:t xml:space="preserve">                             </w:t>
      </w:r>
    </w:p>
    <w:p w14:paraId="47F63512">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开户银行：</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开户银行：</w:t>
      </w:r>
      <w:r>
        <w:rPr>
          <w:rFonts w:hint="eastAsia" w:ascii="宋体" w:hAnsi="宋体" w:eastAsia="宋体" w:cs="宋体"/>
          <w:color w:val="auto"/>
          <w:kern w:val="0"/>
          <w:sz w:val="24"/>
          <w:highlight w:val="none"/>
          <w:u w:val="single"/>
        </w:rPr>
        <w:t xml:space="preserve">                              </w:t>
      </w:r>
    </w:p>
    <w:p w14:paraId="13768C80">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账号：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账号：</w:t>
      </w:r>
      <w:r>
        <w:rPr>
          <w:rFonts w:hint="eastAsia" w:ascii="宋体" w:hAnsi="宋体" w:eastAsia="宋体" w:cs="宋体"/>
          <w:color w:val="auto"/>
          <w:kern w:val="0"/>
          <w:sz w:val="24"/>
          <w:highlight w:val="none"/>
          <w:u w:val="single"/>
        </w:rPr>
        <w:t xml:space="preserve">                                  </w:t>
      </w:r>
    </w:p>
    <w:p w14:paraId="742DF123">
      <w:pPr>
        <w:keepNext w:val="0"/>
        <w:keepLines w:val="0"/>
        <w:pageBreakBefore w:val="0"/>
        <w:widowControl/>
        <w:kinsoku/>
        <w:wordWrap/>
        <w:overflowPunct/>
        <w:topLinePunct w:val="0"/>
        <w:autoSpaceDE/>
        <w:autoSpaceDN/>
        <w:bidi w:val="0"/>
        <w:adjustRightInd/>
        <w:snapToGrid w:val="0"/>
        <w:spacing w:before="48" w:beforeLines="20" w:after="48" w:afterLines="20" w:line="288"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签订时间：</w:t>
      </w:r>
      <w:r>
        <w:rPr>
          <w:rFonts w:hint="eastAsia" w:ascii="宋体" w:hAnsi="宋体" w:eastAsia="宋体" w:cs="宋体"/>
          <w:color w:val="auto"/>
          <w:kern w:val="0"/>
          <w:sz w:val="24"/>
          <w:highlight w:val="none"/>
          <w:u w:val="single"/>
        </w:rPr>
        <w:t xml:space="preserve">                                                                     </w:t>
      </w:r>
    </w:p>
    <w:p w14:paraId="6E247FAF">
      <w:pPr>
        <w:keepNext w:val="0"/>
        <w:keepLines w:val="0"/>
        <w:pageBreakBefore w:val="0"/>
        <w:kinsoku/>
        <w:wordWrap/>
        <w:overflowPunct/>
        <w:topLinePunct w:val="0"/>
        <w:autoSpaceDE/>
        <w:autoSpaceDN/>
        <w:bidi w:val="0"/>
        <w:adjustRightInd/>
        <w:snapToGrid w:val="0"/>
        <w:spacing w:after="72" w:afterLines="3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签订地点：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15425899">
      <w:pPr>
        <w:pStyle w:val="16"/>
        <w:ind w:left="0" w:leftChars="0" w:firstLine="0" w:firstLineChars="0"/>
        <w:rPr>
          <w:rFonts w:hint="eastAsia" w:ascii="宋体" w:hAnsi="宋体" w:eastAsia="宋体" w:cs="宋体"/>
          <w:color w:val="auto"/>
          <w:sz w:val="24"/>
          <w:highlight w:val="none"/>
        </w:rPr>
      </w:pPr>
    </w:p>
    <w:p w14:paraId="61BA9338">
      <w:pPr>
        <w:rPr>
          <w:rFonts w:hint="eastAsia" w:ascii="宋体" w:hAnsi="宋体" w:eastAsia="宋体" w:cs="宋体"/>
          <w:color w:val="auto"/>
          <w:sz w:val="24"/>
          <w:highlight w:val="none"/>
        </w:rPr>
      </w:pPr>
    </w:p>
    <w:p w14:paraId="38D4B84A">
      <w:pPr>
        <w:pStyle w:val="17"/>
        <w:rPr>
          <w:rFonts w:hint="eastAsia" w:ascii="宋体" w:hAnsi="宋体" w:eastAsia="宋体" w:cs="宋体"/>
          <w:color w:val="auto"/>
          <w:highlight w:val="none"/>
        </w:rPr>
      </w:pPr>
    </w:p>
    <w:p w14:paraId="22319649">
      <w:pPr>
        <w:rPr>
          <w:rFonts w:hint="eastAsia" w:ascii="宋体" w:hAnsi="宋体" w:eastAsia="宋体" w:cs="宋体"/>
          <w:color w:val="auto"/>
          <w:highlight w:val="none"/>
        </w:rPr>
      </w:pPr>
    </w:p>
    <w:p w14:paraId="104CBF86">
      <w:pPr>
        <w:pStyle w:val="30"/>
        <w:rPr>
          <w:rFonts w:hint="eastAsia" w:ascii="宋体" w:hAnsi="宋体" w:eastAsia="宋体" w:cs="宋体"/>
          <w:color w:val="auto"/>
          <w:highlight w:val="none"/>
        </w:rPr>
      </w:pPr>
    </w:p>
    <w:p w14:paraId="69D679F1">
      <w:pPr>
        <w:rPr>
          <w:rFonts w:hint="eastAsia" w:ascii="宋体" w:hAnsi="宋体" w:eastAsia="宋体" w:cs="宋体"/>
          <w:color w:val="auto"/>
          <w:highlight w:val="none"/>
        </w:rPr>
      </w:pPr>
    </w:p>
    <w:p w14:paraId="597AA7ED">
      <w:pPr>
        <w:pStyle w:val="30"/>
        <w:rPr>
          <w:rFonts w:hint="eastAsia" w:ascii="宋体" w:hAnsi="宋体" w:eastAsia="宋体" w:cs="宋体"/>
          <w:color w:val="auto"/>
          <w:highlight w:val="none"/>
        </w:rPr>
      </w:pPr>
    </w:p>
    <w:p w14:paraId="24A79C44">
      <w:pPr>
        <w:rPr>
          <w:rFonts w:hint="eastAsia" w:ascii="宋体" w:hAnsi="宋体" w:eastAsia="宋体" w:cs="宋体"/>
          <w:color w:val="auto"/>
          <w:highlight w:val="none"/>
        </w:rPr>
      </w:pPr>
    </w:p>
    <w:p w14:paraId="77620256">
      <w:pPr>
        <w:rPr>
          <w:rFonts w:hint="eastAsia" w:ascii="宋体" w:hAnsi="宋体" w:eastAsia="宋体" w:cs="宋体"/>
          <w:color w:val="auto"/>
          <w:highlight w:val="none"/>
        </w:rPr>
      </w:pPr>
    </w:p>
    <w:p w14:paraId="3279C0BF">
      <w:pPr>
        <w:rPr>
          <w:rFonts w:hint="eastAsia" w:ascii="宋体" w:hAnsi="宋体" w:eastAsia="宋体" w:cs="宋体"/>
          <w:color w:val="auto"/>
          <w:highlight w:val="none"/>
        </w:rPr>
      </w:pPr>
    </w:p>
    <w:p w14:paraId="08804B68">
      <w:pPr>
        <w:pStyle w:val="30"/>
        <w:rPr>
          <w:rFonts w:hint="eastAsia" w:ascii="宋体" w:hAnsi="宋体" w:eastAsia="宋体" w:cs="宋体"/>
          <w:color w:val="auto"/>
          <w:highlight w:val="none"/>
        </w:rPr>
      </w:pPr>
    </w:p>
    <w:p w14:paraId="3E164B6D">
      <w:pPr>
        <w:rPr>
          <w:rFonts w:hint="eastAsia" w:ascii="宋体" w:hAnsi="宋体" w:eastAsia="宋体" w:cs="宋体"/>
          <w:color w:val="auto"/>
          <w:highlight w:val="none"/>
        </w:rPr>
      </w:pPr>
    </w:p>
    <w:p w14:paraId="5FA892BC">
      <w:pPr>
        <w:pStyle w:val="30"/>
        <w:rPr>
          <w:rFonts w:hint="eastAsia" w:ascii="宋体" w:hAnsi="宋体" w:eastAsia="宋体" w:cs="宋体"/>
          <w:color w:val="auto"/>
          <w:highlight w:val="none"/>
        </w:rPr>
      </w:pPr>
    </w:p>
    <w:p w14:paraId="692DF3EF">
      <w:pPr>
        <w:rPr>
          <w:rFonts w:hint="eastAsia" w:ascii="宋体" w:hAnsi="宋体" w:eastAsia="宋体" w:cs="宋体"/>
          <w:color w:val="auto"/>
          <w:highlight w:val="none"/>
        </w:rPr>
      </w:pPr>
    </w:p>
    <w:p w14:paraId="2C813ED2">
      <w:pPr>
        <w:keepLines w:val="0"/>
        <w:pageBreakBefore w:val="0"/>
        <w:kinsoku/>
        <w:wordWrap/>
        <w:overflowPunct/>
        <w:topLinePunct w:val="0"/>
        <w:bidi w:val="0"/>
        <w:spacing w:line="400" w:lineRule="exact"/>
        <w:jc w:val="center"/>
        <w:outlineLvl w:val="0"/>
        <w:rPr>
          <w:rFonts w:hint="eastAsia" w:ascii="宋体" w:hAnsi="宋体" w:eastAsia="宋体" w:cs="宋体"/>
          <w:b/>
          <w:color w:val="auto"/>
          <w:sz w:val="36"/>
          <w:szCs w:val="44"/>
          <w:highlight w:val="none"/>
        </w:rPr>
      </w:pPr>
      <w:bookmarkStart w:id="35" w:name="_Toc32166"/>
      <w:r>
        <w:rPr>
          <w:rFonts w:hint="eastAsia" w:ascii="宋体" w:hAnsi="宋体" w:eastAsia="宋体" w:cs="宋体"/>
          <w:b/>
          <w:color w:val="auto"/>
          <w:sz w:val="36"/>
          <w:szCs w:val="44"/>
          <w:highlight w:val="none"/>
        </w:rPr>
        <w:t>第五章 评标办法及评分标准</w:t>
      </w:r>
      <w:bookmarkEnd w:id="35"/>
    </w:p>
    <w:p w14:paraId="4F7DF916">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一、总则</w:t>
      </w:r>
    </w:p>
    <w:p w14:paraId="7F0CF1F6">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评标委员会必须公平、公正、客观，不带任何倾向性和启发性，不得向外界透露任何与评标有关的内容；任何单位和个人不得干扰、影响评货物正常进行；评标委员会及有关工作人员不得私下与供应商接触。</w:t>
      </w:r>
    </w:p>
    <w:p w14:paraId="6295755B">
      <w:pPr>
        <w:pStyle w:val="6"/>
        <w:keepNext w:val="0"/>
        <w:keepLines w:val="0"/>
        <w:pageBreakBefore w:val="0"/>
        <w:widowControl w:val="0"/>
        <w:numPr>
          <w:ilvl w:val="0"/>
          <w:numId w:val="14"/>
        </w:numPr>
        <w:kinsoku/>
        <w:wordWrap/>
        <w:overflowPunct/>
        <w:topLinePunct w:val="0"/>
        <w:autoSpaceDE/>
        <w:autoSpaceDN/>
        <w:bidi w:val="0"/>
        <w:adjustRightInd/>
        <w:snapToGrid w:val="0"/>
        <w:spacing w:before="157" w:beforeLines="50" w:after="157" w:afterLines="50" w:line="300" w:lineRule="auto"/>
        <w:textAlignment w:val="auto"/>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评标办法：本次评标采用综合评分法。</w:t>
      </w:r>
      <w:r>
        <w:rPr>
          <w:rFonts w:hint="eastAsia" w:ascii="宋体" w:hAnsi="宋体" w:eastAsia="宋体" w:cs="宋体"/>
          <w:b/>
          <w:color w:val="auto"/>
          <w:sz w:val="28"/>
          <w:szCs w:val="28"/>
          <w:highlight w:val="none"/>
          <w:u w:val="single"/>
        </w:rPr>
        <w:t>总分为100分，其中商务技术分</w:t>
      </w:r>
      <w:r>
        <w:rPr>
          <w:rFonts w:hint="eastAsia" w:ascii="宋体" w:hAnsi="宋体" w:eastAsia="宋体" w:cs="宋体"/>
          <w:b/>
          <w:color w:val="auto"/>
          <w:sz w:val="28"/>
          <w:szCs w:val="28"/>
          <w:highlight w:val="none"/>
          <w:u w:val="single"/>
          <w:lang w:val="en-US" w:eastAsia="zh-CN"/>
        </w:rPr>
        <w:t>90</w:t>
      </w:r>
      <w:r>
        <w:rPr>
          <w:rFonts w:hint="eastAsia" w:ascii="宋体" w:hAnsi="宋体" w:eastAsia="宋体" w:cs="宋体"/>
          <w:b/>
          <w:color w:val="auto"/>
          <w:sz w:val="28"/>
          <w:szCs w:val="28"/>
          <w:highlight w:val="none"/>
          <w:u w:val="single"/>
        </w:rPr>
        <w:t>分，价格分</w:t>
      </w:r>
      <w:r>
        <w:rPr>
          <w:rFonts w:hint="eastAsia" w:ascii="宋体" w:hAnsi="宋体" w:eastAsia="宋体" w:cs="宋体"/>
          <w:b/>
          <w:color w:val="auto"/>
          <w:sz w:val="28"/>
          <w:szCs w:val="28"/>
          <w:highlight w:val="none"/>
          <w:u w:val="single"/>
          <w:lang w:val="en-US" w:eastAsia="zh-CN"/>
        </w:rPr>
        <w:t>10</w:t>
      </w:r>
      <w:r>
        <w:rPr>
          <w:rFonts w:hint="eastAsia" w:ascii="宋体" w:hAnsi="宋体" w:eastAsia="宋体" w:cs="宋体"/>
          <w:b/>
          <w:color w:val="auto"/>
          <w:sz w:val="28"/>
          <w:szCs w:val="28"/>
          <w:highlight w:val="none"/>
          <w:u w:val="single"/>
        </w:rPr>
        <w:t>分。</w:t>
      </w:r>
    </w:p>
    <w:p w14:paraId="674C7D4B">
      <w:pPr>
        <w:autoSpaceDE w:val="0"/>
        <w:autoSpaceDN w:val="0"/>
        <w:adjustRightInd w:val="0"/>
        <w:spacing w:before="156" w:line="360" w:lineRule="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（一）评标要求</w:t>
      </w:r>
    </w:p>
    <w:p w14:paraId="531F7655">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0"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Cs/>
          <w:color w:val="auto"/>
          <w:sz w:val="24"/>
          <w:highlight w:val="none"/>
          <w:lang w:val="zh-CN"/>
        </w:rPr>
        <w:t>1、</w:t>
      </w:r>
      <w:r>
        <w:rPr>
          <w:rFonts w:hint="eastAsia" w:ascii="宋体" w:hAnsi="宋体" w:eastAsia="宋体" w:cs="宋体"/>
          <w:color w:val="auto"/>
          <w:sz w:val="24"/>
          <w:highlight w:val="none"/>
          <w:lang w:val="zh-CN"/>
        </w:rPr>
        <w:t>评标委员会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color w:val="auto"/>
          <w:sz w:val="24"/>
          <w:highlight w:val="none"/>
        </w:rPr>
        <w:t>。</w:t>
      </w:r>
    </w:p>
    <w:p w14:paraId="67B24E11">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2、总得分为100分。在规定的分值范围内由评委自行评定打分。</w:t>
      </w:r>
    </w:p>
    <w:p w14:paraId="207A2CC4">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3、根据评委打分累计后再取平均分作为供应商的最终得分。</w:t>
      </w:r>
    </w:p>
    <w:p w14:paraId="5AF07C4B">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4、所有计算结果小数点后保留2位，第3位四舍五入。</w:t>
      </w:r>
    </w:p>
    <w:p w14:paraId="26F828AE">
      <w:pPr>
        <w:tabs>
          <w:tab w:val="left" w:pos="8175"/>
        </w:tabs>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（二）评标</w:t>
      </w:r>
      <w:r>
        <w:rPr>
          <w:rFonts w:hint="eastAsia" w:ascii="宋体" w:hAnsi="宋体" w:eastAsia="宋体" w:cs="宋体"/>
          <w:b/>
          <w:color w:val="auto"/>
          <w:sz w:val="24"/>
          <w:highlight w:val="none"/>
          <w:lang w:eastAsia="zh-CN"/>
        </w:rPr>
        <w:tab/>
      </w:r>
    </w:p>
    <w:p w14:paraId="4A3F1DDF">
      <w:pPr>
        <w:keepNext w:val="0"/>
        <w:keepLines w:val="0"/>
        <w:pageBreakBefore w:val="0"/>
        <w:widowControl w:val="0"/>
        <w:kinsoku/>
        <w:wordWrap/>
        <w:overflowPunct/>
        <w:topLinePunct w:val="0"/>
        <w:autoSpaceDE/>
        <w:autoSpaceDN/>
        <w:bidi w:val="0"/>
        <w:adjustRightInd/>
        <w:snapToGrid/>
        <w:spacing w:before="157" w:beforeLines="50" w:after="156" w:afterLines="5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1、投标文件符合性评审</w:t>
      </w:r>
    </w:p>
    <w:p w14:paraId="35DB3D8A">
      <w:pPr>
        <w:keepNext w:val="0"/>
        <w:keepLines w:val="0"/>
        <w:pageBreakBefore w:val="0"/>
        <w:widowControl w:val="0"/>
        <w:kinsoku/>
        <w:wordWrap/>
        <w:overflowPunct/>
        <w:topLinePunct w:val="0"/>
        <w:autoSpaceDE/>
        <w:autoSpaceDN/>
        <w:bidi w:val="0"/>
        <w:adjustRightInd/>
        <w:snapToGrid w:val="0"/>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评标委员会首先对符合资格的投标供应商的投标文件进行符合性审查，以确定其是否满足采购文件的实质性要求。如果投标文件实质上不响应采购文件要求，评标委员会将按无效标处理。</w:t>
      </w:r>
    </w:p>
    <w:p w14:paraId="31DBC048">
      <w:pPr>
        <w:keepNext w:val="0"/>
        <w:keepLines w:val="0"/>
        <w:pageBreakBefore w:val="0"/>
        <w:widowControl w:val="0"/>
        <w:kinsoku/>
        <w:wordWrap/>
        <w:overflowPunct/>
        <w:topLinePunct w:val="0"/>
        <w:autoSpaceDE/>
        <w:autoSpaceDN/>
        <w:bidi w:val="0"/>
        <w:adjustRightInd/>
        <w:snapToGrid/>
        <w:spacing w:before="157" w:beforeLines="50" w:after="156" w:afterLines="5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2、商务技术文件评审</w:t>
      </w:r>
    </w:p>
    <w:p w14:paraId="5EEA89BA">
      <w:pPr>
        <w:keepNext w:val="0"/>
        <w:keepLines w:val="0"/>
        <w:pageBreakBefore w:val="0"/>
        <w:widowControl w:val="0"/>
        <w:kinsoku/>
        <w:wordWrap/>
        <w:overflowPunct/>
        <w:topLinePunct w:val="0"/>
        <w:autoSpaceDE/>
        <w:autoSpaceDN/>
        <w:bidi w:val="0"/>
        <w:adjustRightInd/>
        <w:snapToGrid w:val="0"/>
        <w:spacing w:before="157" w:beforeLines="50" w:after="157" w:afterLines="50" w:line="288"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5C119BDD">
      <w:pPr>
        <w:snapToGrid w:val="0"/>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2.2商务与技术得分计算方法如下</w:t>
      </w:r>
      <w:r>
        <w:rPr>
          <w:rFonts w:hint="eastAsia" w:ascii="宋体" w:hAnsi="宋体" w:eastAsia="宋体" w:cs="宋体"/>
          <w:color w:val="auto"/>
          <w:sz w:val="24"/>
          <w:highlight w:val="none"/>
        </w:rPr>
        <w:t xml:space="preserve">： </w:t>
      </w:r>
    </w:p>
    <w:p w14:paraId="41855E3A">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①商务与技术评定分值为</w:t>
      </w:r>
      <w:r>
        <w:rPr>
          <w:rFonts w:hint="eastAsia" w:ascii="宋体" w:hAnsi="宋体" w:eastAsia="宋体" w:cs="宋体"/>
          <w:b/>
          <w:bCs/>
          <w:color w:val="auto"/>
          <w:sz w:val="24"/>
          <w:highlight w:val="none"/>
          <w:u w:val="single"/>
          <w:lang w:val="en-US" w:eastAsia="zh-CN"/>
        </w:rPr>
        <w:t xml:space="preserve"> 90 </w:t>
      </w:r>
      <w:r>
        <w:rPr>
          <w:rFonts w:hint="eastAsia" w:ascii="宋体" w:hAnsi="宋体" w:eastAsia="宋体" w:cs="宋体"/>
          <w:b/>
          <w:bCs/>
          <w:color w:val="auto"/>
          <w:sz w:val="24"/>
          <w:highlight w:val="none"/>
        </w:rPr>
        <w:t>分。</w:t>
      </w:r>
    </w:p>
    <w:p w14:paraId="58E91AEF">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②评标委员会按评分标准（详见</w:t>
      </w:r>
      <w:r>
        <w:rPr>
          <w:rFonts w:hint="eastAsia" w:ascii="宋体" w:hAnsi="宋体" w:eastAsia="宋体" w:cs="宋体"/>
          <w:color w:val="auto"/>
          <w:sz w:val="24"/>
          <w:highlight w:val="none"/>
          <w:lang w:val="en-US" w:eastAsia="zh-CN"/>
        </w:rPr>
        <w:t>下</w:t>
      </w:r>
      <w:r>
        <w:rPr>
          <w:rFonts w:hint="eastAsia" w:ascii="宋体" w:hAnsi="宋体" w:eastAsia="宋体" w:cs="宋体"/>
          <w:color w:val="auto"/>
          <w:sz w:val="24"/>
          <w:highlight w:val="none"/>
        </w:rPr>
        <w:t>表）中的内容，对各供应商的商务技术文件进行评审打分，合计得出各供应商的</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技术得分。</w:t>
      </w:r>
    </w:p>
    <w:p w14:paraId="199D39B4">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③各供应商的商务与技术得分由评委自行评议，商务与技术得分评分的最终得分为所有评委评分的平均值。</w:t>
      </w:r>
    </w:p>
    <w:tbl>
      <w:tblPr>
        <w:tblStyle w:val="31"/>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24"/>
        <w:gridCol w:w="7090"/>
        <w:gridCol w:w="1211"/>
      </w:tblGrid>
      <w:tr w14:paraId="07C0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5FAFEFD8">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24" w:type="dxa"/>
            <w:vAlign w:val="center"/>
          </w:tcPr>
          <w:p w14:paraId="7CC48C95">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分类</w:t>
            </w:r>
          </w:p>
        </w:tc>
        <w:tc>
          <w:tcPr>
            <w:tcW w:w="7090" w:type="dxa"/>
            <w:vAlign w:val="center"/>
          </w:tcPr>
          <w:p w14:paraId="3AE741FC">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211" w:type="dxa"/>
            <w:vAlign w:val="center"/>
          </w:tcPr>
          <w:p w14:paraId="5AD0CA22">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5F4B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4D0A6366">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Align w:val="center"/>
          </w:tcPr>
          <w:p w14:paraId="28D6FDE2">
            <w:pPr>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企业荣誉</w:t>
            </w:r>
          </w:p>
        </w:tc>
        <w:tc>
          <w:tcPr>
            <w:tcW w:w="7090" w:type="dxa"/>
            <w:vAlign w:val="center"/>
          </w:tcPr>
          <w:p w14:paraId="56268BDA">
            <w:pPr>
              <w:widowControl/>
              <w:spacing w:line="326"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年1月1日以来，项目成果获得</w:t>
            </w:r>
            <w:r>
              <w:rPr>
                <w:rFonts w:hint="eastAsia" w:ascii="宋体" w:hAnsi="宋体" w:cs="宋体"/>
                <w:color w:val="auto"/>
                <w:sz w:val="21"/>
                <w:szCs w:val="21"/>
                <w:highlight w:val="none"/>
                <w:lang w:val="en-US" w:eastAsia="zh-CN"/>
              </w:rPr>
              <w:t>过</w:t>
            </w:r>
            <w:r>
              <w:rPr>
                <w:rFonts w:hint="eastAsia" w:ascii="宋体" w:hAnsi="宋体" w:eastAsia="宋体" w:cs="宋体"/>
                <w:color w:val="auto"/>
                <w:sz w:val="21"/>
                <w:szCs w:val="21"/>
                <w:highlight w:val="none"/>
                <w:lang w:val="en-US" w:eastAsia="zh-CN"/>
              </w:rPr>
              <w:t>林业类</w:t>
            </w:r>
            <w:r>
              <w:rPr>
                <w:rFonts w:hint="eastAsia" w:ascii="宋体" w:hAnsi="宋体" w:eastAsia="宋体" w:cs="宋体"/>
                <w:color w:val="auto"/>
                <w:sz w:val="21"/>
                <w:szCs w:val="21"/>
                <w:highlight w:val="none"/>
              </w:rPr>
              <w:t>省级及以上奖项的，一等奖的每项得1分，二等奖的每项得0.5分，本项最高得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分。同一项目奖项按高分只计一次分。</w:t>
            </w:r>
          </w:p>
          <w:p w14:paraId="3E92DB9A">
            <w:pPr>
              <w:widowControl/>
              <w:spacing w:line="326"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提供相关证明材料扫描件并加盖公章，否则不得分。</w:t>
            </w:r>
          </w:p>
        </w:tc>
        <w:tc>
          <w:tcPr>
            <w:tcW w:w="1211" w:type="dxa"/>
            <w:vAlign w:val="center"/>
          </w:tcPr>
          <w:p w14:paraId="2CA28BC1">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2E1B072">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6ACF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6A46E41F">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Align w:val="center"/>
          </w:tcPr>
          <w:p w14:paraId="5B7BE481">
            <w:pPr>
              <w:keepLines w:val="0"/>
              <w:pageBreakBefore w:val="0"/>
              <w:kinsoku/>
              <w:wordWrap/>
              <w:overflowPunct/>
              <w:topLinePunct w:val="0"/>
              <w:autoSpaceDE/>
              <w:autoSpaceDN/>
              <w:bidi w:val="0"/>
              <w:snapToGrid/>
              <w:spacing w:line="24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企业业绩</w:t>
            </w:r>
          </w:p>
        </w:tc>
        <w:tc>
          <w:tcPr>
            <w:tcW w:w="7090" w:type="dxa"/>
            <w:vAlign w:val="center"/>
          </w:tcPr>
          <w:p w14:paraId="69D840A6">
            <w:pPr>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自</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年1月1日以来承担过</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项目业绩的，每个得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分。（以合同签订日期为准，</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提供合同</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加盖单位公章，是否属于</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项目业绩由评标委员会根据合同的内容、特点等与本项目的类似程度进行认定。）</w:t>
            </w:r>
          </w:p>
        </w:tc>
        <w:tc>
          <w:tcPr>
            <w:tcW w:w="1211" w:type="dxa"/>
            <w:vAlign w:val="center"/>
          </w:tcPr>
          <w:p w14:paraId="19544886">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44727B2">
            <w:pPr>
              <w:pStyle w:val="3"/>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4139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restart"/>
            <w:vAlign w:val="center"/>
          </w:tcPr>
          <w:p w14:paraId="154D16E5">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Merge w:val="restart"/>
            <w:shd w:val="clear" w:color="auto" w:fill="auto"/>
            <w:vAlign w:val="center"/>
          </w:tcPr>
          <w:p w14:paraId="161DC843">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拟投入本项目的项目组人员</w:t>
            </w:r>
          </w:p>
        </w:tc>
        <w:tc>
          <w:tcPr>
            <w:tcW w:w="7090" w:type="dxa"/>
            <w:shd w:val="clear" w:color="auto" w:fill="auto"/>
            <w:vAlign w:val="center"/>
          </w:tcPr>
          <w:p w14:paraId="78DFC61B">
            <w:pPr>
              <w:widowControl/>
              <w:spacing w:line="326"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拟派项目负责人具备林业调查规划高级</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rPr>
              <w:t>以上职称的，得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分；具备林业调查规划中级职称的，得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，其余不得分。</w:t>
            </w:r>
          </w:p>
          <w:p w14:paraId="78C7DEBE">
            <w:pPr>
              <w:widowControl/>
              <w:spacing w:line="326"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拟派的技术负责人具有测绘类</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rPr>
              <w:t>以上职称的，得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分；具备林业调查规划中级职称的，得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，其余不得分。</w:t>
            </w:r>
          </w:p>
          <w:p w14:paraId="4BF49508">
            <w:pPr>
              <w:widowControl/>
              <w:spacing w:line="326"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3）除项目负责人和技术负责人以外，项目组成员中具有林业相关专业高级(含)以上职称的，每人得2分；具有林业相关专业中级职称的，每人得1分；具有林业相关专业初级职称的，每人得0.5分。本小项最高得8分。</w:t>
            </w:r>
            <w:r>
              <w:rPr>
                <w:rFonts w:hint="eastAsia" w:ascii="宋体" w:hAnsi="宋体" w:cs="宋体"/>
                <w:b/>
                <w:bCs/>
                <w:color w:val="auto"/>
                <w:sz w:val="21"/>
                <w:szCs w:val="21"/>
                <w:highlight w:val="none"/>
                <w:lang w:val="en-US" w:eastAsia="zh-CN"/>
              </w:rPr>
              <w:t>同一人员按所提供的最高职称计分，且不累计。</w:t>
            </w:r>
          </w:p>
          <w:p w14:paraId="4383C5F7">
            <w:pPr>
              <w:widowControl/>
              <w:spacing w:line="326"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注：需提供职称证书</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和投标人为其缴纳的最近3个月内任意一个月的社保证明</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并加盖公章，否则不得分。</w:t>
            </w:r>
          </w:p>
        </w:tc>
        <w:tc>
          <w:tcPr>
            <w:tcW w:w="1211" w:type="dxa"/>
            <w:shd w:val="clear" w:color="auto" w:fill="auto"/>
            <w:vAlign w:val="center"/>
          </w:tcPr>
          <w:p w14:paraId="2C62908F">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14:paraId="52719F13">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7061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continue"/>
            <w:vAlign w:val="center"/>
          </w:tcPr>
          <w:p w14:paraId="12D75006">
            <w:pPr>
              <w:keepLines w:val="0"/>
              <w:pageBreakBefore w:val="0"/>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Merge w:val="continue"/>
            <w:vAlign w:val="center"/>
          </w:tcPr>
          <w:p w14:paraId="6C0165AF">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color w:val="auto"/>
                <w:sz w:val="21"/>
                <w:szCs w:val="21"/>
                <w:highlight w:val="none"/>
              </w:rPr>
            </w:pPr>
          </w:p>
        </w:tc>
        <w:tc>
          <w:tcPr>
            <w:tcW w:w="7090" w:type="dxa"/>
            <w:shd w:val="clear" w:color="auto" w:fill="auto"/>
            <w:vAlign w:val="center"/>
          </w:tcPr>
          <w:p w14:paraId="75BBC42B">
            <w:pPr>
              <w:widowControl/>
              <w:spacing w:line="326" w:lineRule="exact"/>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项目组</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员中</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森林培育、森林保护</w:t>
            </w:r>
            <w:r>
              <w:rPr>
                <w:rFonts w:hint="eastAsia" w:ascii="宋体" w:hAnsi="宋体" w:eastAsia="宋体" w:cs="宋体"/>
                <w:color w:val="auto"/>
                <w:sz w:val="21"/>
                <w:szCs w:val="21"/>
                <w:highlight w:val="none"/>
                <w:lang w:val="en-US" w:eastAsia="zh-CN"/>
              </w:rPr>
              <w:t>学</w:t>
            </w:r>
            <w:r>
              <w:rPr>
                <w:rFonts w:hint="eastAsia" w:ascii="宋体" w:hAnsi="宋体" w:eastAsia="宋体" w:cs="宋体"/>
                <w:color w:val="auto"/>
                <w:sz w:val="21"/>
                <w:szCs w:val="21"/>
                <w:highlight w:val="none"/>
              </w:rPr>
              <w:t>、森林经理学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生物科学（或</w:t>
            </w:r>
            <w:r>
              <w:rPr>
                <w:rFonts w:hint="eastAsia" w:ascii="宋体" w:hAnsi="宋体" w:eastAsia="宋体" w:cs="宋体"/>
                <w:color w:val="auto"/>
                <w:sz w:val="21"/>
                <w:szCs w:val="21"/>
                <w:highlight w:val="none"/>
              </w:rPr>
              <w:t>生物学、植物学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、生态学、植物保护、湿地保护与恢复、林学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计算机科学与技术、测绘工程、遥感科学与技术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以上与</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相关专业</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类</w:t>
            </w:r>
            <w:r>
              <w:rPr>
                <w:rFonts w:hint="eastAsia" w:ascii="宋体" w:hAnsi="宋体" w:eastAsia="宋体" w:cs="宋体"/>
                <w:color w:val="auto"/>
                <w:sz w:val="21"/>
                <w:szCs w:val="21"/>
                <w:highlight w:val="none"/>
              </w:rPr>
              <w:t>专业得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lang w:val="en-US" w:eastAsia="zh-CN"/>
              </w:rPr>
              <w:t>同一</w:t>
            </w:r>
            <w:r>
              <w:rPr>
                <w:rFonts w:hint="eastAsia" w:ascii="宋体" w:hAnsi="宋体" w:eastAsia="宋体" w:cs="宋体"/>
                <w:b/>
                <w:bCs/>
                <w:color w:val="auto"/>
                <w:sz w:val="21"/>
                <w:szCs w:val="21"/>
                <w:highlight w:val="none"/>
              </w:rPr>
              <w:t>人员</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同一</w:t>
            </w:r>
            <w:r>
              <w:rPr>
                <w:rFonts w:hint="eastAsia" w:ascii="宋体" w:hAnsi="宋体" w:eastAsia="宋体" w:cs="宋体"/>
                <w:b/>
                <w:bCs/>
                <w:color w:val="auto"/>
                <w:sz w:val="21"/>
                <w:szCs w:val="21"/>
                <w:highlight w:val="none"/>
                <w:lang w:val="en-US" w:eastAsia="zh-CN"/>
              </w:rPr>
              <w:t>专业均</w:t>
            </w:r>
            <w:r>
              <w:rPr>
                <w:rFonts w:hint="eastAsia" w:ascii="宋体" w:hAnsi="宋体" w:eastAsia="宋体" w:cs="宋体"/>
                <w:b/>
                <w:bCs/>
                <w:color w:val="auto"/>
                <w:sz w:val="21"/>
                <w:szCs w:val="21"/>
                <w:highlight w:val="none"/>
              </w:rPr>
              <w:t>不累计计分。</w:t>
            </w:r>
          </w:p>
          <w:p w14:paraId="2B1B7BA7">
            <w:pPr>
              <w:widowControl/>
              <w:spacing w:line="326"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注：需提供</w:t>
            </w:r>
            <w:r>
              <w:rPr>
                <w:rFonts w:hint="eastAsia" w:ascii="宋体" w:hAnsi="宋体" w:eastAsia="宋体" w:cs="宋体"/>
                <w:color w:val="auto"/>
                <w:sz w:val="21"/>
                <w:szCs w:val="21"/>
                <w:highlight w:val="none"/>
                <w:lang w:val="en-US" w:eastAsia="zh-CN"/>
              </w:rPr>
              <w:t>毕业证书</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和投标人为其缴纳的最近3个月内任意一个月的社保证明扫描件并加盖公章，否则不得分。</w:t>
            </w:r>
          </w:p>
        </w:tc>
        <w:tc>
          <w:tcPr>
            <w:tcW w:w="1211" w:type="dxa"/>
            <w:shd w:val="clear" w:color="auto" w:fill="auto"/>
            <w:vAlign w:val="center"/>
          </w:tcPr>
          <w:p w14:paraId="77C60C0C">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1B24825">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0791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39AAE3A6">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Align w:val="center"/>
          </w:tcPr>
          <w:p w14:paraId="4D454E05">
            <w:pPr>
              <w:jc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设施设备保障能力</w:t>
            </w:r>
          </w:p>
        </w:tc>
        <w:tc>
          <w:tcPr>
            <w:tcW w:w="7090" w:type="dxa"/>
            <w:shd w:val="clear" w:color="auto" w:fill="auto"/>
            <w:vAlign w:val="center"/>
          </w:tcPr>
          <w:p w14:paraId="4A1F1FAC">
            <w:pPr>
              <w:adjustRightInd w:val="0"/>
              <w:snapToGrid w:val="0"/>
              <w:spacing w:line="26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根据投标人拟投入本项目的设施设备，包括专业作业仪器设备、车辆配备等的充足情况进行评议。</w:t>
            </w:r>
          </w:p>
          <w:p w14:paraId="74BD8FC8">
            <w:pPr>
              <w:adjustRightInd w:val="0"/>
              <w:snapToGrid w:val="0"/>
              <w:spacing w:line="26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投标人拟投入的设施设备配置充分，能够充分保障项目实施的得</w:t>
            </w:r>
            <w:r>
              <w:rPr>
                <w:rFonts w:hint="eastAsia" w:ascii="宋体" w:hAnsi="宋体" w:eastAsia="宋体" w:cs="宋体"/>
                <w:color w:val="auto"/>
                <w:sz w:val="21"/>
                <w:szCs w:val="21"/>
                <w:highlight w:val="none"/>
                <w:lang w:val="en-US" w:eastAsia="zh-CN"/>
              </w:rPr>
              <w:t>4.1～6.0</w:t>
            </w:r>
            <w:r>
              <w:rPr>
                <w:rFonts w:hint="eastAsia" w:ascii="宋体" w:hAnsi="宋体" w:eastAsia="宋体" w:cs="宋体"/>
                <w:color w:val="auto"/>
                <w:sz w:val="21"/>
                <w:szCs w:val="21"/>
                <w:highlight w:val="none"/>
              </w:rPr>
              <w:t>分；</w:t>
            </w:r>
          </w:p>
          <w:p w14:paraId="76CD0C37">
            <w:pPr>
              <w:adjustRightInd w:val="0"/>
              <w:snapToGrid w:val="0"/>
              <w:spacing w:line="26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投标人拟投入的设施设备基本能够满足项目实施需要，配置上有所欠缺但不会对项目实施造成明显影响的得</w:t>
            </w:r>
            <w:r>
              <w:rPr>
                <w:rFonts w:hint="eastAsia" w:ascii="宋体" w:hAnsi="宋体" w:eastAsia="宋体" w:cs="宋体"/>
                <w:color w:val="auto"/>
                <w:sz w:val="21"/>
                <w:szCs w:val="21"/>
                <w:highlight w:val="none"/>
                <w:lang w:val="en-US" w:eastAsia="zh-CN"/>
              </w:rPr>
              <w:t>2.1～4.0</w:t>
            </w:r>
            <w:r>
              <w:rPr>
                <w:rFonts w:hint="eastAsia" w:ascii="宋体" w:hAnsi="宋体" w:eastAsia="宋体" w:cs="宋体"/>
                <w:color w:val="auto"/>
                <w:sz w:val="21"/>
                <w:szCs w:val="21"/>
                <w:highlight w:val="none"/>
              </w:rPr>
              <w:t>分；</w:t>
            </w:r>
          </w:p>
          <w:p w14:paraId="22812E7D">
            <w:pPr>
              <w:adjustRightInd w:val="0"/>
              <w:snapToGrid w:val="0"/>
              <w:spacing w:line="26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投标人拟投入本项目的设施设备</w:t>
            </w:r>
            <w:r>
              <w:rPr>
                <w:rFonts w:hint="eastAsia" w:ascii="宋体" w:hAnsi="宋体" w:cs="宋体"/>
                <w:color w:val="auto"/>
                <w:sz w:val="21"/>
                <w:szCs w:val="21"/>
                <w:highlight w:val="none"/>
                <w:lang w:val="en-US" w:eastAsia="zh-CN"/>
              </w:rPr>
              <w:t>配备较为简单，</w:t>
            </w:r>
            <w:r>
              <w:rPr>
                <w:rFonts w:hint="eastAsia" w:ascii="宋体" w:hAnsi="宋体" w:eastAsia="宋体" w:cs="宋体"/>
                <w:color w:val="auto"/>
                <w:sz w:val="21"/>
                <w:szCs w:val="21"/>
                <w:highlight w:val="none"/>
                <w:lang w:val="en-US" w:eastAsia="zh-CN"/>
              </w:rPr>
              <w:t>可能</w:t>
            </w:r>
            <w:r>
              <w:rPr>
                <w:rFonts w:hint="eastAsia" w:ascii="宋体" w:hAnsi="宋体" w:eastAsia="宋体" w:cs="宋体"/>
                <w:color w:val="auto"/>
                <w:sz w:val="21"/>
                <w:szCs w:val="21"/>
                <w:highlight w:val="none"/>
              </w:rPr>
              <w:t>影响项目实施的得</w:t>
            </w:r>
            <w:r>
              <w:rPr>
                <w:rFonts w:hint="eastAsia" w:ascii="宋体" w:hAnsi="宋体" w:eastAsia="宋体" w:cs="宋体"/>
                <w:color w:val="auto"/>
                <w:sz w:val="21"/>
                <w:szCs w:val="21"/>
                <w:highlight w:val="none"/>
                <w:lang w:val="en-US" w:eastAsia="zh-CN"/>
              </w:rPr>
              <w:t>0.0～2.0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不得分）</w:t>
            </w:r>
            <w:r>
              <w:rPr>
                <w:rFonts w:hint="eastAsia" w:ascii="宋体" w:hAnsi="宋体" w:eastAsia="宋体" w:cs="宋体"/>
                <w:color w:val="auto"/>
                <w:sz w:val="21"/>
                <w:szCs w:val="21"/>
                <w:highlight w:val="none"/>
                <w:lang w:eastAsia="zh-CN"/>
              </w:rPr>
              <w:t>。</w:t>
            </w:r>
          </w:p>
          <w:p w14:paraId="22F51749">
            <w:pPr>
              <w:adjustRightInd w:val="0"/>
              <w:snapToGrid w:val="0"/>
              <w:spacing w:line="26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注：投标人应当具备设施设备的所有权或使用权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并在响应文件中提供相关</w:t>
            </w:r>
            <w:r>
              <w:rPr>
                <w:rFonts w:hint="eastAsia" w:ascii="宋体" w:hAnsi="宋体" w:cs="宋体"/>
                <w:color w:val="auto"/>
                <w:sz w:val="21"/>
                <w:szCs w:val="21"/>
                <w:highlight w:val="none"/>
                <w:lang w:val="en-US" w:eastAsia="zh-CN"/>
              </w:rPr>
              <w:t>证明材料</w:t>
            </w:r>
            <w:r>
              <w:rPr>
                <w:rFonts w:hint="eastAsia" w:ascii="宋体" w:hAnsi="宋体" w:eastAsia="宋体" w:cs="宋体"/>
                <w:color w:val="auto"/>
                <w:sz w:val="21"/>
                <w:szCs w:val="21"/>
                <w:highlight w:val="none"/>
              </w:rPr>
              <w:t>扫描件并加盖公章。</w:t>
            </w:r>
          </w:p>
        </w:tc>
        <w:tc>
          <w:tcPr>
            <w:tcW w:w="1211" w:type="dxa"/>
            <w:shd w:val="clear" w:color="auto" w:fill="auto"/>
            <w:vAlign w:val="center"/>
          </w:tcPr>
          <w:p w14:paraId="27AAC145">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85A9E1F">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r w14:paraId="08A9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1DED6ED7">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shd w:val="clear" w:color="auto" w:fill="auto"/>
            <w:vAlign w:val="center"/>
          </w:tcPr>
          <w:p w14:paraId="4A058498">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需求</w:t>
            </w:r>
            <w:r>
              <w:rPr>
                <w:rFonts w:hint="eastAsia" w:ascii="宋体" w:hAnsi="宋体" w:eastAsia="宋体" w:cs="宋体"/>
                <w:color w:val="auto"/>
                <w:kern w:val="0"/>
                <w:sz w:val="21"/>
                <w:szCs w:val="21"/>
                <w:highlight w:val="none"/>
              </w:rPr>
              <w:t>理解</w:t>
            </w:r>
            <w:r>
              <w:rPr>
                <w:rFonts w:hint="eastAsia" w:ascii="宋体" w:hAnsi="宋体" w:eastAsia="宋体" w:cs="宋体"/>
                <w:color w:val="auto"/>
                <w:kern w:val="0"/>
                <w:sz w:val="21"/>
                <w:szCs w:val="21"/>
                <w:highlight w:val="none"/>
                <w:lang w:val="en-US" w:eastAsia="zh-CN"/>
              </w:rPr>
              <w:t>与分析</w:t>
            </w:r>
          </w:p>
        </w:tc>
        <w:tc>
          <w:tcPr>
            <w:tcW w:w="7090" w:type="dxa"/>
            <w:shd w:val="clear" w:color="auto" w:fill="auto"/>
            <w:vAlign w:val="center"/>
          </w:tcPr>
          <w:p w14:paraId="0FC65FD3">
            <w:pPr>
              <w:widowControl/>
              <w:spacing w:line="326"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根据投标人对项目背景的认识情况，对相关政策文件精神的理解情况</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对目标任务定位罗列清晰程度进行评议。</w:t>
            </w:r>
          </w:p>
          <w:p w14:paraId="14E036A7">
            <w:pPr>
              <w:widowControl/>
              <w:spacing w:line="326"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①投标人对项目目标任务、相关政策要求进行了全方位解读，对项目背景的了解与认知情况贴合实际的得</w:t>
            </w:r>
            <w:r>
              <w:rPr>
                <w:rFonts w:hint="eastAsia" w:ascii="宋体" w:hAnsi="宋体" w:eastAsia="宋体" w:cs="宋体"/>
                <w:color w:val="auto"/>
                <w:sz w:val="21"/>
                <w:szCs w:val="21"/>
                <w:highlight w:val="none"/>
                <w:lang w:val="en-US" w:eastAsia="zh-CN"/>
              </w:rPr>
              <w:t>4.1～6.0</w:t>
            </w:r>
            <w:r>
              <w:rPr>
                <w:rFonts w:hint="eastAsia" w:ascii="宋体" w:hAnsi="宋体" w:eastAsia="宋体" w:cs="宋体"/>
                <w:color w:val="auto"/>
                <w:sz w:val="21"/>
                <w:szCs w:val="21"/>
                <w:highlight w:val="none"/>
              </w:rPr>
              <w:t>分；</w:t>
            </w:r>
          </w:p>
          <w:p w14:paraId="4EB59AC2">
            <w:pPr>
              <w:widowControl/>
              <w:spacing w:line="326"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②投标人对项目目标任务、相关政策要求进行了解读及详细的阐述，关键内容均包含，仅是缺乏对细节的深入分析和解释的得</w:t>
            </w:r>
            <w:r>
              <w:rPr>
                <w:rFonts w:hint="eastAsia" w:ascii="宋体" w:hAnsi="宋体" w:eastAsia="宋体" w:cs="宋体"/>
                <w:color w:val="auto"/>
                <w:sz w:val="21"/>
                <w:szCs w:val="21"/>
                <w:highlight w:val="none"/>
                <w:lang w:val="en-US" w:eastAsia="zh-CN"/>
              </w:rPr>
              <w:t>2.1～4.0</w:t>
            </w:r>
            <w:r>
              <w:rPr>
                <w:rFonts w:hint="eastAsia" w:ascii="宋体" w:hAnsi="宋体" w:eastAsia="宋体" w:cs="宋体"/>
                <w:color w:val="auto"/>
                <w:sz w:val="21"/>
                <w:szCs w:val="21"/>
                <w:highlight w:val="none"/>
              </w:rPr>
              <w:t>分；</w:t>
            </w:r>
          </w:p>
          <w:p w14:paraId="683EB1F1">
            <w:pPr>
              <w:widowControl/>
              <w:spacing w:line="326" w:lineRule="exact"/>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③投标人提供的资料明显体现出其对本项目缺乏必要的认识或阐述的内容脱离项目实际的得</w:t>
            </w:r>
            <w:r>
              <w:rPr>
                <w:rFonts w:hint="eastAsia" w:ascii="宋体" w:hAnsi="宋体" w:eastAsia="宋体" w:cs="宋体"/>
                <w:color w:val="auto"/>
                <w:sz w:val="21"/>
                <w:szCs w:val="21"/>
                <w:highlight w:val="none"/>
                <w:lang w:val="en-US" w:eastAsia="zh-CN"/>
              </w:rPr>
              <w:t>0.0～2.0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25EA94AD">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791F348">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r w14:paraId="0E03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restart"/>
            <w:vAlign w:val="center"/>
          </w:tcPr>
          <w:p w14:paraId="0E4ABE23">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Merge w:val="restart"/>
            <w:shd w:val="clear" w:color="auto" w:fill="auto"/>
            <w:vAlign w:val="center"/>
          </w:tcPr>
          <w:p w14:paraId="3BB3A75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重点、难点分析及解决措施</w:t>
            </w:r>
          </w:p>
        </w:tc>
        <w:tc>
          <w:tcPr>
            <w:tcW w:w="7090" w:type="dxa"/>
            <w:shd w:val="clear" w:color="auto" w:fill="auto"/>
            <w:vAlign w:val="center"/>
          </w:tcPr>
          <w:p w14:paraId="3DC5D951">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bCs/>
                <w:color w:val="auto"/>
                <w:sz w:val="21"/>
                <w:szCs w:val="21"/>
                <w:highlight w:val="none"/>
              </w:rPr>
              <w:t>针</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采购需求工作内容要求的理解，提出项目实施过程中的重点难点分析情况（包括对工作实施重点难点分析是否全面、透彻，阐述是否清晰）进行评议。</w:t>
            </w:r>
          </w:p>
          <w:p w14:paraId="60482B5F">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①具有充分的了解和认识，</w:t>
            </w:r>
            <w:r>
              <w:rPr>
                <w:rFonts w:hint="eastAsia" w:ascii="宋体" w:hAnsi="宋体" w:eastAsia="宋体" w:cs="宋体"/>
                <w:color w:val="auto"/>
                <w:sz w:val="21"/>
                <w:szCs w:val="21"/>
                <w:highlight w:val="none"/>
                <w:lang w:bidi="ar"/>
              </w:rPr>
              <w:t>分析结论全面</w:t>
            </w:r>
            <w:r>
              <w:rPr>
                <w:rFonts w:hint="eastAsia" w:ascii="宋体" w:hAnsi="宋体" w:eastAsia="宋体" w:cs="宋体"/>
                <w:color w:val="auto"/>
                <w:sz w:val="21"/>
                <w:szCs w:val="21"/>
                <w:highlight w:val="none"/>
              </w:rPr>
              <w:t>透彻，阐述详细的得</w:t>
            </w:r>
            <w:r>
              <w:rPr>
                <w:rFonts w:hint="eastAsia" w:ascii="宋体" w:hAnsi="宋体" w:eastAsia="宋体" w:cs="宋体"/>
                <w:color w:val="auto"/>
                <w:sz w:val="21"/>
                <w:szCs w:val="21"/>
                <w:highlight w:val="none"/>
                <w:lang w:val="en-US" w:eastAsia="zh-CN"/>
              </w:rPr>
              <w:t>3.1～5.0</w:t>
            </w:r>
            <w:r>
              <w:rPr>
                <w:rFonts w:hint="eastAsia" w:ascii="宋体" w:hAnsi="宋体" w:eastAsia="宋体" w:cs="宋体"/>
                <w:color w:val="auto"/>
                <w:sz w:val="21"/>
                <w:szCs w:val="21"/>
                <w:highlight w:val="none"/>
              </w:rPr>
              <w:t>分；</w:t>
            </w:r>
          </w:p>
          <w:p w14:paraId="38E3DDB0">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②分析不够全面或在深度上略有不足或阐述内容不够细致的得</w:t>
            </w:r>
            <w:r>
              <w:rPr>
                <w:rFonts w:hint="eastAsia" w:ascii="宋体" w:hAnsi="宋体" w:eastAsia="宋体" w:cs="宋体"/>
                <w:color w:val="auto"/>
                <w:sz w:val="21"/>
                <w:szCs w:val="21"/>
                <w:highlight w:val="none"/>
                <w:lang w:val="en-US" w:eastAsia="zh-CN"/>
              </w:rPr>
              <w:t>1.1～3.0</w:t>
            </w:r>
            <w:r>
              <w:rPr>
                <w:rFonts w:hint="eastAsia" w:ascii="宋体" w:hAnsi="宋体" w:eastAsia="宋体" w:cs="宋体"/>
                <w:color w:val="auto"/>
                <w:sz w:val="21"/>
                <w:szCs w:val="21"/>
                <w:highlight w:val="none"/>
              </w:rPr>
              <w:t>分；</w:t>
            </w:r>
          </w:p>
          <w:p w14:paraId="57E39CDE">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阐述</w:t>
            </w:r>
            <w:r>
              <w:rPr>
                <w:rFonts w:hint="eastAsia" w:ascii="宋体" w:hAnsi="宋体" w:eastAsia="宋体" w:cs="宋体"/>
                <w:color w:val="auto"/>
                <w:sz w:val="21"/>
                <w:szCs w:val="21"/>
                <w:highlight w:val="none"/>
              </w:rPr>
              <w:t>具有基本的了解和认识，但在认识上不够深入和透彻，阐述内容简略的得</w:t>
            </w:r>
            <w:r>
              <w:rPr>
                <w:rFonts w:hint="eastAsia" w:ascii="宋体" w:hAnsi="宋体" w:eastAsia="宋体" w:cs="宋体"/>
                <w:color w:val="auto"/>
                <w:sz w:val="21"/>
                <w:szCs w:val="21"/>
                <w:highlight w:val="none"/>
                <w:lang w:val="en-US" w:eastAsia="zh-CN"/>
              </w:rPr>
              <w:t>0.0～1.0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10BFC984">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7EE6A7D">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(主观分)</w:t>
            </w:r>
          </w:p>
        </w:tc>
      </w:tr>
      <w:tr w14:paraId="1306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continue"/>
            <w:vAlign w:val="center"/>
          </w:tcPr>
          <w:p w14:paraId="4DA6EC20">
            <w:pPr>
              <w:keepLines w:val="0"/>
              <w:pageBreakBefore w:val="0"/>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Merge w:val="continue"/>
            <w:shd w:val="clear" w:color="auto" w:fill="auto"/>
            <w:vAlign w:val="center"/>
          </w:tcPr>
          <w:p w14:paraId="190328EF">
            <w:pPr>
              <w:widowControl/>
              <w:jc w:val="center"/>
              <w:rPr>
                <w:rFonts w:hint="eastAsia" w:ascii="宋体" w:hAnsi="宋体" w:eastAsia="宋体" w:cs="宋体"/>
                <w:bCs/>
                <w:color w:val="auto"/>
                <w:sz w:val="21"/>
                <w:szCs w:val="21"/>
                <w:highlight w:val="none"/>
              </w:rPr>
            </w:pPr>
          </w:p>
        </w:tc>
        <w:tc>
          <w:tcPr>
            <w:tcW w:w="7090" w:type="dxa"/>
            <w:shd w:val="clear" w:color="auto" w:fill="auto"/>
            <w:vAlign w:val="center"/>
          </w:tcPr>
          <w:p w14:paraId="1A2A5847">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根据投标人对本项目重点、难点的应对措施，提出的对策与方案是否合理、可行进行评议。</w:t>
            </w:r>
          </w:p>
          <w:p w14:paraId="0EFE467A">
            <w:pPr>
              <w:ind w:right="-1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①对于每一个识别出来的重点以及难点，提出了至少一种切实可行的解决方案，</w:t>
            </w:r>
            <w:r>
              <w:rPr>
                <w:rFonts w:hint="eastAsia" w:ascii="宋体" w:hAnsi="宋体" w:eastAsia="宋体" w:cs="宋体"/>
                <w:color w:val="auto"/>
                <w:sz w:val="21"/>
                <w:szCs w:val="21"/>
                <w:highlight w:val="none"/>
                <w:shd w:val="clear" w:color="auto" w:fill="FFFFFF"/>
              </w:rPr>
              <w:t>解决方案基于实际条件（如现有技术水平、可调动资源等）的得</w:t>
            </w:r>
            <w:r>
              <w:rPr>
                <w:rFonts w:hint="eastAsia" w:ascii="宋体" w:hAnsi="宋体" w:eastAsia="宋体" w:cs="宋体"/>
                <w:color w:val="auto"/>
                <w:sz w:val="21"/>
                <w:szCs w:val="21"/>
                <w:highlight w:val="none"/>
                <w:lang w:val="en-US" w:eastAsia="zh-CN"/>
              </w:rPr>
              <w:t>3.1～5.0</w:t>
            </w:r>
            <w:r>
              <w:rPr>
                <w:rFonts w:hint="eastAsia" w:ascii="宋体" w:hAnsi="宋体" w:eastAsia="宋体" w:cs="宋体"/>
                <w:color w:val="auto"/>
                <w:sz w:val="21"/>
                <w:szCs w:val="21"/>
                <w:highlight w:val="none"/>
                <w:shd w:val="clear" w:color="auto" w:fill="FFFFFF"/>
              </w:rPr>
              <w:t>分；</w:t>
            </w:r>
          </w:p>
          <w:p w14:paraId="6D65D7B4">
            <w:pPr>
              <w:ind w:right="-10"/>
              <w:jc w:val="left"/>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②方案基本可行，但内容较为笼统，有待进一步完善</w:t>
            </w:r>
            <w:r>
              <w:rPr>
                <w:rFonts w:hint="eastAsia" w:ascii="宋体" w:hAnsi="宋体" w:eastAsia="宋体" w:cs="宋体"/>
                <w:color w:val="auto"/>
                <w:sz w:val="21"/>
                <w:szCs w:val="21"/>
                <w:highlight w:val="none"/>
                <w:shd w:val="clear" w:color="auto" w:fill="FFFFFF"/>
              </w:rPr>
              <w:t>的得</w:t>
            </w:r>
            <w:r>
              <w:rPr>
                <w:rFonts w:hint="eastAsia" w:ascii="宋体" w:hAnsi="宋体" w:eastAsia="宋体" w:cs="宋体"/>
                <w:color w:val="auto"/>
                <w:sz w:val="21"/>
                <w:szCs w:val="21"/>
                <w:highlight w:val="none"/>
                <w:lang w:val="en-US" w:eastAsia="zh-CN"/>
              </w:rPr>
              <w:t>1.1～3.0</w:t>
            </w:r>
            <w:r>
              <w:rPr>
                <w:rFonts w:hint="eastAsia" w:ascii="宋体" w:hAnsi="宋体" w:eastAsia="宋体" w:cs="宋体"/>
                <w:color w:val="auto"/>
                <w:sz w:val="21"/>
                <w:szCs w:val="21"/>
                <w:highlight w:val="none"/>
                <w:shd w:val="clear" w:color="auto" w:fill="FFFFFF"/>
              </w:rPr>
              <w:t>分；</w:t>
            </w:r>
          </w:p>
          <w:p w14:paraId="6AF4715E">
            <w:pPr>
              <w:ind w:right="-10" w:rightChars="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③</w:t>
            </w:r>
            <w:r>
              <w:rPr>
                <w:rFonts w:hint="eastAsia" w:ascii="宋体" w:hAnsi="宋体" w:eastAsia="宋体" w:cs="宋体"/>
                <w:color w:val="auto"/>
                <w:sz w:val="21"/>
                <w:szCs w:val="21"/>
                <w:highlight w:val="none"/>
                <w:shd w:val="clear" w:color="auto" w:fill="FFFFFF"/>
              </w:rPr>
              <w:t>提出</w:t>
            </w:r>
            <w:r>
              <w:rPr>
                <w:rFonts w:hint="eastAsia" w:ascii="宋体" w:hAnsi="宋体" w:eastAsia="宋体" w:cs="宋体"/>
                <w:color w:val="auto"/>
                <w:sz w:val="21"/>
                <w:szCs w:val="21"/>
                <w:highlight w:val="none"/>
                <w:shd w:val="clear" w:color="auto" w:fill="FFFFFF"/>
                <w:lang w:val="en-US" w:eastAsia="zh-CN"/>
              </w:rPr>
              <w:t>的</w:t>
            </w:r>
            <w:r>
              <w:rPr>
                <w:rFonts w:hint="eastAsia" w:ascii="宋体" w:hAnsi="宋体" w:eastAsia="宋体" w:cs="宋体"/>
                <w:color w:val="auto"/>
                <w:sz w:val="21"/>
                <w:szCs w:val="21"/>
                <w:highlight w:val="none"/>
                <w:shd w:val="clear" w:color="auto" w:fill="FFFFFF"/>
              </w:rPr>
              <w:t>解决方案存在可行性不足或未针对分析结果提供可行的解决方法（措施）的得</w:t>
            </w:r>
            <w:r>
              <w:rPr>
                <w:rFonts w:hint="eastAsia" w:ascii="宋体" w:hAnsi="宋体" w:eastAsia="宋体" w:cs="宋体"/>
                <w:color w:val="auto"/>
                <w:sz w:val="21"/>
                <w:szCs w:val="21"/>
                <w:highlight w:val="none"/>
                <w:lang w:val="en-US" w:eastAsia="zh-CN"/>
              </w:rPr>
              <w:t>0.0～1.0</w:t>
            </w:r>
            <w:r>
              <w:rPr>
                <w:rFonts w:hint="eastAsia" w:ascii="宋体" w:hAnsi="宋体" w:eastAsia="宋体" w:cs="宋体"/>
                <w:color w:val="auto"/>
                <w:sz w:val="21"/>
                <w:szCs w:val="21"/>
                <w:highlight w:val="none"/>
                <w:shd w:val="clear" w:color="auto" w:fill="FFFFFF"/>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03D65764">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BA6ADBE">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(主观分)</w:t>
            </w:r>
          </w:p>
        </w:tc>
      </w:tr>
      <w:tr w14:paraId="7FF4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03810E60">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shd w:val="clear" w:color="auto" w:fill="auto"/>
            <w:vAlign w:val="center"/>
          </w:tcPr>
          <w:p w14:paraId="79B4DA91">
            <w:pPr>
              <w:widowControl/>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实施</w:t>
            </w:r>
            <w:r>
              <w:rPr>
                <w:rFonts w:hint="eastAsia" w:ascii="宋体" w:hAnsi="宋体" w:eastAsia="宋体" w:cs="宋体"/>
                <w:color w:val="auto"/>
                <w:kern w:val="0"/>
                <w:sz w:val="21"/>
                <w:szCs w:val="21"/>
                <w:highlight w:val="none"/>
              </w:rPr>
              <w:t>方案</w:t>
            </w:r>
          </w:p>
        </w:tc>
        <w:tc>
          <w:tcPr>
            <w:tcW w:w="7090" w:type="dxa"/>
            <w:shd w:val="clear" w:color="auto" w:fill="auto"/>
            <w:vAlign w:val="center"/>
          </w:tcPr>
          <w:p w14:paraId="5E5D712D">
            <w:pPr>
              <w:ind w:right="-1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针对服务内容提出的实施方案（</w:t>
            </w:r>
            <w:r>
              <w:rPr>
                <w:rFonts w:hint="eastAsia" w:ascii="宋体" w:hAnsi="宋体" w:eastAsia="宋体" w:cs="宋体"/>
                <w:color w:val="auto"/>
                <w:sz w:val="21"/>
                <w:szCs w:val="21"/>
                <w:highlight w:val="none"/>
              </w:rPr>
              <w:t>地类对接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图斑优化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属性调查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林地管理边界确定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汇总分析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bidi="ar"/>
              </w:rPr>
              <w:t>进行评议。</w:t>
            </w:r>
          </w:p>
          <w:p w14:paraId="595A8368">
            <w:pPr>
              <w:ind w:right="-1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①</w:t>
            </w:r>
            <w:r>
              <w:rPr>
                <w:rFonts w:hint="eastAsia" w:ascii="宋体" w:hAnsi="宋体" w:eastAsia="宋体" w:cs="宋体"/>
                <w:color w:val="auto"/>
                <w:spacing w:val="10"/>
                <w:sz w:val="21"/>
                <w:szCs w:val="21"/>
                <w:highlight w:val="none"/>
              </w:rPr>
              <w:t>方案内容详实且具体，表达精准，条理分明的得</w:t>
            </w:r>
            <w:r>
              <w:rPr>
                <w:rFonts w:hint="eastAsia" w:ascii="宋体" w:hAnsi="宋体" w:eastAsia="宋体" w:cs="宋体"/>
                <w:color w:val="auto"/>
                <w:sz w:val="21"/>
                <w:szCs w:val="21"/>
                <w:highlight w:val="none"/>
                <w:lang w:val="en-US" w:eastAsia="zh-CN"/>
              </w:rPr>
              <w:t>4.1～6.0</w:t>
            </w:r>
            <w:r>
              <w:rPr>
                <w:rFonts w:hint="eastAsia" w:ascii="宋体" w:hAnsi="宋体" w:eastAsia="宋体" w:cs="宋体"/>
                <w:color w:val="auto"/>
                <w:spacing w:val="10"/>
                <w:sz w:val="21"/>
                <w:szCs w:val="21"/>
                <w:highlight w:val="none"/>
              </w:rPr>
              <w:t>分；</w:t>
            </w:r>
          </w:p>
          <w:p w14:paraId="5950DEB1">
            <w:pPr>
              <w:ind w:right="-10"/>
              <w:jc w:val="left"/>
              <w:rPr>
                <w:rFonts w:hint="eastAsia" w:ascii="宋体" w:hAnsi="宋体" w:eastAsia="宋体" w:cs="宋体"/>
                <w:color w:val="auto"/>
                <w:spacing w:val="10"/>
                <w:sz w:val="21"/>
                <w:szCs w:val="21"/>
                <w:highlight w:val="none"/>
              </w:rPr>
            </w:pPr>
            <w:r>
              <w:rPr>
                <w:rFonts w:hint="eastAsia" w:ascii="宋体" w:hAnsi="宋体" w:eastAsia="宋体" w:cs="宋体"/>
                <w:color w:val="auto"/>
                <w:sz w:val="21"/>
                <w:szCs w:val="21"/>
                <w:highlight w:val="none"/>
                <w:lang w:bidi="ar"/>
              </w:rPr>
              <w:t>②</w:t>
            </w:r>
            <w:r>
              <w:rPr>
                <w:rFonts w:hint="eastAsia" w:ascii="宋体" w:hAnsi="宋体" w:eastAsia="宋体" w:cs="宋体"/>
                <w:color w:val="auto"/>
                <w:spacing w:val="10"/>
                <w:sz w:val="21"/>
                <w:szCs w:val="21"/>
                <w:highlight w:val="none"/>
              </w:rPr>
              <w:t>方案内容包含全部重点要素（目的、任务、工作程序、技术路线），仅存在内容不够细化（深入）或方案描述在逻辑性及条理性上</w:t>
            </w:r>
            <w:r>
              <w:rPr>
                <w:rFonts w:hint="eastAsia" w:ascii="宋体" w:hAnsi="宋体" w:eastAsia="宋体" w:cs="宋体"/>
                <w:color w:val="auto"/>
                <w:sz w:val="21"/>
                <w:szCs w:val="21"/>
                <w:highlight w:val="none"/>
                <w:lang w:bidi="ar"/>
              </w:rPr>
              <w:t>略有不足但不会对项目实施造成明显影响的</w:t>
            </w:r>
            <w:r>
              <w:rPr>
                <w:rFonts w:hint="eastAsia" w:ascii="宋体" w:hAnsi="宋体" w:eastAsia="宋体" w:cs="宋体"/>
                <w:color w:val="auto"/>
                <w:sz w:val="21"/>
                <w:szCs w:val="21"/>
                <w:highlight w:val="none"/>
                <w:shd w:val="clear" w:color="auto" w:fill="FFFFFF"/>
              </w:rPr>
              <w:t>得</w:t>
            </w:r>
            <w:r>
              <w:rPr>
                <w:rFonts w:hint="eastAsia" w:ascii="宋体" w:hAnsi="宋体" w:eastAsia="宋体" w:cs="宋体"/>
                <w:color w:val="auto"/>
                <w:sz w:val="21"/>
                <w:szCs w:val="21"/>
                <w:highlight w:val="none"/>
                <w:lang w:val="en-US" w:eastAsia="zh-CN"/>
              </w:rPr>
              <w:t>2.1～4.0</w:t>
            </w:r>
            <w:r>
              <w:rPr>
                <w:rFonts w:hint="eastAsia" w:ascii="宋体" w:hAnsi="宋体" w:eastAsia="宋体" w:cs="宋体"/>
                <w:color w:val="auto"/>
                <w:sz w:val="21"/>
                <w:szCs w:val="21"/>
                <w:highlight w:val="none"/>
                <w:shd w:val="clear" w:color="auto" w:fill="FFFFFF"/>
              </w:rPr>
              <w:t>分；</w:t>
            </w:r>
          </w:p>
          <w:p w14:paraId="74E15F5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③</w:t>
            </w:r>
            <w:r>
              <w:rPr>
                <w:rFonts w:hint="eastAsia" w:ascii="宋体" w:hAnsi="宋体" w:eastAsia="宋体" w:cs="宋体"/>
                <w:color w:val="auto"/>
                <w:spacing w:val="7"/>
                <w:sz w:val="21"/>
                <w:szCs w:val="21"/>
                <w:highlight w:val="none"/>
              </w:rPr>
              <w:t>方案存在细节缺乏或描述笼统或逻辑不清或明显脱离实际的得</w:t>
            </w:r>
            <w:r>
              <w:rPr>
                <w:rFonts w:hint="eastAsia" w:ascii="宋体" w:hAnsi="宋体" w:eastAsia="宋体" w:cs="宋体"/>
                <w:color w:val="auto"/>
                <w:sz w:val="21"/>
                <w:szCs w:val="21"/>
                <w:highlight w:val="none"/>
                <w:lang w:val="en-US" w:eastAsia="zh-CN"/>
              </w:rPr>
              <w:t>0.0～2.0</w:t>
            </w:r>
            <w:r>
              <w:rPr>
                <w:rFonts w:hint="eastAsia" w:ascii="宋体" w:hAnsi="宋体" w:eastAsia="宋体" w:cs="宋体"/>
                <w:color w:val="auto"/>
                <w:spacing w:val="7"/>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352AFFBF">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6870EE5">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r w14:paraId="7E98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restart"/>
            <w:vAlign w:val="center"/>
          </w:tcPr>
          <w:p w14:paraId="5146D3C7">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Merge w:val="restart"/>
            <w:shd w:val="clear" w:color="auto" w:fill="auto"/>
            <w:vAlign w:val="center"/>
          </w:tcPr>
          <w:p w14:paraId="11133E23">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进度计划及保障措施</w:t>
            </w:r>
          </w:p>
        </w:tc>
        <w:tc>
          <w:tcPr>
            <w:tcW w:w="7090" w:type="dxa"/>
            <w:shd w:val="clear" w:color="auto" w:fill="auto"/>
            <w:vAlign w:val="center"/>
          </w:tcPr>
          <w:p w14:paraId="352F129C">
            <w:pPr>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根据投标人提供的项目工作部署、进度安排的合理可行情况进行评议</w:t>
            </w:r>
            <w:r>
              <w:rPr>
                <w:rFonts w:hint="eastAsia" w:ascii="宋体" w:hAnsi="宋体" w:eastAsia="宋体" w:cs="宋体"/>
                <w:b w:val="0"/>
                <w:bCs w:val="0"/>
                <w:color w:val="auto"/>
                <w:sz w:val="21"/>
                <w:szCs w:val="21"/>
                <w:highlight w:val="none"/>
                <w:lang w:eastAsia="zh-CN"/>
              </w:rPr>
              <w:t>。</w:t>
            </w:r>
          </w:p>
          <w:p w14:paraId="7AB3AA60">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①制定了详细的项目工作部署方案，项目各阶段任务和时间节点设置合理，关键里程碑任务明确的得</w:t>
            </w:r>
            <w:r>
              <w:rPr>
                <w:rFonts w:hint="eastAsia" w:ascii="宋体" w:hAnsi="宋体" w:eastAsia="宋体" w:cs="宋体"/>
                <w:color w:val="auto"/>
                <w:sz w:val="21"/>
                <w:szCs w:val="21"/>
                <w:highlight w:val="none"/>
                <w:lang w:val="en-US" w:eastAsia="zh-CN"/>
              </w:rPr>
              <w:t>4.1～6.0</w:t>
            </w:r>
            <w:r>
              <w:rPr>
                <w:rFonts w:hint="eastAsia" w:ascii="宋体" w:hAnsi="宋体" w:eastAsia="宋体" w:cs="宋体"/>
                <w:color w:val="auto"/>
                <w:sz w:val="21"/>
                <w:szCs w:val="21"/>
                <w:highlight w:val="none"/>
              </w:rPr>
              <w:t>分；</w:t>
            </w:r>
          </w:p>
          <w:p w14:paraId="6D7D822B">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bidi="ar"/>
              </w:rPr>
              <w:t>方案内容包含重点要素</w:t>
            </w:r>
            <w:r>
              <w:rPr>
                <w:rFonts w:hint="eastAsia" w:ascii="宋体" w:hAnsi="宋体" w:eastAsia="宋体" w:cs="宋体"/>
                <w:color w:val="auto"/>
                <w:sz w:val="21"/>
                <w:szCs w:val="21"/>
                <w:highlight w:val="none"/>
              </w:rPr>
              <w:t>，考虑充分，各项工作的安排适当，总体无影响项目顺利开展的重大缺陷的得</w:t>
            </w:r>
            <w:r>
              <w:rPr>
                <w:rFonts w:hint="eastAsia" w:ascii="宋体" w:hAnsi="宋体" w:eastAsia="宋体" w:cs="宋体"/>
                <w:color w:val="auto"/>
                <w:sz w:val="21"/>
                <w:szCs w:val="21"/>
                <w:highlight w:val="none"/>
                <w:lang w:val="en-US" w:eastAsia="zh-CN"/>
              </w:rPr>
              <w:t>2.1～4.0</w:t>
            </w:r>
            <w:r>
              <w:rPr>
                <w:rFonts w:hint="eastAsia" w:ascii="宋体" w:hAnsi="宋体" w:eastAsia="宋体" w:cs="宋体"/>
                <w:color w:val="auto"/>
                <w:sz w:val="21"/>
                <w:szCs w:val="21"/>
                <w:highlight w:val="none"/>
              </w:rPr>
              <w:t>分；</w:t>
            </w:r>
          </w:p>
          <w:p w14:paraId="5E098B74">
            <w:pPr>
              <w:ind w:right="-1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③进度安排方案简单笼统，考虑不足，各项工作的安排欠妥当，</w:t>
            </w:r>
            <w:r>
              <w:rPr>
                <w:rFonts w:hint="eastAsia" w:ascii="宋体" w:hAnsi="宋体" w:eastAsia="宋体" w:cs="宋体"/>
                <w:color w:val="auto"/>
                <w:sz w:val="21"/>
                <w:szCs w:val="21"/>
                <w:highlight w:val="none"/>
                <w:lang w:val="en-US" w:eastAsia="zh-CN"/>
              </w:rPr>
              <w:t>可能</w:t>
            </w:r>
            <w:r>
              <w:rPr>
                <w:rFonts w:hint="eastAsia" w:ascii="宋体" w:hAnsi="宋体" w:eastAsia="宋体" w:cs="宋体"/>
                <w:color w:val="auto"/>
                <w:sz w:val="21"/>
                <w:szCs w:val="21"/>
                <w:highlight w:val="none"/>
              </w:rPr>
              <w:t>影响项目顺利开展的得</w:t>
            </w:r>
            <w:r>
              <w:rPr>
                <w:rFonts w:hint="eastAsia" w:ascii="宋体" w:hAnsi="宋体" w:eastAsia="宋体" w:cs="宋体"/>
                <w:color w:val="auto"/>
                <w:sz w:val="21"/>
                <w:szCs w:val="21"/>
                <w:highlight w:val="none"/>
                <w:lang w:val="en-US" w:eastAsia="zh-CN"/>
              </w:rPr>
              <w:t>0.0～2.0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13CDBD98">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C980BEF">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r w14:paraId="6F25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continue"/>
            <w:vAlign w:val="center"/>
          </w:tcPr>
          <w:p w14:paraId="3B20C301">
            <w:pPr>
              <w:keepLines w:val="0"/>
              <w:pageBreakBefore w:val="0"/>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Merge w:val="continue"/>
            <w:shd w:val="clear" w:color="auto" w:fill="auto"/>
            <w:vAlign w:val="center"/>
          </w:tcPr>
          <w:p w14:paraId="7C381548">
            <w:pPr>
              <w:widowControl/>
              <w:jc w:val="center"/>
              <w:rPr>
                <w:rFonts w:hint="eastAsia" w:ascii="宋体" w:hAnsi="宋体" w:eastAsia="宋体" w:cs="宋体"/>
                <w:color w:val="auto"/>
                <w:kern w:val="0"/>
                <w:sz w:val="21"/>
                <w:szCs w:val="21"/>
                <w:highlight w:val="none"/>
                <w:lang w:val="en-US" w:eastAsia="zh-CN"/>
              </w:rPr>
            </w:pPr>
          </w:p>
        </w:tc>
        <w:tc>
          <w:tcPr>
            <w:tcW w:w="7090" w:type="dxa"/>
            <w:shd w:val="clear" w:color="auto" w:fill="auto"/>
            <w:vAlign w:val="center"/>
          </w:tcPr>
          <w:p w14:paraId="3432A103">
            <w:pPr>
              <w:spacing w:line="273"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根据投标人提供的针对项目实施制定的组织机构</w:t>
            </w:r>
            <w:r>
              <w:rPr>
                <w:rFonts w:hint="eastAsia" w:ascii="宋体" w:hAnsi="宋体" w:eastAsia="宋体" w:cs="宋体"/>
                <w:color w:val="auto"/>
                <w:sz w:val="21"/>
                <w:szCs w:val="21"/>
                <w:highlight w:val="none"/>
                <w:lang w:val="en-US" w:eastAsia="zh-CN"/>
              </w:rPr>
              <w:t>架构</w:t>
            </w:r>
            <w:r>
              <w:rPr>
                <w:rFonts w:hint="eastAsia" w:ascii="宋体" w:hAnsi="宋体" w:eastAsia="宋体" w:cs="宋体"/>
                <w:color w:val="auto"/>
                <w:sz w:val="21"/>
                <w:szCs w:val="21"/>
                <w:highlight w:val="none"/>
              </w:rPr>
              <w:t>、各项制度、项目组织、责任分工</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控制措施进行评议。</w:t>
            </w:r>
          </w:p>
          <w:p w14:paraId="2B19666D">
            <w:pPr>
              <w:spacing w:line="273"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①制定了详细的控制措施，有利于项目管控和目标实现的得</w:t>
            </w:r>
            <w:r>
              <w:rPr>
                <w:rFonts w:hint="eastAsia" w:ascii="宋体" w:hAnsi="宋体" w:eastAsia="宋体" w:cs="宋体"/>
                <w:color w:val="auto"/>
                <w:sz w:val="21"/>
                <w:szCs w:val="21"/>
                <w:highlight w:val="none"/>
                <w:lang w:val="en-US" w:eastAsia="zh-CN"/>
              </w:rPr>
              <w:t>4.1～6.0</w:t>
            </w:r>
            <w:r>
              <w:rPr>
                <w:rFonts w:hint="eastAsia" w:ascii="宋体" w:hAnsi="宋体" w:eastAsia="宋体" w:cs="宋体"/>
                <w:color w:val="auto"/>
                <w:sz w:val="21"/>
                <w:szCs w:val="21"/>
                <w:highlight w:val="none"/>
              </w:rPr>
              <w:t>分；</w:t>
            </w:r>
          </w:p>
          <w:p w14:paraId="539F2EA8">
            <w:pPr>
              <w:spacing w:line="273"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②控制措施适当，工作安排适当，总体无影响项目顺利开展的重大缺陷的得</w:t>
            </w:r>
            <w:r>
              <w:rPr>
                <w:rFonts w:hint="eastAsia" w:ascii="宋体" w:hAnsi="宋体" w:eastAsia="宋体" w:cs="宋体"/>
                <w:color w:val="auto"/>
                <w:sz w:val="21"/>
                <w:szCs w:val="21"/>
                <w:highlight w:val="none"/>
                <w:lang w:val="en-US" w:eastAsia="zh-CN"/>
              </w:rPr>
              <w:t>2.1～4.0</w:t>
            </w:r>
            <w:r>
              <w:rPr>
                <w:rFonts w:hint="eastAsia" w:ascii="宋体" w:hAnsi="宋体" w:eastAsia="宋体" w:cs="宋体"/>
                <w:color w:val="auto"/>
                <w:sz w:val="21"/>
                <w:szCs w:val="21"/>
                <w:highlight w:val="none"/>
              </w:rPr>
              <w:t>分；</w:t>
            </w:r>
          </w:p>
          <w:p w14:paraId="74EEA46B">
            <w:pPr>
              <w:spacing w:line="273"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③控制措施简略</w:t>
            </w:r>
            <w:r>
              <w:rPr>
                <w:rFonts w:hint="eastAsia" w:ascii="宋体" w:hAnsi="宋体" w:eastAsia="宋体" w:cs="宋体"/>
                <w:color w:val="auto"/>
                <w:sz w:val="21"/>
                <w:szCs w:val="21"/>
                <w:highlight w:val="none"/>
                <w:lang w:val="en-US" w:eastAsia="zh-CN"/>
              </w:rPr>
              <w:t>空洞</w:t>
            </w:r>
            <w:r>
              <w:rPr>
                <w:rFonts w:hint="eastAsia" w:ascii="宋体" w:hAnsi="宋体" w:eastAsia="宋体" w:cs="宋体"/>
                <w:color w:val="auto"/>
                <w:sz w:val="21"/>
                <w:szCs w:val="21"/>
                <w:highlight w:val="none"/>
              </w:rPr>
              <w:t>，考虑</w:t>
            </w:r>
            <w:r>
              <w:rPr>
                <w:rFonts w:hint="eastAsia" w:ascii="宋体" w:hAnsi="宋体" w:eastAsia="宋体" w:cs="宋体"/>
                <w:color w:val="auto"/>
                <w:sz w:val="21"/>
                <w:szCs w:val="21"/>
                <w:highlight w:val="none"/>
                <w:lang w:val="en-US" w:eastAsia="zh-CN"/>
              </w:rPr>
              <w:t>不够全面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有待改进</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0.0～2.0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31F5CDCA">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2BE972F">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r w14:paraId="75C6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484DE6CB">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shd w:val="clear" w:color="auto" w:fill="auto"/>
            <w:vAlign w:val="center"/>
          </w:tcPr>
          <w:p w14:paraId="1FA8C57F">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质量保障方案</w:t>
            </w:r>
          </w:p>
        </w:tc>
        <w:tc>
          <w:tcPr>
            <w:tcW w:w="7090" w:type="dxa"/>
            <w:shd w:val="clear" w:color="auto" w:fill="auto"/>
            <w:vAlign w:val="center"/>
          </w:tcPr>
          <w:p w14:paraId="1B7503DB">
            <w:pPr>
              <w:ind w:right="-1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根据投标人提供的成果质量保证方案，包括质量控制措施，质量管理制度情况进行评分：</w:t>
            </w:r>
          </w:p>
          <w:p w14:paraId="7164428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bCs/>
                <w:color w:val="auto"/>
                <w:kern w:val="0"/>
                <w:sz w:val="21"/>
                <w:szCs w:val="21"/>
                <w:highlight w:val="none"/>
              </w:rPr>
              <w:t>内容全面</w:t>
            </w:r>
            <w:r>
              <w:rPr>
                <w:rFonts w:hint="eastAsia" w:ascii="宋体" w:hAnsi="宋体" w:eastAsia="宋体" w:cs="宋体"/>
                <w:color w:val="auto"/>
                <w:sz w:val="21"/>
                <w:szCs w:val="21"/>
                <w:highlight w:val="none"/>
              </w:rPr>
              <w:t>、措施得力，有利于项目</w:t>
            </w:r>
            <w:r>
              <w:rPr>
                <w:rFonts w:hint="eastAsia" w:ascii="宋体" w:hAnsi="宋体" w:eastAsia="宋体" w:cs="宋体"/>
                <w:color w:val="auto"/>
                <w:sz w:val="21"/>
                <w:szCs w:val="21"/>
                <w:highlight w:val="none"/>
                <w:lang w:bidi="ar"/>
              </w:rPr>
              <w:t>成果</w:t>
            </w:r>
            <w:r>
              <w:rPr>
                <w:rFonts w:hint="eastAsia" w:ascii="宋体" w:hAnsi="宋体" w:eastAsia="宋体" w:cs="宋体"/>
                <w:color w:val="auto"/>
                <w:sz w:val="21"/>
                <w:szCs w:val="21"/>
                <w:highlight w:val="none"/>
              </w:rPr>
              <w:t>质量管控，充分保障项目顺利实施的得</w:t>
            </w:r>
            <w:r>
              <w:rPr>
                <w:rFonts w:hint="eastAsia" w:ascii="宋体" w:hAnsi="宋体" w:eastAsia="宋体" w:cs="宋体"/>
                <w:color w:val="auto"/>
                <w:sz w:val="21"/>
                <w:szCs w:val="21"/>
                <w:highlight w:val="none"/>
                <w:lang w:val="en-US" w:eastAsia="zh-CN"/>
              </w:rPr>
              <w:t>4.1～6.0</w:t>
            </w:r>
            <w:r>
              <w:rPr>
                <w:rFonts w:hint="eastAsia" w:ascii="宋体" w:hAnsi="宋体" w:eastAsia="宋体" w:cs="宋体"/>
                <w:color w:val="auto"/>
                <w:sz w:val="21"/>
                <w:szCs w:val="21"/>
                <w:highlight w:val="none"/>
              </w:rPr>
              <w:t>分；</w:t>
            </w:r>
          </w:p>
          <w:p w14:paraId="1B8A0234">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bCs/>
                <w:color w:val="auto"/>
                <w:kern w:val="0"/>
                <w:sz w:val="21"/>
                <w:szCs w:val="21"/>
                <w:highlight w:val="none"/>
              </w:rPr>
              <w:t>措施</w:t>
            </w:r>
            <w:r>
              <w:rPr>
                <w:rFonts w:hint="eastAsia" w:ascii="宋体" w:hAnsi="宋体" w:eastAsia="宋体" w:cs="宋体"/>
                <w:color w:val="auto"/>
                <w:kern w:val="0"/>
                <w:sz w:val="21"/>
                <w:szCs w:val="21"/>
                <w:highlight w:val="none"/>
              </w:rPr>
              <w:t>总体合理可行</w:t>
            </w:r>
            <w:r>
              <w:rPr>
                <w:rFonts w:hint="eastAsia" w:ascii="宋体" w:hAnsi="宋体" w:eastAsia="宋体" w:cs="宋体"/>
                <w:color w:val="auto"/>
                <w:sz w:val="21"/>
                <w:szCs w:val="21"/>
                <w:highlight w:val="none"/>
              </w:rPr>
              <w:t>，个别</w:t>
            </w:r>
            <w:r>
              <w:rPr>
                <w:rFonts w:hint="eastAsia" w:ascii="宋体" w:hAnsi="宋体" w:eastAsia="宋体" w:cs="宋体"/>
                <w:color w:val="auto"/>
                <w:kern w:val="0"/>
                <w:sz w:val="21"/>
                <w:szCs w:val="21"/>
                <w:highlight w:val="none"/>
              </w:rPr>
              <w:t>细节有待补充完善的得</w:t>
            </w:r>
            <w:r>
              <w:rPr>
                <w:rFonts w:hint="eastAsia" w:ascii="宋体" w:hAnsi="宋体" w:eastAsia="宋体" w:cs="宋体"/>
                <w:color w:val="auto"/>
                <w:sz w:val="21"/>
                <w:szCs w:val="21"/>
                <w:highlight w:val="none"/>
                <w:lang w:val="en-US" w:eastAsia="zh-CN"/>
              </w:rPr>
              <w:t>2.1～4.0</w:t>
            </w:r>
            <w:r>
              <w:rPr>
                <w:rFonts w:hint="eastAsia" w:ascii="宋体" w:hAnsi="宋体" w:eastAsia="宋体" w:cs="宋体"/>
                <w:color w:val="auto"/>
                <w:kern w:val="0"/>
                <w:sz w:val="21"/>
                <w:szCs w:val="21"/>
                <w:highlight w:val="none"/>
              </w:rPr>
              <w:t>分；</w:t>
            </w:r>
          </w:p>
          <w:p w14:paraId="2E3A8B8A">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③提供的方案简略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保证措施不足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缺乏</w:t>
            </w:r>
            <w:r>
              <w:rPr>
                <w:rFonts w:hint="eastAsia" w:ascii="宋体" w:hAnsi="宋体" w:cs="宋体"/>
                <w:color w:val="auto"/>
                <w:sz w:val="21"/>
                <w:szCs w:val="21"/>
                <w:highlight w:val="none"/>
                <w:lang w:val="en-US" w:eastAsia="zh-CN"/>
              </w:rPr>
              <w:t>一定</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0.0～2.0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08F7411F">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6430A8E">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r w14:paraId="00B7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restart"/>
            <w:vAlign w:val="center"/>
          </w:tcPr>
          <w:p w14:paraId="535AD2A9">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Merge w:val="restart"/>
            <w:vAlign w:val="center"/>
          </w:tcPr>
          <w:p w14:paraId="76338E8A">
            <w:pPr>
              <w:widowControl/>
              <w:jc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安全与保密措施</w:t>
            </w:r>
          </w:p>
        </w:tc>
        <w:tc>
          <w:tcPr>
            <w:tcW w:w="7090" w:type="dxa"/>
            <w:shd w:val="clear" w:color="auto" w:fill="auto"/>
            <w:vAlign w:val="center"/>
          </w:tcPr>
          <w:p w14:paraId="4BEDF13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（1）根据投标人提供的项目外业核查人员安全保障方案进行评议。</w:t>
            </w:r>
          </w:p>
          <w:p w14:paraId="1B7FF90B">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①安全保障方案内容全面、描述清晰，符合项目实际情况，措施得力，切实可行的得</w:t>
            </w:r>
            <w:r>
              <w:rPr>
                <w:rFonts w:hint="eastAsia" w:ascii="宋体" w:hAnsi="宋体" w:eastAsia="宋体" w:cs="宋体"/>
                <w:color w:val="auto"/>
                <w:sz w:val="21"/>
                <w:szCs w:val="21"/>
                <w:highlight w:val="none"/>
                <w:lang w:val="en-US" w:eastAsia="zh-CN"/>
              </w:rPr>
              <w:t>3.1～4.0</w:t>
            </w:r>
            <w:r>
              <w:rPr>
                <w:rFonts w:hint="eastAsia" w:ascii="宋体" w:hAnsi="宋体" w:eastAsia="宋体" w:cs="宋体"/>
                <w:color w:val="auto"/>
                <w:sz w:val="21"/>
                <w:szCs w:val="21"/>
                <w:highlight w:val="none"/>
              </w:rPr>
              <w:t>分；</w:t>
            </w:r>
          </w:p>
          <w:p w14:paraId="07317D1B">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②安全保障方案内容包含重点内容，基本符合项目实际情况，措施适当，合理可行的得</w:t>
            </w:r>
            <w:r>
              <w:rPr>
                <w:rFonts w:hint="eastAsia" w:ascii="宋体" w:hAnsi="宋体" w:eastAsia="宋体" w:cs="宋体"/>
                <w:color w:val="auto"/>
                <w:sz w:val="21"/>
                <w:szCs w:val="21"/>
                <w:highlight w:val="none"/>
                <w:lang w:val="en-US" w:eastAsia="zh-CN"/>
              </w:rPr>
              <w:t>1.1～3.0</w:t>
            </w:r>
            <w:r>
              <w:rPr>
                <w:rFonts w:hint="eastAsia" w:ascii="宋体" w:hAnsi="宋体" w:eastAsia="宋体" w:cs="宋体"/>
                <w:color w:val="auto"/>
                <w:sz w:val="21"/>
                <w:szCs w:val="21"/>
                <w:highlight w:val="none"/>
              </w:rPr>
              <w:t>分；</w:t>
            </w:r>
          </w:p>
          <w:p w14:paraId="46EFC57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③安全保障方案内容简略，细化程度不</w:t>
            </w:r>
            <w:r>
              <w:rPr>
                <w:rFonts w:hint="eastAsia" w:ascii="宋体" w:hAnsi="宋体" w:eastAsia="宋体" w:cs="宋体"/>
                <w:color w:val="auto"/>
                <w:sz w:val="21"/>
                <w:szCs w:val="21"/>
                <w:highlight w:val="none"/>
                <w:lang w:val="en-US" w:eastAsia="zh-CN"/>
              </w:rPr>
              <w:t>够</w:t>
            </w:r>
            <w:r>
              <w:rPr>
                <w:rFonts w:hint="eastAsia" w:ascii="宋体" w:hAnsi="宋体" w:eastAsia="宋体" w:cs="宋体"/>
                <w:color w:val="auto"/>
                <w:sz w:val="21"/>
                <w:szCs w:val="21"/>
                <w:highlight w:val="none"/>
              </w:rPr>
              <w:t>或保障措施欠妥的得</w:t>
            </w:r>
            <w:r>
              <w:rPr>
                <w:rFonts w:hint="eastAsia" w:ascii="宋体" w:hAnsi="宋体" w:eastAsia="宋体" w:cs="宋体"/>
                <w:color w:val="auto"/>
                <w:sz w:val="21"/>
                <w:szCs w:val="21"/>
                <w:highlight w:val="none"/>
                <w:lang w:val="en-US" w:eastAsia="zh-CN"/>
              </w:rPr>
              <w:t>0.0～1.0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129F63D5">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03EFDB1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(主观分)</w:t>
            </w:r>
          </w:p>
        </w:tc>
      </w:tr>
      <w:tr w14:paraId="0F51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Merge w:val="continue"/>
            <w:vAlign w:val="center"/>
          </w:tcPr>
          <w:p w14:paraId="1D7D96BC">
            <w:pPr>
              <w:keepLines w:val="0"/>
              <w:pageBreakBefore w:val="0"/>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vMerge w:val="continue"/>
            <w:vAlign w:val="center"/>
          </w:tcPr>
          <w:p w14:paraId="2A8B6C21">
            <w:pPr>
              <w:widowControl/>
              <w:jc w:val="center"/>
              <w:rPr>
                <w:rFonts w:hint="eastAsia" w:ascii="宋体" w:hAnsi="宋体" w:eastAsia="宋体" w:cs="宋体"/>
                <w:color w:val="auto"/>
                <w:kern w:val="0"/>
                <w:sz w:val="21"/>
                <w:szCs w:val="21"/>
                <w:highlight w:val="none"/>
              </w:rPr>
            </w:pPr>
          </w:p>
        </w:tc>
        <w:tc>
          <w:tcPr>
            <w:tcW w:w="7090" w:type="dxa"/>
            <w:shd w:val="clear" w:color="auto" w:fill="auto"/>
            <w:vAlign w:val="center"/>
          </w:tcPr>
          <w:p w14:paraId="0A1FC8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（2）根据投标人提供项目数据安全保密措施进行评议。</w:t>
            </w:r>
          </w:p>
          <w:p w14:paraId="00895B63">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保密制度内容规范，制度设置满足本项目实施的保密风险管理和控制要求，保密措施得力，切实可行的得</w:t>
            </w:r>
            <w:r>
              <w:rPr>
                <w:rFonts w:hint="eastAsia" w:ascii="宋体" w:hAnsi="宋体" w:eastAsia="宋体" w:cs="宋体"/>
                <w:color w:val="auto"/>
                <w:sz w:val="21"/>
                <w:szCs w:val="21"/>
                <w:highlight w:val="none"/>
                <w:lang w:val="en-US" w:eastAsia="zh-CN"/>
              </w:rPr>
              <w:t>3.1～4.0</w:t>
            </w:r>
            <w:r>
              <w:rPr>
                <w:rFonts w:hint="eastAsia" w:ascii="宋体" w:hAnsi="宋体" w:eastAsia="宋体" w:cs="宋体"/>
                <w:color w:val="auto"/>
                <w:sz w:val="21"/>
                <w:szCs w:val="21"/>
                <w:highlight w:val="none"/>
              </w:rPr>
              <w:t>分；</w:t>
            </w:r>
          </w:p>
          <w:p w14:paraId="7BD66A69">
            <w:pPr>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保密制度具有项目实施所需的主要内容，能够良好满足项目实施的保密风险管理和控制要求，措施适当，合理可行的得</w:t>
            </w:r>
            <w:r>
              <w:rPr>
                <w:rFonts w:hint="eastAsia" w:ascii="宋体" w:hAnsi="宋体" w:eastAsia="宋体" w:cs="宋体"/>
                <w:color w:val="auto"/>
                <w:sz w:val="21"/>
                <w:szCs w:val="21"/>
                <w:highlight w:val="none"/>
                <w:lang w:val="en-US" w:eastAsia="zh-CN"/>
              </w:rPr>
              <w:t>1.1～3.0</w:t>
            </w:r>
            <w:r>
              <w:rPr>
                <w:rFonts w:hint="eastAsia" w:ascii="宋体" w:hAnsi="宋体" w:eastAsia="宋体" w:cs="宋体"/>
                <w:color w:val="auto"/>
                <w:sz w:val="21"/>
                <w:szCs w:val="21"/>
                <w:highlight w:val="none"/>
              </w:rPr>
              <w:t>分；</w:t>
            </w:r>
          </w:p>
          <w:p w14:paraId="7286AF5D">
            <w:pPr>
              <w:ind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保密制度相对简略且欠规范，存在较多欠缺需要补充完善的得</w:t>
            </w:r>
            <w:r>
              <w:rPr>
                <w:rFonts w:hint="eastAsia" w:ascii="宋体" w:hAnsi="宋体" w:eastAsia="宋体" w:cs="宋体"/>
                <w:color w:val="auto"/>
                <w:sz w:val="21"/>
                <w:szCs w:val="21"/>
                <w:highlight w:val="none"/>
                <w:lang w:val="en-US" w:eastAsia="zh-CN"/>
              </w:rPr>
              <w:t>0.0～1.0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2150014F">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BB6CD17">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r w14:paraId="4FD6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528A2DF7">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shd w:val="clear" w:color="auto" w:fill="auto"/>
            <w:vAlign w:val="center"/>
          </w:tcPr>
          <w:p w14:paraId="2090CD03">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应急预案</w:t>
            </w:r>
          </w:p>
        </w:tc>
        <w:tc>
          <w:tcPr>
            <w:tcW w:w="7090" w:type="dxa"/>
            <w:shd w:val="clear" w:color="auto" w:fill="auto"/>
            <w:vAlign w:val="center"/>
          </w:tcPr>
          <w:p w14:paraId="3015F12B">
            <w:pPr>
              <w:widowControl/>
              <w:spacing w:line="326"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对项目实施过程中可能遇到的各类突发事件及问题有制定其应对措施进行评审。</w:t>
            </w:r>
          </w:p>
          <w:p w14:paraId="1D3BDF2F">
            <w:pPr>
              <w:widowControl/>
              <w:spacing w:line="326"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应急预案措施完善合理，且针对性强的得</w:t>
            </w:r>
            <w:r>
              <w:rPr>
                <w:rFonts w:hint="eastAsia" w:ascii="宋体" w:hAnsi="宋体" w:eastAsia="宋体" w:cs="宋体"/>
                <w:color w:val="auto"/>
                <w:sz w:val="21"/>
                <w:szCs w:val="21"/>
                <w:highlight w:val="none"/>
                <w:lang w:val="en-US" w:eastAsia="zh-CN"/>
              </w:rPr>
              <w:t>4.1～6.0</w:t>
            </w:r>
            <w:r>
              <w:rPr>
                <w:rFonts w:hint="eastAsia" w:ascii="宋体" w:hAnsi="宋体" w:eastAsia="宋体" w:cs="宋体"/>
                <w:color w:val="auto"/>
                <w:sz w:val="21"/>
                <w:szCs w:val="21"/>
                <w:highlight w:val="none"/>
              </w:rPr>
              <w:t>分；</w:t>
            </w:r>
          </w:p>
          <w:p w14:paraId="65AE68D1">
            <w:pPr>
              <w:widowControl/>
              <w:spacing w:line="326"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应急预案措施较为完善合理，且针对性较强的得</w:t>
            </w:r>
            <w:r>
              <w:rPr>
                <w:rFonts w:hint="eastAsia" w:ascii="宋体" w:hAnsi="宋体" w:eastAsia="宋体" w:cs="宋体"/>
                <w:color w:val="auto"/>
                <w:sz w:val="21"/>
                <w:szCs w:val="21"/>
                <w:highlight w:val="none"/>
                <w:lang w:val="en-US" w:eastAsia="zh-CN"/>
              </w:rPr>
              <w:t>2.1～4.0</w:t>
            </w:r>
            <w:r>
              <w:rPr>
                <w:rFonts w:hint="eastAsia" w:ascii="宋体" w:hAnsi="宋体" w:eastAsia="宋体" w:cs="宋体"/>
                <w:color w:val="auto"/>
                <w:sz w:val="21"/>
                <w:szCs w:val="21"/>
                <w:highlight w:val="none"/>
              </w:rPr>
              <w:t>分；</w:t>
            </w:r>
          </w:p>
          <w:p w14:paraId="17C8AF0D">
            <w:pPr>
              <w:widowControl/>
              <w:spacing w:line="326"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应急预案措施基本合理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但仍有待完善的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0.0～2.0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eastAsia="宋体" w:cs="宋体"/>
                <w:color w:val="auto"/>
                <w:sz w:val="21"/>
                <w:szCs w:val="21"/>
                <w:highlight w:val="none"/>
                <w:lang w:eastAsia="zh-CN"/>
              </w:rPr>
              <w:t>。</w:t>
            </w:r>
          </w:p>
        </w:tc>
        <w:tc>
          <w:tcPr>
            <w:tcW w:w="1211" w:type="dxa"/>
            <w:shd w:val="clear" w:color="auto" w:fill="auto"/>
            <w:vAlign w:val="center"/>
          </w:tcPr>
          <w:p w14:paraId="3E41FDCD">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DCF33B2">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r w14:paraId="6D9D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4D316645">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shd w:val="clear" w:color="auto" w:fill="auto"/>
            <w:vAlign w:val="center"/>
          </w:tcPr>
          <w:p w14:paraId="57CCC547">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后期服务承诺</w:t>
            </w:r>
          </w:p>
        </w:tc>
        <w:tc>
          <w:tcPr>
            <w:tcW w:w="7090" w:type="dxa"/>
            <w:shd w:val="clear" w:color="auto" w:fill="auto"/>
            <w:vAlign w:val="center"/>
          </w:tcPr>
          <w:p w14:paraId="3547A2A2">
            <w:pPr>
              <w:widowControl/>
              <w:spacing w:line="326"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根据供应商提供的售后服务方案、售后服务承诺以及服务承诺落实的保障措施和后续技术支持进行评审。</w:t>
            </w: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rPr>
              <w:t>服务承诺内容完整</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rPr>
              <w:t>，可行性</w:t>
            </w:r>
            <w:r>
              <w:rPr>
                <w:rFonts w:hint="eastAsia" w:ascii="宋体" w:hAnsi="宋体" w:cs="宋体"/>
                <w:color w:val="auto"/>
                <w:sz w:val="21"/>
                <w:szCs w:val="21"/>
                <w:highlight w:val="none"/>
                <w:lang w:val="en-US" w:eastAsia="zh-CN"/>
              </w:rPr>
              <w:t>程度进行评审，得0.0</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cs="宋体"/>
                <w:color w:val="auto"/>
                <w:sz w:val="21"/>
                <w:szCs w:val="21"/>
                <w:highlight w:val="none"/>
                <w:lang w:val="en-US" w:eastAsia="zh-CN"/>
              </w:rPr>
              <w:t>。</w:t>
            </w:r>
          </w:p>
        </w:tc>
        <w:tc>
          <w:tcPr>
            <w:tcW w:w="1211" w:type="dxa"/>
            <w:shd w:val="clear" w:color="auto" w:fill="auto"/>
            <w:vAlign w:val="center"/>
          </w:tcPr>
          <w:p w14:paraId="02161AC5">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111927C">
            <w:pPr>
              <w:widowControl/>
              <w:spacing w:line="2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r w14:paraId="3F63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45" w:type="dxa"/>
            <w:vAlign w:val="center"/>
          </w:tcPr>
          <w:p w14:paraId="14115FAD">
            <w:pPr>
              <w:keepLines w:val="0"/>
              <w:pageBreakBefore w:val="0"/>
              <w:numPr>
                <w:ilvl w:val="0"/>
                <w:numId w:val="15"/>
              </w:numPr>
              <w:kinsoku/>
              <w:wordWrap/>
              <w:overflowPunct/>
              <w:topLinePunct w:val="0"/>
              <w:autoSpaceDE/>
              <w:autoSpaceDN/>
              <w:bidi w:val="0"/>
              <w:snapToGrid/>
              <w:spacing w:line="240" w:lineRule="auto"/>
              <w:ind w:left="425" w:leftChars="0" w:hanging="425" w:firstLineChars="0"/>
              <w:jc w:val="center"/>
              <w:textAlignment w:val="auto"/>
              <w:rPr>
                <w:rFonts w:hint="eastAsia" w:ascii="宋体" w:hAnsi="宋体" w:eastAsia="宋体" w:cs="宋体"/>
                <w:b w:val="0"/>
                <w:bCs/>
                <w:color w:val="auto"/>
                <w:sz w:val="21"/>
                <w:szCs w:val="21"/>
                <w:highlight w:val="none"/>
              </w:rPr>
            </w:pPr>
          </w:p>
        </w:tc>
        <w:tc>
          <w:tcPr>
            <w:tcW w:w="724" w:type="dxa"/>
            <w:shd w:val="clear" w:color="auto" w:fill="auto"/>
            <w:vAlign w:val="center"/>
          </w:tcPr>
          <w:p w14:paraId="67962AE9">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合理化建议</w:t>
            </w:r>
          </w:p>
        </w:tc>
        <w:tc>
          <w:tcPr>
            <w:tcW w:w="7090" w:type="dxa"/>
            <w:shd w:val="clear" w:color="auto" w:fill="auto"/>
            <w:vAlign w:val="center"/>
          </w:tcPr>
          <w:p w14:paraId="180DB7AA">
            <w:pPr>
              <w:widowControl/>
              <w:spacing w:line="326"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针对本项目</w:t>
            </w:r>
            <w:r>
              <w:rPr>
                <w:rFonts w:hint="eastAsia" w:ascii="宋体" w:hAnsi="宋体" w:eastAsia="宋体" w:cs="宋体"/>
                <w:color w:val="auto"/>
                <w:sz w:val="21"/>
                <w:szCs w:val="21"/>
                <w:highlight w:val="none"/>
                <w:lang w:val="en-US" w:eastAsia="zh-CN"/>
              </w:rPr>
              <w:t>采购需求并</w:t>
            </w:r>
            <w:r>
              <w:rPr>
                <w:rFonts w:hint="eastAsia" w:ascii="宋体" w:hAnsi="宋体" w:eastAsia="宋体" w:cs="宋体"/>
                <w:color w:val="auto"/>
                <w:sz w:val="21"/>
                <w:szCs w:val="21"/>
                <w:highlight w:val="none"/>
              </w:rPr>
              <w:t>结合自身优势提出的合理化建议。</w:t>
            </w:r>
            <w:r>
              <w:rPr>
                <w:rFonts w:hint="eastAsia" w:ascii="宋体" w:hAnsi="宋体" w:cs="宋体"/>
                <w:color w:val="auto"/>
                <w:sz w:val="21"/>
                <w:szCs w:val="21"/>
                <w:highlight w:val="none"/>
                <w:lang w:val="en-US" w:eastAsia="zh-CN"/>
              </w:rPr>
              <w:t>根据内容的</w:t>
            </w:r>
            <w:r>
              <w:rPr>
                <w:rFonts w:hint="eastAsia" w:ascii="宋体" w:hAnsi="宋体" w:eastAsia="宋体" w:cs="宋体"/>
                <w:color w:val="auto"/>
                <w:sz w:val="21"/>
                <w:szCs w:val="21"/>
                <w:highlight w:val="none"/>
              </w:rPr>
              <w:t>可行</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val="en-US" w:eastAsia="zh-CN"/>
              </w:rPr>
              <w:t>性程度进行评审，得0.0</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未阐述不得分）</w:t>
            </w:r>
            <w:r>
              <w:rPr>
                <w:rFonts w:hint="eastAsia" w:ascii="宋体" w:hAnsi="宋体" w:cs="宋体"/>
                <w:color w:val="auto"/>
                <w:sz w:val="21"/>
                <w:szCs w:val="21"/>
                <w:highlight w:val="none"/>
                <w:lang w:val="en-US" w:eastAsia="zh-CN"/>
              </w:rPr>
              <w:t>。</w:t>
            </w:r>
            <w:bookmarkStart w:id="41" w:name="_GoBack"/>
            <w:bookmarkEnd w:id="41"/>
          </w:p>
        </w:tc>
        <w:tc>
          <w:tcPr>
            <w:tcW w:w="1211" w:type="dxa"/>
            <w:shd w:val="clear" w:color="auto" w:fill="auto"/>
            <w:vAlign w:val="center"/>
          </w:tcPr>
          <w:p w14:paraId="434B03E8">
            <w:pPr>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754EE52">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(主观分)</w:t>
            </w:r>
          </w:p>
        </w:tc>
      </w:tr>
    </w:tbl>
    <w:p w14:paraId="334C6FAF">
      <w:pPr>
        <w:keepNext w:val="0"/>
        <w:keepLines w:val="0"/>
        <w:pageBreakBefore w:val="0"/>
        <w:widowControl w:val="0"/>
        <w:kinsoku/>
        <w:wordWrap/>
        <w:overflowPunct/>
        <w:topLinePunct w:val="0"/>
        <w:autoSpaceDE/>
        <w:autoSpaceDN/>
        <w:bidi w:val="0"/>
        <w:adjustRightInd/>
        <w:snapToGrid/>
        <w:spacing w:before="157" w:beforeLines="50" w:after="156" w:afterLines="50" w:line="360" w:lineRule="auto"/>
        <w:textAlignment w:val="auto"/>
        <w:rPr>
          <w:rFonts w:hint="eastAsia" w:ascii="宋体" w:hAnsi="宋体" w:eastAsia="宋体" w:cs="宋体"/>
          <w:b/>
          <w:color w:val="auto"/>
          <w:sz w:val="24"/>
          <w:highlight w:val="none"/>
        </w:rPr>
      </w:pPr>
      <w:bookmarkStart w:id="36" w:name="_Toc13386"/>
      <w:r>
        <w:rPr>
          <w:rFonts w:hint="eastAsia" w:ascii="宋体" w:hAnsi="宋体" w:eastAsia="宋体" w:cs="宋体"/>
          <w:b/>
          <w:color w:val="auto"/>
          <w:sz w:val="24"/>
          <w:highlight w:val="none"/>
        </w:rPr>
        <w:t>3、报价文件评审</w:t>
      </w:r>
    </w:p>
    <w:p w14:paraId="054CE2E8">
      <w:pPr>
        <w:spacing w:after="156" w:afterLines="5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3.1报价得分计算方法如下：</w:t>
      </w:r>
    </w:p>
    <w:p w14:paraId="1B1064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①价格评定分值为</w:t>
      </w:r>
      <w:r>
        <w:rPr>
          <w:rFonts w:hint="eastAsia" w:ascii="宋体" w:hAnsi="宋体" w:eastAsia="宋体" w:cs="宋体"/>
          <w:b/>
          <w:bCs/>
          <w:color w:val="auto"/>
          <w:sz w:val="24"/>
          <w:highlight w:val="none"/>
          <w:u w:val="single"/>
          <w:lang w:val="en-US" w:eastAsia="zh-CN"/>
        </w:rPr>
        <w:t xml:space="preserve"> 10 </w:t>
      </w:r>
      <w:r>
        <w:rPr>
          <w:rFonts w:hint="eastAsia" w:ascii="宋体" w:hAnsi="宋体" w:eastAsia="宋体" w:cs="宋体"/>
          <w:b/>
          <w:bCs/>
          <w:color w:val="auto"/>
          <w:sz w:val="24"/>
          <w:highlight w:val="none"/>
        </w:rPr>
        <w:t xml:space="preserve">分。 </w:t>
      </w:r>
    </w:p>
    <w:p w14:paraId="09CF1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②评标基准价的确定：</w:t>
      </w:r>
    </w:p>
    <w:p w14:paraId="36A0A20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A、评标委员会认为供应商的报价明显低于其他通过符合性审查供应商的报价，而供应商不能在评标委员会要求的时间内作出合理电子答复且提供相关证明材料的，或者评标委员会认为其所作出的电子答复不合理的，该投标作无效标处理。</w:t>
      </w:r>
      <w:r>
        <w:rPr>
          <w:rFonts w:hint="eastAsia" w:ascii="宋体" w:hAnsi="宋体" w:eastAsia="宋体" w:cs="宋体"/>
          <w:b/>
          <w:bCs/>
          <w:color w:val="auto"/>
          <w:sz w:val="24"/>
          <w:highlight w:val="none"/>
        </w:rPr>
        <w:t>（若供应商报价低于项目预算50%的，应当在项目评审前准备好报价核算、报价明细、报价说明等材料，并详细阐述不影响产品质量或者诚信履约的具体原因，以备评审专家核查。）</w:t>
      </w:r>
    </w:p>
    <w:p w14:paraId="2100AA4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B、价格分统一采用低价优先法计算,即满足采购文件要求且投标价格最低的有效投标报价为评标基准价,其价格分为满分。供应商的价格分按照下列公式计算:</w:t>
      </w:r>
    </w:p>
    <w:p w14:paraId="43C956C6">
      <w:pPr>
        <w:widowControl/>
        <w:spacing w:before="156" w:beforeLines="50" w:after="156" w:afterLines="50"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报价得分=(评标基准价/投标报价)×</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%×100</w:t>
      </w:r>
    </w:p>
    <w:p w14:paraId="02BC786E">
      <w:pPr>
        <w:pStyle w:val="40"/>
        <w:spacing w:line="360" w:lineRule="auto"/>
        <w:ind w:firstLine="240" w:firstLineChars="1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C、因落实政府采购政策进行价格调整的，以调整后的价格计算评标基准价和投标报价。</w:t>
      </w:r>
    </w:p>
    <w:p w14:paraId="554E8327">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政府采购政策性规定说明：</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在政策适用前提下落实相关政策。</w:t>
      </w:r>
      <w:r>
        <w:rPr>
          <w:rFonts w:hint="eastAsia" w:ascii="宋体" w:hAnsi="宋体" w:eastAsia="宋体" w:cs="宋体"/>
          <w:b/>
          <w:color w:val="auto"/>
          <w:sz w:val="21"/>
          <w:szCs w:val="21"/>
          <w:highlight w:val="none"/>
          <w:u w:val="single"/>
          <w:lang w:eastAsia="zh-CN"/>
        </w:rPr>
        <w:t>）</w:t>
      </w:r>
    </w:p>
    <w:p w14:paraId="2677FFA0">
      <w:pPr>
        <w:keepLines w:val="0"/>
        <w:pageBreakBefore w:val="0"/>
        <w:kinsoku/>
        <w:wordWrap/>
        <w:overflowPunct/>
        <w:topLinePunct w:val="0"/>
        <w:bidi w:val="0"/>
        <w:spacing w:line="400" w:lineRule="exact"/>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（1）中小企业</w:t>
      </w:r>
      <w:r>
        <w:rPr>
          <w:rFonts w:hint="eastAsia" w:ascii="宋体" w:hAnsi="宋体" w:eastAsia="宋体" w:cs="宋体"/>
          <w:color w:val="auto"/>
          <w:sz w:val="28"/>
          <w:szCs w:val="28"/>
          <w:highlight w:val="none"/>
          <w:vertAlign w:val="superscript"/>
        </w:rPr>
        <w:t>①</w:t>
      </w:r>
      <w:r>
        <w:rPr>
          <w:rFonts w:hint="eastAsia" w:ascii="宋体" w:hAnsi="宋体" w:eastAsia="宋体" w:cs="宋体"/>
          <w:b/>
          <w:bCs/>
          <w:color w:val="auto"/>
          <w:sz w:val="24"/>
          <w:highlight w:val="none"/>
        </w:rPr>
        <w:t>（含监狱企业、残疾人福利性单位）扶持政策</w:t>
      </w:r>
    </w:p>
    <w:p w14:paraId="6A1119D2">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1）根据《政府采购促进中小企业发展管理办法》</w:t>
      </w:r>
      <w:r>
        <w:rPr>
          <w:rFonts w:hint="eastAsia" w:ascii="宋体" w:hAnsi="宋体" w:eastAsia="宋体" w:cs="宋体"/>
          <w:color w:val="auto"/>
          <w:sz w:val="28"/>
          <w:szCs w:val="28"/>
          <w:highlight w:val="none"/>
          <w:vertAlign w:val="superscript"/>
        </w:rPr>
        <w:t>②</w:t>
      </w:r>
      <w:r>
        <w:rPr>
          <w:rFonts w:hint="eastAsia" w:ascii="宋体" w:hAnsi="宋体" w:eastAsia="宋体" w:cs="宋体"/>
          <w:color w:val="auto"/>
          <w:sz w:val="24"/>
          <w:highlight w:val="none"/>
        </w:rPr>
        <w:t>[财库〔2020〕46号]</w:t>
      </w:r>
      <w:r>
        <w:rPr>
          <w:rFonts w:hint="eastAsia" w:ascii="宋体" w:hAnsi="宋体" w:eastAsia="宋体" w:cs="宋体"/>
          <w:color w:val="auto"/>
          <w:sz w:val="24"/>
          <w:highlight w:val="none"/>
          <w:lang w:val="en-US" w:eastAsia="zh-CN"/>
        </w:rPr>
        <w:t>和《财政部关于进一步加大政府采购支持中小企业力度的通知》</w:t>
      </w:r>
      <w:r>
        <w:rPr>
          <w:rFonts w:hint="eastAsia" w:ascii="宋体" w:hAnsi="宋体" w:eastAsia="宋体" w:cs="宋体"/>
          <w:color w:val="auto"/>
          <w:sz w:val="24"/>
          <w:highlight w:val="none"/>
        </w:rPr>
        <w:t>[财库〔202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2</w:t>
      </w:r>
      <w:r>
        <w:rPr>
          <w:rFonts w:hint="eastAsia" w:ascii="宋体" w:hAnsi="宋体" w:eastAsia="宋体" w:cs="宋体"/>
          <w:b/>
          <w:bCs/>
          <w:color w:val="auto"/>
          <w:sz w:val="24"/>
          <w:highlight w:val="none"/>
          <w:u w:val="single"/>
        </w:rPr>
        <w:t xml:space="preserve">0% </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6</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的扣除，用扣除后的价格参加评审。组成联合体或者接受分包的小微企业与联合体内其他企业、分包企业之间存在直接控股、管理关系的，不享受价格扣除优惠政策。投标人按</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"https://www.miit.gov.cn/zwgk/zcwj/wjfb/zh/art/2020/art_a14d0253a2f64bd283b53f5442fe81b3.html" </w:instrText>
      </w:r>
      <w:r>
        <w:rPr>
          <w:rFonts w:hint="eastAsia" w:ascii="宋体" w:hAnsi="宋体" w:eastAsia="宋体" w:cs="宋体"/>
          <w:color w:val="auto"/>
          <w:highlight w:val="none"/>
        </w:rPr>
        <w:fldChar w:fldCharType="separate"/>
      </w:r>
      <w:r>
        <w:rPr>
          <w:rStyle w:val="36"/>
          <w:rFonts w:hint="eastAsia" w:ascii="宋体" w:hAnsi="宋体" w:eastAsia="宋体" w:cs="宋体"/>
          <w:color w:val="auto"/>
          <w:sz w:val="24"/>
          <w:highlight w:val="none"/>
        </w:rPr>
        <w:t>工信部联企业〔2011〕300号规定</w:t>
      </w:r>
      <w:r>
        <w:rPr>
          <w:rStyle w:val="36"/>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的划分标准提供</w:t>
      </w:r>
      <w:r>
        <w:rPr>
          <w:rFonts w:hint="eastAsia" w:ascii="宋体" w:hAnsi="宋体" w:eastAsia="宋体" w:cs="宋体"/>
          <w:b/>
          <w:bCs/>
          <w:color w:val="auto"/>
          <w:sz w:val="24"/>
          <w:highlight w:val="none"/>
        </w:rPr>
        <w:t>《中小企业声明函》。</w:t>
      </w:r>
      <w:r>
        <w:rPr>
          <w:rFonts w:hint="eastAsia" w:ascii="宋体" w:hAnsi="宋体" w:eastAsia="宋体" w:cs="宋体"/>
          <w:color w:val="auto"/>
          <w:sz w:val="24"/>
          <w:highlight w:val="none"/>
          <w:u w:val="single"/>
        </w:rPr>
        <w:t>评标委员会依据《中小企业声明函》来审查投标人是否属于</w:t>
      </w:r>
      <w:r>
        <w:rPr>
          <w:rFonts w:hint="eastAsia" w:ascii="宋体" w:hAnsi="宋体" w:eastAsia="宋体" w:cs="宋体"/>
          <w:b/>
          <w:bCs/>
          <w:i/>
          <w:iCs/>
          <w:color w:val="auto"/>
          <w:sz w:val="24"/>
          <w:highlight w:val="none"/>
          <w:u w:val="single"/>
        </w:rPr>
        <w:t>小型或微型企业</w:t>
      </w:r>
      <w:r>
        <w:rPr>
          <w:rFonts w:hint="eastAsia" w:ascii="宋体" w:hAnsi="宋体" w:eastAsia="宋体" w:cs="宋体"/>
          <w:color w:val="auto"/>
          <w:sz w:val="24"/>
          <w:highlight w:val="none"/>
          <w:u w:val="single"/>
        </w:rPr>
        <w:t>，享受评审中价格扣除政策。</w:t>
      </w:r>
      <w:r>
        <w:rPr>
          <w:rFonts w:hint="eastAsia" w:ascii="宋体" w:hAnsi="宋体" w:eastAsia="宋体" w:cs="宋体"/>
          <w:color w:val="auto"/>
          <w:sz w:val="24"/>
          <w:highlight w:val="none"/>
        </w:rPr>
        <w:t>中标供应商为中小企业的，将随中标结果同时公告其《中小企业声明函》，接受社会监督。</w:t>
      </w:r>
    </w:p>
    <w:p w14:paraId="3DC9930E">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财库〔2017〕141号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的相关规定，在政府采购活动中，残疾人福利性单位视同小型、微型企业，享受评审中价格扣除政策。属于享受政府采购支持政策的残疾人福利性单位，应满足财库〔2017〕141号文件第一条的规定，并在投标文件中提供</w:t>
      </w:r>
      <w:r>
        <w:rPr>
          <w:rFonts w:hint="eastAsia" w:ascii="宋体" w:hAnsi="宋体" w:eastAsia="宋体" w:cs="宋体"/>
          <w:b/>
          <w:bCs/>
          <w:color w:val="auto"/>
          <w:sz w:val="24"/>
          <w:highlight w:val="none"/>
        </w:rPr>
        <w:t>《残疾人福利性单位声明函》</w:t>
      </w:r>
      <w:r>
        <w:rPr>
          <w:rFonts w:hint="eastAsia" w:ascii="宋体" w:hAnsi="宋体" w:eastAsia="宋体" w:cs="宋体"/>
          <w:color w:val="auto"/>
          <w:sz w:val="24"/>
          <w:highlight w:val="none"/>
        </w:rPr>
        <w:t>。中标供应商为残疾人福利性单位的，将随中标结果同时公告其《残疾人福利性单位声明函》，接受社会监督。</w:t>
      </w:r>
    </w:p>
    <w:p w14:paraId="7A9C224F">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财库〔2014〕68号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的相关规定，在政府采购活动中，监狱企业视同小型、微型企业，享受评审中价格扣除政策，并在投标文件中提供由省级以上监狱管理局、戒毒管理局（含新疆生产建设兵团）出具的属于监狱企业的证明文件。</w:t>
      </w:r>
    </w:p>
    <w:p w14:paraId="57F5A024">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同一供应商（包括联合体），小微企业、监狱企业、残疾人福利性单位价格扣除优惠只享受一次，不得重复享受。以上证明材料不提供或提供不全的视为自动放弃</w:t>
      </w:r>
      <w:r>
        <w:rPr>
          <w:rFonts w:hint="eastAsia" w:ascii="宋体" w:hAnsi="宋体" w:eastAsia="宋体" w:cs="宋体"/>
          <w:b/>
          <w:bCs/>
          <w:color w:val="auto"/>
          <w:sz w:val="24"/>
          <w:highlight w:val="none"/>
          <w:lang w:val="en-US" w:eastAsia="zh-CN"/>
        </w:rPr>
        <w:t>享受</w:t>
      </w:r>
      <w:r>
        <w:rPr>
          <w:rFonts w:hint="eastAsia" w:ascii="宋体" w:hAnsi="宋体" w:eastAsia="宋体" w:cs="宋体"/>
          <w:b/>
          <w:bCs/>
          <w:color w:val="auto"/>
          <w:sz w:val="24"/>
          <w:highlight w:val="none"/>
        </w:rPr>
        <w:t>优惠政策。</w:t>
      </w:r>
    </w:p>
    <w:p w14:paraId="6A8FC435">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181" w:firstLineChars="100"/>
        <w:textAlignment w:val="auto"/>
        <w:rPr>
          <w:rFonts w:hint="eastAsia" w:ascii="宋体" w:hAnsi="宋体" w:eastAsia="宋体" w:cs="宋体"/>
          <w:color w:val="auto"/>
          <w:szCs w:val="21"/>
          <w:highlight w:val="none"/>
        </w:rPr>
      </w:pPr>
      <w:r>
        <w:rPr>
          <w:rFonts w:hint="eastAsia" w:ascii="宋体" w:hAnsi="宋体" w:eastAsia="宋体" w:cs="宋体"/>
          <w:b/>
          <w:bCs/>
          <w:color w:val="auto"/>
          <w:sz w:val="18"/>
          <w:szCs w:val="18"/>
          <w:highlight w:val="none"/>
        </w:rPr>
        <w:t>注：①</w:t>
      </w:r>
      <w:r>
        <w:rPr>
          <w:rFonts w:hint="eastAsia" w:ascii="宋体" w:hAnsi="宋体" w:eastAsia="宋体" w:cs="宋体"/>
          <w:color w:val="auto"/>
          <w:szCs w:val="21"/>
          <w:highlight w:val="none"/>
        </w:rPr>
        <w:t>中小企业是指在中华人民共和国境内依法设立，依据国务院批准的</w:t>
      </w:r>
      <w:r>
        <w:rPr>
          <w:rFonts w:hint="eastAsia" w:ascii="宋体" w:hAnsi="宋体" w:eastAsia="宋体" w:cs="宋体"/>
          <w:color w:val="auto"/>
          <w:szCs w:val="21"/>
          <w:highlight w:val="none"/>
          <w:u w:val="single"/>
        </w:rPr>
        <w:t>中小企业划分标准</w:t>
      </w:r>
      <w:r>
        <w:rPr>
          <w:rFonts w:hint="eastAsia" w:ascii="宋体" w:hAnsi="宋体" w:eastAsia="宋体" w:cs="宋体"/>
          <w:color w:val="auto"/>
          <w:szCs w:val="21"/>
          <w:highlight w:val="none"/>
        </w:rPr>
        <w:t>确定的中型企业、小型企业和微型企业，但与大企业的负责人为同一人，或者与大企业存在直接控股、管理关系的除外。符合中小企业划分标准的个体工商户，在政府采购活动中视同中小企业。</w:t>
      </w:r>
    </w:p>
    <w:p w14:paraId="5F599900">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542" w:firstLineChars="300"/>
        <w:textAlignment w:val="auto"/>
        <w:rPr>
          <w:rFonts w:hint="eastAsia" w:ascii="宋体" w:hAnsi="宋体" w:eastAsia="宋体" w:cs="宋体"/>
          <w:color w:val="auto"/>
          <w:szCs w:val="21"/>
          <w:highlight w:val="none"/>
        </w:rPr>
      </w:pPr>
      <w:r>
        <w:rPr>
          <w:rFonts w:hint="eastAsia" w:ascii="宋体" w:hAnsi="宋体" w:eastAsia="宋体" w:cs="宋体"/>
          <w:b/>
          <w:bCs/>
          <w:color w:val="auto"/>
          <w:sz w:val="18"/>
          <w:szCs w:val="18"/>
          <w:highlight w:val="none"/>
        </w:rPr>
        <w:t>②</w:t>
      </w:r>
      <w:r>
        <w:rPr>
          <w:rFonts w:hint="eastAsia" w:ascii="宋体" w:hAnsi="宋体" w:eastAsia="宋体" w:cs="宋体"/>
          <w:color w:val="auto"/>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4F03D1">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在货物采购项目中，供应商提供的货物既有中小企业制造货物，也有大型企业制造货物的，不享受本办法规定的中小企业扶持政策。</w:t>
      </w:r>
    </w:p>
    <w:p w14:paraId="7E5AE5AD">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auto"/>
          <w:szCs w:val="21"/>
          <w:highlight w:val="none"/>
        </w:rPr>
        <w:tab/>
      </w:r>
    </w:p>
    <w:p w14:paraId="4463D339">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630" w:firstLineChars="3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中小企业享受扶持政策获得政府采购合同的，小微企业不得将合同分包给大中型企业，中型企业不得将合同分包给大型企业。</w:t>
      </w:r>
    </w:p>
    <w:p w14:paraId="19222986">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根据《政府采购促进中小企业发展管理办法》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71A070D7">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line="240" w:lineRule="auto"/>
        <w:ind w:firstLine="241" w:firstLineChars="1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支持节能环保</w:t>
      </w:r>
    </w:p>
    <w:p w14:paraId="12B6D865">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财库〔2019〕9号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文件规定，采购人拟采购的产品属于</w:t>
      </w:r>
      <w:r>
        <w:rPr>
          <w:rFonts w:hint="eastAsia" w:ascii="宋体" w:hAnsi="宋体" w:eastAsia="宋体" w:cs="宋体"/>
          <w:color w:val="auto"/>
          <w:sz w:val="24"/>
          <w:highlight w:val="none"/>
          <w:lang w:val="en-US" w:eastAsia="zh-CN"/>
        </w:rPr>
        <w:t>政府采购</w:t>
      </w:r>
      <w:r>
        <w:rPr>
          <w:rFonts w:hint="eastAsia" w:ascii="宋体" w:hAnsi="宋体" w:eastAsia="宋体" w:cs="宋体"/>
          <w:color w:val="auto"/>
          <w:sz w:val="24"/>
          <w:highlight w:val="none"/>
        </w:rPr>
        <w:t>品目清单范围（最新）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205C6B2">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优先采购绿色包装产品、绿色物流配送服务以及循环利用产品。</w:t>
      </w:r>
    </w:p>
    <w:p w14:paraId="078A1D2C">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新能源、清洁能源公务交通工具政府采购力度，机要通信等公务用车除特殊地理环境等因素外原则上采购新能源汽车，优先采购提供新能源交通工具的租赁服务。</w:t>
      </w:r>
    </w:p>
    <w:p w14:paraId="2D0A6144">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line="240" w:lineRule="auto"/>
        <w:ind w:firstLine="241" w:firstLineChars="1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支持科技创新</w:t>
      </w:r>
    </w:p>
    <w:p w14:paraId="495ADABC">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优先推荐专精特新中小企业、创新产品参加政府采购活动。</w:t>
      </w:r>
    </w:p>
    <w:p w14:paraId="69551845">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省级以上主管部门认定的首台套产品，自纳入《省推广应用指导目录》起三年内参加政府采购活动，视同已具备相应销售业绩，业绩分为满分。</w:t>
      </w:r>
    </w:p>
    <w:p w14:paraId="08E8768D">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line="240" w:lineRule="auto"/>
        <w:ind w:firstLine="241" w:firstLineChars="1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采购国货</w:t>
      </w:r>
    </w:p>
    <w:p w14:paraId="53F416E5">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C30269">
      <w:pPr>
        <w:keepNext w:val="0"/>
        <w:keepLines w:val="0"/>
        <w:pageBreakBefore w:val="0"/>
        <w:widowControl w:val="0"/>
        <w:numPr>
          <w:ilvl w:val="0"/>
          <w:numId w:val="0"/>
        </w:numPr>
        <w:tabs>
          <w:tab w:val="left" w:pos="3709"/>
        </w:tabs>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5、评委对各部分得分汇总,得出本项目各供应商的最终得分：</w:t>
      </w:r>
    </w:p>
    <w:p w14:paraId="076BD44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供应商的总得分=商务与技术得分+报价得分</w:t>
      </w:r>
    </w:p>
    <w:p w14:paraId="2ED3486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6、中标候选供应商的确定：</w:t>
      </w:r>
    </w:p>
    <w:p w14:paraId="034323BB">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委员会按评标总得分由高到低顺序排列。推荐总得分最高的供应商为中标候选供应商；总得分相同的，取投标报价低者为中标候选供应商；总得分和投标报价都相同的，取商务与技术得分最高为中标候选供应商；总得分、投标报价和商务与技术得分都相同的，则抽签确定。</w:t>
      </w:r>
    </w:p>
    <w:p w14:paraId="73E5857C">
      <w:pPr>
        <w:pageBreakBefore w:val="0"/>
        <w:tabs>
          <w:tab w:val="left" w:pos="1039"/>
        </w:tabs>
        <w:kinsoku/>
        <w:wordWrap/>
        <w:overflowPunct/>
        <w:topLinePunct w:val="0"/>
        <w:bidi w:val="0"/>
        <w:adjustRightInd w:val="0"/>
        <w:snapToGrid w:val="0"/>
        <w:spacing w:after="96" w:afterLines="40" w:line="240" w:lineRule="auto"/>
        <w:jc w:val="left"/>
        <w:outlineLvl w:val="0"/>
        <w:rPr>
          <w:rFonts w:hint="eastAsia" w:ascii="宋体" w:hAnsi="宋体" w:eastAsia="宋体" w:cs="宋体"/>
          <w:b/>
          <w:color w:val="auto"/>
          <w:sz w:val="36"/>
          <w:szCs w:val="44"/>
          <w:highlight w:val="none"/>
          <w:lang w:eastAsia="zh-CN"/>
        </w:rPr>
      </w:pPr>
    </w:p>
    <w:p w14:paraId="46C252D6">
      <w:pPr>
        <w:pageBreakBefore w:val="0"/>
        <w:kinsoku/>
        <w:wordWrap/>
        <w:overflowPunct/>
        <w:topLinePunct w:val="0"/>
        <w:bidi w:val="0"/>
        <w:adjustRightInd w:val="0"/>
        <w:snapToGrid w:val="0"/>
        <w:spacing w:after="96" w:afterLines="40" w:line="240" w:lineRule="auto"/>
        <w:jc w:val="center"/>
        <w:outlineLvl w:val="0"/>
        <w:rPr>
          <w:rFonts w:hint="eastAsia" w:ascii="宋体" w:hAnsi="宋体" w:eastAsia="宋体" w:cs="宋体"/>
          <w:b/>
          <w:color w:val="auto"/>
          <w:sz w:val="36"/>
          <w:szCs w:val="44"/>
          <w:highlight w:val="none"/>
        </w:rPr>
      </w:pPr>
    </w:p>
    <w:p w14:paraId="403AA0C4">
      <w:pPr>
        <w:pageBreakBefore w:val="0"/>
        <w:kinsoku/>
        <w:wordWrap/>
        <w:overflowPunct/>
        <w:topLinePunct w:val="0"/>
        <w:bidi w:val="0"/>
        <w:adjustRightInd w:val="0"/>
        <w:snapToGrid w:val="0"/>
        <w:spacing w:after="96" w:afterLines="40" w:line="240" w:lineRule="auto"/>
        <w:jc w:val="center"/>
        <w:outlineLvl w:val="0"/>
        <w:rPr>
          <w:rFonts w:hint="eastAsia" w:ascii="宋体" w:hAnsi="宋体" w:eastAsia="宋体" w:cs="宋体"/>
          <w:b/>
          <w:color w:val="auto"/>
          <w:sz w:val="36"/>
          <w:szCs w:val="36"/>
          <w:highlight w:val="none"/>
        </w:rPr>
      </w:pPr>
      <w:bookmarkStart w:id="37" w:name="_Toc28422"/>
      <w:r>
        <w:rPr>
          <w:rFonts w:hint="eastAsia" w:ascii="宋体" w:hAnsi="宋体" w:eastAsia="宋体" w:cs="宋体"/>
          <w:b/>
          <w:color w:val="auto"/>
          <w:sz w:val="36"/>
          <w:szCs w:val="44"/>
          <w:highlight w:val="none"/>
        </w:rPr>
        <w:t xml:space="preserve">第六章 </w:t>
      </w:r>
      <w:bookmarkEnd w:id="36"/>
      <w:r>
        <w:rPr>
          <w:rFonts w:hint="eastAsia" w:ascii="宋体" w:hAnsi="宋体" w:eastAsia="宋体" w:cs="宋体"/>
          <w:b/>
          <w:color w:val="auto"/>
          <w:sz w:val="36"/>
          <w:szCs w:val="44"/>
          <w:highlight w:val="none"/>
        </w:rPr>
        <w:t>应提交的有关格式范例</w:t>
      </w:r>
      <w:bookmarkEnd w:id="37"/>
    </w:p>
    <w:p w14:paraId="4295FF64">
      <w:pPr>
        <w:pageBreakBefore w:val="0"/>
        <w:kinsoku/>
        <w:wordWrap/>
        <w:overflowPunct/>
        <w:topLinePunct w:val="0"/>
        <w:bidi w:val="0"/>
        <w:spacing w:line="240" w:lineRule="auto"/>
        <w:rPr>
          <w:rFonts w:hint="eastAsia" w:ascii="宋体" w:hAnsi="宋体" w:eastAsia="宋体" w:cs="宋体"/>
          <w:b/>
          <w:i/>
          <w:color w:val="auto"/>
          <w:sz w:val="30"/>
          <w:szCs w:val="30"/>
          <w:highlight w:val="none"/>
          <w:u w:val="single"/>
        </w:rPr>
      </w:pPr>
      <w:r>
        <w:rPr>
          <w:rFonts w:hint="eastAsia" w:ascii="宋体" w:hAnsi="宋体" w:eastAsia="宋体" w:cs="宋体"/>
          <w:color w:val="auto"/>
          <w:szCs w:val="21"/>
          <w:highlight w:val="none"/>
        </w:rPr>
        <w:t>附件1 封面：</w:t>
      </w:r>
      <w:r>
        <w:rPr>
          <w:rFonts w:hint="eastAsia" w:ascii="宋体" w:hAnsi="宋体" w:eastAsia="宋体" w:cs="宋体"/>
          <w:b/>
          <w:color w:val="auto"/>
          <w:sz w:val="28"/>
          <w:highlight w:val="none"/>
        </w:rPr>
        <w:t xml:space="preserve">                                              </w:t>
      </w:r>
    </w:p>
    <w:p w14:paraId="6545E1A9">
      <w:pPr>
        <w:pageBreakBefore w:val="0"/>
        <w:kinsoku/>
        <w:wordWrap/>
        <w:overflowPunct/>
        <w:topLinePunct w:val="0"/>
        <w:bidi w:val="0"/>
        <w:spacing w:line="240" w:lineRule="auto"/>
        <w:ind w:firstLine="2200" w:firstLineChars="500"/>
        <w:rPr>
          <w:rFonts w:hint="eastAsia" w:ascii="宋体" w:hAnsi="宋体" w:eastAsia="宋体" w:cs="宋体"/>
          <w:color w:val="auto"/>
          <w:sz w:val="44"/>
          <w:szCs w:val="44"/>
          <w:highlight w:val="none"/>
        </w:rPr>
      </w:pPr>
    </w:p>
    <w:p w14:paraId="0E8E0452">
      <w:pPr>
        <w:pageBreakBefore w:val="0"/>
        <w:kinsoku/>
        <w:wordWrap/>
        <w:overflowPunct/>
        <w:topLinePunct w:val="0"/>
        <w:bidi w:val="0"/>
        <w:spacing w:line="240" w:lineRule="auto"/>
        <w:jc w:val="center"/>
        <w:rPr>
          <w:rFonts w:hint="eastAsia" w:ascii="宋体" w:hAnsi="宋体" w:eastAsia="宋体" w:cs="宋体"/>
          <w:b/>
          <w:color w:val="auto"/>
          <w:sz w:val="36"/>
          <w:szCs w:val="44"/>
          <w:highlight w:val="none"/>
          <w:lang w:eastAsia="zh-CN"/>
        </w:rPr>
      </w:pPr>
      <w:r>
        <w:rPr>
          <w:rFonts w:hint="eastAsia" w:ascii="宋体" w:hAnsi="宋体" w:eastAsia="宋体" w:cs="宋体"/>
          <w:b/>
          <w:color w:val="auto"/>
          <w:sz w:val="36"/>
          <w:szCs w:val="44"/>
          <w:highlight w:val="none"/>
          <w:lang w:eastAsia="zh-CN"/>
        </w:rPr>
        <w:t>天台县森林草地湿地普查工作</w:t>
      </w:r>
    </w:p>
    <w:p w14:paraId="1B776C91">
      <w:pPr>
        <w:pageBreakBefore w:val="0"/>
        <w:kinsoku/>
        <w:wordWrap/>
        <w:overflowPunct/>
        <w:topLinePunct w:val="0"/>
        <w:bidi w:val="0"/>
        <w:spacing w:line="24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（线上电子招投标） </w:t>
      </w:r>
    </w:p>
    <w:p w14:paraId="5159B750">
      <w:pPr>
        <w:pStyle w:val="15"/>
        <w:pageBreakBefore w:val="0"/>
        <w:kinsoku/>
        <w:wordWrap/>
        <w:overflowPunct/>
        <w:topLinePunct w:val="0"/>
        <w:bidi w:val="0"/>
        <w:spacing w:line="240" w:lineRule="auto"/>
        <w:rPr>
          <w:rFonts w:hint="eastAsia" w:ascii="宋体" w:hAnsi="宋体" w:eastAsia="宋体" w:cs="宋体"/>
          <w:b/>
          <w:color w:val="auto"/>
          <w:highlight w:val="none"/>
        </w:rPr>
      </w:pPr>
    </w:p>
    <w:p w14:paraId="14A280AC">
      <w:pPr>
        <w:pageBreakBefore w:val="0"/>
        <w:kinsoku/>
        <w:wordWrap/>
        <w:overflowPunct/>
        <w:topLinePunct w:val="0"/>
        <w:bidi w:val="0"/>
        <w:spacing w:before="120" w:beforeLines="50" w:after="120" w:afterLines="50" w:line="24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TCCG-2025-Z006</w:t>
      </w:r>
    </w:p>
    <w:p w14:paraId="2AD5508F">
      <w:pPr>
        <w:pStyle w:val="49"/>
        <w:pageBreakBefore w:val="0"/>
        <w:kinsoku/>
        <w:wordWrap/>
        <w:overflowPunct/>
        <w:topLinePunct w:val="0"/>
        <w:bidi w:val="0"/>
        <w:spacing w:line="240" w:lineRule="auto"/>
        <w:ind w:firstLine="562"/>
        <w:rPr>
          <w:rFonts w:hint="eastAsia" w:ascii="宋体" w:hAnsi="宋体" w:eastAsia="宋体" w:cs="宋体"/>
          <w:b/>
          <w:color w:val="auto"/>
          <w:highlight w:val="none"/>
        </w:rPr>
      </w:pPr>
    </w:p>
    <w:p w14:paraId="06D3E577">
      <w:pPr>
        <w:pStyle w:val="49"/>
        <w:pageBreakBefore w:val="0"/>
        <w:kinsoku/>
        <w:wordWrap/>
        <w:overflowPunct/>
        <w:topLinePunct w:val="0"/>
        <w:bidi w:val="0"/>
        <w:spacing w:line="240" w:lineRule="auto"/>
        <w:ind w:firstLine="562"/>
        <w:rPr>
          <w:rFonts w:hint="eastAsia" w:ascii="宋体" w:hAnsi="宋体" w:eastAsia="宋体" w:cs="宋体"/>
          <w:b/>
          <w:color w:val="auto"/>
          <w:highlight w:val="none"/>
        </w:rPr>
      </w:pPr>
    </w:p>
    <w:p w14:paraId="170E307E">
      <w:pPr>
        <w:pStyle w:val="15"/>
        <w:pageBreakBefore w:val="0"/>
        <w:kinsoku/>
        <w:wordWrap/>
        <w:overflowPunct/>
        <w:topLinePunct w:val="0"/>
        <w:bidi w:val="0"/>
        <w:spacing w:line="240" w:lineRule="auto"/>
        <w:rPr>
          <w:rFonts w:hint="eastAsia" w:ascii="宋体" w:hAnsi="宋体" w:eastAsia="宋体" w:cs="宋体"/>
          <w:b/>
          <w:color w:val="auto"/>
          <w:sz w:val="28"/>
          <w:szCs w:val="28"/>
          <w:highlight w:val="none"/>
        </w:rPr>
      </w:pPr>
    </w:p>
    <w:p w14:paraId="6634C13C">
      <w:pPr>
        <w:pageBreakBefore w:val="0"/>
        <w:kinsoku/>
        <w:wordWrap/>
        <w:overflowPunct/>
        <w:topLinePunct w:val="0"/>
        <w:autoSpaceDE w:val="0"/>
        <w:autoSpaceDN w:val="0"/>
        <w:bidi w:val="0"/>
        <w:spacing w:line="240" w:lineRule="auto"/>
        <w:jc w:val="center"/>
        <w:rPr>
          <w:rFonts w:hint="eastAsia" w:ascii="宋体" w:hAnsi="宋体" w:eastAsia="宋体" w:cs="宋体"/>
          <w:color w:val="auto"/>
          <w:spacing w:val="34"/>
          <w:sz w:val="72"/>
          <w:szCs w:val="72"/>
          <w:highlight w:val="none"/>
          <w:lang w:val="zh-CN"/>
          <w14:textOutline w14:w="3175" w14:cap="flat" w14:cmpd="sng" w14:algn="ctr">
            <w14:solidFill>
              <w14:schemeClr w14:val="tx1"/>
            </w14:solidFill>
            <w14:prstDash w14:val="solid"/>
            <w14:round/>
          </w14:textOutline>
        </w:rPr>
      </w:pPr>
      <w:r>
        <w:rPr>
          <w:rFonts w:hint="eastAsia" w:ascii="宋体" w:hAnsi="宋体" w:eastAsia="宋体" w:cs="宋体"/>
          <w:color w:val="auto"/>
          <w:spacing w:val="34"/>
          <w:sz w:val="72"/>
          <w:szCs w:val="72"/>
          <w:highlight w:val="none"/>
          <w:lang w:val="zh-CN"/>
          <w14:textOutline w14:w="3175" w14:cap="flat" w14:cmpd="sng" w14:algn="ctr">
            <w14:solidFill>
              <w14:schemeClr w14:val="tx1"/>
            </w14:solidFill>
            <w14:prstDash w14:val="solid"/>
            <w14:round/>
          </w14:textOutline>
        </w:rPr>
        <w:t>投标文件</w:t>
      </w:r>
    </w:p>
    <w:p w14:paraId="19B0DBD9">
      <w:pPr>
        <w:pageBreakBefore w:val="0"/>
        <w:kinsoku/>
        <w:wordWrap/>
        <w:overflowPunct/>
        <w:topLinePunct w:val="0"/>
        <w:autoSpaceDE w:val="0"/>
        <w:autoSpaceDN w:val="0"/>
        <w:bidi w:val="0"/>
        <w:spacing w:before="120" w:beforeLines="50"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val="zh-CN"/>
        </w:rPr>
        <w:t>文件）</w:t>
      </w:r>
    </w:p>
    <w:p w14:paraId="6EFB37C2">
      <w:pPr>
        <w:pStyle w:val="15"/>
        <w:pageBreakBefore w:val="0"/>
        <w:kinsoku/>
        <w:wordWrap/>
        <w:overflowPunct/>
        <w:topLinePunct w:val="0"/>
        <w:bidi w:val="0"/>
        <w:spacing w:line="240" w:lineRule="auto"/>
        <w:rPr>
          <w:rFonts w:hint="eastAsia" w:ascii="宋体" w:hAnsi="宋体" w:eastAsia="宋体" w:cs="宋体"/>
          <w:b/>
          <w:color w:val="auto"/>
          <w:sz w:val="28"/>
          <w:szCs w:val="28"/>
          <w:highlight w:val="none"/>
        </w:rPr>
      </w:pPr>
    </w:p>
    <w:p w14:paraId="5AFF4118">
      <w:pPr>
        <w:pStyle w:val="49"/>
        <w:pageBreakBefore w:val="0"/>
        <w:kinsoku/>
        <w:wordWrap/>
        <w:overflowPunct/>
        <w:topLinePunct w:val="0"/>
        <w:bidi w:val="0"/>
        <w:spacing w:line="240" w:lineRule="auto"/>
        <w:ind w:firstLine="0" w:firstLineChars="0"/>
        <w:rPr>
          <w:rFonts w:hint="eastAsia" w:ascii="宋体" w:hAnsi="宋体" w:eastAsia="宋体" w:cs="宋体"/>
          <w:b/>
          <w:color w:val="auto"/>
          <w:szCs w:val="28"/>
          <w:highlight w:val="none"/>
        </w:rPr>
      </w:pPr>
    </w:p>
    <w:p w14:paraId="21846AEE">
      <w:pPr>
        <w:pStyle w:val="49"/>
        <w:pageBreakBefore w:val="0"/>
        <w:kinsoku/>
        <w:wordWrap/>
        <w:overflowPunct/>
        <w:topLinePunct w:val="0"/>
        <w:bidi w:val="0"/>
        <w:spacing w:line="240" w:lineRule="auto"/>
        <w:ind w:firstLine="562"/>
        <w:rPr>
          <w:rFonts w:hint="eastAsia" w:ascii="宋体" w:hAnsi="宋体" w:eastAsia="宋体" w:cs="宋体"/>
          <w:b/>
          <w:color w:val="auto"/>
          <w:szCs w:val="28"/>
          <w:highlight w:val="none"/>
        </w:rPr>
      </w:pPr>
    </w:p>
    <w:p w14:paraId="15985863">
      <w:pPr>
        <w:pStyle w:val="49"/>
        <w:pageBreakBefore w:val="0"/>
        <w:kinsoku/>
        <w:wordWrap/>
        <w:overflowPunct/>
        <w:topLinePunct w:val="0"/>
        <w:bidi w:val="0"/>
        <w:spacing w:line="240" w:lineRule="auto"/>
        <w:ind w:firstLine="562"/>
        <w:rPr>
          <w:rFonts w:hint="eastAsia" w:ascii="宋体" w:hAnsi="宋体" w:eastAsia="宋体" w:cs="宋体"/>
          <w:b/>
          <w:color w:val="auto"/>
          <w:szCs w:val="28"/>
          <w:highlight w:val="none"/>
        </w:rPr>
      </w:pPr>
    </w:p>
    <w:p w14:paraId="5C047B0A">
      <w:pPr>
        <w:pageBreakBefore w:val="0"/>
        <w:kinsoku/>
        <w:wordWrap/>
        <w:overflowPunct/>
        <w:topLinePunct w:val="0"/>
        <w:bidi w:val="0"/>
        <w:spacing w:line="240" w:lineRule="auto"/>
        <w:ind w:firstLine="2108" w:firstLineChars="750"/>
        <w:rPr>
          <w:rFonts w:hint="eastAsia" w:ascii="宋体" w:hAnsi="宋体" w:eastAsia="宋体" w:cs="宋体"/>
          <w:b/>
          <w:color w:val="auto"/>
          <w:sz w:val="28"/>
          <w:szCs w:val="28"/>
          <w:highlight w:val="none"/>
        </w:rPr>
      </w:pPr>
    </w:p>
    <w:p w14:paraId="40C47919">
      <w:pPr>
        <w:pageBreakBefore w:val="0"/>
        <w:kinsoku/>
        <w:wordWrap/>
        <w:overflowPunct/>
        <w:topLinePunct w:val="0"/>
        <w:bidi w:val="0"/>
        <w:spacing w:after="120" w:afterLines="50" w:line="240" w:lineRule="auto"/>
        <w:jc w:val="center"/>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供应商全称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（盖公章）</w:t>
      </w:r>
    </w:p>
    <w:p w14:paraId="0865A8B4">
      <w:pPr>
        <w:pageBreakBefore w:val="0"/>
        <w:kinsoku/>
        <w:wordWrap/>
        <w:overflowPunct/>
        <w:topLinePunct w:val="0"/>
        <w:bidi w:val="0"/>
        <w:spacing w:after="120" w:afterLines="50" w:line="240" w:lineRule="auto"/>
        <w:ind w:firstLine="4216" w:firstLineChars="1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年   月   日 </w:t>
      </w:r>
    </w:p>
    <w:p w14:paraId="0B981B25">
      <w:pPr>
        <w:pStyle w:val="15"/>
        <w:pageBreakBefore w:val="0"/>
        <w:kinsoku/>
        <w:wordWrap/>
        <w:overflowPunct/>
        <w:topLinePunct w:val="0"/>
        <w:bidi w:val="0"/>
        <w:spacing w:line="240" w:lineRule="auto"/>
        <w:rPr>
          <w:rFonts w:hint="eastAsia" w:ascii="宋体" w:hAnsi="宋体" w:eastAsia="宋体" w:cs="宋体"/>
          <w:b/>
          <w:color w:val="auto"/>
          <w:sz w:val="28"/>
          <w:szCs w:val="28"/>
          <w:highlight w:val="none"/>
        </w:rPr>
      </w:pPr>
    </w:p>
    <w:p w14:paraId="4F808A87">
      <w:pPr>
        <w:pStyle w:val="49"/>
        <w:pageBreakBefore w:val="0"/>
        <w:kinsoku/>
        <w:wordWrap/>
        <w:overflowPunct/>
        <w:topLinePunct w:val="0"/>
        <w:bidi w:val="0"/>
        <w:spacing w:line="240" w:lineRule="auto"/>
        <w:ind w:firstLine="562"/>
        <w:rPr>
          <w:rFonts w:hint="eastAsia" w:ascii="宋体" w:hAnsi="宋体" w:eastAsia="宋体" w:cs="宋体"/>
          <w:b/>
          <w:color w:val="auto"/>
          <w:highlight w:val="none"/>
        </w:rPr>
      </w:pPr>
    </w:p>
    <w:p w14:paraId="5D648220">
      <w:pPr>
        <w:pStyle w:val="49"/>
        <w:pageBreakBefore w:val="0"/>
        <w:kinsoku/>
        <w:wordWrap/>
        <w:overflowPunct/>
        <w:topLinePunct w:val="0"/>
        <w:bidi w:val="0"/>
        <w:spacing w:line="240" w:lineRule="auto"/>
        <w:ind w:firstLine="562"/>
        <w:rPr>
          <w:rFonts w:hint="eastAsia" w:ascii="宋体" w:hAnsi="宋体" w:eastAsia="宋体" w:cs="宋体"/>
          <w:b/>
          <w:color w:val="auto"/>
          <w:highlight w:val="none"/>
        </w:rPr>
      </w:pPr>
    </w:p>
    <w:p w14:paraId="71D0A26A">
      <w:pPr>
        <w:pageBreakBefore w:val="0"/>
        <w:kinsoku/>
        <w:wordWrap/>
        <w:overflowPunct/>
        <w:topLinePunct w:val="0"/>
        <w:bidi w:val="0"/>
        <w:spacing w:after="120" w:afterLines="50" w:line="24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投标截止时间前其他单位或个人不得解密、提取</w:t>
      </w:r>
    </w:p>
    <w:p w14:paraId="468968B3">
      <w:pPr>
        <w:pStyle w:val="15"/>
        <w:pageBreakBefore w:val="0"/>
        <w:kinsoku/>
        <w:wordWrap/>
        <w:overflowPunct/>
        <w:topLinePunct w:val="0"/>
        <w:bidi w:val="0"/>
        <w:spacing w:line="240" w:lineRule="auto"/>
        <w:rPr>
          <w:rFonts w:hint="eastAsia" w:ascii="宋体" w:hAnsi="宋体" w:eastAsia="宋体" w:cs="宋体"/>
          <w:color w:val="auto"/>
          <w:sz w:val="36"/>
          <w:szCs w:val="36"/>
          <w:highlight w:val="none"/>
        </w:rPr>
      </w:pPr>
    </w:p>
    <w:p w14:paraId="6B72421B">
      <w:pPr>
        <w:pStyle w:val="16"/>
        <w:pageBreakBefore w:val="0"/>
        <w:kinsoku/>
        <w:wordWrap/>
        <w:overflowPunct/>
        <w:topLinePunct w:val="0"/>
        <w:bidi w:val="0"/>
        <w:spacing w:line="240" w:lineRule="auto"/>
        <w:ind w:firstLine="360"/>
        <w:rPr>
          <w:rFonts w:hint="eastAsia" w:ascii="宋体" w:hAnsi="宋体" w:eastAsia="宋体" w:cs="宋体"/>
          <w:color w:val="auto"/>
          <w:sz w:val="36"/>
          <w:szCs w:val="36"/>
          <w:highlight w:val="none"/>
        </w:rPr>
      </w:pPr>
    </w:p>
    <w:p w14:paraId="613C3A3C">
      <w:pPr>
        <w:pStyle w:val="16"/>
        <w:pageBreakBefore w:val="0"/>
        <w:kinsoku/>
        <w:wordWrap/>
        <w:overflowPunct/>
        <w:topLinePunct w:val="0"/>
        <w:bidi w:val="0"/>
        <w:spacing w:line="240" w:lineRule="auto"/>
        <w:ind w:firstLine="360"/>
        <w:rPr>
          <w:rFonts w:hint="eastAsia" w:ascii="宋体" w:hAnsi="宋体" w:eastAsia="宋体" w:cs="宋体"/>
          <w:color w:val="auto"/>
          <w:sz w:val="36"/>
          <w:szCs w:val="36"/>
          <w:highlight w:val="none"/>
        </w:rPr>
      </w:pPr>
    </w:p>
    <w:p w14:paraId="27CD5D8B">
      <w:pPr>
        <w:rPr>
          <w:rFonts w:hint="eastAsia" w:ascii="宋体" w:hAnsi="宋体" w:eastAsia="宋体" w:cs="宋体"/>
          <w:color w:val="auto"/>
          <w:sz w:val="36"/>
          <w:szCs w:val="36"/>
          <w:highlight w:val="none"/>
        </w:rPr>
      </w:pPr>
    </w:p>
    <w:p w14:paraId="2D6BA561">
      <w:pPr>
        <w:pStyle w:val="40"/>
        <w:rPr>
          <w:rFonts w:hint="eastAsia" w:ascii="宋体" w:hAnsi="宋体" w:eastAsia="宋体" w:cs="宋体"/>
          <w:color w:val="auto"/>
          <w:sz w:val="36"/>
          <w:szCs w:val="36"/>
          <w:highlight w:val="none"/>
        </w:rPr>
      </w:pPr>
    </w:p>
    <w:p w14:paraId="2959D8A5">
      <w:pPr>
        <w:pStyle w:val="40"/>
        <w:rPr>
          <w:rFonts w:hint="eastAsia" w:ascii="宋体" w:hAnsi="宋体" w:eastAsia="宋体" w:cs="宋体"/>
          <w:color w:val="auto"/>
          <w:highlight w:val="none"/>
        </w:rPr>
      </w:pPr>
    </w:p>
    <w:p w14:paraId="64342FED">
      <w:pPr>
        <w:pStyle w:val="12"/>
        <w:rPr>
          <w:rFonts w:hint="eastAsia" w:ascii="宋体" w:hAnsi="宋体" w:eastAsia="宋体" w:cs="宋体"/>
          <w:color w:val="auto"/>
          <w:sz w:val="36"/>
          <w:szCs w:val="36"/>
          <w:highlight w:val="none"/>
        </w:rPr>
      </w:pPr>
    </w:p>
    <w:p w14:paraId="7C958DD4">
      <w:pPr>
        <w:rPr>
          <w:rFonts w:hint="eastAsia" w:ascii="宋体" w:hAnsi="宋体" w:eastAsia="宋体" w:cs="宋体"/>
          <w:color w:val="auto"/>
          <w:highlight w:val="none"/>
        </w:rPr>
      </w:pPr>
    </w:p>
    <w:p w14:paraId="729CB67C">
      <w:pPr>
        <w:pageBreakBefore w:val="0"/>
        <w:kinsoku/>
        <w:wordWrap/>
        <w:overflowPunct/>
        <w:topLinePunct w:val="0"/>
        <w:bidi w:val="0"/>
        <w:spacing w:line="240" w:lineRule="auto"/>
        <w:jc w:val="left"/>
        <w:rPr>
          <w:rFonts w:hint="eastAsia" w:ascii="宋体" w:hAnsi="宋体" w:eastAsia="宋体" w:cs="宋体"/>
          <w:bCs/>
          <w:color w:val="auto"/>
          <w:highlight w:val="none"/>
        </w:rPr>
      </w:pPr>
      <w:bookmarkStart w:id="38" w:name="_Toc38808094"/>
      <w:bookmarkStart w:id="39" w:name="_Toc9142"/>
    </w:p>
    <w:p w14:paraId="40E2B079">
      <w:pPr>
        <w:pageBreakBefore w:val="0"/>
        <w:kinsoku/>
        <w:wordWrap/>
        <w:overflowPunct/>
        <w:topLinePunct w:val="0"/>
        <w:bidi w:val="0"/>
        <w:spacing w:line="240" w:lineRule="auto"/>
        <w:jc w:val="left"/>
        <w:rPr>
          <w:rFonts w:hint="eastAsia" w:ascii="宋体" w:hAnsi="宋体" w:eastAsia="宋体" w:cs="宋体"/>
          <w:bCs/>
          <w:color w:val="auto"/>
          <w:highlight w:val="none"/>
        </w:rPr>
      </w:pPr>
    </w:p>
    <w:p w14:paraId="22912CC6">
      <w:pPr>
        <w:pageBreakBefore w:val="0"/>
        <w:kinsoku/>
        <w:wordWrap/>
        <w:overflowPunct/>
        <w:topLinePunct w:val="0"/>
        <w:bidi w:val="0"/>
        <w:spacing w:line="240" w:lineRule="auto"/>
        <w:jc w:val="left"/>
        <w:rPr>
          <w:rFonts w:hint="eastAsia" w:ascii="宋体" w:hAnsi="宋体" w:eastAsia="宋体" w:cs="宋体"/>
          <w:bCs/>
          <w:color w:val="auto"/>
          <w:highlight w:val="none"/>
        </w:rPr>
      </w:pPr>
      <w:r>
        <w:rPr>
          <w:rFonts w:hint="eastAsia" w:ascii="宋体" w:hAnsi="宋体" w:eastAsia="宋体" w:cs="宋体"/>
          <w:bCs/>
          <w:color w:val="auto"/>
          <w:highlight w:val="none"/>
        </w:rPr>
        <w:t>附件2 政府采购活动现场确认声明书：</w:t>
      </w:r>
    </w:p>
    <w:p w14:paraId="6F402319">
      <w:pPr>
        <w:pStyle w:val="12"/>
        <w:pageBreakBefore w:val="0"/>
        <w:kinsoku/>
        <w:wordWrap/>
        <w:overflowPunct/>
        <w:topLinePunct w:val="0"/>
        <w:bidi w:val="0"/>
        <w:spacing w:line="240" w:lineRule="auto"/>
        <w:rPr>
          <w:rFonts w:hint="eastAsia" w:ascii="宋体" w:hAnsi="宋体" w:eastAsia="宋体" w:cs="宋体"/>
          <w:color w:val="auto"/>
          <w:highlight w:val="none"/>
        </w:rPr>
      </w:pPr>
    </w:p>
    <w:p w14:paraId="0D8B00E3">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u w:color="0070C0"/>
          <w14:textOutline w14:w="3175" w14:cap="flat" w14:cmpd="sng" w14:algn="ctr">
            <w14:solidFill>
              <w14:schemeClr w14:val="accent1"/>
            </w14:solidFill>
            <w14:prstDash w14:val="solid"/>
            <w14:round/>
          </w14:textOutline>
        </w:rPr>
      </w:pPr>
      <w:r>
        <w:rPr>
          <w:rFonts w:hint="eastAsia" w:ascii="宋体" w:hAnsi="宋体" w:eastAsia="宋体" w:cs="宋体"/>
          <w:b/>
          <w:color w:val="auto"/>
          <w:kern w:val="0"/>
          <w:sz w:val="30"/>
          <w:szCs w:val="30"/>
          <w:highlight w:val="none"/>
          <w:u w:color="0070C0"/>
          <w14:textOutline w14:w="3175" w14:cap="flat" w14:cmpd="sng" w14:algn="ctr">
            <w14:solidFill>
              <w14:schemeClr w14:val="accent1"/>
            </w14:solidFill>
            <w14:prstDash w14:val="solid"/>
            <w14:round/>
          </w14:textOutline>
        </w:rPr>
        <w:t>政府</w:t>
      </w:r>
      <w:r>
        <w:rPr>
          <w:rFonts w:hint="eastAsia" w:ascii="宋体" w:hAnsi="宋体" w:eastAsia="宋体" w:cs="宋体"/>
          <w:b/>
          <w:color w:val="auto"/>
          <w:kern w:val="0"/>
          <w:sz w:val="30"/>
          <w:szCs w:val="30"/>
          <w:highlight w:val="none"/>
          <w:u w:color="0070C0"/>
          <w:lang w:val="zh-CN"/>
          <w14:textOutline w14:w="3175" w14:cap="flat" w14:cmpd="sng" w14:algn="ctr">
            <w14:solidFill>
              <w14:schemeClr w14:val="accent1"/>
            </w14:solidFill>
            <w14:prstDash w14:val="solid"/>
            <w14:round/>
          </w14:textOutline>
        </w:rPr>
        <w:t>采购活动现场确认声明书</w:t>
      </w:r>
      <w:bookmarkEnd w:id="38"/>
      <w:bookmarkEnd w:id="39"/>
    </w:p>
    <w:p w14:paraId="444D1410">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u w:val="single"/>
        </w:rPr>
        <w:t>台州市天诚工程造价咨询有限公司</w:t>
      </w:r>
      <w:r>
        <w:rPr>
          <w:rFonts w:hint="eastAsia" w:ascii="宋体" w:hAnsi="宋体" w:eastAsia="宋体" w:cs="宋体"/>
          <w:color w:val="auto"/>
          <w:kern w:val="0"/>
          <w:szCs w:val="21"/>
          <w:highlight w:val="none"/>
        </w:rPr>
        <w:t>（采购组织机构名称）：</w:t>
      </w:r>
    </w:p>
    <w:p w14:paraId="75552790">
      <w:pPr>
        <w:pStyle w:val="86"/>
        <w:keepNext w:val="0"/>
        <w:keepLines w:val="0"/>
        <w:pageBreakBefore w:val="0"/>
        <w:widowControl/>
        <w:kinsoku/>
        <w:wordWrap/>
        <w:overflowPunct/>
        <w:topLinePunct w:val="0"/>
        <w:autoSpaceDE/>
        <w:autoSpaceDN/>
        <w:bidi w:val="0"/>
        <w:adjustRightInd/>
        <w:snapToGrid w:val="0"/>
        <w:spacing w:line="432" w:lineRule="auto"/>
        <w:ind w:left="19" w:leftChars="9" w:firstLine="415" w:firstLineChars="187"/>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w:t>
      </w:r>
      <w:r>
        <w:rPr>
          <w:rFonts w:hint="eastAsia" w:ascii="宋体" w:hAnsi="宋体" w:eastAsia="宋体" w:cs="宋体"/>
          <w:color w:val="auto"/>
          <w:spacing w:val="6"/>
          <w:szCs w:val="21"/>
          <w:highlight w:val="none"/>
          <w:u w:val="single"/>
        </w:rPr>
        <w:t xml:space="preserve">         （授权代表姓名）</w:t>
      </w:r>
      <w:r>
        <w:rPr>
          <w:rFonts w:hint="eastAsia" w:ascii="宋体" w:hAnsi="宋体" w:eastAsia="宋体" w:cs="宋体"/>
          <w:color w:val="auto"/>
          <w:spacing w:val="6"/>
          <w:szCs w:val="21"/>
          <w:highlight w:val="none"/>
        </w:rPr>
        <w:t>经由</w:t>
      </w:r>
      <w:r>
        <w:rPr>
          <w:rFonts w:hint="eastAsia" w:ascii="宋体" w:hAnsi="宋体" w:eastAsia="宋体" w:cs="宋体"/>
          <w:color w:val="auto"/>
          <w:spacing w:val="6"/>
          <w:szCs w:val="21"/>
          <w:highlight w:val="none"/>
          <w:u w:val="single"/>
        </w:rPr>
        <w:t xml:space="preserve">              （单位）</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（姓名）</w:t>
      </w:r>
      <w:r>
        <w:rPr>
          <w:rFonts w:hint="eastAsia" w:ascii="宋体" w:hAnsi="宋体" w:eastAsia="宋体" w:cs="宋体"/>
          <w:color w:val="auto"/>
          <w:spacing w:val="6"/>
          <w:szCs w:val="21"/>
          <w:highlight w:val="none"/>
        </w:rPr>
        <w:t>合法授权参加</w:t>
      </w:r>
      <w:r>
        <w:rPr>
          <w:rFonts w:hint="eastAsia" w:ascii="宋体" w:hAnsi="宋体" w:eastAsia="宋体" w:cs="宋体"/>
          <w:color w:val="auto"/>
          <w:spacing w:val="6"/>
          <w:szCs w:val="21"/>
          <w:highlight w:val="none"/>
          <w:u w:val="single"/>
          <w:lang w:eastAsia="zh-CN"/>
        </w:rPr>
        <w:t>天台县森林草地湿地普查工作</w:t>
      </w:r>
      <w:r>
        <w:rPr>
          <w:rFonts w:hint="eastAsia" w:ascii="宋体" w:hAnsi="宋体" w:eastAsia="宋体" w:cs="宋体"/>
          <w:color w:val="auto"/>
          <w:spacing w:val="6"/>
          <w:szCs w:val="21"/>
          <w:highlight w:val="none"/>
        </w:rPr>
        <w:t>（编号：</w:t>
      </w:r>
      <w:r>
        <w:rPr>
          <w:rFonts w:hint="eastAsia" w:hAnsi="宋体" w:cs="宋体"/>
          <w:color w:val="auto"/>
          <w:spacing w:val="6"/>
          <w:szCs w:val="21"/>
          <w:highlight w:val="none"/>
          <w:u w:val="single"/>
          <w:lang w:eastAsia="zh-CN"/>
        </w:rPr>
        <w:t>TCCG-2025-Z006</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14:paraId="685FB880">
      <w:pPr>
        <w:pStyle w:val="87"/>
        <w:keepNext w:val="0"/>
        <w:keepLines w:val="0"/>
        <w:pageBreakBefore w:val="0"/>
        <w:widowControl/>
        <w:numPr>
          <w:ilvl w:val="0"/>
          <w:numId w:val="18"/>
        </w:numPr>
        <w:kinsoku/>
        <w:wordWrap/>
        <w:overflowPunct/>
        <w:topLinePunct w:val="0"/>
        <w:autoSpaceDE/>
        <w:autoSpaceDN/>
        <w:bidi w:val="0"/>
        <w:adjustRightInd/>
        <w:snapToGrid w:val="0"/>
        <w:spacing w:line="432" w:lineRule="auto"/>
        <w:ind w:firstLine="396" w:firstLineChars="189"/>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本单位与招标人之间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68291A1">
      <w:pPr>
        <w:pStyle w:val="87"/>
        <w:keepNext w:val="0"/>
        <w:keepLines w:val="0"/>
        <w:pageBreakBefore w:val="0"/>
        <w:widowControl/>
        <w:tabs>
          <w:tab w:val="left" w:pos="8249"/>
        </w:tabs>
        <w:kinsoku/>
        <w:wordWrap/>
        <w:overflowPunct/>
        <w:topLinePunct w:val="0"/>
        <w:autoSpaceDE/>
        <w:autoSpaceDN/>
        <w:bidi w:val="0"/>
        <w:adjustRightInd/>
        <w:snapToGrid w:val="0"/>
        <w:spacing w:line="43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r>
        <w:rPr>
          <w:rFonts w:hint="eastAsia" w:ascii="宋体" w:hAnsi="宋体" w:eastAsia="宋体" w:cs="宋体"/>
          <w:color w:val="auto"/>
          <w:kern w:val="0"/>
          <w:szCs w:val="21"/>
          <w:highlight w:val="none"/>
        </w:rPr>
        <w:tab/>
      </w:r>
    </w:p>
    <w:p w14:paraId="2EBFD973">
      <w:pPr>
        <w:pStyle w:val="87"/>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677AC693">
      <w:pPr>
        <w:pStyle w:val="87"/>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93A77F8">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A.法定代表人或负责人或实际控制人是同一人</w:t>
      </w:r>
    </w:p>
    <w:p w14:paraId="64581A00">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B.法定代表人或负责人或实际控制人是夫妻关系</w:t>
      </w:r>
    </w:p>
    <w:p w14:paraId="45027DCD">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C.法定代表人或负责人或实际控制人是直系血亲关系</w:t>
      </w:r>
    </w:p>
    <w:p w14:paraId="14B5456B">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D.法定代表人或负责人或实际控制人存在三代以内旁系血亲关系</w:t>
      </w:r>
    </w:p>
    <w:p w14:paraId="38D63F6F">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E.法定代表人或负责人或实际控制人存在近姻亲关系</w:t>
      </w:r>
    </w:p>
    <w:p w14:paraId="6BB1046C">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F.法定代表人或负责人或实际控制人存在股份控制或实际控制关系</w:t>
      </w:r>
    </w:p>
    <w:p w14:paraId="377EF492">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G.存在共同直接或间接投资设立子公司、联营企业和合营企业情况</w:t>
      </w:r>
    </w:p>
    <w:p w14:paraId="27F46389">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14:paraId="749D7185">
      <w:pPr>
        <w:pStyle w:val="86"/>
        <w:keepNext w:val="0"/>
        <w:keepLines w:val="0"/>
        <w:pageBreakBefore w:val="0"/>
        <w:widowControl/>
        <w:kinsoku/>
        <w:wordWrap/>
        <w:overflowPunct/>
        <w:topLinePunct w:val="0"/>
        <w:autoSpaceDE/>
        <w:autoSpaceDN/>
        <w:bidi w:val="0"/>
        <w:adjustRightInd/>
        <w:snapToGrid w:val="0"/>
        <w:spacing w:line="432" w:lineRule="auto"/>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6DF5FD25">
      <w:pPr>
        <w:pStyle w:val="87"/>
        <w:keepNext w:val="0"/>
        <w:keepLines w:val="0"/>
        <w:pageBreakBefore w:val="0"/>
        <w:widowControl/>
        <w:numPr>
          <w:ilvl w:val="0"/>
          <w:numId w:val="19"/>
        </w:numPr>
        <w:kinsoku/>
        <w:wordWrap/>
        <w:overflowPunct/>
        <w:topLinePunct w:val="0"/>
        <w:autoSpaceDE/>
        <w:autoSpaceDN/>
        <w:bidi w:val="0"/>
        <w:adjustRightInd/>
        <w:snapToGrid w:val="0"/>
        <w:spacing w:line="432" w:lineRule="auto"/>
        <w:ind w:firstLine="396" w:firstLineChars="189"/>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6B11A59D">
      <w:pPr>
        <w:pStyle w:val="87"/>
        <w:keepNext w:val="0"/>
        <w:keepLines w:val="0"/>
        <w:pageBreakBefore w:val="0"/>
        <w:widowControl/>
        <w:numPr>
          <w:ilvl w:val="0"/>
          <w:numId w:val="19"/>
        </w:numPr>
        <w:kinsoku/>
        <w:wordWrap/>
        <w:overflowPunct/>
        <w:topLinePunct w:val="0"/>
        <w:autoSpaceDE/>
        <w:autoSpaceDN/>
        <w:bidi w:val="0"/>
        <w:adjustRightInd/>
        <w:snapToGrid w:val="0"/>
        <w:spacing w:line="432" w:lineRule="auto"/>
        <w:ind w:firstLine="396" w:firstLineChars="189"/>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3C88C76B">
      <w:pPr>
        <w:pStyle w:val="86"/>
        <w:keepNext w:val="0"/>
        <w:keepLines w:val="0"/>
        <w:pageBreakBefore w:val="0"/>
        <w:widowControl/>
        <w:kinsoku/>
        <w:wordWrap/>
        <w:overflowPunct/>
        <w:topLinePunct w:val="0"/>
        <w:autoSpaceDE/>
        <w:autoSpaceDN/>
        <w:bidi w:val="0"/>
        <w:adjustRightInd/>
        <w:snapToGrid w:val="0"/>
        <w:spacing w:line="43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85C9CDB">
      <w:pPr>
        <w:pStyle w:val="86"/>
        <w:keepNext w:val="0"/>
        <w:keepLines w:val="0"/>
        <w:pageBreakBefore w:val="0"/>
        <w:widowControl/>
        <w:kinsoku/>
        <w:wordWrap/>
        <w:overflowPunct/>
        <w:topLinePunct w:val="0"/>
        <w:autoSpaceDE/>
        <w:autoSpaceDN/>
        <w:bidi w:val="0"/>
        <w:adjustRightInd/>
        <w:snapToGrid w:val="0"/>
        <w:spacing w:line="432" w:lineRule="auto"/>
        <w:ind w:firstLine="420" w:firstLineChars="200"/>
        <w:jc w:val="center"/>
        <w:textAlignment w:val="auto"/>
        <w:rPr>
          <w:rFonts w:hint="eastAsia" w:ascii="宋体" w:hAnsi="宋体" w:eastAsia="宋体" w:cs="宋体"/>
          <w:color w:val="auto"/>
          <w:szCs w:val="21"/>
          <w:highlight w:val="none"/>
        </w:rPr>
      </w:pPr>
    </w:p>
    <w:p w14:paraId="2CD6621C">
      <w:pPr>
        <w:pStyle w:val="86"/>
        <w:keepNext w:val="0"/>
        <w:keepLines w:val="0"/>
        <w:pageBreakBefore w:val="0"/>
        <w:widowControl/>
        <w:kinsoku/>
        <w:wordWrap/>
        <w:overflowPunct/>
        <w:topLinePunct w:val="0"/>
        <w:autoSpaceDE/>
        <w:autoSpaceDN/>
        <w:bidi w:val="0"/>
        <w:adjustRightInd/>
        <w:snapToGrid w:val="0"/>
        <w:spacing w:line="432" w:lineRule="auto"/>
        <w:ind w:firstLine="420" w:firstLineChars="20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14:paraId="51E1BF8D">
      <w:pPr>
        <w:pStyle w:val="86"/>
        <w:keepNext w:val="0"/>
        <w:keepLines w:val="0"/>
        <w:pageBreakBefore w:val="0"/>
        <w:widowControl/>
        <w:kinsoku/>
        <w:wordWrap/>
        <w:overflowPunct/>
        <w:topLinePunct w:val="0"/>
        <w:autoSpaceDE/>
        <w:autoSpaceDN/>
        <w:bidi w:val="0"/>
        <w:adjustRightInd/>
        <w:snapToGrid w:val="0"/>
        <w:spacing w:line="432" w:lineRule="auto"/>
        <w:ind w:firstLine="6510" w:firstLineChars="3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4B629489">
      <w:pPr>
        <w:pStyle w:val="86"/>
        <w:pageBreakBefore w:val="0"/>
        <w:kinsoku/>
        <w:wordWrap/>
        <w:overflowPunct/>
        <w:topLinePunct w:val="0"/>
        <w:bidi w:val="0"/>
        <w:snapToGrid w:val="0"/>
        <w:spacing w:line="240" w:lineRule="auto"/>
        <w:rPr>
          <w:rFonts w:hint="eastAsia" w:ascii="宋体" w:hAnsi="宋体" w:eastAsia="宋体" w:cs="宋体"/>
          <w:color w:val="auto"/>
          <w:szCs w:val="21"/>
          <w:highlight w:val="none"/>
        </w:rPr>
        <w:sectPr>
          <w:headerReference r:id="rId5" w:type="default"/>
          <w:footerReference r:id="rId6" w:type="default"/>
          <w:pgSz w:w="11906" w:h="16838"/>
          <w:pgMar w:top="1088" w:right="1361" w:bottom="1361" w:left="1361" w:header="851" w:footer="737" w:gutter="0"/>
          <w:pgBorders>
            <w:top w:val="none" w:sz="0" w:space="0"/>
            <w:left w:val="none" w:sz="0" w:space="0"/>
            <w:bottom w:val="none" w:sz="0" w:space="0"/>
            <w:right w:val="none" w:sz="0" w:space="0"/>
          </w:pgBorders>
          <w:pgNumType w:fmt="decimal" w:start="1"/>
          <w:cols w:space="0" w:num="1"/>
          <w:docGrid w:linePitch="312" w:charSpace="0"/>
        </w:sectPr>
      </w:pPr>
    </w:p>
    <w:p w14:paraId="044D7AD7">
      <w:pPr>
        <w:pStyle w:val="86"/>
        <w:pageBreakBefore w:val="0"/>
        <w:kinsoku/>
        <w:wordWrap/>
        <w:overflowPunct/>
        <w:topLinePunct w:val="0"/>
        <w:bidi w:val="0"/>
        <w:snapToGrid w:val="0"/>
        <w:spacing w:line="240" w:lineRule="auto"/>
        <w:rPr>
          <w:rFonts w:hint="eastAsia" w:ascii="宋体" w:hAnsi="宋体" w:eastAsia="宋体" w:cs="宋体"/>
          <w:color w:val="auto"/>
          <w:szCs w:val="21"/>
          <w:highlight w:val="none"/>
        </w:rPr>
      </w:pPr>
    </w:p>
    <w:p w14:paraId="3C3C16FC">
      <w:pPr>
        <w:bidi w:val="0"/>
        <w:rPr>
          <w:rFonts w:hint="eastAsia" w:ascii="宋体" w:hAnsi="宋体" w:eastAsia="宋体" w:cs="宋体"/>
          <w:color w:val="auto"/>
          <w:highlight w:val="none"/>
        </w:rPr>
      </w:pPr>
    </w:p>
    <w:p w14:paraId="6992074C">
      <w:pPr>
        <w:pStyle w:val="86"/>
        <w:pageBreakBefore w:val="0"/>
        <w:kinsoku/>
        <w:wordWrap/>
        <w:overflowPunct/>
        <w:topLinePunct w:val="0"/>
        <w:bidi w:val="0"/>
        <w:snapToGrid w:val="0"/>
        <w:spacing w:line="240" w:lineRule="auto"/>
        <w:jc w:val="center"/>
        <w:rPr>
          <w:rFonts w:hint="eastAsia" w:ascii="宋体" w:hAnsi="宋体" w:eastAsia="宋体" w:cs="宋体"/>
          <w:color w:val="auto"/>
          <w:szCs w:val="21"/>
          <w:highlight w:val="none"/>
        </w:rPr>
        <w:sectPr>
          <w:type w:val="continuous"/>
          <w:pgSz w:w="11906" w:h="16838"/>
          <w:pgMar w:top="1440" w:right="1080" w:bottom="1134" w:left="1080" w:header="851" w:footer="737" w:gutter="0"/>
          <w:pgBorders>
            <w:top w:val="none" w:sz="0" w:space="0"/>
            <w:left w:val="none" w:sz="0" w:space="0"/>
            <w:bottom w:val="none" w:sz="0" w:space="0"/>
            <w:right w:val="none" w:sz="0" w:space="0"/>
          </w:pgBorders>
          <w:pgNumType w:fmt="decimal"/>
          <w:cols w:space="0" w:num="1"/>
          <w:docGrid w:linePitch="312" w:charSpace="0"/>
        </w:sectPr>
      </w:pPr>
      <w:r>
        <w:rPr>
          <w:rFonts w:hint="eastAsia" w:ascii="宋体" w:hAnsi="宋体" w:eastAsia="宋体" w:cs="宋体"/>
          <w:color w:val="auto"/>
          <w:highlight w:val="none"/>
          <w:lang w:eastAsia="zh-CN"/>
        </w:rPr>
        <w:tab/>
      </w:r>
      <w:r>
        <w:rPr>
          <w:rFonts w:hint="eastAsia" w:ascii="宋体" w:hAnsi="宋体" w:eastAsia="宋体" w:cs="宋体"/>
          <w:color w:val="auto"/>
          <w:szCs w:val="21"/>
          <w:highlight w:val="none"/>
          <w:lang w:val="en-US" w:eastAsia="zh-CN"/>
        </w:rPr>
        <w:t>说明</w:t>
      </w:r>
      <w:r>
        <w:rPr>
          <w:rFonts w:hint="eastAsia" w:ascii="宋体" w:hAnsi="宋体" w:eastAsia="宋体" w:cs="宋体"/>
          <w:color w:val="auto"/>
          <w:szCs w:val="21"/>
          <w:highlight w:val="none"/>
        </w:rPr>
        <w:t>：投标文件解密结束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签署本声明书并</w:t>
      </w:r>
      <w:r>
        <w:rPr>
          <w:rFonts w:hint="eastAsia" w:ascii="宋体" w:hAnsi="宋体" w:eastAsia="宋体" w:cs="宋体"/>
          <w:color w:val="auto"/>
          <w:szCs w:val="21"/>
          <w:highlight w:val="none"/>
        </w:rPr>
        <w:t>扫描发送至采购代理机构</w:t>
      </w:r>
      <w:r>
        <w:rPr>
          <w:rFonts w:hint="eastAsia" w:ascii="宋体" w:hAnsi="宋体" w:eastAsia="宋体" w:cs="宋体"/>
          <w:color w:val="auto"/>
          <w:szCs w:val="21"/>
          <w:highlight w:val="none"/>
          <w:lang w:val="en-US" w:eastAsia="zh-CN"/>
        </w:rPr>
        <w:t>指定</w:t>
      </w:r>
      <w:r>
        <w:rPr>
          <w:rFonts w:hint="eastAsia" w:ascii="宋体" w:hAnsi="宋体" w:eastAsia="宋体" w:cs="宋体"/>
          <w:color w:val="auto"/>
          <w:szCs w:val="21"/>
          <w:highlight w:val="none"/>
        </w:rPr>
        <w:t>邮箱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772022916</w:t>
      </w:r>
      <w:r>
        <w:rPr>
          <w:rFonts w:hint="eastAsia" w:ascii="宋体" w:hAnsi="宋体" w:eastAsia="宋体" w:cs="宋体"/>
          <w:color w:val="auto"/>
          <w:szCs w:val="21"/>
          <w:highlight w:val="none"/>
        </w:rPr>
        <w:t>@qq.com；</w:t>
      </w:r>
    </w:p>
    <w:p w14:paraId="3473868E">
      <w:pPr>
        <w:tabs>
          <w:tab w:val="center" w:pos="4873"/>
        </w:tabs>
        <w:bidi w:val="0"/>
        <w:jc w:val="left"/>
        <w:rPr>
          <w:rFonts w:hint="eastAsia" w:ascii="宋体" w:hAnsi="宋体" w:eastAsia="宋体" w:cs="宋体"/>
          <w:color w:val="auto"/>
          <w:highlight w:val="none"/>
          <w:lang w:eastAsia="zh-CN"/>
        </w:rPr>
        <w:sectPr>
          <w:type w:val="continuous"/>
          <w:pgSz w:w="11906" w:h="16838"/>
          <w:pgMar w:top="1440" w:right="1080" w:bottom="1134" w:left="1080" w:header="851" w:footer="737" w:gutter="0"/>
          <w:pgBorders>
            <w:top w:val="none" w:sz="0" w:space="0"/>
            <w:left w:val="none" w:sz="0" w:space="0"/>
            <w:bottom w:val="none" w:sz="0" w:space="0"/>
            <w:right w:val="none" w:sz="0" w:space="0"/>
          </w:pgBorders>
          <w:pgNumType w:fmt="decimal"/>
          <w:cols w:space="0" w:num="1"/>
          <w:docGrid w:linePitch="312" w:charSpace="0"/>
        </w:sectPr>
      </w:pPr>
    </w:p>
    <w:p w14:paraId="34C91756">
      <w:pPr>
        <w:pageBreakBefore w:val="0"/>
        <w:kinsoku/>
        <w:wordWrap/>
        <w:overflowPunct/>
        <w:topLinePunct w:val="0"/>
        <w:bidi w:val="0"/>
        <w:spacing w:line="240" w:lineRule="auto"/>
        <w:jc w:val="left"/>
        <w:rPr>
          <w:rFonts w:hint="eastAsia" w:ascii="宋体" w:hAnsi="宋体" w:eastAsia="宋体" w:cs="宋体"/>
          <w:bCs/>
          <w:color w:val="auto"/>
          <w:highlight w:val="none"/>
        </w:rPr>
      </w:pPr>
      <w:r>
        <w:rPr>
          <w:rFonts w:hint="eastAsia" w:ascii="宋体" w:hAnsi="宋体" w:eastAsia="宋体" w:cs="宋体"/>
          <w:bCs/>
          <w:color w:val="auto"/>
          <w:highlight w:val="none"/>
        </w:rPr>
        <w:t>附件3 法定代表人（负责人）资格证明书：</w:t>
      </w:r>
    </w:p>
    <w:p w14:paraId="50F1EBF5">
      <w:pPr>
        <w:pStyle w:val="12"/>
        <w:pageBreakBefore w:val="0"/>
        <w:kinsoku/>
        <w:wordWrap/>
        <w:overflowPunct/>
        <w:topLinePunct w:val="0"/>
        <w:bidi w:val="0"/>
        <w:spacing w:line="240" w:lineRule="auto"/>
        <w:rPr>
          <w:rFonts w:hint="eastAsia" w:ascii="宋体" w:hAnsi="宋体" w:eastAsia="宋体" w:cs="宋体"/>
          <w:color w:val="auto"/>
          <w:highlight w:val="none"/>
        </w:rPr>
      </w:pPr>
    </w:p>
    <w:p w14:paraId="69E46428">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t>法定代表人（负责人）资格证明书</w:t>
      </w:r>
    </w:p>
    <w:p w14:paraId="6D77CD0A">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p>
    <w:p w14:paraId="12A5C7B7">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sz w:val="24"/>
          <w:highlight w:val="none"/>
          <w:u w:val="single"/>
        </w:rPr>
        <w:t xml:space="preserve">                                         </w:t>
      </w:r>
    </w:p>
    <w:p w14:paraId="2F90FFC9">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sz w:val="24"/>
          <w:highlight w:val="none"/>
          <w:u w:val="single"/>
        </w:rPr>
        <w:t xml:space="preserve">                                               </w:t>
      </w:r>
    </w:p>
    <w:p w14:paraId="60348CAA">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日</w:t>
      </w:r>
    </w:p>
    <w:p w14:paraId="6E8DD7B5">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经营期限：</w:t>
      </w:r>
      <w:r>
        <w:rPr>
          <w:rFonts w:hint="eastAsia" w:ascii="宋体" w:hAnsi="宋体" w:eastAsia="宋体" w:cs="宋体"/>
          <w:color w:val="auto"/>
          <w:sz w:val="24"/>
          <w:highlight w:val="none"/>
          <w:u w:val="single"/>
        </w:rPr>
        <w:t xml:space="preserve">                                           </w:t>
      </w:r>
    </w:p>
    <w:p w14:paraId="020628E1">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年龄：</w:t>
      </w:r>
      <w:r>
        <w:rPr>
          <w:rFonts w:hint="eastAsia" w:ascii="宋体" w:hAnsi="宋体" w:eastAsia="宋体" w:cs="宋体"/>
          <w:color w:val="auto"/>
          <w:sz w:val="24"/>
          <w:highlight w:val="none"/>
          <w:u w:val="single"/>
        </w:rPr>
        <w:t xml:space="preserve">            </w:t>
      </w:r>
    </w:p>
    <w:p w14:paraId="5D5B4028">
      <w:pPr>
        <w:keepNext w:val="0"/>
        <w:keepLines w:val="0"/>
        <w:pageBreakBefore w:val="0"/>
        <w:widowControl w:val="0"/>
        <w:kinsoku/>
        <w:wordWrap/>
        <w:overflowPunct/>
        <w:topLinePunct w:val="0"/>
        <w:autoSpaceDE/>
        <w:autoSpaceDN/>
        <w:bidi w:val="0"/>
        <w:snapToGrid/>
        <w:spacing w:line="43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 xml:space="preserve">              </w:t>
      </w:r>
    </w:p>
    <w:p w14:paraId="4D61128A">
      <w:pPr>
        <w:keepNext w:val="0"/>
        <w:keepLines w:val="0"/>
        <w:pageBreakBefore w:val="0"/>
        <w:widowControl w:val="0"/>
        <w:kinsoku/>
        <w:wordWrap/>
        <w:overflowPunct/>
        <w:topLinePunct w:val="0"/>
        <w:autoSpaceDE/>
        <w:autoSpaceDN/>
        <w:bidi w:val="0"/>
        <w:snapToGrid/>
        <w:spacing w:line="432" w:lineRule="auto"/>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 xml:space="preserve">系 </w:t>
      </w:r>
      <w:r>
        <w:rPr>
          <w:rFonts w:hint="eastAsia" w:ascii="宋体" w:hAnsi="宋体" w:eastAsia="宋体" w:cs="宋体"/>
          <w:bCs/>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（供应商名称）的法定代表人（负责人）</w:t>
      </w:r>
      <w:r>
        <w:rPr>
          <w:rFonts w:hint="eastAsia" w:ascii="宋体" w:hAnsi="宋体" w:eastAsia="宋体" w:cs="宋体"/>
          <w:bCs/>
          <w:color w:val="auto"/>
          <w:sz w:val="24"/>
          <w:highlight w:val="none"/>
        </w:rPr>
        <w:t>。</w:t>
      </w:r>
    </w:p>
    <w:p w14:paraId="1A0F4661">
      <w:pPr>
        <w:keepNext w:val="0"/>
        <w:keepLines w:val="0"/>
        <w:pageBreakBefore w:val="0"/>
        <w:widowControl w:val="0"/>
        <w:kinsoku/>
        <w:wordWrap/>
        <w:overflowPunct/>
        <w:topLinePunct w:val="0"/>
        <w:autoSpaceDE/>
        <w:autoSpaceDN/>
        <w:bidi w:val="0"/>
        <w:snapToGrid/>
        <w:spacing w:line="432" w:lineRule="auto"/>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1DB6781E">
      <w:pPr>
        <w:pStyle w:val="41"/>
        <w:keepNext w:val="0"/>
        <w:keepLines w:val="0"/>
        <w:pageBreakBefore w:val="0"/>
        <w:widowControl w:val="0"/>
        <w:kinsoku/>
        <w:wordWrap/>
        <w:overflowPunct/>
        <w:topLinePunct w:val="0"/>
        <w:autoSpaceDE/>
        <w:autoSpaceDN/>
        <w:bidi w:val="0"/>
        <w:snapToGrid/>
        <w:spacing w:line="432" w:lineRule="auto"/>
        <w:rPr>
          <w:rFonts w:hint="eastAsia" w:ascii="宋体" w:hAnsi="宋体" w:eastAsia="宋体" w:cs="宋体"/>
          <w:color w:val="auto"/>
          <w:sz w:val="24"/>
          <w:highlight w:val="none"/>
        </w:rPr>
      </w:pPr>
    </w:p>
    <w:p w14:paraId="2E2E2788">
      <w:pPr>
        <w:keepNext w:val="0"/>
        <w:keepLines w:val="0"/>
        <w:pageBreakBefore w:val="0"/>
        <w:widowControl w:val="0"/>
        <w:kinsoku/>
        <w:wordWrap/>
        <w:overflowPunct/>
        <w:topLinePunct w:val="0"/>
        <w:autoSpaceDE/>
        <w:autoSpaceDN/>
        <w:bidi w:val="0"/>
        <w:snapToGrid/>
        <w:spacing w:line="432" w:lineRule="auto"/>
        <w:ind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511A4968">
      <w:pPr>
        <w:keepNext w:val="0"/>
        <w:keepLines w:val="0"/>
        <w:pageBreakBefore w:val="0"/>
        <w:widowControl w:val="0"/>
        <w:kinsoku/>
        <w:wordWrap/>
        <w:overflowPunct/>
        <w:topLinePunct w:val="0"/>
        <w:autoSpaceDE/>
        <w:autoSpaceDN/>
        <w:bidi w:val="0"/>
        <w:snapToGrid/>
        <w:spacing w:line="432" w:lineRule="auto"/>
        <w:rPr>
          <w:rFonts w:hint="eastAsia" w:ascii="宋体" w:hAnsi="宋体" w:eastAsia="宋体" w:cs="宋体"/>
          <w:color w:val="auto"/>
          <w:sz w:val="24"/>
          <w:highlight w:val="none"/>
        </w:rPr>
      </w:pPr>
    </w:p>
    <w:p w14:paraId="48AB9D70">
      <w:pPr>
        <w:keepNext w:val="0"/>
        <w:keepLines w:val="0"/>
        <w:pageBreakBefore w:val="0"/>
        <w:widowControl w:val="0"/>
        <w:kinsoku/>
        <w:wordWrap/>
        <w:overflowPunct/>
        <w:topLinePunct w:val="0"/>
        <w:autoSpaceDE/>
        <w:autoSpaceDN/>
        <w:bidi w:val="0"/>
        <w:snapToGrid/>
        <w:spacing w:line="43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CDD001B">
      <w:pPr>
        <w:pStyle w:val="41"/>
        <w:pageBreakBefore w:val="0"/>
        <w:kinsoku/>
        <w:wordWrap/>
        <w:overflowPunct/>
        <w:topLinePunct w:val="0"/>
        <w:bidi w:val="0"/>
        <w:spacing w:line="240" w:lineRule="auto"/>
        <w:rPr>
          <w:rFonts w:hint="eastAsia" w:ascii="宋体" w:hAnsi="宋体" w:eastAsia="宋体" w:cs="宋体"/>
          <w:color w:val="auto"/>
          <w:highlight w:val="none"/>
        </w:rPr>
      </w:pPr>
    </w:p>
    <w:p w14:paraId="4A53ED22">
      <w:pPr>
        <w:pStyle w:val="55"/>
        <w:pageBreakBefore w:val="0"/>
        <w:kinsoku/>
        <w:wordWrap/>
        <w:overflowPunct/>
        <w:topLinePunct w:val="0"/>
        <w:bidi w:val="0"/>
        <w:spacing w:line="240" w:lineRule="auto"/>
        <w:ind w:left="0" w:leftChars="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附：法定代表人有效身份证复印件</w:t>
      </w:r>
    </w:p>
    <w:tbl>
      <w:tblPr>
        <w:tblStyle w:val="31"/>
        <w:tblW w:w="9242" w:type="dxa"/>
        <w:jc w:val="center"/>
        <w:shd w:val="clear" w:color="auto" w:fill="FFFFFF" w:themeFill="background1"/>
        <w:tblLayout w:type="fixed"/>
        <w:tblCellMar>
          <w:top w:w="0" w:type="dxa"/>
          <w:left w:w="108" w:type="dxa"/>
          <w:bottom w:w="0" w:type="dxa"/>
          <w:right w:w="108" w:type="dxa"/>
        </w:tblCellMar>
      </w:tblPr>
      <w:tblGrid>
        <w:gridCol w:w="4621"/>
        <w:gridCol w:w="4621"/>
      </w:tblGrid>
      <w:tr w14:paraId="63439029">
        <w:tblPrEx>
          <w:shd w:val="clear" w:color="auto" w:fill="FFFFFF" w:themeFill="background1"/>
          <w:tblCellMar>
            <w:top w:w="0" w:type="dxa"/>
            <w:left w:w="108" w:type="dxa"/>
            <w:bottom w:w="0" w:type="dxa"/>
            <w:right w:w="108" w:type="dxa"/>
          </w:tblCellMar>
        </w:tblPrEx>
        <w:trPr>
          <w:trHeight w:val="2733" w:hRule="atLeast"/>
          <w:jc w:val="center"/>
        </w:trPr>
        <w:tc>
          <w:tcPr>
            <w:tcW w:w="4621" w:type="dxa"/>
            <w:shd w:val="clear" w:color="auto" w:fill="FFFFFF" w:themeFill="background1"/>
          </w:tcPr>
          <w:p w14:paraId="2A9B9EDD">
            <w:pPr>
              <w:pStyle w:val="64"/>
              <w:pageBreakBefore w:val="0"/>
              <w:kinsoku/>
              <w:wordWrap/>
              <w:overflowPunct/>
              <w:topLinePunct w:val="0"/>
              <w:bidi w:val="0"/>
              <w:spacing w:line="240" w:lineRule="auto"/>
              <w:rPr>
                <w:rFonts w:hint="eastAsia" w:ascii="宋体" w:hAnsi="宋体" w:eastAsia="宋体" w:cs="宋体"/>
                <w:color w:val="auto"/>
                <w:spacing w:val="20"/>
                <w:szCs w:val="21"/>
                <w:highlight w:val="none"/>
              </w:rPr>
            </w:pPr>
          </w:p>
        </w:tc>
        <w:tc>
          <w:tcPr>
            <w:tcW w:w="4621" w:type="dxa"/>
            <w:shd w:val="clear" w:color="auto" w:fill="FFFFFF" w:themeFill="background1"/>
          </w:tcPr>
          <w:p w14:paraId="059CDAC7">
            <w:pPr>
              <w:pStyle w:val="64"/>
              <w:pageBreakBefore w:val="0"/>
              <w:kinsoku/>
              <w:wordWrap/>
              <w:overflowPunct/>
              <w:topLinePunct w:val="0"/>
              <w:bidi w:val="0"/>
              <w:spacing w:line="240" w:lineRule="auto"/>
              <w:rPr>
                <w:rFonts w:hint="eastAsia" w:ascii="宋体" w:hAnsi="宋体" w:eastAsia="宋体" w:cs="宋体"/>
                <w:color w:val="auto"/>
                <w:spacing w:val="20"/>
                <w:szCs w:val="21"/>
                <w:highlight w:val="none"/>
                <w:u w:val="single"/>
              </w:rPr>
            </w:pPr>
          </w:p>
        </w:tc>
      </w:tr>
    </w:tbl>
    <w:p w14:paraId="6209CF56">
      <w:pPr>
        <w:pStyle w:val="55"/>
        <w:pageBreakBefore w:val="0"/>
        <w:kinsoku/>
        <w:wordWrap/>
        <w:overflowPunct/>
        <w:topLinePunct w:val="0"/>
        <w:bidi w:val="0"/>
        <w:spacing w:line="240" w:lineRule="auto"/>
        <w:rPr>
          <w:rFonts w:hint="eastAsia" w:ascii="宋体" w:hAnsi="宋体" w:eastAsia="宋体" w:cs="宋体"/>
          <w:color w:val="auto"/>
          <w:highlight w:val="none"/>
        </w:rPr>
      </w:pPr>
    </w:p>
    <w:p w14:paraId="4FF7C2AA">
      <w:pPr>
        <w:pageBreakBefore w:val="0"/>
        <w:kinsoku/>
        <w:wordWrap/>
        <w:overflowPunct/>
        <w:topLinePunct w:val="0"/>
        <w:bidi w:val="0"/>
        <w:spacing w:line="240" w:lineRule="auto"/>
        <w:rPr>
          <w:rFonts w:hint="eastAsia" w:ascii="宋体" w:hAnsi="宋体" w:eastAsia="宋体" w:cs="宋体"/>
          <w:color w:val="auto"/>
          <w:sz w:val="24"/>
          <w:highlight w:val="none"/>
        </w:rPr>
      </w:pPr>
    </w:p>
    <w:p w14:paraId="76B0B7A8">
      <w:pPr>
        <w:pStyle w:val="6"/>
        <w:pageBreakBefore w:val="0"/>
        <w:kinsoku/>
        <w:wordWrap/>
        <w:overflowPunct/>
        <w:topLinePunct w:val="0"/>
        <w:bidi w:val="0"/>
        <w:spacing w:line="240" w:lineRule="auto"/>
        <w:rPr>
          <w:rFonts w:hint="eastAsia" w:ascii="宋体" w:hAnsi="宋体" w:eastAsia="宋体" w:cs="宋体"/>
          <w:color w:val="auto"/>
          <w:sz w:val="24"/>
          <w:highlight w:val="none"/>
        </w:rPr>
      </w:pPr>
    </w:p>
    <w:p w14:paraId="152979C6">
      <w:pPr>
        <w:pStyle w:val="21"/>
        <w:rPr>
          <w:rFonts w:hint="eastAsia" w:ascii="宋体" w:hAnsi="宋体" w:eastAsia="宋体" w:cs="宋体"/>
          <w:color w:val="auto"/>
          <w:highlight w:val="none"/>
        </w:rPr>
      </w:pPr>
    </w:p>
    <w:p w14:paraId="63C88DB0">
      <w:pPr>
        <w:pStyle w:val="7"/>
        <w:pageBreakBefore w:val="0"/>
        <w:kinsoku/>
        <w:wordWrap/>
        <w:overflowPunct/>
        <w:topLinePunct w:val="0"/>
        <w:bidi w:val="0"/>
        <w:spacing w:line="240" w:lineRule="auto"/>
        <w:ind w:left="2520"/>
        <w:rPr>
          <w:rFonts w:hint="eastAsia" w:ascii="宋体" w:hAnsi="宋体" w:eastAsia="宋体" w:cs="宋体"/>
          <w:color w:val="auto"/>
          <w:highlight w:val="none"/>
        </w:rPr>
      </w:pPr>
    </w:p>
    <w:p w14:paraId="5BB3CAC2">
      <w:pPr>
        <w:pStyle w:val="46"/>
        <w:pageBreakBefore w:val="0"/>
        <w:kinsoku/>
        <w:wordWrap/>
        <w:overflowPunct/>
        <w:topLinePunct w:val="0"/>
        <w:bidi w:val="0"/>
        <w:spacing w:line="240" w:lineRule="auto"/>
        <w:rPr>
          <w:rFonts w:hint="eastAsia" w:ascii="宋体" w:hAnsi="宋体" w:eastAsia="宋体" w:cs="宋体"/>
          <w:color w:val="auto"/>
          <w:highlight w:val="none"/>
        </w:rPr>
      </w:pPr>
    </w:p>
    <w:p w14:paraId="6001D340">
      <w:pPr>
        <w:pageBreakBefore w:val="0"/>
        <w:kinsoku/>
        <w:wordWrap/>
        <w:overflowPunct/>
        <w:topLinePunct w:val="0"/>
        <w:bidi w:val="0"/>
        <w:spacing w:line="240" w:lineRule="auto"/>
        <w:ind w:firstLine="4680" w:firstLineChars="1950"/>
        <w:rPr>
          <w:rFonts w:hint="eastAsia" w:ascii="宋体" w:hAnsi="宋体" w:eastAsia="宋体" w:cs="宋体"/>
          <w:color w:val="auto"/>
          <w:sz w:val="24"/>
          <w:highlight w:val="none"/>
        </w:rPr>
      </w:pPr>
    </w:p>
    <w:p w14:paraId="7D9921C3">
      <w:pPr>
        <w:pageBreakBefore w:val="0"/>
        <w:kinsoku/>
        <w:wordWrap/>
        <w:overflowPunct/>
        <w:topLinePunct w:val="0"/>
        <w:bidi w:val="0"/>
        <w:spacing w:line="240" w:lineRule="auto"/>
        <w:rPr>
          <w:rFonts w:hint="eastAsia" w:ascii="宋体" w:hAnsi="宋体" w:eastAsia="宋体" w:cs="宋体"/>
          <w:bCs/>
          <w:color w:val="auto"/>
          <w:highlight w:val="none"/>
        </w:rPr>
      </w:pPr>
      <w:r>
        <w:rPr>
          <w:rFonts w:hint="eastAsia" w:ascii="宋体" w:hAnsi="宋体" w:eastAsia="宋体" w:cs="宋体"/>
          <w:bCs/>
          <w:color w:val="auto"/>
          <w:highlight w:val="none"/>
        </w:rPr>
        <w:t>附件4 法定代表人（负责人）授权委托书：</w:t>
      </w:r>
    </w:p>
    <w:p w14:paraId="3CB6B476">
      <w:pPr>
        <w:pageBreakBefore w:val="0"/>
        <w:kinsoku/>
        <w:wordWrap/>
        <w:overflowPunct/>
        <w:topLinePunct w:val="0"/>
        <w:bidi w:val="0"/>
        <w:spacing w:line="240" w:lineRule="auto"/>
        <w:rPr>
          <w:rFonts w:hint="eastAsia" w:ascii="宋体" w:hAnsi="宋体" w:eastAsia="宋体" w:cs="宋体"/>
          <w:bCs/>
          <w:color w:val="auto"/>
          <w:highlight w:val="none"/>
        </w:rPr>
      </w:pPr>
    </w:p>
    <w:p w14:paraId="3345ECED">
      <w:pPr>
        <w:pageBreakBefore w:val="0"/>
        <w:kinsoku/>
        <w:wordWrap/>
        <w:overflowPunct/>
        <w:topLinePunct w:val="0"/>
        <w:bidi w:val="0"/>
        <w:snapToGrid w:val="0"/>
        <w:spacing w:before="50" w:after="240" w:afterLines="100" w:line="240" w:lineRule="auto"/>
        <w:jc w:val="cente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t>法定代表人（负责人）授权委托书</w:t>
      </w:r>
    </w:p>
    <w:p w14:paraId="195B2AD7">
      <w:pPr>
        <w:keepNext w:val="0"/>
        <w:keepLines w:val="0"/>
        <w:pageBreakBefore w:val="0"/>
        <w:widowControl w:val="0"/>
        <w:kinsoku/>
        <w:wordWrap/>
        <w:overflowPunct/>
        <w:topLinePunct w:val="0"/>
        <w:autoSpaceDE/>
        <w:autoSpaceDN/>
        <w:bidi w:val="0"/>
        <w:adjustRightInd/>
        <w:spacing w:line="43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致</w:t>
      </w:r>
      <w:r>
        <w:rPr>
          <w:rFonts w:hint="eastAsia" w:ascii="宋体" w:hAnsi="宋体" w:eastAsia="宋体" w:cs="宋体"/>
          <w:color w:val="auto"/>
          <w:sz w:val="24"/>
          <w:highlight w:val="none"/>
          <w:u w:val="single"/>
          <w:lang w:eastAsia="zh-CN"/>
        </w:rPr>
        <w:t>天台县自然资源和规划局</w:t>
      </w:r>
      <w:r>
        <w:rPr>
          <w:rFonts w:hint="eastAsia" w:ascii="宋体" w:hAnsi="宋体" w:eastAsia="宋体" w:cs="宋体"/>
          <w:color w:val="auto"/>
          <w:sz w:val="24"/>
          <w:highlight w:val="none"/>
          <w:u w:val="single"/>
        </w:rPr>
        <w:t>：</w:t>
      </w:r>
    </w:p>
    <w:p w14:paraId="0F8D8F5B">
      <w:pPr>
        <w:keepNext w:val="0"/>
        <w:keepLines w:val="0"/>
        <w:pageBreakBefore w:val="0"/>
        <w:widowControl w:val="0"/>
        <w:kinsoku/>
        <w:wordWrap/>
        <w:overflowPunct/>
        <w:topLinePunct w:val="0"/>
        <w:autoSpaceDE/>
        <w:autoSpaceDN/>
        <w:bidi w:val="0"/>
        <w:adjustRightInd/>
        <w:snapToGrid w:val="0"/>
        <w:spacing w:before="120" w:beforeLines="50" w:after="50" w:line="43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（供应商名称）的法定代表人（负责人），现授权委托本单位在职职工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天台县森林草地湿地普查工作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32CF82A2">
      <w:pPr>
        <w:keepNext w:val="0"/>
        <w:keepLines w:val="0"/>
        <w:pageBreakBefore w:val="0"/>
        <w:widowControl w:val="0"/>
        <w:kinsoku/>
        <w:wordWrap/>
        <w:overflowPunct/>
        <w:topLinePunct w:val="0"/>
        <w:autoSpaceDE/>
        <w:autoSpaceDN/>
        <w:bidi w:val="0"/>
        <w:adjustRightInd/>
        <w:snapToGrid w:val="0"/>
        <w:spacing w:before="120" w:beforeLines="50" w:after="50" w:line="43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我单位承认授权代表做出的与本项目开标活动有关的全部行为。</w:t>
      </w:r>
    </w:p>
    <w:p w14:paraId="0DE2614C">
      <w:pPr>
        <w:keepNext w:val="0"/>
        <w:keepLines w:val="0"/>
        <w:pageBreakBefore w:val="0"/>
        <w:widowControl w:val="0"/>
        <w:kinsoku/>
        <w:wordWrap/>
        <w:overflowPunct/>
        <w:topLinePunct w:val="0"/>
        <w:autoSpaceDE/>
        <w:autoSpaceDN/>
        <w:bidi w:val="0"/>
        <w:adjustRightInd/>
        <w:snapToGrid w:val="0"/>
        <w:spacing w:before="120" w:beforeLines="50" w:after="50" w:line="43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本授权书自签署之日起生效，在撤销授权的书面通知送达贵方以前，本授权委托书一直有效。授权代表在授权书有效期内签署的所有文件不因授权的撤销而失效。</w:t>
      </w:r>
    </w:p>
    <w:p w14:paraId="44135CB6">
      <w:pPr>
        <w:keepNext w:val="0"/>
        <w:keepLines w:val="0"/>
        <w:pageBreakBefore w:val="0"/>
        <w:widowControl w:val="0"/>
        <w:kinsoku/>
        <w:wordWrap/>
        <w:overflowPunct/>
        <w:topLinePunct w:val="0"/>
        <w:autoSpaceDE/>
        <w:autoSpaceDN/>
        <w:bidi w:val="0"/>
        <w:adjustRightInd/>
        <w:snapToGrid w:val="0"/>
        <w:spacing w:before="120" w:beforeLines="50" w:after="50" w:line="43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33A92F3F">
      <w:pPr>
        <w:pStyle w:val="12"/>
        <w:keepNext w:val="0"/>
        <w:keepLines w:val="0"/>
        <w:pageBreakBefore w:val="0"/>
        <w:widowControl w:val="0"/>
        <w:kinsoku/>
        <w:wordWrap/>
        <w:overflowPunct/>
        <w:topLinePunct w:val="0"/>
        <w:autoSpaceDE/>
        <w:autoSpaceDN/>
        <w:bidi w:val="0"/>
        <w:adjustRightInd/>
        <w:spacing w:line="432" w:lineRule="auto"/>
        <w:textAlignment w:val="auto"/>
        <w:rPr>
          <w:rFonts w:hint="eastAsia" w:ascii="宋体" w:hAnsi="宋体" w:eastAsia="宋体" w:cs="宋体"/>
          <w:color w:val="auto"/>
          <w:highlight w:val="none"/>
        </w:rPr>
      </w:pPr>
    </w:p>
    <w:p w14:paraId="657C9D23">
      <w:pPr>
        <w:keepNext w:val="0"/>
        <w:keepLines w:val="0"/>
        <w:pageBreakBefore w:val="0"/>
        <w:widowControl w:val="0"/>
        <w:kinsoku/>
        <w:wordWrap/>
        <w:overflowPunct/>
        <w:topLinePunct w:val="0"/>
        <w:autoSpaceDE/>
        <w:autoSpaceDN/>
        <w:bidi w:val="0"/>
        <w:adjustRightInd/>
        <w:snapToGrid w:val="0"/>
        <w:spacing w:line="432"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0821EECD">
      <w:pPr>
        <w:keepNext w:val="0"/>
        <w:keepLines w:val="0"/>
        <w:pageBreakBefore w:val="0"/>
        <w:widowControl w:val="0"/>
        <w:kinsoku/>
        <w:wordWrap/>
        <w:overflowPunct/>
        <w:topLinePunct w:val="0"/>
        <w:autoSpaceDE/>
        <w:autoSpaceDN/>
        <w:bidi w:val="0"/>
        <w:adjustRightInd/>
        <w:snapToGrid w:val="0"/>
        <w:spacing w:line="432"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58AD1FC0">
      <w:pPr>
        <w:keepNext w:val="0"/>
        <w:keepLines w:val="0"/>
        <w:pageBreakBefore w:val="0"/>
        <w:widowControl w:val="0"/>
        <w:kinsoku/>
        <w:wordWrap/>
        <w:overflowPunct/>
        <w:topLinePunct w:val="0"/>
        <w:autoSpaceDE/>
        <w:autoSpaceDN/>
        <w:bidi w:val="0"/>
        <w:adjustRightInd/>
        <w:snapToGrid w:val="0"/>
        <w:spacing w:line="432" w:lineRule="auto"/>
        <w:ind w:firstLine="480" w:firstLineChars="200"/>
        <w:jc w:val="righ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日期：  年 月 日</w:t>
      </w:r>
    </w:p>
    <w:p w14:paraId="37896278">
      <w:pPr>
        <w:pageBreakBefore w:val="0"/>
        <w:kinsoku/>
        <w:wordWrap/>
        <w:overflowPunct/>
        <w:topLinePunct w:val="0"/>
        <w:bidi w:val="0"/>
        <w:snapToGrid w:val="0"/>
        <w:spacing w:before="120" w:beforeLines="50" w:after="50" w:line="240" w:lineRule="auto"/>
        <w:ind w:firstLine="480" w:firstLineChars="200"/>
        <w:rPr>
          <w:rFonts w:hint="eastAsia" w:ascii="宋体" w:hAnsi="宋体" w:eastAsia="宋体" w:cs="宋体"/>
          <w:color w:val="auto"/>
          <w:sz w:val="24"/>
          <w:highlight w:val="none"/>
        </w:rPr>
      </w:pPr>
    </w:p>
    <w:p w14:paraId="786239A7">
      <w:pPr>
        <w:pageBreakBefore w:val="0"/>
        <w:kinsoku/>
        <w:wordWrap/>
        <w:overflowPunct/>
        <w:topLinePunct w:val="0"/>
        <w:bidi w:val="0"/>
        <w:snapToGrid w:val="0"/>
        <w:spacing w:before="120" w:beforeLines="50" w:after="50"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附：1、授权代表姓名：</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p>
    <w:p w14:paraId="57675C0D">
      <w:pPr>
        <w:pageBreakBefore w:val="0"/>
        <w:kinsoku/>
        <w:wordWrap/>
        <w:overflowPunct/>
        <w:topLinePunct w:val="0"/>
        <w:bidi w:val="0"/>
        <w:snapToGrid w:val="0"/>
        <w:spacing w:before="120" w:beforeLines="50" w:after="50"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电子邮箱：</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p>
    <w:p w14:paraId="7B9A3F90">
      <w:pPr>
        <w:pageBreakBefore w:val="0"/>
        <w:kinsoku/>
        <w:wordWrap/>
        <w:overflowPunct/>
        <w:topLinePunct w:val="0"/>
        <w:bidi w:val="0"/>
        <w:snapToGrid w:val="0"/>
        <w:spacing w:before="120" w:beforeLines="50" w:after="50" w:line="24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2、授权代表有效身份证复印件：</w:t>
      </w:r>
    </w:p>
    <w:tbl>
      <w:tblPr>
        <w:tblStyle w:val="31"/>
        <w:tblW w:w="9242" w:type="dxa"/>
        <w:jc w:val="center"/>
        <w:tblLayout w:type="fixed"/>
        <w:tblCellMar>
          <w:top w:w="0" w:type="dxa"/>
          <w:left w:w="108" w:type="dxa"/>
          <w:bottom w:w="0" w:type="dxa"/>
          <w:right w:w="108" w:type="dxa"/>
        </w:tblCellMar>
      </w:tblPr>
      <w:tblGrid>
        <w:gridCol w:w="4621"/>
        <w:gridCol w:w="4621"/>
      </w:tblGrid>
      <w:tr w14:paraId="27057572">
        <w:tblPrEx>
          <w:tblCellMar>
            <w:top w:w="0" w:type="dxa"/>
            <w:left w:w="108" w:type="dxa"/>
            <w:bottom w:w="0" w:type="dxa"/>
            <w:right w:w="108" w:type="dxa"/>
          </w:tblCellMar>
        </w:tblPrEx>
        <w:trPr>
          <w:trHeight w:val="2733" w:hRule="atLeast"/>
          <w:jc w:val="center"/>
        </w:trPr>
        <w:tc>
          <w:tcPr>
            <w:tcW w:w="4621" w:type="dxa"/>
            <w:shd w:val="clear" w:color="auto" w:fill="FFFFFF" w:themeFill="background1"/>
          </w:tcPr>
          <w:p w14:paraId="6F8E11E1">
            <w:pPr>
              <w:pStyle w:val="64"/>
              <w:pageBreakBefore w:val="0"/>
              <w:kinsoku/>
              <w:wordWrap/>
              <w:overflowPunct/>
              <w:topLinePunct w:val="0"/>
              <w:bidi w:val="0"/>
              <w:spacing w:line="240" w:lineRule="auto"/>
              <w:rPr>
                <w:rFonts w:hint="eastAsia" w:ascii="宋体" w:hAnsi="宋体" w:eastAsia="宋体" w:cs="宋体"/>
                <w:color w:val="auto"/>
                <w:spacing w:val="20"/>
                <w:sz w:val="24"/>
                <w:highlight w:val="none"/>
              </w:rPr>
            </w:pPr>
          </w:p>
        </w:tc>
        <w:tc>
          <w:tcPr>
            <w:tcW w:w="4621" w:type="dxa"/>
            <w:shd w:val="clear" w:color="auto" w:fill="FFFFFF" w:themeFill="background1"/>
          </w:tcPr>
          <w:p w14:paraId="52E588FF">
            <w:pPr>
              <w:pStyle w:val="64"/>
              <w:pageBreakBefore w:val="0"/>
              <w:kinsoku/>
              <w:wordWrap/>
              <w:overflowPunct/>
              <w:topLinePunct w:val="0"/>
              <w:bidi w:val="0"/>
              <w:spacing w:line="240" w:lineRule="auto"/>
              <w:rPr>
                <w:rFonts w:hint="eastAsia" w:ascii="宋体" w:hAnsi="宋体" w:eastAsia="宋体" w:cs="宋体"/>
                <w:color w:val="auto"/>
                <w:spacing w:val="20"/>
                <w:sz w:val="24"/>
                <w:highlight w:val="none"/>
                <w:u w:val="single"/>
              </w:rPr>
            </w:pPr>
          </w:p>
        </w:tc>
      </w:tr>
    </w:tbl>
    <w:p w14:paraId="305B517E">
      <w:pPr>
        <w:pageBreakBefore w:val="0"/>
        <w:kinsoku/>
        <w:wordWrap/>
        <w:overflowPunct/>
        <w:topLinePunct w:val="0"/>
        <w:bidi w:val="0"/>
        <w:snapToGrid w:val="0"/>
        <w:spacing w:before="120" w:beforeLines="50" w:after="50" w:line="240" w:lineRule="auto"/>
        <w:ind w:firstLine="420" w:firstLineChars="200"/>
        <w:rPr>
          <w:rFonts w:hint="eastAsia" w:ascii="宋体" w:hAnsi="宋体" w:eastAsia="宋体" w:cs="宋体"/>
          <w:color w:val="auto"/>
          <w:szCs w:val="21"/>
          <w:highlight w:val="none"/>
        </w:rPr>
      </w:pPr>
    </w:p>
    <w:p w14:paraId="5F887067">
      <w:pPr>
        <w:pageBreakBefore w:val="0"/>
        <w:kinsoku/>
        <w:wordWrap/>
        <w:overflowPunct/>
        <w:topLinePunct w:val="0"/>
        <w:bidi w:val="0"/>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 投标供应商参与政府采购活动</w:t>
      </w:r>
      <w:r>
        <w:rPr>
          <w:rFonts w:hint="eastAsia" w:ascii="宋体" w:hAnsi="宋体" w:eastAsia="宋体" w:cs="宋体"/>
          <w:color w:val="auto"/>
          <w:szCs w:val="21"/>
          <w:highlight w:val="none"/>
          <w:lang w:eastAsia="zh-CN"/>
        </w:rPr>
        <w:t>投标资格声明函</w:t>
      </w:r>
      <w:r>
        <w:rPr>
          <w:rFonts w:hint="eastAsia" w:ascii="宋体" w:hAnsi="宋体" w:eastAsia="宋体" w:cs="宋体"/>
          <w:color w:val="auto"/>
          <w:szCs w:val="21"/>
          <w:highlight w:val="none"/>
        </w:rPr>
        <w:t>：</w:t>
      </w:r>
    </w:p>
    <w:p w14:paraId="06F1476C">
      <w:pPr>
        <w:pageBreakBefore w:val="0"/>
        <w:kinsoku/>
        <w:wordWrap/>
        <w:overflowPunct/>
        <w:topLinePunct w:val="0"/>
        <w:bidi w:val="0"/>
        <w:spacing w:line="240" w:lineRule="auto"/>
        <w:rPr>
          <w:rFonts w:hint="eastAsia" w:ascii="宋体" w:hAnsi="宋体" w:eastAsia="宋体" w:cs="宋体"/>
          <w:color w:val="auto"/>
          <w:highlight w:val="none"/>
          <w:lang w:eastAsia="zh-CN"/>
        </w:rPr>
      </w:pPr>
    </w:p>
    <w:p w14:paraId="4EB7A074">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lang w:val="zh-CN"/>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lang w:val="zh-CN"/>
          <w14:textOutline w14:w="3175" w14:cap="flat" w14:cmpd="sng" w14:algn="ctr">
            <w14:solidFill>
              <w14:schemeClr w14:val="tx1"/>
            </w14:solidFill>
            <w14:prstDash w14:val="solid"/>
            <w14:round/>
          </w14:textOutline>
        </w:rPr>
        <w:t>投标供应商参与政府采购活动投标资格声明函</w:t>
      </w:r>
    </w:p>
    <w:tbl>
      <w:tblPr>
        <w:tblStyle w:val="31"/>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2"/>
      </w:tblGrid>
      <w:tr w14:paraId="269E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612" w:type="dxa"/>
          </w:tcPr>
          <w:p w14:paraId="546B5997">
            <w:pPr>
              <w:keepNext w:val="0"/>
              <w:keepLines w:val="0"/>
              <w:pageBreakBefore w:val="0"/>
              <w:widowControl w:val="0"/>
              <w:tabs>
                <w:tab w:val="center" w:pos="4698"/>
              </w:tabs>
              <w:kinsoku/>
              <w:wordWrap/>
              <w:overflowPunct/>
              <w:topLinePunct w:val="0"/>
              <w:autoSpaceDE/>
              <w:autoSpaceDN/>
              <w:bidi w:val="0"/>
              <w:adjustRightInd/>
              <w:snapToGrid/>
              <w:spacing w:before="407" w:beforeLines="150" w:after="136" w:afterLines="50" w:line="288"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致</w:t>
            </w:r>
            <w:r>
              <w:rPr>
                <w:rFonts w:hint="eastAsia" w:ascii="宋体" w:hAnsi="宋体" w:eastAsia="宋体" w:cs="宋体"/>
                <w:b w:val="0"/>
                <w:bCs w:val="0"/>
                <w:color w:val="auto"/>
                <w:sz w:val="24"/>
                <w:szCs w:val="24"/>
                <w:highlight w:val="none"/>
                <w:u w:val="single"/>
                <w:lang w:eastAsia="zh-CN"/>
              </w:rPr>
              <w:t>天台县自然资源和规划局</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ab/>
            </w:r>
          </w:p>
          <w:p w14:paraId="25B0E8A9">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我单位（联合体）参与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kern w:val="0"/>
                <w:sz w:val="24"/>
                <w:highlight w:val="none"/>
                <w:u w:val="single"/>
                <w:lang w:eastAsia="zh-CN"/>
              </w:rPr>
              <w:t>天台县森林草地湿地普查工作</w:t>
            </w:r>
            <w:r>
              <w:rPr>
                <w:rFonts w:hint="eastAsia" w:ascii="宋体" w:hAnsi="宋体" w:eastAsia="宋体" w:cs="宋体"/>
                <w:b w:val="0"/>
                <w:bCs w:val="0"/>
                <w:color w:val="auto"/>
                <w:kern w:val="0"/>
                <w:sz w:val="24"/>
                <w:highlight w:val="none"/>
                <w:u w:val="single"/>
                <w:lang w:val="en-US" w:eastAsia="zh-CN"/>
              </w:rPr>
              <w:t xml:space="preserve"> [采购项目编号:</w:t>
            </w:r>
            <w:r>
              <w:rPr>
                <w:rFonts w:hint="eastAsia" w:ascii="宋体" w:hAnsi="宋体" w:cs="宋体"/>
                <w:b w:val="0"/>
                <w:bCs w:val="0"/>
                <w:color w:val="auto"/>
                <w:kern w:val="0"/>
                <w:sz w:val="24"/>
                <w:highlight w:val="none"/>
                <w:u w:val="single"/>
                <w:lang w:val="en-US" w:eastAsia="zh-CN"/>
              </w:rPr>
              <w:t>TCCG-2025-Z006</w:t>
            </w:r>
            <w:r>
              <w:rPr>
                <w:rFonts w:hint="eastAsia" w:ascii="宋体" w:hAnsi="宋体" w:eastAsia="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的政府采购活动，在此郑重承诺：</w:t>
            </w:r>
          </w:p>
          <w:p w14:paraId="6DA69B04">
            <w:pPr>
              <w:pStyle w:val="21"/>
              <w:keepNext w:val="0"/>
              <w:keepLines w:val="0"/>
              <w:pageBreakBefore w:val="0"/>
              <w:widowControl w:val="0"/>
              <w:numPr>
                <w:ilvl w:val="0"/>
                <w:numId w:val="0"/>
              </w:numPr>
              <w:kinsoku/>
              <w:wordWrap/>
              <w:overflowPunct/>
              <w:topLinePunct w:val="0"/>
              <w:autoSpaceDE/>
              <w:autoSpaceDN/>
              <w:bidi w:val="0"/>
              <w:snapToGrid/>
              <w:spacing w:before="136" w:beforeLines="50" w:after="136" w:afterLines="50" w:line="240" w:lineRule="auto"/>
              <w:ind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（一）我单位（联合体）已具备《中华人民共和国政府采购法》第二十二条规定的条件：</w:t>
            </w:r>
          </w:p>
          <w:p w14:paraId="6856B115">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1、具有独立承担民事责任的能力；</w:t>
            </w:r>
          </w:p>
          <w:p w14:paraId="7C15F5AB">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2、具有良好的商业信誉和健全的财务会计制度； </w:t>
            </w:r>
          </w:p>
          <w:p w14:paraId="3DD7DE96">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3、具有履行合同所必需的设备和专业技术能力；</w:t>
            </w:r>
          </w:p>
          <w:p w14:paraId="782ADBEE">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4、有依法缴纳税收和社会保障资金的良好记录；</w:t>
            </w:r>
          </w:p>
          <w:p w14:paraId="0910836F">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5、参加政府采购活动前三年内，在经营活动中没有重大违法记录；</w:t>
            </w:r>
          </w:p>
          <w:p w14:paraId="13987B22">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1"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6、具有法律、行政法规规定的其他条件。</w:t>
            </w:r>
          </w:p>
          <w:p w14:paraId="35E10790">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（二）我单位（联合体）未被信用中国（</w:t>
            </w:r>
            <w:r>
              <w:rPr>
                <w:rFonts w:hint="eastAsia" w:ascii="宋体" w:hAnsi="宋体" w:eastAsia="宋体" w:cs="宋体"/>
                <w:b w:val="0"/>
                <w:bCs w:val="0"/>
                <w:color w:val="auto"/>
                <w:spacing w:val="0"/>
                <w:sz w:val="24"/>
                <w:szCs w:val="24"/>
                <w:highlight w:val="none"/>
                <w:lang w:val="en-US" w:eastAsia="zh-CN"/>
              </w:rPr>
              <w:t>www.creditchina.gov.cn</w:t>
            </w:r>
            <w:r>
              <w:rPr>
                <w:rFonts w:hint="eastAsia" w:ascii="宋体" w:hAnsi="宋体" w:eastAsia="宋体" w:cs="宋体"/>
                <w:b w:val="0"/>
                <w:bCs w:val="0"/>
                <w:color w:val="auto"/>
                <w:sz w:val="24"/>
                <w:szCs w:val="24"/>
                <w:highlight w:val="none"/>
                <w:lang w:val="en-US" w:eastAsia="zh-CN"/>
              </w:rPr>
              <w:t>)、中国政府采购网（www.ccgp.gov.cn）列入失信被执行人、重大税收违法案件当事人名单、政府采购严重违法失信行为记录名单。</w:t>
            </w:r>
            <w:r>
              <w:rPr>
                <w:rFonts w:hint="eastAsia" w:ascii="宋体" w:hAnsi="宋体" w:eastAsia="宋体" w:cs="宋体"/>
                <w:b w:val="0"/>
                <w:bCs w:val="0"/>
                <w:color w:val="auto"/>
                <w:sz w:val="24"/>
                <w:szCs w:val="24"/>
                <w:highlight w:val="none"/>
                <w:u w:val="single"/>
                <w:lang w:val="en-US" w:eastAsia="zh-CN"/>
              </w:rPr>
              <w:t>我方认可采购组织机构在资格审查时对上述网站的信用信息记录的查询结果。</w:t>
            </w:r>
          </w:p>
          <w:p w14:paraId="46545EE0">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（三）我单位（联合体）已满足本项目落实政府采购政策所需的资格要求以及特定资格要求。</w:t>
            </w:r>
          </w:p>
          <w:p w14:paraId="27789527">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（四）我单位（联合体）不存在以下情况：</w:t>
            </w:r>
          </w:p>
          <w:p w14:paraId="693B2FA0">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是采购人的附属机构（单位）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在获知本项目采购信息后，与采购人聘请的为此项目提供咨询服务的单位及其附属机构</w:t>
            </w:r>
            <w:r>
              <w:rPr>
                <w:rFonts w:hint="eastAsia" w:ascii="宋体" w:hAnsi="宋体" w:eastAsia="宋体" w:cs="宋体"/>
                <w:b w:val="0"/>
                <w:bCs w:val="0"/>
                <w:color w:val="auto"/>
                <w:sz w:val="24"/>
                <w:szCs w:val="24"/>
                <w:highlight w:val="none"/>
                <w:lang w:val="en-US" w:eastAsia="zh-CN"/>
              </w:rPr>
              <w:t>存在</w:t>
            </w:r>
            <w:r>
              <w:rPr>
                <w:rFonts w:hint="eastAsia" w:ascii="宋体" w:hAnsi="宋体" w:eastAsia="宋体" w:cs="宋体"/>
                <w:b w:val="0"/>
                <w:bCs w:val="0"/>
                <w:color w:val="auto"/>
                <w:sz w:val="24"/>
                <w:szCs w:val="24"/>
                <w:highlight w:val="none"/>
              </w:rPr>
              <w:t>联系</w:t>
            </w:r>
            <w:r>
              <w:rPr>
                <w:rFonts w:hint="eastAsia" w:ascii="宋体" w:hAnsi="宋体" w:eastAsia="宋体" w:cs="宋体"/>
                <w:b w:val="0"/>
                <w:bCs w:val="0"/>
                <w:color w:val="auto"/>
                <w:sz w:val="24"/>
                <w:szCs w:val="24"/>
                <w:highlight w:val="none"/>
                <w:lang w:eastAsia="zh-CN"/>
              </w:rPr>
              <w:t>；</w:t>
            </w:r>
          </w:p>
          <w:p w14:paraId="3C65873D">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单位负责人为同一人或者存在直接控股、管理关系的不同供应商，参加同一合同项下的政府采购活动。</w:t>
            </w:r>
          </w:p>
          <w:p w14:paraId="52365F26">
            <w:pPr>
              <w:pStyle w:val="21"/>
              <w:keepNext w:val="0"/>
              <w:keepLines w:val="0"/>
              <w:pageBreakBefore w:val="0"/>
              <w:widowControl w:val="0"/>
              <w:kinsoku/>
              <w:wordWrap/>
              <w:overflowPunct/>
              <w:topLinePunct w:val="0"/>
              <w:autoSpaceDE/>
              <w:autoSpaceDN/>
              <w:bidi w:val="0"/>
              <w:snapToGrid/>
              <w:spacing w:before="136" w:beforeLines="50" w:after="136" w:afterLines="50" w:line="24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为采购项目提供整体设计、规范编制或者项目管理、监理、检测等服务</w:t>
            </w:r>
            <w:r>
              <w:rPr>
                <w:rFonts w:hint="eastAsia" w:ascii="宋体" w:hAnsi="宋体" w:eastAsia="宋体" w:cs="宋体"/>
                <w:b w:val="0"/>
                <w:bCs w:val="0"/>
                <w:color w:val="auto"/>
                <w:sz w:val="24"/>
                <w:szCs w:val="24"/>
                <w:highlight w:val="none"/>
                <w:lang w:val="en-US" w:eastAsia="zh-CN"/>
              </w:rPr>
              <w:t>后</w:t>
            </w:r>
            <w:r>
              <w:rPr>
                <w:rFonts w:hint="eastAsia" w:ascii="宋体" w:hAnsi="宋体" w:eastAsia="宋体" w:cs="宋体"/>
                <w:b w:val="0"/>
                <w:bCs w:val="0"/>
                <w:color w:val="auto"/>
                <w:sz w:val="24"/>
                <w:szCs w:val="24"/>
                <w:highlight w:val="none"/>
              </w:rPr>
              <w:t>，参加该采购项目的其他采购活动。</w:t>
            </w:r>
          </w:p>
          <w:p w14:paraId="47842FFF">
            <w:pPr>
              <w:keepNext w:val="0"/>
              <w:keepLines w:val="0"/>
              <w:pageBreakBefore w:val="0"/>
              <w:widowControl w:val="0"/>
              <w:tabs>
                <w:tab w:val="center" w:pos="4483"/>
              </w:tabs>
              <w:kinsoku/>
              <w:wordWrap/>
              <w:overflowPunct/>
              <w:topLinePunct w:val="0"/>
              <w:autoSpaceDE/>
              <w:autoSpaceDN/>
              <w:bidi w:val="0"/>
              <w:adjustRightInd w:val="0"/>
              <w:snapToGrid/>
              <w:spacing w:before="136" w:beforeLines="50" w:after="136" w:afterLines="50" w:line="24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是公益一类事业单位、使用事业编制且由财政拨款保障的群团组织；</w:t>
            </w:r>
          </w:p>
          <w:p w14:paraId="6C2164BA">
            <w:pPr>
              <w:pStyle w:val="40"/>
              <w:rPr>
                <w:rFonts w:hint="eastAsia" w:ascii="宋体" w:hAnsi="宋体" w:eastAsia="宋体" w:cs="宋体"/>
                <w:color w:val="auto"/>
                <w:highlight w:val="none"/>
                <w:lang w:val="en-US" w:eastAsia="zh-CN"/>
              </w:rPr>
            </w:pPr>
          </w:p>
          <w:p w14:paraId="0C376A86">
            <w:pPr>
              <w:keepNext w:val="0"/>
              <w:keepLines w:val="0"/>
              <w:pageBreakBefore w:val="0"/>
              <w:widowControl w:val="0"/>
              <w:tabs>
                <w:tab w:val="center" w:pos="4483"/>
              </w:tabs>
              <w:kinsoku/>
              <w:wordWrap/>
              <w:overflowPunct/>
              <w:topLinePunct w:val="0"/>
              <w:autoSpaceDE/>
              <w:autoSpaceDN/>
              <w:bidi w:val="0"/>
              <w:adjustRightInd w:val="0"/>
              <w:snapToGrid/>
              <w:spacing w:before="120" w:beforeLines="50" w:after="120" w:afterLines="50" w:line="288"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以上事项如有虚假或隐瞒，我单位愿意承担一切后果，并不再寻求任何旨在减轻或免除法律责任的辩解。</w:t>
            </w:r>
          </w:p>
          <w:p w14:paraId="28039EC9">
            <w:pPr>
              <w:pageBreakBefore w:val="0"/>
              <w:kinsoku/>
              <w:wordWrap/>
              <w:overflowPunct/>
              <w:topLinePunct w:val="0"/>
              <w:bidi w:val="0"/>
              <w:snapToGrid w:val="0"/>
              <w:spacing w:line="360" w:lineRule="auto"/>
              <w:ind w:firstLine="480" w:firstLineChars="200"/>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供应商全称：</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（盖公章）</w:t>
            </w:r>
          </w:p>
          <w:p w14:paraId="2DCF74F2">
            <w:pPr>
              <w:pageBreakBefore w:val="0"/>
              <w:kinsoku/>
              <w:wordWrap/>
              <w:overflowPunct/>
              <w:topLinePunct w:val="0"/>
              <w:bidi w:val="0"/>
              <w:snapToGrid w:val="0"/>
              <w:spacing w:line="360" w:lineRule="auto"/>
              <w:ind w:firstLine="480" w:firstLineChars="200"/>
              <w:jc w:val="righ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法定代表人（负责人）或授权代表：</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（签字或盖章）</w:t>
            </w:r>
          </w:p>
          <w:p w14:paraId="2C833781">
            <w:pPr>
              <w:pageBreakBefore w:val="0"/>
              <w:kinsoku/>
              <w:wordWrap/>
              <w:overflowPunct/>
              <w:topLinePunct w:val="0"/>
              <w:bidi w:val="0"/>
              <w:snapToGrid w:val="0"/>
              <w:spacing w:line="360" w:lineRule="auto"/>
              <w:ind w:firstLine="480" w:firstLineChars="200"/>
              <w:jc w:val="right"/>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24"/>
                <w:highlight w:val="none"/>
              </w:rPr>
              <w:t>日期：  年 月 日</w:t>
            </w:r>
          </w:p>
        </w:tc>
      </w:tr>
    </w:tbl>
    <w:p w14:paraId="0296D795">
      <w:pPr>
        <w:pStyle w:val="28"/>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附件6 商务</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技术）</w:t>
      </w:r>
      <w:r>
        <w:rPr>
          <w:rFonts w:hint="eastAsia" w:ascii="宋体" w:hAnsi="宋体" w:eastAsia="宋体" w:cs="宋体"/>
          <w:bCs/>
          <w:color w:val="auto"/>
          <w:sz w:val="21"/>
          <w:szCs w:val="21"/>
          <w:highlight w:val="none"/>
        </w:rPr>
        <w:t xml:space="preserve">条款偏离表：      </w:t>
      </w:r>
    </w:p>
    <w:p w14:paraId="06BDEC63">
      <w:pPr>
        <w:pStyle w:val="28"/>
        <w:pageBreakBefore w:val="0"/>
        <w:kinsoku/>
        <w:wordWrap/>
        <w:overflowPunct/>
        <w:topLinePunct w:val="0"/>
        <w:bidi w:val="0"/>
        <w:spacing w:line="240" w:lineRule="auto"/>
        <w:jc w:val="center"/>
        <w:rPr>
          <w:rFonts w:hint="eastAsia" w:ascii="宋体" w:hAnsi="宋体" w:eastAsia="宋体" w:cs="宋体"/>
          <w:b/>
          <w:color w:val="auto"/>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sz w:val="30"/>
          <w:szCs w:val="30"/>
          <w:highlight w:val="none"/>
          <w14:textOutline w14:w="3175" w14:cap="flat" w14:cmpd="sng" w14:algn="ctr">
            <w14:solidFill>
              <w14:schemeClr w14:val="tx1"/>
            </w14:solidFill>
            <w14:prstDash w14:val="solid"/>
            <w14:round/>
          </w14:textOutline>
        </w:rPr>
        <w:t>商务</w:t>
      </w:r>
      <w:r>
        <w:rPr>
          <w:rFonts w:hint="eastAsia" w:ascii="宋体" w:hAnsi="宋体" w:eastAsia="宋体" w:cs="宋体"/>
          <w:b/>
          <w:color w:val="auto"/>
          <w:sz w:val="30"/>
          <w:szCs w:val="30"/>
          <w:highlight w:val="none"/>
          <w:lang w:eastAsia="zh-CN"/>
          <w14:textOutline w14:w="3175" w14:cap="flat" w14:cmpd="sng" w14:algn="ctr">
            <w14:solidFill>
              <w14:schemeClr w14:val="tx1"/>
            </w14:solidFill>
            <w14:prstDash w14:val="solid"/>
            <w14:round/>
          </w14:textOutline>
        </w:rPr>
        <w:t>（</w:t>
      </w:r>
      <w:r>
        <w:rPr>
          <w:rFonts w:hint="eastAsia" w:ascii="宋体" w:hAnsi="宋体" w:eastAsia="宋体" w:cs="宋体"/>
          <w:b/>
          <w:color w:val="auto"/>
          <w:sz w:val="30"/>
          <w:szCs w:val="30"/>
          <w:highlight w:val="none"/>
          <w:lang w:val="en-US" w:eastAsia="zh-CN"/>
          <w14:textOutline w14:w="3175" w14:cap="flat" w14:cmpd="sng" w14:algn="ctr">
            <w14:solidFill>
              <w14:schemeClr w14:val="tx1"/>
            </w14:solidFill>
            <w14:prstDash w14:val="solid"/>
            <w14:round/>
          </w14:textOutline>
        </w:rPr>
        <w:t>技术）</w:t>
      </w:r>
      <w:r>
        <w:rPr>
          <w:rFonts w:hint="eastAsia" w:ascii="宋体" w:hAnsi="宋体" w:eastAsia="宋体" w:cs="宋体"/>
          <w:b/>
          <w:color w:val="auto"/>
          <w:sz w:val="30"/>
          <w:szCs w:val="30"/>
          <w:highlight w:val="none"/>
          <w14:textOutline w14:w="3175" w14:cap="flat" w14:cmpd="sng" w14:algn="ctr">
            <w14:solidFill>
              <w14:schemeClr w14:val="tx1"/>
            </w14:solidFill>
            <w14:prstDash w14:val="solid"/>
            <w14:round/>
          </w14:textOutline>
        </w:rPr>
        <w:t>条款偏离表</w:t>
      </w:r>
    </w:p>
    <w:p w14:paraId="4AEA99A6">
      <w:pPr>
        <w:pStyle w:val="6"/>
        <w:pageBreakBefore w:val="0"/>
        <w:kinsoku/>
        <w:wordWrap/>
        <w:overflowPunct/>
        <w:topLinePunct w:val="0"/>
        <w:bidi w:val="0"/>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天台县森林草地湿地普查工作</w:t>
      </w:r>
      <w:r>
        <w:rPr>
          <w:rFonts w:hint="eastAsia" w:ascii="宋体" w:hAnsi="宋体" w:eastAsia="宋体" w:cs="宋体"/>
          <w:color w:val="auto"/>
          <w:sz w:val="24"/>
          <w:highlight w:val="none"/>
        </w:rPr>
        <w:t xml:space="preserve">                                                          项目编号： </w:t>
      </w:r>
      <w:r>
        <w:rPr>
          <w:rFonts w:hint="eastAsia" w:hAnsi="宋体" w:cs="宋体"/>
          <w:color w:val="auto"/>
          <w:sz w:val="24"/>
          <w:highlight w:val="none"/>
          <w:lang w:eastAsia="zh-CN"/>
        </w:rPr>
        <w:t>TCCG-2025-Z006</w:t>
      </w:r>
    </w:p>
    <w:tbl>
      <w:tblPr>
        <w:tblStyle w:val="31"/>
        <w:tblW w:w="96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2582"/>
        <w:gridCol w:w="1974"/>
        <w:gridCol w:w="2512"/>
        <w:gridCol w:w="1884"/>
      </w:tblGrid>
      <w:tr w14:paraId="3938E1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723" w:type="dxa"/>
            <w:vAlign w:val="center"/>
          </w:tcPr>
          <w:p w14:paraId="76A05120">
            <w:pPr>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82" w:type="dxa"/>
            <w:vAlign w:val="center"/>
          </w:tcPr>
          <w:p w14:paraId="0886FE3F">
            <w:pPr>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招标要求</w:t>
            </w:r>
          </w:p>
        </w:tc>
        <w:tc>
          <w:tcPr>
            <w:tcW w:w="1974" w:type="dxa"/>
            <w:vAlign w:val="center"/>
          </w:tcPr>
          <w:p w14:paraId="1DDA9AB0">
            <w:pPr>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w:t>
            </w:r>
          </w:p>
        </w:tc>
        <w:tc>
          <w:tcPr>
            <w:tcW w:w="2512" w:type="dxa"/>
            <w:vAlign w:val="center"/>
          </w:tcPr>
          <w:p w14:paraId="3541FC65">
            <w:pPr>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  明</w:t>
            </w:r>
          </w:p>
          <w:p w14:paraId="58306982">
            <w:pPr>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18"/>
                <w:szCs w:val="18"/>
                <w:highlight w:val="none"/>
              </w:rPr>
              <w:t>（正偏离/无偏离/负偏离）</w:t>
            </w:r>
          </w:p>
        </w:tc>
        <w:tc>
          <w:tcPr>
            <w:tcW w:w="1884" w:type="dxa"/>
            <w:vAlign w:val="center"/>
          </w:tcPr>
          <w:p w14:paraId="0CC12FFB">
            <w:pPr>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投标文件响应页码</w:t>
            </w:r>
          </w:p>
        </w:tc>
      </w:tr>
      <w:tr w14:paraId="2FC6B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5E17080">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1</w:t>
            </w:r>
          </w:p>
        </w:tc>
        <w:tc>
          <w:tcPr>
            <w:tcW w:w="2582" w:type="dxa"/>
            <w:vAlign w:val="center"/>
          </w:tcPr>
          <w:p w14:paraId="4105C054">
            <w:pPr>
              <w:pStyle w:val="6"/>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p>
        </w:tc>
        <w:tc>
          <w:tcPr>
            <w:tcW w:w="1974" w:type="dxa"/>
            <w:vAlign w:val="center"/>
          </w:tcPr>
          <w:p w14:paraId="486A70E4">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335E7724">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531FAB02">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5DDB4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4E6660B0">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2</w:t>
            </w:r>
          </w:p>
        </w:tc>
        <w:tc>
          <w:tcPr>
            <w:tcW w:w="2582" w:type="dxa"/>
            <w:vAlign w:val="center"/>
          </w:tcPr>
          <w:p w14:paraId="08EEDCE8">
            <w:pPr>
              <w:pStyle w:val="6"/>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p>
        </w:tc>
        <w:tc>
          <w:tcPr>
            <w:tcW w:w="1974" w:type="dxa"/>
            <w:vAlign w:val="center"/>
          </w:tcPr>
          <w:p w14:paraId="4F93F6B9">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66DFA842">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08B48A94">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5C6B27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B5D05D3">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3</w:t>
            </w:r>
          </w:p>
        </w:tc>
        <w:tc>
          <w:tcPr>
            <w:tcW w:w="2582" w:type="dxa"/>
            <w:vAlign w:val="center"/>
          </w:tcPr>
          <w:p w14:paraId="72E349AA">
            <w:pPr>
              <w:pStyle w:val="6"/>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p>
        </w:tc>
        <w:tc>
          <w:tcPr>
            <w:tcW w:w="1974" w:type="dxa"/>
            <w:vAlign w:val="center"/>
          </w:tcPr>
          <w:p w14:paraId="177A7834">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08B50F8F">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690B93AD">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56BB0F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32A6A893">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82" w:type="dxa"/>
            <w:vAlign w:val="center"/>
          </w:tcPr>
          <w:p w14:paraId="64408394">
            <w:pPr>
              <w:pStyle w:val="6"/>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w:t>
            </w:r>
          </w:p>
        </w:tc>
        <w:tc>
          <w:tcPr>
            <w:tcW w:w="1974" w:type="dxa"/>
            <w:vAlign w:val="center"/>
          </w:tcPr>
          <w:p w14:paraId="020BAD0A">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58C6305C">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74CDE93C">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5E52C6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63A21C1">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82" w:type="dxa"/>
            <w:vAlign w:val="center"/>
          </w:tcPr>
          <w:p w14:paraId="70EC4AE0">
            <w:pPr>
              <w:pStyle w:val="6"/>
              <w:pageBreakBefore w:val="0"/>
              <w:kinsoku/>
              <w:wordWrap/>
              <w:overflowPunct/>
              <w:topLinePunct w:val="0"/>
              <w:bidi w:val="0"/>
              <w:snapToGrid w:val="0"/>
              <w:spacing w:line="240" w:lineRule="auto"/>
              <w:rPr>
                <w:rFonts w:hint="eastAsia" w:ascii="宋体" w:hAnsi="宋体" w:eastAsia="宋体" w:cs="宋体"/>
                <w:color w:val="auto"/>
                <w:sz w:val="24"/>
                <w:highlight w:val="none"/>
              </w:rPr>
            </w:pPr>
          </w:p>
        </w:tc>
        <w:tc>
          <w:tcPr>
            <w:tcW w:w="1974" w:type="dxa"/>
            <w:vAlign w:val="center"/>
          </w:tcPr>
          <w:p w14:paraId="550E7249">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3B186B0E">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4923E5B4">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0EAC0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145C44A2">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82" w:type="dxa"/>
            <w:vAlign w:val="center"/>
          </w:tcPr>
          <w:p w14:paraId="2A1652BD">
            <w:pPr>
              <w:pStyle w:val="6"/>
              <w:pageBreakBefore w:val="0"/>
              <w:kinsoku/>
              <w:wordWrap/>
              <w:overflowPunct/>
              <w:topLinePunct w:val="0"/>
              <w:bidi w:val="0"/>
              <w:snapToGrid w:val="0"/>
              <w:spacing w:line="240" w:lineRule="auto"/>
              <w:rPr>
                <w:rFonts w:hint="eastAsia" w:ascii="宋体" w:hAnsi="宋体" w:eastAsia="宋体" w:cs="宋体"/>
                <w:color w:val="auto"/>
                <w:sz w:val="24"/>
                <w:highlight w:val="none"/>
              </w:rPr>
            </w:pPr>
          </w:p>
        </w:tc>
        <w:tc>
          <w:tcPr>
            <w:tcW w:w="1974" w:type="dxa"/>
            <w:vAlign w:val="center"/>
          </w:tcPr>
          <w:p w14:paraId="2F8CD31B">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30A285FF">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645E7AFF">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5EC895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3B2C40B3">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82" w:type="dxa"/>
            <w:vAlign w:val="center"/>
          </w:tcPr>
          <w:p w14:paraId="78B24370">
            <w:pPr>
              <w:pStyle w:val="6"/>
              <w:pageBreakBefore w:val="0"/>
              <w:kinsoku/>
              <w:wordWrap/>
              <w:overflowPunct/>
              <w:topLinePunct w:val="0"/>
              <w:bidi w:val="0"/>
              <w:snapToGrid w:val="0"/>
              <w:spacing w:line="240" w:lineRule="auto"/>
              <w:rPr>
                <w:rFonts w:hint="eastAsia" w:ascii="宋体" w:hAnsi="宋体" w:eastAsia="宋体" w:cs="宋体"/>
                <w:color w:val="auto"/>
                <w:sz w:val="24"/>
                <w:highlight w:val="none"/>
              </w:rPr>
            </w:pPr>
          </w:p>
        </w:tc>
        <w:tc>
          <w:tcPr>
            <w:tcW w:w="1974" w:type="dxa"/>
            <w:vAlign w:val="center"/>
          </w:tcPr>
          <w:p w14:paraId="15414E08">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62C6B86D">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501CE8A6">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176EBB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7A6CCFEA">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82" w:type="dxa"/>
            <w:vAlign w:val="center"/>
          </w:tcPr>
          <w:p w14:paraId="10D3FA71">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974" w:type="dxa"/>
            <w:vAlign w:val="center"/>
          </w:tcPr>
          <w:p w14:paraId="18A53210">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71F58C5B">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7693D5AF">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54559F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23" w:type="dxa"/>
            <w:vAlign w:val="center"/>
          </w:tcPr>
          <w:p w14:paraId="3D41B938">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82" w:type="dxa"/>
            <w:vAlign w:val="center"/>
          </w:tcPr>
          <w:p w14:paraId="452F45C6">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974" w:type="dxa"/>
            <w:vAlign w:val="center"/>
          </w:tcPr>
          <w:p w14:paraId="4FFE888C">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295F2207">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39B5DE61">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629A3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723" w:type="dxa"/>
            <w:vAlign w:val="center"/>
          </w:tcPr>
          <w:p w14:paraId="4477A38D">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82" w:type="dxa"/>
            <w:vAlign w:val="center"/>
          </w:tcPr>
          <w:p w14:paraId="7A70398D">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974" w:type="dxa"/>
            <w:vAlign w:val="center"/>
          </w:tcPr>
          <w:p w14:paraId="3ABC6B5D">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512" w:type="dxa"/>
            <w:vAlign w:val="center"/>
          </w:tcPr>
          <w:p w14:paraId="69913AB0">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884" w:type="dxa"/>
            <w:vAlign w:val="center"/>
          </w:tcPr>
          <w:p w14:paraId="4E5903CF">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bl>
    <w:p w14:paraId="7E888BAB">
      <w:pPr>
        <w:pStyle w:val="28"/>
        <w:pageBreakBefore w:val="0"/>
        <w:kinsoku/>
        <w:wordWrap/>
        <w:overflowPunct/>
        <w:topLinePunct w:val="0"/>
        <w:bidi w:val="0"/>
        <w:spacing w:before="48" w:beforeLines="20" w:beforeAutospacing="0" w:after="0" w:afterAutospacing="0" w:line="240" w:lineRule="auto"/>
        <w:ind w:left="1079" w:leftChars="171" w:hanging="720" w:hangingChars="300"/>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说明：1、供应商须将投标文件对采购文件的所有偏离填入此表</w:t>
      </w:r>
      <w:r>
        <w:rPr>
          <w:rFonts w:hint="eastAsia" w:ascii="宋体" w:hAnsi="宋体" w:eastAsia="宋体" w:cs="宋体"/>
          <w:color w:val="auto"/>
          <w:kern w:val="2"/>
          <w:highlight w:val="none"/>
          <w:lang w:eastAsia="zh-CN"/>
        </w:rPr>
        <w:t>；</w:t>
      </w:r>
    </w:p>
    <w:p w14:paraId="5DDE6259">
      <w:pPr>
        <w:pStyle w:val="28"/>
        <w:pageBreakBefore w:val="0"/>
        <w:kinsoku/>
        <w:wordWrap/>
        <w:overflowPunct/>
        <w:topLinePunct w:val="0"/>
        <w:bidi w:val="0"/>
        <w:spacing w:before="48" w:beforeLines="20" w:beforeAutospacing="0" w:after="0" w:afterAutospacing="0" w:line="240" w:lineRule="auto"/>
        <w:ind w:left="1077" w:leftChars="513" w:firstLine="0" w:firstLineChars="0"/>
        <w:rPr>
          <w:rFonts w:hint="eastAsia" w:ascii="宋体" w:hAnsi="宋体" w:eastAsia="宋体" w:cs="宋体"/>
          <w:b/>
          <w:bCs/>
          <w:color w:val="auto"/>
          <w:kern w:val="2"/>
          <w:highlight w:val="none"/>
          <w:lang w:eastAsia="zh-CN"/>
        </w:rPr>
      </w:pPr>
      <w:r>
        <w:rPr>
          <w:rFonts w:hint="eastAsia" w:ascii="宋体" w:hAnsi="宋体" w:eastAsia="宋体" w:cs="宋体"/>
          <w:color w:val="auto"/>
          <w:kern w:val="2"/>
          <w:highlight w:val="none"/>
        </w:rPr>
        <w:t>2、</w:t>
      </w:r>
      <w:r>
        <w:rPr>
          <w:rFonts w:hint="eastAsia" w:ascii="宋体" w:hAnsi="宋体" w:eastAsia="宋体" w:cs="宋体"/>
          <w:b/>
          <w:bCs/>
          <w:color w:val="auto"/>
          <w:kern w:val="2"/>
          <w:highlight w:val="none"/>
        </w:rPr>
        <w:t>如不填写，视为完全响应采购文件的要求</w:t>
      </w:r>
      <w:r>
        <w:rPr>
          <w:rFonts w:hint="eastAsia" w:ascii="宋体" w:hAnsi="宋体" w:eastAsia="宋体" w:cs="宋体"/>
          <w:b/>
          <w:bCs/>
          <w:color w:val="auto"/>
          <w:kern w:val="2"/>
          <w:highlight w:val="none"/>
          <w:lang w:eastAsia="zh-CN"/>
        </w:rPr>
        <w:t>，</w:t>
      </w:r>
      <w:r>
        <w:rPr>
          <w:rFonts w:hint="eastAsia" w:ascii="宋体" w:hAnsi="宋体" w:eastAsia="宋体" w:cs="宋体"/>
          <w:b/>
          <w:bCs/>
          <w:color w:val="auto"/>
          <w:kern w:val="2"/>
          <w:highlight w:val="none"/>
          <w:lang w:val="en-US" w:eastAsia="zh-CN"/>
        </w:rPr>
        <w:t>但仍应编入投标文件</w:t>
      </w:r>
      <w:r>
        <w:rPr>
          <w:rFonts w:hint="eastAsia" w:ascii="宋体" w:hAnsi="宋体" w:eastAsia="宋体" w:cs="宋体"/>
          <w:b/>
          <w:bCs/>
          <w:color w:val="auto"/>
          <w:kern w:val="2"/>
          <w:highlight w:val="none"/>
          <w:lang w:eastAsia="zh-CN"/>
        </w:rPr>
        <w:t>；</w:t>
      </w:r>
    </w:p>
    <w:p w14:paraId="29086834">
      <w:pPr>
        <w:pStyle w:val="28"/>
        <w:pageBreakBefore w:val="0"/>
        <w:kinsoku/>
        <w:wordWrap/>
        <w:overflowPunct/>
        <w:topLinePunct w:val="0"/>
        <w:bidi w:val="0"/>
        <w:spacing w:before="48" w:beforeLines="20" w:beforeAutospacing="0" w:after="0" w:afterAutospacing="0" w:line="240" w:lineRule="auto"/>
        <w:ind w:left="1082" w:leftChars="171" w:hanging="723" w:hangingChars="300"/>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 xml:space="preserve">      3、本项目不允许负偏离。</w:t>
      </w:r>
    </w:p>
    <w:p w14:paraId="45292E6D">
      <w:pPr>
        <w:pStyle w:val="28"/>
        <w:pageBreakBefore w:val="0"/>
        <w:kinsoku/>
        <w:wordWrap/>
        <w:overflowPunct/>
        <w:topLinePunct w:val="0"/>
        <w:bidi w:val="0"/>
        <w:spacing w:before="48" w:beforeLines="20" w:beforeAutospacing="0" w:after="0" w:afterAutospacing="0" w:line="240" w:lineRule="auto"/>
        <w:ind w:firstLine="1080" w:firstLineChars="450"/>
        <w:rPr>
          <w:rFonts w:hint="eastAsia" w:ascii="宋体" w:hAnsi="宋体" w:eastAsia="宋体" w:cs="宋体"/>
          <w:color w:val="auto"/>
          <w:kern w:val="2"/>
          <w:highlight w:val="none"/>
        </w:rPr>
      </w:pPr>
      <w:r>
        <w:rPr>
          <w:rFonts w:hint="eastAsia" w:ascii="宋体" w:hAnsi="宋体" w:eastAsia="宋体" w:cs="宋体"/>
          <w:color w:val="auto"/>
          <w:kern w:val="2"/>
          <w:highlight w:val="none"/>
          <w:lang w:val="en-US" w:eastAsia="zh-CN"/>
        </w:rPr>
        <w:t>4</w:t>
      </w:r>
      <w:r>
        <w:rPr>
          <w:rFonts w:hint="eastAsia" w:ascii="宋体" w:hAnsi="宋体" w:eastAsia="宋体" w:cs="宋体"/>
          <w:color w:val="auto"/>
          <w:kern w:val="2"/>
          <w:highlight w:val="none"/>
        </w:rPr>
        <w:t>、此表仅提供了表格形式，供应商可按此表格复制。</w:t>
      </w:r>
    </w:p>
    <w:p w14:paraId="74903AE8">
      <w:pPr>
        <w:pStyle w:val="28"/>
        <w:pageBreakBefore w:val="0"/>
        <w:kinsoku/>
        <w:wordWrap/>
        <w:overflowPunct/>
        <w:topLinePunct w:val="0"/>
        <w:bidi w:val="0"/>
        <w:spacing w:before="48" w:beforeLines="20" w:beforeAutospacing="0" w:after="0" w:afterAutospacing="0" w:line="240" w:lineRule="auto"/>
        <w:ind w:firstLine="1080" w:firstLineChars="450"/>
        <w:rPr>
          <w:rFonts w:hint="eastAsia" w:ascii="宋体" w:hAnsi="宋体" w:eastAsia="宋体" w:cs="宋体"/>
          <w:color w:val="auto"/>
          <w:kern w:val="2"/>
          <w:highlight w:val="none"/>
        </w:rPr>
      </w:pPr>
    </w:p>
    <w:p w14:paraId="51413D48">
      <w:pPr>
        <w:pageBreakBefore w:val="0"/>
        <w:kinsoku/>
        <w:wordWrap/>
        <w:overflowPunct/>
        <w:topLinePunct w:val="0"/>
        <w:bidi w:val="0"/>
        <w:spacing w:line="240" w:lineRule="auto"/>
        <w:ind w:firstLine="3500" w:firstLineChars="1250"/>
        <w:rPr>
          <w:rFonts w:hint="eastAsia" w:ascii="宋体" w:hAnsi="宋体" w:eastAsia="宋体" w:cs="宋体"/>
          <w:color w:val="auto"/>
          <w:sz w:val="28"/>
          <w:szCs w:val="28"/>
          <w:highlight w:val="none"/>
        </w:rPr>
      </w:pPr>
    </w:p>
    <w:p w14:paraId="6BCD56DD">
      <w:pPr>
        <w:pStyle w:val="55"/>
        <w:pageBreakBefore w:val="0"/>
        <w:kinsoku/>
        <w:wordWrap/>
        <w:overflowPunct/>
        <w:topLinePunct w:val="0"/>
        <w:bidi w:val="0"/>
        <w:spacing w:line="240" w:lineRule="auto"/>
        <w:rPr>
          <w:rFonts w:hint="eastAsia" w:ascii="宋体" w:hAnsi="宋体" w:eastAsia="宋体" w:cs="宋体"/>
          <w:color w:val="auto"/>
          <w:highlight w:val="none"/>
        </w:rPr>
      </w:pPr>
    </w:p>
    <w:p w14:paraId="66A5A72E">
      <w:pPr>
        <w:pageBreakBefore w:val="0"/>
        <w:kinsoku/>
        <w:wordWrap/>
        <w:overflowPunct/>
        <w:topLinePunct w:val="0"/>
        <w:bidi w:val="0"/>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6A0200C2">
      <w:pPr>
        <w:pageBreakBefore w:val="0"/>
        <w:kinsoku/>
        <w:wordWrap/>
        <w:overflowPunct/>
        <w:topLinePunct w:val="0"/>
        <w:bidi w:val="0"/>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法定代表人（负责人）或授权代表：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E9E4929">
      <w:pPr>
        <w:pageBreakBefore w:val="0"/>
        <w:kinsoku/>
        <w:wordWrap/>
        <w:overflowPunct/>
        <w:topLinePunct w:val="0"/>
        <w:bidi w:val="0"/>
        <w:snapToGrid w:val="0"/>
        <w:spacing w:line="360" w:lineRule="auto"/>
        <w:ind w:firstLine="480" w:firstLineChars="200"/>
        <w:jc w:val="righ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日期：  年 月 日</w:t>
      </w:r>
    </w:p>
    <w:p w14:paraId="0DC4D164">
      <w:pPr>
        <w:pageBreakBefore w:val="0"/>
        <w:kinsoku/>
        <w:wordWrap/>
        <w:overflowPunct/>
        <w:topLinePunct w:val="0"/>
        <w:bidi w:val="0"/>
        <w:spacing w:line="240" w:lineRule="auto"/>
        <w:rPr>
          <w:rFonts w:hint="eastAsia" w:ascii="宋体" w:hAnsi="宋体" w:eastAsia="宋体" w:cs="宋体"/>
          <w:b/>
          <w:color w:val="auto"/>
          <w:kern w:val="0"/>
          <w:sz w:val="30"/>
          <w:szCs w:val="20"/>
          <w:highlight w:val="none"/>
        </w:rPr>
      </w:pPr>
    </w:p>
    <w:p w14:paraId="2BE81AD2">
      <w:pPr>
        <w:pStyle w:val="29"/>
        <w:pageBreakBefore w:val="0"/>
        <w:kinsoku/>
        <w:wordWrap/>
        <w:overflowPunct/>
        <w:topLinePunct w:val="0"/>
        <w:bidi w:val="0"/>
        <w:spacing w:line="240" w:lineRule="auto"/>
        <w:rPr>
          <w:rFonts w:hint="eastAsia" w:ascii="宋体" w:hAnsi="宋体" w:eastAsia="宋体" w:cs="宋体"/>
          <w:color w:val="auto"/>
          <w:highlight w:val="none"/>
          <w:lang w:eastAsia="zh-CN"/>
        </w:rPr>
      </w:pPr>
    </w:p>
    <w:p w14:paraId="65861EBD">
      <w:pPr>
        <w:pStyle w:val="41"/>
        <w:pageBreakBefore w:val="0"/>
        <w:kinsoku/>
        <w:wordWrap/>
        <w:overflowPunct/>
        <w:topLinePunct w:val="0"/>
        <w:bidi w:val="0"/>
        <w:spacing w:line="240" w:lineRule="auto"/>
        <w:rPr>
          <w:rFonts w:hint="eastAsia" w:ascii="宋体" w:hAnsi="宋体" w:eastAsia="宋体" w:cs="宋体"/>
          <w:b/>
          <w:color w:val="auto"/>
          <w:sz w:val="30"/>
          <w:szCs w:val="20"/>
          <w:highlight w:val="none"/>
        </w:rPr>
      </w:pPr>
    </w:p>
    <w:p w14:paraId="6FBD5C5A">
      <w:pPr>
        <w:pStyle w:val="49"/>
        <w:pageBreakBefore w:val="0"/>
        <w:kinsoku/>
        <w:wordWrap/>
        <w:overflowPunct/>
        <w:topLinePunct w:val="0"/>
        <w:bidi w:val="0"/>
        <w:spacing w:line="240" w:lineRule="auto"/>
        <w:ind w:firstLine="602"/>
        <w:rPr>
          <w:rFonts w:hint="eastAsia" w:ascii="宋体" w:hAnsi="宋体" w:eastAsia="宋体" w:cs="宋体"/>
          <w:b/>
          <w:color w:val="auto"/>
          <w:kern w:val="0"/>
          <w:sz w:val="30"/>
          <w:szCs w:val="20"/>
          <w:highlight w:val="none"/>
        </w:rPr>
      </w:pPr>
    </w:p>
    <w:p w14:paraId="037F45EE">
      <w:pPr>
        <w:pStyle w:val="49"/>
        <w:pageBreakBefore w:val="0"/>
        <w:kinsoku/>
        <w:wordWrap/>
        <w:overflowPunct/>
        <w:topLinePunct w:val="0"/>
        <w:bidi w:val="0"/>
        <w:spacing w:line="240" w:lineRule="auto"/>
        <w:ind w:firstLine="602"/>
        <w:rPr>
          <w:rFonts w:hint="eastAsia" w:ascii="宋体" w:hAnsi="宋体" w:eastAsia="宋体" w:cs="宋体"/>
          <w:b/>
          <w:color w:val="auto"/>
          <w:kern w:val="0"/>
          <w:sz w:val="30"/>
          <w:szCs w:val="20"/>
          <w:highlight w:val="none"/>
        </w:rPr>
      </w:pPr>
    </w:p>
    <w:p w14:paraId="23CAD086">
      <w:pPr>
        <w:pStyle w:val="49"/>
        <w:pageBreakBefore w:val="0"/>
        <w:kinsoku/>
        <w:wordWrap/>
        <w:overflowPunct/>
        <w:topLinePunct w:val="0"/>
        <w:bidi w:val="0"/>
        <w:spacing w:line="240" w:lineRule="auto"/>
        <w:ind w:firstLine="602"/>
        <w:rPr>
          <w:rFonts w:hint="eastAsia" w:ascii="宋体" w:hAnsi="宋体" w:eastAsia="宋体" w:cs="宋体"/>
          <w:b/>
          <w:color w:val="auto"/>
          <w:kern w:val="0"/>
          <w:sz w:val="30"/>
          <w:szCs w:val="20"/>
          <w:highlight w:val="none"/>
        </w:rPr>
      </w:pPr>
    </w:p>
    <w:p w14:paraId="77E39FED">
      <w:pPr>
        <w:pStyle w:val="49"/>
        <w:pageBreakBefore w:val="0"/>
        <w:kinsoku/>
        <w:wordWrap/>
        <w:overflowPunct/>
        <w:topLinePunct w:val="0"/>
        <w:bidi w:val="0"/>
        <w:spacing w:line="240" w:lineRule="auto"/>
        <w:ind w:firstLine="602"/>
        <w:rPr>
          <w:rFonts w:hint="eastAsia" w:ascii="宋体" w:hAnsi="宋体" w:eastAsia="宋体" w:cs="宋体"/>
          <w:b/>
          <w:color w:val="auto"/>
          <w:kern w:val="0"/>
          <w:sz w:val="30"/>
          <w:szCs w:val="20"/>
          <w:highlight w:val="none"/>
        </w:rPr>
      </w:pPr>
    </w:p>
    <w:p w14:paraId="0F7A670A">
      <w:pPr>
        <w:pStyle w:val="28"/>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 xml:space="preserve">-1 中小企业声明函： </w:t>
      </w:r>
    </w:p>
    <w:p w14:paraId="33142592">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t>中小企业声明函（货物）</w:t>
      </w:r>
    </w:p>
    <w:p w14:paraId="26ECFD8C">
      <w:pPr>
        <w:pStyle w:val="29"/>
        <w:pageBreakBefore w:val="0"/>
        <w:kinsoku/>
        <w:wordWrap/>
        <w:overflowPunct/>
        <w:topLinePunct w:val="0"/>
        <w:bidi w:val="0"/>
        <w:spacing w:line="240" w:lineRule="auto"/>
        <w:rPr>
          <w:rFonts w:hint="eastAsia" w:ascii="宋体" w:hAnsi="宋体" w:eastAsia="宋体" w:cs="宋体"/>
          <w:b w:val="0"/>
          <w:color w:val="auto"/>
          <w:kern w:val="2"/>
          <w:sz w:val="24"/>
          <w:highlight w:val="none"/>
          <w:lang w:eastAsia="zh-CN"/>
        </w:rPr>
      </w:pPr>
      <w:r>
        <w:rPr>
          <w:rFonts w:hint="eastAsia" w:ascii="宋体" w:hAnsi="宋体" w:eastAsia="宋体" w:cs="宋体"/>
          <w:b w:val="0"/>
          <w:color w:val="auto"/>
          <w:kern w:val="2"/>
          <w:sz w:val="24"/>
          <w:highlight w:val="none"/>
          <w:lang w:eastAsia="zh-CN"/>
        </w:rPr>
        <w:t>（本项目不适用）</w:t>
      </w:r>
    </w:p>
    <w:p w14:paraId="5B6F9BAB">
      <w:pPr>
        <w:pageBreakBefore w:val="0"/>
        <w:kinsoku/>
        <w:wordWrap/>
        <w:overflowPunct/>
        <w:topLinePunct w:val="0"/>
        <w:bidi w:val="0"/>
        <w:spacing w:line="240" w:lineRule="auto"/>
        <w:rPr>
          <w:rFonts w:hint="eastAsia" w:ascii="宋体" w:hAnsi="宋体" w:eastAsia="宋体" w:cs="宋体"/>
          <w:color w:val="auto"/>
          <w:highlight w:val="none"/>
        </w:rPr>
      </w:pPr>
    </w:p>
    <w:p w14:paraId="6E72E246">
      <w:pPr>
        <w:pStyle w:val="7"/>
        <w:pageBreakBefore w:val="0"/>
        <w:kinsoku/>
        <w:wordWrap/>
        <w:overflowPunct/>
        <w:topLinePunct w:val="0"/>
        <w:bidi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1ABD3E5F">
      <w:pPr>
        <w:pStyle w:val="7"/>
        <w:pageBreakBefore w:val="0"/>
        <w:kinsoku/>
        <w:wordWrap/>
        <w:overflowPunct/>
        <w:topLinePunct w:val="0"/>
        <w:bidi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0F6062BF">
      <w:pPr>
        <w:pStyle w:val="7"/>
        <w:pageBreakBefore w:val="0"/>
        <w:kinsoku/>
        <w:wordWrap/>
        <w:overflowPunct/>
        <w:topLinePunct w:val="0"/>
        <w:bidi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2D0C68B7">
      <w:pPr>
        <w:pStyle w:val="7"/>
        <w:pageBreakBefore w:val="0"/>
        <w:kinsoku/>
        <w:wordWrap/>
        <w:overflowPunct/>
        <w:topLinePunct w:val="0"/>
        <w:bidi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26DB8B7">
      <w:pPr>
        <w:pStyle w:val="7"/>
        <w:pageBreakBefore w:val="0"/>
        <w:kinsoku/>
        <w:wordWrap/>
        <w:overflowPunct/>
        <w:topLinePunct w:val="0"/>
        <w:bidi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8DB8C67">
      <w:pPr>
        <w:pStyle w:val="7"/>
        <w:pageBreakBefore w:val="0"/>
        <w:kinsoku/>
        <w:wordWrap/>
        <w:overflowPunct/>
        <w:topLinePunct w:val="0"/>
        <w:bidi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BA9F50D">
      <w:pPr>
        <w:pageBreakBefore w:val="0"/>
        <w:kinsoku/>
        <w:wordWrap/>
        <w:overflowPunct/>
        <w:topLinePunct w:val="0"/>
        <w:bidi w:val="0"/>
        <w:spacing w:line="360" w:lineRule="auto"/>
        <w:rPr>
          <w:rFonts w:hint="eastAsia" w:ascii="宋体" w:hAnsi="宋体" w:eastAsia="宋体" w:cs="宋体"/>
          <w:color w:val="auto"/>
          <w:highlight w:val="none"/>
        </w:rPr>
      </w:pPr>
    </w:p>
    <w:p w14:paraId="15F30486">
      <w:pPr>
        <w:pStyle w:val="12"/>
        <w:pageBreakBefore w:val="0"/>
        <w:kinsoku/>
        <w:wordWrap/>
        <w:overflowPunct/>
        <w:topLinePunct w:val="0"/>
        <w:bidi w:val="0"/>
        <w:spacing w:line="360" w:lineRule="auto"/>
        <w:rPr>
          <w:rFonts w:hint="eastAsia" w:ascii="宋体" w:hAnsi="宋体" w:eastAsia="宋体" w:cs="宋体"/>
          <w:color w:val="auto"/>
          <w:highlight w:val="none"/>
        </w:rPr>
      </w:pPr>
    </w:p>
    <w:p w14:paraId="194607F6">
      <w:pPr>
        <w:pageBreakBefore w:val="0"/>
        <w:kinsoku/>
        <w:wordWrap/>
        <w:overflowPunct/>
        <w:topLinePunct w:val="0"/>
        <w:bidi w:val="0"/>
        <w:spacing w:line="360" w:lineRule="auto"/>
        <w:rPr>
          <w:rFonts w:hint="eastAsia" w:ascii="宋体" w:hAnsi="宋体" w:eastAsia="宋体" w:cs="宋体"/>
          <w:color w:val="auto"/>
          <w:highlight w:val="none"/>
        </w:rPr>
      </w:pPr>
    </w:p>
    <w:p w14:paraId="504289BD">
      <w:pPr>
        <w:pStyle w:val="12"/>
        <w:pageBreakBefore w:val="0"/>
        <w:kinsoku/>
        <w:wordWrap/>
        <w:overflowPunct/>
        <w:topLinePunct w:val="0"/>
        <w:bidi w:val="0"/>
        <w:spacing w:line="360" w:lineRule="auto"/>
        <w:rPr>
          <w:rFonts w:hint="eastAsia" w:ascii="宋体" w:hAnsi="宋体" w:eastAsia="宋体" w:cs="宋体"/>
          <w:color w:val="auto"/>
          <w:highlight w:val="none"/>
        </w:rPr>
      </w:pPr>
    </w:p>
    <w:p w14:paraId="50B5125F">
      <w:pPr>
        <w:pStyle w:val="7"/>
        <w:pageBreakBefore w:val="0"/>
        <w:kinsoku/>
        <w:wordWrap/>
        <w:overflowPunct/>
        <w:topLinePunct w:val="0"/>
        <w:bidi w:val="0"/>
        <w:spacing w:line="360" w:lineRule="auto"/>
        <w:ind w:left="2520" w:firstLine="2880" w:firstLineChars="1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企业名称（盖公章）：</w:t>
      </w:r>
    </w:p>
    <w:p w14:paraId="26D0817F">
      <w:pPr>
        <w:pStyle w:val="7"/>
        <w:pageBreakBefore w:val="0"/>
        <w:kinsoku/>
        <w:wordWrap/>
        <w:overflowPunct/>
        <w:topLinePunct w:val="0"/>
        <w:bidi w:val="0"/>
        <w:spacing w:line="360" w:lineRule="auto"/>
        <w:ind w:left="2520" w:firstLine="2880" w:firstLineChars="1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361453F4">
      <w:pPr>
        <w:pageBreakBefore w:val="0"/>
        <w:kinsoku/>
        <w:wordWrap/>
        <w:overflowPunct/>
        <w:topLinePunct w:val="0"/>
        <w:bidi w:val="0"/>
        <w:spacing w:line="240" w:lineRule="auto"/>
        <w:rPr>
          <w:rFonts w:hint="eastAsia" w:ascii="宋体" w:hAnsi="宋体" w:eastAsia="宋体" w:cs="宋体"/>
          <w:color w:val="auto"/>
          <w:sz w:val="24"/>
          <w:highlight w:val="none"/>
        </w:rPr>
      </w:pPr>
    </w:p>
    <w:p w14:paraId="6E4F56B8">
      <w:pPr>
        <w:pStyle w:val="12"/>
        <w:pageBreakBefore w:val="0"/>
        <w:kinsoku/>
        <w:wordWrap/>
        <w:overflowPunct/>
        <w:topLinePunct w:val="0"/>
        <w:bidi w:val="0"/>
        <w:spacing w:line="240" w:lineRule="auto"/>
        <w:rPr>
          <w:rFonts w:hint="eastAsia" w:ascii="宋体" w:hAnsi="宋体" w:eastAsia="宋体" w:cs="宋体"/>
          <w:color w:val="auto"/>
          <w:sz w:val="24"/>
          <w:highlight w:val="none"/>
        </w:rPr>
      </w:pPr>
    </w:p>
    <w:p w14:paraId="755798E7">
      <w:pPr>
        <w:pageBreakBefore w:val="0"/>
        <w:kinsoku/>
        <w:wordWrap/>
        <w:overflowPunct/>
        <w:topLinePunct w:val="0"/>
        <w:bidi w:val="0"/>
        <w:spacing w:line="240" w:lineRule="auto"/>
        <w:rPr>
          <w:rFonts w:hint="eastAsia" w:ascii="宋体" w:hAnsi="宋体" w:eastAsia="宋体" w:cs="宋体"/>
          <w:color w:val="auto"/>
          <w:sz w:val="24"/>
          <w:highlight w:val="none"/>
        </w:rPr>
      </w:pPr>
    </w:p>
    <w:p w14:paraId="0B6D8486">
      <w:pPr>
        <w:pStyle w:val="12"/>
        <w:pageBreakBefore w:val="0"/>
        <w:kinsoku/>
        <w:wordWrap/>
        <w:overflowPunct/>
        <w:topLinePunct w:val="0"/>
        <w:bidi w:val="0"/>
        <w:spacing w:line="240" w:lineRule="auto"/>
        <w:rPr>
          <w:rFonts w:hint="eastAsia" w:ascii="宋体" w:hAnsi="宋体" w:eastAsia="宋体" w:cs="宋体"/>
          <w:color w:val="auto"/>
          <w:sz w:val="24"/>
          <w:highlight w:val="none"/>
        </w:rPr>
      </w:pPr>
    </w:p>
    <w:p w14:paraId="2A09F8A2">
      <w:pPr>
        <w:pageBreakBefore w:val="0"/>
        <w:kinsoku/>
        <w:wordWrap/>
        <w:overflowPunct/>
        <w:topLinePunct w:val="0"/>
        <w:bidi w:val="0"/>
        <w:spacing w:line="240" w:lineRule="auto"/>
        <w:rPr>
          <w:rFonts w:hint="eastAsia" w:ascii="宋体" w:hAnsi="宋体" w:eastAsia="宋体" w:cs="宋体"/>
          <w:color w:val="auto"/>
          <w:sz w:val="24"/>
          <w:highlight w:val="none"/>
        </w:rPr>
      </w:pPr>
    </w:p>
    <w:p w14:paraId="078786F1">
      <w:pPr>
        <w:pStyle w:val="12"/>
        <w:pageBreakBefore w:val="0"/>
        <w:kinsoku/>
        <w:wordWrap/>
        <w:overflowPunct/>
        <w:topLinePunct w:val="0"/>
        <w:bidi w:val="0"/>
        <w:spacing w:line="240" w:lineRule="auto"/>
        <w:rPr>
          <w:rFonts w:hint="eastAsia" w:ascii="宋体" w:hAnsi="宋体" w:eastAsia="宋体" w:cs="宋体"/>
          <w:color w:val="auto"/>
          <w:highlight w:val="none"/>
        </w:rPr>
      </w:pPr>
    </w:p>
    <w:p w14:paraId="652CB32E">
      <w:pPr>
        <w:pageBreakBefore w:val="0"/>
        <w:kinsoku/>
        <w:wordWrap/>
        <w:overflowPunct/>
        <w:topLinePunct w:val="0"/>
        <w:bidi w:val="0"/>
        <w:spacing w:line="240" w:lineRule="auto"/>
        <w:rPr>
          <w:rFonts w:hint="eastAsia" w:ascii="宋体" w:hAnsi="宋体" w:eastAsia="宋体" w:cs="宋体"/>
          <w:color w:val="auto"/>
          <w:sz w:val="24"/>
          <w:highlight w:val="none"/>
        </w:rPr>
      </w:pPr>
    </w:p>
    <w:p w14:paraId="0D9F24F3">
      <w:pPr>
        <w:pStyle w:val="12"/>
        <w:pageBreakBefore w:val="0"/>
        <w:kinsoku/>
        <w:wordWrap/>
        <w:overflowPunct/>
        <w:topLinePunct w:val="0"/>
        <w:bidi w:val="0"/>
        <w:spacing w:line="240" w:lineRule="auto"/>
        <w:rPr>
          <w:rFonts w:hint="eastAsia" w:ascii="宋体" w:hAnsi="宋体" w:eastAsia="宋体" w:cs="宋体"/>
          <w:color w:val="auto"/>
          <w:sz w:val="24"/>
          <w:highlight w:val="none"/>
        </w:rPr>
      </w:pPr>
    </w:p>
    <w:p w14:paraId="1331AEC5">
      <w:pPr>
        <w:pageBreakBefore w:val="0"/>
        <w:kinsoku/>
        <w:wordWrap/>
        <w:overflowPunct/>
        <w:topLinePunct w:val="0"/>
        <w:bidi w:val="0"/>
        <w:spacing w:line="240" w:lineRule="auto"/>
        <w:rPr>
          <w:rFonts w:hint="eastAsia" w:ascii="宋体" w:hAnsi="宋体" w:eastAsia="宋体" w:cs="宋体"/>
          <w:color w:val="auto"/>
          <w:highlight w:val="none"/>
        </w:rPr>
      </w:pPr>
    </w:p>
    <w:p w14:paraId="1C5FA81A">
      <w:pPr>
        <w:pStyle w:val="12"/>
        <w:pageBreakBefore w:val="0"/>
        <w:kinsoku/>
        <w:wordWrap/>
        <w:overflowPunct/>
        <w:topLinePunct w:val="0"/>
        <w:bidi w:val="0"/>
        <w:spacing w:line="240" w:lineRule="auto"/>
        <w:ind w:firstLine="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vertAlign w:val="superscript"/>
        </w:rPr>
        <w:t xml:space="preserve">1 </w:t>
      </w:r>
      <w:r>
        <w:rPr>
          <w:rFonts w:hint="eastAsia" w:ascii="宋体" w:hAnsi="宋体" w:eastAsia="宋体" w:cs="宋体"/>
          <w:color w:val="auto"/>
          <w:szCs w:val="21"/>
          <w:highlight w:val="none"/>
        </w:rPr>
        <w:t>从业人员、营业收入、资产总额填报上一年度数据，无上一年度数据的新成立企业可不填报。</w:t>
      </w:r>
    </w:p>
    <w:p w14:paraId="6F8644CB">
      <w:pPr>
        <w:pStyle w:val="28"/>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 xml:space="preserve">-2 中小企业声明函： </w:t>
      </w:r>
    </w:p>
    <w:p w14:paraId="1C7E97CE">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t>中小企业声明函（工程、服务）</w:t>
      </w:r>
    </w:p>
    <w:p w14:paraId="53A7456D">
      <w:pPr>
        <w:pStyle w:val="49"/>
        <w:pageBreakBefore w:val="0"/>
        <w:kinsoku/>
        <w:wordWrap/>
        <w:overflowPunct/>
        <w:topLinePunct w:val="0"/>
        <w:bidi w:val="0"/>
        <w:spacing w:line="360" w:lineRule="auto"/>
        <w:ind w:firstLine="56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B346AD4">
      <w:pPr>
        <w:pStyle w:val="49"/>
        <w:pageBreakBefore w:val="0"/>
        <w:kinsoku/>
        <w:wordWrap/>
        <w:overflowPunct/>
        <w:topLinePunct w:val="0"/>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65F719">
      <w:pPr>
        <w:pStyle w:val="49"/>
        <w:pageBreakBefore w:val="0"/>
        <w:kinsoku/>
        <w:wordWrap/>
        <w:overflowPunct/>
        <w:topLinePunct w:val="0"/>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u w:val="single"/>
          <w:lang w:val="en-US" w:eastAsia="zh-CN"/>
        </w:rPr>
        <w:t>普查工作</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3068F02">
      <w:pPr>
        <w:pStyle w:val="49"/>
        <w:pageBreakBefore w:val="0"/>
        <w:kinsoku/>
        <w:wordWrap/>
        <w:overflowPunct/>
        <w:topLinePunct w:val="0"/>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A12FFF0">
      <w:pPr>
        <w:pStyle w:val="49"/>
        <w:pageBreakBefore w:val="0"/>
        <w:kinsoku/>
        <w:wordWrap/>
        <w:overflowPunct/>
        <w:topLinePunct w:val="0"/>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106238A">
      <w:pPr>
        <w:pStyle w:val="49"/>
        <w:pageBreakBefore w:val="0"/>
        <w:kinsoku/>
        <w:wordWrap/>
        <w:overflowPunct/>
        <w:topLinePunct w:val="0"/>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F63F4B1">
      <w:pPr>
        <w:pStyle w:val="49"/>
        <w:pageBreakBefore w:val="0"/>
        <w:kinsoku/>
        <w:wordWrap/>
        <w:overflowPunct/>
        <w:topLinePunct w:val="0"/>
        <w:bidi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AFF5A9">
      <w:pPr>
        <w:pageBreakBefore w:val="0"/>
        <w:kinsoku/>
        <w:wordWrap/>
        <w:overflowPunct/>
        <w:topLinePunct w:val="0"/>
        <w:bidi w:val="0"/>
        <w:spacing w:line="360" w:lineRule="auto"/>
        <w:rPr>
          <w:rFonts w:hint="eastAsia" w:ascii="宋体" w:hAnsi="宋体" w:eastAsia="宋体" w:cs="宋体"/>
          <w:color w:val="auto"/>
          <w:highlight w:val="none"/>
        </w:rPr>
      </w:pPr>
    </w:p>
    <w:p w14:paraId="43E04A1F">
      <w:pPr>
        <w:pStyle w:val="12"/>
        <w:pageBreakBefore w:val="0"/>
        <w:kinsoku/>
        <w:wordWrap/>
        <w:overflowPunct/>
        <w:topLinePunct w:val="0"/>
        <w:bidi w:val="0"/>
        <w:spacing w:line="360" w:lineRule="auto"/>
        <w:rPr>
          <w:rFonts w:hint="eastAsia" w:ascii="宋体" w:hAnsi="宋体" w:eastAsia="宋体" w:cs="宋体"/>
          <w:color w:val="auto"/>
          <w:highlight w:val="none"/>
        </w:rPr>
      </w:pPr>
    </w:p>
    <w:p w14:paraId="035ABA1F">
      <w:pPr>
        <w:pStyle w:val="7"/>
        <w:pageBreakBefore w:val="0"/>
        <w:kinsoku/>
        <w:wordWrap/>
        <w:overflowPunct/>
        <w:topLinePunct w:val="0"/>
        <w:bidi w:val="0"/>
        <w:spacing w:line="360" w:lineRule="auto"/>
        <w:ind w:left="2520" w:firstLine="2880" w:firstLineChars="1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企业名称（盖公章）：</w:t>
      </w:r>
    </w:p>
    <w:p w14:paraId="1828EC69">
      <w:pPr>
        <w:pStyle w:val="7"/>
        <w:pageBreakBefore w:val="0"/>
        <w:kinsoku/>
        <w:wordWrap/>
        <w:overflowPunct/>
        <w:topLinePunct w:val="0"/>
        <w:bidi w:val="0"/>
        <w:spacing w:line="360" w:lineRule="auto"/>
        <w:ind w:left="2520" w:firstLine="2880" w:firstLineChars="1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3733470">
      <w:pPr>
        <w:pageBreakBefore w:val="0"/>
        <w:kinsoku/>
        <w:wordWrap/>
        <w:overflowPunct/>
        <w:topLinePunct w:val="0"/>
        <w:bidi w:val="0"/>
        <w:spacing w:line="240" w:lineRule="auto"/>
        <w:rPr>
          <w:rFonts w:hint="eastAsia" w:ascii="宋体" w:hAnsi="宋体" w:eastAsia="宋体" w:cs="宋体"/>
          <w:color w:val="auto"/>
          <w:sz w:val="24"/>
          <w:highlight w:val="none"/>
        </w:rPr>
      </w:pPr>
    </w:p>
    <w:p w14:paraId="5A43BFF5">
      <w:pPr>
        <w:pStyle w:val="12"/>
        <w:pageBreakBefore w:val="0"/>
        <w:kinsoku/>
        <w:wordWrap/>
        <w:overflowPunct/>
        <w:topLinePunct w:val="0"/>
        <w:bidi w:val="0"/>
        <w:spacing w:line="240" w:lineRule="auto"/>
        <w:rPr>
          <w:rFonts w:hint="eastAsia" w:ascii="宋体" w:hAnsi="宋体" w:eastAsia="宋体" w:cs="宋体"/>
          <w:color w:val="auto"/>
          <w:sz w:val="24"/>
          <w:highlight w:val="none"/>
        </w:rPr>
      </w:pPr>
    </w:p>
    <w:p w14:paraId="7EC9F6F0">
      <w:pPr>
        <w:pageBreakBefore w:val="0"/>
        <w:kinsoku/>
        <w:wordWrap/>
        <w:overflowPunct/>
        <w:topLinePunct w:val="0"/>
        <w:bidi w:val="0"/>
        <w:spacing w:line="240" w:lineRule="auto"/>
        <w:rPr>
          <w:rFonts w:hint="eastAsia" w:ascii="宋体" w:hAnsi="宋体" w:eastAsia="宋体" w:cs="宋体"/>
          <w:color w:val="auto"/>
          <w:sz w:val="24"/>
          <w:highlight w:val="none"/>
        </w:rPr>
      </w:pPr>
    </w:p>
    <w:p w14:paraId="5CA56C10">
      <w:pPr>
        <w:pageBreakBefore w:val="0"/>
        <w:kinsoku/>
        <w:wordWrap/>
        <w:overflowPunct/>
        <w:topLinePunct w:val="0"/>
        <w:bidi w:val="0"/>
        <w:spacing w:line="240" w:lineRule="auto"/>
        <w:rPr>
          <w:rFonts w:hint="eastAsia" w:ascii="宋体" w:hAnsi="宋体" w:eastAsia="宋体" w:cs="宋体"/>
          <w:color w:val="auto"/>
          <w:sz w:val="24"/>
          <w:highlight w:val="none"/>
        </w:rPr>
      </w:pPr>
    </w:p>
    <w:p w14:paraId="3E5664AD">
      <w:pPr>
        <w:pStyle w:val="12"/>
        <w:rPr>
          <w:rFonts w:hint="eastAsia" w:ascii="宋体" w:hAnsi="宋体" w:eastAsia="宋体" w:cs="宋体"/>
          <w:color w:val="auto"/>
          <w:highlight w:val="none"/>
        </w:rPr>
      </w:pPr>
    </w:p>
    <w:p w14:paraId="7F3C945F">
      <w:pPr>
        <w:rPr>
          <w:rFonts w:hint="eastAsia" w:ascii="宋体" w:hAnsi="宋体" w:eastAsia="宋体" w:cs="宋体"/>
          <w:color w:val="auto"/>
          <w:highlight w:val="none"/>
        </w:rPr>
      </w:pPr>
    </w:p>
    <w:p w14:paraId="16D5302C">
      <w:pPr>
        <w:pStyle w:val="12"/>
        <w:rPr>
          <w:rFonts w:hint="eastAsia" w:ascii="宋体" w:hAnsi="宋体" w:eastAsia="宋体" w:cs="宋体"/>
          <w:color w:val="auto"/>
          <w:highlight w:val="none"/>
        </w:rPr>
      </w:pPr>
    </w:p>
    <w:p w14:paraId="47691CBB">
      <w:pPr>
        <w:rPr>
          <w:rFonts w:hint="eastAsia" w:ascii="宋体" w:hAnsi="宋体" w:eastAsia="宋体" w:cs="宋体"/>
          <w:color w:val="auto"/>
          <w:highlight w:val="none"/>
        </w:rPr>
      </w:pPr>
    </w:p>
    <w:p w14:paraId="5DC63F03">
      <w:pPr>
        <w:pStyle w:val="12"/>
        <w:rPr>
          <w:rFonts w:hint="eastAsia" w:ascii="宋体" w:hAnsi="宋体" w:eastAsia="宋体" w:cs="宋体"/>
          <w:color w:val="auto"/>
          <w:highlight w:val="none"/>
        </w:rPr>
      </w:pPr>
    </w:p>
    <w:p w14:paraId="44474004">
      <w:pPr>
        <w:pStyle w:val="12"/>
        <w:pageBreakBefore w:val="0"/>
        <w:kinsoku/>
        <w:wordWrap/>
        <w:overflowPunct/>
        <w:topLinePunct w:val="0"/>
        <w:bidi w:val="0"/>
        <w:spacing w:line="240" w:lineRule="auto"/>
        <w:rPr>
          <w:rFonts w:hint="eastAsia" w:ascii="宋体" w:hAnsi="宋体" w:eastAsia="宋体" w:cs="宋体"/>
          <w:color w:val="auto"/>
          <w:sz w:val="24"/>
          <w:highlight w:val="none"/>
        </w:rPr>
      </w:pPr>
    </w:p>
    <w:p w14:paraId="3A5A6CF9">
      <w:pPr>
        <w:pageBreakBefore w:val="0"/>
        <w:kinsoku/>
        <w:wordWrap/>
        <w:overflowPunct/>
        <w:topLinePunct w:val="0"/>
        <w:bidi w:val="0"/>
        <w:spacing w:line="240" w:lineRule="auto"/>
        <w:rPr>
          <w:rFonts w:hint="eastAsia" w:ascii="宋体" w:hAnsi="宋体" w:eastAsia="宋体" w:cs="宋体"/>
          <w:color w:val="auto"/>
          <w:highlight w:val="none"/>
        </w:rPr>
      </w:pPr>
    </w:p>
    <w:p w14:paraId="2A5D888B">
      <w:pPr>
        <w:pStyle w:val="12"/>
        <w:pageBreakBefore w:val="0"/>
        <w:kinsoku/>
        <w:wordWrap/>
        <w:overflowPunct/>
        <w:topLinePunct w:val="0"/>
        <w:bidi w:val="0"/>
        <w:spacing w:line="240" w:lineRule="auto"/>
        <w:ind w:firstLine="0"/>
        <w:jc w:val="center"/>
        <w:rPr>
          <w:rFonts w:hint="eastAsia" w:ascii="宋体" w:hAnsi="宋体" w:eastAsia="宋体" w:cs="宋体"/>
          <w:color w:val="auto"/>
          <w:szCs w:val="21"/>
          <w:highlight w:val="none"/>
        </w:rPr>
      </w:pPr>
      <w:r>
        <w:rPr>
          <w:rFonts w:hint="eastAsia" w:ascii="宋体" w:hAnsi="宋体" w:eastAsia="宋体" w:cs="宋体"/>
          <w:color w:val="auto"/>
          <w:sz w:val="28"/>
          <w:szCs w:val="28"/>
          <w:highlight w:val="none"/>
          <w:vertAlign w:val="superscript"/>
        </w:rPr>
        <w:t xml:space="preserve">1 </w:t>
      </w:r>
      <w:r>
        <w:rPr>
          <w:rFonts w:hint="eastAsia" w:ascii="宋体" w:hAnsi="宋体" w:eastAsia="宋体" w:cs="宋体"/>
          <w:color w:val="auto"/>
          <w:szCs w:val="21"/>
          <w:highlight w:val="none"/>
        </w:rPr>
        <w:t>从业人员、营业收入、资产总额填报上一年度数据，无上一年度数据的新成立企业可不填报。</w:t>
      </w:r>
    </w:p>
    <w:p w14:paraId="7D50BF6A">
      <w:pPr>
        <w:pStyle w:val="28"/>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 xml:space="preserve">-3 残疾人福利性单位声明函： </w:t>
      </w:r>
    </w:p>
    <w:p w14:paraId="7C18D78E">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t>残疾人福利性单位声明函</w:t>
      </w:r>
    </w:p>
    <w:p w14:paraId="3C5F6BD7">
      <w:pPr>
        <w:pStyle w:val="29"/>
        <w:pageBreakBefore w:val="0"/>
        <w:kinsoku/>
        <w:wordWrap/>
        <w:overflowPunct/>
        <w:topLinePunct w:val="0"/>
        <w:bidi w:val="0"/>
        <w:spacing w:line="240" w:lineRule="auto"/>
        <w:rPr>
          <w:rFonts w:hint="eastAsia" w:ascii="宋体" w:hAnsi="宋体" w:eastAsia="宋体" w:cs="宋体"/>
          <w:b w:val="0"/>
          <w:color w:val="auto"/>
          <w:kern w:val="2"/>
          <w:sz w:val="24"/>
          <w:highlight w:val="none"/>
          <w:lang w:eastAsia="zh-CN"/>
        </w:rPr>
      </w:pPr>
      <w:r>
        <w:rPr>
          <w:rFonts w:hint="eastAsia" w:ascii="宋体" w:hAnsi="宋体" w:eastAsia="宋体" w:cs="宋体"/>
          <w:b w:val="0"/>
          <w:color w:val="auto"/>
          <w:kern w:val="2"/>
          <w:sz w:val="24"/>
          <w:highlight w:val="none"/>
          <w:lang w:eastAsia="zh-CN"/>
        </w:rPr>
        <w:t>（</w:t>
      </w:r>
      <w:r>
        <w:rPr>
          <w:rFonts w:hint="eastAsia" w:ascii="宋体" w:hAnsi="宋体" w:eastAsia="宋体" w:cs="宋体"/>
          <w:b w:val="0"/>
          <w:color w:val="auto"/>
          <w:kern w:val="2"/>
          <w:sz w:val="24"/>
          <w:highlight w:val="none"/>
          <w:lang w:val="en-US" w:eastAsia="zh-CN"/>
        </w:rPr>
        <w:t>不属于残疾人福利性单位则无需提供</w:t>
      </w:r>
      <w:r>
        <w:rPr>
          <w:rFonts w:hint="eastAsia" w:ascii="宋体" w:hAnsi="宋体" w:eastAsia="宋体" w:cs="宋体"/>
          <w:b w:val="0"/>
          <w:color w:val="auto"/>
          <w:kern w:val="2"/>
          <w:sz w:val="24"/>
          <w:highlight w:val="none"/>
          <w:lang w:eastAsia="zh-CN"/>
        </w:rPr>
        <w:t>）</w:t>
      </w:r>
    </w:p>
    <w:p w14:paraId="490C6759">
      <w:pPr>
        <w:pStyle w:val="40"/>
        <w:rPr>
          <w:rFonts w:hint="eastAsia" w:ascii="宋体" w:hAnsi="宋体" w:eastAsia="宋体" w:cs="宋体"/>
          <w:color w:val="auto"/>
          <w:highlight w:val="none"/>
        </w:rPr>
      </w:pPr>
    </w:p>
    <w:p w14:paraId="331B872B">
      <w:pPr>
        <w:pStyle w:val="41"/>
        <w:pageBreakBefore w:val="0"/>
        <w:kinsoku/>
        <w:wordWrap/>
        <w:overflowPunct/>
        <w:topLinePunct w:val="0"/>
        <w:bidi w:val="0"/>
        <w:spacing w:line="240" w:lineRule="auto"/>
        <w:rPr>
          <w:rFonts w:hint="eastAsia" w:ascii="宋体" w:hAnsi="宋体" w:eastAsia="宋体" w:cs="宋体"/>
          <w:color w:val="auto"/>
          <w:highlight w:val="none"/>
          <w:lang w:val="en-GB"/>
        </w:rPr>
      </w:pPr>
    </w:p>
    <w:p w14:paraId="5EC8AB3D">
      <w:pPr>
        <w:keepNext w:val="0"/>
        <w:keepLines w:val="0"/>
        <w:pageBreakBefore w:val="0"/>
        <w:widowControl w:val="0"/>
        <w:kinsoku/>
        <w:wordWrap/>
        <w:overflowPunct/>
        <w:topLinePunct w:val="0"/>
        <w:autoSpaceDE/>
        <w:autoSpaceDN/>
        <w:bidi w:val="0"/>
        <w:snapToGrid w:val="0"/>
        <w:spacing w:before="120" w:beforeLines="50" w:after="50" w:line="43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C84DAEB">
      <w:pPr>
        <w:keepNext w:val="0"/>
        <w:keepLines w:val="0"/>
        <w:pageBreakBefore w:val="0"/>
        <w:widowControl w:val="0"/>
        <w:kinsoku/>
        <w:wordWrap/>
        <w:overflowPunct/>
        <w:topLinePunct w:val="0"/>
        <w:autoSpaceDE/>
        <w:autoSpaceDN/>
        <w:bidi w:val="0"/>
        <w:snapToGrid w:val="0"/>
        <w:spacing w:before="120" w:beforeLines="50" w:after="50" w:line="432"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本公司对上述声明的真实性负责。如有虚假，愿意承担相应责任。</w:t>
      </w:r>
    </w:p>
    <w:p w14:paraId="1FAB0B99">
      <w:pPr>
        <w:keepNext w:val="0"/>
        <w:keepLines w:val="0"/>
        <w:pageBreakBefore w:val="0"/>
        <w:widowControl w:val="0"/>
        <w:kinsoku/>
        <w:wordWrap/>
        <w:overflowPunct/>
        <w:topLinePunct w:val="0"/>
        <w:autoSpaceDE/>
        <w:autoSpaceDN/>
        <w:bidi w:val="0"/>
        <w:spacing w:line="432" w:lineRule="auto"/>
        <w:rPr>
          <w:rFonts w:hint="eastAsia" w:ascii="宋体" w:hAnsi="宋体" w:eastAsia="宋体" w:cs="宋体"/>
          <w:color w:val="auto"/>
          <w:highlight w:val="none"/>
        </w:rPr>
      </w:pPr>
    </w:p>
    <w:p w14:paraId="69C5458B">
      <w:pPr>
        <w:pStyle w:val="12"/>
        <w:keepNext w:val="0"/>
        <w:keepLines w:val="0"/>
        <w:pageBreakBefore w:val="0"/>
        <w:widowControl w:val="0"/>
        <w:kinsoku/>
        <w:wordWrap/>
        <w:overflowPunct/>
        <w:topLinePunct w:val="0"/>
        <w:autoSpaceDE/>
        <w:autoSpaceDN/>
        <w:bidi w:val="0"/>
        <w:spacing w:line="432" w:lineRule="auto"/>
        <w:rPr>
          <w:rFonts w:hint="eastAsia" w:ascii="宋体" w:hAnsi="宋体" w:eastAsia="宋体" w:cs="宋体"/>
          <w:color w:val="auto"/>
          <w:highlight w:val="none"/>
        </w:rPr>
      </w:pPr>
    </w:p>
    <w:p w14:paraId="65428059">
      <w:pPr>
        <w:keepNext w:val="0"/>
        <w:keepLines w:val="0"/>
        <w:pageBreakBefore w:val="0"/>
        <w:widowControl w:val="0"/>
        <w:kinsoku/>
        <w:wordWrap/>
        <w:overflowPunct/>
        <w:topLinePunct w:val="0"/>
        <w:autoSpaceDE/>
        <w:autoSpaceDN/>
        <w:bidi w:val="0"/>
        <w:spacing w:line="432" w:lineRule="auto"/>
        <w:rPr>
          <w:rFonts w:hint="eastAsia" w:ascii="宋体" w:hAnsi="宋体" w:eastAsia="宋体" w:cs="宋体"/>
          <w:color w:val="auto"/>
          <w:highlight w:val="none"/>
        </w:rPr>
      </w:pPr>
    </w:p>
    <w:p w14:paraId="369EE48F">
      <w:pPr>
        <w:pStyle w:val="49"/>
        <w:keepNext w:val="0"/>
        <w:keepLines w:val="0"/>
        <w:pageBreakBefore w:val="0"/>
        <w:widowControl w:val="0"/>
        <w:kinsoku/>
        <w:wordWrap/>
        <w:overflowPunct/>
        <w:topLinePunct w:val="0"/>
        <w:autoSpaceDE/>
        <w:autoSpaceDN/>
        <w:bidi w:val="0"/>
        <w:spacing w:line="432" w:lineRule="auto"/>
        <w:ind w:firstLine="480"/>
        <w:rPr>
          <w:rFonts w:hint="eastAsia" w:ascii="宋体" w:hAnsi="宋体" w:eastAsia="宋体" w:cs="宋体"/>
          <w:color w:val="auto"/>
          <w:sz w:val="24"/>
          <w:szCs w:val="24"/>
          <w:highlight w:val="none"/>
        </w:rPr>
      </w:pPr>
    </w:p>
    <w:p w14:paraId="76C984C1">
      <w:pPr>
        <w:pStyle w:val="7"/>
        <w:keepNext w:val="0"/>
        <w:keepLines w:val="0"/>
        <w:pageBreakBefore w:val="0"/>
        <w:widowControl w:val="0"/>
        <w:kinsoku/>
        <w:wordWrap/>
        <w:overflowPunct/>
        <w:topLinePunct w:val="0"/>
        <w:autoSpaceDE/>
        <w:autoSpaceDN/>
        <w:bidi w:val="0"/>
        <w:spacing w:line="432" w:lineRule="auto"/>
        <w:ind w:left="2520" w:firstLine="3360"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企业</w:t>
      </w:r>
      <w:r>
        <w:rPr>
          <w:rFonts w:hint="eastAsia" w:ascii="宋体" w:hAnsi="宋体" w:eastAsia="宋体" w:cs="宋体"/>
          <w:color w:val="auto"/>
          <w:sz w:val="28"/>
          <w:szCs w:val="28"/>
          <w:highlight w:val="none"/>
        </w:rPr>
        <w:t>名称（盖公章）：</w:t>
      </w:r>
    </w:p>
    <w:p w14:paraId="01180D66">
      <w:pPr>
        <w:pStyle w:val="7"/>
        <w:keepNext w:val="0"/>
        <w:keepLines w:val="0"/>
        <w:pageBreakBefore w:val="0"/>
        <w:widowControl w:val="0"/>
        <w:kinsoku/>
        <w:wordWrap/>
        <w:overflowPunct/>
        <w:topLinePunct w:val="0"/>
        <w:autoSpaceDE/>
        <w:autoSpaceDN/>
        <w:bidi w:val="0"/>
        <w:spacing w:line="432" w:lineRule="auto"/>
        <w:ind w:left="2520" w:firstLine="3360"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w:t>
      </w:r>
    </w:p>
    <w:p w14:paraId="1B6D1A8A">
      <w:pPr>
        <w:pStyle w:val="41"/>
        <w:keepNext w:val="0"/>
        <w:keepLines w:val="0"/>
        <w:pageBreakBefore w:val="0"/>
        <w:widowControl w:val="0"/>
        <w:kinsoku/>
        <w:wordWrap/>
        <w:overflowPunct/>
        <w:topLinePunct w:val="0"/>
        <w:autoSpaceDE/>
        <w:autoSpaceDN/>
        <w:bidi w:val="0"/>
        <w:spacing w:line="432" w:lineRule="auto"/>
        <w:rPr>
          <w:rFonts w:hint="eastAsia" w:ascii="宋体" w:hAnsi="宋体" w:eastAsia="宋体" w:cs="宋体"/>
          <w:color w:val="auto"/>
          <w:szCs w:val="21"/>
          <w:highlight w:val="none"/>
        </w:rPr>
      </w:pPr>
    </w:p>
    <w:p w14:paraId="0B26A234">
      <w:pPr>
        <w:pStyle w:val="15"/>
        <w:pageBreakBefore w:val="0"/>
        <w:kinsoku/>
        <w:wordWrap/>
        <w:overflowPunct/>
        <w:topLinePunct w:val="0"/>
        <w:bidi w:val="0"/>
        <w:spacing w:line="240" w:lineRule="auto"/>
        <w:rPr>
          <w:rFonts w:hint="eastAsia" w:ascii="宋体" w:hAnsi="宋体" w:eastAsia="宋体" w:cs="宋体"/>
          <w:color w:val="auto"/>
          <w:sz w:val="21"/>
          <w:szCs w:val="21"/>
          <w:highlight w:val="none"/>
        </w:rPr>
      </w:pPr>
    </w:p>
    <w:p w14:paraId="31808F1E">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1AE1A07B">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7DC44A7C">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5875E17F">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10CE90C5">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29357704">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4B87CEED">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3CF7083A">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5D071E98">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59DBD85C">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563948A2">
      <w:pPr>
        <w:pStyle w:val="49"/>
        <w:pageBreakBefore w:val="0"/>
        <w:kinsoku/>
        <w:wordWrap/>
        <w:overflowPunct/>
        <w:topLinePunct w:val="0"/>
        <w:bidi w:val="0"/>
        <w:spacing w:line="240" w:lineRule="auto"/>
        <w:ind w:firstLine="0" w:firstLineChars="0"/>
        <w:rPr>
          <w:rFonts w:hint="eastAsia" w:ascii="宋体" w:hAnsi="宋体" w:eastAsia="宋体" w:cs="宋体"/>
          <w:color w:val="auto"/>
          <w:highlight w:val="none"/>
        </w:rPr>
      </w:pPr>
    </w:p>
    <w:p w14:paraId="603A2A02">
      <w:pPr>
        <w:pStyle w:val="28"/>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附件</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联合协议</w:t>
      </w:r>
      <w:r>
        <w:rPr>
          <w:rFonts w:hint="eastAsia" w:ascii="宋体" w:hAnsi="宋体" w:eastAsia="宋体" w:cs="宋体"/>
          <w:bCs/>
          <w:color w:val="auto"/>
          <w:sz w:val="21"/>
          <w:szCs w:val="21"/>
          <w:highlight w:val="none"/>
          <w:lang w:eastAsia="zh-CN"/>
        </w:rPr>
        <w:t>：</w:t>
      </w:r>
    </w:p>
    <w:p w14:paraId="3FAA8CE8">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lang w:val="en-US" w:eastAsia="zh-CN"/>
          <w14:textOutline w14:w="3175" w14:cap="flat" w14:cmpd="sng" w14:algn="ctr">
            <w14:solidFill>
              <w14:schemeClr w14:val="tx1"/>
            </w14:solidFill>
            <w14:prstDash w14:val="solid"/>
            <w14:round/>
          </w14:textOutline>
        </w:rPr>
        <w:t xml:space="preserve">联合协议 </w:t>
      </w:r>
    </w:p>
    <w:p w14:paraId="68F7D6CE">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（以联合体形式投标的，提供联合协议；本项目不接受联合体投标或者投标人不以</w:t>
      </w:r>
    </w:p>
    <w:p w14:paraId="71CCA035">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联合体形式投标的，则无需提供）</w:t>
      </w:r>
    </w:p>
    <w:p w14:paraId="537344CA">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u w:val="single"/>
          <w:lang w:val="en-US" w:eastAsia="zh-CN" w:bidi="ar"/>
        </w:rPr>
        <w:t>（联合体所有成员名称）</w:t>
      </w:r>
      <w:r>
        <w:rPr>
          <w:rFonts w:hint="eastAsia" w:ascii="宋体" w:hAnsi="宋体" w:eastAsia="宋体" w:cs="宋体"/>
          <w:color w:val="auto"/>
          <w:kern w:val="0"/>
          <w:sz w:val="24"/>
          <w:szCs w:val="24"/>
          <w:highlight w:val="none"/>
          <w:lang w:val="en-US" w:eastAsia="zh-CN" w:bidi="ar"/>
        </w:rPr>
        <w:t>自愿组成一个联合体，以一个投标人的身份参加</w:t>
      </w:r>
      <w:r>
        <w:rPr>
          <w:rFonts w:hint="eastAsia" w:ascii="宋体" w:hAnsi="宋体" w:eastAsia="宋体" w:cs="宋体"/>
          <w:color w:val="auto"/>
          <w:kern w:val="0"/>
          <w:sz w:val="24"/>
          <w:szCs w:val="24"/>
          <w:highlight w:val="none"/>
          <w:u w:val="single"/>
          <w:lang w:val="en-US" w:eastAsia="zh-CN" w:bidi="ar"/>
        </w:rPr>
        <w:t>天台县森林草地湿地普查工作</w:t>
      </w:r>
      <w:r>
        <w:rPr>
          <w:rFonts w:hint="eastAsia" w:ascii="宋体" w:hAnsi="宋体" w:eastAsia="宋体" w:cs="宋体"/>
          <w:color w:val="auto"/>
          <w:kern w:val="0"/>
          <w:sz w:val="24"/>
          <w:szCs w:val="24"/>
          <w:highlight w:val="none"/>
          <w:lang w:val="en-US" w:eastAsia="zh-CN" w:bidi="ar"/>
        </w:rPr>
        <w:t>【项目编号：</w:t>
      </w:r>
      <w:r>
        <w:rPr>
          <w:rFonts w:hint="eastAsia" w:ascii="宋体" w:hAnsi="宋体" w:cs="宋体"/>
          <w:color w:val="auto"/>
          <w:kern w:val="0"/>
          <w:sz w:val="24"/>
          <w:szCs w:val="24"/>
          <w:highlight w:val="none"/>
          <w:u w:val="single"/>
          <w:lang w:val="en-US" w:eastAsia="zh-CN" w:bidi="ar"/>
        </w:rPr>
        <w:t>TCCG-2025-Z006</w:t>
      </w:r>
      <w:r>
        <w:rPr>
          <w:rFonts w:hint="eastAsia" w:ascii="宋体" w:hAnsi="宋体" w:eastAsia="宋体" w:cs="宋体"/>
          <w:color w:val="auto"/>
          <w:kern w:val="0"/>
          <w:sz w:val="24"/>
          <w:szCs w:val="24"/>
          <w:highlight w:val="none"/>
          <w:lang w:val="en-US" w:eastAsia="zh-CN" w:bidi="ar"/>
        </w:rPr>
        <w:t xml:space="preserve">】投标。 </w:t>
      </w:r>
    </w:p>
    <w:p w14:paraId="13E37FAD">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一、各方一致决定，</w:t>
      </w:r>
      <w:r>
        <w:rPr>
          <w:rFonts w:hint="eastAsia" w:ascii="宋体" w:hAnsi="宋体" w:eastAsia="宋体" w:cs="宋体"/>
          <w:color w:val="auto"/>
          <w:kern w:val="0"/>
          <w:sz w:val="24"/>
          <w:szCs w:val="24"/>
          <w:highlight w:val="none"/>
          <w:u w:val="single"/>
          <w:lang w:val="en-US" w:eastAsia="zh-CN" w:bidi="ar"/>
        </w:rPr>
        <w:t>（某联合体成员名称）</w:t>
      </w:r>
      <w:r>
        <w:rPr>
          <w:rFonts w:hint="eastAsia" w:ascii="宋体" w:hAnsi="宋体" w:eastAsia="宋体" w:cs="宋体"/>
          <w:color w:val="auto"/>
          <w:kern w:val="0"/>
          <w:sz w:val="24"/>
          <w:szCs w:val="24"/>
          <w:highlight w:val="none"/>
          <w:lang w:val="en-US" w:eastAsia="zh-CN" w:bidi="ar"/>
        </w:rPr>
        <w:t xml:space="preserve">为联合体牵头人，代表所有联合体成员 </w:t>
      </w:r>
    </w:p>
    <w:p w14:paraId="7FF9B913">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负责投标和合同实施阶段的主办、协调工作。 </w:t>
      </w:r>
    </w:p>
    <w:p w14:paraId="124D8BED">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二、所有联合体成员各方签署授权书，授权书载明的授权代表根据招标文件规定及 </w:t>
      </w:r>
    </w:p>
    <w:p w14:paraId="3F426973">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投标内容而对采购人、采购代理机构所作的任何合法承诺，包括书面澄清及相应等均对 </w:t>
      </w:r>
    </w:p>
    <w:p w14:paraId="4391FEF3">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联合投标各方产生约束力。 </w:t>
      </w:r>
    </w:p>
    <w:p w14:paraId="71782E21">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三、本次联合投标中，分工如下：</w:t>
      </w:r>
      <w:r>
        <w:rPr>
          <w:rFonts w:hint="eastAsia" w:ascii="宋体" w:hAnsi="宋体" w:eastAsia="宋体" w:cs="宋体"/>
          <w:color w:val="auto"/>
          <w:kern w:val="0"/>
          <w:sz w:val="24"/>
          <w:szCs w:val="24"/>
          <w:highlight w:val="none"/>
          <w:u w:val="single"/>
          <w:lang w:val="en-US" w:eastAsia="zh-CN" w:bidi="ar"/>
        </w:rPr>
        <w:t>（联合体其中一方成员名称）</w:t>
      </w:r>
      <w:r>
        <w:rPr>
          <w:rFonts w:hint="eastAsia" w:ascii="宋体" w:hAnsi="宋体" w:eastAsia="宋体" w:cs="宋体"/>
          <w:color w:val="auto"/>
          <w:kern w:val="0"/>
          <w:sz w:val="24"/>
          <w:szCs w:val="24"/>
          <w:highlight w:val="none"/>
          <w:lang w:val="en-US" w:eastAsia="zh-CN" w:bidi="ar"/>
        </w:rPr>
        <w:t xml:space="preserve">承担的工作和义务 </w:t>
      </w:r>
    </w:p>
    <w:p w14:paraId="49451C58">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 </w:t>
      </w:r>
    </w:p>
    <w:p w14:paraId="332FEED8">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四、</w:t>
      </w:r>
      <w:r>
        <w:rPr>
          <w:rFonts w:hint="eastAsia" w:ascii="宋体" w:hAnsi="宋体" w:eastAsia="宋体" w:cs="宋体"/>
          <w:color w:val="auto"/>
          <w:kern w:val="0"/>
          <w:sz w:val="24"/>
          <w:szCs w:val="24"/>
          <w:highlight w:val="none"/>
          <w:u w:val="single"/>
          <w:lang w:val="en-US" w:eastAsia="zh-CN" w:bidi="ar"/>
        </w:rPr>
        <w:t>（联合体其中一方成员名称）</w:t>
      </w:r>
      <w:r>
        <w:rPr>
          <w:rFonts w:hint="eastAsia" w:ascii="宋体" w:hAnsi="宋体" w:eastAsia="宋体" w:cs="宋体"/>
          <w:color w:val="auto"/>
          <w:kern w:val="0"/>
          <w:sz w:val="24"/>
          <w:szCs w:val="24"/>
          <w:highlight w:val="none"/>
          <w:lang w:val="en-US" w:eastAsia="zh-CN" w:bidi="ar"/>
        </w:rPr>
        <w:t xml:space="preserve">提供的全部货物由小微企业制造，其合同份额占 </w:t>
      </w:r>
    </w:p>
    <w:p w14:paraId="3B4E09FF">
      <w:pPr>
        <w:keepNext w:val="0"/>
        <w:keepLines w:val="0"/>
        <w:widowControl/>
        <w:suppressLineNumbers w:val="0"/>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到合同总金额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%以上；……。</w:t>
      </w:r>
      <w:r>
        <w:rPr>
          <w:rFonts w:hint="eastAsia" w:ascii="宋体" w:hAnsi="宋体" w:eastAsia="宋体" w:cs="宋体"/>
          <w:b/>
          <w:bCs/>
          <w:color w:val="auto"/>
          <w:kern w:val="0"/>
          <w:sz w:val="24"/>
          <w:szCs w:val="24"/>
          <w:highlight w:val="none"/>
          <w:lang w:val="en-US" w:eastAsia="zh-CN" w:bidi="ar"/>
        </w:rPr>
        <w:t>（未预留份额专门面向中小企业采购的的采购项目，以及预留份额中的非预留部分采购包，接受联合体投标的，联合协议约定小微企业的合同份额占到合同总金额30％以上的，对联合体报价给予6％的扣除。供应商拟享受以上价格扣除优惠政策的，填写有关内容。）</w:t>
      </w:r>
    </w:p>
    <w:p w14:paraId="5DA8FB9F">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五、如果中标，联合体各成员方共同与采购人签订合同，并就采购合同约定的事项 </w:t>
      </w:r>
    </w:p>
    <w:p w14:paraId="2A869568">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对采购人承担连带责任。 </w:t>
      </w:r>
    </w:p>
    <w:p w14:paraId="34BB2905">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六、有关本次联合投标的其他事宜： </w:t>
      </w:r>
    </w:p>
    <w:p w14:paraId="6EB5CC2C">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1、联合体各方不再单独参加或者与其他供应商另外组成联合体参加同一合同项下 </w:t>
      </w:r>
    </w:p>
    <w:p w14:paraId="0B8273B7">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的政府采购活动。 </w:t>
      </w:r>
    </w:p>
    <w:p w14:paraId="55BAF14F">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2、联合体中有同类资质的各方按照联合体分工承担相同工作的，按照资质等级较 </w:t>
      </w:r>
    </w:p>
    <w:p w14:paraId="7F4B1D28">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低的供应商确定资质等级。 </w:t>
      </w:r>
    </w:p>
    <w:p w14:paraId="491B7FE9">
      <w:pPr>
        <w:keepNext w:val="0"/>
        <w:keepLines w:val="0"/>
        <w:widowControl/>
        <w:suppressLineNumbers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3、本协议提交采购人、采购代理机构后，联合体各方不得以任何形式对上述内容 </w:t>
      </w:r>
    </w:p>
    <w:p w14:paraId="20C7C334">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进行修改或撤销。 </w:t>
      </w:r>
    </w:p>
    <w:p w14:paraId="5E8205BB">
      <w:pPr>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联合体成员名称(盖公章)： </w:t>
      </w:r>
    </w:p>
    <w:p w14:paraId="6506ECDE">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日期： 年 月 日</w:t>
      </w:r>
    </w:p>
    <w:p w14:paraId="58F8C5B9">
      <w:pPr>
        <w:pStyle w:val="30"/>
        <w:rPr>
          <w:rFonts w:hint="eastAsia" w:ascii="宋体" w:hAnsi="宋体" w:eastAsia="宋体" w:cs="宋体"/>
          <w:color w:val="auto"/>
          <w:highlight w:val="none"/>
          <w:lang w:val="en-US" w:eastAsia="zh-CN"/>
        </w:rPr>
      </w:pPr>
    </w:p>
    <w:p w14:paraId="656A5EC2">
      <w:pPr>
        <w:pStyle w:val="30"/>
        <w:tabs>
          <w:tab w:val="left" w:pos="2015"/>
        </w:tabs>
        <w:ind w:left="0" w:lef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说明：本联合协议经相关成员线下盖章后、编入投标文件并加盖联合体牵头人CA电子签章。</w:t>
      </w:r>
    </w:p>
    <w:p w14:paraId="22D10747">
      <w:pPr>
        <w:pStyle w:val="28"/>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附</w:t>
      </w:r>
      <w:r>
        <w:rPr>
          <w:rFonts w:hint="eastAsia" w:ascii="宋体" w:hAnsi="宋体" w:eastAsia="宋体" w:cs="宋体"/>
          <w:bCs/>
          <w:color w:val="auto"/>
          <w:sz w:val="21"/>
          <w:szCs w:val="21"/>
          <w:highlight w:val="none"/>
          <w:lang w:val="en-US" w:eastAsia="zh-CN"/>
        </w:rPr>
        <w:t>件9</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分包意向协议</w:t>
      </w:r>
      <w:r>
        <w:rPr>
          <w:rFonts w:hint="eastAsia" w:ascii="宋体" w:hAnsi="宋体" w:eastAsia="宋体" w:cs="宋体"/>
          <w:bCs/>
          <w:color w:val="auto"/>
          <w:sz w:val="21"/>
          <w:szCs w:val="21"/>
          <w:highlight w:val="none"/>
          <w:lang w:eastAsia="zh-CN"/>
        </w:rPr>
        <w:t>：</w:t>
      </w:r>
    </w:p>
    <w:p w14:paraId="1F5A8A51">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lang w:val="en-US" w:eastAsia="zh-CN"/>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lang w:val="en-US" w:eastAsia="zh-CN"/>
          <w14:textOutline w14:w="3175" w14:cap="flat" w14:cmpd="sng" w14:algn="ctr">
            <w14:solidFill>
              <w14:schemeClr w14:val="tx1"/>
            </w14:solidFill>
            <w14:prstDash w14:val="solid"/>
            <w14:round/>
          </w14:textOutline>
        </w:rPr>
        <w:t xml:space="preserve">分包意向协议 </w:t>
      </w:r>
    </w:p>
    <w:p w14:paraId="01695CB6">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中标后以分包方式履行合同的，提供分包意向协议；采购人不同意分包或者投标人</w:t>
      </w:r>
    </w:p>
    <w:p w14:paraId="32DDEF05">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中标后不以分包方式履行合同的，则无需提供。</w:t>
      </w:r>
      <w:r>
        <w:rPr>
          <w:rFonts w:hint="eastAsia" w:ascii="宋体" w:hAnsi="宋体" w:eastAsia="宋体" w:cs="宋体"/>
          <w:color w:val="auto"/>
          <w:kern w:val="0"/>
          <w:sz w:val="24"/>
          <w:szCs w:val="24"/>
          <w:highlight w:val="none"/>
          <w:lang w:val="en-US" w:eastAsia="zh-CN" w:bidi="ar"/>
        </w:rPr>
        <w:t>）</w:t>
      </w:r>
    </w:p>
    <w:p w14:paraId="11A1F756">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若成为</w:t>
      </w:r>
      <w:r>
        <w:rPr>
          <w:rFonts w:hint="eastAsia" w:ascii="宋体" w:hAnsi="宋体" w:eastAsia="宋体" w:cs="宋体"/>
          <w:color w:val="auto"/>
          <w:kern w:val="0"/>
          <w:sz w:val="24"/>
          <w:szCs w:val="24"/>
          <w:highlight w:val="none"/>
          <w:u w:val="single"/>
          <w:lang w:val="en-US" w:eastAsia="zh-CN" w:bidi="ar"/>
        </w:rPr>
        <w:t>天台县森林草地湿地普查工作</w:t>
      </w:r>
      <w:r>
        <w:rPr>
          <w:rFonts w:hint="eastAsia" w:ascii="宋体" w:hAnsi="宋体" w:eastAsia="宋体" w:cs="宋体"/>
          <w:color w:val="auto"/>
          <w:kern w:val="0"/>
          <w:sz w:val="24"/>
          <w:szCs w:val="24"/>
          <w:highlight w:val="none"/>
          <w:lang w:val="en-US" w:eastAsia="zh-CN" w:bidi="ar"/>
        </w:rPr>
        <w:t>【项目编号：</w:t>
      </w:r>
      <w:r>
        <w:rPr>
          <w:rFonts w:hint="eastAsia" w:ascii="宋体" w:hAnsi="宋体" w:cs="宋体"/>
          <w:color w:val="auto"/>
          <w:kern w:val="0"/>
          <w:sz w:val="24"/>
          <w:szCs w:val="24"/>
          <w:highlight w:val="none"/>
          <w:u w:val="single"/>
          <w:lang w:val="en-US" w:eastAsia="zh-CN" w:bidi="ar"/>
        </w:rPr>
        <w:t>TCCG-2025-Z006</w:t>
      </w:r>
      <w:r>
        <w:rPr>
          <w:rFonts w:hint="eastAsia" w:ascii="宋体" w:hAnsi="宋体" w:eastAsia="宋体" w:cs="宋体"/>
          <w:color w:val="auto"/>
          <w:kern w:val="0"/>
          <w:sz w:val="24"/>
          <w:szCs w:val="24"/>
          <w:highlight w:val="none"/>
          <w:lang w:val="en-US" w:eastAsia="zh-CN" w:bidi="ar"/>
        </w:rPr>
        <w:t>】的中标供应商，将依法采取分包方式履行合同。</w:t>
      </w: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与</w:t>
      </w:r>
      <w:r>
        <w:rPr>
          <w:rFonts w:hint="eastAsia" w:ascii="宋体" w:hAnsi="宋体" w:eastAsia="宋体" w:cs="宋体"/>
          <w:color w:val="auto"/>
          <w:kern w:val="0"/>
          <w:sz w:val="24"/>
          <w:szCs w:val="24"/>
          <w:highlight w:val="none"/>
          <w:u w:val="single"/>
          <w:lang w:val="en-US" w:eastAsia="zh-CN" w:bidi="ar"/>
        </w:rPr>
        <w:t>（所有分包供应商名称）</w:t>
      </w:r>
      <w:r>
        <w:rPr>
          <w:rFonts w:hint="eastAsia" w:ascii="宋体" w:hAnsi="宋体" w:eastAsia="宋体" w:cs="宋体"/>
          <w:color w:val="auto"/>
          <w:kern w:val="0"/>
          <w:sz w:val="24"/>
          <w:szCs w:val="24"/>
          <w:highlight w:val="none"/>
          <w:lang w:val="en-US" w:eastAsia="zh-CN" w:bidi="ar"/>
        </w:rPr>
        <w:t xml:space="preserve">达成分包意向协议。 </w:t>
      </w:r>
    </w:p>
    <w:p w14:paraId="70CEE794">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一、分包标的及数量 </w:t>
      </w:r>
    </w:p>
    <w:p w14:paraId="202360B9">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将</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0"/>
          <w:szCs w:val="20"/>
          <w:highlight w:val="none"/>
          <w:u w:val="single"/>
          <w:lang w:val="en-US" w:eastAsia="zh-CN" w:bidi="ar"/>
        </w:rPr>
        <w:t xml:space="preserve">XX 工作内容 </w:t>
      </w:r>
      <w:r>
        <w:rPr>
          <w:rFonts w:hint="eastAsia" w:ascii="宋体" w:hAnsi="宋体" w:eastAsia="宋体" w:cs="宋体"/>
          <w:color w:val="auto"/>
          <w:kern w:val="0"/>
          <w:sz w:val="24"/>
          <w:szCs w:val="24"/>
          <w:highlight w:val="none"/>
          <w:lang w:val="en-US" w:eastAsia="zh-CN" w:bidi="ar"/>
        </w:rPr>
        <w:t>分包给</w:t>
      </w:r>
      <w:r>
        <w:rPr>
          <w:rFonts w:hint="eastAsia" w:ascii="宋体" w:hAnsi="宋体" w:eastAsia="宋体" w:cs="宋体"/>
          <w:color w:val="auto"/>
          <w:kern w:val="0"/>
          <w:sz w:val="24"/>
          <w:szCs w:val="24"/>
          <w:highlight w:val="none"/>
          <w:u w:val="single"/>
          <w:lang w:val="en-US" w:eastAsia="zh-CN" w:bidi="ar"/>
        </w:rPr>
        <w:t>（某分包供应商名称）</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（某分包供应商名称）</w:t>
      </w:r>
      <w:r>
        <w:rPr>
          <w:rFonts w:hint="eastAsia" w:ascii="宋体" w:hAnsi="宋体" w:eastAsia="宋体" w:cs="宋体"/>
          <w:color w:val="auto"/>
          <w:kern w:val="0"/>
          <w:sz w:val="24"/>
          <w:szCs w:val="24"/>
          <w:highlight w:val="none"/>
          <w:lang w:val="en-US" w:eastAsia="zh-CN" w:bidi="ar"/>
        </w:rPr>
        <w:t>，具备承担</w:t>
      </w:r>
      <w:r>
        <w:rPr>
          <w:rFonts w:hint="eastAsia" w:ascii="宋体" w:hAnsi="宋体" w:eastAsia="宋体" w:cs="宋体"/>
          <w:color w:val="auto"/>
          <w:kern w:val="0"/>
          <w:sz w:val="24"/>
          <w:szCs w:val="24"/>
          <w:highlight w:val="none"/>
          <w:u w:val="single"/>
          <w:lang w:val="en-US" w:eastAsia="zh-CN" w:bidi="ar"/>
        </w:rPr>
        <w:t xml:space="preserve"> XX 工作内容</w:t>
      </w:r>
      <w:r>
        <w:rPr>
          <w:rFonts w:hint="eastAsia" w:ascii="宋体" w:hAnsi="宋体" w:eastAsia="宋体" w:cs="宋体"/>
          <w:color w:val="auto"/>
          <w:kern w:val="0"/>
          <w:sz w:val="24"/>
          <w:szCs w:val="24"/>
          <w:highlight w:val="none"/>
          <w:lang w:val="en-US" w:eastAsia="zh-CN" w:bidi="ar"/>
        </w:rPr>
        <w:t xml:space="preserve">相应资质条件且不得再次分包； </w:t>
      </w:r>
    </w:p>
    <w:p w14:paraId="503430CB">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p w14:paraId="12C6E1F0">
      <w:pPr>
        <w:keepNext w:val="0"/>
        <w:keepLines w:val="0"/>
        <w:pageBreakBefore w:val="0"/>
        <w:widowControl/>
        <w:suppressLineNumbers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二、分包工作履行期限、地点、方式 </w:t>
      </w:r>
    </w:p>
    <w:p w14:paraId="428BD7CB">
      <w:pPr>
        <w:pStyle w:val="30"/>
        <w:keepNext w:val="0"/>
        <w:keepLines w:val="0"/>
        <w:pageBreakBefore w:val="0"/>
        <w:numPr>
          <w:ilvl w:val="0"/>
          <w:numId w:val="0"/>
        </w:numPr>
        <w:kinsoku/>
        <w:wordWrap/>
        <w:overflowPunct/>
        <w:topLinePunct w:val="0"/>
        <w:bidi w:val="0"/>
        <w:snapToGrid/>
        <w:spacing w:line="288" w:lineRule="auto"/>
        <w:ind w:leftChars="189"/>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p w14:paraId="1718D599">
      <w:pPr>
        <w:keepNext w:val="0"/>
        <w:keepLines w:val="0"/>
        <w:pageBreakBefore w:val="0"/>
        <w:widowControl/>
        <w:numPr>
          <w:ilvl w:val="0"/>
          <w:numId w:val="0"/>
        </w:numPr>
        <w:suppressLineNumbers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三、质量 </w:t>
      </w:r>
    </w:p>
    <w:p w14:paraId="2A3BB417">
      <w:pPr>
        <w:pStyle w:val="30"/>
        <w:keepNext w:val="0"/>
        <w:keepLines w:val="0"/>
        <w:pageBreakBefore w:val="0"/>
        <w:numPr>
          <w:ilvl w:val="0"/>
          <w:numId w:val="0"/>
        </w:numPr>
        <w:kinsoku/>
        <w:wordWrap/>
        <w:overflowPunct/>
        <w:topLinePunct w:val="0"/>
        <w:bidi w:val="0"/>
        <w:snapToGrid/>
        <w:spacing w:line="288" w:lineRule="auto"/>
        <w:ind w:leftChars="189"/>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p w14:paraId="354815C4">
      <w:pPr>
        <w:keepNext w:val="0"/>
        <w:keepLines w:val="0"/>
        <w:pageBreakBefore w:val="0"/>
        <w:widowControl/>
        <w:numPr>
          <w:ilvl w:val="0"/>
          <w:numId w:val="0"/>
        </w:numPr>
        <w:suppressLineNumbers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四、价款或者报酬 </w:t>
      </w:r>
    </w:p>
    <w:p w14:paraId="40379B68">
      <w:pPr>
        <w:pStyle w:val="30"/>
        <w:keepNext w:val="0"/>
        <w:keepLines w:val="0"/>
        <w:pageBreakBefore w:val="0"/>
        <w:numPr>
          <w:ilvl w:val="0"/>
          <w:numId w:val="0"/>
        </w:numPr>
        <w:kinsoku/>
        <w:wordWrap/>
        <w:overflowPunct/>
        <w:topLinePunct w:val="0"/>
        <w:bidi w:val="0"/>
        <w:snapToGrid/>
        <w:spacing w:line="288" w:lineRule="auto"/>
        <w:ind w:leftChars="189"/>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p w14:paraId="6F66B2E6">
      <w:pPr>
        <w:keepNext w:val="0"/>
        <w:keepLines w:val="0"/>
        <w:pageBreakBefore w:val="0"/>
        <w:widowControl/>
        <w:suppressLineNumbers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五、违约责任 </w:t>
      </w:r>
    </w:p>
    <w:p w14:paraId="3F4E15F1">
      <w:pPr>
        <w:pStyle w:val="30"/>
        <w:keepNext w:val="0"/>
        <w:keepLines w:val="0"/>
        <w:pageBreakBefore w:val="0"/>
        <w:numPr>
          <w:ilvl w:val="0"/>
          <w:numId w:val="0"/>
        </w:numPr>
        <w:kinsoku/>
        <w:wordWrap/>
        <w:overflowPunct/>
        <w:topLinePunct w:val="0"/>
        <w:bidi w:val="0"/>
        <w:snapToGrid/>
        <w:spacing w:line="288" w:lineRule="auto"/>
        <w:ind w:leftChars="189"/>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p w14:paraId="27C910C2">
      <w:pPr>
        <w:keepNext w:val="0"/>
        <w:keepLines w:val="0"/>
        <w:pageBreakBefore w:val="0"/>
        <w:widowControl/>
        <w:suppressLineNumbers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六、争议解决的办法 </w:t>
      </w:r>
    </w:p>
    <w:p w14:paraId="0F147144">
      <w:pPr>
        <w:pStyle w:val="30"/>
        <w:keepNext w:val="0"/>
        <w:keepLines w:val="0"/>
        <w:pageBreakBefore w:val="0"/>
        <w:numPr>
          <w:ilvl w:val="0"/>
          <w:numId w:val="0"/>
        </w:numPr>
        <w:kinsoku/>
        <w:wordWrap/>
        <w:overflowPunct/>
        <w:topLinePunct w:val="0"/>
        <w:bidi w:val="0"/>
        <w:snapToGrid/>
        <w:spacing w:line="288" w:lineRule="auto"/>
        <w:ind w:leftChars="189"/>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p>
    <w:p w14:paraId="769DA2DE">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七、其他 </w:t>
      </w:r>
    </w:p>
    <w:p w14:paraId="3DFC1AD8">
      <w:pPr>
        <w:keepNext w:val="0"/>
        <w:keepLines w:val="0"/>
        <w:widowControl/>
        <w:suppressLineNumbers w:val="0"/>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u w:val="single"/>
          <w:lang w:val="en-US" w:eastAsia="zh-CN" w:bidi="ar"/>
        </w:rPr>
        <w:t>（分包供应商名称）</w:t>
      </w:r>
      <w:r>
        <w:rPr>
          <w:rFonts w:hint="eastAsia" w:ascii="宋体" w:hAnsi="宋体" w:eastAsia="宋体" w:cs="宋体"/>
          <w:color w:val="auto"/>
          <w:kern w:val="0"/>
          <w:sz w:val="24"/>
          <w:szCs w:val="24"/>
          <w:highlight w:val="none"/>
          <w:lang w:val="en-US" w:eastAsia="zh-CN" w:bidi="ar"/>
        </w:rPr>
        <w:t xml:space="preserve">提供的服务/货物全部由小微企业承接/制造，其合同份额占到合同总金额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%以上</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b/>
          <w:bCs/>
          <w:color w:val="auto"/>
          <w:kern w:val="0"/>
          <w:sz w:val="24"/>
          <w:szCs w:val="24"/>
          <w:highlight w:val="none"/>
          <w:lang w:val="en-US" w:eastAsia="zh-CN" w:bidi="ar"/>
        </w:rPr>
        <w:t xml:space="preserve">（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优惠政策的，填写有关内容。） </w:t>
      </w:r>
    </w:p>
    <w:p w14:paraId="2F16C6CC">
      <w:pPr>
        <w:keepNext w:val="0"/>
        <w:keepLines w:val="0"/>
        <w:widowControl/>
        <w:suppressLineNumbers w:val="0"/>
        <w:spacing w:line="360" w:lineRule="auto"/>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投标人名称(盖公章)： </w:t>
      </w:r>
    </w:p>
    <w:p w14:paraId="6184AB0D">
      <w:pPr>
        <w:keepNext w:val="0"/>
        <w:keepLines w:val="0"/>
        <w:widowControl/>
        <w:suppressLineNumbers w:val="0"/>
        <w:spacing w:line="360" w:lineRule="auto"/>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分包供应商名称(盖公章)： </w:t>
      </w:r>
    </w:p>
    <w:p w14:paraId="6F48EFB5">
      <w:pPr>
        <w:keepNext w:val="0"/>
        <w:keepLines w:val="0"/>
        <w:widowControl/>
        <w:suppressLineNumbers w:val="0"/>
        <w:spacing w:line="360" w:lineRule="auto"/>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4F6670E">
      <w:pPr>
        <w:pStyle w:val="3"/>
        <w:rPr>
          <w:rFonts w:hint="eastAsia" w:ascii="宋体" w:hAnsi="宋体" w:eastAsia="宋体" w:cs="宋体"/>
          <w:color w:val="auto"/>
          <w:highlight w:val="none"/>
        </w:rPr>
      </w:pPr>
    </w:p>
    <w:p w14:paraId="12CCD36B">
      <w:pPr>
        <w:rPr>
          <w:rFonts w:hint="eastAsia" w:ascii="宋体" w:hAnsi="宋体" w:eastAsia="宋体" w:cs="宋体"/>
          <w:color w:val="auto"/>
          <w:highlight w:val="none"/>
        </w:rPr>
      </w:pPr>
    </w:p>
    <w:p w14:paraId="535AC31E">
      <w:pPr>
        <w:pStyle w:val="30"/>
        <w:tabs>
          <w:tab w:val="left" w:pos="2015"/>
        </w:tabs>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说明：本分包意向协议经相关成员线下盖章后、编入投标文件并加盖投标人CA电子签章。</w:t>
      </w:r>
    </w:p>
    <w:p w14:paraId="717A0E88">
      <w:pPr>
        <w:pStyle w:val="28"/>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附件</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 xml:space="preserve"> 投标函：</w:t>
      </w:r>
    </w:p>
    <w:p w14:paraId="6CAF64D7">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t>投 标 函</w:t>
      </w:r>
    </w:p>
    <w:p w14:paraId="5969D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致</w:t>
      </w:r>
      <w:r>
        <w:rPr>
          <w:rFonts w:hint="eastAsia" w:ascii="宋体" w:hAnsi="宋体" w:eastAsia="宋体" w:cs="宋体"/>
          <w:color w:val="auto"/>
          <w:sz w:val="24"/>
          <w:highlight w:val="none"/>
          <w:u w:val="single"/>
          <w:lang w:eastAsia="zh-CN"/>
        </w:rPr>
        <w:t>天台县自然资源和规划局</w:t>
      </w:r>
      <w:r>
        <w:rPr>
          <w:rFonts w:hint="eastAsia" w:ascii="宋体" w:hAnsi="宋体" w:eastAsia="宋体" w:cs="宋体"/>
          <w:color w:val="auto"/>
          <w:sz w:val="24"/>
          <w:highlight w:val="none"/>
        </w:rPr>
        <w:t>：</w:t>
      </w:r>
    </w:p>
    <w:p w14:paraId="29A26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w:t>
      </w:r>
      <w:r>
        <w:rPr>
          <w:rFonts w:hint="eastAsia" w:ascii="宋体" w:hAnsi="宋体" w:eastAsia="宋体" w:cs="宋体"/>
          <w:i/>
          <w:color w:val="auto"/>
          <w:sz w:val="24"/>
          <w:highlight w:val="none"/>
        </w:rPr>
        <w:t>（负责人）</w:t>
      </w: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天台县森林草地湿地普查工作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的投标，为便于贵方公正、择优地确定中标供应商及其投标产品和服务，我方就本次投标有关事项郑重声明如下：</w:t>
      </w:r>
    </w:p>
    <w:p w14:paraId="675BED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1、我方已详细审查全部“采购文件”，包括修改文件（如有）以及全部参考资料和有关附件，已经了解我方对于采购文件、采购过程、采购结果有依法进行询问、质疑、投诉的权利及相关渠道和要求。</w:t>
      </w:r>
    </w:p>
    <w:p w14:paraId="631E9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2、我方在投标之前已经与贵方进行了充分的沟通，完全理解并接受采购文件的各项规定和要求，对采购文件的合理性、合法性不再有异议。</w:t>
      </w:r>
    </w:p>
    <w:p w14:paraId="31645B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3、我方向贵方提交的所有投标文件资料都是准确的和真实的；</w:t>
      </w:r>
    </w:p>
    <w:p w14:paraId="4A8484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4、我方此次向贵方提供的服务，我方有能力提供；</w:t>
      </w:r>
    </w:p>
    <w:p w14:paraId="15670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5、服务期：</w:t>
      </w:r>
      <w:r>
        <w:rPr>
          <w:rFonts w:hint="eastAsia" w:ascii="宋体" w:hAnsi="宋体" w:cs="宋体"/>
          <w:color w:val="auto"/>
          <w:sz w:val="24"/>
          <w:highlight w:val="none"/>
          <w:lang w:eastAsia="zh-CN"/>
        </w:rPr>
        <w:t>于2025年05月底前完成并通过验收。（具体时间以采购人要求为准）</w:t>
      </w:r>
    </w:p>
    <w:p w14:paraId="5F9CA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6、本投标有效期90天；</w:t>
      </w:r>
    </w:p>
    <w:p w14:paraId="25BCABD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我方</w:t>
      </w:r>
      <w:r>
        <w:rPr>
          <w:rFonts w:hint="eastAsia" w:ascii="宋体" w:hAnsi="宋体" w:eastAsia="宋体" w:cs="宋体"/>
          <w:color w:val="auto"/>
          <w:sz w:val="24"/>
          <w:highlight w:val="none"/>
        </w:rPr>
        <w:t>承诺：</w:t>
      </w:r>
    </w:p>
    <w:p w14:paraId="65DA5C12">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a）</w:t>
      </w:r>
      <w:r>
        <w:rPr>
          <w:rFonts w:hint="eastAsia" w:ascii="宋体" w:hAnsi="宋体" w:eastAsia="宋体" w:cs="宋体"/>
          <w:color w:val="auto"/>
          <w:sz w:val="24"/>
          <w:highlight w:val="none"/>
        </w:rPr>
        <w:t>如中标，我方将按采购文件规定</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rPr>
        <w:t>提交履约保证金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；我方若放弃中标资格</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将由我方承担本项目采购代理服务费及专家评审费等全部费用，并赔偿可能对采购人造成的损失。</w:t>
      </w:r>
    </w:p>
    <w:p w14:paraId="4C7051F6">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b）</w:t>
      </w:r>
      <w:r>
        <w:rPr>
          <w:rFonts w:hint="eastAsia" w:ascii="宋体" w:hAnsi="宋体" w:eastAsia="宋体" w:cs="宋体"/>
          <w:color w:val="auto"/>
          <w:sz w:val="24"/>
          <w:highlight w:val="none"/>
        </w:rPr>
        <w:t>如中标，我方将</w:t>
      </w:r>
      <w:r>
        <w:rPr>
          <w:rFonts w:hint="eastAsia" w:ascii="宋体" w:hAnsi="宋体" w:eastAsia="宋体" w:cs="宋体"/>
          <w:color w:val="auto"/>
          <w:sz w:val="24"/>
          <w:highlight w:val="none"/>
          <w:lang w:val="en-US" w:eastAsia="zh-CN"/>
        </w:rPr>
        <w:t>按采购文件规定（如有）在中标通知书发出之日起15日内</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本项目采购代理服务费</w:t>
      </w:r>
      <w:r>
        <w:rPr>
          <w:rFonts w:hint="eastAsia" w:ascii="宋体" w:hAnsi="宋体" w:eastAsia="宋体" w:cs="宋体"/>
          <w:color w:val="auto"/>
          <w:sz w:val="24"/>
          <w:highlight w:val="none"/>
        </w:rPr>
        <w:t>。</w:t>
      </w:r>
    </w:p>
    <w:p w14:paraId="629E8BC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c</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如中标，本投标文件至本项目合同履行完毕止均保持有效，</w:t>
      </w:r>
      <w:r>
        <w:rPr>
          <w:rFonts w:hint="eastAsia" w:ascii="宋体" w:hAnsi="宋体" w:eastAsia="宋体" w:cs="宋体"/>
          <w:color w:val="auto"/>
          <w:sz w:val="24"/>
          <w:highlight w:val="none"/>
          <w:lang w:val="en-US" w:eastAsia="zh-CN"/>
        </w:rPr>
        <w:t>我方</w:t>
      </w:r>
      <w:r>
        <w:rPr>
          <w:rFonts w:hint="eastAsia" w:ascii="宋体" w:hAnsi="宋体" w:eastAsia="宋体" w:cs="宋体"/>
          <w:color w:val="auto"/>
          <w:sz w:val="24"/>
          <w:highlight w:val="none"/>
        </w:rPr>
        <w:t>将按</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文件及政府采购法律、法规的规定履行合同责任和义务。</w:t>
      </w:r>
    </w:p>
    <w:p w14:paraId="48D7610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、与本投标有关的一切正式往来信函请寄：</w:t>
      </w:r>
    </w:p>
    <w:p w14:paraId="3469F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邮寄地址：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收件人：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D0B3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电子邮箱：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28077F3">
      <w:pPr>
        <w:pageBreakBefore w:val="0"/>
        <w:kinsoku/>
        <w:wordWrap/>
        <w:overflowPunct/>
        <w:topLinePunct w:val="0"/>
        <w:bidi w:val="0"/>
        <w:spacing w:line="240" w:lineRule="auto"/>
        <w:ind w:firstLine="480" w:firstLineChars="200"/>
        <w:rPr>
          <w:rFonts w:hint="eastAsia" w:ascii="宋体" w:hAnsi="宋体" w:eastAsia="宋体" w:cs="宋体"/>
          <w:color w:val="auto"/>
          <w:sz w:val="24"/>
          <w:highlight w:val="none"/>
        </w:rPr>
      </w:pPr>
    </w:p>
    <w:p w14:paraId="02860BE8">
      <w:pPr>
        <w:pageBreakBefore w:val="0"/>
        <w:kinsoku/>
        <w:wordWrap/>
        <w:overflowPunct/>
        <w:topLinePunct w:val="0"/>
        <w:bidi w:val="0"/>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39BF5B4">
      <w:pPr>
        <w:pageBreakBefore w:val="0"/>
        <w:kinsoku/>
        <w:wordWrap/>
        <w:overflowPunct/>
        <w:topLinePunct w:val="0"/>
        <w:bidi w:val="0"/>
        <w:spacing w:line="240" w:lineRule="auto"/>
        <w:ind w:firstLine="4680" w:firstLineChars="19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70B0269D">
      <w:pPr>
        <w:pageBreakBefore w:val="0"/>
        <w:kinsoku/>
        <w:wordWrap/>
        <w:overflowPunct/>
        <w:topLinePunct w:val="0"/>
        <w:bidi w:val="0"/>
        <w:spacing w:line="240" w:lineRule="auto"/>
        <w:ind w:firstLine="1980" w:firstLineChars="825"/>
        <w:jc w:val="right"/>
        <w:rPr>
          <w:rFonts w:hint="eastAsia" w:ascii="宋体" w:hAnsi="宋体" w:eastAsia="宋体" w:cs="宋体"/>
          <w:color w:val="auto"/>
          <w:sz w:val="24"/>
          <w:highlight w:val="none"/>
          <w:u w:val="single"/>
        </w:rPr>
      </w:pPr>
    </w:p>
    <w:p w14:paraId="27E837CC">
      <w:pPr>
        <w:pageBreakBefore w:val="0"/>
        <w:kinsoku/>
        <w:wordWrap/>
        <w:overflowPunct/>
        <w:topLinePunct w:val="0"/>
        <w:bidi w:val="0"/>
        <w:spacing w:line="240" w:lineRule="auto"/>
        <w:ind w:firstLine="2760" w:firstLineChars="1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w:t>
      </w:r>
      <w:r>
        <w:rPr>
          <w:rFonts w:hint="eastAsia" w:ascii="宋体" w:hAnsi="宋体" w:eastAsia="宋体" w:cs="宋体"/>
          <w:i w:val="0"/>
          <w:iCs w:val="0"/>
          <w:color w:val="auto"/>
          <w:sz w:val="24"/>
          <w:highlight w:val="none"/>
        </w:rPr>
        <w:t>表人（负责人）</w:t>
      </w:r>
      <w:r>
        <w:rPr>
          <w:rFonts w:hint="eastAsia" w:ascii="宋体" w:hAnsi="宋体" w:eastAsia="宋体" w:cs="宋体"/>
          <w:color w:val="auto"/>
          <w:sz w:val="24"/>
          <w:highlight w:val="none"/>
        </w:rPr>
        <w:t>或授权代表：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42F8C9E0">
      <w:pPr>
        <w:pageBreakBefore w:val="0"/>
        <w:kinsoku/>
        <w:wordWrap/>
        <w:overflowPunct/>
        <w:topLinePunct w:val="0"/>
        <w:bidi w:val="0"/>
        <w:spacing w:line="240" w:lineRule="auto"/>
        <w:jc w:val="right"/>
        <w:rPr>
          <w:rFonts w:hint="eastAsia" w:ascii="宋体" w:hAnsi="宋体" w:eastAsia="宋体" w:cs="宋体"/>
          <w:color w:val="auto"/>
          <w:sz w:val="24"/>
          <w:highlight w:val="none"/>
        </w:rPr>
      </w:pPr>
    </w:p>
    <w:p w14:paraId="5BAC6988">
      <w:pPr>
        <w:pageBreakBefore w:val="0"/>
        <w:kinsoku/>
        <w:wordWrap/>
        <w:overflowPunct/>
        <w:topLinePunct w:val="0"/>
        <w:bidi w:val="0"/>
        <w:spacing w:line="240" w:lineRule="auto"/>
        <w:jc w:val="righ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年    月    日</w:t>
      </w:r>
    </w:p>
    <w:p w14:paraId="12CA8118">
      <w:pPr>
        <w:pageBreakBefore w:val="0"/>
        <w:kinsoku/>
        <w:wordWrap/>
        <w:overflowPunct/>
        <w:topLinePunct w:val="0"/>
        <w:bidi w:val="0"/>
        <w:spacing w:before="240" w:beforeLines="100" w:after="120" w:afterLines="50" w:line="240" w:lineRule="auto"/>
        <w:rPr>
          <w:rFonts w:hint="eastAsia" w:ascii="宋体" w:hAnsi="宋体" w:eastAsia="宋体" w:cs="宋体"/>
          <w:b/>
          <w:bCs/>
          <w:color w:val="auto"/>
          <w:sz w:val="30"/>
          <w:highlight w:val="none"/>
        </w:rPr>
      </w:pPr>
      <w:r>
        <w:rPr>
          <w:rFonts w:hint="eastAsia" w:ascii="宋体" w:hAnsi="宋体" w:eastAsia="宋体" w:cs="宋体"/>
          <w:bCs/>
          <w:color w:val="auto"/>
          <w:highlight w:val="none"/>
        </w:rPr>
        <w:t>附件1</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 xml:space="preserve"> 开标一览表</w:t>
      </w:r>
      <w:r>
        <w:rPr>
          <w:rFonts w:hint="eastAsia" w:ascii="宋体" w:hAnsi="宋体" w:eastAsia="宋体" w:cs="宋体"/>
          <w:b/>
          <w:bCs/>
          <w:color w:val="auto"/>
          <w:sz w:val="24"/>
          <w:highlight w:val="none"/>
        </w:rPr>
        <w:t>：</w:t>
      </w:r>
      <w:r>
        <w:rPr>
          <w:rFonts w:hint="eastAsia" w:ascii="宋体" w:hAnsi="宋体" w:eastAsia="宋体" w:cs="宋体"/>
          <w:bCs/>
          <w:color w:val="auto"/>
          <w:highlight w:val="none"/>
        </w:rPr>
        <w:t xml:space="preserve">  </w:t>
      </w:r>
      <w:r>
        <w:rPr>
          <w:rFonts w:hint="eastAsia" w:ascii="宋体" w:hAnsi="宋体" w:eastAsia="宋体" w:cs="宋体"/>
          <w:b/>
          <w:bCs/>
          <w:color w:val="auto"/>
          <w:sz w:val="30"/>
          <w:highlight w:val="none"/>
        </w:rPr>
        <w:t xml:space="preserve">           </w:t>
      </w:r>
    </w:p>
    <w:p w14:paraId="60800056">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t>开标一览表</w:t>
      </w:r>
    </w:p>
    <w:p w14:paraId="3C2C765F">
      <w:pPr>
        <w:pStyle w:val="6"/>
        <w:pageBreakBefore w:val="0"/>
        <w:kinsoku/>
        <w:wordWrap/>
        <w:overflowPunct/>
        <w:topLinePunct w:val="0"/>
        <w:bidi w:val="0"/>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天台县森林草地湿地普查工作</w:t>
      </w:r>
      <w:r>
        <w:rPr>
          <w:rFonts w:hint="eastAsia" w:ascii="宋体" w:hAnsi="宋体" w:eastAsia="宋体" w:cs="宋体"/>
          <w:color w:val="auto"/>
          <w:sz w:val="24"/>
          <w:highlight w:val="none"/>
        </w:rPr>
        <w:t xml:space="preserve">                                                           项目编号：</w:t>
      </w:r>
      <w:r>
        <w:rPr>
          <w:rFonts w:hint="eastAsia" w:hAnsi="宋体" w:cs="宋体"/>
          <w:color w:val="auto"/>
          <w:sz w:val="24"/>
          <w:highlight w:val="none"/>
          <w:lang w:eastAsia="zh-CN"/>
        </w:rPr>
        <w:t>TCCG-2025-Z006</w:t>
      </w:r>
    </w:p>
    <w:tbl>
      <w:tblPr>
        <w:tblStyle w:val="31"/>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167"/>
        <w:gridCol w:w="1158"/>
        <w:gridCol w:w="4572"/>
      </w:tblGrid>
      <w:tr w14:paraId="1161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784" w:type="dxa"/>
            <w:tcBorders>
              <w:tl2br w:val="nil"/>
              <w:tr2bl w:val="nil"/>
            </w:tcBorders>
            <w:vAlign w:val="center"/>
          </w:tcPr>
          <w:p w14:paraId="12C477FD">
            <w:pPr>
              <w:jc w:val="center"/>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标项内容</w:t>
            </w:r>
          </w:p>
        </w:tc>
        <w:tc>
          <w:tcPr>
            <w:tcW w:w="1167" w:type="dxa"/>
            <w:tcBorders>
              <w:tl2br w:val="nil"/>
              <w:tr2bl w:val="nil"/>
            </w:tcBorders>
            <w:vAlign w:val="center"/>
          </w:tcPr>
          <w:p w14:paraId="26BAE4D0">
            <w:pPr>
              <w:jc w:val="center"/>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数量</w:t>
            </w:r>
          </w:p>
        </w:tc>
        <w:tc>
          <w:tcPr>
            <w:tcW w:w="1158" w:type="dxa"/>
            <w:tcBorders>
              <w:tl2br w:val="nil"/>
              <w:tr2bl w:val="nil"/>
            </w:tcBorders>
            <w:vAlign w:val="center"/>
          </w:tcPr>
          <w:p w14:paraId="06003E80">
            <w:pPr>
              <w:jc w:val="center"/>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单位</w:t>
            </w:r>
          </w:p>
        </w:tc>
        <w:tc>
          <w:tcPr>
            <w:tcW w:w="4572" w:type="dxa"/>
            <w:tcBorders>
              <w:tl2br w:val="nil"/>
              <w:tr2bl w:val="nil"/>
            </w:tcBorders>
            <w:vAlign w:val="center"/>
          </w:tcPr>
          <w:p w14:paraId="7F82B345">
            <w:pPr>
              <w:jc w:val="center"/>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lang w:val="en-US" w:eastAsia="zh-CN"/>
              </w:rPr>
              <w:t>服务期限</w:t>
            </w:r>
          </w:p>
        </w:tc>
      </w:tr>
      <w:tr w14:paraId="54D7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784" w:type="dxa"/>
            <w:tcBorders>
              <w:tl2br w:val="nil"/>
              <w:tr2bl w:val="nil"/>
            </w:tcBorders>
            <w:vAlign w:val="center"/>
          </w:tcPr>
          <w:p w14:paraId="73088B66">
            <w:pPr>
              <w:jc w:val="center"/>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lang w:eastAsia="zh-CN"/>
              </w:rPr>
              <w:t>天台县森林草地湿地普查工作</w:t>
            </w:r>
          </w:p>
        </w:tc>
        <w:tc>
          <w:tcPr>
            <w:tcW w:w="1167" w:type="dxa"/>
            <w:tcBorders>
              <w:tl2br w:val="nil"/>
              <w:tr2bl w:val="nil"/>
            </w:tcBorders>
            <w:vAlign w:val="center"/>
          </w:tcPr>
          <w:p w14:paraId="6E3B2AD4">
            <w:pPr>
              <w:jc w:val="center"/>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p>
        </w:tc>
        <w:tc>
          <w:tcPr>
            <w:tcW w:w="1158" w:type="dxa"/>
            <w:tcBorders>
              <w:tl2br w:val="nil"/>
              <w:tr2bl w:val="nil"/>
            </w:tcBorders>
            <w:vAlign w:val="center"/>
          </w:tcPr>
          <w:p w14:paraId="63C1324C">
            <w:pPr>
              <w:jc w:val="center"/>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项</w:t>
            </w:r>
          </w:p>
        </w:tc>
        <w:tc>
          <w:tcPr>
            <w:tcW w:w="4572" w:type="dxa"/>
            <w:tcBorders>
              <w:tl2br w:val="nil"/>
              <w:tr2bl w:val="nil"/>
            </w:tcBorders>
            <w:vAlign w:val="center"/>
          </w:tcPr>
          <w:p w14:paraId="62C5B5AB">
            <w:pPr>
              <w:jc w:val="center"/>
              <w:rPr>
                <w:rFonts w:hint="eastAsia" w:ascii="宋体" w:hAnsi="宋体" w:eastAsia="宋体" w:cs="宋体"/>
                <w:bCs/>
                <w:color w:val="auto"/>
                <w:sz w:val="24"/>
                <w:highlight w:val="none"/>
                <w:shd w:val="clear" w:color="auto" w:fill="auto"/>
                <w:lang w:eastAsia="zh-CN"/>
              </w:rPr>
            </w:pPr>
            <w:r>
              <w:rPr>
                <w:rFonts w:hint="eastAsia" w:ascii="宋体" w:hAnsi="宋体" w:cs="宋体"/>
                <w:bCs/>
                <w:color w:val="auto"/>
                <w:sz w:val="24"/>
                <w:highlight w:val="none"/>
                <w:shd w:val="clear" w:color="auto" w:fill="auto"/>
                <w:lang w:eastAsia="zh-CN"/>
              </w:rPr>
              <w:t>于2025年05月底前完成并通过验收。（具体时间以采购人要求为准）</w:t>
            </w:r>
          </w:p>
        </w:tc>
      </w:tr>
      <w:tr w14:paraId="13F7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84" w:type="dxa"/>
            <w:tcBorders>
              <w:tl2br w:val="nil"/>
              <w:tr2bl w:val="nil"/>
            </w:tcBorders>
            <w:vAlign w:val="center"/>
          </w:tcPr>
          <w:p w14:paraId="331770D7">
            <w:pPr>
              <w:jc w:val="center"/>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投标总价(元)</w:t>
            </w:r>
          </w:p>
        </w:tc>
        <w:tc>
          <w:tcPr>
            <w:tcW w:w="6897" w:type="dxa"/>
            <w:gridSpan w:val="3"/>
            <w:tcBorders>
              <w:tl2br w:val="nil"/>
              <w:tr2bl w:val="nil"/>
            </w:tcBorders>
            <w:vAlign w:val="center"/>
          </w:tcPr>
          <w:p w14:paraId="25988DA6">
            <w:pPr>
              <w:jc w:val="left"/>
              <w:rPr>
                <w:rFonts w:hint="eastAsia" w:ascii="宋体" w:hAnsi="宋体" w:eastAsia="宋体" w:cs="宋体"/>
                <w:bCs/>
                <w:color w:val="auto"/>
                <w:sz w:val="24"/>
                <w:highlight w:val="none"/>
                <w:u w:val="single"/>
                <w:shd w:val="clear" w:color="auto" w:fill="auto"/>
                <w:lang w:val="en-US" w:eastAsia="zh-CN"/>
              </w:rPr>
            </w:pP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lang w:val="en-US" w:eastAsia="zh-CN"/>
              </w:rPr>
              <w:t>小写</w:t>
            </w: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bCs/>
                <w:color w:val="auto"/>
                <w:sz w:val="24"/>
                <w:highlight w:val="none"/>
                <w:u w:val="single"/>
                <w:shd w:val="clear" w:color="auto" w:fill="auto"/>
                <w:lang w:val="en-US" w:eastAsia="zh-CN"/>
              </w:rPr>
              <w:t xml:space="preserve">                    </w:t>
            </w:r>
          </w:p>
          <w:p w14:paraId="2D5D1CC0">
            <w:pPr>
              <w:jc w:val="left"/>
              <w:rPr>
                <w:rFonts w:hint="eastAsia" w:ascii="宋体" w:hAnsi="宋体" w:eastAsia="宋体" w:cs="宋体"/>
                <w:bCs/>
                <w:color w:val="auto"/>
                <w:sz w:val="24"/>
                <w:highlight w:val="none"/>
                <w:shd w:val="clear" w:color="auto" w:fill="auto"/>
              </w:rPr>
            </w:pPr>
          </w:p>
          <w:p w14:paraId="402F2C20">
            <w:pPr>
              <w:jc w:val="left"/>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（大写）：</w:t>
            </w:r>
            <w:r>
              <w:rPr>
                <w:rFonts w:hint="eastAsia" w:ascii="宋体" w:hAnsi="宋体" w:eastAsia="宋体" w:cs="宋体"/>
                <w:bCs/>
                <w:color w:val="auto"/>
                <w:sz w:val="24"/>
                <w:highlight w:val="none"/>
                <w:u w:val="single"/>
                <w:shd w:val="clear" w:color="auto" w:fill="auto"/>
                <w:lang w:val="en-US" w:eastAsia="zh-CN"/>
              </w:rPr>
              <w:t xml:space="preserve">                    </w:t>
            </w:r>
          </w:p>
        </w:tc>
      </w:tr>
    </w:tbl>
    <w:p w14:paraId="1820AB77">
      <w:pPr>
        <w:pStyle w:val="6"/>
        <w:pageBreakBefore w:val="0"/>
        <w:kinsoku/>
        <w:wordWrap/>
        <w:overflowPunct/>
        <w:topLinePunct w:val="0"/>
        <w:bidi w:val="0"/>
        <w:snapToGrid w:val="0"/>
        <w:spacing w:before="96" w:beforeLines="40" w:after="96" w:afterLines="40" w:line="240" w:lineRule="auto"/>
        <w:ind w:left="228" w:hanging="228" w:hangingChars="95"/>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说明：</w:t>
      </w:r>
      <w:bookmarkStart w:id="40" w:name="_Toc327261253"/>
      <w:r>
        <w:rPr>
          <w:rFonts w:hint="eastAsia" w:ascii="宋体" w:hAnsi="宋体" w:eastAsia="宋体" w:cs="宋体"/>
          <w:bCs/>
          <w:color w:val="auto"/>
          <w:sz w:val="24"/>
          <w:highlight w:val="none"/>
        </w:rPr>
        <w:t>1.</w:t>
      </w:r>
      <w:bookmarkEnd w:id="40"/>
      <w:r>
        <w:rPr>
          <w:rFonts w:hint="eastAsia" w:ascii="宋体" w:hAnsi="宋体" w:eastAsia="宋体" w:cs="宋体"/>
          <w:bCs/>
          <w:color w:val="auto"/>
          <w:sz w:val="24"/>
          <w:highlight w:val="none"/>
          <w:lang w:eastAsia="zh-CN"/>
        </w:rPr>
        <w:t>投标报价是履行合同的最终价格，投标报价应包括：市场调研、数据整理、外业调查、资料费、成果验收费、交通费、成果印制费、成果维护费、售后服务费、差旅费、利润、税费等配合业主通过有关政府部门审批的相关服务等全部项目的费用及工作所发生的一切应有费用。</w:t>
      </w:r>
    </w:p>
    <w:p w14:paraId="2850CEF3">
      <w:pPr>
        <w:pStyle w:val="6"/>
        <w:pageBreakBefore w:val="0"/>
        <w:kinsoku/>
        <w:wordWrap/>
        <w:overflowPunct/>
        <w:topLinePunct w:val="0"/>
        <w:bidi w:val="0"/>
        <w:snapToGrid w:val="0"/>
        <w:spacing w:before="96" w:beforeLines="40" w:after="96" w:afterLines="40" w:line="240" w:lineRule="auto"/>
        <w:ind w:left="237" w:leftChars="113"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2.报价一经涂改，应在涂改处加盖单位公章或者由法定代表人或其授权代表签字或盖章，否则按无效标处理。  </w:t>
      </w:r>
    </w:p>
    <w:p w14:paraId="4BD47D8C">
      <w:pPr>
        <w:pageBreakBefore w:val="0"/>
        <w:kinsoku/>
        <w:wordWrap/>
        <w:overflowPunct/>
        <w:topLinePunct w:val="0"/>
        <w:bidi w:val="0"/>
        <w:spacing w:line="240" w:lineRule="auto"/>
        <w:ind w:right="-21" w:rightChars="-10" w:firstLine="720" w:firstLineChars="3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3.报价超过采购预算（或最高限价）的，作无效标处理。</w:t>
      </w:r>
    </w:p>
    <w:p w14:paraId="2C7E6E42">
      <w:pPr>
        <w:pStyle w:val="40"/>
        <w:rPr>
          <w:rFonts w:hint="eastAsia" w:ascii="宋体" w:hAnsi="宋体" w:eastAsia="宋体" w:cs="宋体"/>
          <w:color w:val="auto"/>
          <w:highlight w:val="none"/>
        </w:rPr>
      </w:pPr>
    </w:p>
    <w:p w14:paraId="73277AF7">
      <w:pPr>
        <w:pageBreakBefore w:val="0"/>
        <w:kinsoku/>
        <w:wordWrap/>
        <w:overflowPunct/>
        <w:topLinePunct w:val="0"/>
        <w:bidi w:val="0"/>
        <w:spacing w:before="240" w:beforeLines="100" w:after="120" w:afterLines="50" w:line="240" w:lineRule="auto"/>
        <w:rPr>
          <w:rFonts w:hint="eastAsia" w:ascii="宋体" w:hAnsi="宋体" w:eastAsia="宋体" w:cs="宋体"/>
          <w:color w:val="auto"/>
          <w:sz w:val="24"/>
          <w:highlight w:val="none"/>
        </w:rPr>
      </w:pPr>
    </w:p>
    <w:p w14:paraId="2DF27BF1">
      <w:pPr>
        <w:pageBreakBefore w:val="0"/>
        <w:kinsoku/>
        <w:wordWrap/>
        <w:overflowPunct/>
        <w:topLinePunct w:val="0"/>
        <w:bidi w:val="0"/>
        <w:spacing w:line="240" w:lineRule="auto"/>
        <w:ind w:firstLine="4680" w:firstLineChars="19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1825DC06">
      <w:pPr>
        <w:pageBreakBefore w:val="0"/>
        <w:kinsoku/>
        <w:wordWrap/>
        <w:overflowPunct/>
        <w:topLinePunct w:val="0"/>
        <w:bidi w:val="0"/>
        <w:spacing w:line="240" w:lineRule="auto"/>
        <w:ind w:firstLine="1980" w:firstLineChars="825"/>
        <w:jc w:val="right"/>
        <w:rPr>
          <w:rFonts w:hint="eastAsia" w:ascii="宋体" w:hAnsi="宋体" w:eastAsia="宋体" w:cs="宋体"/>
          <w:color w:val="auto"/>
          <w:sz w:val="24"/>
          <w:highlight w:val="none"/>
          <w:u w:val="single"/>
        </w:rPr>
      </w:pPr>
    </w:p>
    <w:p w14:paraId="77A1BCD5">
      <w:pPr>
        <w:pageBreakBefore w:val="0"/>
        <w:kinsoku/>
        <w:wordWrap/>
        <w:overflowPunct/>
        <w:topLinePunct w:val="0"/>
        <w:bidi w:val="0"/>
        <w:spacing w:line="240" w:lineRule="auto"/>
        <w:ind w:firstLine="2760" w:firstLineChars="1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i w:val="0"/>
          <w:iCs/>
          <w:color w:val="auto"/>
          <w:sz w:val="24"/>
          <w:highlight w:val="none"/>
        </w:rPr>
        <w:t>（负责人）或授权</w:t>
      </w:r>
      <w:r>
        <w:rPr>
          <w:rFonts w:hint="eastAsia" w:ascii="宋体" w:hAnsi="宋体" w:eastAsia="宋体" w:cs="宋体"/>
          <w:color w:val="auto"/>
          <w:sz w:val="24"/>
          <w:highlight w:val="none"/>
        </w:rPr>
        <w:t>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09AD8297">
      <w:pPr>
        <w:pageBreakBefore w:val="0"/>
        <w:kinsoku/>
        <w:wordWrap/>
        <w:overflowPunct/>
        <w:topLinePunct w:val="0"/>
        <w:bidi w:val="0"/>
        <w:spacing w:line="240" w:lineRule="auto"/>
        <w:jc w:val="right"/>
        <w:rPr>
          <w:rFonts w:hint="eastAsia" w:ascii="宋体" w:hAnsi="宋体" w:eastAsia="宋体" w:cs="宋体"/>
          <w:color w:val="auto"/>
          <w:sz w:val="24"/>
          <w:highlight w:val="none"/>
        </w:rPr>
      </w:pPr>
    </w:p>
    <w:p w14:paraId="58DF2910">
      <w:pPr>
        <w:pageBreakBefore w:val="0"/>
        <w:kinsoku/>
        <w:wordWrap/>
        <w:overflowPunct/>
        <w:topLinePunct w:val="0"/>
        <w:bidi w:val="0"/>
        <w:spacing w:line="24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A004A4B">
      <w:pPr>
        <w:pageBreakBefore w:val="0"/>
        <w:kinsoku/>
        <w:wordWrap/>
        <w:overflowPunct/>
        <w:topLinePunct w:val="0"/>
        <w:bidi w:val="0"/>
        <w:spacing w:line="240" w:lineRule="auto"/>
        <w:rPr>
          <w:rFonts w:hint="eastAsia" w:ascii="宋体" w:hAnsi="宋体" w:eastAsia="宋体" w:cs="宋体"/>
          <w:b/>
          <w:bCs/>
          <w:color w:val="auto"/>
          <w:sz w:val="28"/>
          <w:szCs w:val="28"/>
          <w:highlight w:val="none"/>
        </w:rPr>
      </w:pPr>
    </w:p>
    <w:p w14:paraId="1034D46A">
      <w:pPr>
        <w:pageBreakBefore w:val="0"/>
        <w:kinsoku/>
        <w:wordWrap/>
        <w:overflowPunct/>
        <w:topLinePunct w:val="0"/>
        <w:bidi w:val="0"/>
        <w:spacing w:line="240" w:lineRule="auto"/>
        <w:rPr>
          <w:rFonts w:hint="eastAsia" w:ascii="宋体" w:hAnsi="宋体" w:eastAsia="宋体" w:cs="宋体"/>
          <w:b/>
          <w:bCs/>
          <w:color w:val="auto"/>
          <w:sz w:val="28"/>
          <w:szCs w:val="28"/>
          <w:highlight w:val="none"/>
        </w:rPr>
      </w:pPr>
    </w:p>
    <w:p w14:paraId="1A6A7535">
      <w:pPr>
        <w:pStyle w:val="18"/>
        <w:pageBreakBefore w:val="0"/>
        <w:kinsoku/>
        <w:wordWrap/>
        <w:overflowPunct/>
        <w:topLinePunct w:val="0"/>
        <w:bidi w:val="0"/>
        <w:spacing w:line="240" w:lineRule="auto"/>
        <w:rPr>
          <w:rFonts w:hint="eastAsia" w:ascii="宋体" w:hAnsi="宋体" w:eastAsia="宋体" w:cs="宋体"/>
          <w:color w:val="auto"/>
          <w:highlight w:val="none"/>
        </w:rPr>
      </w:pPr>
    </w:p>
    <w:p w14:paraId="455B02E7">
      <w:pPr>
        <w:rPr>
          <w:rFonts w:hint="eastAsia" w:ascii="宋体" w:hAnsi="宋体" w:eastAsia="宋体" w:cs="宋体"/>
          <w:color w:val="auto"/>
          <w:highlight w:val="none"/>
        </w:rPr>
      </w:pPr>
    </w:p>
    <w:p w14:paraId="0AF53EDB">
      <w:pPr>
        <w:pStyle w:val="12"/>
        <w:rPr>
          <w:rFonts w:hint="eastAsia" w:ascii="宋体" w:hAnsi="宋体" w:eastAsia="宋体" w:cs="宋体"/>
          <w:color w:val="auto"/>
          <w:highlight w:val="none"/>
        </w:rPr>
      </w:pPr>
    </w:p>
    <w:p w14:paraId="70B7AD05">
      <w:pPr>
        <w:rPr>
          <w:rFonts w:hint="eastAsia" w:ascii="宋体" w:hAnsi="宋体" w:eastAsia="宋体" w:cs="宋体"/>
          <w:color w:val="auto"/>
          <w:highlight w:val="none"/>
        </w:rPr>
      </w:pPr>
    </w:p>
    <w:p w14:paraId="07E66B61">
      <w:pPr>
        <w:pStyle w:val="12"/>
        <w:rPr>
          <w:rFonts w:hint="eastAsia" w:ascii="宋体" w:hAnsi="宋体" w:eastAsia="宋体" w:cs="宋体"/>
          <w:color w:val="auto"/>
          <w:highlight w:val="none"/>
        </w:rPr>
      </w:pPr>
    </w:p>
    <w:p w14:paraId="4D37F5AC">
      <w:pPr>
        <w:rPr>
          <w:rFonts w:hint="eastAsia" w:ascii="宋体" w:hAnsi="宋体" w:eastAsia="宋体" w:cs="宋体"/>
          <w:color w:val="auto"/>
          <w:highlight w:val="none"/>
        </w:rPr>
      </w:pPr>
    </w:p>
    <w:p w14:paraId="1F6E73E1">
      <w:pPr>
        <w:pStyle w:val="40"/>
        <w:rPr>
          <w:rFonts w:hint="eastAsia" w:ascii="宋体" w:hAnsi="宋体" w:eastAsia="宋体" w:cs="宋体"/>
          <w:color w:val="auto"/>
          <w:highlight w:val="none"/>
        </w:rPr>
      </w:pPr>
    </w:p>
    <w:p w14:paraId="0D132465">
      <w:pPr>
        <w:rPr>
          <w:rFonts w:hint="eastAsia" w:ascii="宋体" w:hAnsi="宋体" w:eastAsia="宋体" w:cs="宋体"/>
          <w:color w:val="auto"/>
          <w:highlight w:val="none"/>
        </w:rPr>
      </w:pPr>
    </w:p>
    <w:p w14:paraId="006204C9">
      <w:pPr>
        <w:pStyle w:val="46"/>
        <w:pageBreakBefore w:val="0"/>
        <w:kinsoku/>
        <w:wordWrap/>
        <w:overflowPunct/>
        <w:topLinePunct w:val="0"/>
        <w:bidi w:val="0"/>
        <w:spacing w:line="240" w:lineRule="auto"/>
        <w:rPr>
          <w:rFonts w:hint="eastAsia" w:ascii="宋体" w:hAnsi="宋体" w:eastAsia="宋体" w:cs="宋体"/>
          <w:color w:val="auto"/>
          <w:highlight w:val="none"/>
        </w:rPr>
      </w:pPr>
    </w:p>
    <w:p w14:paraId="1ED3C853">
      <w:pPr>
        <w:pageBreakBefore w:val="0"/>
        <w:kinsoku/>
        <w:wordWrap/>
        <w:overflowPunct/>
        <w:topLinePunct w:val="0"/>
        <w:bidi w:val="0"/>
        <w:spacing w:line="240" w:lineRule="auto"/>
        <w:rPr>
          <w:rFonts w:hint="eastAsia" w:ascii="宋体" w:hAnsi="宋体" w:eastAsia="宋体" w:cs="宋体"/>
          <w:color w:val="auto"/>
          <w:spacing w:val="20"/>
          <w:szCs w:val="21"/>
          <w:highlight w:val="none"/>
          <w:u w:val="single"/>
        </w:rPr>
      </w:pPr>
      <w:r>
        <w:rPr>
          <w:rFonts w:hint="eastAsia" w:ascii="宋体" w:hAnsi="宋体" w:eastAsia="宋体" w:cs="宋体"/>
          <w:bCs/>
          <w:color w:val="auto"/>
          <w:highlight w:val="none"/>
        </w:rPr>
        <w:t>附件1</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 xml:space="preserve"> 投标人基本情况表</w:t>
      </w:r>
      <w:r>
        <w:rPr>
          <w:rFonts w:hint="eastAsia" w:ascii="宋体" w:hAnsi="宋体" w:eastAsia="宋体" w:cs="宋体"/>
          <w:b/>
          <w:bCs/>
          <w:color w:val="auto"/>
          <w:sz w:val="24"/>
          <w:highlight w:val="none"/>
        </w:rPr>
        <w:t>：</w:t>
      </w:r>
    </w:p>
    <w:p w14:paraId="3DD8F3E6">
      <w:pPr>
        <w:pageBreakBefore w:val="0"/>
        <w:kinsoku/>
        <w:wordWrap/>
        <w:overflowPunct/>
        <w:topLinePunct w:val="0"/>
        <w:bidi w:val="0"/>
        <w:spacing w:line="240" w:lineRule="auto"/>
        <w:rPr>
          <w:rFonts w:hint="eastAsia" w:ascii="宋体" w:hAnsi="宋体" w:eastAsia="宋体" w:cs="宋体"/>
          <w:color w:val="auto"/>
          <w:highlight w:val="none"/>
        </w:rPr>
      </w:pPr>
    </w:p>
    <w:p w14:paraId="6CC756B3">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14:textOutline w14:w="3175" w14:cap="flat" w14:cmpd="sng" w14:algn="ctr">
            <w14:solidFill>
              <w14:schemeClr w14:val="tx1"/>
            </w14:solidFill>
            <w14:prstDash w14:val="solid"/>
            <w14:round/>
          </w14:textOutline>
        </w:rPr>
        <w:t>投标人基本情况表</w:t>
      </w:r>
    </w:p>
    <w:p w14:paraId="3FD935AC">
      <w:pPr>
        <w:pStyle w:val="6"/>
        <w:pageBreakBefore w:val="0"/>
        <w:kinsoku/>
        <w:wordWrap/>
        <w:overflowPunct/>
        <w:topLinePunct w:val="0"/>
        <w:bidi w:val="0"/>
        <w:spacing w:line="240" w:lineRule="auto"/>
        <w:ind w:left="218" w:leftChars="10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天台县森林草地湿地普查工作</w:t>
      </w:r>
      <w:r>
        <w:rPr>
          <w:rFonts w:hint="eastAsia" w:ascii="宋体" w:hAnsi="宋体" w:eastAsia="宋体" w:cs="宋体"/>
          <w:color w:val="auto"/>
          <w:sz w:val="24"/>
          <w:highlight w:val="none"/>
        </w:rPr>
        <w:t xml:space="preserve">                                                           项目编号： </w:t>
      </w:r>
      <w:r>
        <w:rPr>
          <w:rFonts w:hint="eastAsia" w:hAnsi="宋体" w:cs="宋体"/>
          <w:color w:val="auto"/>
          <w:sz w:val="24"/>
          <w:highlight w:val="none"/>
          <w:lang w:eastAsia="zh-CN"/>
        </w:rPr>
        <w:t>TCCG-2025-Z006</w:t>
      </w:r>
      <w:r>
        <w:rPr>
          <w:rFonts w:hint="eastAsia" w:ascii="宋体" w:hAnsi="宋体" w:eastAsia="宋体" w:cs="宋体"/>
          <w:color w:val="auto"/>
          <w:sz w:val="24"/>
          <w:highlight w:val="none"/>
        </w:rPr>
        <w:t xml:space="preserve">  </w:t>
      </w:r>
    </w:p>
    <w:tbl>
      <w:tblPr>
        <w:tblStyle w:val="31"/>
        <w:tblW w:w="95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705"/>
        <w:gridCol w:w="1467"/>
        <w:gridCol w:w="1867"/>
        <w:gridCol w:w="1400"/>
        <w:gridCol w:w="1561"/>
      </w:tblGrid>
      <w:tr w14:paraId="2A069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D2A709F">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tc>
        <w:tc>
          <w:tcPr>
            <w:tcW w:w="8000" w:type="dxa"/>
            <w:gridSpan w:val="5"/>
            <w:tcBorders>
              <w:top w:val="single" w:color="auto" w:sz="4" w:space="0"/>
              <w:left w:val="single" w:color="auto" w:sz="4" w:space="0"/>
              <w:bottom w:val="single" w:color="auto" w:sz="4" w:space="0"/>
              <w:right w:val="single" w:color="auto" w:sz="4" w:space="0"/>
            </w:tcBorders>
            <w:vAlign w:val="center"/>
          </w:tcPr>
          <w:p w14:paraId="7621847F">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r>
      <w:tr w14:paraId="0C518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66135F9">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注册地址</w:t>
            </w:r>
          </w:p>
        </w:tc>
        <w:tc>
          <w:tcPr>
            <w:tcW w:w="1705" w:type="dxa"/>
            <w:tcBorders>
              <w:top w:val="single" w:color="auto" w:sz="4" w:space="0"/>
              <w:left w:val="single" w:color="auto" w:sz="4" w:space="0"/>
              <w:bottom w:val="single" w:color="auto" w:sz="4" w:space="0"/>
              <w:right w:val="single" w:color="auto" w:sz="4" w:space="0"/>
            </w:tcBorders>
            <w:vAlign w:val="center"/>
          </w:tcPr>
          <w:p w14:paraId="37DC0E31">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1BF874B5">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注册时间</w:t>
            </w:r>
          </w:p>
        </w:tc>
        <w:tc>
          <w:tcPr>
            <w:tcW w:w="1867" w:type="dxa"/>
            <w:tcBorders>
              <w:top w:val="single" w:color="auto" w:sz="4" w:space="0"/>
              <w:left w:val="single" w:color="auto" w:sz="4" w:space="0"/>
              <w:bottom w:val="single" w:color="auto" w:sz="4" w:space="0"/>
              <w:right w:val="single" w:color="auto" w:sz="4" w:space="0"/>
            </w:tcBorders>
            <w:vAlign w:val="center"/>
          </w:tcPr>
          <w:p w14:paraId="4ECE993E">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30199AD">
            <w:pPr>
              <w:pageBreakBefore w:val="0"/>
              <w:kinsoku/>
              <w:wordWrap/>
              <w:overflowPunct/>
              <w:topLinePunct w:val="0"/>
              <w:bidi w:val="0"/>
              <w:spacing w:line="240" w:lineRule="auto"/>
              <w:ind w:left="-28" w:leftChars="-51" w:hanging="79" w:hangingChars="33"/>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注册资金</w:t>
            </w:r>
          </w:p>
        </w:tc>
        <w:tc>
          <w:tcPr>
            <w:tcW w:w="1561" w:type="dxa"/>
            <w:tcBorders>
              <w:top w:val="single" w:color="auto" w:sz="4" w:space="0"/>
              <w:left w:val="single" w:color="auto" w:sz="4" w:space="0"/>
              <w:bottom w:val="single" w:color="auto" w:sz="4" w:space="0"/>
              <w:right w:val="single" w:color="auto" w:sz="4" w:space="0"/>
            </w:tcBorders>
            <w:vAlign w:val="center"/>
          </w:tcPr>
          <w:p w14:paraId="345253A9">
            <w:pPr>
              <w:pageBreakBefore w:val="0"/>
              <w:kinsoku/>
              <w:wordWrap/>
              <w:overflowPunct/>
              <w:topLinePunct w:val="0"/>
              <w:bidi w:val="0"/>
              <w:spacing w:line="240" w:lineRule="auto"/>
              <w:ind w:left="960" w:hanging="960" w:hangingChars="40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       万元</w:t>
            </w:r>
          </w:p>
        </w:tc>
      </w:tr>
      <w:tr w14:paraId="0744D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799E99F">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p>
        </w:tc>
        <w:tc>
          <w:tcPr>
            <w:tcW w:w="1705" w:type="dxa"/>
            <w:tcBorders>
              <w:top w:val="single" w:color="auto" w:sz="4" w:space="0"/>
              <w:left w:val="single" w:color="auto" w:sz="4" w:space="0"/>
              <w:bottom w:val="single" w:color="auto" w:sz="4" w:space="0"/>
              <w:right w:val="single" w:color="auto" w:sz="4" w:space="0"/>
            </w:tcBorders>
            <w:vAlign w:val="center"/>
          </w:tcPr>
          <w:p w14:paraId="059B03A4">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7DED29D4">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统一社会信用代码</w:t>
            </w:r>
          </w:p>
        </w:tc>
        <w:tc>
          <w:tcPr>
            <w:tcW w:w="1867" w:type="dxa"/>
            <w:tcBorders>
              <w:top w:val="single" w:color="auto" w:sz="4" w:space="0"/>
              <w:left w:val="single" w:color="auto" w:sz="4" w:space="0"/>
              <w:bottom w:val="single" w:color="auto" w:sz="4" w:space="0"/>
              <w:right w:val="single" w:color="auto" w:sz="4" w:space="0"/>
            </w:tcBorders>
            <w:vAlign w:val="center"/>
          </w:tcPr>
          <w:p w14:paraId="3138F9AE">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0270BF4F">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职工人数</w:t>
            </w:r>
          </w:p>
        </w:tc>
        <w:tc>
          <w:tcPr>
            <w:tcW w:w="1561" w:type="dxa"/>
            <w:tcBorders>
              <w:top w:val="single" w:color="auto" w:sz="4" w:space="0"/>
              <w:left w:val="single" w:color="auto" w:sz="4" w:space="0"/>
              <w:bottom w:val="single" w:color="auto" w:sz="4" w:space="0"/>
              <w:right w:val="single" w:color="auto" w:sz="4" w:space="0"/>
            </w:tcBorders>
            <w:vAlign w:val="center"/>
          </w:tcPr>
          <w:p w14:paraId="54E43A10">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人</w:t>
            </w:r>
          </w:p>
        </w:tc>
      </w:tr>
      <w:tr w14:paraId="054D8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restart"/>
            <w:tcBorders>
              <w:top w:val="single" w:color="auto" w:sz="4" w:space="0"/>
              <w:left w:val="single" w:color="auto" w:sz="4" w:space="0"/>
              <w:right w:val="single" w:color="auto" w:sz="4" w:space="0"/>
            </w:tcBorders>
            <w:vAlign w:val="center"/>
          </w:tcPr>
          <w:p w14:paraId="41B207BC">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所获资质</w:t>
            </w:r>
          </w:p>
          <w:p w14:paraId="605A5E53">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或认证</w:t>
            </w:r>
          </w:p>
        </w:tc>
        <w:tc>
          <w:tcPr>
            <w:tcW w:w="1705" w:type="dxa"/>
            <w:tcBorders>
              <w:top w:val="single" w:color="auto" w:sz="4" w:space="0"/>
              <w:left w:val="single" w:color="auto" w:sz="4" w:space="0"/>
              <w:bottom w:val="single" w:color="auto" w:sz="4" w:space="0"/>
              <w:right w:val="single" w:color="auto" w:sz="4" w:space="0"/>
            </w:tcBorders>
            <w:vAlign w:val="center"/>
          </w:tcPr>
          <w:p w14:paraId="28E18742">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证书或证件名称及等级</w:t>
            </w: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0A9FB07A">
            <w:pPr>
              <w:pageBreakBefore w:val="0"/>
              <w:widowControl/>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颁发部门</w:t>
            </w:r>
          </w:p>
        </w:tc>
        <w:tc>
          <w:tcPr>
            <w:tcW w:w="1400" w:type="dxa"/>
            <w:tcBorders>
              <w:top w:val="single" w:color="auto" w:sz="4" w:space="0"/>
              <w:left w:val="single" w:color="auto" w:sz="4" w:space="0"/>
              <w:bottom w:val="single" w:color="auto" w:sz="4" w:space="0"/>
              <w:right w:val="single" w:color="auto" w:sz="4" w:space="0"/>
            </w:tcBorders>
            <w:vAlign w:val="center"/>
          </w:tcPr>
          <w:p w14:paraId="6388AD6E">
            <w:pPr>
              <w:pageBreakBefore w:val="0"/>
              <w:widowControl/>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颁发时间</w:t>
            </w:r>
          </w:p>
        </w:tc>
        <w:tc>
          <w:tcPr>
            <w:tcW w:w="1561" w:type="dxa"/>
            <w:tcBorders>
              <w:top w:val="single" w:color="auto" w:sz="4" w:space="0"/>
              <w:left w:val="single" w:color="auto" w:sz="4" w:space="0"/>
              <w:bottom w:val="single" w:color="auto" w:sz="4" w:space="0"/>
              <w:right w:val="single" w:color="auto" w:sz="4" w:space="0"/>
            </w:tcBorders>
            <w:vAlign w:val="center"/>
          </w:tcPr>
          <w:p w14:paraId="13195D76">
            <w:pPr>
              <w:pageBreakBefore w:val="0"/>
              <w:widowControl/>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有效期</w:t>
            </w:r>
          </w:p>
        </w:tc>
      </w:tr>
      <w:tr w14:paraId="55847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14A9E24E">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7D473E6C">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608C41A9">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2D5E9298">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69EDA565">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r>
      <w:tr w14:paraId="1EEFF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5FFD1660">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24B80149">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01507457">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1179EAFE">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3BC37A77">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r>
      <w:tr w14:paraId="34553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21244380">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759D1FC9">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503A79B5">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375693B1">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5F767A0C">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r>
      <w:tr w14:paraId="67ECA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restart"/>
            <w:tcBorders>
              <w:top w:val="single" w:color="auto" w:sz="4" w:space="0"/>
              <w:left w:val="single" w:color="auto" w:sz="4" w:space="0"/>
              <w:right w:val="single" w:color="auto" w:sz="4" w:space="0"/>
            </w:tcBorders>
            <w:vAlign w:val="center"/>
          </w:tcPr>
          <w:p w14:paraId="1120D501">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所获荣誉</w:t>
            </w:r>
          </w:p>
        </w:tc>
        <w:tc>
          <w:tcPr>
            <w:tcW w:w="1705" w:type="dxa"/>
            <w:tcBorders>
              <w:top w:val="single" w:color="auto" w:sz="4" w:space="0"/>
              <w:left w:val="single" w:color="auto" w:sz="4" w:space="0"/>
              <w:bottom w:val="single" w:color="auto" w:sz="4" w:space="0"/>
              <w:right w:val="single" w:color="auto" w:sz="4" w:space="0"/>
            </w:tcBorders>
            <w:vAlign w:val="center"/>
          </w:tcPr>
          <w:p w14:paraId="40F77A1E">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荣誉名称</w:t>
            </w: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257AE152">
            <w:pPr>
              <w:pageBreakBefore w:val="0"/>
              <w:widowControl/>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颁发部门</w:t>
            </w:r>
          </w:p>
        </w:tc>
        <w:tc>
          <w:tcPr>
            <w:tcW w:w="1400" w:type="dxa"/>
            <w:tcBorders>
              <w:top w:val="single" w:color="auto" w:sz="4" w:space="0"/>
              <w:left w:val="single" w:color="auto" w:sz="4" w:space="0"/>
              <w:bottom w:val="single" w:color="auto" w:sz="4" w:space="0"/>
              <w:right w:val="single" w:color="auto" w:sz="4" w:space="0"/>
            </w:tcBorders>
            <w:vAlign w:val="center"/>
          </w:tcPr>
          <w:p w14:paraId="347BEE5A">
            <w:pPr>
              <w:pageBreakBefore w:val="0"/>
              <w:widowControl/>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颁发时间</w:t>
            </w:r>
          </w:p>
        </w:tc>
        <w:tc>
          <w:tcPr>
            <w:tcW w:w="1561" w:type="dxa"/>
            <w:tcBorders>
              <w:top w:val="single" w:color="auto" w:sz="4" w:space="0"/>
              <w:left w:val="single" w:color="auto" w:sz="4" w:space="0"/>
              <w:bottom w:val="single" w:color="auto" w:sz="4" w:space="0"/>
              <w:right w:val="single" w:color="auto" w:sz="4" w:space="0"/>
            </w:tcBorders>
            <w:vAlign w:val="center"/>
          </w:tcPr>
          <w:p w14:paraId="4090822B">
            <w:pPr>
              <w:pageBreakBefore w:val="0"/>
              <w:widowControl/>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有效期</w:t>
            </w:r>
          </w:p>
        </w:tc>
      </w:tr>
      <w:tr w14:paraId="63D49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00A321EF">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C24AAB0">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4CE1A503">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7058F17A">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0A2885D0">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r>
      <w:tr w14:paraId="3B558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01340401">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69006AD">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51134868">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374E7E41">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50E56E6E">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r>
      <w:tr w14:paraId="1C9E8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vMerge w:val="continue"/>
            <w:tcBorders>
              <w:left w:val="single" w:color="auto" w:sz="4" w:space="0"/>
              <w:right w:val="single" w:color="auto" w:sz="4" w:space="0"/>
            </w:tcBorders>
            <w:vAlign w:val="center"/>
          </w:tcPr>
          <w:p w14:paraId="2CD15877">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71A051D0">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3334" w:type="dxa"/>
            <w:gridSpan w:val="2"/>
            <w:tcBorders>
              <w:top w:val="single" w:color="auto" w:sz="4" w:space="0"/>
              <w:left w:val="single" w:color="auto" w:sz="4" w:space="0"/>
              <w:bottom w:val="single" w:color="auto" w:sz="4" w:space="0"/>
              <w:right w:val="single" w:color="auto" w:sz="4" w:space="0"/>
            </w:tcBorders>
            <w:vAlign w:val="center"/>
          </w:tcPr>
          <w:p w14:paraId="5EEEB35D">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400" w:type="dxa"/>
            <w:tcBorders>
              <w:top w:val="single" w:color="auto" w:sz="4" w:space="0"/>
              <w:left w:val="single" w:color="auto" w:sz="4" w:space="0"/>
              <w:bottom w:val="single" w:color="auto" w:sz="4" w:space="0"/>
              <w:right w:val="single" w:color="auto" w:sz="4" w:space="0"/>
            </w:tcBorders>
            <w:vAlign w:val="center"/>
          </w:tcPr>
          <w:p w14:paraId="5FB4ED2D">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c>
          <w:tcPr>
            <w:tcW w:w="1561" w:type="dxa"/>
            <w:tcBorders>
              <w:top w:val="single" w:color="auto" w:sz="4" w:space="0"/>
              <w:left w:val="single" w:color="auto" w:sz="4" w:space="0"/>
              <w:bottom w:val="single" w:color="auto" w:sz="4" w:space="0"/>
              <w:right w:val="single" w:color="auto" w:sz="4" w:space="0"/>
            </w:tcBorders>
            <w:vAlign w:val="center"/>
          </w:tcPr>
          <w:p w14:paraId="4A22B9AF">
            <w:pPr>
              <w:pageBreakBefore w:val="0"/>
              <w:kinsoku/>
              <w:wordWrap/>
              <w:overflowPunct/>
              <w:topLinePunct w:val="0"/>
              <w:bidi w:val="0"/>
              <w:spacing w:line="240" w:lineRule="auto"/>
              <w:jc w:val="center"/>
              <w:rPr>
                <w:rFonts w:hint="eastAsia" w:ascii="宋体" w:hAnsi="宋体" w:eastAsia="宋体" w:cs="宋体"/>
                <w:color w:val="auto"/>
                <w:sz w:val="24"/>
                <w:highlight w:val="none"/>
                <w:u w:val="single"/>
              </w:rPr>
            </w:pPr>
          </w:p>
        </w:tc>
      </w:tr>
      <w:tr w14:paraId="1E55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10AC9BB">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经营范围</w:t>
            </w:r>
          </w:p>
        </w:tc>
        <w:tc>
          <w:tcPr>
            <w:tcW w:w="8000" w:type="dxa"/>
            <w:gridSpan w:val="5"/>
            <w:tcBorders>
              <w:top w:val="single" w:color="auto" w:sz="4" w:space="0"/>
              <w:left w:val="single" w:color="auto" w:sz="4" w:space="0"/>
              <w:bottom w:val="single" w:color="auto" w:sz="4" w:space="0"/>
              <w:right w:val="single" w:color="auto" w:sz="4" w:space="0"/>
            </w:tcBorders>
            <w:vAlign w:val="center"/>
          </w:tcPr>
          <w:p w14:paraId="2C59E44B">
            <w:pPr>
              <w:pageBreakBefore w:val="0"/>
              <w:tabs>
                <w:tab w:val="left" w:pos="1800"/>
                <w:tab w:val="left" w:pos="1980"/>
              </w:tabs>
              <w:kinsoku/>
              <w:wordWrap/>
              <w:overflowPunct/>
              <w:topLinePunct w:val="0"/>
              <w:bidi w:val="0"/>
              <w:spacing w:line="240" w:lineRule="auto"/>
              <w:jc w:val="center"/>
              <w:rPr>
                <w:rFonts w:hint="eastAsia" w:ascii="宋体" w:hAnsi="宋体" w:eastAsia="宋体" w:cs="宋体"/>
                <w:color w:val="auto"/>
                <w:sz w:val="24"/>
                <w:highlight w:val="none"/>
              </w:rPr>
            </w:pPr>
          </w:p>
        </w:tc>
      </w:tr>
      <w:tr w14:paraId="2D616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DE3E55F">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其他</w:t>
            </w:r>
          </w:p>
        </w:tc>
        <w:tc>
          <w:tcPr>
            <w:tcW w:w="8000" w:type="dxa"/>
            <w:gridSpan w:val="5"/>
            <w:tcBorders>
              <w:top w:val="single" w:color="auto" w:sz="4" w:space="0"/>
              <w:left w:val="single" w:color="auto" w:sz="4" w:space="0"/>
              <w:bottom w:val="single" w:color="auto" w:sz="4" w:space="0"/>
              <w:right w:val="single" w:color="auto" w:sz="4" w:space="0"/>
            </w:tcBorders>
            <w:vAlign w:val="center"/>
          </w:tcPr>
          <w:p w14:paraId="539852D7">
            <w:pPr>
              <w:pageBreakBefore w:val="0"/>
              <w:kinsoku/>
              <w:wordWrap/>
              <w:overflowPunct/>
              <w:topLinePunct w:val="0"/>
              <w:bidi w:val="0"/>
              <w:spacing w:line="240" w:lineRule="auto"/>
              <w:jc w:val="center"/>
              <w:rPr>
                <w:rFonts w:hint="eastAsia" w:ascii="宋体" w:hAnsi="宋体" w:eastAsia="宋体" w:cs="宋体"/>
                <w:bCs/>
                <w:color w:val="auto"/>
                <w:sz w:val="24"/>
                <w:highlight w:val="none"/>
              </w:rPr>
            </w:pPr>
          </w:p>
        </w:tc>
      </w:tr>
    </w:tbl>
    <w:p w14:paraId="58D6CC50">
      <w:pPr>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注：1.表格内容不够,可另附页。</w:t>
      </w:r>
    </w:p>
    <w:p w14:paraId="436AE2B0">
      <w:pPr>
        <w:pStyle w:val="15"/>
        <w:rPr>
          <w:rFonts w:hint="eastAsia" w:ascii="宋体" w:hAnsi="宋体" w:eastAsia="宋体" w:cs="宋体"/>
          <w:color w:val="auto"/>
          <w:highlight w:val="none"/>
        </w:rPr>
      </w:pPr>
    </w:p>
    <w:p w14:paraId="6428252E">
      <w:pPr>
        <w:keepNext w:val="0"/>
        <w:keepLines w:val="0"/>
        <w:widowControl/>
        <w:suppressLineNumbers w:val="0"/>
        <w:spacing w:line="360" w:lineRule="auto"/>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投标人名称(盖公章)： </w:t>
      </w:r>
    </w:p>
    <w:p w14:paraId="16772624">
      <w:pPr>
        <w:keepNext w:val="0"/>
        <w:keepLines w:val="0"/>
        <w:widowControl/>
        <w:suppressLineNumbers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日期： 年 月 日</w:t>
      </w:r>
    </w:p>
    <w:p w14:paraId="172AAA74">
      <w:pPr>
        <w:pStyle w:val="16"/>
        <w:rPr>
          <w:rFonts w:hint="eastAsia" w:ascii="宋体" w:hAnsi="宋体" w:eastAsia="宋体" w:cs="宋体"/>
          <w:color w:val="auto"/>
          <w:highlight w:val="none"/>
        </w:rPr>
      </w:pPr>
    </w:p>
    <w:p w14:paraId="1C94A08F">
      <w:pPr>
        <w:rPr>
          <w:rFonts w:hint="eastAsia" w:ascii="宋体" w:hAnsi="宋体" w:eastAsia="宋体" w:cs="宋体"/>
          <w:color w:val="auto"/>
          <w:highlight w:val="none"/>
        </w:rPr>
      </w:pPr>
    </w:p>
    <w:p w14:paraId="281C9618">
      <w:pPr>
        <w:pStyle w:val="16"/>
        <w:rPr>
          <w:rFonts w:hint="eastAsia" w:ascii="宋体" w:hAnsi="宋体" w:eastAsia="宋体" w:cs="宋体"/>
          <w:color w:val="auto"/>
          <w:highlight w:val="none"/>
        </w:rPr>
      </w:pPr>
    </w:p>
    <w:p w14:paraId="5903CDC9">
      <w:pPr>
        <w:pStyle w:val="6"/>
        <w:pageBreakBefore w:val="0"/>
        <w:kinsoku/>
        <w:wordWrap/>
        <w:overflowPunct/>
        <w:topLinePunct w:val="0"/>
        <w:bidi w:val="0"/>
        <w:spacing w:line="240" w:lineRule="auto"/>
        <w:rPr>
          <w:rFonts w:hint="eastAsia" w:ascii="宋体" w:hAnsi="宋体" w:eastAsia="宋体" w:cs="宋体"/>
          <w:bCs/>
          <w:color w:val="auto"/>
          <w:highlight w:val="none"/>
        </w:rPr>
      </w:pPr>
      <w:r>
        <w:rPr>
          <w:rFonts w:hint="eastAsia" w:ascii="宋体" w:hAnsi="宋体" w:eastAsia="宋体" w:cs="宋体"/>
          <w:bCs/>
          <w:color w:val="auto"/>
          <w:highlight w:val="none"/>
        </w:rPr>
        <w:t>附件1</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 拟派人员一览表： </w:t>
      </w:r>
    </w:p>
    <w:p w14:paraId="167ACF0C">
      <w:pPr>
        <w:pStyle w:val="49"/>
        <w:pageBreakBefore w:val="0"/>
        <w:kinsoku/>
        <w:wordWrap/>
        <w:overflowPunct/>
        <w:topLinePunct w:val="0"/>
        <w:bidi w:val="0"/>
        <w:spacing w:line="240" w:lineRule="auto"/>
        <w:ind w:firstLine="642"/>
        <w:rPr>
          <w:rFonts w:hint="eastAsia" w:ascii="宋体" w:hAnsi="宋体" w:eastAsia="宋体" w:cs="宋体"/>
          <w:bCs/>
          <w:color w:val="auto"/>
          <w:highlight w:val="none"/>
        </w:rPr>
      </w:pPr>
    </w:p>
    <w:p w14:paraId="71AEF0B0">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lang w:val="en-US" w:eastAsia="zh-CN"/>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lang w:val="en-US" w:eastAsia="zh-CN"/>
          <w14:textOutline w14:w="3175" w14:cap="flat" w14:cmpd="sng" w14:algn="ctr">
            <w14:solidFill>
              <w14:schemeClr w14:val="tx1"/>
            </w14:solidFill>
            <w14:prstDash w14:val="solid"/>
            <w14:round/>
          </w14:textOutline>
        </w:rPr>
        <w:t>拟派人员一览表</w:t>
      </w:r>
    </w:p>
    <w:p w14:paraId="7EDF8FAB">
      <w:pPr>
        <w:pStyle w:val="6"/>
        <w:pageBreakBefore w:val="0"/>
        <w:kinsoku/>
        <w:wordWrap/>
        <w:overflowPunct/>
        <w:topLinePunct w:val="0"/>
        <w:bidi w:val="0"/>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天台县森林草地湿地普查工作</w:t>
      </w:r>
      <w:r>
        <w:rPr>
          <w:rFonts w:hint="eastAsia" w:ascii="宋体" w:hAnsi="宋体" w:eastAsia="宋体" w:cs="宋体"/>
          <w:color w:val="auto"/>
          <w:sz w:val="24"/>
          <w:highlight w:val="none"/>
        </w:rPr>
        <w:t xml:space="preserve">                                                         项目编号： </w:t>
      </w:r>
      <w:r>
        <w:rPr>
          <w:rFonts w:hint="eastAsia" w:hAnsi="宋体" w:cs="宋体"/>
          <w:color w:val="auto"/>
          <w:sz w:val="24"/>
          <w:highlight w:val="none"/>
          <w:lang w:eastAsia="zh-CN"/>
        </w:rPr>
        <w:t>TCCG-2025-Z006</w:t>
      </w:r>
    </w:p>
    <w:tbl>
      <w:tblPr>
        <w:tblStyle w:val="3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86"/>
        <w:gridCol w:w="922"/>
        <w:gridCol w:w="1045"/>
        <w:gridCol w:w="1082"/>
        <w:gridCol w:w="1238"/>
        <w:gridCol w:w="1650"/>
        <w:gridCol w:w="1257"/>
        <w:gridCol w:w="858"/>
      </w:tblGrid>
      <w:tr w14:paraId="226E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28B1E961">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86" w:type="dxa"/>
            <w:tcBorders>
              <w:tl2br w:val="nil"/>
              <w:tr2bl w:val="nil"/>
            </w:tcBorders>
            <w:vAlign w:val="center"/>
          </w:tcPr>
          <w:p w14:paraId="1E57685F">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22" w:type="dxa"/>
            <w:tcBorders>
              <w:tl2br w:val="nil"/>
              <w:tr2bl w:val="nil"/>
            </w:tcBorders>
            <w:vAlign w:val="center"/>
          </w:tcPr>
          <w:p w14:paraId="7EECDCB3">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045" w:type="dxa"/>
            <w:tcBorders>
              <w:tl2br w:val="nil"/>
              <w:tr2bl w:val="nil"/>
            </w:tcBorders>
            <w:vAlign w:val="center"/>
          </w:tcPr>
          <w:p w14:paraId="0BD2111A">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2" w:type="dxa"/>
            <w:tcBorders>
              <w:tl2br w:val="nil"/>
              <w:tr2bl w:val="nil"/>
            </w:tcBorders>
            <w:vAlign w:val="center"/>
          </w:tcPr>
          <w:p w14:paraId="0B4CC816">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38" w:type="dxa"/>
            <w:tcBorders>
              <w:tl2br w:val="nil"/>
              <w:tr2bl w:val="nil"/>
            </w:tcBorders>
            <w:vAlign w:val="center"/>
          </w:tcPr>
          <w:p w14:paraId="21D5C962">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w:t>
            </w:r>
          </w:p>
        </w:tc>
        <w:tc>
          <w:tcPr>
            <w:tcW w:w="1650" w:type="dxa"/>
            <w:tcBorders>
              <w:tl2br w:val="nil"/>
              <w:tr2bl w:val="nil"/>
            </w:tcBorders>
            <w:vAlign w:val="center"/>
          </w:tcPr>
          <w:p w14:paraId="79E4368D">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从事类似服务简历、年限</w:t>
            </w:r>
          </w:p>
        </w:tc>
        <w:tc>
          <w:tcPr>
            <w:tcW w:w="1257" w:type="dxa"/>
            <w:tcBorders>
              <w:tl2br w:val="nil"/>
              <w:tr2bl w:val="nil"/>
            </w:tcBorders>
            <w:vAlign w:val="center"/>
          </w:tcPr>
          <w:p w14:paraId="72815F44">
            <w:pPr>
              <w:pageBreakBefore w:val="0"/>
              <w:kinsoku/>
              <w:wordWrap/>
              <w:overflowPunct/>
              <w:topLinePunct w:val="0"/>
              <w:bidi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拟任职务</w:t>
            </w:r>
          </w:p>
        </w:tc>
        <w:tc>
          <w:tcPr>
            <w:tcW w:w="858" w:type="dxa"/>
            <w:tcBorders>
              <w:tl2br w:val="nil"/>
              <w:tr2bl w:val="nil"/>
            </w:tcBorders>
            <w:vAlign w:val="center"/>
          </w:tcPr>
          <w:p w14:paraId="6DAB1AFD">
            <w:pPr>
              <w:pageBreakBefore w:val="0"/>
              <w:kinsoku/>
              <w:wordWrap/>
              <w:overflowPunct/>
              <w:topLinePunct w:val="0"/>
              <w:bidi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EEA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0E82A106">
            <w:pPr>
              <w:pageBreakBefore w:val="0"/>
              <w:kinsoku/>
              <w:wordWrap/>
              <w:overflowPunct/>
              <w:topLinePunct w:val="0"/>
              <w:bidi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886" w:type="dxa"/>
            <w:tcBorders>
              <w:tl2br w:val="nil"/>
              <w:tr2bl w:val="nil"/>
            </w:tcBorders>
            <w:vAlign w:val="center"/>
          </w:tcPr>
          <w:p w14:paraId="5A64693B">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922" w:type="dxa"/>
            <w:tcBorders>
              <w:tl2br w:val="nil"/>
              <w:tr2bl w:val="nil"/>
            </w:tcBorders>
            <w:vAlign w:val="center"/>
          </w:tcPr>
          <w:p w14:paraId="36E527B0">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45" w:type="dxa"/>
            <w:tcBorders>
              <w:tl2br w:val="nil"/>
              <w:tr2bl w:val="nil"/>
            </w:tcBorders>
            <w:vAlign w:val="center"/>
          </w:tcPr>
          <w:p w14:paraId="04FFAC96">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82" w:type="dxa"/>
            <w:tcBorders>
              <w:tl2br w:val="nil"/>
              <w:tr2bl w:val="nil"/>
            </w:tcBorders>
            <w:vAlign w:val="center"/>
          </w:tcPr>
          <w:p w14:paraId="39A7B40E">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38" w:type="dxa"/>
            <w:tcBorders>
              <w:tl2br w:val="nil"/>
              <w:tr2bl w:val="nil"/>
            </w:tcBorders>
            <w:vAlign w:val="center"/>
          </w:tcPr>
          <w:p w14:paraId="55744E0D">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650" w:type="dxa"/>
            <w:tcBorders>
              <w:tl2br w:val="nil"/>
              <w:tr2bl w:val="nil"/>
            </w:tcBorders>
            <w:vAlign w:val="center"/>
          </w:tcPr>
          <w:p w14:paraId="28AACBB8">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57" w:type="dxa"/>
            <w:tcBorders>
              <w:tl2br w:val="nil"/>
              <w:tr2bl w:val="nil"/>
            </w:tcBorders>
            <w:vAlign w:val="center"/>
          </w:tcPr>
          <w:p w14:paraId="3744B9C8">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858" w:type="dxa"/>
            <w:tcBorders>
              <w:tl2br w:val="nil"/>
              <w:tr2bl w:val="nil"/>
            </w:tcBorders>
            <w:vAlign w:val="center"/>
          </w:tcPr>
          <w:p w14:paraId="6F690CB2">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r>
      <w:tr w14:paraId="38DF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1969E050">
            <w:pPr>
              <w:pageBreakBefore w:val="0"/>
              <w:kinsoku/>
              <w:wordWrap/>
              <w:overflowPunct/>
              <w:topLinePunct w:val="0"/>
              <w:bidi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886" w:type="dxa"/>
            <w:tcBorders>
              <w:tl2br w:val="nil"/>
              <w:tr2bl w:val="nil"/>
            </w:tcBorders>
            <w:vAlign w:val="center"/>
          </w:tcPr>
          <w:p w14:paraId="06981412">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922" w:type="dxa"/>
            <w:tcBorders>
              <w:tl2br w:val="nil"/>
              <w:tr2bl w:val="nil"/>
            </w:tcBorders>
            <w:vAlign w:val="center"/>
          </w:tcPr>
          <w:p w14:paraId="2F6F681A">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45" w:type="dxa"/>
            <w:tcBorders>
              <w:tl2br w:val="nil"/>
              <w:tr2bl w:val="nil"/>
            </w:tcBorders>
            <w:vAlign w:val="center"/>
          </w:tcPr>
          <w:p w14:paraId="56AEBE88">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82" w:type="dxa"/>
            <w:tcBorders>
              <w:tl2br w:val="nil"/>
              <w:tr2bl w:val="nil"/>
            </w:tcBorders>
            <w:vAlign w:val="center"/>
          </w:tcPr>
          <w:p w14:paraId="3DED0296">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38" w:type="dxa"/>
            <w:tcBorders>
              <w:tl2br w:val="nil"/>
              <w:tr2bl w:val="nil"/>
            </w:tcBorders>
            <w:vAlign w:val="center"/>
          </w:tcPr>
          <w:p w14:paraId="08D9C938">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650" w:type="dxa"/>
            <w:tcBorders>
              <w:tl2br w:val="nil"/>
              <w:tr2bl w:val="nil"/>
            </w:tcBorders>
            <w:vAlign w:val="center"/>
          </w:tcPr>
          <w:p w14:paraId="4C061CF5">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57" w:type="dxa"/>
            <w:tcBorders>
              <w:tl2br w:val="nil"/>
              <w:tr2bl w:val="nil"/>
            </w:tcBorders>
            <w:vAlign w:val="center"/>
          </w:tcPr>
          <w:p w14:paraId="11ED57E2">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858" w:type="dxa"/>
            <w:tcBorders>
              <w:tl2br w:val="nil"/>
              <w:tr2bl w:val="nil"/>
            </w:tcBorders>
            <w:vAlign w:val="center"/>
          </w:tcPr>
          <w:p w14:paraId="4532A7EB">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r>
      <w:tr w14:paraId="72EA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4C82B672">
            <w:pPr>
              <w:pageBreakBefore w:val="0"/>
              <w:kinsoku/>
              <w:wordWrap/>
              <w:overflowPunct/>
              <w:topLinePunct w:val="0"/>
              <w:bidi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86" w:type="dxa"/>
            <w:tcBorders>
              <w:tl2br w:val="nil"/>
              <w:tr2bl w:val="nil"/>
            </w:tcBorders>
            <w:vAlign w:val="center"/>
          </w:tcPr>
          <w:p w14:paraId="0DC94D85">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922" w:type="dxa"/>
            <w:tcBorders>
              <w:tl2br w:val="nil"/>
              <w:tr2bl w:val="nil"/>
            </w:tcBorders>
            <w:vAlign w:val="center"/>
          </w:tcPr>
          <w:p w14:paraId="6077572F">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45" w:type="dxa"/>
            <w:tcBorders>
              <w:tl2br w:val="nil"/>
              <w:tr2bl w:val="nil"/>
            </w:tcBorders>
            <w:vAlign w:val="center"/>
          </w:tcPr>
          <w:p w14:paraId="47268E44">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82" w:type="dxa"/>
            <w:tcBorders>
              <w:tl2br w:val="nil"/>
              <w:tr2bl w:val="nil"/>
            </w:tcBorders>
            <w:vAlign w:val="center"/>
          </w:tcPr>
          <w:p w14:paraId="58671CA8">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38" w:type="dxa"/>
            <w:tcBorders>
              <w:tl2br w:val="nil"/>
              <w:tr2bl w:val="nil"/>
            </w:tcBorders>
            <w:vAlign w:val="center"/>
          </w:tcPr>
          <w:p w14:paraId="6A3692B2">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650" w:type="dxa"/>
            <w:tcBorders>
              <w:tl2br w:val="nil"/>
              <w:tr2bl w:val="nil"/>
            </w:tcBorders>
            <w:vAlign w:val="center"/>
          </w:tcPr>
          <w:p w14:paraId="07ACD954">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57" w:type="dxa"/>
            <w:tcBorders>
              <w:tl2br w:val="nil"/>
              <w:tr2bl w:val="nil"/>
            </w:tcBorders>
            <w:vAlign w:val="center"/>
          </w:tcPr>
          <w:p w14:paraId="5761422E">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858" w:type="dxa"/>
            <w:tcBorders>
              <w:tl2br w:val="nil"/>
              <w:tr2bl w:val="nil"/>
            </w:tcBorders>
            <w:vAlign w:val="center"/>
          </w:tcPr>
          <w:p w14:paraId="617750DE">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r>
      <w:tr w14:paraId="12B4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333C286F">
            <w:pPr>
              <w:pageBreakBefore w:val="0"/>
              <w:kinsoku/>
              <w:wordWrap/>
              <w:overflowPunct/>
              <w:topLinePunct w:val="0"/>
              <w:bidi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18"/>
                <w:szCs w:val="18"/>
                <w:highlight w:val="none"/>
                <w:lang w:eastAsia="zh-CN"/>
              </w:rPr>
              <w:t>……</w:t>
            </w:r>
          </w:p>
        </w:tc>
        <w:tc>
          <w:tcPr>
            <w:tcW w:w="886" w:type="dxa"/>
            <w:tcBorders>
              <w:tl2br w:val="nil"/>
              <w:tr2bl w:val="nil"/>
            </w:tcBorders>
            <w:vAlign w:val="center"/>
          </w:tcPr>
          <w:p w14:paraId="6C4DCB5F">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922" w:type="dxa"/>
            <w:tcBorders>
              <w:tl2br w:val="nil"/>
              <w:tr2bl w:val="nil"/>
            </w:tcBorders>
            <w:vAlign w:val="center"/>
          </w:tcPr>
          <w:p w14:paraId="25071F0B">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45" w:type="dxa"/>
            <w:tcBorders>
              <w:tl2br w:val="nil"/>
              <w:tr2bl w:val="nil"/>
            </w:tcBorders>
            <w:vAlign w:val="center"/>
          </w:tcPr>
          <w:p w14:paraId="4DA80462">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82" w:type="dxa"/>
            <w:tcBorders>
              <w:tl2br w:val="nil"/>
              <w:tr2bl w:val="nil"/>
            </w:tcBorders>
            <w:vAlign w:val="center"/>
          </w:tcPr>
          <w:p w14:paraId="726714AD">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38" w:type="dxa"/>
            <w:tcBorders>
              <w:tl2br w:val="nil"/>
              <w:tr2bl w:val="nil"/>
            </w:tcBorders>
            <w:vAlign w:val="center"/>
          </w:tcPr>
          <w:p w14:paraId="1838D5C2">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650" w:type="dxa"/>
            <w:tcBorders>
              <w:tl2br w:val="nil"/>
              <w:tr2bl w:val="nil"/>
            </w:tcBorders>
            <w:vAlign w:val="center"/>
          </w:tcPr>
          <w:p w14:paraId="2717DE17">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57" w:type="dxa"/>
            <w:tcBorders>
              <w:tl2br w:val="nil"/>
              <w:tr2bl w:val="nil"/>
            </w:tcBorders>
            <w:vAlign w:val="center"/>
          </w:tcPr>
          <w:p w14:paraId="2211CA99">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858" w:type="dxa"/>
            <w:tcBorders>
              <w:tl2br w:val="nil"/>
              <w:tr2bl w:val="nil"/>
            </w:tcBorders>
            <w:vAlign w:val="center"/>
          </w:tcPr>
          <w:p w14:paraId="08C9BA0B">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r>
      <w:tr w14:paraId="5BA0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tcBorders>
              <w:tl2br w:val="nil"/>
              <w:tr2bl w:val="nil"/>
            </w:tcBorders>
            <w:vAlign w:val="center"/>
          </w:tcPr>
          <w:p w14:paraId="4293E990">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886" w:type="dxa"/>
            <w:tcBorders>
              <w:tl2br w:val="nil"/>
              <w:tr2bl w:val="nil"/>
            </w:tcBorders>
            <w:vAlign w:val="center"/>
          </w:tcPr>
          <w:p w14:paraId="51F9D9A1">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922" w:type="dxa"/>
            <w:tcBorders>
              <w:tl2br w:val="nil"/>
              <w:tr2bl w:val="nil"/>
            </w:tcBorders>
            <w:vAlign w:val="center"/>
          </w:tcPr>
          <w:p w14:paraId="10753BA8">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45" w:type="dxa"/>
            <w:tcBorders>
              <w:tl2br w:val="nil"/>
              <w:tr2bl w:val="nil"/>
            </w:tcBorders>
            <w:vAlign w:val="center"/>
          </w:tcPr>
          <w:p w14:paraId="40F9778E">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082" w:type="dxa"/>
            <w:tcBorders>
              <w:tl2br w:val="nil"/>
              <w:tr2bl w:val="nil"/>
            </w:tcBorders>
            <w:vAlign w:val="center"/>
          </w:tcPr>
          <w:p w14:paraId="25216A4F">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38" w:type="dxa"/>
            <w:tcBorders>
              <w:tl2br w:val="nil"/>
              <w:tr2bl w:val="nil"/>
            </w:tcBorders>
            <w:vAlign w:val="center"/>
          </w:tcPr>
          <w:p w14:paraId="6FAB2C4B">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650" w:type="dxa"/>
            <w:tcBorders>
              <w:tl2br w:val="nil"/>
              <w:tr2bl w:val="nil"/>
            </w:tcBorders>
            <w:vAlign w:val="center"/>
          </w:tcPr>
          <w:p w14:paraId="5371D889">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1257" w:type="dxa"/>
            <w:tcBorders>
              <w:tl2br w:val="nil"/>
              <w:tr2bl w:val="nil"/>
            </w:tcBorders>
            <w:vAlign w:val="center"/>
          </w:tcPr>
          <w:p w14:paraId="604AF114">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c>
          <w:tcPr>
            <w:tcW w:w="858" w:type="dxa"/>
            <w:tcBorders>
              <w:tl2br w:val="nil"/>
              <w:tr2bl w:val="nil"/>
            </w:tcBorders>
            <w:vAlign w:val="center"/>
          </w:tcPr>
          <w:p w14:paraId="70099F47">
            <w:pPr>
              <w:pageBreakBefore w:val="0"/>
              <w:kinsoku/>
              <w:wordWrap/>
              <w:overflowPunct/>
              <w:topLinePunct w:val="0"/>
              <w:bidi w:val="0"/>
              <w:spacing w:line="240" w:lineRule="auto"/>
              <w:jc w:val="center"/>
              <w:rPr>
                <w:rFonts w:hint="eastAsia" w:ascii="宋体" w:hAnsi="宋体" w:eastAsia="宋体" w:cs="宋体"/>
                <w:color w:val="auto"/>
                <w:sz w:val="24"/>
                <w:highlight w:val="none"/>
              </w:rPr>
            </w:pPr>
          </w:p>
        </w:tc>
      </w:tr>
    </w:tbl>
    <w:p w14:paraId="55364B94">
      <w:pPr>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注：1.此表仅提供了表格形式，供应商可按此表格复制。</w:t>
      </w:r>
    </w:p>
    <w:p w14:paraId="04B6202B">
      <w:pPr>
        <w:pStyle w:val="41"/>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2.</w:t>
      </w:r>
      <w:r>
        <w:rPr>
          <w:rFonts w:hint="eastAsia" w:ascii="宋体" w:hAnsi="宋体" w:eastAsia="宋体" w:cs="宋体"/>
          <w:b/>
          <w:bCs/>
          <w:color w:val="auto"/>
          <w:sz w:val="24"/>
          <w:highlight w:val="none"/>
          <w:lang w:val="en-US" w:eastAsia="zh-CN"/>
        </w:rPr>
        <w:t>后附相应的证明材料并加盖公章。（可根据评分标准提供）</w:t>
      </w:r>
    </w:p>
    <w:p w14:paraId="0E5B093F">
      <w:pPr>
        <w:pageBreakBefore w:val="0"/>
        <w:kinsoku/>
        <w:wordWrap/>
        <w:overflowPunct/>
        <w:topLinePunct w:val="0"/>
        <w:bidi w:val="0"/>
        <w:spacing w:line="240" w:lineRule="auto"/>
        <w:rPr>
          <w:rFonts w:hint="eastAsia" w:ascii="宋体" w:hAnsi="宋体" w:eastAsia="宋体" w:cs="宋体"/>
          <w:color w:val="auto"/>
          <w:sz w:val="24"/>
          <w:highlight w:val="none"/>
        </w:rPr>
      </w:pPr>
    </w:p>
    <w:p w14:paraId="4B787FE8">
      <w:pPr>
        <w:pageBreakBefore w:val="0"/>
        <w:kinsoku/>
        <w:wordWrap/>
        <w:overflowPunct/>
        <w:topLinePunct w:val="0"/>
        <w:bidi w:val="0"/>
        <w:spacing w:line="240" w:lineRule="auto"/>
        <w:jc w:val="right"/>
        <w:rPr>
          <w:rFonts w:hint="eastAsia" w:ascii="宋体" w:hAnsi="宋体" w:eastAsia="宋体" w:cs="宋体"/>
          <w:color w:val="auto"/>
          <w:sz w:val="24"/>
          <w:highlight w:val="none"/>
        </w:rPr>
      </w:pPr>
    </w:p>
    <w:p w14:paraId="656C6ADA">
      <w:pPr>
        <w:pageBreakBefore w:val="0"/>
        <w:kinsoku/>
        <w:wordWrap/>
        <w:overflowPunct/>
        <w:topLinePunct w:val="0"/>
        <w:bidi w:val="0"/>
        <w:spacing w:line="240" w:lineRule="auto"/>
        <w:ind w:firstLine="4680" w:firstLineChars="19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7DE939B6">
      <w:pPr>
        <w:pageBreakBefore w:val="0"/>
        <w:kinsoku/>
        <w:wordWrap/>
        <w:overflowPunct/>
        <w:topLinePunct w:val="0"/>
        <w:bidi w:val="0"/>
        <w:spacing w:line="240" w:lineRule="auto"/>
        <w:ind w:firstLine="1980" w:firstLineChars="825"/>
        <w:jc w:val="right"/>
        <w:rPr>
          <w:rFonts w:hint="eastAsia" w:ascii="宋体" w:hAnsi="宋体" w:eastAsia="宋体" w:cs="宋体"/>
          <w:color w:val="auto"/>
          <w:sz w:val="24"/>
          <w:highlight w:val="none"/>
          <w:u w:val="single"/>
        </w:rPr>
      </w:pPr>
    </w:p>
    <w:p w14:paraId="03379806">
      <w:pPr>
        <w:pageBreakBefore w:val="0"/>
        <w:kinsoku/>
        <w:wordWrap/>
        <w:overflowPunct/>
        <w:topLinePunct w:val="0"/>
        <w:bidi w:val="0"/>
        <w:spacing w:line="240" w:lineRule="auto"/>
        <w:ind w:firstLine="2760" w:firstLineChars="1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i w:val="0"/>
          <w:iCs/>
          <w:color w:val="auto"/>
          <w:sz w:val="24"/>
          <w:highlight w:val="none"/>
        </w:rPr>
        <w:t>（负责人）</w:t>
      </w:r>
      <w:r>
        <w:rPr>
          <w:rFonts w:hint="eastAsia" w:ascii="宋体" w:hAnsi="宋体" w:eastAsia="宋体" w:cs="宋体"/>
          <w:color w:val="auto"/>
          <w:sz w:val="24"/>
          <w:highlight w:val="none"/>
        </w:rPr>
        <w:t>或授权代表：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4E33DAF4">
      <w:pPr>
        <w:pageBreakBefore w:val="0"/>
        <w:kinsoku/>
        <w:wordWrap/>
        <w:overflowPunct/>
        <w:topLinePunct w:val="0"/>
        <w:bidi w:val="0"/>
        <w:spacing w:line="240" w:lineRule="auto"/>
        <w:jc w:val="right"/>
        <w:rPr>
          <w:rFonts w:hint="eastAsia" w:ascii="宋体" w:hAnsi="宋体" w:eastAsia="宋体" w:cs="宋体"/>
          <w:color w:val="auto"/>
          <w:sz w:val="24"/>
          <w:highlight w:val="none"/>
        </w:rPr>
      </w:pPr>
    </w:p>
    <w:p w14:paraId="27B50850">
      <w:pPr>
        <w:pageBreakBefore w:val="0"/>
        <w:kinsoku/>
        <w:wordWrap/>
        <w:overflowPunct/>
        <w:topLinePunct w:val="0"/>
        <w:bidi w:val="0"/>
        <w:spacing w:line="24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674E5B1">
      <w:pPr>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p>
    <w:p w14:paraId="2AB7782A">
      <w:pPr>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p>
    <w:p w14:paraId="0C089ED8">
      <w:pPr>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p>
    <w:p w14:paraId="3E124D44">
      <w:pPr>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p>
    <w:p w14:paraId="32223F3E">
      <w:pPr>
        <w:pStyle w:val="15"/>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5010E9FB">
      <w:pPr>
        <w:pStyle w:val="49"/>
        <w:pageBreakBefore w:val="0"/>
        <w:kinsoku/>
        <w:wordWrap/>
        <w:overflowPunct/>
        <w:topLinePunct w:val="0"/>
        <w:bidi w:val="0"/>
        <w:spacing w:line="240" w:lineRule="auto"/>
        <w:ind w:firstLine="440"/>
        <w:rPr>
          <w:rFonts w:hint="eastAsia" w:ascii="宋体" w:hAnsi="宋体" w:eastAsia="宋体" w:cs="宋体"/>
          <w:color w:val="auto"/>
          <w:sz w:val="22"/>
          <w:highlight w:val="none"/>
        </w:rPr>
      </w:pPr>
    </w:p>
    <w:p w14:paraId="6802C7C3">
      <w:pPr>
        <w:pStyle w:val="49"/>
        <w:pageBreakBefore w:val="0"/>
        <w:kinsoku/>
        <w:wordWrap/>
        <w:overflowPunct/>
        <w:topLinePunct w:val="0"/>
        <w:bidi w:val="0"/>
        <w:spacing w:line="240" w:lineRule="auto"/>
        <w:ind w:firstLine="440"/>
        <w:rPr>
          <w:rFonts w:hint="eastAsia" w:ascii="宋体" w:hAnsi="宋体" w:eastAsia="宋体" w:cs="宋体"/>
          <w:color w:val="auto"/>
          <w:sz w:val="22"/>
          <w:highlight w:val="none"/>
        </w:rPr>
      </w:pPr>
    </w:p>
    <w:p w14:paraId="751DC567">
      <w:pPr>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21E9AF48">
      <w:pPr>
        <w:pStyle w:val="41"/>
        <w:pageBreakBefore w:val="0"/>
        <w:kinsoku/>
        <w:wordWrap/>
        <w:overflowPunct/>
        <w:topLinePunct w:val="0"/>
        <w:bidi w:val="0"/>
        <w:spacing w:line="240" w:lineRule="auto"/>
        <w:rPr>
          <w:rFonts w:hint="eastAsia" w:ascii="宋体" w:hAnsi="宋体" w:eastAsia="宋体" w:cs="宋体"/>
          <w:color w:val="auto"/>
          <w:highlight w:val="none"/>
        </w:rPr>
      </w:pPr>
    </w:p>
    <w:p w14:paraId="1B37515D">
      <w:pPr>
        <w:pageBreakBefore w:val="0"/>
        <w:kinsoku/>
        <w:wordWrap/>
        <w:overflowPunct/>
        <w:topLinePunct w:val="0"/>
        <w:bidi w:val="0"/>
        <w:spacing w:line="240" w:lineRule="auto"/>
        <w:jc w:val="center"/>
        <w:rPr>
          <w:rFonts w:hint="eastAsia" w:ascii="宋体" w:hAnsi="宋体" w:eastAsia="宋体" w:cs="宋体"/>
          <w:color w:val="auto"/>
          <w:sz w:val="22"/>
          <w:szCs w:val="22"/>
          <w:highlight w:val="none"/>
        </w:rPr>
      </w:pPr>
    </w:p>
    <w:p w14:paraId="69FD28C1">
      <w:pPr>
        <w:pStyle w:val="9"/>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39A8A3B5">
      <w:pPr>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7EB40B26">
      <w:pPr>
        <w:pStyle w:val="9"/>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53B5EBAD">
      <w:pPr>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1360D6C1">
      <w:pPr>
        <w:pStyle w:val="12"/>
        <w:rPr>
          <w:rFonts w:hint="eastAsia" w:ascii="宋体" w:hAnsi="宋体" w:eastAsia="宋体" w:cs="宋体"/>
          <w:color w:val="auto"/>
          <w:sz w:val="22"/>
          <w:szCs w:val="22"/>
          <w:highlight w:val="none"/>
        </w:rPr>
      </w:pPr>
    </w:p>
    <w:p w14:paraId="5087A4CC">
      <w:pPr>
        <w:rPr>
          <w:rFonts w:hint="eastAsia" w:ascii="宋体" w:hAnsi="宋体" w:eastAsia="宋体" w:cs="宋体"/>
          <w:color w:val="auto"/>
          <w:sz w:val="22"/>
          <w:szCs w:val="22"/>
          <w:highlight w:val="none"/>
        </w:rPr>
      </w:pPr>
    </w:p>
    <w:p w14:paraId="3955D561">
      <w:pPr>
        <w:pStyle w:val="12"/>
        <w:rPr>
          <w:rFonts w:hint="eastAsia" w:ascii="宋体" w:hAnsi="宋体" w:eastAsia="宋体" w:cs="宋体"/>
          <w:color w:val="auto"/>
          <w:highlight w:val="none"/>
        </w:rPr>
      </w:pPr>
    </w:p>
    <w:p w14:paraId="5D1314FE">
      <w:pPr>
        <w:pStyle w:val="46"/>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44653D1F">
      <w:pPr>
        <w:pStyle w:val="46"/>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02D65EE9">
      <w:pPr>
        <w:pStyle w:val="46"/>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73ED2997">
      <w:pPr>
        <w:pStyle w:val="46"/>
        <w:pageBreakBefore w:val="0"/>
        <w:kinsoku/>
        <w:wordWrap/>
        <w:overflowPunct/>
        <w:topLinePunct w:val="0"/>
        <w:bidi w:val="0"/>
        <w:spacing w:line="240" w:lineRule="auto"/>
        <w:rPr>
          <w:rFonts w:hint="eastAsia" w:ascii="宋体" w:hAnsi="宋体" w:eastAsia="宋体" w:cs="宋体"/>
          <w:color w:val="auto"/>
          <w:sz w:val="22"/>
          <w:szCs w:val="22"/>
          <w:highlight w:val="none"/>
        </w:rPr>
      </w:pPr>
    </w:p>
    <w:p w14:paraId="15E4A069">
      <w:pPr>
        <w:pStyle w:val="6"/>
        <w:pageBreakBefore w:val="0"/>
        <w:kinsoku/>
        <w:wordWrap/>
        <w:overflowPunct/>
        <w:topLinePunct w:val="0"/>
        <w:bidi w:val="0"/>
        <w:spacing w:line="240" w:lineRule="auto"/>
        <w:rPr>
          <w:rFonts w:hint="eastAsia" w:ascii="宋体" w:hAnsi="宋体" w:eastAsia="宋体" w:cs="宋体"/>
          <w:bCs/>
          <w:color w:val="auto"/>
          <w:highlight w:val="none"/>
        </w:rPr>
      </w:pPr>
      <w:r>
        <w:rPr>
          <w:rFonts w:hint="eastAsia" w:ascii="宋体" w:hAnsi="宋体" w:eastAsia="宋体" w:cs="宋体"/>
          <w:bCs/>
          <w:color w:val="auto"/>
          <w:highlight w:val="none"/>
        </w:rPr>
        <w:t>附件1</w:t>
      </w:r>
      <w:r>
        <w:rPr>
          <w:rFonts w:hint="eastAsia" w:ascii="宋体" w:hAnsi="宋体" w:eastAsia="宋体" w:cs="宋体"/>
          <w:bCs/>
          <w:color w:val="auto"/>
          <w:highlight w:val="none"/>
          <w:lang w:val="en-US" w:eastAsia="zh-CN"/>
        </w:rPr>
        <w:t xml:space="preserve">4 </w:t>
      </w:r>
      <w:r>
        <w:rPr>
          <w:rFonts w:hint="eastAsia" w:ascii="宋体" w:hAnsi="宋体" w:eastAsia="宋体" w:cs="宋体"/>
          <w:bCs/>
          <w:color w:val="auto"/>
          <w:highlight w:val="none"/>
          <w:lang w:eastAsia="zh-CN"/>
        </w:rPr>
        <w:t>相关业绩一览表</w:t>
      </w:r>
      <w:r>
        <w:rPr>
          <w:rFonts w:hint="eastAsia" w:ascii="宋体" w:hAnsi="宋体" w:eastAsia="宋体" w:cs="宋体"/>
          <w:bCs/>
          <w:color w:val="auto"/>
          <w:highlight w:val="none"/>
        </w:rPr>
        <w:t xml:space="preserve">： </w:t>
      </w:r>
    </w:p>
    <w:p w14:paraId="21D8C9A8">
      <w:pPr>
        <w:pStyle w:val="49"/>
        <w:pageBreakBefore w:val="0"/>
        <w:kinsoku/>
        <w:wordWrap/>
        <w:overflowPunct/>
        <w:topLinePunct w:val="0"/>
        <w:bidi w:val="0"/>
        <w:spacing w:line="240" w:lineRule="auto"/>
        <w:ind w:firstLine="642"/>
        <w:rPr>
          <w:rFonts w:hint="eastAsia" w:ascii="宋体" w:hAnsi="宋体" w:eastAsia="宋体" w:cs="宋体"/>
          <w:b/>
          <w:color w:val="auto"/>
          <w:spacing w:val="20"/>
          <w:szCs w:val="21"/>
          <w:highlight w:val="none"/>
        </w:rPr>
      </w:pPr>
    </w:p>
    <w:p w14:paraId="6C6717F6">
      <w:pPr>
        <w:pageBreakBefore w:val="0"/>
        <w:kinsoku/>
        <w:wordWrap/>
        <w:overflowPunct/>
        <w:topLinePunct w:val="0"/>
        <w:bidi w:val="0"/>
        <w:snapToGrid w:val="0"/>
        <w:spacing w:before="50" w:after="120" w:afterLines="50" w:line="240" w:lineRule="auto"/>
        <w:jc w:val="center"/>
        <w:rPr>
          <w:rFonts w:hint="eastAsia" w:ascii="宋体" w:hAnsi="宋体" w:eastAsia="宋体" w:cs="宋体"/>
          <w:b/>
          <w:color w:val="auto"/>
          <w:kern w:val="0"/>
          <w:sz w:val="30"/>
          <w:szCs w:val="30"/>
          <w:highlight w:val="none"/>
          <w:lang w:eastAsia="zh-CN"/>
          <w14:textOutline w14:w="3175" w14:cap="flat" w14:cmpd="sng" w14:algn="ctr">
            <w14:solidFill>
              <w14:schemeClr w14:val="tx1"/>
            </w14:solidFill>
            <w14:prstDash w14:val="solid"/>
            <w14:round/>
          </w14:textOutline>
        </w:rPr>
      </w:pPr>
      <w:r>
        <w:rPr>
          <w:rFonts w:hint="eastAsia" w:ascii="宋体" w:hAnsi="宋体" w:eastAsia="宋体" w:cs="宋体"/>
          <w:b/>
          <w:color w:val="auto"/>
          <w:kern w:val="0"/>
          <w:sz w:val="30"/>
          <w:szCs w:val="30"/>
          <w:highlight w:val="none"/>
          <w:lang w:eastAsia="zh-CN"/>
          <w14:textOutline w14:w="3175" w14:cap="flat" w14:cmpd="sng" w14:algn="ctr">
            <w14:solidFill>
              <w14:schemeClr w14:val="tx1"/>
            </w14:solidFill>
            <w14:prstDash w14:val="solid"/>
            <w14:round/>
          </w14:textOutline>
        </w:rPr>
        <w:t>相关业绩一览表</w:t>
      </w:r>
    </w:p>
    <w:p w14:paraId="48CEF550">
      <w:pPr>
        <w:pageBreakBefore w:val="0"/>
        <w:kinsoku/>
        <w:wordWrap/>
        <w:overflowPunct/>
        <w:topLinePunct w:val="0"/>
        <w:bidi w:val="0"/>
        <w:snapToGrid w:val="0"/>
        <w:spacing w:before="120" w:beforeLines="50" w:after="50" w:line="240"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天台县森林草地湿地普查工作</w:t>
      </w:r>
    </w:p>
    <w:p w14:paraId="2DD0D6E2">
      <w:pPr>
        <w:pStyle w:val="6"/>
        <w:pageBreakBefore w:val="0"/>
        <w:kinsoku/>
        <w:wordWrap/>
        <w:overflowPunct/>
        <w:topLinePunct w:val="0"/>
        <w:bidi w:val="0"/>
        <w:spacing w:line="240"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hAnsi="宋体" w:cs="宋体"/>
          <w:color w:val="auto"/>
          <w:sz w:val="24"/>
          <w:highlight w:val="none"/>
          <w:lang w:eastAsia="zh-CN"/>
        </w:rPr>
        <w:t>TCCG-2025-Z006</w:t>
      </w:r>
    </w:p>
    <w:tbl>
      <w:tblPr>
        <w:tblStyle w:val="31"/>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79"/>
        <w:gridCol w:w="1400"/>
        <w:gridCol w:w="1230"/>
        <w:gridCol w:w="1113"/>
        <w:gridCol w:w="2725"/>
        <w:gridCol w:w="737"/>
      </w:tblGrid>
      <w:tr w14:paraId="6120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59" w:type="dxa"/>
            <w:vAlign w:val="center"/>
          </w:tcPr>
          <w:p w14:paraId="1F60431A">
            <w:pPr>
              <w:pageBreakBefore w:val="0"/>
              <w:kinsoku/>
              <w:wordWrap/>
              <w:overflowPunct/>
              <w:topLinePunct w:val="0"/>
              <w:bidi w:val="0"/>
              <w:snapToGrid w:val="0"/>
              <w:spacing w:line="24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序号</w:t>
            </w:r>
          </w:p>
        </w:tc>
        <w:tc>
          <w:tcPr>
            <w:tcW w:w="1179" w:type="dxa"/>
            <w:vAlign w:val="center"/>
          </w:tcPr>
          <w:p w14:paraId="46808A8F">
            <w:pPr>
              <w:pageBreakBefore w:val="0"/>
              <w:kinsoku/>
              <w:wordWrap/>
              <w:overflowPunct/>
              <w:topLinePunct w:val="0"/>
              <w:bidi w:val="0"/>
              <w:snapToGrid w:val="0"/>
              <w:spacing w:line="240" w:lineRule="auto"/>
              <w:jc w:val="center"/>
              <w:rPr>
                <w:rFonts w:hint="eastAsia" w:ascii="宋体" w:hAnsi="宋体" w:eastAsia="宋体" w:cs="宋体"/>
                <w:caps/>
                <w:color w:val="auto"/>
                <w:sz w:val="24"/>
                <w:highlight w:val="none"/>
              </w:rPr>
            </w:pPr>
            <w:r>
              <w:rPr>
                <w:rFonts w:hint="eastAsia" w:ascii="宋体" w:hAnsi="宋体" w:eastAsia="宋体" w:cs="宋体"/>
                <w:color w:val="auto"/>
                <w:sz w:val="24"/>
                <w:highlight w:val="none"/>
              </w:rPr>
              <w:t>业主单位全称</w:t>
            </w:r>
          </w:p>
        </w:tc>
        <w:tc>
          <w:tcPr>
            <w:tcW w:w="1400" w:type="dxa"/>
            <w:vAlign w:val="center"/>
          </w:tcPr>
          <w:p w14:paraId="5943D869">
            <w:pPr>
              <w:pageBreakBefore w:val="0"/>
              <w:kinsoku/>
              <w:wordWrap/>
              <w:overflowPunct/>
              <w:topLinePunct w:val="0"/>
              <w:bidi w:val="0"/>
              <w:snapToGrid w:val="0"/>
              <w:spacing w:line="24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项目名称</w:t>
            </w:r>
          </w:p>
        </w:tc>
        <w:tc>
          <w:tcPr>
            <w:tcW w:w="1230" w:type="dxa"/>
            <w:vAlign w:val="center"/>
          </w:tcPr>
          <w:p w14:paraId="6A5FEE38">
            <w:pPr>
              <w:pageBreakBefore w:val="0"/>
              <w:kinsoku/>
              <w:wordWrap/>
              <w:overflowPunct/>
              <w:topLinePunct w:val="0"/>
              <w:bidi w:val="0"/>
              <w:snapToGrid w:val="0"/>
              <w:spacing w:line="24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合同金额</w:t>
            </w:r>
          </w:p>
        </w:tc>
        <w:tc>
          <w:tcPr>
            <w:tcW w:w="1113" w:type="dxa"/>
            <w:vAlign w:val="center"/>
          </w:tcPr>
          <w:p w14:paraId="28717BBE">
            <w:pPr>
              <w:pageBreakBefore w:val="0"/>
              <w:kinsoku/>
              <w:wordWrap/>
              <w:overflowPunct/>
              <w:topLinePunct w:val="0"/>
              <w:bidi w:val="0"/>
              <w:snapToGrid w:val="0"/>
              <w:spacing w:line="240" w:lineRule="auto"/>
              <w:jc w:val="center"/>
              <w:rPr>
                <w:rFonts w:hint="eastAsia" w:ascii="宋体" w:hAnsi="宋体" w:eastAsia="宋体" w:cs="宋体"/>
                <w:caps/>
                <w:color w:val="auto"/>
                <w:sz w:val="24"/>
                <w:highlight w:val="none"/>
              </w:rPr>
            </w:pPr>
            <w:r>
              <w:rPr>
                <w:rFonts w:hint="eastAsia" w:ascii="宋体" w:hAnsi="宋体" w:eastAsia="宋体" w:cs="宋体"/>
                <w:color w:val="auto"/>
                <w:sz w:val="24"/>
                <w:highlight w:val="none"/>
              </w:rPr>
              <w:t>服务期</w:t>
            </w:r>
          </w:p>
        </w:tc>
        <w:tc>
          <w:tcPr>
            <w:tcW w:w="2725" w:type="dxa"/>
            <w:vAlign w:val="center"/>
          </w:tcPr>
          <w:p w14:paraId="6E4FFE49">
            <w:pPr>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业主单位联系人及电话</w:t>
            </w:r>
          </w:p>
        </w:tc>
        <w:tc>
          <w:tcPr>
            <w:tcW w:w="737" w:type="dxa"/>
            <w:vAlign w:val="center"/>
          </w:tcPr>
          <w:p w14:paraId="08AB745A">
            <w:pPr>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446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2B655823">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79" w:type="dxa"/>
            <w:vAlign w:val="center"/>
          </w:tcPr>
          <w:p w14:paraId="2486A1F4">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400" w:type="dxa"/>
            <w:vAlign w:val="center"/>
          </w:tcPr>
          <w:p w14:paraId="77D30F61">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230" w:type="dxa"/>
            <w:vAlign w:val="center"/>
          </w:tcPr>
          <w:p w14:paraId="66F11974">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13" w:type="dxa"/>
            <w:vAlign w:val="center"/>
          </w:tcPr>
          <w:p w14:paraId="766A6455">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725" w:type="dxa"/>
            <w:vAlign w:val="center"/>
          </w:tcPr>
          <w:p w14:paraId="170FCC9C">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737" w:type="dxa"/>
            <w:vAlign w:val="center"/>
          </w:tcPr>
          <w:p w14:paraId="766CBE31">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108C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31FDD5CC">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79" w:type="dxa"/>
            <w:vAlign w:val="center"/>
          </w:tcPr>
          <w:p w14:paraId="10AAE412">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400" w:type="dxa"/>
            <w:vAlign w:val="center"/>
          </w:tcPr>
          <w:p w14:paraId="55C0AFA5">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230" w:type="dxa"/>
            <w:vAlign w:val="center"/>
          </w:tcPr>
          <w:p w14:paraId="58AE1305">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13" w:type="dxa"/>
            <w:vAlign w:val="center"/>
          </w:tcPr>
          <w:p w14:paraId="7908DFAB">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725" w:type="dxa"/>
            <w:vAlign w:val="center"/>
          </w:tcPr>
          <w:p w14:paraId="52D8D5C6">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737" w:type="dxa"/>
            <w:vAlign w:val="center"/>
          </w:tcPr>
          <w:p w14:paraId="463EC06A">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4ED5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4F317A10">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79" w:type="dxa"/>
            <w:vAlign w:val="center"/>
          </w:tcPr>
          <w:p w14:paraId="2AD8406C">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400" w:type="dxa"/>
            <w:vAlign w:val="center"/>
          </w:tcPr>
          <w:p w14:paraId="02120DCC">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230" w:type="dxa"/>
            <w:vAlign w:val="center"/>
          </w:tcPr>
          <w:p w14:paraId="2B47AD75">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13" w:type="dxa"/>
            <w:vAlign w:val="center"/>
          </w:tcPr>
          <w:p w14:paraId="4E17DCAF">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725" w:type="dxa"/>
            <w:vAlign w:val="center"/>
          </w:tcPr>
          <w:p w14:paraId="085A38C6">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737" w:type="dxa"/>
            <w:vAlign w:val="center"/>
          </w:tcPr>
          <w:p w14:paraId="347F6155">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2859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5D6287D5">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79" w:type="dxa"/>
            <w:vAlign w:val="center"/>
          </w:tcPr>
          <w:p w14:paraId="1BCFF0CD">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400" w:type="dxa"/>
            <w:vAlign w:val="center"/>
          </w:tcPr>
          <w:p w14:paraId="5874BBC6">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230" w:type="dxa"/>
            <w:vAlign w:val="center"/>
          </w:tcPr>
          <w:p w14:paraId="18418B55">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13" w:type="dxa"/>
            <w:vAlign w:val="center"/>
          </w:tcPr>
          <w:p w14:paraId="5309C804">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725" w:type="dxa"/>
            <w:vAlign w:val="center"/>
          </w:tcPr>
          <w:p w14:paraId="595053EB">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737" w:type="dxa"/>
            <w:vAlign w:val="center"/>
          </w:tcPr>
          <w:p w14:paraId="38A253D1">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6BB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05DBB553">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79" w:type="dxa"/>
            <w:vAlign w:val="center"/>
          </w:tcPr>
          <w:p w14:paraId="463FF4AE">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400" w:type="dxa"/>
            <w:vAlign w:val="center"/>
          </w:tcPr>
          <w:p w14:paraId="2F46CB2A">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230" w:type="dxa"/>
            <w:vAlign w:val="center"/>
          </w:tcPr>
          <w:p w14:paraId="67763770">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13" w:type="dxa"/>
            <w:vAlign w:val="center"/>
          </w:tcPr>
          <w:p w14:paraId="2C370A45">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725" w:type="dxa"/>
            <w:vAlign w:val="center"/>
          </w:tcPr>
          <w:p w14:paraId="2F5154A8">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737" w:type="dxa"/>
            <w:vAlign w:val="center"/>
          </w:tcPr>
          <w:p w14:paraId="37657E8E">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r w14:paraId="64F2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14:paraId="1AC1BC11">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79" w:type="dxa"/>
            <w:vAlign w:val="center"/>
          </w:tcPr>
          <w:p w14:paraId="40424E01">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400" w:type="dxa"/>
            <w:vAlign w:val="center"/>
          </w:tcPr>
          <w:p w14:paraId="2E4781CC">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230" w:type="dxa"/>
            <w:vAlign w:val="center"/>
          </w:tcPr>
          <w:p w14:paraId="4910D7D0">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1113" w:type="dxa"/>
            <w:vAlign w:val="center"/>
          </w:tcPr>
          <w:p w14:paraId="6D7097D7">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2725" w:type="dxa"/>
            <w:vAlign w:val="center"/>
          </w:tcPr>
          <w:p w14:paraId="29094806">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c>
          <w:tcPr>
            <w:tcW w:w="737" w:type="dxa"/>
            <w:vAlign w:val="center"/>
          </w:tcPr>
          <w:p w14:paraId="6D041D64">
            <w:pPr>
              <w:pageBreakBefore w:val="0"/>
              <w:kinsoku/>
              <w:wordWrap/>
              <w:overflowPunct/>
              <w:topLinePunct w:val="0"/>
              <w:bidi w:val="0"/>
              <w:snapToGrid w:val="0"/>
              <w:spacing w:line="240" w:lineRule="auto"/>
              <w:jc w:val="center"/>
              <w:rPr>
                <w:rFonts w:hint="eastAsia" w:ascii="宋体" w:hAnsi="宋体" w:eastAsia="宋体" w:cs="宋体"/>
                <w:color w:val="auto"/>
                <w:spacing w:val="20"/>
                <w:sz w:val="24"/>
                <w:highlight w:val="none"/>
              </w:rPr>
            </w:pPr>
          </w:p>
        </w:tc>
      </w:tr>
    </w:tbl>
    <w:p w14:paraId="79CF49D0">
      <w:pPr>
        <w:pStyle w:val="6"/>
        <w:pageBreakBefore w:val="0"/>
        <w:kinsoku/>
        <w:wordWrap/>
        <w:overflowPunct/>
        <w:topLinePunct w:val="0"/>
        <w:bidi w:val="0"/>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注：1.此表不提供，可视为无业绩</w:t>
      </w:r>
      <w:r>
        <w:rPr>
          <w:rFonts w:hint="eastAsia" w:ascii="宋体" w:hAnsi="宋体" w:eastAsia="宋体" w:cs="宋体"/>
          <w:color w:val="auto"/>
          <w:sz w:val="24"/>
          <w:highlight w:val="none"/>
          <w:lang w:eastAsia="zh-CN"/>
        </w:rPr>
        <w:t>；</w:t>
      </w:r>
    </w:p>
    <w:p w14:paraId="6215E6FC">
      <w:pPr>
        <w:pStyle w:val="6"/>
        <w:pageBreakBefore w:val="0"/>
        <w:kinsoku/>
        <w:wordWrap/>
        <w:overflowPunct/>
        <w:topLinePunct w:val="0"/>
        <w:bidi w:val="0"/>
        <w:spacing w:line="24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2.此表仅提供了表格形式，供应商可按此表格复制</w:t>
      </w:r>
      <w:r>
        <w:rPr>
          <w:rFonts w:hint="eastAsia" w:ascii="宋体" w:hAnsi="宋体" w:eastAsia="宋体" w:cs="宋体"/>
          <w:color w:val="auto"/>
          <w:sz w:val="24"/>
          <w:highlight w:val="none"/>
          <w:lang w:eastAsia="zh-CN"/>
        </w:rPr>
        <w:t>；</w:t>
      </w:r>
    </w:p>
    <w:p w14:paraId="60BC145E">
      <w:pPr>
        <w:pStyle w:val="6"/>
        <w:pageBreakBefore w:val="0"/>
        <w:kinsoku/>
        <w:wordWrap/>
        <w:overflowPunct/>
        <w:topLinePunct w:val="0"/>
        <w:bidi w:val="0"/>
        <w:spacing w:line="24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后附业绩合同并加盖公章，所提供材料应清晰体现合同签订时间、签署盖章等内容；</w:t>
      </w:r>
    </w:p>
    <w:p w14:paraId="0F164792">
      <w:pPr>
        <w:pStyle w:val="15"/>
        <w:pageBreakBefore w:val="0"/>
        <w:kinsoku/>
        <w:wordWrap/>
        <w:overflowPunct/>
        <w:topLinePunct w:val="0"/>
        <w:bidi w:val="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795AF9E9">
      <w:pPr>
        <w:pStyle w:val="49"/>
        <w:pageBreakBefore w:val="0"/>
        <w:kinsoku/>
        <w:wordWrap/>
        <w:overflowPunct/>
        <w:topLinePunct w:val="0"/>
        <w:bidi w:val="0"/>
        <w:spacing w:line="240" w:lineRule="auto"/>
        <w:ind w:firstLine="480"/>
        <w:jc w:val="right"/>
        <w:rPr>
          <w:rFonts w:hint="eastAsia" w:ascii="宋体" w:hAnsi="宋体" w:eastAsia="宋体" w:cs="宋体"/>
          <w:color w:val="auto"/>
          <w:sz w:val="24"/>
          <w:szCs w:val="24"/>
          <w:highlight w:val="none"/>
        </w:rPr>
      </w:pPr>
    </w:p>
    <w:p w14:paraId="3B646E5A">
      <w:pPr>
        <w:pStyle w:val="49"/>
        <w:pageBreakBefore w:val="0"/>
        <w:kinsoku/>
        <w:wordWrap/>
        <w:overflowPunct/>
        <w:topLinePunct w:val="0"/>
        <w:bidi w:val="0"/>
        <w:spacing w:line="240" w:lineRule="auto"/>
        <w:ind w:firstLine="480"/>
        <w:jc w:val="right"/>
        <w:rPr>
          <w:rFonts w:hint="eastAsia" w:ascii="宋体" w:hAnsi="宋体" w:eastAsia="宋体" w:cs="宋体"/>
          <w:color w:val="auto"/>
          <w:sz w:val="24"/>
          <w:szCs w:val="24"/>
          <w:highlight w:val="none"/>
        </w:rPr>
      </w:pPr>
    </w:p>
    <w:p w14:paraId="27CAB1B4">
      <w:pPr>
        <w:pageBreakBefore w:val="0"/>
        <w:kinsoku/>
        <w:wordWrap/>
        <w:overflowPunct/>
        <w:topLinePunct w:val="0"/>
        <w:bidi w:val="0"/>
        <w:spacing w:line="240" w:lineRule="auto"/>
        <w:ind w:firstLine="4680" w:firstLineChars="19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50B1A1B8">
      <w:pPr>
        <w:pageBreakBefore w:val="0"/>
        <w:kinsoku/>
        <w:wordWrap/>
        <w:overflowPunct/>
        <w:topLinePunct w:val="0"/>
        <w:bidi w:val="0"/>
        <w:spacing w:line="240" w:lineRule="auto"/>
        <w:ind w:firstLine="1980" w:firstLineChars="825"/>
        <w:jc w:val="right"/>
        <w:rPr>
          <w:rFonts w:hint="eastAsia" w:ascii="宋体" w:hAnsi="宋体" w:eastAsia="宋体" w:cs="宋体"/>
          <w:color w:val="auto"/>
          <w:sz w:val="24"/>
          <w:highlight w:val="none"/>
          <w:u w:val="single"/>
        </w:rPr>
      </w:pPr>
    </w:p>
    <w:p w14:paraId="0A3AA9EF">
      <w:pPr>
        <w:pageBreakBefore w:val="0"/>
        <w:kinsoku/>
        <w:wordWrap/>
        <w:overflowPunct/>
        <w:topLinePunct w:val="0"/>
        <w:bidi w:val="0"/>
        <w:spacing w:line="240" w:lineRule="auto"/>
        <w:ind w:firstLine="2760" w:firstLineChars="1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i w:val="0"/>
          <w:iCs/>
          <w:color w:val="auto"/>
          <w:sz w:val="24"/>
          <w:highlight w:val="none"/>
        </w:rPr>
        <w:t>（负责人）</w:t>
      </w:r>
      <w:r>
        <w:rPr>
          <w:rFonts w:hint="eastAsia" w:ascii="宋体" w:hAnsi="宋体" w:eastAsia="宋体" w:cs="宋体"/>
          <w:color w:val="auto"/>
          <w:sz w:val="24"/>
          <w:highlight w:val="none"/>
        </w:rPr>
        <w:t>或授权代表：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13745E8">
      <w:pPr>
        <w:pageBreakBefore w:val="0"/>
        <w:kinsoku/>
        <w:wordWrap/>
        <w:overflowPunct/>
        <w:topLinePunct w:val="0"/>
        <w:bidi w:val="0"/>
        <w:spacing w:line="240" w:lineRule="auto"/>
        <w:jc w:val="right"/>
        <w:rPr>
          <w:rFonts w:hint="eastAsia" w:ascii="宋体" w:hAnsi="宋体" w:eastAsia="宋体" w:cs="宋体"/>
          <w:color w:val="auto"/>
          <w:sz w:val="24"/>
          <w:highlight w:val="none"/>
        </w:rPr>
      </w:pPr>
    </w:p>
    <w:p w14:paraId="0A612D67">
      <w:pPr>
        <w:pageBreakBefore w:val="0"/>
        <w:kinsoku/>
        <w:wordWrap/>
        <w:overflowPunct/>
        <w:topLinePunct w:val="0"/>
        <w:bidi w:val="0"/>
        <w:spacing w:line="240" w:lineRule="auto"/>
        <w:jc w:val="right"/>
        <w:rPr>
          <w:rFonts w:hint="eastAsia" w:ascii="宋体" w:hAnsi="宋体" w:eastAsia="宋体" w:cs="宋体"/>
          <w:bCs/>
          <w:color w:val="auto"/>
          <w:highlight w:val="none"/>
        </w:rPr>
      </w:pPr>
      <w:r>
        <w:rPr>
          <w:rFonts w:hint="eastAsia" w:ascii="宋体" w:hAnsi="宋体" w:eastAsia="宋体" w:cs="宋体"/>
          <w:color w:val="auto"/>
          <w:sz w:val="24"/>
          <w:highlight w:val="none"/>
        </w:rPr>
        <w:t xml:space="preserve">                                                年    月    日</w:t>
      </w:r>
    </w:p>
    <w:p w14:paraId="5671ED01">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1591EA37">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6E56BDD8">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6AAE0A2A">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7CEBDB73">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24921FA5">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7950C858">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2E39EBAD">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3D6199F3">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139E3FAB">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7447D893">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p w14:paraId="42440CCC">
      <w:pPr>
        <w:pStyle w:val="49"/>
        <w:pageBreakBefore w:val="0"/>
        <w:kinsoku/>
        <w:wordWrap/>
        <w:overflowPunct/>
        <w:topLinePunct w:val="0"/>
        <w:bidi w:val="0"/>
        <w:spacing w:line="240" w:lineRule="auto"/>
        <w:ind w:firstLine="0" w:firstLineChars="0"/>
        <w:rPr>
          <w:rFonts w:hint="eastAsia" w:ascii="宋体" w:hAnsi="宋体" w:eastAsia="宋体" w:cs="宋体"/>
          <w:bCs/>
          <w:color w:val="auto"/>
          <w:highlight w:val="none"/>
        </w:rPr>
      </w:pPr>
    </w:p>
    <w:sectPr>
      <w:footerReference r:id="rId7" w:type="default"/>
      <w:pgSz w:w="11905" w:h="16838"/>
      <w:pgMar w:top="1440" w:right="1134" w:bottom="1440" w:left="1417" w:header="850" w:footer="850" w:gutter="0"/>
      <w:pgBorders>
        <w:top w:val="none" w:sz="0" w:space="0"/>
        <w:left w:val="none" w:sz="0" w:space="0"/>
        <w:bottom w:val="none" w:sz="0" w:space="0"/>
        <w:right w:val="none" w:sz="0" w:space="0"/>
      </w:pgBorders>
      <w:pgNumType w:fmt="decimal"/>
      <w:cols w:space="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1" w:fontKey="{AC6D19C6-2003-49E8-8A3E-514981652C8D}"/>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9F05">
    <w:pPr>
      <w:pStyle w:val="2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D074">
    <w:pPr>
      <w:pStyle w:val="23"/>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423F8F">
                          <w:pPr>
                            <w:pStyle w:val="23"/>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7423F8F">
                    <w:pPr>
                      <w:pStyle w:val="23"/>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r>
      <w:rPr>
        <w:rStyle w:val="35"/>
        <w:szCs w:val="21"/>
      </w:rPr>
      <w:tab/>
    </w:r>
    <w:r>
      <w:rPr>
        <w:rStyle w:val="35"/>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BC2D">
    <w:pPr>
      <w:pStyle w:val="2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76FA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iSD8MBAACR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Sxy1O/PL92+XHr8vPr2RZ&#10;rd5kifoANWY+BMxNw50fMH32Azoz80FFm7/IiWAc0c5XgeWQiMiP1qv1usKQwNh8QXz2+DxESG+l&#10;tyQbDY04wSIsP72HNKbOKbma8/famDJF4/5yIGb2sNz72GO20rAfJkJ7356RT4/Db6jDXafEvHOo&#10;LfaXZiPOxn4ycg0It8eEhUs/GXWEmorhpAqjaavyKvx5L1mPf9L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meJIPwwEAAJEDAAAOAAAAAAAAAAEAIAAAAB4BAABkcnMvZTJvRG9jLnhtbFBL&#10;BQYAAAAABgAGAFkBAABTBQAAAAA=&#10;">
              <v:fill on="f" focussize="0,0"/>
              <v:stroke on="f"/>
              <v:imagedata o:title=""/>
              <o:lock v:ext="edit" aspectratio="f"/>
              <v:textbox inset="0mm,0mm,0mm,0mm" style="mso-fit-shape-to-text:t;">
                <w:txbxContent>
                  <w:p w14:paraId="2876FA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6344">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0185">
    <w:pPr>
      <w:pStyle w:val="24"/>
      <w:jc w:val="right"/>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天台县森林草地湿地普查工作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BD20D"/>
    <w:multiLevelType w:val="singleLevel"/>
    <w:tmpl w:val="A6ABD20D"/>
    <w:lvl w:ilvl="0" w:tentative="0">
      <w:start w:val="1"/>
      <w:numFmt w:val="chineseCounting"/>
      <w:suff w:val="nothing"/>
      <w:lvlText w:val="（%1）"/>
      <w:lvlJc w:val="left"/>
      <w:rPr>
        <w:rFonts w:hint="eastAsia"/>
      </w:rPr>
    </w:lvl>
  </w:abstractNum>
  <w:abstractNum w:abstractNumId="1">
    <w:nsid w:val="AA228692"/>
    <w:multiLevelType w:val="singleLevel"/>
    <w:tmpl w:val="AA228692"/>
    <w:lvl w:ilvl="0" w:tentative="0">
      <w:start w:val="1"/>
      <w:numFmt w:val="decimal"/>
      <w:pStyle w:val="11"/>
      <w:lvlText w:val="%1."/>
      <w:lvlJc w:val="left"/>
      <w:pPr>
        <w:tabs>
          <w:tab w:val="left" w:pos="360"/>
        </w:tabs>
        <w:ind w:left="360" w:hanging="360"/>
      </w:pPr>
    </w:lvl>
  </w:abstractNum>
  <w:abstractNum w:abstractNumId="2">
    <w:nsid w:val="BCEE6A40"/>
    <w:multiLevelType w:val="singleLevel"/>
    <w:tmpl w:val="BCEE6A40"/>
    <w:lvl w:ilvl="0" w:tentative="0">
      <w:start w:val="1"/>
      <w:numFmt w:val="chineseCounting"/>
      <w:suff w:val="nothing"/>
      <w:lvlText w:val="（%1）"/>
      <w:lvlJc w:val="left"/>
      <w:rPr>
        <w:rFonts w:hint="eastAsia"/>
      </w:rPr>
    </w:lvl>
  </w:abstractNum>
  <w:abstractNum w:abstractNumId="3">
    <w:nsid w:val="BE584AED"/>
    <w:multiLevelType w:val="singleLevel"/>
    <w:tmpl w:val="BE584AED"/>
    <w:lvl w:ilvl="0" w:tentative="0">
      <w:start w:val="1"/>
      <w:numFmt w:val="decimal"/>
      <w:lvlText w:val="%1."/>
      <w:lvlJc w:val="left"/>
      <w:pPr>
        <w:ind w:left="425" w:hanging="425"/>
      </w:pPr>
      <w:rPr>
        <w:rFonts w:hint="default"/>
      </w:rPr>
    </w:lvl>
  </w:abstractNum>
  <w:abstractNum w:abstractNumId="4">
    <w:nsid w:val="C3AB6B29"/>
    <w:multiLevelType w:val="singleLevel"/>
    <w:tmpl w:val="C3AB6B29"/>
    <w:lvl w:ilvl="0" w:tentative="0">
      <w:start w:val="1"/>
      <w:numFmt w:val="decimal"/>
      <w:lvlText w:val="%1."/>
      <w:lvlJc w:val="left"/>
      <w:pPr>
        <w:ind w:left="425" w:hanging="425"/>
      </w:pPr>
      <w:rPr>
        <w:rFonts w:hint="default"/>
      </w:rPr>
    </w:lvl>
  </w:abstractNum>
  <w:abstractNum w:abstractNumId="5">
    <w:nsid w:val="C4D23B41"/>
    <w:multiLevelType w:val="singleLevel"/>
    <w:tmpl w:val="C4D23B41"/>
    <w:lvl w:ilvl="0" w:tentative="0">
      <w:start w:val="4"/>
      <w:numFmt w:val="decimal"/>
      <w:suff w:val="nothing"/>
      <w:lvlText w:val="%1、"/>
      <w:lvlJc w:val="left"/>
    </w:lvl>
  </w:abstractNum>
  <w:abstractNum w:abstractNumId="6">
    <w:nsid w:val="C5D1D1F2"/>
    <w:multiLevelType w:val="singleLevel"/>
    <w:tmpl w:val="C5D1D1F2"/>
    <w:lvl w:ilvl="0" w:tentative="0">
      <w:start w:val="1"/>
      <w:numFmt w:val="chineseCounting"/>
      <w:suff w:val="nothing"/>
      <w:lvlText w:val="（%1）"/>
      <w:lvlJc w:val="left"/>
      <w:rPr>
        <w:rFonts w:hint="eastAsia"/>
      </w:rPr>
    </w:lvl>
  </w:abstractNum>
  <w:abstractNum w:abstractNumId="7">
    <w:nsid w:val="D472B521"/>
    <w:multiLevelType w:val="singleLevel"/>
    <w:tmpl w:val="D472B521"/>
    <w:lvl w:ilvl="0" w:tentative="0">
      <w:start w:val="2"/>
      <w:numFmt w:val="decimal"/>
      <w:suff w:val="nothing"/>
      <w:lvlText w:val="（%1）"/>
      <w:lvlJc w:val="left"/>
    </w:lvl>
  </w:abstractNum>
  <w:abstractNum w:abstractNumId="8">
    <w:nsid w:val="DE226D0B"/>
    <w:multiLevelType w:val="singleLevel"/>
    <w:tmpl w:val="DE226D0B"/>
    <w:lvl w:ilvl="0" w:tentative="0">
      <w:start w:val="2"/>
      <w:numFmt w:val="chineseCounting"/>
      <w:suff w:val="nothing"/>
      <w:lvlText w:val="%1、"/>
      <w:lvlJc w:val="left"/>
      <w:rPr>
        <w:rFonts w:hint="eastAsia"/>
      </w:rPr>
    </w:lvl>
  </w:abstractNum>
  <w:abstractNum w:abstractNumId="9">
    <w:nsid w:val="FF318C9B"/>
    <w:multiLevelType w:val="singleLevel"/>
    <w:tmpl w:val="FF318C9B"/>
    <w:lvl w:ilvl="0" w:tentative="0">
      <w:start w:val="4"/>
      <w:numFmt w:val="chineseCounting"/>
      <w:suff w:val="space"/>
      <w:lvlText w:val="第%1章"/>
      <w:lvlJc w:val="left"/>
      <w:rPr>
        <w:rFonts w:hint="eastAsia"/>
      </w:rPr>
    </w:lvl>
  </w:abstractNum>
  <w:abstractNum w:abstractNumId="10">
    <w:nsid w:val="00000004"/>
    <w:multiLevelType w:val="multilevel"/>
    <w:tmpl w:val="00000004"/>
    <w:lvl w:ilvl="0" w:tentative="0">
      <w:start w:val="1"/>
      <w:numFmt w:val="decimal"/>
      <w:pStyle w:val="10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
    <w:nsid w:val="1A97CE01"/>
    <w:multiLevelType w:val="singleLevel"/>
    <w:tmpl w:val="1A97CE01"/>
    <w:lvl w:ilvl="0" w:tentative="0">
      <w:start w:val="1"/>
      <w:numFmt w:val="decimal"/>
      <w:lvlText w:val="%1."/>
      <w:lvlJc w:val="left"/>
      <w:pPr>
        <w:ind w:left="425" w:hanging="425"/>
      </w:pPr>
      <w:rPr>
        <w:rFonts w:hint="default"/>
      </w:rPr>
    </w:lvl>
  </w:abstractNum>
  <w:abstractNum w:abstractNumId="12">
    <w:nsid w:val="2A4C94D3"/>
    <w:multiLevelType w:val="singleLevel"/>
    <w:tmpl w:val="2A4C94D3"/>
    <w:lvl w:ilvl="0" w:tentative="0">
      <w:start w:val="1"/>
      <w:numFmt w:val="decimal"/>
      <w:lvlText w:val="%1."/>
      <w:lvlJc w:val="left"/>
      <w:pPr>
        <w:ind w:left="425" w:hanging="425"/>
      </w:pPr>
      <w:rPr>
        <w:rFonts w:hint="default"/>
      </w:rPr>
    </w:lvl>
  </w:abstractNum>
  <w:abstractNum w:abstractNumId="13">
    <w:nsid w:val="32365B24"/>
    <w:multiLevelType w:val="multilevel"/>
    <w:tmpl w:val="32365B24"/>
    <w:lvl w:ilvl="0" w:tentative="0">
      <w:start w:val="1"/>
      <w:numFmt w:val="decimal"/>
      <w:lvlText w:val="%1."/>
      <w:lvlJc w:val="left"/>
      <w:pPr>
        <w:ind w:left="425" w:hanging="425"/>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ECB7A0A"/>
    <w:multiLevelType w:val="singleLevel"/>
    <w:tmpl w:val="5ECB7A0A"/>
    <w:lvl w:ilvl="0" w:tentative="0">
      <w:start w:val="6"/>
      <w:numFmt w:val="chineseCounting"/>
      <w:suff w:val="nothing"/>
      <w:lvlText w:val="%1、"/>
      <w:lvlJc w:val="left"/>
      <w:rPr>
        <w:rFonts w:hint="eastAsia"/>
      </w:rPr>
    </w:lvl>
  </w:abstractNum>
  <w:abstractNum w:abstractNumId="17">
    <w:nsid w:val="6890F85D"/>
    <w:multiLevelType w:val="singleLevel"/>
    <w:tmpl w:val="6890F85D"/>
    <w:lvl w:ilvl="0" w:tentative="0">
      <w:start w:val="1"/>
      <w:numFmt w:val="decimal"/>
      <w:lvlText w:val="%1."/>
      <w:lvlJc w:val="left"/>
      <w:pPr>
        <w:ind w:left="425" w:hanging="425"/>
      </w:pPr>
      <w:rPr>
        <w:rFonts w:hint="default"/>
      </w:rPr>
    </w:lvl>
  </w:abstractNum>
  <w:abstractNum w:abstractNumId="18">
    <w:nsid w:val="791F5732"/>
    <w:multiLevelType w:val="singleLevel"/>
    <w:tmpl w:val="791F5732"/>
    <w:lvl w:ilvl="0" w:tentative="0">
      <w:start w:val="1"/>
      <w:numFmt w:val="chineseCounting"/>
      <w:suff w:val="space"/>
      <w:lvlText w:val="第%1章"/>
      <w:lvlJc w:val="left"/>
      <w:rPr>
        <w:rFonts w:hint="eastAsia"/>
      </w:rPr>
    </w:lvl>
  </w:abstractNum>
  <w:num w:numId="1">
    <w:abstractNumId w:val="1"/>
  </w:num>
  <w:num w:numId="2">
    <w:abstractNumId w:val="10"/>
  </w:num>
  <w:num w:numId="3">
    <w:abstractNumId w:val="18"/>
  </w:num>
  <w:num w:numId="4">
    <w:abstractNumId w:val="16"/>
  </w:num>
  <w:num w:numId="5">
    <w:abstractNumId w:val="4"/>
  </w:num>
  <w:num w:numId="6">
    <w:abstractNumId w:val="13"/>
  </w:num>
  <w:num w:numId="7">
    <w:abstractNumId w:val="2"/>
  </w:num>
  <w:num w:numId="8">
    <w:abstractNumId w:val="17"/>
  </w:num>
  <w:num w:numId="9">
    <w:abstractNumId w:val="12"/>
  </w:num>
  <w:num w:numId="10">
    <w:abstractNumId w:val="3"/>
  </w:num>
  <w:num w:numId="11">
    <w:abstractNumId w:val="6"/>
  </w:num>
  <w:num w:numId="12">
    <w:abstractNumId w:val="0"/>
  </w:num>
  <w:num w:numId="13">
    <w:abstractNumId w:val="9"/>
  </w:num>
  <w:num w:numId="14">
    <w:abstractNumId w:val="8"/>
  </w:num>
  <w:num w:numId="15">
    <w:abstractNumId w:val="11"/>
  </w:num>
  <w:num w:numId="16">
    <w:abstractNumId w:val="5"/>
  </w:num>
  <w:num w:numId="17">
    <w:abstractNumId w:val="7"/>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OWI4MDY2NGU4OThlMjc0MGI3MjdiNDEyZGFlZDQifQ=="/>
  </w:docVars>
  <w:rsids>
    <w:rsidRoot w:val="00000000"/>
    <w:rsid w:val="00043144"/>
    <w:rsid w:val="00210EDD"/>
    <w:rsid w:val="00460185"/>
    <w:rsid w:val="004F54E0"/>
    <w:rsid w:val="00B708C3"/>
    <w:rsid w:val="00C04C9C"/>
    <w:rsid w:val="00CC6E85"/>
    <w:rsid w:val="00DE1BE7"/>
    <w:rsid w:val="00DE5743"/>
    <w:rsid w:val="00E91114"/>
    <w:rsid w:val="00E94978"/>
    <w:rsid w:val="00F632F3"/>
    <w:rsid w:val="01153BFD"/>
    <w:rsid w:val="013D4B60"/>
    <w:rsid w:val="01505F15"/>
    <w:rsid w:val="01AF70E0"/>
    <w:rsid w:val="01BB6F95"/>
    <w:rsid w:val="01C7267B"/>
    <w:rsid w:val="020379CE"/>
    <w:rsid w:val="020C2D28"/>
    <w:rsid w:val="02305D77"/>
    <w:rsid w:val="02364376"/>
    <w:rsid w:val="025B02F7"/>
    <w:rsid w:val="02F11F7D"/>
    <w:rsid w:val="030B64A0"/>
    <w:rsid w:val="03143C31"/>
    <w:rsid w:val="03291826"/>
    <w:rsid w:val="033E3D9E"/>
    <w:rsid w:val="035F22B0"/>
    <w:rsid w:val="0360515D"/>
    <w:rsid w:val="03AA4EC7"/>
    <w:rsid w:val="03B35EB3"/>
    <w:rsid w:val="04016348"/>
    <w:rsid w:val="0405748B"/>
    <w:rsid w:val="041D6583"/>
    <w:rsid w:val="046D5974"/>
    <w:rsid w:val="057C3D51"/>
    <w:rsid w:val="0594649B"/>
    <w:rsid w:val="05986A13"/>
    <w:rsid w:val="059E0492"/>
    <w:rsid w:val="05A25B48"/>
    <w:rsid w:val="05B0226D"/>
    <w:rsid w:val="05FE413F"/>
    <w:rsid w:val="0608695F"/>
    <w:rsid w:val="064B38C4"/>
    <w:rsid w:val="065322EC"/>
    <w:rsid w:val="066A4BC3"/>
    <w:rsid w:val="06704256"/>
    <w:rsid w:val="06744454"/>
    <w:rsid w:val="06746659"/>
    <w:rsid w:val="06827320"/>
    <w:rsid w:val="06893BDB"/>
    <w:rsid w:val="06A426FF"/>
    <w:rsid w:val="06B34F7C"/>
    <w:rsid w:val="06B50CF4"/>
    <w:rsid w:val="06CF2543"/>
    <w:rsid w:val="06D41F0D"/>
    <w:rsid w:val="06DA413B"/>
    <w:rsid w:val="07220A17"/>
    <w:rsid w:val="07320699"/>
    <w:rsid w:val="074C6F94"/>
    <w:rsid w:val="076369A2"/>
    <w:rsid w:val="07BF39C2"/>
    <w:rsid w:val="07C123B3"/>
    <w:rsid w:val="07E77379"/>
    <w:rsid w:val="07F04264"/>
    <w:rsid w:val="080A32C2"/>
    <w:rsid w:val="080D17FF"/>
    <w:rsid w:val="0873745A"/>
    <w:rsid w:val="088C7769"/>
    <w:rsid w:val="08A47338"/>
    <w:rsid w:val="08A74D39"/>
    <w:rsid w:val="08DA1162"/>
    <w:rsid w:val="090D67AE"/>
    <w:rsid w:val="09171F6A"/>
    <w:rsid w:val="091F420F"/>
    <w:rsid w:val="092856B0"/>
    <w:rsid w:val="092A47DD"/>
    <w:rsid w:val="095F28AF"/>
    <w:rsid w:val="097430E9"/>
    <w:rsid w:val="097D68E5"/>
    <w:rsid w:val="099922E5"/>
    <w:rsid w:val="09A926B0"/>
    <w:rsid w:val="09BD035F"/>
    <w:rsid w:val="09EE79C7"/>
    <w:rsid w:val="0A120031"/>
    <w:rsid w:val="0A3807A7"/>
    <w:rsid w:val="0A6A0101"/>
    <w:rsid w:val="0A744030"/>
    <w:rsid w:val="0AA555E2"/>
    <w:rsid w:val="0AAF5F83"/>
    <w:rsid w:val="0ABC1C74"/>
    <w:rsid w:val="0AC86757"/>
    <w:rsid w:val="0ACC6D0D"/>
    <w:rsid w:val="0AD8531C"/>
    <w:rsid w:val="0AD90A7D"/>
    <w:rsid w:val="0ADE7ACE"/>
    <w:rsid w:val="0AF420EB"/>
    <w:rsid w:val="0B07233A"/>
    <w:rsid w:val="0B0B7FF2"/>
    <w:rsid w:val="0B2B1C59"/>
    <w:rsid w:val="0B9E02E6"/>
    <w:rsid w:val="0BC52CC7"/>
    <w:rsid w:val="0BCA3C1E"/>
    <w:rsid w:val="0BF2291F"/>
    <w:rsid w:val="0C30593F"/>
    <w:rsid w:val="0C322DE7"/>
    <w:rsid w:val="0C4924D9"/>
    <w:rsid w:val="0C506064"/>
    <w:rsid w:val="0C96101D"/>
    <w:rsid w:val="0CB105E1"/>
    <w:rsid w:val="0CC97C9D"/>
    <w:rsid w:val="0CD10A6D"/>
    <w:rsid w:val="0CD342B6"/>
    <w:rsid w:val="0CEE3E58"/>
    <w:rsid w:val="0CEF2D2B"/>
    <w:rsid w:val="0D136775"/>
    <w:rsid w:val="0D2546FA"/>
    <w:rsid w:val="0D7A177C"/>
    <w:rsid w:val="0DA8151C"/>
    <w:rsid w:val="0DDE4FF7"/>
    <w:rsid w:val="0DEE4EE4"/>
    <w:rsid w:val="0E0B1B42"/>
    <w:rsid w:val="0E3479AD"/>
    <w:rsid w:val="0E460DCC"/>
    <w:rsid w:val="0E4625F6"/>
    <w:rsid w:val="0E503C45"/>
    <w:rsid w:val="0E820056"/>
    <w:rsid w:val="0E9710B1"/>
    <w:rsid w:val="0E9C63D5"/>
    <w:rsid w:val="0EDF7AEE"/>
    <w:rsid w:val="0F5056CB"/>
    <w:rsid w:val="0F5A6C36"/>
    <w:rsid w:val="0F9C1978"/>
    <w:rsid w:val="0FB16128"/>
    <w:rsid w:val="0FBF0014"/>
    <w:rsid w:val="0FC85F3C"/>
    <w:rsid w:val="0FCD6B1D"/>
    <w:rsid w:val="0FD464FE"/>
    <w:rsid w:val="10024E4D"/>
    <w:rsid w:val="10082DBA"/>
    <w:rsid w:val="10560A13"/>
    <w:rsid w:val="10802373"/>
    <w:rsid w:val="109D703A"/>
    <w:rsid w:val="111C52FF"/>
    <w:rsid w:val="114C0FE9"/>
    <w:rsid w:val="115278B0"/>
    <w:rsid w:val="115D3400"/>
    <w:rsid w:val="11626B52"/>
    <w:rsid w:val="11770AEE"/>
    <w:rsid w:val="117E53FE"/>
    <w:rsid w:val="11AA2C5A"/>
    <w:rsid w:val="11B755BF"/>
    <w:rsid w:val="11BD6E3E"/>
    <w:rsid w:val="11C01F67"/>
    <w:rsid w:val="11FA6155"/>
    <w:rsid w:val="121511E1"/>
    <w:rsid w:val="12684C01"/>
    <w:rsid w:val="127557DC"/>
    <w:rsid w:val="128D521B"/>
    <w:rsid w:val="12AC38F3"/>
    <w:rsid w:val="12EA1794"/>
    <w:rsid w:val="12FA3184"/>
    <w:rsid w:val="130354DD"/>
    <w:rsid w:val="1335567A"/>
    <w:rsid w:val="1346021D"/>
    <w:rsid w:val="136975D1"/>
    <w:rsid w:val="1375783C"/>
    <w:rsid w:val="138170B3"/>
    <w:rsid w:val="13CF064E"/>
    <w:rsid w:val="140D0011"/>
    <w:rsid w:val="14357F2E"/>
    <w:rsid w:val="143D6077"/>
    <w:rsid w:val="14604341"/>
    <w:rsid w:val="147C779D"/>
    <w:rsid w:val="147E1869"/>
    <w:rsid w:val="14926B19"/>
    <w:rsid w:val="14A61472"/>
    <w:rsid w:val="14C650ED"/>
    <w:rsid w:val="14CF7CD8"/>
    <w:rsid w:val="14F055ED"/>
    <w:rsid w:val="151F68ED"/>
    <w:rsid w:val="15520F4C"/>
    <w:rsid w:val="15536C3A"/>
    <w:rsid w:val="15626403"/>
    <w:rsid w:val="15945E76"/>
    <w:rsid w:val="15C45FB5"/>
    <w:rsid w:val="15C76619"/>
    <w:rsid w:val="15E47333"/>
    <w:rsid w:val="160006E8"/>
    <w:rsid w:val="1609105D"/>
    <w:rsid w:val="163A6185"/>
    <w:rsid w:val="165E2F10"/>
    <w:rsid w:val="167C182F"/>
    <w:rsid w:val="167D17DE"/>
    <w:rsid w:val="169671CF"/>
    <w:rsid w:val="16BF55B7"/>
    <w:rsid w:val="16CE5D65"/>
    <w:rsid w:val="16E37E09"/>
    <w:rsid w:val="16EC3635"/>
    <w:rsid w:val="16F35A55"/>
    <w:rsid w:val="16F83508"/>
    <w:rsid w:val="16FA2753"/>
    <w:rsid w:val="17040F70"/>
    <w:rsid w:val="17066C93"/>
    <w:rsid w:val="17343DA8"/>
    <w:rsid w:val="17700303"/>
    <w:rsid w:val="17A61FF9"/>
    <w:rsid w:val="17E23913"/>
    <w:rsid w:val="180052A4"/>
    <w:rsid w:val="18060CED"/>
    <w:rsid w:val="18163509"/>
    <w:rsid w:val="18190F0A"/>
    <w:rsid w:val="185247E9"/>
    <w:rsid w:val="1894383C"/>
    <w:rsid w:val="18A21A2D"/>
    <w:rsid w:val="18A850B1"/>
    <w:rsid w:val="18B109B0"/>
    <w:rsid w:val="19166A86"/>
    <w:rsid w:val="19327E88"/>
    <w:rsid w:val="19540489"/>
    <w:rsid w:val="1956728C"/>
    <w:rsid w:val="195972AD"/>
    <w:rsid w:val="1986236A"/>
    <w:rsid w:val="198C47C6"/>
    <w:rsid w:val="19C42BA1"/>
    <w:rsid w:val="19EA66F4"/>
    <w:rsid w:val="19FC002C"/>
    <w:rsid w:val="19FE5AC4"/>
    <w:rsid w:val="1A0062D3"/>
    <w:rsid w:val="1A051B3B"/>
    <w:rsid w:val="1A393EEA"/>
    <w:rsid w:val="1A764976"/>
    <w:rsid w:val="1AB048AE"/>
    <w:rsid w:val="1AD1141A"/>
    <w:rsid w:val="1AD377E7"/>
    <w:rsid w:val="1B2304CB"/>
    <w:rsid w:val="1B4C291C"/>
    <w:rsid w:val="1B6E4C3E"/>
    <w:rsid w:val="1B863909"/>
    <w:rsid w:val="1BAD5FE6"/>
    <w:rsid w:val="1BBE6445"/>
    <w:rsid w:val="1BD97161"/>
    <w:rsid w:val="1BE14CED"/>
    <w:rsid w:val="1BEA723A"/>
    <w:rsid w:val="1C261336"/>
    <w:rsid w:val="1C2F1354"/>
    <w:rsid w:val="1C411A9B"/>
    <w:rsid w:val="1C711A38"/>
    <w:rsid w:val="1C803D6F"/>
    <w:rsid w:val="1C98001E"/>
    <w:rsid w:val="1C9F4979"/>
    <w:rsid w:val="1CA92C52"/>
    <w:rsid w:val="1CCA0FFC"/>
    <w:rsid w:val="1CE908B0"/>
    <w:rsid w:val="1CF235A4"/>
    <w:rsid w:val="1D063C00"/>
    <w:rsid w:val="1D3A1692"/>
    <w:rsid w:val="1D4B0140"/>
    <w:rsid w:val="1D70301E"/>
    <w:rsid w:val="1D8A4C5F"/>
    <w:rsid w:val="1D9260F0"/>
    <w:rsid w:val="1D9358AD"/>
    <w:rsid w:val="1DA0424E"/>
    <w:rsid w:val="1DA40C66"/>
    <w:rsid w:val="1DA60D77"/>
    <w:rsid w:val="1DB77DDF"/>
    <w:rsid w:val="1DCE4E07"/>
    <w:rsid w:val="1DF502FC"/>
    <w:rsid w:val="1E130E8A"/>
    <w:rsid w:val="1E1C0F8C"/>
    <w:rsid w:val="1E2F5078"/>
    <w:rsid w:val="1E2F7178"/>
    <w:rsid w:val="1E4041DC"/>
    <w:rsid w:val="1E631986"/>
    <w:rsid w:val="1E6A22A5"/>
    <w:rsid w:val="1EA71A5E"/>
    <w:rsid w:val="1EA77392"/>
    <w:rsid w:val="1ED10481"/>
    <w:rsid w:val="1F052F4A"/>
    <w:rsid w:val="1F2729AA"/>
    <w:rsid w:val="1F2E2E45"/>
    <w:rsid w:val="1F5E7ADF"/>
    <w:rsid w:val="1F612F71"/>
    <w:rsid w:val="1F660CE7"/>
    <w:rsid w:val="1F6F52B2"/>
    <w:rsid w:val="1F9C084C"/>
    <w:rsid w:val="1FC15D11"/>
    <w:rsid w:val="1FD66C5F"/>
    <w:rsid w:val="1FDF698A"/>
    <w:rsid w:val="1FFB37C4"/>
    <w:rsid w:val="202944A5"/>
    <w:rsid w:val="205F1151"/>
    <w:rsid w:val="20733733"/>
    <w:rsid w:val="20AC3D08"/>
    <w:rsid w:val="20CD61F9"/>
    <w:rsid w:val="20F70FD3"/>
    <w:rsid w:val="21004E0A"/>
    <w:rsid w:val="21301A1D"/>
    <w:rsid w:val="21352374"/>
    <w:rsid w:val="214D44F3"/>
    <w:rsid w:val="215937BD"/>
    <w:rsid w:val="217A04D7"/>
    <w:rsid w:val="21905BCE"/>
    <w:rsid w:val="21B77CC2"/>
    <w:rsid w:val="21BD6F7F"/>
    <w:rsid w:val="2215571C"/>
    <w:rsid w:val="22417ADD"/>
    <w:rsid w:val="22535511"/>
    <w:rsid w:val="227C021B"/>
    <w:rsid w:val="22C07FB7"/>
    <w:rsid w:val="22EC59D2"/>
    <w:rsid w:val="22EF31E6"/>
    <w:rsid w:val="232963EA"/>
    <w:rsid w:val="232E3A8F"/>
    <w:rsid w:val="233C28E7"/>
    <w:rsid w:val="23743B3B"/>
    <w:rsid w:val="23820457"/>
    <w:rsid w:val="23931F66"/>
    <w:rsid w:val="239F14BA"/>
    <w:rsid w:val="24007717"/>
    <w:rsid w:val="24175037"/>
    <w:rsid w:val="242E7BCF"/>
    <w:rsid w:val="244A3E9B"/>
    <w:rsid w:val="245C7BF0"/>
    <w:rsid w:val="24F22093"/>
    <w:rsid w:val="25512559"/>
    <w:rsid w:val="256A62FF"/>
    <w:rsid w:val="256E2C8A"/>
    <w:rsid w:val="2579754D"/>
    <w:rsid w:val="25A66ED8"/>
    <w:rsid w:val="25E15ED2"/>
    <w:rsid w:val="25E22D30"/>
    <w:rsid w:val="25E3727A"/>
    <w:rsid w:val="260F6C7E"/>
    <w:rsid w:val="268C46AC"/>
    <w:rsid w:val="26901F98"/>
    <w:rsid w:val="26C53463"/>
    <w:rsid w:val="26C73FD4"/>
    <w:rsid w:val="271E55EA"/>
    <w:rsid w:val="27315D1D"/>
    <w:rsid w:val="27337F15"/>
    <w:rsid w:val="273E03D7"/>
    <w:rsid w:val="274B6DD8"/>
    <w:rsid w:val="275951DE"/>
    <w:rsid w:val="275E533A"/>
    <w:rsid w:val="275F2D8A"/>
    <w:rsid w:val="27692E5B"/>
    <w:rsid w:val="27797BEF"/>
    <w:rsid w:val="278B48C3"/>
    <w:rsid w:val="27A0449E"/>
    <w:rsid w:val="27A47019"/>
    <w:rsid w:val="27BA5D13"/>
    <w:rsid w:val="27EE64E8"/>
    <w:rsid w:val="27F57641"/>
    <w:rsid w:val="280D678A"/>
    <w:rsid w:val="280D7006"/>
    <w:rsid w:val="282750DC"/>
    <w:rsid w:val="28312344"/>
    <w:rsid w:val="28461C9C"/>
    <w:rsid w:val="28643ED1"/>
    <w:rsid w:val="287810ED"/>
    <w:rsid w:val="28C6696E"/>
    <w:rsid w:val="28CD1A76"/>
    <w:rsid w:val="28CD1EB8"/>
    <w:rsid w:val="28D10C1C"/>
    <w:rsid w:val="28E40445"/>
    <w:rsid w:val="28F27F06"/>
    <w:rsid w:val="29310711"/>
    <w:rsid w:val="293A4ACE"/>
    <w:rsid w:val="295A7047"/>
    <w:rsid w:val="29671ECA"/>
    <w:rsid w:val="29AC6E62"/>
    <w:rsid w:val="29DA4B78"/>
    <w:rsid w:val="29E3216C"/>
    <w:rsid w:val="2A021BF3"/>
    <w:rsid w:val="2A1B067B"/>
    <w:rsid w:val="2A1D6A5B"/>
    <w:rsid w:val="2A3217A2"/>
    <w:rsid w:val="2A3C6EB3"/>
    <w:rsid w:val="2A454937"/>
    <w:rsid w:val="2A5640CD"/>
    <w:rsid w:val="2AAB5F5B"/>
    <w:rsid w:val="2AE75902"/>
    <w:rsid w:val="2AF7102C"/>
    <w:rsid w:val="2B1E71B6"/>
    <w:rsid w:val="2B3E2AFD"/>
    <w:rsid w:val="2B4E123F"/>
    <w:rsid w:val="2B5E72FD"/>
    <w:rsid w:val="2B7756EB"/>
    <w:rsid w:val="2B7B3C10"/>
    <w:rsid w:val="2BA569A9"/>
    <w:rsid w:val="2BB117E4"/>
    <w:rsid w:val="2BB43E1B"/>
    <w:rsid w:val="2BE260F5"/>
    <w:rsid w:val="2BED3F68"/>
    <w:rsid w:val="2C03285D"/>
    <w:rsid w:val="2C27124A"/>
    <w:rsid w:val="2C3A362A"/>
    <w:rsid w:val="2C6A78DD"/>
    <w:rsid w:val="2C967322"/>
    <w:rsid w:val="2CC75BE4"/>
    <w:rsid w:val="2CCA4791"/>
    <w:rsid w:val="2CCB7C9C"/>
    <w:rsid w:val="2CD63C1A"/>
    <w:rsid w:val="2CDA157B"/>
    <w:rsid w:val="2CDC2BCF"/>
    <w:rsid w:val="2D1170F9"/>
    <w:rsid w:val="2D235B29"/>
    <w:rsid w:val="2D323C21"/>
    <w:rsid w:val="2D3E73E6"/>
    <w:rsid w:val="2D691DE4"/>
    <w:rsid w:val="2D6D1BF5"/>
    <w:rsid w:val="2D754BB0"/>
    <w:rsid w:val="2D7A094D"/>
    <w:rsid w:val="2DA47D6E"/>
    <w:rsid w:val="2DA749EF"/>
    <w:rsid w:val="2DB95FE0"/>
    <w:rsid w:val="2DBE0F49"/>
    <w:rsid w:val="2E00469C"/>
    <w:rsid w:val="2E2905AC"/>
    <w:rsid w:val="2E503F81"/>
    <w:rsid w:val="2E790C41"/>
    <w:rsid w:val="2EB8085D"/>
    <w:rsid w:val="2EC41B6D"/>
    <w:rsid w:val="2EC81B6F"/>
    <w:rsid w:val="2EF3362B"/>
    <w:rsid w:val="2EF57F78"/>
    <w:rsid w:val="2F284F56"/>
    <w:rsid w:val="2F3F1D34"/>
    <w:rsid w:val="2F56299D"/>
    <w:rsid w:val="2F82214C"/>
    <w:rsid w:val="2FAB4707"/>
    <w:rsid w:val="30096D64"/>
    <w:rsid w:val="302A54B3"/>
    <w:rsid w:val="30352580"/>
    <w:rsid w:val="3045283A"/>
    <w:rsid w:val="304D25CD"/>
    <w:rsid w:val="308D46D1"/>
    <w:rsid w:val="30A612CD"/>
    <w:rsid w:val="30B579BF"/>
    <w:rsid w:val="30CF550C"/>
    <w:rsid w:val="30F537B2"/>
    <w:rsid w:val="31275CB7"/>
    <w:rsid w:val="313A41BF"/>
    <w:rsid w:val="31466D87"/>
    <w:rsid w:val="31487B4D"/>
    <w:rsid w:val="31533F0D"/>
    <w:rsid w:val="3165628E"/>
    <w:rsid w:val="318415B4"/>
    <w:rsid w:val="318B2A22"/>
    <w:rsid w:val="319C15A3"/>
    <w:rsid w:val="31AE4E48"/>
    <w:rsid w:val="31B8491B"/>
    <w:rsid w:val="31D837C9"/>
    <w:rsid w:val="31EE23E6"/>
    <w:rsid w:val="325050FE"/>
    <w:rsid w:val="326074AA"/>
    <w:rsid w:val="326F2B2C"/>
    <w:rsid w:val="329C202F"/>
    <w:rsid w:val="32C53C98"/>
    <w:rsid w:val="32EB4869"/>
    <w:rsid w:val="33294694"/>
    <w:rsid w:val="333C6176"/>
    <w:rsid w:val="334051B3"/>
    <w:rsid w:val="33415959"/>
    <w:rsid w:val="33501C21"/>
    <w:rsid w:val="33507A29"/>
    <w:rsid w:val="337111EE"/>
    <w:rsid w:val="33861354"/>
    <w:rsid w:val="338641C7"/>
    <w:rsid w:val="338A536B"/>
    <w:rsid w:val="338F4036"/>
    <w:rsid w:val="33A96BFD"/>
    <w:rsid w:val="33AB50A9"/>
    <w:rsid w:val="33B35F23"/>
    <w:rsid w:val="33C95001"/>
    <w:rsid w:val="33D1415B"/>
    <w:rsid w:val="33EB264F"/>
    <w:rsid w:val="33F151B2"/>
    <w:rsid w:val="340429E1"/>
    <w:rsid w:val="340449F2"/>
    <w:rsid w:val="342C17D2"/>
    <w:rsid w:val="34A8367A"/>
    <w:rsid w:val="34CE5BB5"/>
    <w:rsid w:val="34F273E2"/>
    <w:rsid w:val="34F66B70"/>
    <w:rsid w:val="35502A8A"/>
    <w:rsid w:val="35737AE2"/>
    <w:rsid w:val="357D65E9"/>
    <w:rsid w:val="35830DB6"/>
    <w:rsid w:val="359B0E89"/>
    <w:rsid w:val="35D6202B"/>
    <w:rsid w:val="36031FE9"/>
    <w:rsid w:val="36034D29"/>
    <w:rsid w:val="364E42B0"/>
    <w:rsid w:val="36931790"/>
    <w:rsid w:val="36AF212A"/>
    <w:rsid w:val="36B35441"/>
    <w:rsid w:val="36C05BDE"/>
    <w:rsid w:val="371D4801"/>
    <w:rsid w:val="37226A6B"/>
    <w:rsid w:val="372D192D"/>
    <w:rsid w:val="37843BA8"/>
    <w:rsid w:val="379110F1"/>
    <w:rsid w:val="379B4532"/>
    <w:rsid w:val="379C3A92"/>
    <w:rsid w:val="37A91D62"/>
    <w:rsid w:val="37AD7642"/>
    <w:rsid w:val="37B51012"/>
    <w:rsid w:val="37DC1F20"/>
    <w:rsid w:val="37F64733"/>
    <w:rsid w:val="38012E83"/>
    <w:rsid w:val="38241DCC"/>
    <w:rsid w:val="385C2357"/>
    <w:rsid w:val="3861141D"/>
    <w:rsid w:val="386120EF"/>
    <w:rsid w:val="38655CCF"/>
    <w:rsid w:val="38697929"/>
    <w:rsid w:val="387002F0"/>
    <w:rsid w:val="3873659F"/>
    <w:rsid w:val="38967CF8"/>
    <w:rsid w:val="38994352"/>
    <w:rsid w:val="38A02D03"/>
    <w:rsid w:val="38A21A78"/>
    <w:rsid w:val="38D67FFB"/>
    <w:rsid w:val="38FC33D2"/>
    <w:rsid w:val="39376943"/>
    <w:rsid w:val="394015FA"/>
    <w:rsid w:val="396C12FC"/>
    <w:rsid w:val="397F3F36"/>
    <w:rsid w:val="398268F8"/>
    <w:rsid w:val="39A86C7D"/>
    <w:rsid w:val="39A9778E"/>
    <w:rsid w:val="39AA6FAB"/>
    <w:rsid w:val="39BE492C"/>
    <w:rsid w:val="39F07B1B"/>
    <w:rsid w:val="39F229A3"/>
    <w:rsid w:val="3A43603C"/>
    <w:rsid w:val="3A6C438A"/>
    <w:rsid w:val="3A734C67"/>
    <w:rsid w:val="3A895333"/>
    <w:rsid w:val="3A975EA2"/>
    <w:rsid w:val="3A9E5F63"/>
    <w:rsid w:val="3AB61AAD"/>
    <w:rsid w:val="3ABD1223"/>
    <w:rsid w:val="3ABF3C3B"/>
    <w:rsid w:val="3AE2729A"/>
    <w:rsid w:val="3B292E13"/>
    <w:rsid w:val="3B40102D"/>
    <w:rsid w:val="3B841636"/>
    <w:rsid w:val="3BAC293F"/>
    <w:rsid w:val="3BE15B0C"/>
    <w:rsid w:val="3C1E7DFF"/>
    <w:rsid w:val="3C4B1926"/>
    <w:rsid w:val="3C8F6C29"/>
    <w:rsid w:val="3CA66F82"/>
    <w:rsid w:val="3CC84361"/>
    <w:rsid w:val="3CDD3F1B"/>
    <w:rsid w:val="3CE65032"/>
    <w:rsid w:val="3CEF6007"/>
    <w:rsid w:val="3D0A5D94"/>
    <w:rsid w:val="3D2F28A7"/>
    <w:rsid w:val="3D472ED8"/>
    <w:rsid w:val="3D5B641A"/>
    <w:rsid w:val="3D613D22"/>
    <w:rsid w:val="3D8B21D4"/>
    <w:rsid w:val="3D8B35ED"/>
    <w:rsid w:val="3DA3706B"/>
    <w:rsid w:val="3DAB24CC"/>
    <w:rsid w:val="3DB71317"/>
    <w:rsid w:val="3DCB61AF"/>
    <w:rsid w:val="3E0C4438"/>
    <w:rsid w:val="3E0C52B0"/>
    <w:rsid w:val="3E171226"/>
    <w:rsid w:val="3E2866CA"/>
    <w:rsid w:val="3E360A30"/>
    <w:rsid w:val="3E7F4B32"/>
    <w:rsid w:val="3ECC74F3"/>
    <w:rsid w:val="3EE352BF"/>
    <w:rsid w:val="3EF65DA2"/>
    <w:rsid w:val="3EFA6550"/>
    <w:rsid w:val="3F180CD2"/>
    <w:rsid w:val="3F3E093F"/>
    <w:rsid w:val="3F7E2F32"/>
    <w:rsid w:val="3F9350DF"/>
    <w:rsid w:val="3FA33390"/>
    <w:rsid w:val="3FD060F1"/>
    <w:rsid w:val="3FFA36B8"/>
    <w:rsid w:val="40102F08"/>
    <w:rsid w:val="4021297B"/>
    <w:rsid w:val="40233D9B"/>
    <w:rsid w:val="402C6763"/>
    <w:rsid w:val="40413059"/>
    <w:rsid w:val="408262FF"/>
    <w:rsid w:val="40A43DCF"/>
    <w:rsid w:val="40A474AF"/>
    <w:rsid w:val="40BC5674"/>
    <w:rsid w:val="40D2705F"/>
    <w:rsid w:val="40FF185D"/>
    <w:rsid w:val="411658F6"/>
    <w:rsid w:val="41B2707D"/>
    <w:rsid w:val="41C37A62"/>
    <w:rsid w:val="41DB1A25"/>
    <w:rsid w:val="41E365F3"/>
    <w:rsid w:val="41FD6034"/>
    <w:rsid w:val="41FE4420"/>
    <w:rsid w:val="420E3C4D"/>
    <w:rsid w:val="42271175"/>
    <w:rsid w:val="422972C0"/>
    <w:rsid w:val="424456CC"/>
    <w:rsid w:val="4270651C"/>
    <w:rsid w:val="428818DE"/>
    <w:rsid w:val="42940AAA"/>
    <w:rsid w:val="42A45113"/>
    <w:rsid w:val="42A47894"/>
    <w:rsid w:val="42E41851"/>
    <w:rsid w:val="43013CD0"/>
    <w:rsid w:val="431F521E"/>
    <w:rsid w:val="432952D8"/>
    <w:rsid w:val="43476B9D"/>
    <w:rsid w:val="434A3F97"/>
    <w:rsid w:val="434A6CCE"/>
    <w:rsid w:val="43704BBA"/>
    <w:rsid w:val="438F759E"/>
    <w:rsid w:val="43AB141A"/>
    <w:rsid w:val="43AE5943"/>
    <w:rsid w:val="43B0175F"/>
    <w:rsid w:val="43E8191A"/>
    <w:rsid w:val="43EC18EB"/>
    <w:rsid w:val="43F3462F"/>
    <w:rsid w:val="43FB329A"/>
    <w:rsid w:val="44094D3B"/>
    <w:rsid w:val="443E597A"/>
    <w:rsid w:val="445762DD"/>
    <w:rsid w:val="445F3A72"/>
    <w:rsid w:val="448A39A2"/>
    <w:rsid w:val="44AE446E"/>
    <w:rsid w:val="44C00A96"/>
    <w:rsid w:val="44D05E53"/>
    <w:rsid w:val="44D202B7"/>
    <w:rsid w:val="44ED768E"/>
    <w:rsid w:val="45393CF0"/>
    <w:rsid w:val="454F6E4D"/>
    <w:rsid w:val="45753135"/>
    <w:rsid w:val="457E6AAD"/>
    <w:rsid w:val="45864857"/>
    <w:rsid w:val="45C63B78"/>
    <w:rsid w:val="45DC4158"/>
    <w:rsid w:val="45DE01A7"/>
    <w:rsid w:val="45EE07F2"/>
    <w:rsid w:val="4616486B"/>
    <w:rsid w:val="464E399B"/>
    <w:rsid w:val="468173E6"/>
    <w:rsid w:val="468D74A3"/>
    <w:rsid w:val="469143A1"/>
    <w:rsid w:val="46B053E1"/>
    <w:rsid w:val="46B35FC5"/>
    <w:rsid w:val="46BA36A3"/>
    <w:rsid w:val="46C16C66"/>
    <w:rsid w:val="46CE2F90"/>
    <w:rsid w:val="47226FD9"/>
    <w:rsid w:val="474D3FB6"/>
    <w:rsid w:val="475B2F6A"/>
    <w:rsid w:val="47A85730"/>
    <w:rsid w:val="47BB61F3"/>
    <w:rsid w:val="47CF654B"/>
    <w:rsid w:val="4801760B"/>
    <w:rsid w:val="48147089"/>
    <w:rsid w:val="4862229F"/>
    <w:rsid w:val="48947503"/>
    <w:rsid w:val="48C77FDD"/>
    <w:rsid w:val="49004C17"/>
    <w:rsid w:val="49137654"/>
    <w:rsid w:val="49207025"/>
    <w:rsid w:val="49344875"/>
    <w:rsid w:val="495D7FCB"/>
    <w:rsid w:val="498673EE"/>
    <w:rsid w:val="49A47B87"/>
    <w:rsid w:val="49B103FB"/>
    <w:rsid w:val="49B51766"/>
    <w:rsid w:val="49DF50EC"/>
    <w:rsid w:val="49E37A98"/>
    <w:rsid w:val="49FE60AB"/>
    <w:rsid w:val="4A056E6A"/>
    <w:rsid w:val="4A0A383A"/>
    <w:rsid w:val="4A11593B"/>
    <w:rsid w:val="4A387BCF"/>
    <w:rsid w:val="4A5D4EF8"/>
    <w:rsid w:val="4A7F429F"/>
    <w:rsid w:val="4A90685C"/>
    <w:rsid w:val="4ABE4C8F"/>
    <w:rsid w:val="4ABF4F5A"/>
    <w:rsid w:val="4AD47DF0"/>
    <w:rsid w:val="4ADD45C9"/>
    <w:rsid w:val="4AFF1B0B"/>
    <w:rsid w:val="4B0140BA"/>
    <w:rsid w:val="4B1100AF"/>
    <w:rsid w:val="4B4E4840"/>
    <w:rsid w:val="4B4F3581"/>
    <w:rsid w:val="4B5A2315"/>
    <w:rsid w:val="4B6C0C34"/>
    <w:rsid w:val="4B7169AE"/>
    <w:rsid w:val="4B7A5635"/>
    <w:rsid w:val="4BAB4F3A"/>
    <w:rsid w:val="4BAE7C32"/>
    <w:rsid w:val="4BBA0128"/>
    <w:rsid w:val="4BCD404B"/>
    <w:rsid w:val="4BDD73BD"/>
    <w:rsid w:val="4BF93011"/>
    <w:rsid w:val="4C0A4C0B"/>
    <w:rsid w:val="4C206B1A"/>
    <w:rsid w:val="4C4C60C1"/>
    <w:rsid w:val="4C5D1DC9"/>
    <w:rsid w:val="4C997D3D"/>
    <w:rsid w:val="4CE948F5"/>
    <w:rsid w:val="4CF70270"/>
    <w:rsid w:val="4D0E000F"/>
    <w:rsid w:val="4D2674F1"/>
    <w:rsid w:val="4D7C539B"/>
    <w:rsid w:val="4DC75A52"/>
    <w:rsid w:val="4DCA5DFE"/>
    <w:rsid w:val="4DD679CB"/>
    <w:rsid w:val="4E035DB6"/>
    <w:rsid w:val="4E207E4B"/>
    <w:rsid w:val="4E33304B"/>
    <w:rsid w:val="4E7C33BF"/>
    <w:rsid w:val="4E805783"/>
    <w:rsid w:val="4ED17354"/>
    <w:rsid w:val="4F2C7D8B"/>
    <w:rsid w:val="4F430152"/>
    <w:rsid w:val="4F442E5D"/>
    <w:rsid w:val="4F56156D"/>
    <w:rsid w:val="4F7B5A42"/>
    <w:rsid w:val="4F93791D"/>
    <w:rsid w:val="4FAD26E1"/>
    <w:rsid w:val="4FB5643C"/>
    <w:rsid w:val="4FB57FC8"/>
    <w:rsid w:val="4FCB3005"/>
    <w:rsid w:val="50177EC4"/>
    <w:rsid w:val="501E42C6"/>
    <w:rsid w:val="50281B04"/>
    <w:rsid w:val="506E2BAE"/>
    <w:rsid w:val="50720449"/>
    <w:rsid w:val="50B536D5"/>
    <w:rsid w:val="50D3129D"/>
    <w:rsid w:val="51376F65"/>
    <w:rsid w:val="51581086"/>
    <w:rsid w:val="51592273"/>
    <w:rsid w:val="517A4869"/>
    <w:rsid w:val="51E7154B"/>
    <w:rsid w:val="52626791"/>
    <w:rsid w:val="52A8413D"/>
    <w:rsid w:val="52DA65C9"/>
    <w:rsid w:val="531B01DC"/>
    <w:rsid w:val="536253CD"/>
    <w:rsid w:val="53632D8D"/>
    <w:rsid w:val="53642FDA"/>
    <w:rsid w:val="53712680"/>
    <w:rsid w:val="5376227B"/>
    <w:rsid w:val="5382777D"/>
    <w:rsid w:val="53A53101"/>
    <w:rsid w:val="53CA410D"/>
    <w:rsid w:val="54295A39"/>
    <w:rsid w:val="54384043"/>
    <w:rsid w:val="54426862"/>
    <w:rsid w:val="546F23A0"/>
    <w:rsid w:val="54C25CE1"/>
    <w:rsid w:val="54C37148"/>
    <w:rsid w:val="54C561D3"/>
    <w:rsid w:val="54EF7075"/>
    <w:rsid w:val="54F545F9"/>
    <w:rsid w:val="54F62C15"/>
    <w:rsid w:val="54FB4607"/>
    <w:rsid w:val="55164028"/>
    <w:rsid w:val="554C0053"/>
    <w:rsid w:val="55667C67"/>
    <w:rsid w:val="55782AF7"/>
    <w:rsid w:val="55C667D3"/>
    <w:rsid w:val="55CC5CBD"/>
    <w:rsid w:val="56226FF5"/>
    <w:rsid w:val="56615668"/>
    <w:rsid w:val="566D6ED9"/>
    <w:rsid w:val="567A473C"/>
    <w:rsid w:val="568143F1"/>
    <w:rsid w:val="56AC1F16"/>
    <w:rsid w:val="56BF40CA"/>
    <w:rsid w:val="56D2754F"/>
    <w:rsid w:val="57252C7C"/>
    <w:rsid w:val="57547F62"/>
    <w:rsid w:val="57831D16"/>
    <w:rsid w:val="57857ED2"/>
    <w:rsid w:val="57954FEE"/>
    <w:rsid w:val="579D2903"/>
    <w:rsid w:val="579E009D"/>
    <w:rsid w:val="58140BA6"/>
    <w:rsid w:val="58160FF1"/>
    <w:rsid w:val="58284BCC"/>
    <w:rsid w:val="582A0CFA"/>
    <w:rsid w:val="584344C4"/>
    <w:rsid w:val="586774A4"/>
    <w:rsid w:val="58733B38"/>
    <w:rsid w:val="58817574"/>
    <w:rsid w:val="58833B9A"/>
    <w:rsid w:val="588C25E3"/>
    <w:rsid w:val="5895531C"/>
    <w:rsid w:val="58AE34D6"/>
    <w:rsid w:val="58C039E8"/>
    <w:rsid w:val="58C31980"/>
    <w:rsid w:val="58CC20F1"/>
    <w:rsid w:val="59011C17"/>
    <w:rsid w:val="5901760E"/>
    <w:rsid w:val="593806EA"/>
    <w:rsid w:val="598B6C60"/>
    <w:rsid w:val="598C3104"/>
    <w:rsid w:val="598D761D"/>
    <w:rsid w:val="59975605"/>
    <w:rsid w:val="59A65848"/>
    <w:rsid w:val="59C24663"/>
    <w:rsid w:val="59CF49C4"/>
    <w:rsid w:val="59EA7E2A"/>
    <w:rsid w:val="5A044EC4"/>
    <w:rsid w:val="5A181932"/>
    <w:rsid w:val="5A1A46F2"/>
    <w:rsid w:val="5A5E72AE"/>
    <w:rsid w:val="5A5E7EA7"/>
    <w:rsid w:val="5A726A09"/>
    <w:rsid w:val="5A7B2DE2"/>
    <w:rsid w:val="5A9963EA"/>
    <w:rsid w:val="5AC02934"/>
    <w:rsid w:val="5AFA5E4B"/>
    <w:rsid w:val="5B111798"/>
    <w:rsid w:val="5B173BB7"/>
    <w:rsid w:val="5B7C5BCF"/>
    <w:rsid w:val="5BC60A35"/>
    <w:rsid w:val="5BCB3FDF"/>
    <w:rsid w:val="5BCD767D"/>
    <w:rsid w:val="5BEF0C8B"/>
    <w:rsid w:val="5C2A6B4C"/>
    <w:rsid w:val="5C2F6ADA"/>
    <w:rsid w:val="5C2F7D76"/>
    <w:rsid w:val="5C3D0A3C"/>
    <w:rsid w:val="5C410FEB"/>
    <w:rsid w:val="5C743C9D"/>
    <w:rsid w:val="5C934F21"/>
    <w:rsid w:val="5CA1390D"/>
    <w:rsid w:val="5CB26333"/>
    <w:rsid w:val="5CBC3D63"/>
    <w:rsid w:val="5CCC6B20"/>
    <w:rsid w:val="5CEE7736"/>
    <w:rsid w:val="5CFB5EAA"/>
    <w:rsid w:val="5D206F66"/>
    <w:rsid w:val="5D217777"/>
    <w:rsid w:val="5D375A6E"/>
    <w:rsid w:val="5D7C523D"/>
    <w:rsid w:val="5D7D3449"/>
    <w:rsid w:val="5D9A1666"/>
    <w:rsid w:val="5D9C229D"/>
    <w:rsid w:val="5DAA6D34"/>
    <w:rsid w:val="5E4B29E5"/>
    <w:rsid w:val="5E6119B1"/>
    <w:rsid w:val="5E8565E7"/>
    <w:rsid w:val="5EB02019"/>
    <w:rsid w:val="5EC5531C"/>
    <w:rsid w:val="5EE13CC4"/>
    <w:rsid w:val="5F502495"/>
    <w:rsid w:val="5FA8125C"/>
    <w:rsid w:val="5FD0789F"/>
    <w:rsid w:val="5FE118BA"/>
    <w:rsid w:val="5FEB2206"/>
    <w:rsid w:val="5FF40165"/>
    <w:rsid w:val="5FF76453"/>
    <w:rsid w:val="60477F9C"/>
    <w:rsid w:val="60593614"/>
    <w:rsid w:val="60870181"/>
    <w:rsid w:val="60891E51"/>
    <w:rsid w:val="60A236D8"/>
    <w:rsid w:val="60AE7E03"/>
    <w:rsid w:val="60D127A1"/>
    <w:rsid w:val="60FB46CB"/>
    <w:rsid w:val="61053DDD"/>
    <w:rsid w:val="612E29D1"/>
    <w:rsid w:val="613528A4"/>
    <w:rsid w:val="619C7C5C"/>
    <w:rsid w:val="61A579A8"/>
    <w:rsid w:val="61BE7630"/>
    <w:rsid w:val="61C3343B"/>
    <w:rsid w:val="61D8602B"/>
    <w:rsid w:val="62353C0D"/>
    <w:rsid w:val="624803B6"/>
    <w:rsid w:val="625007BF"/>
    <w:rsid w:val="625B620F"/>
    <w:rsid w:val="627051C5"/>
    <w:rsid w:val="628218E8"/>
    <w:rsid w:val="62B209ED"/>
    <w:rsid w:val="62C2093C"/>
    <w:rsid w:val="62CD65B8"/>
    <w:rsid w:val="62EF1E31"/>
    <w:rsid w:val="630F26B0"/>
    <w:rsid w:val="63191339"/>
    <w:rsid w:val="635051A2"/>
    <w:rsid w:val="636367C4"/>
    <w:rsid w:val="63640F73"/>
    <w:rsid w:val="638970C0"/>
    <w:rsid w:val="63C20235"/>
    <w:rsid w:val="63CB65D6"/>
    <w:rsid w:val="64082877"/>
    <w:rsid w:val="641E417B"/>
    <w:rsid w:val="6424218B"/>
    <w:rsid w:val="642E7B90"/>
    <w:rsid w:val="64326656"/>
    <w:rsid w:val="645A7270"/>
    <w:rsid w:val="647B69D3"/>
    <w:rsid w:val="647D1F9D"/>
    <w:rsid w:val="64C33752"/>
    <w:rsid w:val="64D76404"/>
    <w:rsid w:val="64FA41EC"/>
    <w:rsid w:val="64FC53D1"/>
    <w:rsid w:val="65344A6E"/>
    <w:rsid w:val="65494F78"/>
    <w:rsid w:val="65B35ADB"/>
    <w:rsid w:val="65D60431"/>
    <w:rsid w:val="660B53B0"/>
    <w:rsid w:val="660F67BE"/>
    <w:rsid w:val="661C201B"/>
    <w:rsid w:val="663779AB"/>
    <w:rsid w:val="66795925"/>
    <w:rsid w:val="668C2575"/>
    <w:rsid w:val="672D0789"/>
    <w:rsid w:val="673A3A26"/>
    <w:rsid w:val="67784682"/>
    <w:rsid w:val="67997E3A"/>
    <w:rsid w:val="67B60119"/>
    <w:rsid w:val="67B66B94"/>
    <w:rsid w:val="67D817B1"/>
    <w:rsid w:val="683F57E5"/>
    <w:rsid w:val="684150B9"/>
    <w:rsid w:val="687A2C35"/>
    <w:rsid w:val="687C4343"/>
    <w:rsid w:val="688A63C1"/>
    <w:rsid w:val="68F64182"/>
    <w:rsid w:val="690F2569"/>
    <w:rsid w:val="69334062"/>
    <w:rsid w:val="6962728F"/>
    <w:rsid w:val="69B54A8C"/>
    <w:rsid w:val="69EF02B7"/>
    <w:rsid w:val="69F75A58"/>
    <w:rsid w:val="6A1C0EBD"/>
    <w:rsid w:val="6A484735"/>
    <w:rsid w:val="6A484E25"/>
    <w:rsid w:val="6A803748"/>
    <w:rsid w:val="6A991F9B"/>
    <w:rsid w:val="6A9D0087"/>
    <w:rsid w:val="6AC2542A"/>
    <w:rsid w:val="6AD713C8"/>
    <w:rsid w:val="6AF65A35"/>
    <w:rsid w:val="6B19329D"/>
    <w:rsid w:val="6B2B3DFF"/>
    <w:rsid w:val="6B465590"/>
    <w:rsid w:val="6B4B78C9"/>
    <w:rsid w:val="6B8C0E92"/>
    <w:rsid w:val="6B922814"/>
    <w:rsid w:val="6BBD1575"/>
    <w:rsid w:val="6BC82B25"/>
    <w:rsid w:val="6BD352DB"/>
    <w:rsid w:val="6C066D46"/>
    <w:rsid w:val="6C1825DC"/>
    <w:rsid w:val="6C44571F"/>
    <w:rsid w:val="6C4C6481"/>
    <w:rsid w:val="6D2356D5"/>
    <w:rsid w:val="6D81727B"/>
    <w:rsid w:val="6D8C05D5"/>
    <w:rsid w:val="6DF03907"/>
    <w:rsid w:val="6E0076ED"/>
    <w:rsid w:val="6E3054BE"/>
    <w:rsid w:val="6E510020"/>
    <w:rsid w:val="6E895871"/>
    <w:rsid w:val="6E8E3022"/>
    <w:rsid w:val="6E98315A"/>
    <w:rsid w:val="6F010911"/>
    <w:rsid w:val="6F5C37CA"/>
    <w:rsid w:val="6F6B1DED"/>
    <w:rsid w:val="6F7C5542"/>
    <w:rsid w:val="6FA80BBD"/>
    <w:rsid w:val="6FAD3CA9"/>
    <w:rsid w:val="6FBD6CB9"/>
    <w:rsid w:val="6FCF5D23"/>
    <w:rsid w:val="6FD17590"/>
    <w:rsid w:val="6FEF12D1"/>
    <w:rsid w:val="705E2AF6"/>
    <w:rsid w:val="706B7C31"/>
    <w:rsid w:val="706D4464"/>
    <w:rsid w:val="707C51FB"/>
    <w:rsid w:val="70941663"/>
    <w:rsid w:val="70BB5063"/>
    <w:rsid w:val="70C53B3E"/>
    <w:rsid w:val="70EC4390"/>
    <w:rsid w:val="710D5505"/>
    <w:rsid w:val="710E7F23"/>
    <w:rsid w:val="714E2BDF"/>
    <w:rsid w:val="7150018A"/>
    <w:rsid w:val="715D6248"/>
    <w:rsid w:val="7165375A"/>
    <w:rsid w:val="71914D68"/>
    <w:rsid w:val="71A92237"/>
    <w:rsid w:val="71C900DE"/>
    <w:rsid w:val="71D75795"/>
    <w:rsid w:val="71E952CC"/>
    <w:rsid w:val="71FC15A2"/>
    <w:rsid w:val="720E25EB"/>
    <w:rsid w:val="72194564"/>
    <w:rsid w:val="722A1277"/>
    <w:rsid w:val="722E19DD"/>
    <w:rsid w:val="725B1454"/>
    <w:rsid w:val="72C6583F"/>
    <w:rsid w:val="72EF3440"/>
    <w:rsid w:val="73532623"/>
    <w:rsid w:val="73581DDB"/>
    <w:rsid w:val="736600CA"/>
    <w:rsid w:val="736741AA"/>
    <w:rsid w:val="738F4DC4"/>
    <w:rsid w:val="73A03374"/>
    <w:rsid w:val="73BF77DA"/>
    <w:rsid w:val="73C3687C"/>
    <w:rsid w:val="73ED0074"/>
    <w:rsid w:val="741F4D58"/>
    <w:rsid w:val="74284E02"/>
    <w:rsid w:val="7444152B"/>
    <w:rsid w:val="744D1F5C"/>
    <w:rsid w:val="745631DF"/>
    <w:rsid w:val="746E7E16"/>
    <w:rsid w:val="747970FF"/>
    <w:rsid w:val="74835301"/>
    <w:rsid w:val="748C676F"/>
    <w:rsid w:val="748D6652"/>
    <w:rsid w:val="74B041F8"/>
    <w:rsid w:val="74B66250"/>
    <w:rsid w:val="74D379E1"/>
    <w:rsid w:val="74D53759"/>
    <w:rsid w:val="74D74DEE"/>
    <w:rsid w:val="750648B0"/>
    <w:rsid w:val="750D40AB"/>
    <w:rsid w:val="751C614A"/>
    <w:rsid w:val="75981A19"/>
    <w:rsid w:val="75B01534"/>
    <w:rsid w:val="75C50142"/>
    <w:rsid w:val="75EB0D5A"/>
    <w:rsid w:val="75EF084A"/>
    <w:rsid w:val="76395FF6"/>
    <w:rsid w:val="764F12A7"/>
    <w:rsid w:val="76530DD9"/>
    <w:rsid w:val="766541A9"/>
    <w:rsid w:val="766B0B94"/>
    <w:rsid w:val="76973313"/>
    <w:rsid w:val="76B96380"/>
    <w:rsid w:val="76EF03D6"/>
    <w:rsid w:val="770411AA"/>
    <w:rsid w:val="77121C8D"/>
    <w:rsid w:val="773A3D47"/>
    <w:rsid w:val="7754197B"/>
    <w:rsid w:val="77545CF4"/>
    <w:rsid w:val="775841CD"/>
    <w:rsid w:val="777E5046"/>
    <w:rsid w:val="77876F21"/>
    <w:rsid w:val="77E61A66"/>
    <w:rsid w:val="77F30AD8"/>
    <w:rsid w:val="780113D8"/>
    <w:rsid w:val="78221F61"/>
    <w:rsid w:val="782E0EB8"/>
    <w:rsid w:val="78590854"/>
    <w:rsid w:val="785D6C46"/>
    <w:rsid w:val="785E095F"/>
    <w:rsid w:val="7875547E"/>
    <w:rsid w:val="788C0F3B"/>
    <w:rsid w:val="789E536D"/>
    <w:rsid w:val="78E310F6"/>
    <w:rsid w:val="78FE7BB6"/>
    <w:rsid w:val="7924080B"/>
    <w:rsid w:val="794C17CC"/>
    <w:rsid w:val="79B23631"/>
    <w:rsid w:val="79B80F53"/>
    <w:rsid w:val="79BF6786"/>
    <w:rsid w:val="79EC61F6"/>
    <w:rsid w:val="7A0A223C"/>
    <w:rsid w:val="7A4647B1"/>
    <w:rsid w:val="7A570777"/>
    <w:rsid w:val="7A754115"/>
    <w:rsid w:val="7A97566F"/>
    <w:rsid w:val="7ABE2599"/>
    <w:rsid w:val="7AC36B6F"/>
    <w:rsid w:val="7ADD08E8"/>
    <w:rsid w:val="7B7C4451"/>
    <w:rsid w:val="7BC6405E"/>
    <w:rsid w:val="7BF85F7F"/>
    <w:rsid w:val="7C1E26B7"/>
    <w:rsid w:val="7C3004D5"/>
    <w:rsid w:val="7C4B0AF4"/>
    <w:rsid w:val="7C6C4058"/>
    <w:rsid w:val="7C806262"/>
    <w:rsid w:val="7CAF663E"/>
    <w:rsid w:val="7CC62D94"/>
    <w:rsid w:val="7CE71611"/>
    <w:rsid w:val="7D052AED"/>
    <w:rsid w:val="7D1538C8"/>
    <w:rsid w:val="7D2F59D0"/>
    <w:rsid w:val="7D3B05B6"/>
    <w:rsid w:val="7D3B2145"/>
    <w:rsid w:val="7D4716CE"/>
    <w:rsid w:val="7D5158CF"/>
    <w:rsid w:val="7EA63720"/>
    <w:rsid w:val="7F0B55EB"/>
    <w:rsid w:val="7F231018"/>
    <w:rsid w:val="7F482482"/>
    <w:rsid w:val="7F693216"/>
    <w:rsid w:val="7F8054B6"/>
    <w:rsid w:val="7F92176E"/>
    <w:rsid w:val="7F9222E3"/>
    <w:rsid w:val="7F9E5EDC"/>
    <w:rsid w:val="7FAA2F02"/>
    <w:rsid w:val="7FE733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Century Gothic"/>
      <w:b/>
      <w:bCs/>
      <w:kern w:val="44"/>
      <w:sz w:val="44"/>
      <w:szCs w:val="44"/>
    </w:rPr>
  </w:style>
  <w:style w:type="paragraph" w:styleId="3">
    <w:name w:val="heading 2"/>
    <w:basedOn w:val="1"/>
    <w:next w:val="1"/>
    <w:qFormat/>
    <w:uiPriority w:val="99"/>
    <w:pPr>
      <w:keepNext/>
      <w:adjustRightInd w:val="0"/>
      <w:spacing w:line="360" w:lineRule="auto"/>
      <w:outlineLvl w:val="1"/>
    </w:pPr>
    <w:rPr>
      <w:rFonts w:ascii="仿宋_GB2312" w:hAnsi="宋体" w:eastAsia="仿宋_GB2312"/>
      <w:kern w:val="0"/>
      <w:sz w:val="30"/>
      <w:szCs w:val="20"/>
    </w:rPr>
  </w:style>
  <w:style w:type="paragraph" w:styleId="4">
    <w:name w:val="heading 3"/>
    <w:basedOn w:val="1"/>
    <w:next w:val="1"/>
    <w:qFormat/>
    <w:uiPriority w:val="9"/>
    <w:pPr>
      <w:keepNext/>
      <w:keepLines/>
      <w:spacing w:before="260" w:after="260" w:line="416" w:lineRule="auto"/>
      <w:outlineLvl w:val="2"/>
    </w:pPr>
    <w:rPr>
      <w:sz w:val="32"/>
      <w:szCs w:val="32"/>
    </w:rPr>
  </w:style>
  <w:style w:type="paragraph" w:styleId="5">
    <w:name w:val="heading 4"/>
    <w:basedOn w:val="1"/>
    <w:next w:val="6"/>
    <w:qFormat/>
    <w:uiPriority w:val="0"/>
    <w:pPr>
      <w:keepNext/>
      <w:keepLines/>
      <w:spacing w:line="540" w:lineRule="atLeast"/>
      <w:outlineLvl w:val="3"/>
    </w:pPr>
    <w:rPr>
      <w:sz w:val="28"/>
      <w:szCs w:val="28"/>
    </w:rPr>
  </w:style>
  <w:style w:type="paragraph" w:styleId="8">
    <w:name w:val="heading 5"/>
    <w:basedOn w:val="1"/>
    <w:next w:val="1"/>
    <w:qFormat/>
    <w:uiPriority w:val="1"/>
    <w:pPr>
      <w:ind w:left="800"/>
      <w:outlineLvl w:val="4"/>
    </w:pPr>
    <w:rPr>
      <w:rFonts w:ascii="宋体" w:hAnsi="宋体" w:cs="宋体"/>
      <w:b/>
      <w:bCs/>
      <w:sz w:val="24"/>
      <w:lang w:val="zh-CN" w:bidi="zh-CN"/>
    </w:rPr>
  </w:style>
  <w:style w:type="paragraph" w:styleId="9">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6">
    <w:name w:val="Plain Text"/>
    <w:basedOn w:val="1"/>
    <w:next w:val="7"/>
    <w:qFormat/>
    <w:uiPriority w:val="0"/>
    <w:rPr>
      <w:rFonts w:ascii="宋体" w:hAnsi="Courier New"/>
    </w:rPr>
  </w:style>
  <w:style w:type="paragraph" w:styleId="7">
    <w:name w:val="index 7"/>
    <w:basedOn w:val="1"/>
    <w:next w:val="1"/>
    <w:qFormat/>
    <w:uiPriority w:val="0"/>
    <w:pPr>
      <w:ind w:left="1200" w:leftChars="1200"/>
    </w:pPr>
  </w:style>
  <w:style w:type="paragraph" w:styleId="10">
    <w:name w:val="table of authorities"/>
    <w:basedOn w:val="1"/>
    <w:next w:val="1"/>
    <w:qFormat/>
    <w:uiPriority w:val="0"/>
    <w:pPr>
      <w:ind w:left="420" w:leftChars="200"/>
    </w:pPr>
  </w:style>
  <w:style w:type="paragraph" w:styleId="11">
    <w:name w:val="List Number"/>
    <w:basedOn w:val="1"/>
    <w:qFormat/>
    <w:uiPriority w:val="0"/>
    <w:pPr>
      <w:numPr>
        <w:ilvl w:val="0"/>
        <w:numId w:val="1"/>
      </w:numPr>
    </w:pPr>
  </w:style>
  <w:style w:type="paragraph" w:styleId="12">
    <w:name w:val="Normal Indent"/>
    <w:basedOn w:val="1"/>
    <w:next w:val="1"/>
    <w:qFormat/>
    <w:uiPriority w:val="0"/>
    <w:pPr>
      <w:ind w:firstLine="420"/>
    </w:pPr>
    <w:rPr>
      <w:rFonts w:ascii="宋体" w:hAnsi="Courier New"/>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annotation text"/>
    <w:basedOn w:val="1"/>
    <w:qFormat/>
    <w:uiPriority w:val="0"/>
    <w:pPr>
      <w:jc w:val="left"/>
    </w:pPr>
  </w:style>
  <w:style w:type="paragraph" w:styleId="15">
    <w:name w:val="Body Text"/>
    <w:basedOn w:val="1"/>
    <w:next w:val="16"/>
    <w:unhideWhenUsed/>
    <w:qFormat/>
    <w:uiPriority w:val="99"/>
    <w:pPr>
      <w:spacing w:line="360" w:lineRule="exact"/>
    </w:pPr>
    <w:rPr>
      <w:sz w:val="24"/>
    </w:rPr>
  </w:style>
  <w:style w:type="paragraph" w:styleId="16">
    <w:name w:val="Body Text First Indent"/>
    <w:basedOn w:val="15"/>
    <w:next w:val="17"/>
    <w:qFormat/>
    <w:uiPriority w:val="0"/>
    <w:pPr>
      <w:spacing w:after="120"/>
      <w:ind w:firstLine="420" w:firstLineChars="100"/>
    </w:pPr>
    <w:rPr>
      <w:rFonts w:ascii="Times New Roman"/>
      <w:sz w:val="21"/>
    </w:rPr>
  </w:style>
  <w:style w:type="paragraph" w:styleId="17">
    <w:name w:val="toc 6"/>
    <w:basedOn w:val="1"/>
    <w:next w:val="1"/>
    <w:qFormat/>
    <w:uiPriority w:val="0"/>
    <w:pPr>
      <w:spacing w:line="360" w:lineRule="auto"/>
      <w:ind w:left="960" w:firstLine="200" w:firstLineChars="200"/>
      <w:jc w:val="left"/>
    </w:pPr>
    <w:rPr>
      <w:sz w:val="20"/>
      <w:szCs w:val="20"/>
    </w:rPr>
  </w:style>
  <w:style w:type="paragraph" w:styleId="18">
    <w:name w:val="Body Text Indent"/>
    <w:basedOn w:val="1"/>
    <w:next w:val="12"/>
    <w:qFormat/>
    <w:uiPriority w:val="0"/>
    <w:pPr>
      <w:spacing w:line="400" w:lineRule="atLeast"/>
      <w:ind w:left="210" w:firstLine="210"/>
    </w:pPr>
    <w:rPr>
      <w:rFonts w:hint="eastAsia" w:ascii="宋体" w:hAnsi="宋体"/>
      <w:szCs w:val="20"/>
    </w:rPr>
  </w:style>
  <w:style w:type="paragraph" w:styleId="19">
    <w:name w:val="Block Text"/>
    <w:basedOn w:val="1"/>
    <w:unhideWhenUsed/>
    <w:qFormat/>
    <w:uiPriority w:val="99"/>
    <w:pPr>
      <w:spacing w:after="120"/>
      <w:ind w:left="1440" w:leftChars="700" w:right="1440" w:rightChars="700"/>
    </w:pPr>
  </w:style>
  <w:style w:type="paragraph" w:styleId="20">
    <w:name w:val="toc 3"/>
    <w:basedOn w:val="1"/>
    <w:next w:val="1"/>
    <w:unhideWhenUsed/>
    <w:qFormat/>
    <w:uiPriority w:val="39"/>
    <w:pPr>
      <w:ind w:left="200" w:leftChars="200"/>
    </w:pPr>
    <w:rPr>
      <w:rFonts w:eastAsia="仿宋"/>
      <w:b/>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line="432" w:lineRule="auto"/>
      <w:ind w:firstLine="480" w:firstLineChars="200"/>
    </w:pPr>
    <w:rPr>
      <w:sz w:val="24"/>
      <w:szCs w:val="21"/>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9060"/>
        <w:tab w:val="right" w:leader="dot" w:pos="9170"/>
      </w:tabs>
      <w:jc w:val="center"/>
    </w:pPr>
    <w:rPr>
      <w:rFonts w:ascii="仿宋_GB2312" w:eastAsia="仿宋_GB2312"/>
      <w:b/>
      <w:caps/>
      <w:color w:val="000000"/>
      <w:sz w:val="20"/>
      <w:szCs w:val="20"/>
    </w:rPr>
  </w:style>
  <w:style w:type="paragraph" w:styleId="26">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7">
    <w:name w:val="toc 2"/>
    <w:basedOn w:val="1"/>
    <w:next w:val="1"/>
    <w:qFormat/>
    <w:uiPriority w:val="0"/>
    <w:pPr>
      <w:tabs>
        <w:tab w:val="right" w:leader="dot" w:pos="9170"/>
      </w:tabs>
      <w:ind w:left="210" w:firstLine="150"/>
      <w:jc w:val="left"/>
    </w:pPr>
    <w:rPr>
      <w:smallCaps/>
      <w:sz w:val="20"/>
      <w:szCs w:val="20"/>
    </w:rPr>
  </w:style>
  <w:style w:type="paragraph" w:styleId="28">
    <w:name w:val="Normal (Web)"/>
    <w:basedOn w:val="1"/>
    <w:qFormat/>
    <w:uiPriority w:val="99"/>
    <w:pPr>
      <w:widowControl/>
      <w:spacing w:before="100" w:beforeAutospacing="1" w:after="100" w:afterAutospacing="1"/>
      <w:jc w:val="left"/>
    </w:pPr>
    <w:rPr>
      <w:rFonts w:ascii="宋体"/>
      <w:kern w:val="0"/>
      <w:sz w:val="24"/>
    </w:rPr>
  </w:style>
  <w:style w:type="paragraph" w:styleId="29">
    <w:name w:val="Title"/>
    <w:basedOn w:val="1"/>
    <w:next w:val="1"/>
    <w:qFormat/>
    <w:uiPriority w:val="0"/>
    <w:pPr>
      <w:jc w:val="center"/>
    </w:pPr>
    <w:rPr>
      <w:rFonts w:ascii="Arial" w:hAnsi="Arial"/>
      <w:b/>
      <w:kern w:val="0"/>
      <w:sz w:val="36"/>
      <w:lang w:eastAsia="en-US"/>
    </w:rPr>
  </w:style>
  <w:style w:type="paragraph" w:styleId="30">
    <w:name w:val="Body Text First Indent 2"/>
    <w:basedOn w:val="1"/>
    <w:next w:val="1"/>
    <w:qFormat/>
    <w:uiPriority w:val="0"/>
    <w:pPr>
      <w:autoSpaceDE w:val="0"/>
      <w:autoSpaceDN w:val="0"/>
      <w:adjustRightInd w:val="0"/>
      <w:ind w:firstLine="420" w:firstLineChars="200"/>
      <w:jc w:val="left"/>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style>
  <w:style w:type="character" w:styleId="35">
    <w:name w:val="page number"/>
    <w:basedOn w:val="33"/>
    <w:qFormat/>
    <w:uiPriority w:val="0"/>
  </w:style>
  <w:style w:type="character" w:styleId="36">
    <w:name w:val="FollowedHyperlink"/>
    <w:basedOn w:val="33"/>
    <w:qFormat/>
    <w:uiPriority w:val="0"/>
    <w:rPr>
      <w:color w:val="333333"/>
      <w:u w:val="none"/>
    </w:rPr>
  </w:style>
  <w:style w:type="character" w:styleId="37">
    <w:name w:val="Emphasis"/>
    <w:basedOn w:val="33"/>
    <w:qFormat/>
    <w:uiPriority w:val="0"/>
  </w:style>
  <w:style w:type="character" w:styleId="38">
    <w:name w:val="Hyperlink"/>
    <w:basedOn w:val="33"/>
    <w:qFormat/>
    <w:uiPriority w:val="0"/>
    <w:rPr>
      <w:color w:val="333333"/>
      <w:u w:val="none"/>
    </w:rPr>
  </w:style>
  <w:style w:type="paragraph" w:customStyle="1" w:styleId="39">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paragraph" w:customStyle="1" w:styleId="40">
    <w:name w:val="BodyText"/>
    <w:basedOn w:val="1"/>
    <w:next w:val="1"/>
    <w:qFormat/>
    <w:uiPriority w:val="0"/>
    <w:pPr>
      <w:textAlignment w:val="baseline"/>
    </w:pPr>
    <w:rPr>
      <w:rFonts w:ascii="Calibri" w:hAnsi="Calibri"/>
      <w:b/>
      <w:sz w:val="30"/>
      <w:szCs w:val="22"/>
    </w:rPr>
  </w:style>
  <w:style w:type="paragraph" w:customStyle="1" w:styleId="41">
    <w:name w:val="表格文字"/>
    <w:basedOn w:val="42"/>
    <w:next w:val="15"/>
    <w:qFormat/>
    <w:uiPriority w:val="0"/>
    <w:pPr>
      <w:adjustRightInd w:val="0"/>
      <w:spacing w:line="420" w:lineRule="atLeast"/>
      <w:jc w:val="left"/>
      <w:textAlignment w:val="baseline"/>
    </w:pPr>
    <w:rPr>
      <w:kern w:val="0"/>
    </w:rPr>
  </w:style>
  <w:style w:type="paragraph" w:customStyle="1" w:styleId="42">
    <w:name w:val="表格文字（两侧对齐）"/>
    <w:basedOn w:val="1"/>
    <w:qFormat/>
    <w:uiPriority w:val="0"/>
    <w:pPr>
      <w:snapToGrid w:val="0"/>
    </w:pPr>
    <w:rPr>
      <w:rFonts w:eastAsia="宋体"/>
      <w:sz w:val="20"/>
    </w:rPr>
  </w:style>
  <w:style w:type="paragraph" w:customStyle="1" w:styleId="43">
    <w:name w:val="章正文"/>
    <w:basedOn w:val="1"/>
    <w:qFormat/>
    <w:uiPriority w:val="0"/>
    <w:pPr>
      <w:spacing w:beforeLines="50" w:after="120" w:line="300" w:lineRule="auto"/>
      <w:ind w:firstLine="480"/>
    </w:pPr>
    <w:rPr>
      <w:rFonts w:ascii="Helvetica" w:hAnsi="Helvetica"/>
      <w:kern w:val="0"/>
      <w:sz w:val="24"/>
    </w:rPr>
  </w:style>
  <w:style w:type="paragraph" w:customStyle="1" w:styleId="44">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5">
    <w:name w:val="正文格式"/>
    <w:basedOn w:val="1"/>
    <w:qFormat/>
    <w:uiPriority w:val="0"/>
    <w:pPr>
      <w:widowControl/>
      <w:topLinePunct/>
      <w:ind w:firstLine="420" w:firstLineChars="200"/>
    </w:pPr>
    <w:rPr>
      <w:rFonts w:ascii="宋体" w:hAnsi="宋体"/>
      <w:bCs/>
      <w:szCs w:val="21"/>
    </w:rPr>
  </w:style>
  <w:style w:type="paragraph" w:customStyle="1" w:styleId="46">
    <w:name w:val="Body Text First Indent 21"/>
    <w:basedOn w:val="47"/>
    <w:qFormat/>
    <w:uiPriority w:val="0"/>
    <w:pPr>
      <w:ind w:firstLine="420"/>
    </w:pPr>
    <w:rPr>
      <w:rFonts w:ascii="Times New Roman" w:hAnsi="Times New Roman" w:cs="宋体"/>
    </w:rPr>
  </w:style>
  <w:style w:type="paragraph" w:customStyle="1" w:styleId="47">
    <w:name w:val="Body Text Indent1"/>
    <w:basedOn w:val="1"/>
    <w:next w:val="1"/>
    <w:qFormat/>
    <w:uiPriority w:val="0"/>
    <w:pPr>
      <w:spacing w:after="120"/>
      <w:ind w:left="420" w:leftChars="200"/>
    </w:pPr>
    <w:rPr>
      <w:color w:val="000000"/>
      <w:szCs w:val="21"/>
    </w:rPr>
  </w:style>
  <w:style w:type="paragraph" w:customStyle="1" w:styleId="48">
    <w:name w:val="正文（首行缩进2字符）"/>
    <w:basedOn w:val="1"/>
    <w:qFormat/>
    <w:uiPriority w:val="0"/>
    <w:pPr>
      <w:spacing w:line="360" w:lineRule="auto"/>
      <w:ind w:firstLine="420" w:firstLineChars="200"/>
    </w:pPr>
    <w:rPr>
      <w:szCs w:val="21"/>
    </w:rPr>
  </w:style>
  <w:style w:type="paragraph" w:customStyle="1" w:styleId="49">
    <w:name w:val="_Style 2"/>
    <w:basedOn w:val="1"/>
    <w:qFormat/>
    <w:uiPriority w:val="0"/>
    <w:pPr>
      <w:ind w:firstLine="200" w:firstLineChars="200"/>
    </w:pPr>
    <w:rPr>
      <w:sz w:val="28"/>
      <w:szCs w:val="22"/>
    </w:rPr>
  </w:style>
  <w:style w:type="paragraph" w:customStyle="1" w:styleId="50">
    <w:name w:val="Char1"/>
    <w:basedOn w:val="1"/>
    <w:qFormat/>
    <w:uiPriority w:val="0"/>
    <w:rPr>
      <w:rFonts w:ascii="仿宋_GB2312" w:eastAsia="仿宋_GB2312"/>
      <w:b/>
      <w:sz w:val="32"/>
      <w:szCs w:val="32"/>
    </w:rPr>
  </w:style>
  <w:style w:type="paragraph" w:customStyle="1" w:styleId="51">
    <w:name w:val="样式 正文（首行缩进两字） + 宋体 左侧:  0 厘米 悬挂缩进: 1.43 字符"/>
    <w:basedOn w:val="12"/>
    <w:qFormat/>
    <w:uiPriority w:val="0"/>
    <w:pPr>
      <w:spacing w:line="460" w:lineRule="exact"/>
      <w:ind w:left="359" w:hanging="359" w:hangingChars="143"/>
    </w:pPr>
    <w:rPr>
      <w:rFonts w:hAnsi="宋体" w:cs="宋体"/>
      <w:spacing w:val="6"/>
      <w:kern w:val="24"/>
      <w:sz w:val="24"/>
    </w:rPr>
  </w:style>
  <w:style w:type="paragraph" w:customStyle="1" w:styleId="52">
    <w:name w:val="正文2"/>
    <w:basedOn w:val="1"/>
    <w:qFormat/>
    <w:uiPriority w:val="0"/>
    <w:pPr>
      <w:spacing w:before="156" w:line="360" w:lineRule="auto"/>
      <w:ind w:firstLine="510" w:firstLineChars="200"/>
    </w:pPr>
    <w:rPr>
      <w:sz w:val="24"/>
      <w:szCs w:val="20"/>
    </w:rPr>
  </w:style>
  <w:style w:type="paragraph" w:customStyle="1" w:styleId="53">
    <w:name w:val="正文文本缩进1"/>
    <w:basedOn w:val="1"/>
    <w:next w:val="1"/>
    <w:qFormat/>
    <w:uiPriority w:val="0"/>
    <w:pPr>
      <w:spacing w:after="120"/>
      <w:ind w:left="420" w:leftChars="200"/>
    </w:pPr>
    <w:rPr>
      <w:color w:val="000000"/>
      <w:szCs w:val="21"/>
    </w:rPr>
  </w:style>
  <w:style w:type="paragraph" w:customStyle="1" w:styleId="5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首行缩进 21"/>
    <w:basedOn w:val="53"/>
    <w:qFormat/>
    <w:uiPriority w:val="0"/>
    <w:pPr>
      <w:ind w:firstLine="420"/>
    </w:pPr>
    <w:rPr>
      <w:rFonts w:ascii="Times New Roman" w:hAnsi="Times New Roman" w:cs="宋体"/>
    </w:rPr>
  </w:style>
  <w:style w:type="paragraph" w:customStyle="1" w:styleId="56">
    <w:name w:val="p0"/>
    <w:basedOn w:val="1"/>
    <w:qFormat/>
    <w:uiPriority w:val="0"/>
    <w:pPr>
      <w:widowControl/>
    </w:pPr>
    <w:rPr>
      <w:kern w:val="0"/>
      <w:szCs w:val="21"/>
    </w:rPr>
  </w:style>
  <w:style w:type="paragraph" w:customStyle="1" w:styleId="57">
    <w:name w:val="Table Paragraph"/>
    <w:basedOn w:val="1"/>
    <w:qFormat/>
    <w:uiPriority w:val="1"/>
    <w:rPr>
      <w:rFonts w:ascii="宋体" w:hAnsi="宋体" w:cs="宋体"/>
      <w:lang w:val="zh-CN" w:bidi="zh-CN"/>
    </w:rPr>
  </w:style>
  <w:style w:type="paragraph" w:customStyle="1" w:styleId="58">
    <w:name w:val="样式 正文（首行缩进两字） + 宋体 首行缩进:  0 字符"/>
    <w:basedOn w:val="12"/>
    <w:qFormat/>
    <w:uiPriority w:val="0"/>
    <w:pPr>
      <w:spacing w:line="460" w:lineRule="exact"/>
      <w:ind w:firstLine="0"/>
    </w:pPr>
    <w:rPr>
      <w:rFonts w:hAnsi="宋体" w:cs="宋体"/>
      <w:spacing w:val="6"/>
      <w:kern w:val="24"/>
      <w:sz w:val="24"/>
    </w:rPr>
  </w:style>
  <w:style w:type="paragraph" w:customStyle="1" w:styleId="59">
    <w:name w:val="列出段落1"/>
    <w:basedOn w:val="1"/>
    <w:qFormat/>
    <w:uiPriority w:val="1"/>
    <w:pPr>
      <w:ind w:left="800" w:firstLine="424"/>
    </w:pPr>
    <w:rPr>
      <w:rFonts w:ascii="宋体" w:hAnsi="宋体" w:cs="宋体"/>
      <w:lang w:val="zh-CN" w:bidi="zh-CN"/>
    </w:rPr>
  </w:style>
  <w:style w:type="paragraph" w:customStyle="1" w:styleId="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large1"/>
    <w:basedOn w:val="33"/>
    <w:qFormat/>
    <w:uiPriority w:val="0"/>
    <w:rPr>
      <w:rFonts w:hint="eastAsia" w:ascii="宋体" w:hAnsi="宋体" w:eastAsia="宋体"/>
      <w:sz w:val="21"/>
      <w:szCs w:val="21"/>
    </w:rPr>
  </w:style>
  <w:style w:type="paragraph" w:customStyle="1" w:styleId="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66">
    <w:name w:val="正文1"/>
    <w:basedOn w:val="1"/>
    <w:qFormat/>
    <w:uiPriority w:val="0"/>
    <w:rPr>
      <w:rFonts w:ascii="宋体" w:hAnsi="宋体" w:cs="宋体"/>
    </w:rPr>
  </w:style>
  <w:style w:type="character" w:customStyle="1" w:styleId="67">
    <w:name w:val="time"/>
    <w:basedOn w:val="33"/>
    <w:qFormat/>
    <w:uiPriority w:val="0"/>
    <w:rPr>
      <w:sz w:val="18"/>
      <w:szCs w:val="18"/>
    </w:rPr>
  </w:style>
  <w:style w:type="character" w:customStyle="1" w:styleId="68">
    <w:name w:val="time1"/>
    <w:basedOn w:val="33"/>
    <w:qFormat/>
    <w:uiPriority w:val="0"/>
    <w:rPr>
      <w:sz w:val="18"/>
      <w:szCs w:val="18"/>
    </w:rPr>
  </w:style>
  <w:style w:type="character" w:customStyle="1" w:styleId="69">
    <w:name w:val="font"/>
    <w:basedOn w:val="33"/>
    <w:qFormat/>
    <w:uiPriority w:val="0"/>
    <w:rPr>
      <w:color w:val="727272"/>
      <w:sz w:val="19"/>
      <w:szCs w:val="19"/>
    </w:rPr>
  </w:style>
  <w:style w:type="character" w:customStyle="1" w:styleId="70">
    <w:name w:val="font1"/>
    <w:basedOn w:val="33"/>
    <w:qFormat/>
    <w:uiPriority w:val="0"/>
    <w:rPr>
      <w:color w:val="727272"/>
      <w:sz w:val="19"/>
      <w:szCs w:val="19"/>
    </w:rPr>
  </w:style>
  <w:style w:type="character" w:customStyle="1" w:styleId="71">
    <w:name w:val="tel"/>
    <w:basedOn w:val="33"/>
    <w:qFormat/>
    <w:uiPriority w:val="0"/>
  </w:style>
  <w:style w:type="character" w:customStyle="1" w:styleId="72">
    <w:name w:val="ul_channel"/>
    <w:basedOn w:val="33"/>
    <w:qFormat/>
    <w:uiPriority w:val="0"/>
    <w:rPr>
      <w:color w:val="333333"/>
    </w:rPr>
  </w:style>
  <w:style w:type="character" w:customStyle="1" w:styleId="73">
    <w:name w:val="ul_channel1"/>
    <w:basedOn w:val="33"/>
    <w:qFormat/>
    <w:uiPriority w:val="0"/>
    <w:rPr>
      <w:color w:val="333333"/>
    </w:rPr>
  </w:style>
  <w:style w:type="character" w:customStyle="1" w:styleId="74">
    <w:name w:val="news"/>
    <w:basedOn w:val="33"/>
    <w:qFormat/>
    <w:uiPriority w:val="0"/>
  </w:style>
  <w:style w:type="character" w:customStyle="1" w:styleId="75">
    <w:name w:val="span_s"/>
    <w:basedOn w:val="33"/>
    <w:qFormat/>
    <w:uiPriority w:val="0"/>
  </w:style>
  <w:style w:type="character" w:customStyle="1" w:styleId="76">
    <w:name w:val="time2"/>
    <w:basedOn w:val="33"/>
    <w:qFormat/>
    <w:uiPriority w:val="0"/>
  </w:style>
  <w:style w:type="character" w:customStyle="1" w:styleId="77">
    <w:name w:val="time3"/>
    <w:basedOn w:val="33"/>
    <w:qFormat/>
    <w:uiPriority w:val="0"/>
  </w:style>
  <w:style w:type="character" w:customStyle="1" w:styleId="78">
    <w:name w:val="zfjc"/>
    <w:basedOn w:val="33"/>
    <w:qFormat/>
    <w:uiPriority w:val="0"/>
  </w:style>
  <w:style w:type="character" w:customStyle="1" w:styleId="79">
    <w:name w:val="event"/>
    <w:basedOn w:val="33"/>
    <w:qFormat/>
    <w:uiPriority w:val="0"/>
  </w:style>
  <w:style w:type="character" w:customStyle="1" w:styleId="80">
    <w:name w:val="event1"/>
    <w:basedOn w:val="33"/>
    <w:qFormat/>
    <w:uiPriority w:val="0"/>
  </w:style>
  <w:style w:type="character" w:customStyle="1" w:styleId="81">
    <w:name w:val="event2"/>
    <w:basedOn w:val="33"/>
    <w:qFormat/>
    <w:uiPriority w:val="0"/>
  </w:style>
  <w:style w:type="character" w:customStyle="1" w:styleId="82">
    <w:name w:val="sea_co"/>
    <w:basedOn w:val="33"/>
    <w:qFormat/>
    <w:uiPriority w:val="0"/>
    <w:rPr>
      <w:sz w:val="18"/>
      <w:szCs w:val="18"/>
    </w:rPr>
  </w:style>
  <w:style w:type="character" w:customStyle="1" w:styleId="83">
    <w:name w:val="span_l"/>
    <w:basedOn w:val="33"/>
    <w:qFormat/>
    <w:uiPriority w:val="0"/>
  </w:style>
  <w:style w:type="character" w:customStyle="1" w:styleId="84">
    <w:name w:val="channel_t"/>
    <w:basedOn w:val="33"/>
    <w:qFormat/>
    <w:uiPriority w:val="0"/>
    <w:rPr>
      <w:sz w:val="21"/>
      <w:szCs w:val="21"/>
    </w:rPr>
  </w:style>
  <w:style w:type="character" w:customStyle="1" w:styleId="85">
    <w:name w:val="NormalCharacter"/>
    <w:qFormat/>
    <w:uiPriority w:val="0"/>
    <w:rPr>
      <w:rFonts w:ascii="Calibri" w:hAnsi="Calibri" w:eastAsia="宋体" w:cs="Times New Roman"/>
    </w:rPr>
  </w:style>
  <w:style w:type="paragraph" w:customStyle="1" w:styleId="86">
    <w:name w:val="纯文本1"/>
    <w:basedOn w:val="87"/>
    <w:qFormat/>
    <w:uiPriority w:val="0"/>
    <w:pPr>
      <w:widowControl/>
      <w:jc w:val="left"/>
    </w:pPr>
    <w:rPr>
      <w:rFonts w:ascii="宋体" w:hAnsi="Courier New"/>
    </w:rPr>
  </w:style>
  <w:style w:type="paragraph" w:customStyle="1" w:styleId="8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8">
    <w:name w:val="无间隔1"/>
    <w:qFormat/>
    <w:uiPriority w:val="1"/>
    <w:rPr>
      <w:rFonts w:ascii="Calibri" w:hAnsi="Calibri" w:eastAsia="宋体" w:cs="Times New Roman"/>
      <w:sz w:val="22"/>
      <w:szCs w:val="22"/>
      <w:lang w:val="en-US" w:eastAsia="zh-CN" w:bidi="ar-SA"/>
    </w:rPr>
  </w:style>
  <w:style w:type="paragraph" w:customStyle="1" w:styleId="89">
    <w:name w:val="样式1"/>
    <w:basedOn w:val="24"/>
    <w:qFormat/>
    <w:uiPriority w:val="0"/>
    <w:rPr>
      <w:rFonts w:eastAsia="仿宋"/>
      <w:b/>
      <w14:textOutline w14:w="3175" w14:cap="flat" w14:cmpd="sng" w14:algn="ctr">
        <w14:solidFill>
          <w14:schemeClr w14:val="tx1"/>
        </w14:solidFill>
        <w14:prstDash w14:val="solid"/>
        <w14:round/>
      </w14:textOutline>
    </w:rPr>
  </w:style>
  <w:style w:type="paragraph" w:customStyle="1" w:styleId="90">
    <w:name w:val="[Normal]"/>
    <w:qFormat/>
    <w:uiPriority w:val="0"/>
    <w:rPr>
      <w:rFonts w:ascii="宋体" w:hAnsi="宋体" w:eastAsia="宋体" w:cs="Times New Roman"/>
      <w:sz w:val="24"/>
      <w:lang w:val="en-US" w:eastAsia="en-US" w:bidi="ar-SA"/>
    </w:rPr>
  </w:style>
  <w:style w:type="paragraph" w:customStyle="1" w:styleId="91">
    <w:name w:val="Char3"/>
    <w:basedOn w:val="1"/>
    <w:qFormat/>
    <w:uiPriority w:val="99"/>
    <w:pPr>
      <w:adjustRightInd w:val="0"/>
      <w:spacing w:line="360" w:lineRule="auto"/>
    </w:pPr>
    <w:rPr>
      <w:kern w:val="0"/>
      <w:sz w:val="24"/>
      <w:szCs w:val="20"/>
    </w:rPr>
  </w:style>
  <w:style w:type="character" w:customStyle="1" w:styleId="92">
    <w:name w:val="font11"/>
    <w:basedOn w:val="33"/>
    <w:qFormat/>
    <w:uiPriority w:val="0"/>
    <w:rPr>
      <w:rFonts w:hint="default" w:ascii="Wingdings 2" w:hAnsi="Wingdings 2" w:eastAsia="Wingdings 2" w:cs="Wingdings 2"/>
      <w:color w:val="000000"/>
      <w:sz w:val="22"/>
      <w:szCs w:val="22"/>
      <w:u w:val="none"/>
    </w:rPr>
  </w:style>
  <w:style w:type="character" w:customStyle="1" w:styleId="93">
    <w:name w:val="font21"/>
    <w:basedOn w:val="33"/>
    <w:qFormat/>
    <w:uiPriority w:val="0"/>
    <w:rPr>
      <w:rFonts w:hint="eastAsia" w:ascii="微软雅黑" w:hAnsi="微软雅黑" w:eastAsia="微软雅黑" w:cs="微软雅黑"/>
      <w:color w:val="000000"/>
      <w:sz w:val="22"/>
      <w:szCs w:val="22"/>
      <w:u w:val="none"/>
    </w:rPr>
  </w:style>
  <w:style w:type="paragraph" w:customStyle="1" w:styleId="94">
    <w:name w:val="_Style 10"/>
    <w:basedOn w:val="1"/>
    <w:qFormat/>
    <w:uiPriority w:val="34"/>
    <w:pPr>
      <w:widowControl/>
      <w:ind w:firstLine="420" w:firstLineChars="200"/>
      <w:jc w:val="left"/>
    </w:pPr>
    <w:rPr>
      <w:rFonts w:ascii="宋体" w:hAnsi="宋体" w:cs="宋体"/>
      <w:kern w:val="0"/>
      <w:sz w:val="24"/>
    </w:rPr>
  </w:style>
  <w:style w:type="paragraph" w:customStyle="1" w:styleId="95">
    <w:name w:val="正文4"/>
    <w:basedOn w:val="1"/>
    <w:qFormat/>
    <w:uiPriority w:val="0"/>
    <w:pPr>
      <w:adjustRightInd w:val="0"/>
      <w:spacing w:line="318" w:lineRule="atLeast"/>
      <w:ind w:left="369" w:firstLine="369"/>
      <w:textAlignment w:val="baseline"/>
    </w:pPr>
    <w:rPr>
      <w:rFonts w:ascii="宋体"/>
      <w:szCs w:val="20"/>
    </w:rPr>
  </w:style>
  <w:style w:type="character" w:customStyle="1" w:styleId="96">
    <w:name w:val="font41"/>
    <w:basedOn w:val="33"/>
    <w:qFormat/>
    <w:uiPriority w:val="0"/>
    <w:rPr>
      <w:rFonts w:hint="eastAsia" w:ascii="宋体" w:hAnsi="宋体" w:eastAsia="宋体" w:cs="宋体"/>
      <w:color w:val="000000"/>
      <w:sz w:val="20"/>
      <w:szCs w:val="20"/>
      <w:u w:val="none"/>
    </w:rPr>
  </w:style>
  <w:style w:type="character" w:customStyle="1" w:styleId="97">
    <w:name w:val="font81"/>
    <w:basedOn w:val="33"/>
    <w:qFormat/>
    <w:uiPriority w:val="0"/>
    <w:rPr>
      <w:rFonts w:hint="eastAsia" w:ascii="微软雅黑" w:hAnsi="微软雅黑" w:eastAsia="微软雅黑" w:cs="微软雅黑"/>
      <w:color w:val="FF0000"/>
      <w:sz w:val="20"/>
      <w:szCs w:val="20"/>
      <w:u w:val="none"/>
    </w:rPr>
  </w:style>
  <w:style w:type="character" w:customStyle="1" w:styleId="98">
    <w:name w:val="font91"/>
    <w:basedOn w:val="33"/>
    <w:qFormat/>
    <w:uiPriority w:val="0"/>
    <w:rPr>
      <w:rFonts w:ascii="Wingdings 2" w:hAnsi="Wingdings 2" w:eastAsia="Wingdings 2" w:cs="Wingdings 2"/>
      <w:color w:val="000000"/>
      <w:sz w:val="20"/>
      <w:szCs w:val="20"/>
      <w:u w:val="none"/>
    </w:rPr>
  </w:style>
  <w:style w:type="character" w:customStyle="1" w:styleId="99">
    <w:name w:val="font51"/>
    <w:basedOn w:val="33"/>
    <w:qFormat/>
    <w:uiPriority w:val="0"/>
    <w:rPr>
      <w:rFonts w:hint="eastAsia" w:ascii="宋体" w:hAnsi="宋体" w:eastAsia="宋体" w:cs="宋体"/>
      <w:color w:val="FF0000"/>
      <w:sz w:val="20"/>
      <w:szCs w:val="20"/>
      <w:u w:val="none"/>
    </w:rPr>
  </w:style>
  <w:style w:type="character" w:customStyle="1" w:styleId="100">
    <w:name w:val="font31"/>
    <w:basedOn w:val="33"/>
    <w:qFormat/>
    <w:uiPriority w:val="0"/>
    <w:rPr>
      <w:rFonts w:hint="eastAsia" w:ascii="微软雅黑" w:hAnsi="微软雅黑" w:eastAsia="微软雅黑" w:cs="微软雅黑"/>
      <w:color w:val="000000"/>
      <w:sz w:val="20"/>
      <w:szCs w:val="20"/>
      <w:u w:val="none"/>
    </w:rPr>
  </w:style>
  <w:style w:type="character" w:customStyle="1" w:styleId="101">
    <w:name w:val="font61"/>
    <w:basedOn w:val="33"/>
    <w:qFormat/>
    <w:uiPriority w:val="0"/>
    <w:rPr>
      <w:rFonts w:hint="eastAsia" w:ascii="微软雅黑" w:hAnsi="微软雅黑" w:eastAsia="微软雅黑" w:cs="微软雅黑"/>
      <w:color w:val="C00000"/>
      <w:sz w:val="20"/>
      <w:szCs w:val="20"/>
      <w:u w:val="none"/>
    </w:rPr>
  </w:style>
  <w:style w:type="character" w:customStyle="1" w:styleId="102">
    <w:name w:val="font01"/>
    <w:qFormat/>
    <w:uiPriority w:val="0"/>
    <w:rPr>
      <w:rFonts w:hint="default" w:ascii="Times New Roman" w:hAnsi="Times New Roman" w:cs="Times New Roman"/>
      <w:b/>
      <w:bCs/>
      <w:color w:val="000000"/>
      <w:sz w:val="22"/>
      <w:szCs w:val="22"/>
      <w:u w:val="none"/>
    </w:rPr>
  </w:style>
  <w:style w:type="paragraph" w:customStyle="1" w:styleId="103">
    <w:name w:val="Heading1"/>
    <w:basedOn w:val="1"/>
    <w:next w:val="1"/>
    <w:qFormat/>
    <w:uiPriority w:val="0"/>
    <w:pPr>
      <w:keepNext/>
      <w:keepLines/>
      <w:numPr>
        <w:ilvl w:val="0"/>
        <w:numId w:val="2"/>
      </w:numPr>
      <w:spacing w:before="340" w:after="330" w:line="578" w:lineRule="auto"/>
    </w:pPr>
    <w:rPr>
      <w:rFonts w:ascii="Times New Roman" w:hAnsi="Times New Roman"/>
      <w:b/>
      <w:bCs/>
      <w:kern w:val="44"/>
      <w:sz w:val="44"/>
      <w:szCs w:val="44"/>
    </w:rPr>
  </w:style>
  <w:style w:type="paragraph" w:styleId="104">
    <w:name w:val="List Paragraph"/>
    <w:basedOn w:val="1"/>
    <w:qFormat/>
    <w:uiPriority w:val="1"/>
    <w:pPr>
      <w:ind w:left="800" w:firstLine="424"/>
    </w:pPr>
    <w:rPr>
      <w:rFonts w:ascii="宋体" w:hAnsi="宋体" w:eastAsia="宋体" w:cs="宋体"/>
      <w:lang w:val="zh-CN" w:eastAsia="zh-CN" w:bidi="zh-CN"/>
    </w:rPr>
  </w:style>
  <w:style w:type="paragraph" w:customStyle="1" w:styleId="105">
    <w:name w:val="无间距1"/>
    <w:qFormat/>
    <w:uiPriority w:val="99"/>
    <w:pPr>
      <w:widowControl w:val="0"/>
      <w:jc w:val="both"/>
    </w:pPr>
    <w:rPr>
      <w:rFonts w:ascii="Calibri" w:hAnsi="Calibri" w:eastAsia="微软雅黑 Light" w:cs="Times New Roman"/>
      <w:kern w:val="2"/>
      <w:sz w:val="24"/>
      <w:szCs w:val="22"/>
      <w:lang w:val="en-US" w:eastAsia="zh-CN" w:bidi="ar-SA"/>
    </w:rPr>
  </w:style>
  <w:style w:type="paragraph" w:customStyle="1" w:styleId="106">
    <w:name w:val="Heading3"/>
    <w:basedOn w:val="1"/>
    <w:next w:val="1"/>
    <w:qFormat/>
    <w:uiPriority w:val="0"/>
    <w:pPr>
      <w:keepNext/>
      <w:keepLines/>
      <w:spacing w:before="260" w:after="260" w:line="360" w:lineRule="auto"/>
      <w:ind w:firstLine="602" w:firstLineChars="200"/>
      <w:textAlignment w:val="baseline"/>
    </w:pPr>
    <w:rPr>
      <w:rFonts w:ascii="仿宋_GB2312" w:hAnsi="Times New Roman" w:eastAsia="仿宋_GB2312"/>
      <w:b/>
      <w:bCs/>
      <w:sz w:val="30"/>
      <w:szCs w:val="20"/>
    </w:rPr>
  </w:style>
  <w:style w:type="paragraph" w:customStyle="1" w:styleId="107">
    <w:name w:val="BodyText1I2"/>
    <w:basedOn w:val="108"/>
    <w:qFormat/>
    <w:uiPriority w:val="0"/>
    <w:pPr>
      <w:spacing w:after="120"/>
      <w:ind w:left="420" w:leftChars="200" w:firstLine="420" w:firstLineChars="200"/>
    </w:pPr>
    <w:rPr>
      <w:sz w:val="21"/>
    </w:rPr>
  </w:style>
  <w:style w:type="paragraph" w:customStyle="1" w:styleId="108">
    <w:name w:val="BodyTextIndent"/>
    <w:basedOn w:val="1"/>
    <w:qFormat/>
    <w:uiPriority w:val="0"/>
    <w:pPr>
      <w:ind w:firstLine="540"/>
    </w:pPr>
    <w:rPr>
      <w:sz w:val="28"/>
      <w:szCs w:val="20"/>
    </w:rPr>
  </w:style>
  <w:style w:type="paragraph" w:customStyle="1" w:styleId="10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4、正文"/>
    <w:basedOn w:val="1"/>
    <w:qFormat/>
    <w:uiPriority w:val="0"/>
    <w:pPr>
      <w:ind w:firstLine="200" w:firstLineChars="200"/>
    </w:pPr>
    <w:rPr>
      <w:rFonts w:ascii="宋体"/>
      <w:sz w:val="24"/>
      <w:szCs w:val="28"/>
    </w:rPr>
  </w:style>
  <w:style w:type="table" w:customStyle="1" w:styleId="1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天诚</Company>
  <Pages>55</Pages>
  <Words>27331</Words>
  <Characters>29061</Characters>
  <Lines>308</Lines>
  <Paragraphs>86</Paragraphs>
  <TotalTime>1</TotalTime>
  <ScaleCrop>false</ScaleCrop>
  <LinksUpToDate>false</LinksUpToDate>
  <CharactersWithSpaces>30742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2021-11-25T02:32:00Z</dcterms:created>
  <dc:creator>天诚</dc:creator>
  <cp:keywords>天诚</cp:keywords>
  <cp:lastModifiedBy>Admin</cp:lastModifiedBy>
  <cp:lastPrinted>2022-07-27T00:23:00Z</cp:lastPrinted>
  <dcterms:modified xsi:type="dcterms:W3CDTF">2025-01-21T07:47:16Z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FF84C537919B428988B6A73B96523ABC</vt:lpwstr>
  </property>
  <property fmtid="{D5CDD505-2E9C-101B-9397-08002B2CF9AE}" pid="4" name="commondata">
    <vt:lpwstr>eyJoZGlkIjoiNTI3OGI0YTNhNjc3OTA5MWUwNThlZmEyNTg2ODE2MTMifQ==</vt:lpwstr>
  </property>
  <property fmtid="{D5CDD505-2E9C-101B-9397-08002B2CF9AE}" pid="5" name="KSOTemplateDocerSaveRecord">
    <vt:lpwstr>eyJoZGlkIjoiZTdhOWI4MDY2NGU4OThlMjc0MGI3MjdiNDEyZGFlZDQiLCJ1c2VySWQiOiIzNTI2MTUyNDgifQ==</vt:lpwstr>
  </property>
</Properties>
</file>