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3B3E5">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4A091BC7">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5A7B74F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r>
        <w:rPr>
          <w:rFonts w:hint="eastAsia" w:ascii="宋体"/>
          <w:b/>
          <w:color w:val="auto"/>
          <w:kern w:val="0"/>
          <w:sz w:val="52"/>
          <w:szCs w:val="52"/>
          <w:highlight w:val="none"/>
        </w:rPr>
        <w:t>三门县政府采购招标文件</w:t>
      </w:r>
    </w:p>
    <w:p w14:paraId="4D43E3A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44"/>
          <w:szCs w:val="44"/>
          <w:highlight w:val="none"/>
        </w:rPr>
      </w:pPr>
    </w:p>
    <w:p w14:paraId="4080698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36"/>
          <w:szCs w:val="36"/>
          <w:highlight w:val="none"/>
        </w:rPr>
      </w:pPr>
      <w:r>
        <w:rPr>
          <w:rFonts w:hint="eastAsia" w:ascii="宋体"/>
          <w:b/>
          <w:color w:val="auto"/>
          <w:kern w:val="0"/>
          <w:sz w:val="36"/>
          <w:szCs w:val="36"/>
          <w:highlight w:val="none"/>
          <w:lang w:eastAsia="zh-CN"/>
        </w:rPr>
        <w:t>三招采-2025-GK006-1</w:t>
      </w:r>
      <w:r>
        <w:rPr>
          <w:rFonts w:hint="eastAsia" w:ascii="宋体"/>
          <w:b/>
          <w:color w:val="auto"/>
          <w:kern w:val="0"/>
          <w:sz w:val="36"/>
          <w:szCs w:val="36"/>
          <w:highlight w:val="none"/>
        </w:rPr>
        <w:t>号</w:t>
      </w:r>
    </w:p>
    <w:p w14:paraId="195D82A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33698733">
      <w:pPr>
        <w:pStyle w:val="26"/>
        <w:ind w:left="0" w:leftChars="0" w:firstLine="0"/>
        <w:rPr>
          <w:rFonts w:ascii="宋体"/>
          <w:color w:val="auto"/>
          <w:kern w:val="0"/>
          <w:sz w:val="28"/>
          <w:highlight w:val="none"/>
        </w:rPr>
      </w:pPr>
    </w:p>
    <w:p w14:paraId="72747D26">
      <w:pPr>
        <w:pStyle w:val="26"/>
        <w:rPr>
          <w:rFonts w:ascii="宋体"/>
          <w:color w:val="auto"/>
          <w:kern w:val="0"/>
          <w:sz w:val="28"/>
          <w:highlight w:val="none"/>
        </w:rPr>
      </w:pPr>
    </w:p>
    <w:p w14:paraId="79F221E6">
      <w:pPr>
        <w:autoSpaceDE w:val="0"/>
        <w:autoSpaceDN w:val="0"/>
        <w:adjustRightInd w:val="0"/>
        <w:spacing w:line="480" w:lineRule="auto"/>
        <w:ind w:left="2318" w:leftChars="380" w:hanging="1520" w:hangingChars="475"/>
        <w:rPr>
          <w:rFonts w:hint="eastAsia" w:ascii="宋体" w:eastAsia="宋体"/>
          <w:color w:val="auto"/>
          <w:kern w:val="0"/>
          <w:sz w:val="32"/>
          <w:szCs w:val="32"/>
          <w:highlight w:val="none"/>
          <w:lang w:eastAsia="zh-CN"/>
        </w:rPr>
      </w:pPr>
      <w:r>
        <w:rPr>
          <w:rFonts w:hint="eastAsia" w:ascii="宋体"/>
          <w:color w:val="auto"/>
          <w:kern w:val="0"/>
          <w:sz w:val="32"/>
          <w:szCs w:val="32"/>
          <w:highlight w:val="none"/>
        </w:rPr>
        <w:t>采购项目：</w:t>
      </w:r>
      <w:r>
        <w:rPr>
          <w:rFonts w:hint="eastAsia" w:ascii="宋体"/>
          <w:color w:val="auto"/>
          <w:kern w:val="0"/>
          <w:sz w:val="32"/>
          <w:szCs w:val="32"/>
          <w:highlight w:val="none"/>
          <w:lang w:eastAsia="zh-CN"/>
        </w:rPr>
        <w:t>三门县公安局机房升级改造项目（二次）</w:t>
      </w:r>
    </w:p>
    <w:p w14:paraId="590B6193">
      <w:pPr>
        <w:pStyle w:val="26"/>
        <w:rPr>
          <w:color w:val="auto"/>
          <w:highlight w:val="none"/>
        </w:rPr>
      </w:pPr>
    </w:p>
    <w:p w14:paraId="24AB2955">
      <w:pPr>
        <w:pStyle w:val="26"/>
        <w:rPr>
          <w:color w:val="auto"/>
          <w:highlight w:val="none"/>
        </w:rPr>
      </w:pPr>
    </w:p>
    <w:p w14:paraId="555D6F0E">
      <w:pPr>
        <w:pStyle w:val="26"/>
        <w:rPr>
          <w:color w:val="auto"/>
          <w:highlight w:val="none"/>
        </w:rPr>
      </w:pPr>
    </w:p>
    <w:p w14:paraId="7C7A495E">
      <w:pPr>
        <w:pStyle w:val="26"/>
        <w:rPr>
          <w:color w:val="auto"/>
          <w:highlight w:val="none"/>
        </w:rPr>
      </w:pPr>
    </w:p>
    <w:p w14:paraId="7A5DA0D1">
      <w:pPr>
        <w:pStyle w:val="26"/>
        <w:rPr>
          <w:color w:val="auto"/>
          <w:highlight w:val="none"/>
        </w:rPr>
      </w:pPr>
    </w:p>
    <w:p w14:paraId="74EF73EC">
      <w:pPr>
        <w:pStyle w:val="26"/>
        <w:rPr>
          <w:color w:val="auto"/>
          <w:highlight w:val="none"/>
        </w:rPr>
      </w:pPr>
    </w:p>
    <w:p w14:paraId="213F2AA2">
      <w:pPr>
        <w:pStyle w:val="26"/>
        <w:rPr>
          <w:color w:val="auto"/>
          <w:highlight w:val="none"/>
        </w:rPr>
      </w:pPr>
    </w:p>
    <w:p w14:paraId="0F53531C">
      <w:pPr>
        <w:pStyle w:val="26"/>
        <w:rPr>
          <w:color w:val="auto"/>
          <w:highlight w:val="none"/>
        </w:rPr>
      </w:pPr>
    </w:p>
    <w:p w14:paraId="0AA80CE0">
      <w:pPr>
        <w:autoSpaceDE w:val="0"/>
        <w:autoSpaceDN w:val="0"/>
        <w:adjustRightInd w:val="0"/>
        <w:spacing w:line="480" w:lineRule="auto"/>
        <w:ind w:firstLine="800" w:firstLineChars="250"/>
        <w:jc w:val="left"/>
        <w:rPr>
          <w:color w:val="auto"/>
          <w:highlight w:val="none"/>
        </w:rPr>
      </w:pPr>
      <w:r>
        <w:rPr>
          <w:rFonts w:hint="eastAsia" w:ascii="宋体"/>
          <w:color w:val="auto"/>
          <w:kern w:val="0"/>
          <w:sz w:val="32"/>
          <w:szCs w:val="32"/>
          <w:highlight w:val="none"/>
        </w:rPr>
        <w:t>采 购 人：三门县公安局</w:t>
      </w:r>
    </w:p>
    <w:p w14:paraId="6C02AD96">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800" w:firstLineChars="250"/>
        <w:jc w:val="left"/>
        <w:rPr>
          <w:rFonts w:ascii="宋体" w:hAnsi="宋体" w:cs="宋体"/>
          <w:color w:val="auto"/>
          <w:kern w:val="0"/>
          <w:sz w:val="32"/>
          <w:szCs w:val="32"/>
          <w:highlight w:val="none"/>
        </w:rPr>
      </w:pPr>
      <w:r>
        <w:rPr>
          <w:rFonts w:hint="eastAsia" w:ascii="宋体" w:hAnsi="宋体"/>
          <w:color w:val="auto"/>
          <w:sz w:val="32"/>
          <w:szCs w:val="32"/>
          <w:highlight w:val="none"/>
        </w:rPr>
        <w:t>采购代理人：浙江恒义工程咨询有限公司</w:t>
      </w:r>
    </w:p>
    <w:p w14:paraId="3DCA46E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32"/>
          <w:szCs w:val="32"/>
          <w:highlight w:val="none"/>
        </w:rPr>
      </w:pPr>
    </w:p>
    <w:p w14:paraId="140E1B7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sz w:val="32"/>
          <w:szCs w:val="32"/>
          <w:highlight w:val="none"/>
        </w:rPr>
      </w:pPr>
      <w:r>
        <w:rPr>
          <w:rFonts w:hint="eastAsia" w:ascii="宋体" w:hAnsi="宋体" w:cs="宋体"/>
          <w:color w:val="auto"/>
          <w:kern w:val="0"/>
          <w:sz w:val="32"/>
          <w:szCs w:val="32"/>
          <w:highlight w:val="none"/>
        </w:rPr>
        <w:fldChar w:fldCharType="begin"/>
      </w:r>
      <w:r>
        <w:rPr>
          <w:rFonts w:hint="eastAsia" w:ascii="宋体" w:hAnsi="宋体" w:cs="宋体"/>
          <w:color w:val="auto"/>
          <w:kern w:val="0"/>
          <w:sz w:val="32"/>
          <w:szCs w:val="32"/>
          <w:highlight w:val="none"/>
        </w:rPr>
        <w:instrText xml:space="preserve">Time \@ "yyyy年M月"</w:instrText>
      </w:r>
      <w:r>
        <w:rPr>
          <w:rFonts w:hint="eastAsia" w:ascii="宋体" w:hAnsi="宋体" w:cs="宋体"/>
          <w:color w:val="auto"/>
          <w:kern w:val="0"/>
          <w:sz w:val="32"/>
          <w:szCs w:val="32"/>
          <w:highlight w:val="none"/>
        </w:rPr>
        <w:fldChar w:fldCharType="separate"/>
      </w:r>
      <w:r>
        <w:rPr>
          <w:rFonts w:hint="eastAsia" w:ascii="宋体" w:hAnsi="宋体" w:cs="宋体"/>
          <w:color w:val="auto"/>
          <w:kern w:val="0"/>
          <w:sz w:val="32"/>
          <w:szCs w:val="32"/>
          <w:highlight w:val="none"/>
        </w:rPr>
        <w:t>2025年2月</w:t>
      </w:r>
      <w:r>
        <w:rPr>
          <w:rFonts w:hint="eastAsia" w:ascii="宋体" w:hAnsi="宋体" w:cs="宋体"/>
          <w:color w:val="auto"/>
          <w:kern w:val="0"/>
          <w:sz w:val="32"/>
          <w:szCs w:val="32"/>
          <w:highlight w:val="none"/>
        </w:rPr>
        <w:fldChar w:fldCharType="end"/>
      </w:r>
    </w:p>
    <w:p w14:paraId="7C3FF253">
      <w:pPr>
        <w:spacing w:line="360" w:lineRule="auto"/>
        <w:rPr>
          <w:color w:val="auto"/>
          <w:highlight w:val="none"/>
        </w:rPr>
      </w:pPr>
    </w:p>
    <w:p w14:paraId="3C405B67">
      <w:pPr>
        <w:pStyle w:val="39"/>
        <w:rPr>
          <w:color w:val="auto"/>
          <w:highlight w:val="none"/>
        </w:rPr>
      </w:pPr>
    </w:p>
    <w:p w14:paraId="0BFF6500">
      <w:pPr>
        <w:spacing w:line="360" w:lineRule="auto"/>
        <w:rPr>
          <w:color w:val="auto"/>
          <w:highlight w:val="none"/>
        </w:rPr>
      </w:pPr>
    </w:p>
    <w:p w14:paraId="5FD257A9">
      <w:pPr>
        <w:spacing w:line="360" w:lineRule="auto"/>
        <w:rPr>
          <w:color w:val="auto"/>
          <w:highlight w:val="none"/>
        </w:rPr>
      </w:pPr>
    </w:p>
    <w:p w14:paraId="2379E41C">
      <w:pPr>
        <w:spacing w:line="360" w:lineRule="auto"/>
        <w:jc w:val="center"/>
        <w:rPr>
          <w:b/>
          <w:bCs/>
          <w:color w:val="auto"/>
          <w:sz w:val="32"/>
          <w:szCs w:val="40"/>
          <w:highlight w:val="none"/>
        </w:rPr>
      </w:pPr>
      <w:r>
        <w:rPr>
          <w:rFonts w:hint="eastAsia"/>
          <w:b/>
          <w:bCs/>
          <w:color w:val="auto"/>
          <w:sz w:val="32"/>
          <w:szCs w:val="40"/>
          <w:highlight w:val="none"/>
        </w:rPr>
        <w:t>目录</w:t>
      </w:r>
    </w:p>
    <w:p w14:paraId="1630C75D">
      <w:pPr>
        <w:spacing w:line="360" w:lineRule="auto"/>
        <w:rPr>
          <w:color w:val="auto"/>
          <w:highlight w:val="none"/>
        </w:rPr>
      </w:pPr>
    </w:p>
    <w:p w14:paraId="358A75B8">
      <w:pPr>
        <w:pStyle w:val="17"/>
        <w:tabs>
          <w:tab w:val="right" w:leader="dot" w:pos="9072"/>
        </w:tabs>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highlight w:val="none"/>
        </w:rPr>
        <w:instrText xml:space="preserve"> HYPERLINK \l _Toc28920 </w:instrText>
      </w:r>
      <w:r>
        <w:rPr>
          <w:highlight w:val="none"/>
        </w:rPr>
        <w:fldChar w:fldCharType="separate"/>
      </w:r>
      <w:r>
        <w:rPr>
          <w:rFonts w:hint="eastAsia" w:ascii="宋体" w:hAnsi="宋体" w:cs="宋体"/>
          <w:szCs w:val="32"/>
        </w:rPr>
        <w:t xml:space="preserve">第一章 </w:t>
      </w:r>
      <w:r>
        <w:rPr>
          <w:rFonts w:hint="eastAsia" w:asciiTheme="majorEastAsia" w:hAnsiTheme="majorEastAsia" w:eastAsiaTheme="majorEastAsia"/>
          <w:kern w:val="0"/>
          <w:szCs w:val="32"/>
          <w:highlight w:val="none"/>
        </w:rPr>
        <w:t>公开</w:t>
      </w:r>
      <w:r>
        <w:rPr>
          <w:rFonts w:hint="eastAsia" w:asciiTheme="majorEastAsia" w:hAnsiTheme="majorEastAsia" w:eastAsiaTheme="majorEastAsia"/>
          <w:szCs w:val="32"/>
          <w:highlight w:val="none"/>
        </w:rPr>
        <w:t>招标采购公告</w:t>
      </w:r>
      <w:r>
        <w:tab/>
      </w:r>
      <w:r>
        <w:fldChar w:fldCharType="begin"/>
      </w:r>
      <w:r>
        <w:instrText xml:space="preserve"> PAGEREF _Toc28920 \h </w:instrText>
      </w:r>
      <w:r>
        <w:fldChar w:fldCharType="separate"/>
      </w:r>
      <w:r>
        <w:t>3</w:t>
      </w:r>
      <w:r>
        <w:fldChar w:fldCharType="end"/>
      </w:r>
      <w:r>
        <w:rPr>
          <w:color w:val="auto"/>
          <w:highlight w:val="none"/>
        </w:rPr>
        <w:fldChar w:fldCharType="end"/>
      </w:r>
    </w:p>
    <w:p w14:paraId="4C9608AF">
      <w:pPr>
        <w:pStyle w:val="17"/>
        <w:tabs>
          <w:tab w:val="right" w:leader="dot" w:pos="9072"/>
        </w:tabs>
      </w:pPr>
      <w:r>
        <w:rPr>
          <w:color w:val="auto"/>
          <w:highlight w:val="none"/>
        </w:rPr>
        <w:fldChar w:fldCharType="begin"/>
      </w:r>
      <w:r>
        <w:rPr>
          <w:highlight w:val="none"/>
        </w:rPr>
        <w:instrText xml:space="preserve"> HYPERLINK \l _Toc9718 </w:instrText>
      </w:r>
      <w:r>
        <w:rPr>
          <w:highlight w:val="none"/>
        </w:rPr>
        <w:fldChar w:fldCharType="separate"/>
      </w:r>
      <w:r>
        <w:rPr>
          <w:rFonts w:hint="eastAsia" w:asciiTheme="majorEastAsia" w:hAnsiTheme="majorEastAsia" w:eastAsiaTheme="majorEastAsia"/>
          <w:kern w:val="0"/>
          <w:szCs w:val="32"/>
        </w:rPr>
        <w:t xml:space="preserve">第二章 </w:t>
      </w:r>
      <w:r>
        <w:rPr>
          <w:rFonts w:hint="eastAsia" w:asciiTheme="majorEastAsia" w:hAnsiTheme="majorEastAsia" w:eastAsiaTheme="majorEastAsia"/>
          <w:kern w:val="0"/>
          <w:szCs w:val="32"/>
          <w:highlight w:val="none"/>
        </w:rPr>
        <w:t>投标人须知</w:t>
      </w:r>
      <w:r>
        <w:tab/>
      </w:r>
      <w:r>
        <w:fldChar w:fldCharType="begin"/>
      </w:r>
      <w:r>
        <w:instrText xml:space="preserve"> PAGEREF _Toc9718 \h </w:instrText>
      </w:r>
      <w:r>
        <w:fldChar w:fldCharType="separate"/>
      </w:r>
      <w:r>
        <w:t>7</w:t>
      </w:r>
      <w:r>
        <w:fldChar w:fldCharType="end"/>
      </w:r>
      <w:r>
        <w:rPr>
          <w:color w:val="auto"/>
          <w:highlight w:val="none"/>
        </w:rPr>
        <w:fldChar w:fldCharType="end"/>
      </w:r>
    </w:p>
    <w:p w14:paraId="5014C5D6">
      <w:pPr>
        <w:pStyle w:val="17"/>
        <w:tabs>
          <w:tab w:val="right" w:leader="dot" w:pos="9072"/>
        </w:tabs>
      </w:pPr>
      <w:r>
        <w:rPr>
          <w:color w:val="auto"/>
          <w:highlight w:val="none"/>
        </w:rPr>
        <w:fldChar w:fldCharType="begin"/>
      </w:r>
      <w:r>
        <w:rPr>
          <w:highlight w:val="none"/>
        </w:rPr>
        <w:instrText xml:space="preserve"> HYPERLINK \l _Toc22224 </w:instrText>
      </w:r>
      <w:r>
        <w:rPr>
          <w:highlight w:val="none"/>
        </w:rPr>
        <w:fldChar w:fldCharType="separate"/>
      </w:r>
      <w:r>
        <w:rPr>
          <w:rFonts w:hint="eastAsia" w:asciiTheme="majorEastAsia" w:hAnsiTheme="majorEastAsia" w:eastAsiaTheme="majorEastAsia"/>
          <w:kern w:val="0"/>
          <w:szCs w:val="32"/>
        </w:rPr>
        <w:t xml:space="preserve">第三章 </w:t>
      </w:r>
      <w:r>
        <w:rPr>
          <w:rFonts w:hint="eastAsia" w:asciiTheme="majorEastAsia" w:hAnsiTheme="majorEastAsia" w:eastAsiaTheme="majorEastAsia"/>
          <w:kern w:val="0"/>
          <w:szCs w:val="32"/>
          <w:highlight w:val="none"/>
        </w:rPr>
        <w:t>招标需求</w:t>
      </w:r>
      <w:r>
        <w:tab/>
      </w:r>
      <w:r>
        <w:fldChar w:fldCharType="begin"/>
      </w:r>
      <w:r>
        <w:instrText xml:space="preserve"> PAGEREF _Toc22224 \h </w:instrText>
      </w:r>
      <w:r>
        <w:fldChar w:fldCharType="separate"/>
      </w:r>
      <w:r>
        <w:t>18</w:t>
      </w:r>
      <w:r>
        <w:fldChar w:fldCharType="end"/>
      </w:r>
      <w:r>
        <w:rPr>
          <w:color w:val="auto"/>
          <w:highlight w:val="none"/>
        </w:rPr>
        <w:fldChar w:fldCharType="end"/>
      </w:r>
    </w:p>
    <w:p w14:paraId="3AFA1837">
      <w:pPr>
        <w:pStyle w:val="17"/>
        <w:tabs>
          <w:tab w:val="right" w:leader="dot" w:pos="9072"/>
        </w:tabs>
      </w:pPr>
      <w:r>
        <w:rPr>
          <w:color w:val="auto"/>
          <w:highlight w:val="none"/>
        </w:rPr>
        <w:fldChar w:fldCharType="begin"/>
      </w:r>
      <w:r>
        <w:rPr>
          <w:highlight w:val="none"/>
        </w:rPr>
        <w:instrText xml:space="preserve"> HYPERLINK \l _Toc28147 </w:instrText>
      </w:r>
      <w:r>
        <w:rPr>
          <w:highlight w:val="none"/>
        </w:rPr>
        <w:fldChar w:fldCharType="separate"/>
      </w:r>
      <w:r>
        <w:rPr>
          <w:rFonts w:hint="eastAsia" w:asciiTheme="majorEastAsia" w:hAnsiTheme="majorEastAsia" w:eastAsiaTheme="majorEastAsia"/>
          <w:kern w:val="0"/>
          <w:szCs w:val="32"/>
        </w:rPr>
        <w:t xml:space="preserve">第四章 </w:t>
      </w:r>
      <w:r>
        <w:rPr>
          <w:rFonts w:hint="eastAsia" w:asciiTheme="majorEastAsia" w:hAnsiTheme="majorEastAsia" w:eastAsiaTheme="majorEastAsia"/>
          <w:kern w:val="0"/>
          <w:szCs w:val="32"/>
          <w:highlight w:val="none"/>
        </w:rPr>
        <w:t>评标</w:t>
      </w:r>
      <w:r>
        <w:tab/>
      </w:r>
      <w:r>
        <w:fldChar w:fldCharType="begin"/>
      </w:r>
      <w:r>
        <w:instrText xml:space="preserve"> PAGEREF _Toc28147 \h </w:instrText>
      </w:r>
      <w:r>
        <w:fldChar w:fldCharType="separate"/>
      </w:r>
      <w:r>
        <w:t>33</w:t>
      </w:r>
      <w:r>
        <w:fldChar w:fldCharType="end"/>
      </w:r>
      <w:r>
        <w:rPr>
          <w:color w:val="auto"/>
          <w:highlight w:val="none"/>
        </w:rPr>
        <w:fldChar w:fldCharType="end"/>
      </w:r>
    </w:p>
    <w:p w14:paraId="0FB38DA2">
      <w:pPr>
        <w:pStyle w:val="17"/>
        <w:tabs>
          <w:tab w:val="right" w:leader="dot" w:pos="9072"/>
        </w:tabs>
      </w:pPr>
      <w:r>
        <w:rPr>
          <w:color w:val="auto"/>
          <w:highlight w:val="none"/>
        </w:rPr>
        <w:fldChar w:fldCharType="begin"/>
      </w:r>
      <w:r>
        <w:rPr>
          <w:highlight w:val="none"/>
        </w:rPr>
        <w:instrText xml:space="preserve"> HYPERLINK \l _Toc8165 </w:instrText>
      </w:r>
      <w:r>
        <w:rPr>
          <w:highlight w:val="none"/>
        </w:rPr>
        <w:fldChar w:fldCharType="separate"/>
      </w:r>
      <w:r>
        <w:rPr>
          <w:rFonts w:hint="eastAsia" w:asciiTheme="majorEastAsia" w:hAnsiTheme="majorEastAsia" w:eastAsiaTheme="majorEastAsia"/>
          <w:kern w:val="0"/>
          <w:szCs w:val="32"/>
        </w:rPr>
        <w:t xml:space="preserve">第五章 </w:t>
      </w:r>
      <w:r>
        <w:rPr>
          <w:rFonts w:hint="eastAsia" w:asciiTheme="majorEastAsia" w:hAnsiTheme="majorEastAsia" w:eastAsiaTheme="majorEastAsia"/>
          <w:kern w:val="0"/>
          <w:szCs w:val="32"/>
          <w:highlight w:val="none"/>
        </w:rPr>
        <w:t>拟签订的合同文本</w:t>
      </w:r>
      <w:r>
        <w:tab/>
      </w:r>
      <w:r>
        <w:fldChar w:fldCharType="begin"/>
      </w:r>
      <w:r>
        <w:instrText xml:space="preserve"> PAGEREF _Toc8165 \h </w:instrText>
      </w:r>
      <w:r>
        <w:fldChar w:fldCharType="separate"/>
      </w:r>
      <w:r>
        <w:t>42</w:t>
      </w:r>
      <w:r>
        <w:fldChar w:fldCharType="end"/>
      </w:r>
      <w:r>
        <w:rPr>
          <w:color w:val="auto"/>
          <w:highlight w:val="none"/>
        </w:rPr>
        <w:fldChar w:fldCharType="end"/>
      </w:r>
    </w:p>
    <w:p w14:paraId="751C8A01">
      <w:pPr>
        <w:pStyle w:val="17"/>
        <w:tabs>
          <w:tab w:val="right" w:leader="dot" w:pos="9072"/>
        </w:tabs>
      </w:pPr>
      <w:r>
        <w:rPr>
          <w:color w:val="auto"/>
          <w:highlight w:val="none"/>
        </w:rPr>
        <w:fldChar w:fldCharType="begin"/>
      </w:r>
      <w:r>
        <w:rPr>
          <w:highlight w:val="none"/>
        </w:rPr>
        <w:instrText xml:space="preserve"> HYPERLINK \l _Toc1716 </w:instrText>
      </w:r>
      <w:r>
        <w:rPr>
          <w:highlight w:val="none"/>
        </w:rPr>
        <w:fldChar w:fldCharType="separate"/>
      </w:r>
      <w:r>
        <w:rPr>
          <w:rFonts w:hint="eastAsia" w:asciiTheme="majorEastAsia" w:hAnsiTheme="majorEastAsia" w:eastAsiaTheme="majorEastAsia"/>
          <w:kern w:val="0"/>
          <w:szCs w:val="32"/>
        </w:rPr>
        <w:t xml:space="preserve">第六章 </w:t>
      </w:r>
      <w:r>
        <w:rPr>
          <w:rFonts w:hint="eastAsia" w:asciiTheme="majorEastAsia" w:hAnsiTheme="majorEastAsia" w:eastAsiaTheme="majorEastAsia"/>
          <w:kern w:val="0"/>
          <w:szCs w:val="32"/>
          <w:highlight w:val="none"/>
        </w:rPr>
        <w:t>投标文件格式</w:t>
      </w:r>
      <w:r>
        <w:tab/>
      </w:r>
      <w:r>
        <w:fldChar w:fldCharType="begin"/>
      </w:r>
      <w:r>
        <w:instrText xml:space="preserve"> PAGEREF _Toc1716 \h </w:instrText>
      </w:r>
      <w:r>
        <w:fldChar w:fldCharType="separate"/>
      </w:r>
      <w:r>
        <w:t>51</w:t>
      </w:r>
      <w:r>
        <w:fldChar w:fldCharType="end"/>
      </w:r>
      <w:r>
        <w:rPr>
          <w:color w:val="auto"/>
          <w:highlight w:val="none"/>
        </w:rPr>
        <w:fldChar w:fldCharType="end"/>
      </w:r>
    </w:p>
    <w:p w14:paraId="1703FDD8">
      <w:pPr>
        <w:pStyle w:val="17"/>
        <w:tabs>
          <w:tab w:val="right" w:leader="dot" w:pos="9072"/>
        </w:tabs>
      </w:pPr>
      <w:r>
        <w:rPr>
          <w:color w:val="auto"/>
          <w:highlight w:val="none"/>
        </w:rPr>
        <w:fldChar w:fldCharType="begin"/>
      </w:r>
      <w:r>
        <w:rPr>
          <w:highlight w:val="none"/>
        </w:rPr>
        <w:instrText xml:space="preserve"> HYPERLINK \l _Toc29767 </w:instrText>
      </w:r>
      <w:r>
        <w:rPr>
          <w:highlight w:val="none"/>
        </w:rPr>
        <w:fldChar w:fldCharType="separate"/>
      </w:r>
      <w:r>
        <w:rPr>
          <w:rFonts w:hint="eastAsia" w:ascii="宋体" w:hAnsi="宋体"/>
          <w:highlight w:val="none"/>
        </w:rPr>
        <w:t>附件1</w:t>
      </w:r>
      <w:r>
        <w:tab/>
      </w:r>
      <w:r>
        <w:fldChar w:fldCharType="begin"/>
      </w:r>
      <w:r>
        <w:instrText xml:space="preserve"> PAGEREF _Toc29767 \h </w:instrText>
      </w:r>
      <w:r>
        <w:fldChar w:fldCharType="separate"/>
      </w:r>
      <w:r>
        <w:t>53</w:t>
      </w:r>
      <w:r>
        <w:fldChar w:fldCharType="end"/>
      </w:r>
      <w:r>
        <w:rPr>
          <w:color w:val="auto"/>
          <w:highlight w:val="none"/>
        </w:rPr>
        <w:fldChar w:fldCharType="end"/>
      </w:r>
    </w:p>
    <w:p w14:paraId="59FC7D0C">
      <w:pPr>
        <w:pStyle w:val="17"/>
        <w:tabs>
          <w:tab w:val="right" w:leader="dot" w:pos="9072"/>
        </w:tabs>
      </w:pPr>
      <w:r>
        <w:rPr>
          <w:color w:val="auto"/>
          <w:highlight w:val="none"/>
        </w:rPr>
        <w:fldChar w:fldCharType="begin"/>
      </w:r>
      <w:r>
        <w:rPr>
          <w:highlight w:val="none"/>
        </w:rPr>
        <w:instrText xml:space="preserve"> HYPERLINK \l _Toc15805 </w:instrText>
      </w:r>
      <w:r>
        <w:rPr>
          <w:highlight w:val="none"/>
        </w:rPr>
        <w:fldChar w:fldCharType="separate"/>
      </w:r>
      <w:r>
        <w:rPr>
          <w:rFonts w:hint="eastAsia" w:ascii="宋体" w:hAnsi="宋体"/>
          <w:highlight w:val="none"/>
        </w:rPr>
        <w:t>附件2</w:t>
      </w:r>
      <w:r>
        <w:tab/>
      </w:r>
      <w:r>
        <w:fldChar w:fldCharType="begin"/>
      </w:r>
      <w:r>
        <w:instrText xml:space="preserve"> PAGEREF _Toc15805 \h </w:instrText>
      </w:r>
      <w:r>
        <w:fldChar w:fldCharType="separate"/>
      </w:r>
      <w:r>
        <w:t>54</w:t>
      </w:r>
      <w:r>
        <w:fldChar w:fldCharType="end"/>
      </w:r>
      <w:r>
        <w:rPr>
          <w:color w:val="auto"/>
          <w:highlight w:val="none"/>
        </w:rPr>
        <w:fldChar w:fldCharType="end"/>
      </w:r>
    </w:p>
    <w:p w14:paraId="248549E5">
      <w:pPr>
        <w:pStyle w:val="17"/>
        <w:tabs>
          <w:tab w:val="right" w:leader="dot" w:pos="9072"/>
        </w:tabs>
      </w:pPr>
      <w:r>
        <w:rPr>
          <w:color w:val="auto"/>
          <w:highlight w:val="none"/>
        </w:rPr>
        <w:fldChar w:fldCharType="begin"/>
      </w:r>
      <w:r>
        <w:rPr>
          <w:highlight w:val="none"/>
        </w:rPr>
        <w:instrText xml:space="preserve"> HYPERLINK \l _Toc574 </w:instrText>
      </w:r>
      <w:r>
        <w:rPr>
          <w:highlight w:val="none"/>
        </w:rPr>
        <w:fldChar w:fldCharType="separate"/>
      </w:r>
      <w:r>
        <w:rPr>
          <w:rFonts w:hint="eastAsia" w:ascii="宋体" w:hAnsi="宋体"/>
          <w:highlight w:val="none"/>
        </w:rPr>
        <w:t>附件3</w:t>
      </w:r>
      <w:r>
        <w:tab/>
      </w:r>
      <w:r>
        <w:fldChar w:fldCharType="begin"/>
      </w:r>
      <w:r>
        <w:instrText xml:space="preserve"> PAGEREF _Toc574 \h </w:instrText>
      </w:r>
      <w:r>
        <w:fldChar w:fldCharType="separate"/>
      </w:r>
      <w:r>
        <w:t>55</w:t>
      </w:r>
      <w:r>
        <w:fldChar w:fldCharType="end"/>
      </w:r>
      <w:r>
        <w:rPr>
          <w:color w:val="auto"/>
          <w:highlight w:val="none"/>
        </w:rPr>
        <w:fldChar w:fldCharType="end"/>
      </w:r>
    </w:p>
    <w:p w14:paraId="121827B4">
      <w:pPr>
        <w:pStyle w:val="17"/>
        <w:tabs>
          <w:tab w:val="right" w:leader="dot" w:pos="9072"/>
        </w:tabs>
      </w:pPr>
      <w:r>
        <w:rPr>
          <w:color w:val="auto"/>
          <w:highlight w:val="none"/>
        </w:rPr>
        <w:fldChar w:fldCharType="begin"/>
      </w:r>
      <w:r>
        <w:rPr>
          <w:highlight w:val="none"/>
        </w:rPr>
        <w:instrText xml:space="preserve"> HYPERLINK \l _Toc3009 </w:instrText>
      </w:r>
      <w:r>
        <w:rPr>
          <w:highlight w:val="none"/>
        </w:rPr>
        <w:fldChar w:fldCharType="separate"/>
      </w:r>
      <w:r>
        <w:rPr>
          <w:rFonts w:hint="eastAsia" w:ascii="宋体" w:hAnsi="宋体"/>
          <w:highlight w:val="none"/>
        </w:rPr>
        <w:t>附件4</w:t>
      </w:r>
      <w:r>
        <w:tab/>
      </w:r>
      <w:r>
        <w:fldChar w:fldCharType="begin"/>
      </w:r>
      <w:r>
        <w:instrText xml:space="preserve"> PAGEREF _Toc3009 \h </w:instrText>
      </w:r>
      <w:r>
        <w:fldChar w:fldCharType="separate"/>
      </w:r>
      <w:r>
        <w:t>56</w:t>
      </w:r>
      <w:r>
        <w:fldChar w:fldCharType="end"/>
      </w:r>
      <w:r>
        <w:rPr>
          <w:color w:val="auto"/>
          <w:highlight w:val="none"/>
        </w:rPr>
        <w:fldChar w:fldCharType="end"/>
      </w:r>
    </w:p>
    <w:p w14:paraId="00BB7904">
      <w:pPr>
        <w:pStyle w:val="17"/>
        <w:tabs>
          <w:tab w:val="right" w:leader="dot" w:pos="9072"/>
        </w:tabs>
      </w:pPr>
      <w:r>
        <w:rPr>
          <w:color w:val="auto"/>
          <w:highlight w:val="none"/>
        </w:rPr>
        <w:fldChar w:fldCharType="begin"/>
      </w:r>
      <w:r>
        <w:rPr>
          <w:highlight w:val="none"/>
        </w:rPr>
        <w:instrText xml:space="preserve"> HYPERLINK \l _Toc32017 </w:instrText>
      </w:r>
      <w:r>
        <w:rPr>
          <w:highlight w:val="none"/>
        </w:rPr>
        <w:fldChar w:fldCharType="separate"/>
      </w:r>
      <w:r>
        <w:rPr>
          <w:rFonts w:hint="eastAsia" w:ascii="宋体" w:hAnsi="宋体"/>
          <w:highlight w:val="none"/>
        </w:rPr>
        <w:t>附件5</w:t>
      </w:r>
      <w:r>
        <w:tab/>
      </w:r>
      <w:r>
        <w:fldChar w:fldCharType="begin"/>
      </w:r>
      <w:r>
        <w:instrText xml:space="preserve"> PAGEREF _Toc32017 \h </w:instrText>
      </w:r>
      <w:r>
        <w:fldChar w:fldCharType="separate"/>
      </w:r>
      <w:r>
        <w:t>59</w:t>
      </w:r>
      <w:r>
        <w:fldChar w:fldCharType="end"/>
      </w:r>
      <w:r>
        <w:rPr>
          <w:color w:val="auto"/>
          <w:highlight w:val="none"/>
        </w:rPr>
        <w:fldChar w:fldCharType="end"/>
      </w:r>
    </w:p>
    <w:p w14:paraId="23DB3093">
      <w:pPr>
        <w:pStyle w:val="17"/>
        <w:tabs>
          <w:tab w:val="right" w:leader="dot" w:pos="9072"/>
        </w:tabs>
      </w:pPr>
      <w:r>
        <w:rPr>
          <w:color w:val="auto"/>
          <w:highlight w:val="none"/>
        </w:rPr>
        <w:fldChar w:fldCharType="begin"/>
      </w:r>
      <w:r>
        <w:rPr>
          <w:highlight w:val="none"/>
        </w:rPr>
        <w:instrText xml:space="preserve"> HYPERLINK \l _Toc1736 </w:instrText>
      </w:r>
      <w:r>
        <w:rPr>
          <w:highlight w:val="none"/>
        </w:rPr>
        <w:fldChar w:fldCharType="separate"/>
      </w:r>
      <w:r>
        <w:rPr>
          <w:rFonts w:hint="eastAsia" w:ascii="宋体" w:hAnsi="宋体"/>
          <w:highlight w:val="none"/>
        </w:rPr>
        <w:t>附件6</w:t>
      </w:r>
      <w:r>
        <w:tab/>
      </w:r>
      <w:r>
        <w:fldChar w:fldCharType="begin"/>
      </w:r>
      <w:r>
        <w:instrText xml:space="preserve"> PAGEREF _Toc1736 \h </w:instrText>
      </w:r>
      <w:r>
        <w:fldChar w:fldCharType="separate"/>
      </w:r>
      <w:r>
        <w:t>60</w:t>
      </w:r>
      <w:r>
        <w:fldChar w:fldCharType="end"/>
      </w:r>
      <w:r>
        <w:rPr>
          <w:color w:val="auto"/>
          <w:highlight w:val="none"/>
        </w:rPr>
        <w:fldChar w:fldCharType="end"/>
      </w:r>
    </w:p>
    <w:p w14:paraId="4C8BD4F2">
      <w:pPr>
        <w:pStyle w:val="17"/>
        <w:tabs>
          <w:tab w:val="right" w:leader="dot" w:pos="9072"/>
        </w:tabs>
      </w:pPr>
      <w:r>
        <w:rPr>
          <w:color w:val="auto"/>
          <w:highlight w:val="none"/>
        </w:rPr>
        <w:fldChar w:fldCharType="begin"/>
      </w:r>
      <w:r>
        <w:rPr>
          <w:highlight w:val="none"/>
        </w:rPr>
        <w:instrText xml:space="preserve"> HYPERLINK \l _Toc31515 </w:instrText>
      </w:r>
      <w:r>
        <w:rPr>
          <w:highlight w:val="none"/>
        </w:rPr>
        <w:fldChar w:fldCharType="separate"/>
      </w:r>
      <w:r>
        <w:rPr>
          <w:rFonts w:hint="eastAsia" w:ascii="宋体" w:hAnsi="宋体"/>
          <w:highlight w:val="none"/>
        </w:rPr>
        <w:t>附件7</w:t>
      </w:r>
      <w:r>
        <w:tab/>
      </w:r>
      <w:r>
        <w:fldChar w:fldCharType="begin"/>
      </w:r>
      <w:r>
        <w:instrText xml:space="preserve"> PAGEREF _Toc31515 \h </w:instrText>
      </w:r>
      <w:r>
        <w:fldChar w:fldCharType="separate"/>
      </w:r>
      <w:r>
        <w:t>61</w:t>
      </w:r>
      <w:r>
        <w:fldChar w:fldCharType="end"/>
      </w:r>
      <w:r>
        <w:rPr>
          <w:color w:val="auto"/>
          <w:highlight w:val="none"/>
        </w:rPr>
        <w:fldChar w:fldCharType="end"/>
      </w:r>
    </w:p>
    <w:p w14:paraId="0B8557C8">
      <w:pPr>
        <w:pStyle w:val="17"/>
        <w:tabs>
          <w:tab w:val="right" w:leader="dot" w:pos="9072"/>
        </w:tabs>
      </w:pPr>
      <w:r>
        <w:rPr>
          <w:color w:val="auto"/>
          <w:highlight w:val="none"/>
        </w:rPr>
        <w:fldChar w:fldCharType="begin"/>
      </w:r>
      <w:r>
        <w:rPr>
          <w:highlight w:val="none"/>
        </w:rPr>
        <w:instrText xml:space="preserve"> HYPERLINK \l _Toc10858 </w:instrText>
      </w:r>
      <w:r>
        <w:rPr>
          <w:highlight w:val="none"/>
        </w:rPr>
        <w:fldChar w:fldCharType="separate"/>
      </w:r>
      <w:r>
        <w:rPr>
          <w:rFonts w:hint="eastAsia" w:ascii="宋体" w:hAnsi="宋体"/>
          <w:highlight w:val="none"/>
        </w:rPr>
        <w:t>附件8</w:t>
      </w:r>
      <w:r>
        <w:tab/>
      </w:r>
      <w:r>
        <w:fldChar w:fldCharType="begin"/>
      </w:r>
      <w:r>
        <w:instrText xml:space="preserve"> PAGEREF _Toc10858 \h </w:instrText>
      </w:r>
      <w:r>
        <w:fldChar w:fldCharType="separate"/>
      </w:r>
      <w:r>
        <w:t>62</w:t>
      </w:r>
      <w:r>
        <w:fldChar w:fldCharType="end"/>
      </w:r>
      <w:r>
        <w:rPr>
          <w:color w:val="auto"/>
          <w:highlight w:val="none"/>
        </w:rPr>
        <w:fldChar w:fldCharType="end"/>
      </w:r>
    </w:p>
    <w:p w14:paraId="6EA0389A">
      <w:pPr>
        <w:pStyle w:val="17"/>
        <w:tabs>
          <w:tab w:val="right" w:leader="dot" w:pos="9072"/>
        </w:tabs>
      </w:pPr>
      <w:r>
        <w:rPr>
          <w:color w:val="auto"/>
          <w:highlight w:val="none"/>
        </w:rPr>
        <w:fldChar w:fldCharType="begin"/>
      </w:r>
      <w:r>
        <w:rPr>
          <w:highlight w:val="none"/>
        </w:rPr>
        <w:instrText xml:space="preserve"> HYPERLINK \l _Toc30105 </w:instrText>
      </w:r>
      <w:r>
        <w:rPr>
          <w:highlight w:val="none"/>
        </w:rPr>
        <w:fldChar w:fldCharType="separate"/>
      </w:r>
      <w:r>
        <w:rPr>
          <w:rFonts w:hint="eastAsia" w:ascii="宋体" w:hAnsi="宋体"/>
          <w:highlight w:val="none"/>
        </w:rPr>
        <w:t>附件10</w:t>
      </w:r>
      <w:r>
        <w:tab/>
      </w:r>
      <w:r>
        <w:fldChar w:fldCharType="begin"/>
      </w:r>
      <w:r>
        <w:instrText xml:space="preserve"> PAGEREF _Toc30105 \h </w:instrText>
      </w:r>
      <w:r>
        <w:fldChar w:fldCharType="separate"/>
      </w:r>
      <w:r>
        <w:t>64</w:t>
      </w:r>
      <w:r>
        <w:fldChar w:fldCharType="end"/>
      </w:r>
      <w:r>
        <w:rPr>
          <w:color w:val="auto"/>
          <w:highlight w:val="none"/>
        </w:rPr>
        <w:fldChar w:fldCharType="end"/>
      </w:r>
    </w:p>
    <w:p w14:paraId="51B6ED65">
      <w:pPr>
        <w:pStyle w:val="17"/>
        <w:tabs>
          <w:tab w:val="right" w:leader="dot" w:pos="9072"/>
        </w:tabs>
      </w:pPr>
      <w:r>
        <w:rPr>
          <w:color w:val="auto"/>
          <w:highlight w:val="none"/>
        </w:rPr>
        <w:fldChar w:fldCharType="begin"/>
      </w:r>
      <w:r>
        <w:rPr>
          <w:highlight w:val="none"/>
        </w:rPr>
        <w:instrText xml:space="preserve"> HYPERLINK \l _Toc20202 </w:instrText>
      </w:r>
      <w:r>
        <w:rPr>
          <w:highlight w:val="none"/>
        </w:rPr>
        <w:fldChar w:fldCharType="separate"/>
      </w:r>
      <w:r>
        <w:rPr>
          <w:rFonts w:hint="eastAsia" w:ascii="宋体" w:hAnsi="宋体"/>
          <w:highlight w:val="none"/>
        </w:rPr>
        <w:t>附件11</w:t>
      </w:r>
      <w:r>
        <w:tab/>
      </w:r>
      <w:r>
        <w:fldChar w:fldCharType="begin"/>
      </w:r>
      <w:r>
        <w:instrText xml:space="preserve"> PAGEREF _Toc20202 \h </w:instrText>
      </w:r>
      <w:r>
        <w:fldChar w:fldCharType="separate"/>
      </w:r>
      <w:r>
        <w:t>67</w:t>
      </w:r>
      <w:r>
        <w:fldChar w:fldCharType="end"/>
      </w:r>
      <w:r>
        <w:rPr>
          <w:color w:val="auto"/>
          <w:highlight w:val="none"/>
        </w:rPr>
        <w:fldChar w:fldCharType="end"/>
      </w:r>
    </w:p>
    <w:p w14:paraId="3DDA43C2">
      <w:pPr>
        <w:pStyle w:val="17"/>
        <w:tabs>
          <w:tab w:val="right" w:leader="dot" w:pos="9072"/>
        </w:tabs>
      </w:pPr>
      <w:r>
        <w:rPr>
          <w:color w:val="auto"/>
          <w:highlight w:val="none"/>
        </w:rPr>
        <w:fldChar w:fldCharType="begin"/>
      </w:r>
      <w:r>
        <w:rPr>
          <w:highlight w:val="none"/>
        </w:rPr>
        <w:instrText xml:space="preserve"> HYPERLINK \l _Toc32720 </w:instrText>
      </w:r>
      <w:r>
        <w:rPr>
          <w:highlight w:val="none"/>
        </w:rPr>
        <w:fldChar w:fldCharType="separate"/>
      </w:r>
      <w:r>
        <w:rPr>
          <w:rFonts w:hint="eastAsia" w:ascii="宋体" w:hAnsi="宋体"/>
          <w:highlight w:val="none"/>
        </w:rPr>
        <w:t>附件12</w:t>
      </w:r>
      <w:r>
        <w:tab/>
      </w:r>
      <w:r>
        <w:fldChar w:fldCharType="begin"/>
      </w:r>
      <w:r>
        <w:instrText xml:space="preserve"> PAGEREF _Toc32720 \h </w:instrText>
      </w:r>
      <w:r>
        <w:fldChar w:fldCharType="separate"/>
      </w:r>
      <w:r>
        <w:t>68</w:t>
      </w:r>
      <w:r>
        <w:fldChar w:fldCharType="end"/>
      </w:r>
      <w:r>
        <w:rPr>
          <w:color w:val="auto"/>
          <w:highlight w:val="none"/>
        </w:rPr>
        <w:fldChar w:fldCharType="end"/>
      </w:r>
    </w:p>
    <w:p w14:paraId="6FCDDFB6">
      <w:pPr>
        <w:pStyle w:val="17"/>
        <w:tabs>
          <w:tab w:val="right" w:leader="dot" w:pos="9072"/>
        </w:tabs>
      </w:pPr>
      <w:r>
        <w:rPr>
          <w:color w:val="auto"/>
          <w:highlight w:val="none"/>
        </w:rPr>
        <w:fldChar w:fldCharType="begin"/>
      </w:r>
      <w:r>
        <w:rPr>
          <w:highlight w:val="none"/>
        </w:rPr>
        <w:instrText xml:space="preserve"> HYPERLINK \l _Toc11838 </w:instrText>
      </w:r>
      <w:r>
        <w:rPr>
          <w:highlight w:val="none"/>
        </w:rPr>
        <w:fldChar w:fldCharType="separate"/>
      </w:r>
      <w:r>
        <w:rPr>
          <w:rFonts w:hint="eastAsia" w:ascii="宋体" w:hAnsi="宋体"/>
          <w:highlight w:val="none"/>
        </w:rPr>
        <w:t>附件13-1</w:t>
      </w:r>
      <w:r>
        <w:tab/>
      </w:r>
      <w:r>
        <w:fldChar w:fldCharType="begin"/>
      </w:r>
      <w:r>
        <w:instrText xml:space="preserve"> PAGEREF _Toc11838 \h </w:instrText>
      </w:r>
      <w:r>
        <w:fldChar w:fldCharType="separate"/>
      </w:r>
      <w:r>
        <w:t>70</w:t>
      </w:r>
      <w:r>
        <w:fldChar w:fldCharType="end"/>
      </w:r>
      <w:r>
        <w:rPr>
          <w:color w:val="auto"/>
          <w:highlight w:val="none"/>
        </w:rPr>
        <w:fldChar w:fldCharType="end"/>
      </w:r>
    </w:p>
    <w:p w14:paraId="368DED85">
      <w:pPr>
        <w:pStyle w:val="17"/>
        <w:tabs>
          <w:tab w:val="right" w:leader="dot" w:pos="9072"/>
        </w:tabs>
      </w:pPr>
      <w:r>
        <w:rPr>
          <w:color w:val="auto"/>
          <w:highlight w:val="none"/>
        </w:rPr>
        <w:fldChar w:fldCharType="begin"/>
      </w:r>
      <w:r>
        <w:rPr>
          <w:highlight w:val="none"/>
        </w:rPr>
        <w:instrText xml:space="preserve"> HYPERLINK \l _Toc14464 </w:instrText>
      </w:r>
      <w:r>
        <w:rPr>
          <w:highlight w:val="none"/>
        </w:rPr>
        <w:fldChar w:fldCharType="separate"/>
      </w:r>
      <w:r>
        <w:rPr>
          <w:rFonts w:hint="eastAsia" w:ascii="宋体" w:hAnsi="宋体"/>
          <w:highlight w:val="none"/>
        </w:rPr>
        <w:t>附件13-2</w:t>
      </w:r>
      <w:r>
        <w:tab/>
      </w:r>
      <w:r>
        <w:fldChar w:fldCharType="begin"/>
      </w:r>
      <w:r>
        <w:instrText xml:space="preserve"> PAGEREF _Toc14464 \h </w:instrText>
      </w:r>
      <w:r>
        <w:fldChar w:fldCharType="separate"/>
      </w:r>
      <w:r>
        <w:t>72</w:t>
      </w:r>
      <w:r>
        <w:fldChar w:fldCharType="end"/>
      </w:r>
      <w:r>
        <w:rPr>
          <w:color w:val="auto"/>
          <w:highlight w:val="none"/>
        </w:rPr>
        <w:fldChar w:fldCharType="end"/>
      </w:r>
    </w:p>
    <w:p w14:paraId="7DBD7FD2">
      <w:pPr>
        <w:pStyle w:val="17"/>
        <w:tabs>
          <w:tab w:val="right" w:leader="dot" w:pos="9072"/>
        </w:tabs>
      </w:pPr>
      <w:r>
        <w:rPr>
          <w:color w:val="auto"/>
          <w:highlight w:val="none"/>
        </w:rPr>
        <w:fldChar w:fldCharType="begin"/>
      </w:r>
      <w:r>
        <w:rPr>
          <w:highlight w:val="none"/>
        </w:rPr>
        <w:instrText xml:space="preserve"> HYPERLINK \l _Toc3656 </w:instrText>
      </w:r>
      <w:r>
        <w:rPr>
          <w:highlight w:val="none"/>
        </w:rPr>
        <w:fldChar w:fldCharType="separate"/>
      </w:r>
      <w:r>
        <w:rPr>
          <w:rFonts w:hint="eastAsia" w:ascii="宋体" w:hAnsi="宋体"/>
          <w:highlight w:val="none"/>
        </w:rPr>
        <w:t>附件13-3</w:t>
      </w:r>
      <w:r>
        <w:tab/>
      </w:r>
      <w:r>
        <w:fldChar w:fldCharType="begin"/>
      </w:r>
      <w:r>
        <w:instrText xml:space="preserve"> PAGEREF _Toc3656 \h </w:instrText>
      </w:r>
      <w:r>
        <w:fldChar w:fldCharType="separate"/>
      </w:r>
      <w:r>
        <w:t>73</w:t>
      </w:r>
      <w:r>
        <w:fldChar w:fldCharType="end"/>
      </w:r>
      <w:r>
        <w:rPr>
          <w:color w:val="auto"/>
          <w:highlight w:val="none"/>
        </w:rPr>
        <w:fldChar w:fldCharType="end"/>
      </w:r>
    </w:p>
    <w:p w14:paraId="251174A4">
      <w:pPr>
        <w:spacing w:line="360" w:lineRule="auto"/>
        <w:rPr>
          <w:color w:val="auto"/>
          <w:highlight w:val="none"/>
        </w:rPr>
      </w:pPr>
      <w:r>
        <w:rPr>
          <w:color w:val="auto"/>
          <w:highlight w:val="none"/>
        </w:rPr>
        <w:fldChar w:fldCharType="end"/>
      </w:r>
    </w:p>
    <w:p w14:paraId="29B47240">
      <w:pPr>
        <w:spacing w:line="360" w:lineRule="auto"/>
        <w:rPr>
          <w:color w:val="auto"/>
          <w:highlight w:val="none"/>
        </w:rPr>
      </w:pPr>
    </w:p>
    <w:p w14:paraId="0A8FBD59">
      <w:pPr>
        <w:spacing w:line="360" w:lineRule="auto"/>
        <w:rPr>
          <w:color w:val="auto"/>
          <w:highlight w:val="none"/>
        </w:rPr>
      </w:pPr>
    </w:p>
    <w:p w14:paraId="475FA65F">
      <w:pPr>
        <w:spacing w:line="360" w:lineRule="auto"/>
        <w:rPr>
          <w:color w:val="auto"/>
          <w:highlight w:val="none"/>
        </w:rPr>
      </w:pPr>
    </w:p>
    <w:p w14:paraId="3B7E5657">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78C31A8C">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color w:val="auto"/>
          <w:sz w:val="32"/>
          <w:szCs w:val="32"/>
          <w:highlight w:val="none"/>
        </w:rPr>
      </w:pPr>
      <w:bookmarkStart w:id="0" w:name="_Toc28920"/>
      <w:bookmarkStart w:id="1" w:name="_Toc35393621"/>
      <w:bookmarkStart w:id="2" w:name="_Hlk24379207"/>
      <w:bookmarkStart w:id="3" w:name="_Toc28359079"/>
      <w:bookmarkStart w:id="4" w:name="_Toc28359002"/>
      <w:bookmarkStart w:id="5" w:name="_Toc35393790"/>
      <w:r>
        <w:rPr>
          <w:rFonts w:hint="eastAsia" w:asciiTheme="majorEastAsia" w:hAnsiTheme="majorEastAsia" w:eastAsiaTheme="majorEastAsia"/>
          <w:b/>
          <w:color w:val="auto"/>
          <w:kern w:val="0"/>
          <w:sz w:val="32"/>
          <w:szCs w:val="32"/>
          <w:highlight w:val="none"/>
        </w:rPr>
        <w:t>公开</w:t>
      </w:r>
      <w:r>
        <w:rPr>
          <w:rFonts w:hint="eastAsia" w:asciiTheme="majorEastAsia" w:hAnsiTheme="majorEastAsia" w:eastAsiaTheme="majorEastAsia"/>
          <w:b/>
          <w:color w:val="auto"/>
          <w:sz w:val="32"/>
          <w:szCs w:val="32"/>
          <w:highlight w:val="none"/>
        </w:rPr>
        <w:t>招标采购公告</w:t>
      </w:r>
      <w:bookmarkEnd w:id="0"/>
    </w:p>
    <w:tbl>
      <w:tblPr>
        <w:tblStyle w:val="27"/>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14:paraId="5DAC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396" w:type="dxa"/>
          </w:tcPr>
          <w:p w14:paraId="6FDE6FFB">
            <w:pPr>
              <w:spacing w:line="340" w:lineRule="exact"/>
              <w:ind w:left="17" w:firstLine="360" w:firstLineChars="150"/>
              <w:jc w:val="left"/>
              <w:rPr>
                <w:rFonts w:ascii="宋体" w:hAnsi="宋体"/>
                <w:color w:val="auto"/>
                <w:sz w:val="24"/>
                <w:highlight w:val="none"/>
              </w:rPr>
            </w:pPr>
            <w:r>
              <w:rPr>
                <w:rFonts w:hint="eastAsia" w:ascii="宋体" w:hAnsi="宋体"/>
                <w:color w:val="auto"/>
                <w:sz w:val="24"/>
                <w:highlight w:val="none"/>
              </w:rPr>
              <w:t>项目概况</w:t>
            </w:r>
          </w:p>
          <w:p w14:paraId="437AEB97">
            <w:pPr>
              <w:tabs>
                <w:tab w:val="left" w:pos="180"/>
                <w:tab w:val="left" w:pos="360"/>
                <w:tab w:val="left" w:pos="540"/>
                <w:tab w:val="left" w:pos="8280"/>
              </w:tabs>
              <w:autoSpaceDE w:val="0"/>
              <w:autoSpaceDN w:val="0"/>
              <w:adjustRightInd w:val="0"/>
              <w:spacing w:line="360" w:lineRule="auto"/>
              <w:ind w:left="17" w:leftChars="8" w:right="23" w:firstLine="537" w:firstLineChars="224"/>
              <w:jc w:val="left"/>
              <w:rPr>
                <w:rFonts w:ascii="宋体" w:hAnsi="宋体"/>
                <w:color w:val="auto"/>
                <w:sz w:val="24"/>
                <w:highlight w:val="none"/>
              </w:rPr>
            </w:pPr>
            <w:r>
              <w:rPr>
                <w:rFonts w:hint="eastAsia" w:cs="宋体"/>
                <w:color w:val="auto"/>
                <w:sz w:val="24"/>
                <w:highlight w:val="none"/>
                <w:lang w:eastAsia="zh-CN"/>
              </w:rPr>
              <w:t>三门县公安局机房升级改造项目（二次）</w:t>
            </w:r>
            <w:r>
              <w:rPr>
                <w:rFonts w:hint="eastAsia" w:ascii="宋体" w:hAnsi="宋体"/>
                <w:color w:val="auto"/>
                <w:sz w:val="24"/>
                <w:highlight w:val="none"/>
              </w:rPr>
              <w:t>的潜在供应商</w:t>
            </w:r>
            <w:r>
              <w:rPr>
                <w:rFonts w:ascii="宋体" w:hAnsi="宋体"/>
                <w:color w:val="auto"/>
                <w:sz w:val="24"/>
                <w:highlight w:val="none"/>
              </w:rPr>
              <w:t>应在</w:t>
            </w:r>
            <w:r>
              <w:rPr>
                <w:rFonts w:hint="eastAsia" w:ascii="宋体" w:hAnsi="宋体"/>
                <w:color w:val="auto"/>
                <w:sz w:val="24"/>
                <w:highlight w:val="none"/>
              </w:rPr>
              <w:t>政采云平台线上获取获取（下载）采购文件</w:t>
            </w:r>
            <w:r>
              <w:rPr>
                <w:rFonts w:ascii="宋体" w:hAnsi="宋体"/>
                <w:color w:val="auto"/>
                <w:sz w:val="24"/>
                <w:highlight w:val="none"/>
              </w:rPr>
              <w:t>，并于</w:t>
            </w:r>
            <w:r>
              <w:rPr>
                <w:rFonts w:hint="eastAsia" w:ascii="宋体" w:hAnsi="宋体"/>
                <w:color w:val="auto"/>
                <w:sz w:val="24"/>
                <w:highlight w:val="none"/>
                <w:lang w:eastAsia="zh-CN"/>
              </w:rPr>
              <w:t>2025年3月12日上午9：00</w:t>
            </w:r>
            <w:r>
              <w:rPr>
                <w:rFonts w:ascii="宋体" w:hAnsi="宋体"/>
                <w:color w:val="auto"/>
                <w:sz w:val="24"/>
                <w:highlight w:val="none"/>
              </w:rPr>
              <w:t>（北京时间）前递交（上传）投标文件。</w:t>
            </w:r>
          </w:p>
        </w:tc>
      </w:tr>
    </w:tbl>
    <w:p w14:paraId="4C19C879">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项目基本情况</w:t>
      </w:r>
    </w:p>
    <w:p w14:paraId="142CA273">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项目编号：</w:t>
      </w:r>
      <w:r>
        <w:rPr>
          <w:rFonts w:hint="eastAsia" w:ascii="宋体" w:hAnsi="宋体"/>
          <w:color w:val="auto"/>
          <w:sz w:val="24"/>
          <w:highlight w:val="none"/>
          <w:lang w:eastAsia="zh-CN"/>
        </w:rPr>
        <w:t>三招采-2025-GK006-1</w:t>
      </w:r>
      <w:r>
        <w:rPr>
          <w:rFonts w:hint="eastAsia" w:ascii="宋体" w:hAnsi="宋体"/>
          <w:color w:val="auto"/>
          <w:sz w:val="24"/>
          <w:highlight w:val="none"/>
        </w:rPr>
        <w:t>号</w:t>
      </w:r>
    </w:p>
    <w:p w14:paraId="0F60DD1D">
      <w:pPr>
        <w:tabs>
          <w:tab w:val="left" w:pos="180"/>
          <w:tab w:val="left" w:pos="360"/>
          <w:tab w:val="left" w:pos="540"/>
          <w:tab w:val="left" w:pos="8280"/>
        </w:tabs>
        <w:autoSpaceDE w:val="0"/>
        <w:autoSpaceDN w:val="0"/>
        <w:spacing w:line="440" w:lineRule="exact"/>
        <w:ind w:firstLine="480" w:firstLineChars="200"/>
        <w:jc w:val="left"/>
        <w:rPr>
          <w:rFonts w:hint="eastAsia" w:ascii="宋体" w:hAnsi="宋体" w:eastAsia="宋体" w:cs="Simang"/>
          <w:color w:val="auto"/>
          <w:kern w:val="0"/>
          <w:sz w:val="24"/>
          <w:highlight w:val="none"/>
          <w:lang w:eastAsia="zh-CN"/>
        </w:rPr>
      </w:pPr>
      <w:r>
        <w:rPr>
          <w:rFonts w:hint="eastAsia" w:ascii="宋体" w:hAnsi="宋体"/>
          <w:color w:val="auto"/>
          <w:kern w:val="0"/>
          <w:sz w:val="24"/>
          <w:highlight w:val="none"/>
        </w:rPr>
        <w:t>项目名称：</w:t>
      </w:r>
      <w:r>
        <w:rPr>
          <w:rFonts w:hint="eastAsia" w:ascii="宋体" w:hAnsi="宋体"/>
          <w:color w:val="auto"/>
          <w:kern w:val="0"/>
          <w:sz w:val="24"/>
          <w:highlight w:val="none"/>
          <w:lang w:eastAsia="zh-CN"/>
        </w:rPr>
        <w:t>三门县公安局机房升级改造项目（二次）</w:t>
      </w:r>
    </w:p>
    <w:p w14:paraId="120F5204">
      <w:pPr>
        <w:tabs>
          <w:tab w:val="left" w:pos="180"/>
          <w:tab w:val="left" w:pos="360"/>
          <w:tab w:val="left" w:pos="540"/>
          <w:tab w:val="left" w:pos="8280"/>
        </w:tabs>
        <w:autoSpaceDE w:val="0"/>
        <w:autoSpaceDN w:val="0"/>
        <w:spacing w:line="440" w:lineRule="exact"/>
        <w:ind w:firstLine="480" w:firstLineChars="200"/>
        <w:jc w:val="left"/>
        <w:rPr>
          <w:rFonts w:hint="eastAsia" w:ascii="宋体" w:hAnsi="宋体" w:cs="Simang"/>
          <w:color w:val="auto"/>
          <w:kern w:val="0"/>
          <w:sz w:val="24"/>
          <w:highlight w:val="none"/>
        </w:rPr>
      </w:pPr>
      <w:r>
        <w:rPr>
          <w:rFonts w:hint="eastAsia" w:ascii="宋体" w:hAnsi="宋体" w:cs="Simang"/>
          <w:color w:val="auto"/>
          <w:kern w:val="0"/>
          <w:sz w:val="24"/>
          <w:highlight w:val="none"/>
        </w:rPr>
        <w:t>预算金额（元）：2707400</w:t>
      </w:r>
    </w:p>
    <w:p w14:paraId="70CA2AEF">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s="Simang"/>
          <w:color w:val="auto"/>
          <w:kern w:val="0"/>
          <w:sz w:val="24"/>
          <w:highlight w:val="none"/>
        </w:rPr>
        <w:t>最高限价（元）：2631800</w:t>
      </w:r>
    </w:p>
    <w:p w14:paraId="16DDF79B">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s="Simang"/>
          <w:color w:val="auto"/>
          <w:kern w:val="0"/>
          <w:sz w:val="24"/>
          <w:highlight w:val="none"/>
        </w:rPr>
        <w:t>采购需求：</w:t>
      </w:r>
    </w:p>
    <w:p w14:paraId="5C70B49F">
      <w:pPr>
        <w:tabs>
          <w:tab w:val="left" w:pos="180"/>
          <w:tab w:val="left" w:pos="360"/>
          <w:tab w:val="left" w:pos="540"/>
          <w:tab w:val="left" w:pos="6755"/>
        </w:tabs>
        <w:autoSpaceDE w:val="0"/>
        <w:autoSpaceDN w:val="0"/>
        <w:spacing w:line="440" w:lineRule="exact"/>
        <w:ind w:firstLine="480" w:firstLineChars="200"/>
        <w:jc w:val="left"/>
        <w:rPr>
          <w:rFonts w:hint="eastAsia" w:ascii="宋体" w:hAnsi="宋体" w:eastAsia="宋体" w:cs="Simang"/>
          <w:color w:val="auto"/>
          <w:kern w:val="0"/>
          <w:sz w:val="24"/>
          <w:highlight w:val="none"/>
          <w:lang w:eastAsia="zh-CN"/>
        </w:rPr>
      </w:pPr>
      <w:r>
        <w:rPr>
          <w:rFonts w:hint="eastAsia" w:ascii="宋体" w:hAnsi="宋体" w:cs="Simang"/>
          <w:color w:val="auto"/>
          <w:kern w:val="0"/>
          <w:sz w:val="24"/>
          <w:highlight w:val="none"/>
        </w:rPr>
        <w:t>标项名称：</w:t>
      </w:r>
      <w:r>
        <w:rPr>
          <w:rFonts w:hint="eastAsia" w:cs="宋体"/>
          <w:color w:val="auto"/>
          <w:sz w:val="24"/>
          <w:highlight w:val="none"/>
          <w:lang w:eastAsia="zh-CN"/>
        </w:rPr>
        <w:t>三门县公安局机房升级改造项目（二次）</w:t>
      </w:r>
    </w:p>
    <w:p w14:paraId="6ACE2441">
      <w:pPr>
        <w:tabs>
          <w:tab w:val="left" w:pos="180"/>
          <w:tab w:val="left" w:pos="360"/>
          <w:tab w:val="left" w:pos="540"/>
          <w:tab w:val="left" w:pos="8280"/>
        </w:tabs>
        <w:autoSpaceDE w:val="0"/>
        <w:autoSpaceDN w:val="0"/>
        <w:spacing w:line="440" w:lineRule="exact"/>
        <w:ind w:firstLine="480" w:firstLineChars="200"/>
        <w:jc w:val="left"/>
        <w:rPr>
          <w:rFonts w:ascii="宋体" w:hAnsi="宋体" w:cs="Simang"/>
          <w:color w:val="auto"/>
          <w:kern w:val="0"/>
          <w:sz w:val="24"/>
          <w:highlight w:val="none"/>
        </w:rPr>
      </w:pPr>
      <w:r>
        <w:rPr>
          <w:rFonts w:hint="eastAsia" w:ascii="宋体" w:hAnsi="宋体" w:cs="Simang"/>
          <w:color w:val="auto"/>
          <w:kern w:val="0"/>
          <w:sz w:val="24"/>
          <w:highlight w:val="none"/>
        </w:rPr>
        <w:t>数量：不限</w:t>
      </w:r>
    </w:p>
    <w:p w14:paraId="0151D26B">
      <w:pPr>
        <w:tabs>
          <w:tab w:val="left" w:pos="180"/>
          <w:tab w:val="left" w:pos="360"/>
          <w:tab w:val="left" w:pos="540"/>
          <w:tab w:val="left" w:pos="8280"/>
        </w:tabs>
        <w:autoSpaceDE w:val="0"/>
        <w:autoSpaceDN w:val="0"/>
        <w:spacing w:line="440" w:lineRule="exact"/>
        <w:ind w:firstLine="480" w:firstLineChars="200"/>
        <w:jc w:val="left"/>
        <w:rPr>
          <w:rFonts w:hint="eastAsia" w:ascii="宋体" w:hAnsi="宋体" w:cs="Simang"/>
          <w:color w:val="auto"/>
          <w:kern w:val="0"/>
          <w:sz w:val="24"/>
          <w:highlight w:val="none"/>
        </w:rPr>
      </w:pPr>
      <w:r>
        <w:rPr>
          <w:rFonts w:hint="eastAsia" w:ascii="宋体" w:hAnsi="宋体" w:cs="Simang"/>
          <w:color w:val="auto"/>
          <w:kern w:val="0"/>
          <w:sz w:val="24"/>
          <w:highlight w:val="none"/>
        </w:rPr>
        <w:t>预算金额（元）：2707400</w:t>
      </w:r>
    </w:p>
    <w:p w14:paraId="3B020FA3">
      <w:pPr>
        <w:tabs>
          <w:tab w:val="left" w:pos="180"/>
          <w:tab w:val="left" w:pos="360"/>
          <w:tab w:val="left" w:pos="540"/>
          <w:tab w:val="left" w:pos="8280"/>
        </w:tabs>
        <w:autoSpaceDE w:val="0"/>
        <w:autoSpaceDN w:val="0"/>
        <w:spacing w:line="440" w:lineRule="exact"/>
        <w:ind w:firstLine="480" w:firstLineChars="200"/>
        <w:jc w:val="left"/>
        <w:rPr>
          <w:rFonts w:cs="宋体"/>
          <w:color w:val="auto"/>
          <w:sz w:val="24"/>
          <w:highlight w:val="none"/>
        </w:rPr>
      </w:pPr>
      <w:r>
        <w:rPr>
          <w:rFonts w:hint="eastAsia" w:cs="宋体"/>
          <w:color w:val="auto"/>
          <w:sz w:val="24"/>
          <w:highlight w:val="none"/>
        </w:rPr>
        <w:t>简要规格描述或项目基本概况介绍、用途：详见招标需求。</w:t>
      </w:r>
    </w:p>
    <w:p w14:paraId="591EC5F8">
      <w:pPr>
        <w:tabs>
          <w:tab w:val="left" w:pos="180"/>
          <w:tab w:val="left" w:pos="360"/>
          <w:tab w:val="left" w:pos="540"/>
          <w:tab w:val="left" w:pos="8280"/>
        </w:tabs>
        <w:autoSpaceDE w:val="0"/>
        <w:autoSpaceDN w:val="0"/>
        <w:spacing w:line="440" w:lineRule="exact"/>
        <w:ind w:firstLine="480" w:firstLineChars="200"/>
        <w:jc w:val="left"/>
        <w:rPr>
          <w:rFonts w:cs="宋体"/>
          <w:color w:val="auto"/>
          <w:sz w:val="24"/>
          <w:highlight w:val="none"/>
        </w:rPr>
      </w:pPr>
      <w:r>
        <w:rPr>
          <w:rFonts w:hint="eastAsia" w:cs="宋体"/>
          <w:color w:val="auto"/>
          <w:sz w:val="24"/>
          <w:highlight w:val="none"/>
        </w:rPr>
        <w:t>合同履约期限：</w:t>
      </w:r>
      <w:r>
        <w:rPr>
          <w:rFonts w:hint="eastAsia" w:cs="宋体"/>
          <w:color w:val="auto"/>
          <w:sz w:val="24"/>
          <w:highlight w:val="none"/>
          <w:lang w:eastAsia="zh-CN"/>
        </w:rPr>
        <w:t>合同签订后4个月内完成供货、安装调试并申请初验，初验合格后试运行3个月后申请终验。终验合格后，进入正式运行阶段</w:t>
      </w:r>
      <w:r>
        <w:rPr>
          <w:rFonts w:hint="eastAsia" w:cs="宋体"/>
          <w:color w:val="auto"/>
          <w:sz w:val="24"/>
          <w:highlight w:val="none"/>
        </w:rPr>
        <w:t>。</w:t>
      </w:r>
    </w:p>
    <w:p w14:paraId="0C9D93AA">
      <w:pPr>
        <w:pStyle w:val="3"/>
        <w:adjustRightInd/>
        <w:spacing w:line="440" w:lineRule="exact"/>
        <w:ind w:right="0" w:firstLine="480" w:firstLineChars="200"/>
        <w:rPr>
          <w:rFonts w:cs="宋体"/>
          <w:b w:val="0"/>
          <w:bCs/>
          <w:color w:val="auto"/>
          <w:sz w:val="24"/>
          <w:szCs w:val="24"/>
          <w:highlight w:val="none"/>
        </w:rPr>
      </w:pPr>
      <w:r>
        <w:rPr>
          <w:rFonts w:hint="eastAsia" w:cs="Simang"/>
          <w:b w:val="0"/>
          <w:bCs/>
          <w:color w:val="auto"/>
          <w:kern w:val="0"/>
          <w:sz w:val="24"/>
          <w:highlight w:val="none"/>
        </w:rPr>
        <w:t>本项目不接受联合体投标。</w:t>
      </w:r>
    </w:p>
    <w:p w14:paraId="143688B3">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申请人的资格要求：</w:t>
      </w:r>
    </w:p>
    <w:p w14:paraId="0B26E763">
      <w:pPr>
        <w:numPr>
          <w:ilvl w:val="0"/>
          <w:numId w:val="6"/>
        </w:num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kern w:val="0"/>
          <w:sz w:val="24"/>
          <w:highlight w:val="none"/>
        </w:rPr>
      </w:pPr>
      <w:r>
        <w:rPr>
          <w:rFonts w:hint="eastAsia" w:ascii="宋体" w:hAnsi="宋体"/>
          <w:color w:val="auto"/>
          <w:sz w:val="24"/>
          <w:highlight w:val="none"/>
        </w:rPr>
        <w:t>满足《中华人民共和国政府采购法》第二十二条规定，</w:t>
      </w:r>
      <w:r>
        <w:rPr>
          <w:rFonts w:ascii="宋体" w:hAnsi="宋体"/>
          <w:color w:val="auto"/>
          <w:sz w:val="24"/>
          <w:highlight w:val="none"/>
        </w:rPr>
        <w:t>未被“信用中国”（www.creditchina.gov.cn)、中国政府采购网（www.ccgp.gov.cn）列入失信被执行人、</w:t>
      </w:r>
      <w:r>
        <w:rPr>
          <w:rFonts w:hint="eastAsia" w:ascii="宋体" w:hAnsi="宋体"/>
          <w:color w:val="auto"/>
          <w:sz w:val="24"/>
          <w:highlight w:val="none"/>
        </w:rPr>
        <w:t>重大税收违法失信主体</w:t>
      </w:r>
      <w:r>
        <w:rPr>
          <w:rFonts w:ascii="宋体" w:hAnsi="宋体"/>
          <w:color w:val="auto"/>
          <w:sz w:val="24"/>
          <w:highlight w:val="none"/>
        </w:rPr>
        <w:t>、政府采购严重违法失信行为记录名单。</w:t>
      </w:r>
    </w:p>
    <w:p w14:paraId="6E8788D2">
      <w:pPr>
        <w:numPr>
          <w:ilvl w:val="0"/>
          <w:numId w:val="6"/>
        </w:numPr>
        <w:tabs>
          <w:tab w:val="left" w:pos="180"/>
          <w:tab w:val="left" w:pos="360"/>
          <w:tab w:val="left" w:pos="540"/>
          <w:tab w:val="left" w:pos="8280"/>
        </w:tabs>
        <w:autoSpaceDE w:val="0"/>
        <w:autoSpaceDN w:val="0"/>
        <w:spacing w:line="440" w:lineRule="exact"/>
        <w:ind w:firstLine="480" w:firstLineChars="200"/>
        <w:jc w:val="left"/>
        <w:rPr>
          <w:rFonts w:ascii="宋体"/>
          <w:color w:val="auto"/>
          <w:kern w:val="0"/>
          <w:sz w:val="24"/>
          <w:highlight w:val="none"/>
        </w:rPr>
      </w:pPr>
      <w:r>
        <w:rPr>
          <w:rFonts w:ascii="宋体" w:hAnsi="宋体"/>
          <w:color w:val="auto"/>
          <w:sz w:val="24"/>
          <w:highlight w:val="none"/>
        </w:rPr>
        <w:t>落实政府采购政策需满足的资格要求：</w:t>
      </w:r>
      <w:r>
        <w:rPr>
          <w:rFonts w:hint="eastAsia" w:ascii="宋体" w:hAnsi="宋体"/>
          <w:color w:val="auto"/>
          <w:sz w:val="24"/>
          <w:highlight w:val="none"/>
        </w:rPr>
        <w:t>/。</w:t>
      </w:r>
    </w:p>
    <w:p w14:paraId="6098C18B">
      <w:pPr>
        <w:pStyle w:val="8"/>
        <w:numPr>
          <w:ilvl w:val="0"/>
          <w:numId w:val="6"/>
        </w:num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本项目的特定资格要求：</w:t>
      </w:r>
      <w:r>
        <w:rPr>
          <w:rFonts w:hint="eastAsia" w:ascii="宋体" w:hAnsi="宋体" w:cs="宋体"/>
          <w:color w:val="auto"/>
          <w:sz w:val="24"/>
          <w:szCs w:val="24"/>
          <w:highlight w:val="none"/>
        </w:rPr>
        <w:t>/</w:t>
      </w:r>
      <w:r>
        <w:rPr>
          <w:rFonts w:hint="eastAsia" w:ascii="宋体" w:hAnsi="宋体"/>
          <w:color w:val="auto"/>
          <w:sz w:val="24"/>
          <w:highlight w:val="none"/>
        </w:rPr>
        <w:t>。</w:t>
      </w:r>
    </w:p>
    <w:p w14:paraId="5F45E901">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获取招标文件：</w:t>
      </w:r>
    </w:p>
    <w:p w14:paraId="1808C0B4">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sz w:val="24"/>
          <w:highlight w:val="none"/>
        </w:rPr>
      </w:pPr>
      <w:r>
        <w:rPr>
          <w:rFonts w:ascii="宋体" w:hAnsi="宋体"/>
          <w:color w:val="auto"/>
          <w:sz w:val="24"/>
          <w:highlight w:val="none"/>
        </w:rPr>
        <w:t>时间： /至</w:t>
      </w:r>
      <w:r>
        <w:rPr>
          <w:rFonts w:hint="eastAsia" w:ascii="宋体" w:hAnsi="宋体"/>
          <w:color w:val="auto"/>
          <w:sz w:val="24"/>
          <w:highlight w:val="none"/>
          <w:lang w:eastAsia="zh-CN"/>
        </w:rPr>
        <w:t>2025年3月12日</w:t>
      </w:r>
      <w:r>
        <w:rPr>
          <w:rFonts w:ascii="宋体" w:hAnsi="宋体"/>
          <w:color w:val="auto"/>
          <w:sz w:val="24"/>
          <w:highlight w:val="none"/>
        </w:rPr>
        <w:t>，每天上午00:00至12:00</w:t>
      </w:r>
      <w:r>
        <w:rPr>
          <w:rFonts w:hint="eastAsia" w:ascii="宋体" w:hAnsi="宋体"/>
          <w:color w:val="auto"/>
          <w:sz w:val="24"/>
          <w:highlight w:val="none"/>
        </w:rPr>
        <w:t>，</w:t>
      </w:r>
      <w:r>
        <w:rPr>
          <w:rFonts w:ascii="宋体" w:hAnsi="宋体"/>
          <w:color w:val="auto"/>
          <w:sz w:val="24"/>
          <w:highlight w:val="none"/>
        </w:rPr>
        <w:t>下午12:00至23:59（北京时间，线上获取法定节假日均可，线下获取文件法定节假日除外）</w:t>
      </w:r>
    </w:p>
    <w:p w14:paraId="22D57E1A">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sz w:val="24"/>
          <w:highlight w:val="none"/>
        </w:rPr>
      </w:pPr>
      <w:r>
        <w:rPr>
          <w:rFonts w:ascii="宋体" w:hAnsi="宋体"/>
          <w:color w:val="auto"/>
          <w:sz w:val="24"/>
          <w:highlight w:val="none"/>
        </w:rPr>
        <w:t>地点（网址）：</w:t>
      </w:r>
      <w:r>
        <w:rPr>
          <w:rFonts w:hint="eastAsia" w:ascii="宋体" w:hAnsi="宋体"/>
          <w:color w:val="auto"/>
          <w:sz w:val="24"/>
          <w:highlight w:val="none"/>
        </w:rPr>
        <w:t>政采云平台线上获取</w:t>
      </w:r>
      <w:r>
        <w:rPr>
          <w:rFonts w:ascii="宋体" w:hAnsi="宋体"/>
          <w:color w:val="auto"/>
          <w:sz w:val="24"/>
          <w:highlight w:val="none"/>
        </w:rPr>
        <w:t>。</w:t>
      </w:r>
    </w:p>
    <w:p w14:paraId="73537493">
      <w:pPr>
        <w:tabs>
          <w:tab w:val="left" w:pos="180"/>
          <w:tab w:val="left" w:pos="360"/>
          <w:tab w:val="left" w:pos="540"/>
          <w:tab w:val="left" w:pos="8280"/>
        </w:tabs>
        <w:autoSpaceDE w:val="0"/>
        <w:autoSpaceDN w:val="0"/>
        <w:spacing w:line="440" w:lineRule="exact"/>
        <w:ind w:firstLine="480" w:firstLineChars="200"/>
        <w:jc w:val="left"/>
        <w:rPr>
          <w:rFonts w:ascii="宋体" w:hAnsi="宋体"/>
          <w:color w:val="auto"/>
          <w:sz w:val="24"/>
          <w:highlight w:val="none"/>
        </w:rPr>
      </w:pPr>
      <w:r>
        <w:rPr>
          <w:rFonts w:ascii="宋体" w:hAnsi="宋体"/>
          <w:color w:val="auto"/>
          <w:sz w:val="24"/>
          <w:highlight w:val="none"/>
        </w:rPr>
        <w:t>方式：</w:t>
      </w:r>
      <w:r>
        <w:rPr>
          <w:rFonts w:hint="eastAsia" w:ascii="宋体" w:hAnsi="宋体"/>
          <w:color w:val="auto"/>
          <w:sz w:val="24"/>
          <w:highlight w:val="none"/>
        </w:rPr>
        <w:t>供应商登录政采云平台https://www.zcygov.cn/在线申请获取采购文件（进入“项目采购”应用，在获取采购文件菜单中选择项目，申请获取采购文件）</w:t>
      </w:r>
    </w:p>
    <w:p w14:paraId="63AC1007">
      <w:pPr>
        <w:tabs>
          <w:tab w:val="left" w:pos="180"/>
          <w:tab w:val="left" w:pos="360"/>
          <w:tab w:val="left" w:pos="540"/>
          <w:tab w:val="left" w:pos="8280"/>
        </w:tabs>
        <w:autoSpaceDE w:val="0"/>
        <w:autoSpaceDN w:val="0"/>
        <w:spacing w:line="440" w:lineRule="exact"/>
        <w:ind w:firstLine="240" w:firstLineChars="100"/>
        <w:jc w:val="left"/>
        <w:rPr>
          <w:rFonts w:ascii="宋体" w:hAnsi="宋体" w:cs="宋体"/>
          <w:color w:val="auto"/>
          <w:kern w:val="0"/>
          <w:sz w:val="24"/>
          <w:highlight w:val="none"/>
        </w:rPr>
      </w:pPr>
      <w:r>
        <w:rPr>
          <w:rFonts w:ascii="宋体" w:hAnsi="宋体"/>
          <w:color w:val="auto"/>
          <w:sz w:val="24"/>
          <w:highlight w:val="none"/>
        </w:rPr>
        <w:t> 售价（元）：0</w:t>
      </w:r>
    </w:p>
    <w:p w14:paraId="5AEFDAA5">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提交投标文件截止时间、开标时间和地点</w:t>
      </w:r>
    </w:p>
    <w:p w14:paraId="3EA3E0AE">
      <w:pPr>
        <w:widowControl/>
        <w:spacing w:line="440" w:lineRule="exact"/>
        <w:jc w:val="left"/>
        <w:rPr>
          <w:rFonts w:ascii="宋体" w:hAnsi="宋体"/>
          <w:color w:val="auto"/>
          <w:sz w:val="24"/>
          <w:highlight w:val="none"/>
        </w:rPr>
      </w:pPr>
      <w:r>
        <w:rPr>
          <w:rFonts w:ascii="宋体" w:hAnsi="宋体"/>
          <w:color w:val="auto"/>
          <w:sz w:val="24"/>
          <w:highlight w:val="none"/>
        </w:rPr>
        <w:t>提交投标文件截止时间：</w:t>
      </w:r>
      <w:r>
        <w:rPr>
          <w:rFonts w:hint="eastAsia" w:ascii="宋体" w:hAnsi="宋体"/>
          <w:color w:val="auto"/>
          <w:sz w:val="24"/>
          <w:highlight w:val="none"/>
          <w:lang w:eastAsia="zh-CN"/>
        </w:rPr>
        <w:t>2025年3月12日上午9：00</w:t>
      </w:r>
      <w:r>
        <w:rPr>
          <w:rFonts w:ascii="宋体" w:hAnsi="宋体"/>
          <w:color w:val="auto"/>
          <w:sz w:val="24"/>
          <w:highlight w:val="none"/>
        </w:rPr>
        <w:t>（北京时间）</w:t>
      </w:r>
    </w:p>
    <w:p w14:paraId="2FEF4CE7">
      <w:pPr>
        <w:widowControl/>
        <w:spacing w:line="440" w:lineRule="exact"/>
        <w:jc w:val="left"/>
        <w:rPr>
          <w:rFonts w:ascii="宋体" w:hAnsi="宋体"/>
          <w:color w:val="auto"/>
          <w:sz w:val="24"/>
          <w:highlight w:val="none"/>
        </w:rPr>
      </w:pPr>
      <w:r>
        <w:rPr>
          <w:rFonts w:ascii="宋体" w:hAnsi="宋体"/>
          <w:color w:val="auto"/>
          <w:sz w:val="24"/>
          <w:highlight w:val="none"/>
        </w:rPr>
        <w:t>投标地点（网址）：</w:t>
      </w:r>
      <w:r>
        <w:rPr>
          <w:rFonts w:hint="eastAsia" w:ascii="宋体" w:hAnsi="宋体"/>
          <w:color w:val="auto"/>
          <w:sz w:val="24"/>
          <w:highlight w:val="none"/>
        </w:rPr>
        <w:t>请登录政采云投标客户端投标</w:t>
      </w:r>
    </w:p>
    <w:p w14:paraId="0A65FDA8">
      <w:pPr>
        <w:widowControl/>
        <w:spacing w:line="440" w:lineRule="exact"/>
        <w:jc w:val="left"/>
        <w:rPr>
          <w:rFonts w:ascii="宋体" w:hAnsi="宋体"/>
          <w:color w:val="auto"/>
          <w:sz w:val="24"/>
          <w:highlight w:val="none"/>
        </w:rPr>
      </w:pPr>
      <w:r>
        <w:rPr>
          <w:rFonts w:ascii="宋体" w:hAnsi="宋体"/>
          <w:color w:val="auto"/>
          <w:sz w:val="24"/>
          <w:highlight w:val="none"/>
        </w:rPr>
        <w:t>开标时间：</w:t>
      </w:r>
      <w:r>
        <w:rPr>
          <w:rFonts w:hint="eastAsia" w:ascii="宋体" w:hAnsi="宋体"/>
          <w:color w:val="auto"/>
          <w:sz w:val="24"/>
          <w:highlight w:val="none"/>
          <w:lang w:eastAsia="zh-CN"/>
        </w:rPr>
        <w:t>2025年3月12日上午9：00</w:t>
      </w:r>
      <w:r>
        <w:rPr>
          <w:rFonts w:ascii="宋体" w:hAnsi="宋体"/>
          <w:color w:val="auto"/>
          <w:sz w:val="24"/>
          <w:highlight w:val="none"/>
        </w:rPr>
        <w:t>（北京时间）</w:t>
      </w:r>
    </w:p>
    <w:p w14:paraId="05C0D14E">
      <w:pPr>
        <w:widowControl/>
        <w:spacing w:line="440" w:lineRule="exact"/>
        <w:jc w:val="left"/>
        <w:rPr>
          <w:rFonts w:ascii="宋体" w:hAnsi="宋体"/>
          <w:color w:val="auto"/>
          <w:sz w:val="24"/>
          <w:highlight w:val="none"/>
        </w:rPr>
      </w:pPr>
      <w:r>
        <w:rPr>
          <w:rFonts w:ascii="宋体" w:hAnsi="宋体"/>
          <w:color w:val="auto"/>
          <w:sz w:val="24"/>
          <w:highlight w:val="none"/>
        </w:rPr>
        <w:t>开标地点（网址）：</w:t>
      </w:r>
      <w:r>
        <w:rPr>
          <w:rFonts w:hint="eastAsia" w:ascii="宋体" w:hAnsi="宋体"/>
          <w:color w:val="auto"/>
          <w:sz w:val="24"/>
          <w:highlight w:val="none"/>
        </w:rPr>
        <w:t>三门县海游街道广场路22号交通大楼四楼开标室</w:t>
      </w:r>
    </w:p>
    <w:p w14:paraId="512A4473">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公告期限 </w:t>
      </w:r>
    </w:p>
    <w:p w14:paraId="5D90C292">
      <w:pPr>
        <w:widowControl/>
        <w:spacing w:line="440" w:lineRule="exact"/>
        <w:jc w:val="left"/>
        <w:rPr>
          <w:rFonts w:ascii="宋体" w:hAnsi="宋体" w:cs="宋体"/>
          <w:color w:val="auto"/>
          <w:kern w:val="0"/>
          <w:sz w:val="24"/>
          <w:highlight w:val="none"/>
        </w:rPr>
      </w:pPr>
      <w:r>
        <w:rPr>
          <w:rFonts w:ascii="宋体" w:hAnsi="宋体" w:cs="宋体"/>
          <w:color w:val="auto"/>
          <w:kern w:val="0"/>
          <w:sz w:val="24"/>
          <w:highlight w:val="none"/>
        </w:rPr>
        <w:t xml:space="preserve">  </w:t>
      </w:r>
      <w:r>
        <w:rPr>
          <w:rFonts w:ascii="宋体" w:hAnsi="宋体"/>
          <w:color w:val="auto"/>
          <w:sz w:val="24"/>
          <w:highlight w:val="none"/>
        </w:rPr>
        <w:t>  自本公告发布之日起5个工作日。</w:t>
      </w:r>
    </w:p>
    <w:p w14:paraId="1585503B">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其他补充事宜</w:t>
      </w:r>
    </w:p>
    <w:p w14:paraId="36639E35">
      <w:pPr>
        <w:widowControl/>
        <w:numPr>
          <w:ilvl w:val="0"/>
          <w:numId w:val="7"/>
        </w:numPr>
        <w:spacing w:line="440" w:lineRule="exact"/>
        <w:ind w:firstLine="480" w:firstLineChars="200"/>
        <w:jc w:val="left"/>
        <w:rPr>
          <w:rFonts w:ascii="微软雅黑" w:hAnsi="微软雅黑" w:eastAsia="微软雅黑" w:cs="宋体"/>
          <w:color w:val="auto"/>
          <w:kern w:val="0"/>
          <w:sz w:val="27"/>
          <w:szCs w:val="27"/>
          <w:highlight w:val="none"/>
        </w:rPr>
      </w:pPr>
      <w:r>
        <w:rPr>
          <w:rFonts w:hint="eastAsia" w:ascii="宋体" w:hAnsi="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6B928A1">
      <w:pPr>
        <w:widowControl/>
        <w:numPr>
          <w:ilvl w:val="0"/>
          <w:numId w:val="7"/>
        </w:num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586602">
      <w:pPr>
        <w:widowControl/>
        <w:numPr>
          <w:ilvl w:val="0"/>
          <w:numId w:val="7"/>
        </w:num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4E1312">
      <w:pPr>
        <w:widowControl/>
        <w:numPr>
          <w:ilvl w:val="0"/>
          <w:numId w:val="7"/>
        </w:numP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其他事项</w:t>
      </w:r>
    </w:p>
    <w:p w14:paraId="683E8A27">
      <w:pPr>
        <w:widowControl/>
        <w:numPr>
          <w:ilvl w:val="0"/>
          <w:numId w:val="8"/>
        </w:numPr>
        <w:spacing w:line="440" w:lineRule="exact"/>
        <w:ind w:left="0" w:firstLine="240" w:firstLineChars="100"/>
        <w:jc w:val="left"/>
        <w:rPr>
          <w:rFonts w:ascii="宋体" w:hAnsi="宋体"/>
          <w:color w:val="auto"/>
          <w:sz w:val="24"/>
          <w:highlight w:val="none"/>
        </w:rPr>
      </w:pPr>
      <w:r>
        <w:rPr>
          <w:rFonts w:ascii="宋体" w:hAnsi="宋体"/>
          <w:color w:val="auto"/>
          <w:sz w:val="24"/>
          <w:highlight w:val="none"/>
        </w:rPr>
        <w:t>本项目实行</w:t>
      </w:r>
      <w:r>
        <w:rPr>
          <w:rFonts w:hint="eastAsia" w:ascii="宋体" w:hAnsi="宋体"/>
          <w:color w:val="auto"/>
          <w:sz w:val="24"/>
          <w:highlight w:val="none"/>
        </w:rPr>
        <w:t>网上投标，采用电子投标文件。若供应商参与投标，自行承担投标一切费用。</w:t>
      </w:r>
    </w:p>
    <w:p w14:paraId="4246FA98">
      <w:pPr>
        <w:widowControl/>
        <w:numPr>
          <w:ilvl w:val="0"/>
          <w:numId w:val="8"/>
        </w:numPr>
        <w:spacing w:line="440" w:lineRule="exact"/>
        <w:ind w:left="0" w:firstLine="240" w:firstLineChars="100"/>
        <w:jc w:val="left"/>
        <w:rPr>
          <w:rFonts w:ascii="宋体" w:hAnsi="宋体"/>
          <w:color w:val="auto"/>
          <w:sz w:val="24"/>
          <w:highlight w:val="none"/>
        </w:rPr>
      </w:pPr>
      <w:r>
        <w:rPr>
          <w:rFonts w:hint="eastAsia" w:ascii="宋体" w:hAnsi="宋体"/>
          <w:color w:val="auto"/>
          <w:sz w:val="24"/>
          <w:highlight w:val="none"/>
        </w:rPr>
        <w:t>各供应商在开标前应确保成为浙江省政府采购网正式注册入库供应商。</w:t>
      </w:r>
      <w:r>
        <w:rPr>
          <w:rFonts w:hint="eastAsia" w:ascii="宋体" w:hAnsi="宋体" w:cs="宋体"/>
          <w:bCs/>
          <w:color w:val="auto"/>
          <w:sz w:val="24"/>
          <w:highlight w:val="none"/>
        </w:rPr>
        <w:t>并完成CA数字证书办理。（办理流程详见本招标公告附件：“政采云CA签章申领操作流程.pdf”）。因未注册入库、未办理CA数字证书等原因造成无法投标或投标失败等后果由供应商自行承担。</w:t>
      </w:r>
    </w:p>
    <w:p w14:paraId="38087FCC">
      <w:pPr>
        <w:widowControl/>
        <w:numPr>
          <w:ilvl w:val="0"/>
          <w:numId w:val="8"/>
        </w:numPr>
        <w:spacing w:line="440" w:lineRule="exact"/>
        <w:ind w:left="0" w:firstLine="240" w:firstLineChars="100"/>
        <w:jc w:val="left"/>
        <w:rPr>
          <w:rFonts w:ascii="宋体" w:hAnsi="宋体"/>
          <w:color w:val="auto"/>
          <w:sz w:val="24"/>
          <w:highlight w:val="none"/>
        </w:rPr>
      </w:pPr>
      <w:r>
        <w:rPr>
          <w:rFonts w:hint="eastAsia" w:ascii="宋体" w:hAnsi="宋体"/>
          <w:color w:val="auto"/>
          <w:sz w:val="24"/>
          <w:highlight w:val="none"/>
        </w:rPr>
        <w:t>投标文件制作：</w:t>
      </w:r>
    </w:p>
    <w:p w14:paraId="391B8223">
      <w:pPr>
        <w:widowControl/>
        <w:spacing w:line="440" w:lineRule="exact"/>
        <w:ind w:firstLine="240" w:firstLineChars="100"/>
        <w:jc w:val="left"/>
        <w:rPr>
          <w:rFonts w:ascii="宋体" w:hAnsi="宋体" w:cs="宋体"/>
          <w:bCs/>
          <w:color w:val="auto"/>
          <w:sz w:val="24"/>
          <w:highlight w:val="none"/>
        </w:rPr>
      </w:pPr>
      <w:r>
        <w:rPr>
          <w:rFonts w:hint="eastAsia" w:ascii="宋体" w:hAnsi="宋体"/>
          <w:color w:val="auto"/>
          <w:sz w:val="24"/>
          <w:highlight w:val="none"/>
        </w:rPr>
        <w:t>3.1、供应商</w:t>
      </w:r>
      <w:r>
        <w:rPr>
          <w:rFonts w:ascii="宋体" w:hAnsi="宋体"/>
          <w:color w:val="auto"/>
          <w:sz w:val="24"/>
          <w:highlight w:val="none"/>
        </w:rPr>
        <w:t>应按照本项目招标文件和政采云平台的要求编制、加密并递交投标文件。</w:t>
      </w:r>
      <w:r>
        <w:rPr>
          <w:rFonts w:hint="eastAsia" w:ascii="宋体" w:hAnsi="宋体" w:cs="宋体"/>
          <w:bCs/>
          <w:color w:val="auto"/>
          <w:sz w:val="24"/>
          <w:highlight w:val="none"/>
        </w:rPr>
        <w:t>供应商在使用系统进行投标的过程中遇到涉及平台使用的任何问题，可致电政采云平台技术支持热线咨询，联系方式：95763。</w:t>
      </w:r>
    </w:p>
    <w:p w14:paraId="6F5C4810">
      <w:pPr>
        <w:widowControl/>
        <w:spacing w:line="440" w:lineRule="exact"/>
        <w:ind w:firstLine="240" w:firstLineChars="100"/>
        <w:jc w:val="left"/>
        <w:rPr>
          <w:rFonts w:ascii="宋体" w:hAnsi="宋体"/>
          <w:color w:val="auto"/>
          <w:sz w:val="24"/>
          <w:highlight w:val="none"/>
        </w:rPr>
      </w:pPr>
      <w:r>
        <w:rPr>
          <w:rFonts w:hint="eastAsia" w:ascii="宋体" w:hAnsi="宋体" w:cs="宋体"/>
          <w:bCs/>
          <w:color w:val="auto"/>
          <w:sz w:val="24"/>
          <w:highlight w:val="none"/>
        </w:rPr>
        <w:t>3.2、</w:t>
      </w:r>
      <w:r>
        <w:rPr>
          <w:rFonts w:hint="eastAsia" w:ascii="宋体" w:hAnsi="宋体"/>
          <w:color w:val="auto"/>
          <w:sz w:val="24"/>
          <w:highlight w:val="none"/>
        </w:rPr>
        <w:t>供应商</w:t>
      </w:r>
      <w:r>
        <w:rPr>
          <w:rFonts w:hint="eastAsia" w:ascii="宋体" w:hAnsi="宋体" w:cs="宋体"/>
          <w:bCs/>
          <w:color w:val="auto"/>
          <w:sz w:val="24"/>
          <w:highlight w:val="none"/>
        </w:rPr>
        <w:t>通过“政采云”平台电子投标工具制作投标文件，电子投标工具请供应商自行前往浙江省政府采购网下载并安装，（下载网址：http://zfcg.czt.zj.gov.cn/bidClientTemplate/2019-05-27/129170.html），投标文件制作具体流程详见本招标公告附件：“政采云供应商项目采购-电子招投标操作指南.pdf”。</w:t>
      </w:r>
    </w:p>
    <w:p w14:paraId="4245755D">
      <w:pPr>
        <w:numPr>
          <w:ilvl w:val="0"/>
          <w:numId w:val="7"/>
        </w:numPr>
        <w:spacing w:line="440" w:lineRule="exact"/>
        <w:ind w:firstLine="482" w:firstLineChars="200"/>
        <w:rPr>
          <w:rFonts w:ascii="宋体" w:hAnsi="宋体" w:cs="Arial"/>
          <w:b/>
          <w:color w:val="auto"/>
          <w:sz w:val="24"/>
          <w:highlight w:val="none"/>
        </w:rPr>
      </w:pPr>
      <w:r>
        <w:rPr>
          <w:rFonts w:hint="eastAsia" w:ascii="宋体" w:hAnsi="宋体"/>
          <w:b/>
          <w:color w:val="auto"/>
          <w:sz w:val="24"/>
          <w:highlight w:val="none"/>
        </w:rPr>
        <w:t>供应商</w:t>
      </w:r>
      <w:r>
        <w:rPr>
          <w:rFonts w:ascii="宋体" w:hAnsi="宋体" w:cs="Arial"/>
          <w:b/>
          <w:color w:val="auto"/>
          <w:sz w:val="24"/>
          <w:highlight w:val="none"/>
        </w:rPr>
        <w:t>信用信息查询渠道及截止时点、信用信息查询记录和证据留存的具体方式、信用信息的使用规则</w:t>
      </w:r>
      <w:r>
        <w:rPr>
          <w:rFonts w:hint="eastAsia" w:ascii="宋体" w:hAnsi="宋体" w:cs="Arial"/>
          <w:b/>
          <w:color w:val="auto"/>
          <w:sz w:val="24"/>
          <w:highlight w:val="none"/>
        </w:rPr>
        <w:t>：</w:t>
      </w:r>
    </w:p>
    <w:p w14:paraId="7DB44BD2">
      <w:pPr>
        <w:spacing w:line="440" w:lineRule="exact"/>
        <w:ind w:firstLine="240" w:firstLineChars="100"/>
        <w:rPr>
          <w:rFonts w:ascii="宋体" w:hAnsi="宋体" w:cs="Arial"/>
          <w:color w:val="auto"/>
          <w:sz w:val="24"/>
          <w:highlight w:val="none"/>
        </w:rPr>
      </w:pPr>
      <w:r>
        <w:rPr>
          <w:rFonts w:hint="eastAsia" w:ascii="宋体" w:hAnsi="宋体" w:cs="Arial"/>
          <w:color w:val="auto"/>
          <w:sz w:val="24"/>
          <w:highlight w:val="none"/>
        </w:rPr>
        <w:t>5.1、查询渠道：信用中国（网址：http://www.creditchina.gov.cn）、中国政府采购网(网址：http://www.ccgp.gov.cn）。</w:t>
      </w:r>
    </w:p>
    <w:p w14:paraId="08CDABBB">
      <w:pPr>
        <w:spacing w:line="440" w:lineRule="exact"/>
        <w:ind w:firstLine="240" w:firstLineChars="100"/>
        <w:rPr>
          <w:rFonts w:ascii="宋体" w:hAnsi="宋体" w:cs="Arial"/>
          <w:b/>
          <w:bCs/>
          <w:color w:val="auto"/>
          <w:sz w:val="24"/>
          <w:highlight w:val="none"/>
          <w:shd w:val="clear" w:color="FFFFFF" w:fill="D9D9D9"/>
        </w:rPr>
      </w:pPr>
      <w:r>
        <w:rPr>
          <w:rFonts w:hint="eastAsia" w:ascii="宋体" w:hAnsi="宋体" w:cs="Arial"/>
          <w:color w:val="auto"/>
          <w:sz w:val="24"/>
          <w:highlight w:val="none"/>
        </w:rPr>
        <w:t>5.2、截止时点：开标后评标前。</w:t>
      </w:r>
    </w:p>
    <w:p w14:paraId="5541E2E6">
      <w:pPr>
        <w:spacing w:line="440" w:lineRule="exact"/>
        <w:ind w:firstLine="240" w:firstLineChars="100"/>
        <w:rPr>
          <w:rFonts w:ascii="宋体" w:hAnsi="宋体" w:cs="Arial"/>
          <w:color w:val="auto"/>
          <w:sz w:val="24"/>
          <w:highlight w:val="none"/>
        </w:rPr>
      </w:pPr>
      <w:r>
        <w:rPr>
          <w:rFonts w:hint="eastAsia" w:ascii="宋体" w:hAnsi="宋体" w:cs="Arial"/>
          <w:color w:val="auto"/>
          <w:sz w:val="24"/>
          <w:highlight w:val="none"/>
        </w:rPr>
        <w:t>5.3、</w:t>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：由采购组织机构在规定查询时间内打印信用信息查询记录并归入项目档案。</w:t>
      </w:r>
    </w:p>
    <w:p w14:paraId="5BAA73B6">
      <w:pPr>
        <w:widowControl/>
        <w:spacing w:line="440" w:lineRule="exact"/>
        <w:ind w:firstLine="240" w:firstLineChars="100"/>
        <w:jc w:val="left"/>
        <w:rPr>
          <w:rFonts w:ascii="宋体" w:hAnsi="宋体"/>
          <w:color w:val="auto"/>
          <w:sz w:val="24"/>
          <w:highlight w:val="none"/>
        </w:rPr>
      </w:pPr>
      <w:r>
        <w:rPr>
          <w:rFonts w:hint="eastAsia" w:ascii="宋体" w:hAnsi="宋体" w:cs="Arial"/>
          <w:color w:val="auto"/>
          <w:sz w:val="24"/>
          <w:highlight w:val="none"/>
        </w:rPr>
        <w:t>5.4、使用规则：对列入失信被执行人、重大税收违法失信主体、政府采购严重违法失信行为记录名单及其他不符合《中华人民共和国政府采购法》第二十二条规定条件的供应商，</w:t>
      </w:r>
      <w:r>
        <w:rPr>
          <w:rFonts w:ascii="宋体" w:hAnsi="宋体" w:cs="Arial"/>
          <w:color w:val="auto"/>
          <w:sz w:val="24"/>
          <w:highlight w:val="none"/>
        </w:rPr>
        <w:t>将被</w:t>
      </w:r>
      <w:r>
        <w:rPr>
          <w:rFonts w:hint="eastAsia" w:ascii="宋体" w:hAnsi="宋体" w:cs="Arial"/>
          <w:color w:val="auto"/>
          <w:sz w:val="24"/>
          <w:highlight w:val="none"/>
        </w:rPr>
        <w:t>拒绝其参与政府采购活动。</w:t>
      </w:r>
    </w:p>
    <w:p w14:paraId="3525E502">
      <w:pPr>
        <w:widowControl/>
        <w:numPr>
          <w:ilvl w:val="0"/>
          <w:numId w:val="7"/>
        </w:numPr>
        <w:spacing w:line="440" w:lineRule="exact"/>
        <w:ind w:firstLine="480" w:firstLineChars="200"/>
        <w:rPr>
          <w:rFonts w:cs="宋体"/>
          <w:color w:val="auto"/>
          <w:sz w:val="24"/>
          <w:highlight w:val="none"/>
        </w:rPr>
      </w:pPr>
      <w:r>
        <w:rPr>
          <w:rFonts w:hint="eastAsia" w:ascii="宋体" w:hAnsi="宋体" w:cs="Arial"/>
          <w:color w:val="auto"/>
          <w:sz w:val="24"/>
          <w:highlight w:val="none"/>
        </w:rPr>
        <w:t>本项目所有公告发布网站：“浙江省政府采购网”（https://zfcg.czt.zj.gov.cn/）和</w:t>
      </w:r>
      <w:r>
        <w:rPr>
          <w:rFonts w:ascii="宋体" w:hAnsi="宋体" w:cs="宋体"/>
          <w:color w:val="auto"/>
          <w:kern w:val="0"/>
          <w:sz w:val="24"/>
          <w:highlight w:val="none"/>
        </w:rPr>
        <w:t>“三门县公共资源交易中心网</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http://www.sanmen.gov.cn/col/col1229610743/index.html</w:t>
      </w:r>
      <w:r>
        <w:rPr>
          <w:rFonts w:ascii="宋体" w:hAnsi="宋体" w:cs="宋体"/>
          <w:color w:val="auto"/>
          <w:kern w:val="0"/>
          <w:sz w:val="24"/>
          <w:highlight w:val="none"/>
        </w:rPr>
        <w:t>）</w:t>
      </w:r>
      <w:r>
        <w:rPr>
          <w:rFonts w:hint="eastAsia" w:ascii="宋体" w:hAnsi="宋体" w:cs="Arial"/>
          <w:color w:val="auto"/>
          <w:sz w:val="24"/>
          <w:highlight w:val="none"/>
        </w:rPr>
        <w:t>。</w:t>
      </w:r>
    </w:p>
    <w:bookmarkEnd w:id="1"/>
    <w:bookmarkEnd w:id="2"/>
    <w:bookmarkEnd w:id="3"/>
    <w:bookmarkEnd w:id="4"/>
    <w:bookmarkEnd w:id="5"/>
    <w:p w14:paraId="09CF5A0B">
      <w:pPr>
        <w:numPr>
          <w:ilvl w:val="0"/>
          <w:numId w:val="5"/>
        </w:numPr>
        <w:tabs>
          <w:tab w:val="left" w:pos="180"/>
          <w:tab w:val="left" w:pos="360"/>
          <w:tab w:val="left" w:pos="540"/>
          <w:tab w:val="left" w:pos="8280"/>
        </w:tabs>
        <w:autoSpaceDE w:val="0"/>
        <w:autoSpaceDN w:val="0"/>
        <w:spacing w:line="440" w:lineRule="exact"/>
        <w:jc w:val="left"/>
        <w:rPr>
          <w:rFonts w:ascii="宋体" w:hAnsi="宋体"/>
          <w:b/>
          <w:color w:val="auto"/>
          <w:kern w:val="0"/>
          <w:sz w:val="24"/>
          <w:highlight w:val="none"/>
        </w:rPr>
      </w:pPr>
      <w:r>
        <w:rPr>
          <w:rFonts w:hint="eastAsia" w:ascii="宋体" w:hAnsi="宋体"/>
          <w:b/>
          <w:color w:val="auto"/>
          <w:kern w:val="0"/>
          <w:sz w:val="24"/>
          <w:highlight w:val="none"/>
        </w:rPr>
        <w:t>联系方式</w:t>
      </w:r>
    </w:p>
    <w:p w14:paraId="72BE0314">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（一）采购人信息（受理招标文件相关质疑及答复） </w:t>
      </w:r>
    </w:p>
    <w:p w14:paraId="7E89011C">
      <w:pPr>
        <w:numPr>
          <w:ilvl w:val="0"/>
          <w:numId w:val="9"/>
        </w:numPr>
        <w:spacing w:line="360" w:lineRule="auto"/>
        <w:ind w:firstLine="482" w:firstLineChars="200"/>
        <w:rPr>
          <w:rFonts w:ascii="宋体" w:hAnsi="宋体" w:cs="宋体"/>
          <w:b/>
          <w:bCs/>
          <w:color w:val="auto"/>
          <w:sz w:val="24"/>
          <w:highlight w:val="none"/>
        </w:rPr>
      </w:pPr>
      <w:bookmarkStart w:id="6" w:name="_Toc28359010"/>
      <w:bookmarkStart w:id="7" w:name="_Toc28359087"/>
      <w:r>
        <w:rPr>
          <w:rFonts w:hint="eastAsia" w:ascii="宋体" w:hAnsi="宋体" w:cs="宋体"/>
          <w:b/>
          <w:bCs/>
          <w:color w:val="auto"/>
          <w:sz w:val="24"/>
          <w:highlight w:val="none"/>
        </w:rPr>
        <w:t>采购人信息</w:t>
      </w:r>
    </w:p>
    <w:p w14:paraId="68FC90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称：三门县公安局</w:t>
      </w:r>
    </w:p>
    <w:p w14:paraId="3C37A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址：三门县海润街道三门湾大道21号</w:t>
      </w:r>
    </w:p>
    <w:p w14:paraId="3DEAD5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751934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项目联系人（询问）：蒋家俊 </w:t>
      </w:r>
    </w:p>
    <w:p w14:paraId="630B64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项目联系方式（询问）：15057215399</w:t>
      </w:r>
    </w:p>
    <w:p w14:paraId="47232B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项目质疑联系人：邵彩凤</w:t>
      </w:r>
    </w:p>
    <w:p w14:paraId="2B3A4D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联系电话：0576-83306581</w:t>
      </w:r>
    </w:p>
    <w:p w14:paraId="76B76B82">
      <w:pPr>
        <w:spacing w:line="360" w:lineRule="auto"/>
        <w:ind w:left="420" w:leftChars="200"/>
        <w:rPr>
          <w:rFonts w:ascii="宋体" w:hAnsi="宋体" w:cs="宋体"/>
          <w:b/>
          <w:bCs/>
          <w:color w:val="auto"/>
          <w:sz w:val="24"/>
          <w:highlight w:val="none"/>
        </w:rPr>
      </w:pPr>
    </w:p>
    <w:p w14:paraId="75A4624B">
      <w:pPr>
        <w:numPr>
          <w:ilvl w:val="0"/>
          <w:numId w:val="9"/>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采购代理机构信息   </w:t>
      </w:r>
    </w:p>
    <w:p w14:paraId="3E5BD2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称：浙江恒义工程咨询有限公司 </w:t>
      </w:r>
    </w:p>
    <w:p w14:paraId="639631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址：浙江省台州市三门县大湖塘</w:t>
      </w:r>
    </w:p>
    <w:p w14:paraId="1402B4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46E324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项目联系人（询问）：王晨霁</w:t>
      </w:r>
    </w:p>
    <w:p w14:paraId="12EE36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项目联系方式（询问）：15867008672</w:t>
      </w:r>
    </w:p>
    <w:p w14:paraId="57A2E4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质疑联系人：杨纷纷</w:t>
      </w:r>
    </w:p>
    <w:p w14:paraId="1F27BA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质疑联系方式：0576-83220101</w:t>
      </w:r>
    </w:p>
    <w:p w14:paraId="522174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w:t>
      </w:r>
    </w:p>
    <w:p w14:paraId="6880573A">
      <w:pPr>
        <w:numPr>
          <w:ilvl w:val="0"/>
          <w:numId w:val="9"/>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同级政府采购监督管理部门</w:t>
      </w:r>
    </w:p>
    <w:p w14:paraId="1E9F33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称：三门县财政局</w:t>
      </w:r>
    </w:p>
    <w:p w14:paraId="5C8396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p>
    <w:p w14:paraId="3F1FCA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419A65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p>
    <w:p w14:paraId="5B3A6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监督投诉电话：0576-83305830</w:t>
      </w:r>
    </w:p>
    <w:p w14:paraId="6BCE34DE">
      <w:pPr>
        <w:spacing w:line="360" w:lineRule="auto"/>
        <w:ind w:left="420" w:leftChars="200"/>
        <w:rPr>
          <w:rFonts w:ascii="宋体" w:hAnsi="宋体" w:cs="宋体"/>
          <w:b/>
          <w:bCs/>
          <w:color w:val="auto"/>
          <w:sz w:val="24"/>
          <w:highlight w:val="none"/>
        </w:rPr>
      </w:pPr>
    </w:p>
    <w:p w14:paraId="60CF27CD">
      <w:pPr>
        <w:numPr>
          <w:ilvl w:val="0"/>
          <w:numId w:val="9"/>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政采云平台</w:t>
      </w:r>
    </w:p>
    <w:p w14:paraId="0636C6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联系电话：95763 </w:t>
      </w:r>
    </w:p>
    <w:p w14:paraId="7E73A770">
      <w:pPr>
        <w:wordWrap w:val="0"/>
        <w:spacing w:line="44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三门县公安局</w:t>
      </w:r>
    </w:p>
    <w:p w14:paraId="35EB5EE9">
      <w:pPr>
        <w:wordWrap w:val="0"/>
        <w:spacing w:line="44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浙江恒义工程咨询有限公司</w:t>
      </w:r>
    </w:p>
    <w:p w14:paraId="21A4E7CA">
      <w:pPr>
        <w:wordWrap w:val="0"/>
        <w:spacing w:line="44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2025年</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日</w:t>
      </w:r>
      <w:bookmarkEnd w:id="6"/>
      <w:bookmarkEnd w:id="7"/>
    </w:p>
    <w:p w14:paraId="4E5CED60">
      <w:pPr>
        <w:rPr>
          <w:rFonts w:asciiTheme="majorEastAsia" w:hAnsiTheme="majorEastAsia" w:eastAsiaTheme="majorEastAsia"/>
          <w:b/>
          <w:color w:val="auto"/>
          <w:kern w:val="0"/>
          <w:sz w:val="32"/>
          <w:szCs w:val="32"/>
          <w:highlight w:val="none"/>
        </w:rPr>
      </w:pPr>
      <w:bookmarkStart w:id="8" w:name="_Toc25017_WPSOffice_Level1"/>
      <w:r>
        <w:rPr>
          <w:rFonts w:hint="eastAsia" w:asciiTheme="majorEastAsia" w:hAnsiTheme="majorEastAsia" w:eastAsiaTheme="majorEastAsia"/>
          <w:b/>
          <w:color w:val="auto"/>
          <w:kern w:val="0"/>
          <w:sz w:val="32"/>
          <w:szCs w:val="32"/>
          <w:highlight w:val="none"/>
        </w:rPr>
        <w:br w:type="page"/>
      </w:r>
    </w:p>
    <w:p w14:paraId="5E0B502B">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2"/>
          <w:szCs w:val="32"/>
          <w:highlight w:val="none"/>
        </w:rPr>
      </w:pPr>
      <w:bookmarkStart w:id="9" w:name="_Toc9718"/>
      <w:r>
        <w:rPr>
          <w:rFonts w:hint="eastAsia" w:asciiTheme="majorEastAsia" w:hAnsiTheme="majorEastAsia" w:eastAsiaTheme="majorEastAsia"/>
          <w:b/>
          <w:color w:val="auto"/>
          <w:kern w:val="0"/>
          <w:sz w:val="32"/>
          <w:szCs w:val="32"/>
          <w:highlight w:val="none"/>
        </w:rPr>
        <w:t>投标人须知</w:t>
      </w:r>
      <w:bookmarkEnd w:id="8"/>
      <w:bookmarkEnd w:id="9"/>
    </w:p>
    <w:p w14:paraId="730F68B8">
      <w:pPr>
        <w:numPr>
          <w:ilvl w:val="0"/>
          <w:numId w:val="10"/>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前附表</w:t>
      </w:r>
    </w:p>
    <w:tbl>
      <w:tblPr>
        <w:tblStyle w:val="28"/>
        <w:tblW w:w="9749"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973"/>
        <w:gridCol w:w="7059"/>
      </w:tblGrid>
      <w:tr w14:paraId="7AE5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313158A6">
            <w:pPr>
              <w:spacing w:line="440" w:lineRule="exact"/>
              <w:jc w:val="center"/>
              <w:rPr>
                <w:rFonts w:ascii="Arial" w:hAnsi="Arial"/>
                <w:color w:val="auto"/>
                <w:highlight w:val="none"/>
              </w:rPr>
            </w:pPr>
            <w:r>
              <w:rPr>
                <w:rFonts w:hint="eastAsia" w:ascii="Arial" w:hAnsi="Arial"/>
                <w:b/>
                <w:bCs/>
                <w:color w:val="auto"/>
                <w:szCs w:val="21"/>
                <w:highlight w:val="none"/>
              </w:rPr>
              <w:t>序号</w:t>
            </w:r>
          </w:p>
        </w:tc>
        <w:tc>
          <w:tcPr>
            <w:tcW w:w="1973" w:type="dxa"/>
            <w:vAlign w:val="center"/>
          </w:tcPr>
          <w:p w14:paraId="4D22B13E">
            <w:pPr>
              <w:spacing w:line="440" w:lineRule="exact"/>
              <w:jc w:val="center"/>
              <w:rPr>
                <w:rFonts w:ascii="Arial" w:hAnsi="Arial"/>
                <w:color w:val="auto"/>
                <w:highlight w:val="none"/>
              </w:rPr>
            </w:pPr>
            <w:r>
              <w:rPr>
                <w:rFonts w:hint="eastAsia" w:ascii="Arial" w:hAnsi="Arial"/>
                <w:b/>
                <w:bCs/>
                <w:color w:val="auto"/>
                <w:szCs w:val="21"/>
                <w:highlight w:val="none"/>
              </w:rPr>
              <w:t>事 项</w:t>
            </w:r>
          </w:p>
        </w:tc>
        <w:tc>
          <w:tcPr>
            <w:tcW w:w="7059" w:type="dxa"/>
            <w:vAlign w:val="center"/>
          </w:tcPr>
          <w:p w14:paraId="46F688AA">
            <w:pPr>
              <w:spacing w:line="440" w:lineRule="exact"/>
              <w:jc w:val="center"/>
              <w:rPr>
                <w:rFonts w:ascii="Arial" w:hAnsi="Arial"/>
                <w:color w:val="auto"/>
                <w:highlight w:val="none"/>
              </w:rPr>
            </w:pPr>
            <w:r>
              <w:rPr>
                <w:rFonts w:hint="eastAsia" w:ascii="Arial" w:hAnsi="Arial"/>
                <w:b/>
                <w:bCs/>
                <w:color w:val="auto"/>
                <w:szCs w:val="21"/>
                <w:highlight w:val="none"/>
              </w:rPr>
              <w:t>本项目的特别规定</w:t>
            </w:r>
          </w:p>
        </w:tc>
      </w:tr>
      <w:tr w14:paraId="2934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5BF2DBE3">
            <w:pPr>
              <w:spacing w:line="440" w:lineRule="exact"/>
              <w:jc w:val="center"/>
              <w:rPr>
                <w:rFonts w:ascii="Arial" w:hAnsi="Arial"/>
                <w:color w:val="auto"/>
                <w:highlight w:val="none"/>
              </w:rPr>
            </w:pPr>
            <w:r>
              <w:rPr>
                <w:rFonts w:hint="eastAsia" w:ascii="宋体" w:hAnsi="宋体" w:cs="宋体"/>
                <w:color w:val="auto"/>
                <w:szCs w:val="21"/>
                <w:highlight w:val="none"/>
              </w:rPr>
              <w:t>1</w:t>
            </w:r>
          </w:p>
        </w:tc>
        <w:tc>
          <w:tcPr>
            <w:tcW w:w="1973" w:type="dxa"/>
            <w:vAlign w:val="center"/>
          </w:tcPr>
          <w:p w14:paraId="0EEA897B">
            <w:pPr>
              <w:spacing w:line="440" w:lineRule="exact"/>
              <w:jc w:val="center"/>
              <w:rPr>
                <w:rFonts w:ascii="Arial" w:hAnsi="Arial"/>
                <w:color w:val="auto"/>
                <w:highlight w:val="none"/>
              </w:rPr>
            </w:pPr>
            <w:r>
              <w:rPr>
                <w:rFonts w:hint="eastAsia" w:ascii="宋体" w:hAnsi="宋体" w:cs="宋体"/>
                <w:color w:val="auto"/>
                <w:szCs w:val="21"/>
                <w:highlight w:val="none"/>
              </w:rPr>
              <w:t>是否允许联合体</w:t>
            </w:r>
          </w:p>
        </w:tc>
        <w:tc>
          <w:tcPr>
            <w:tcW w:w="7059" w:type="dxa"/>
            <w:vAlign w:val="center"/>
          </w:tcPr>
          <w:p w14:paraId="56A8EA61">
            <w:pPr>
              <w:spacing w:line="440" w:lineRule="exact"/>
              <w:rPr>
                <w:rFonts w:ascii="Arial" w:hAnsi="Arial"/>
                <w:color w:val="auto"/>
                <w:highlight w:val="none"/>
              </w:rPr>
            </w:pPr>
            <w:r>
              <w:rPr>
                <w:rFonts w:hint="eastAsia" w:ascii="宋体" w:hAnsi="宋体" w:cs="宋体"/>
                <w:color w:val="auto"/>
                <w:szCs w:val="21"/>
                <w:highlight w:val="none"/>
              </w:rPr>
              <w:t>□ 是/☑否</w:t>
            </w:r>
          </w:p>
        </w:tc>
      </w:tr>
      <w:tr w14:paraId="5187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5D861A5D">
            <w:pPr>
              <w:spacing w:line="440" w:lineRule="exact"/>
              <w:jc w:val="center"/>
              <w:rPr>
                <w:rFonts w:ascii="Arial" w:hAnsi="Arial"/>
                <w:color w:val="auto"/>
                <w:highlight w:val="none"/>
              </w:rPr>
            </w:pPr>
            <w:r>
              <w:rPr>
                <w:rFonts w:hint="eastAsia" w:ascii="宋体" w:hAnsi="宋体" w:cs="宋体"/>
                <w:color w:val="auto"/>
                <w:szCs w:val="21"/>
                <w:highlight w:val="none"/>
              </w:rPr>
              <w:t>2</w:t>
            </w:r>
          </w:p>
        </w:tc>
        <w:tc>
          <w:tcPr>
            <w:tcW w:w="1973" w:type="dxa"/>
            <w:vAlign w:val="center"/>
          </w:tcPr>
          <w:p w14:paraId="7CAE401E">
            <w:pPr>
              <w:spacing w:line="440" w:lineRule="exact"/>
              <w:jc w:val="center"/>
              <w:rPr>
                <w:rFonts w:ascii="Arial" w:hAnsi="Arial"/>
                <w:color w:val="auto"/>
                <w:highlight w:val="none"/>
              </w:rPr>
            </w:pPr>
            <w:r>
              <w:rPr>
                <w:rFonts w:hint="eastAsia" w:ascii="宋体" w:hAnsi="宋体" w:cs="宋体"/>
                <w:color w:val="auto"/>
                <w:szCs w:val="21"/>
                <w:highlight w:val="none"/>
              </w:rPr>
              <w:t>是否允许分包</w:t>
            </w:r>
          </w:p>
        </w:tc>
        <w:tc>
          <w:tcPr>
            <w:tcW w:w="7059" w:type="dxa"/>
            <w:vAlign w:val="center"/>
          </w:tcPr>
          <w:p w14:paraId="43DEB30A">
            <w:pPr>
              <w:spacing w:line="440" w:lineRule="exact"/>
              <w:rPr>
                <w:rFonts w:ascii="Arial" w:hAnsi="Arial"/>
                <w:color w:val="auto"/>
                <w:highlight w:val="none"/>
              </w:rPr>
            </w:pPr>
            <w:r>
              <w:rPr>
                <w:rFonts w:hint="eastAsia" w:ascii="宋体" w:hAnsi="宋体" w:cs="宋体"/>
                <w:color w:val="auto"/>
                <w:szCs w:val="21"/>
                <w:highlight w:val="none"/>
              </w:rPr>
              <w:t>□是（但主体部分不得分包，详见招标需求内容）/☑ 否</w:t>
            </w:r>
          </w:p>
        </w:tc>
      </w:tr>
      <w:tr w14:paraId="4987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EF1F1A2">
            <w:pPr>
              <w:spacing w:line="440" w:lineRule="exact"/>
              <w:jc w:val="center"/>
              <w:rPr>
                <w:rFonts w:ascii="Arial" w:hAnsi="Arial"/>
                <w:color w:val="auto"/>
                <w:highlight w:val="none"/>
              </w:rPr>
            </w:pPr>
            <w:r>
              <w:rPr>
                <w:rFonts w:hint="eastAsia" w:ascii="宋体" w:hAnsi="宋体" w:cs="宋体"/>
                <w:color w:val="auto"/>
                <w:szCs w:val="21"/>
                <w:highlight w:val="none"/>
              </w:rPr>
              <w:t>3</w:t>
            </w:r>
          </w:p>
        </w:tc>
        <w:tc>
          <w:tcPr>
            <w:tcW w:w="1973" w:type="dxa"/>
            <w:vAlign w:val="center"/>
          </w:tcPr>
          <w:p w14:paraId="32CFAA3F">
            <w:pPr>
              <w:spacing w:line="440" w:lineRule="exact"/>
              <w:jc w:val="center"/>
              <w:rPr>
                <w:rFonts w:ascii="Arial" w:hAnsi="Arial"/>
                <w:color w:val="auto"/>
                <w:highlight w:val="none"/>
              </w:rPr>
            </w:pPr>
            <w:r>
              <w:rPr>
                <w:rFonts w:hint="eastAsia" w:ascii="宋体" w:hAnsi="宋体" w:cs="宋体"/>
                <w:color w:val="auto"/>
                <w:kern w:val="0"/>
                <w:szCs w:val="21"/>
                <w:highlight w:val="none"/>
              </w:rPr>
              <w:t>是否包含政府强制采购节能产品</w:t>
            </w:r>
          </w:p>
        </w:tc>
        <w:tc>
          <w:tcPr>
            <w:tcW w:w="7059" w:type="dxa"/>
            <w:vAlign w:val="center"/>
          </w:tcPr>
          <w:p w14:paraId="63C2F6EB">
            <w:pPr>
              <w:spacing w:line="440" w:lineRule="exact"/>
              <w:rPr>
                <w:rFonts w:ascii="Arial" w:hAnsi="Arial"/>
                <w:color w:val="auto"/>
                <w:highlight w:val="none"/>
              </w:rPr>
            </w:pPr>
            <w:r>
              <w:rPr>
                <w:rFonts w:hint="eastAsia" w:ascii="Arial" w:hAnsi="Arial"/>
                <w:color w:val="auto"/>
                <w:highlight w:val="none"/>
              </w:rPr>
              <w:t>□是 /☑ 否，具体清单见招标需求</w:t>
            </w:r>
          </w:p>
        </w:tc>
      </w:tr>
      <w:tr w14:paraId="0A78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 w:type="dxa"/>
            <w:vAlign w:val="center"/>
          </w:tcPr>
          <w:p w14:paraId="711A7EBA">
            <w:pPr>
              <w:spacing w:line="440" w:lineRule="exact"/>
              <w:jc w:val="center"/>
              <w:rPr>
                <w:rFonts w:ascii="Arial" w:hAnsi="Arial"/>
                <w:color w:val="auto"/>
                <w:highlight w:val="none"/>
              </w:rPr>
            </w:pPr>
            <w:r>
              <w:rPr>
                <w:rFonts w:hint="eastAsia" w:ascii="宋体" w:hAnsi="宋体" w:cs="宋体"/>
                <w:color w:val="auto"/>
                <w:szCs w:val="21"/>
                <w:highlight w:val="none"/>
              </w:rPr>
              <w:t>4</w:t>
            </w:r>
          </w:p>
        </w:tc>
        <w:tc>
          <w:tcPr>
            <w:tcW w:w="1973" w:type="dxa"/>
            <w:vAlign w:val="center"/>
          </w:tcPr>
          <w:p w14:paraId="207CA03B">
            <w:pPr>
              <w:spacing w:line="440" w:lineRule="exact"/>
              <w:jc w:val="center"/>
              <w:rPr>
                <w:rFonts w:ascii="Arial" w:hAnsi="Arial"/>
                <w:color w:val="auto"/>
                <w:highlight w:val="none"/>
              </w:rPr>
            </w:pPr>
            <w:r>
              <w:rPr>
                <w:rFonts w:hint="eastAsia" w:ascii="宋体" w:hAnsi="宋体" w:cs="宋体"/>
                <w:color w:val="auto"/>
                <w:szCs w:val="21"/>
                <w:highlight w:val="none"/>
              </w:rPr>
              <w:t>答疑会或现场踏勘</w:t>
            </w:r>
          </w:p>
        </w:tc>
        <w:tc>
          <w:tcPr>
            <w:tcW w:w="7059" w:type="dxa"/>
            <w:vAlign w:val="center"/>
          </w:tcPr>
          <w:p w14:paraId="681BB83F">
            <w:pPr>
              <w:spacing w:line="440" w:lineRule="exact"/>
              <w:ind w:firstLine="420" w:firstLineChars="200"/>
              <w:rPr>
                <w:rFonts w:ascii="Arial" w:hAnsi="Arial"/>
                <w:color w:val="auto"/>
                <w:highlight w:val="none"/>
              </w:rPr>
            </w:pPr>
            <w:r>
              <w:rPr>
                <w:rFonts w:hint="eastAsia" w:ascii="宋体" w:hAnsi="宋体" w:cs="宋体"/>
                <w:color w:val="auto"/>
                <w:szCs w:val="21"/>
                <w:highlight w:val="none"/>
              </w:rPr>
              <w:t>无</w:t>
            </w:r>
          </w:p>
        </w:tc>
      </w:tr>
      <w:tr w14:paraId="523E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3E88635B">
            <w:pPr>
              <w:spacing w:line="440" w:lineRule="exact"/>
              <w:jc w:val="center"/>
              <w:rPr>
                <w:rFonts w:ascii="Arial" w:hAnsi="Arial"/>
                <w:color w:val="auto"/>
                <w:highlight w:val="none"/>
              </w:rPr>
            </w:pPr>
            <w:r>
              <w:rPr>
                <w:rFonts w:hint="eastAsia" w:ascii="宋体" w:hAnsi="宋体" w:cs="宋体"/>
                <w:color w:val="auto"/>
                <w:szCs w:val="21"/>
                <w:highlight w:val="none"/>
              </w:rPr>
              <w:t>5</w:t>
            </w:r>
          </w:p>
        </w:tc>
        <w:tc>
          <w:tcPr>
            <w:tcW w:w="1973" w:type="dxa"/>
            <w:vAlign w:val="center"/>
          </w:tcPr>
          <w:p w14:paraId="11585E3F">
            <w:pPr>
              <w:spacing w:line="440" w:lineRule="exact"/>
              <w:jc w:val="center"/>
              <w:rPr>
                <w:rFonts w:ascii="Arial" w:hAnsi="Arial"/>
                <w:color w:val="auto"/>
                <w:highlight w:val="none"/>
              </w:rPr>
            </w:pPr>
            <w:r>
              <w:rPr>
                <w:rFonts w:hint="eastAsia" w:ascii="宋体" w:hAnsi="宋体" w:cs="宋体"/>
                <w:color w:val="auto"/>
                <w:szCs w:val="21"/>
                <w:highlight w:val="none"/>
              </w:rPr>
              <w:t>投标文件的制作和投标</w:t>
            </w:r>
          </w:p>
        </w:tc>
        <w:tc>
          <w:tcPr>
            <w:tcW w:w="7059" w:type="dxa"/>
            <w:vAlign w:val="center"/>
          </w:tcPr>
          <w:p w14:paraId="0624559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请供应商在投标前仔细阅读“政府采购项目电子交易操作指南”。</w:t>
            </w:r>
          </w:p>
          <w:p w14:paraId="3AF4D00F">
            <w:pPr>
              <w:numPr>
                <w:ilvl w:val="0"/>
                <w:numId w:val="11"/>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投标文件的制作：供应商按照本项目招标文件和政采云平台的要求，通过“政采云电子交易客户端”编制、加密并递交投标文件（下载网址：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szCs w:val="21"/>
                <w:highlight w:val="none"/>
              </w:rPr>
              <w:t>https://zfcg.czt.zj.gov.cn/download/index.html）。</w:t>
            </w:r>
            <w:r>
              <w:rPr>
                <w:rFonts w:hint="eastAsia" w:ascii="宋体" w:hAnsi="宋体" w:cs="宋体"/>
                <w:color w:val="auto"/>
                <w:szCs w:val="21"/>
                <w:highlight w:val="none"/>
              </w:rPr>
              <w:fldChar w:fldCharType="end"/>
            </w:r>
          </w:p>
          <w:p w14:paraId="5CDEA47E">
            <w:pPr>
              <w:numPr>
                <w:ilvl w:val="0"/>
                <w:numId w:val="11"/>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投标：供应商应当在投标截止时间前（</w:t>
            </w:r>
            <w:r>
              <w:rPr>
                <w:rFonts w:hint="eastAsia" w:ascii="宋体" w:hAnsi="宋体" w:cs="宋体"/>
                <w:b/>
                <w:bCs/>
                <w:color w:val="auto"/>
                <w:szCs w:val="21"/>
                <w:highlight w:val="none"/>
              </w:rPr>
              <w:t>开标当天北京时间</w:t>
            </w:r>
            <w:r>
              <w:rPr>
                <w:rFonts w:hint="eastAsia" w:ascii="宋体" w:hAnsi="宋体" w:cs="宋体"/>
                <w:b/>
                <w:bCs/>
                <w:color w:val="auto"/>
                <w:szCs w:val="21"/>
                <w:highlight w:val="none"/>
                <w:u w:val="single"/>
                <w:lang w:eastAsia="zh-CN"/>
              </w:rPr>
              <w:t>9：00</w:t>
            </w:r>
            <w:r>
              <w:rPr>
                <w:rFonts w:hint="eastAsia" w:ascii="宋体" w:hAnsi="宋体" w:cs="宋体"/>
                <w:color w:val="auto"/>
                <w:szCs w:val="21"/>
                <w:highlight w:val="none"/>
              </w:rPr>
              <w:t>）完成投标文件的传输递交，逾期上传的投标文件恕不接受。补充或者修改投标文件的，应当先行撤回原文件，补充、修改后重新传输递交。投标截止时间前未完成上传的，视为撤回投标文件。</w:t>
            </w:r>
          </w:p>
          <w:p w14:paraId="645955D4">
            <w:pPr>
              <w:numPr>
                <w:ilvl w:val="0"/>
                <w:numId w:val="11"/>
              </w:numPr>
              <w:spacing w:line="440" w:lineRule="exact"/>
              <w:ind w:firstLine="420" w:firstLineChars="200"/>
              <w:rPr>
                <w:rFonts w:ascii="Arial" w:hAnsi="Arial"/>
                <w:color w:val="auto"/>
                <w:highlight w:val="none"/>
              </w:rPr>
            </w:pPr>
            <w:r>
              <w:rPr>
                <w:rFonts w:hint="eastAsia" w:ascii="宋体" w:hAnsi="宋体" w:cs="宋体"/>
                <w:color w:val="auto"/>
                <w:szCs w:val="21"/>
                <w:highlight w:val="none"/>
              </w:rPr>
              <w:t>投标文件解密：供应商应在投标截止时间到达后30分钟内完成解密（时间以采购人或采购代理机构确定“开始解密”时开始计算）。</w:t>
            </w:r>
          </w:p>
        </w:tc>
      </w:tr>
      <w:tr w14:paraId="01BA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7B24D11">
            <w:pPr>
              <w:spacing w:line="440" w:lineRule="exact"/>
              <w:jc w:val="center"/>
              <w:rPr>
                <w:rFonts w:ascii="Arial" w:hAnsi="Arial"/>
                <w:color w:val="auto"/>
                <w:highlight w:val="none"/>
              </w:rPr>
            </w:pPr>
            <w:r>
              <w:rPr>
                <w:rFonts w:hint="eastAsia" w:ascii="宋体" w:hAnsi="宋体" w:cs="宋体"/>
                <w:color w:val="auto"/>
                <w:szCs w:val="21"/>
                <w:highlight w:val="none"/>
              </w:rPr>
              <w:t>6</w:t>
            </w:r>
          </w:p>
        </w:tc>
        <w:tc>
          <w:tcPr>
            <w:tcW w:w="1973" w:type="dxa"/>
            <w:vAlign w:val="center"/>
          </w:tcPr>
          <w:p w14:paraId="1E437280">
            <w:pPr>
              <w:spacing w:line="440" w:lineRule="exact"/>
              <w:jc w:val="center"/>
              <w:rPr>
                <w:rFonts w:ascii="Arial" w:hAnsi="Arial"/>
                <w:color w:val="auto"/>
                <w:highlight w:val="none"/>
              </w:rPr>
            </w:pPr>
            <w:r>
              <w:rPr>
                <w:rFonts w:hint="eastAsia" w:ascii="宋体" w:hAnsi="宋体" w:cs="宋体"/>
                <w:color w:val="auto"/>
                <w:szCs w:val="21"/>
                <w:highlight w:val="none"/>
              </w:rPr>
              <w:t>备份投标文件的递交</w:t>
            </w:r>
          </w:p>
        </w:tc>
        <w:tc>
          <w:tcPr>
            <w:tcW w:w="7059" w:type="dxa"/>
            <w:vAlign w:val="center"/>
          </w:tcPr>
          <w:p w14:paraId="1C8C4C8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备份投标文件是通过政采云电子交易客户端制作投标文件产生的备份文件，请供应商自行妥善保管。</w:t>
            </w:r>
          </w:p>
          <w:p w14:paraId="4D5FA696">
            <w:pPr>
              <w:numPr>
                <w:ilvl w:val="0"/>
                <w:numId w:val="12"/>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使用前提：</w:t>
            </w:r>
            <w:r>
              <w:rPr>
                <w:rFonts w:hint="eastAsia" w:ascii="宋体" w:hAnsi="宋体" w:cs="宋体"/>
                <w:b/>
                <w:bCs/>
                <w:color w:val="auto"/>
                <w:szCs w:val="21"/>
                <w:highlight w:val="none"/>
              </w:rPr>
              <w:t>在解密截止时间前，供应商自行在线解密操作失败,又未能及时联系技术人员帮助解密，或者供应商寻求技术人员帮助仍无法完成解密。</w:t>
            </w:r>
          </w:p>
          <w:p w14:paraId="6986AB65">
            <w:pPr>
              <w:numPr>
                <w:ilvl w:val="0"/>
                <w:numId w:val="12"/>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递交截止时间：</w:t>
            </w:r>
            <w:r>
              <w:rPr>
                <w:rFonts w:hint="eastAsia" w:ascii="宋体" w:hAnsi="宋体" w:cs="宋体"/>
                <w:b/>
                <w:bCs/>
                <w:color w:val="auto"/>
                <w:szCs w:val="21"/>
                <w:highlight w:val="none"/>
              </w:rPr>
              <w:t>开标当天</w:t>
            </w:r>
            <w:r>
              <w:rPr>
                <w:rFonts w:hint="eastAsia" w:ascii="宋体" w:hAnsi="宋体" w:cs="宋体"/>
                <w:b/>
                <w:bCs/>
                <w:color w:val="auto"/>
                <w:szCs w:val="21"/>
                <w:highlight w:val="none"/>
                <w:u w:val="single"/>
                <w:lang w:eastAsia="zh-CN"/>
              </w:rPr>
              <w:t>9：30</w:t>
            </w:r>
            <w:r>
              <w:rPr>
                <w:rFonts w:hint="eastAsia" w:ascii="宋体" w:hAnsi="宋体" w:cs="宋体"/>
                <w:b/>
                <w:bCs/>
                <w:color w:val="auto"/>
                <w:szCs w:val="21"/>
                <w:highlight w:val="none"/>
              </w:rPr>
              <w:t>（北京时间）</w:t>
            </w:r>
            <w:r>
              <w:rPr>
                <w:rFonts w:hint="eastAsia" w:ascii="宋体" w:hAnsi="宋体" w:cs="宋体"/>
                <w:color w:val="auto"/>
                <w:szCs w:val="21"/>
                <w:highlight w:val="none"/>
              </w:rPr>
              <w:t>。</w:t>
            </w:r>
          </w:p>
          <w:p w14:paraId="6E6A38E6">
            <w:pPr>
              <w:numPr>
                <w:ilvl w:val="0"/>
                <w:numId w:val="12"/>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投递邮箱：</w:t>
            </w:r>
            <w:r>
              <w:rPr>
                <w:rFonts w:hint="eastAsia" w:ascii="宋体" w:hAnsi="宋体" w:cs="宋体"/>
                <w:color w:val="auto"/>
                <w:kern w:val="0"/>
                <w:szCs w:val="21"/>
                <w:highlight w:val="none"/>
              </w:rPr>
              <w:t>供应商须将备份投标文件发送至代理机构电子邮箱（电子邮箱：243753506@qq.com）。</w:t>
            </w:r>
          </w:p>
          <w:p w14:paraId="7C15CF61">
            <w:pPr>
              <w:numPr>
                <w:ilvl w:val="0"/>
                <w:numId w:val="12"/>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未按上述要求递交备份投标文件或所提供的备份投标文件不符合要求的视同放弃投标，仅提交备份投标文件的，投标无效。</w:t>
            </w:r>
          </w:p>
          <w:p w14:paraId="6BC1B7F1">
            <w:pPr>
              <w:numPr>
                <w:ilvl w:val="0"/>
                <w:numId w:val="12"/>
              </w:numPr>
              <w:spacing w:line="440" w:lineRule="exact"/>
              <w:ind w:firstLine="420" w:firstLineChars="200"/>
              <w:rPr>
                <w:rFonts w:ascii="Arial" w:hAnsi="Arial"/>
                <w:color w:val="auto"/>
                <w:highlight w:val="none"/>
              </w:rPr>
            </w:pPr>
            <w:r>
              <w:rPr>
                <w:rFonts w:hint="eastAsia" w:ascii="宋体" w:hAnsi="宋体" w:cs="宋体"/>
                <w:color w:val="auto"/>
                <w:szCs w:val="21"/>
                <w:highlight w:val="none"/>
              </w:rPr>
              <w:t>供应商未按时完成解密的，并符合备份投标文件使用前提的，供应商应提供备份投标文件，否则视为放弃投标。</w:t>
            </w:r>
          </w:p>
        </w:tc>
      </w:tr>
      <w:tr w14:paraId="660C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DE1FD1A">
            <w:pPr>
              <w:spacing w:line="440" w:lineRule="exact"/>
              <w:jc w:val="center"/>
              <w:rPr>
                <w:rFonts w:ascii="Arial" w:hAnsi="Arial"/>
                <w:color w:val="auto"/>
                <w:highlight w:val="none"/>
              </w:rPr>
            </w:pPr>
            <w:r>
              <w:rPr>
                <w:rFonts w:hint="eastAsia" w:ascii="宋体" w:hAnsi="宋体" w:cs="宋体"/>
                <w:color w:val="auto"/>
                <w:szCs w:val="21"/>
                <w:highlight w:val="none"/>
              </w:rPr>
              <w:t>7</w:t>
            </w:r>
          </w:p>
        </w:tc>
        <w:tc>
          <w:tcPr>
            <w:tcW w:w="1973" w:type="dxa"/>
            <w:vAlign w:val="center"/>
          </w:tcPr>
          <w:p w14:paraId="11B7AF6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投标与开标</w:t>
            </w:r>
          </w:p>
          <w:p w14:paraId="4ED0F4FC">
            <w:pPr>
              <w:spacing w:line="440" w:lineRule="exact"/>
              <w:jc w:val="center"/>
              <w:rPr>
                <w:rFonts w:ascii="Arial" w:hAnsi="Arial"/>
                <w:color w:val="auto"/>
                <w:highlight w:val="none"/>
              </w:rPr>
            </w:pPr>
            <w:r>
              <w:rPr>
                <w:rFonts w:hint="eastAsia" w:ascii="宋体" w:hAnsi="宋体" w:cs="宋体"/>
                <w:color w:val="auto"/>
                <w:szCs w:val="21"/>
                <w:highlight w:val="none"/>
              </w:rPr>
              <w:t>注意事项</w:t>
            </w:r>
          </w:p>
        </w:tc>
        <w:tc>
          <w:tcPr>
            <w:tcW w:w="7059" w:type="dxa"/>
            <w:vAlign w:val="center"/>
          </w:tcPr>
          <w:p w14:paraId="415336F9">
            <w:pPr>
              <w:numPr>
                <w:ilvl w:val="0"/>
                <w:numId w:val="13"/>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本项目实行电子投标，投标人自行承担投标一切费用。</w:t>
            </w:r>
          </w:p>
          <w:p w14:paraId="3070B69D">
            <w:pPr>
              <w:numPr>
                <w:ilvl w:val="0"/>
                <w:numId w:val="13"/>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6F1A7BCD">
            <w:pPr>
              <w:pStyle w:val="26"/>
              <w:numPr>
                <w:ilvl w:val="0"/>
                <w:numId w:val="13"/>
              </w:numPr>
              <w:spacing w:after="0" w:line="440" w:lineRule="exact"/>
              <w:ind w:leftChars="0" w:firstLine="420" w:firstLineChars="200"/>
              <w:rPr>
                <w:rFonts w:ascii="Arial" w:hAnsi="Arial"/>
                <w:color w:val="auto"/>
                <w:highlight w:val="none"/>
              </w:rPr>
            </w:pPr>
            <w:r>
              <w:rPr>
                <w:rFonts w:hint="eastAsia" w:ascii="Arial" w:hAnsi="Arial"/>
                <w:color w:val="auto"/>
                <w:szCs w:val="21"/>
                <w:highlight w:val="none"/>
              </w:rPr>
              <w:t>采购组织机构按照采购文件规定的时间通过“政采云平台”组织开启，如未及时按要求完成线上有关操作（如投标文件解密、递交备份投标文件、报价等），导致响应失败等后果由供应商自行承担。</w:t>
            </w:r>
          </w:p>
        </w:tc>
      </w:tr>
      <w:tr w14:paraId="2031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0126955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973" w:type="dxa"/>
            <w:vAlign w:val="center"/>
          </w:tcPr>
          <w:p w14:paraId="403ABD8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信用信息</w:t>
            </w:r>
          </w:p>
          <w:p w14:paraId="2885EF5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查询渠道</w:t>
            </w:r>
          </w:p>
        </w:tc>
        <w:tc>
          <w:tcPr>
            <w:tcW w:w="7059" w:type="dxa"/>
            <w:vAlign w:val="center"/>
          </w:tcPr>
          <w:p w14:paraId="353B8EE2">
            <w:pPr>
              <w:numPr>
                <w:ilvl w:val="0"/>
                <w:numId w:val="14"/>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信用中国（网址：http://www.creditchina.gov.cn)</w:t>
            </w:r>
          </w:p>
          <w:p w14:paraId="48E5495F">
            <w:pPr>
              <w:numPr>
                <w:ilvl w:val="0"/>
                <w:numId w:val="14"/>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中国政府采购网（网址：http://www.ccgp.gov.cn)</w:t>
            </w:r>
          </w:p>
          <w:p w14:paraId="1F3C901D">
            <w:pPr>
              <w:numPr>
                <w:ilvl w:val="0"/>
                <w:numId w:val="14"/>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截止时点：开标后评标前。</w:t>
            </w:r>
          </w:p>
          <w:p w14:paraId="717170C3">
            <w:pPr>
              <w:numPr>
                <w:ilvl w:val="0"/>
                <w:numId w:val="14"/>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信用信息查询记录和证据留存的具体方式：由采购组织机构在规定查询时间内打印信用信息查询记录并归入项目档案。</w:t>
            </w:r>
          </w:p>
          <w:p w14:paraId="27FFECF1">
            <w:pPr>
              <w:numPr>
                <w:ilvl w:val="0"/>
                <w:numId w:val="14"/>
              </w:numPr>
              <w:spacing w:line="440" w:lineRule="exact"/>
              <w:ind w:firstLine="420" w:firstLineChars="200"/>
              <w:rPr>
                <w:rFonts w:ascii="Arial" w:hAnsi="Arial"/>
                <w:color w:val="auto"/>
                <w:szCs w:val="21"/>
                <w:highlight w:val="none"/>
              </w:rPr>
            </w:pPr>
            <w:r>
              <w:rPr>
                <w:rFonts w:hint="eastAsia" w:ascii="Arial" w:hAnsi="Arial"/>
                <w:color w:val="auto"/>
                <w:szCs w:val="21"/>
                <w:highlight w:val="none"/>
              </w:rPr>
              <w:t>使用规则：对列入失信被执行人、重大税收违法失信主体、政府采购严重违法失信行为记录名单及其他不符合《中华人民共和国政府采购法》第二十二条规定条件的供应商，将被拒绝其参与政府采购活动。</w:t>
            </w:r>
          </w:p>
        </w:tc>
      </w:tr>
      <w:tr w14:paraId="207E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295507B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973" w:type="dxa"/>
            <w:vAlign w:val="center"/>
          </w:tcPr>
          <w:p w14:paraId="3E15154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中小企业预留</w:t>
            </w:r>
          </w:p>
          <w:p w14:paraId="49DD0D1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份额情况</w:t>
            </w:r>
          </w:p>
        </w:tc>
        <w:tc>
          <w:tcPr>
            <w:tcW w:w="7059" w:type="dxa"/>
            <w:vAlign w:val="center"/>
          </w:tcPr>
          <w:p w14:paraId="404B36B1">
            <w:pPr>
              <w:spacing w:line="440" w:lineRule="exact"/>
              <w:ind w:firstLine="420" w:firstLineChars="200"/>
              <w:rPr>
                <w:rFonts w:ascii="Arial" w:hAnsi="Arial"/>
                <w:color w:val="auto"/>
                <w:szCs w:val="21"/>
                <w:highlight w:val="none"/>
              </w:rPr>
            </w:pPr>
            <w:r>
              <w:rPr>
                <w:rFonts w:hint="eastAsia" w:ascii="宋体" w:hAnsi="宋体" w:cs="宋体"/>
                <w:color w:val="auto"/>
                <w:szCs w:val="21"/>
                <w:highlight w:val="none"/>
              </w:rPr>
              <w:t>根据《政府采购促进中小企业发展管理办法》财库〔2020〕46号文件的规定，本项目(□是 /☑ 否)属于专门面向中小企业采购的项目。</w:t>
            </w:r>
          </w:p>
        </w:tc>
      </w:tr>
      <w:tr w14:paraId="2EEE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1D9C907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973" w:type="dxa"/>
            <w:vAlign w:val="center"/>
          </w:tcPr>
          <w:p w14:paraId="1A5EF6C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中小企业</w:t>
            </w:r>
          </w:p>
          <w:p w14:paraId="482D159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优惠措施</w:t>
            </w:r>
          </w:p>
        </w:tc>
        <w:tc>
          <w:tcPr>
            <w:tcW w:w="7059" w:type="dxa"/>
            <w:vAlign w:val="center"/>
          </w:tcPr>
          <w:p w14:paraId="04A13226">
            <w:pPr>
              <w:numPr>
                <w:ilvl w:val="0"/>
                <w:numId w:val="15"/>
              </w:num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项目属性</w:t>
            </w:r>
            <w:r>
              <w:rPr>
                <w:rFonts w:hint="eastAsia" w:ascii="宋体" w:hAnsi="宋体" w:cs="宋体"/>
                <w:b/>
                <w:bCs/>
                <w:color w:val="auto"/>
                <w:szCs w:val="21"/>
                <w:highlight w:val="none"/>
              </w:rPr>
              <w:t>（货物类）；</w:t>
            </w:r>
            <w:r>
              <w:rPr>
                <w:rFonts w:hint="eastAsia" w:cs="Arial" w:asciiTheme="minorEastAsia" w:hAnsiTheme="minorEastAsia" w:eastAsiaTheme="minorEastAsia"/>
                <w:color w:val="auto"/>
                <w:szCs w:val="21"/>
                <w:highlight w:val="none"/>
              </w:rPr>
              <w:t>核心产品：</w:t>
            </w:r>
            <w:r>
              <w:rPr>
                <w:rFonts w:hint="eastAsia" w:cs="Arial" w:asciiTheme="minorEastAsia" w:hAnsiTheme="minorEastAsia" w:eastAsiaTheme="minorEastAsia"/>
                <w:b/>
                <w:bCs/>
                <w:color w:val="auto"/>
                <w:szCs w:val="21"/>
                <w:highlight w:val="none"/>
                <w:u w:val="single"/>
                <w:lang w:val="en-US" w:eastAsia="zh-CN"/>
              </w:rPr>
              <w:t xml:space="preserve"> 超融合节点服务器 。</w:t>
            </w:r>
          </w:p>
          <w:p w14:paraId="370D8072">
            <w:pPr>
              <w:numPr>
                <w:ilvl w:val="0"/>
                <w:numId w:val="15"/>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中小企业划分标准所属行业（具体根据《中小企业划型标准规定》执行）。</w:t>
            </w:r>
          </w:p>
          <w:p w14:paraId="1C056870">
            <w:pPr>
              <w:spacing w:line="440" w:lineRule="exact"/>
              <w:ind w:firstLine="420" w:firstLineChars="200"/>
              <w:jc w:val="lef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采购标的：</w:t>
            </w:r>
            <w:r>
              <w:rPr>
                <w:rFonts w:hint="eastAsia" w:cs="Arial" w:asciiTheme="minorEastAsia" w:hAnsiTheme="minorEastAsia" w:eastAsiaTheme="minorEastAsia"/>
                <w:color w:val="auto"/>
                <w:szCs w:val="21"/>
                <w:highlight w:val="none"/>
                <w:u w:val="single"/>
              </w:rPr>
              <w:t>具体详见附件《中小企业声明函》</w:t>
            </w:r>
          </w:p>
          <w:p w14:paraId="16844E0E">
            <w:pPr>
              <w:spacing w:line="440" w:lineRule="exact"/>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所属行业：</w:t>
            </w:r>
            <w:r>
              <w:rPr>
                <w:rFonts w:hint="eastAsia" w:cs="Arial" w:asciiTheme="minorEastAsia" w:hAnsiTheme="minorEastAsia" w:eastAsiaTheme="minorEastAsia"/>
                <w:color w:val="auto"/>
                <w:szCs w:val="21"/>
                <w:highlight w:val="none"/>
                <w:u w:val="single"/>
              </w:rPr>
              <w:t>工业。</w:t>
            </w:r>
          </w:p>
          <w:p w14:paraId="6CB33FDB">
            <w:pPr>
              <w:numPr>
                <w:ilvl w:val="0"/>
                <w:numId w:val="15"/>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33A5AD6B">
            <w:pPr>
              <w:numPr>
                <w:ilvl w:val="0"/>
                <w:numId w:val="15"/>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75FABB42">
            <w:pPr>
              <w:spacing w:line="440" w:lineRule="exact"/>
              <w:rPr>
                <w:rFonts w:ascii="Arial" w:hAnsi="Arial"/>
                <w:color w:val="auto"/>
                <w:szCs w:val="21"/>
                <w:highlight w:val="none"/>
              </w:rPr>
            </w:pPr>
            <w:r>
              <w:rPr>
                <w:rFonts w:hint="eastAsia" w:ascii="宋体" w:hAnsi="宋体" w:cs="宋体"/>
                <w:color w:val="auto"/>
                <w:szCs w:val="21"/>
                <w:highlight w:val="none"/>
              </w:rPr>
              <w:t>(注：未提供以上材料的，均不给予价格扣除）。</w:t>
            </w:r>
          </w:p>
        </w:tc>
      </w:tr>
      <w:tr w14:paraId="51A3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196AD16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973" w:type="dxa"/>
            <w:vAlign w:val="center"/>
          </w:tcPr>
          <w:p w14:paraId="31F134F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质疑渠道</w:t>
            </w:r>
          </w:p>
        </w:tc>
        <w:tc>
          <w:tcPr>
            <w:tcW w:w="7059" w:type="dxa"/>
            <w:vAlign w:val="center"/>
          </w:tcPr>
          <w:p w14:paraId="0D88BC13">
            <w:pPr>
              <w:spacing w:line="440" w:lineRule="exact"/>
              <w:rPr>
                <w:rFonts w:ascii="Arial" w:hAnsi="Arial"/>
                <w:color w:val="auto"/>
                <w:szCs w:val="21"/>
                <w:highlight w:val="none"/>
              </w:rPr>
            </w:pPr>
            <w:r>
              <w:rPr>
                <w:rFonts w:hint="eastAsia" w:ascii="宋体" w:hAnsi="宋体" w:cs="宋体"/>
                <w:color w:val="auto"/>
                <w:szCs w:val="21"/>
                <w:highlight w:val="none"/>
              </w:rPr>
              <w:t xml:space="preserve"> 政采云平台网上质疑系统。</w:t>
            </w:r>
          </w:p>
        </w:tc>
      </w:tr>
      <w:tr w14:paraId="312B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14E4BC1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973" w:type="dxa"/>
            <w:vAlign w:val="center"/>
          </w:tcPr>
          <w:p w14:paraId="2610AFC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059" w:type="dxa"/>
            <w:vAlign w:val="center"/>
          </w:tcPr>
          <w:p w14:paraId="6934FF19">
            <w:pPr>
              <w:spacing w:line="440" w:lineRule="exact"/>
              <w:rPr>
                <w:rFonts w:ascii="Arial" w:hAnsi="Arial"/>
                <w:color w:val="auto"/>
                <w:szCs w:val="21"/>
                <w:highlight w:val="none"/>
              </w:rPr>
            </w:pPr>
            <w:r>
              <w:rPr>
                <w:rFonts w:hint="eastAsia" w:ascii="宋体" w:hAnsi="宋体" w:cs="宋体"/>
                <w:color w:val="auto"/>
                <w:szCs w:val="21"/>
                <w:highlight w:val="none"/>
              </w:rPr>
              <w:t>无</w:t>
            </w:r>
          </w:p>
        </w:tc>
      </w:tr>
      <w:tr w14:paraId="3B9C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383F4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973" w:type="dxa"/>
            <w:vAlign w:val="center"/>
          </w:tcPr>
          <w:p w14:paraId="5845AEC0">
            <w:pPr>
              <w:spacing w:line="440" w:lineRule="exact"/>
              <w:jc w:val="center"/>
              <w:rPr>
                <w:rFonts w:ascii="宋体" w:hAnsi="宋体" w:cs="宋体"/>
                <w:color w:val="auto"/>
                <w:szCs w:val="21"/>
                <w:highlight w:val="none"/>
              </w:rPr>
            </w:pPr>
            <w:r>
              <w:rPr>
                <w:rFonts w:hint="eastAsia" w:ascii="宋体" w:hAnsi="宋体" w:cs="宋体"/>
                <w:color w:val="auto"/>
                <w:szCs w:val="21"/>
                <w:highlight w:val="none"/>
                <w:lang w:val="zh-CN"/>
              </w:rPr>
              <w:t>实质性条款</w:t>
            </w:r>
          </w:p>
        </w:tc>
        <w:tc>
          <w:tcPr>
            <w:tcW w:w="7059" w:type="dxa"/>
            <w:vAlign w:val="center"/>
          </w:tcPr>
          <w:p w14:paraId="044DE6D4">
            <w:pPr>
              <w:spacing w:line="440" w:lineRule="exact"/>
              <w:rPr>
                <w:rFonts w:ascii="Arial" w:hAnsi="Arial"/>
                <w:color w:val="auto"/>
                <w:szCs w:val="21"/>
                <w:highlight w:val="none"/>
              </w:rPr>
            </w:pPr>
            <w:r>
              <w:rPr>
                <w:rFonts w:hint="eastAsia" w:ascii="宋体" w:hAnsi="宋体" w:cs="宋体"/>
                <w:color w:val="auto"/>
                <w:szCs w:val="21"/>
                <w:highlight w:val="none"/>
                <w:lang w:val="zh-CN"/>
              </w:rPr>
              <w:t>带“</w:t>
            </w:r>
            <w:r>
              <w:rPr>
                <w:rFonts w:hint="eastAsia" w:ascii="宋体" w:hAnsi="宋体" w:cs="宋体"/>
                <w:color w:val="auto"/>
                <w:szCs w:val="21"/>
                <w:highlight w:val="none"/>
              </w:rPr>
              <w:t>▲”的条款是实质性条款，投标文件须作出实质性响应，否则作无效投标处理。</w:t>
            </w:r>
          </w:p>
        </w:tc>
      </w:tr>
      <w:tr w14:paraId="46DA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0F8DDE4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1973" w:type="dxa"/>
            <w:vAlign w:val="center"/>
          </w:tcPr>
          <w:p w14:paraId="50956E2F">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在线投标响应（电子投标）相关说明</w:t>
            </w:r>
          </w:p>
          <w:p w14:paraId="0FB0EED9">
            <w:pPr>
              <w:spacing w:line="440" w:lineRule="exact"/>
              <w:jc w:val="center"/>
              <w:rPr>
                <w:rFonts w:ascii="宋体" w:hAnsi="宋体" w:cs="宋体"/>
                <w:color w:val="auto"/>
                <w:szCs w:val="21"/>
                <w:highlight w:val="none"/>
              </w:rPr>
            </w:pPr>
          </w:p>
        </w:tc>
        <w:tc>
          <w:tcPr>
            <w:tcW w:w="7059" w:type="dxa"/>
            <w:vAlign w:val="center"/>
          </w:tcPr>
          <w:p w14:paraId="11C7B248">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350F3785">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14:paraId="23D1A81C">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数字证书，申领流程请自行前往“浙江政府采购网-下载专区-电子交易客户端-CA驱动和申领流程”进行查阅。</w:t>
            </w:r>
          </w:p>
          <w:p w14:paraId="3D2AF5E4">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供应商通过政府采购云平台电子投标工具制作投标文件，电子投标工具请供应商自行前往浙江省政府采购网下载并安装。</w:t>
            </w:r>
          </w:p>
          <w:p w14:paraId="3427FCC0">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7D18322E">
            <w:pPr>
              <w:numPr>
                <w:ilvl w:val="0"/>
                <w:numId w:val="16"/>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本项目需要供应商同时提供备份投标文件。备份投标文件应当在备份投标文件递交截止时间前发送至代理机构电子邮箱（电子邮箱：243753506@qq.com），逾期发送将被拒收。</w:t>
            </w:r>
          </w:p>
          <w:p w14:paraId="244A0626">
            <w:pPr>
              <w:numPr>
                <w:ilvl w:val="0"/>
                <w:numId w:val="16"/>
              </w:numPr>
              <w:spacing w:line="440" w:lineRule="exact"/>
              <w:ind w:firstLine="420" w:firstLineChars="200"/>
              <w:rPr>
                <w:rFonts w:ascii="Arial" w:hAnsi="Arial"/>
                <w:color w:val="auto"/>
                <w:szCs w:val="21"/>
                <w:highlight w:val="none"/>
              </w:rPr>
            </w:pPr>
            <w:r>
              <w:rPr>
                <w:rFonts w:hint="eastAsia" w:ascii="宋体" w:hAnsi="宋体" w:cs="宋体"/>
                <w:color w:val="auto"/>
                <w:szCs w:val="21"/>
                <w:highlight w:val="none"/>
              </w:rPr>
              <w:t>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5C70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4D6A5F2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973" w:type="dxa"/>
            <w:vAlign w:val="center"/>
          </w:tcPr>
          <w:p w14:paraId="04D0823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书面形式</w:t>
            </w:r>
          </w:p>
        </w:tc>
        <w:tc>
          <w:tcPr>
            <w:tcW w:w="7059" w:type="dxa"/>
            <w:vAlign w:val="center"/>
          </w:tcPr>
          <w:p w14:paraId="4E20D3F8">
            <w:pPr>
              <w:spacing w:line="440" w:lineRule="exact"/>
              <w:rPr>
                <w:rFonts w:ascii="Arial" w:hAnsi="Arial"/>
                <w:color w:val="auto"/>
                <w:szCs w:val="21"/>
                <w:highlight w:val="none"/>
              </w:rPr>
            </w:pPr>
            <w:r>
              <w:rPr>
                <w:rFonts w:hint="eastAsia" w:ascii="宋体" w:hAnsi="宋体" w:cs="宋体"/>
                <w:color w:val="auto"/>
                <w:szCs w:val="21"/>
                <w:highlight w:val="none"/>
              </w:rPr>
              <w:t>包括电子邮件、信函、传真。</w:t>
            </w:r>
          </w:p>
        </w:tc>
      </w:tr>
      <w:tr w14:paraId="19F8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6B0F50D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973" w:type="dxa"/>
            <w:vAlign w:val="center"/>
          </w:tcPr>
          <w:p w14:paraId="459D14E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7059" w:type="dxa"/>
            <w:vAlign w:val="center"/>
          </w:tcPr>
          <w:p w14:paraId="3637E92A">
            <w:pPr>
              <w:spacing w:line="440" w:lineRule="exact"/>
              <w:rPr>
                <w:rFonts w:ascii="Arial" w:hAnsi="Arial"/>
                <w:color w:val="auto"/>
                <w:szCs w:val="21"/>
                <w:highlight w:val="none"/>
              </w:rPr>
            </w:pPr>
            <w:r>
              <w:rPr>
                <w:rFonts w:hint="eastAsia" w:ascii="宋体" w:hAnsi="宋体" w:cs="宋体"/>
                <w:color w:val="auto"/>
                <w:szCs w:val="21"/>
                <w:highlight w:val="none"/>
              </w:rPr>
              <w:t>本招标文件解释权属于采购人和采购组织机构。</w:t>
            </w:r>
          </w:p>
        </w:tc>
      </w:tr>
      <w:tr w14:paraId="1B47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77A1DBE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973" w:type="dxa"/>
            <w:vAlign w:val="center"/>
          </w:tcPr>
          <w:p w14:paraId="177F514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补充条款</w:t>
            </w:r>
          </w:p>
        </w:tc>
        <w:tc>
          <w:tcPr>
            <w:tcW w:w="7059" w:type="dxa"/>
            <w:vAlign w:val="center"/>
          </w:tcPr>
          <w:p w14:paraId="0A5D77D8">
            <w:pPr>
              <w:numPr>
                <w:ilvl w:val="0"/>
                <w:numId w:val="17"/>
              </w:num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资格证明文件、商务与技术文件正本1份、副本2份，报价文件正本1份、副本2份。（纸质投标文件中标后提供）</w:t>
            </w:r>
          </w:p>
          <w:p w14:paraId="3ECB60A7">
            <w:pPr>
              <w:pStyle w:val="8"/>
              <w:numPr>
                <w:ilvl w:val="0"/>
                <w:numId w:val="17"/>
              </w:numPr>
              <w:spacing w:line="440" w:lineRule="exact"/>
              <w:ind w:firstLine="422" w:firstLineChars="200"/>
              <w:rPr>
                <w:rFonts w:ascii="Arial" w:hAnsi="Arial"/>
                <w:color w:val="auto"/>
                <w:highlight w:val="none"/>
              </w:rPr>
            </w:pPr>
            <w:r>
              <w:rPr>
                <w:rFonts w:hint="eastAsia" w:ascii="宋体" w:hAnsi="宋体" w:cs="宋体"/>
                <w:b/>
                <w:bCs/>
                <w:color w:val="auto"/>
                <w:szCs w:val="21"/>
                <w:highlight w:val="none"/>
              </w:rPr>
              <w:t>本项目招标代理费为</w:t>
            </w:r>
            <w:r>
              <w:rPr>
                <w:rFonts w:hint="eastAsia" w:ascii="宋体" w:hAnsi="宋体" w:cs="宋体"/>
                <w:b/>
                <w:bCs/>
                <w:color w:val="auto"/>
                <w:szCs w:val="21"/>
                <w:highlight w:val="none"/>
                <w:lang w:eastAsia="zh-CN"/>
              </w:rPr>
              <w:t>32900</w:t>
            </w:r>
            <w:r>
              <w:rPr>
                <w:rFonts w:hint="eastAsia" w:ascii="宋体" w:hAnsi="宋体" w:cs="宋体"/>
                <w:b/>
                <w:bCs/>
                <w:color w:val="auto"/>
                <w:szCs w:val="21"/>
                <w:highlight w:val="none"/>
              </w:rPr>
              <w:t>元，由中标供应商支付，在领取中标通知书前付清。本项费用由投标人自行综合考虑。</w:t>
            </w:r>
          </w:p>
        </w:tc>
      </w:tr>
    </w:tbl>
    <w:p w14:paraId="28276A21">
      <w:pPr>
        <w:pStyle w:val="26"/>
        <w:rPr>
          <w:color w:val="auto"/>
          <w:highlight w:val="none"/>
        </w:rPr>
      </w:pPr>
    </w:p>
    <w:p w14:paraId="0B1F31A8">
      <w:pPr>
        <w:pStyle w:val="8"/>
        <w:ind w:firstLine="0"/>
        <w:rPr>
          <w:color w:val="auto"/>
          <w:highlight w:val="none"/>
        </w:rPr>
      </w:pPr>
    </w:p>
    <w:p w14:paraId="46C0C050">
      <w:pPr>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br w:type="page"/>
      </w:r>
    </w:p>
    <w:p w14:paraId="6B9EA56F">
      <w:pPr>
        <w:numPr>
          <w:ilvl w:val="0"/>
          <w:numId w:val="10"/>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说 明</w:t>
      </w:r>
    </w:p>
    <w:p w14:paraId="403D9480">
      <w:pPr>
        <w:pStyle w:val="13"/>
        <w:numPr>
          <w:ilvl w:val="0"/>
          <w:numId w:val="18"/>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1576D209">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0A646D74">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9C7A7DF">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0B8000B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48A812C5">
      <w:pPr>
        <w:pStyle w:val="11"/>
        <w:spacing w:line="360" w:lineRule="auto"/>
        <w:ind w:firstLine="480" w:firstLineChars="200"/>
        <w:rPr>
          <w:color w:val="auto"/>
          <w:highlight w:val="none"/>
        </w:rPr>
      </w:pPr>
      <w:r>
        <w:rPr>
          <w:color w:val="auto"/>
          <w:highlight w:val="none"/>
        </w:rPr>
        <w:t>本招标文件仅适用于本次招标公告中所涉及的项目和内容。</w:t>
      </w:r>
    </w:p>
    <w:p w14:paraId="72E4E26F">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当事人</w:t>
      </w:r>
    </w:p>
    <w:p w14:paraId="51CFB87B">
      <w:pPr>
        <w:pStyle w:val="4"/>
        <w:keepNext w:val="0"/>
        <w:keepLines w:val="0"/>
        <w:numPr>
          <w:ilvl w:val="0"/>
          <w:numId w:val="19"/>
        </w:numPr>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28E51FC6">
      <w:pPr>
        <w:numPr>
          <w:ilvl w:val="0"/>
          <w:numId w:val="19"/>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采购人：是指依法进行政府采购的国家机关、事业单位和团体组织。</w:t>
      </w:r>
    </w:p>
    <w:p w14:paraId="7900C7A4">
      <w:pPr>
        <w:numPr>
          <w:ilvl w:val="0"/>
          <w:numId w:val="19"/>
        </w:num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p>
    <w:p w14:paraId="2DF7E12E">
      <w:pPr>
        <w:numPr>
          <w:ilvl w:val="0"/>
          <w:numId w:val="19"/>
        </w:num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19866C44">
      <w:pPr>
        <w:numPr>
          <w:ilvl w:val="0"/>
          <w:numId w:val="19"/>
        </w:numPr>
        <w:snapToGrid w:val="0"/>
        <w:spacing w:line="360" w:lineRule="auto"/>
        <w:ind w:firstLine="480" w:firstLineChars="200"/>
        <w:rPr>
          <w:color w:val="auto"/>
          <w:sz w:val="24"/>
          <w:highlight w:val="none"/>
        </w:rPr>
      </w:pP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54F43C47">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以联合体形式投标的，应符合以下规定：</w:t>
      </w:r>
    </w:p>
    <w:p w14:paraId="38B945E3">
      <w:pPr>
        <w:numPr>
          <w:ilvl w:val="0"/>
          <w:numId w:val="20"/>
        </w:numPr>
        <w:snapToGrid w:val="0"/>
        <w:spacing w:line="360" w:lineRule="auto"/>
        <w:ind w:firstLine="480" w:firstLineChars="200"/>
        <w:rPr>
          <w:color w:val="auto"/>
          <w:sz w:val="24"/>
          <w:highlight w:val="none"/>
        </w:rPr>
      </w:pPr>
      <w:r>
        <w:rPr>
          <w:rFonts w:hint="eastAsia" w:ascii="宋体" w:hAnsi="宋体"/>
          <w:color w:val="auto"/>
          <w:sz w:val="24"/>
          <w:highlight w:val="none"/>
        </w:rPr>
        <w:t>联</w:t>
      </w:r>
      <w:r>
        <w:rPr>
          <w:rFonts w:hint="eastAsia"/>
          <w:color w:val="auto"/>
          <w:sz w:val="24"/>
          <w:highlight w:val="none"/>
        </w:rPr>
        <w:t>合体各方应签订联合体协议书，明确联合体牵头人和各方权利义务，并作为投标文件组成分部分；</w:t>
      </w:r>
    </w:p>
    <w:p w14:paraId="36BAE3FE">
      <w:pPr>
        <w:numPr>
          <w:ilvl w:val="0"/>
          <w:numId w:val="20"/>
        </w:numPr>
        <w:snapToGrid w:val="0"/>
        <w:spacing w:line="360" w:lineRule="auto"/>
        <w:ind w:firstLine="480" w:firstLineChars="200"/>
        <w:rPr>
          <w:color w:val="auto"/>
          <w:sz w:val="24"/>
          <w:highlight w:val="none"/>
        </w:rPr>
      </w:pPr>
      <w:r>
        <w:rPr>
          <w:rFonts w:hint="eastAsia" w:ascii="宋体" w:hAnsi="宋体"/>
          <w:color w:val="auto"/>
          <w:sz w:val="24"/>
          <w:highlight w:val="none"/>
        </w:rPr>
        <w:t>联</w:t>
      </w:r>
      <w:r>
        <w:rPr>
          <w:rFonts w:hint="eastAsia"/>
          <w:color w:val="auto"/>
          <w:sz w:val="24"/>
          <w:highlight w:val="none"/>
        </w:rPr>
        <w:t>合体各方均应当具备</w:t>
      </w:r>
      <w:r>
        <w:rPr>
          <w:rFonts w:hint="eastAsia" w:ascii="宋体" w:hAnsi="宋体"/>
          <w:color w:val="auto"/>
          <w:sz w:val="24"/>
          <w:highlight w:val="none"/>
          <w:lang w:val="zh-CN"/>
        </w:rPr>
        <w:t>《中华人民共和国政府采购法》</w:t>
      </w:r>
      <w:r>
        <w:rPr>
          <w:rFonts w:hint="eastAsia"/>
          <w:color w:val="auto"/>
          <w:sz w:val="24"/>
          <w:highlight w:val="none"/>
        </w:rPr>
        <w:t>第二十二条规定的条件，并在投标文件中提供联合体各方的相关证明材料；</w:t>
      </w:r>
    </w:p>
    <w:p w14:paraId="3AC94889">
      <w:pPr>
        <w:numPr>
          <w:ilvl w:val="0"/>
          <w:numId w:val="20"/>
        </w:num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联合体成员存在不良信用记录的，视同联合体存在不良信用记录；</w:t>
      </w:r>
    </w:p>
    <w:p w14:paraId="56F091A0">
      <w:pPr>
        <w:numPr>
          <w:ilvl w:val="0"/>
          <w:numId w:val="20"/>
        </w:numPr>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联合体各方中至少应当有一方符合采购人规定的资格要求。由同一资质条件的投</w:t>
      </w:r>
      <w:r>
        <w:rPr>
          <w:rFonts w:hint="eastAsia" w:ascii="宋体" w:hAnsi="宋体" w:cs="宋体"/>
          <w:color w:val="auto"/>
          <w:sz w:val="24"/>
          <w:highlight w:val="none"/>
        </w:rPr>
        <w:t>标人组成的联合体，应当按照资质等级较低的投标人确定联合体资质等级；</w:t>
      </w:r>
    </w:p>
    <w:p w14:paraId="660F8981">
      <w:pPr>
        <w:numPr>
          <w:ilvl w:val="0"/>
          <w:numId w:val="2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联合体各方不得再以自己名义单独在同一合同项中投标，也不得组成新的联合体参加同一项目投标；</w:t>
      </w:r>
    </w:p>
    <w:p w14:paraId="7D1B06A8">
      <w:pPr>
        <w:numPr>
          <w:ilvl w:val="0"/>
          <w:numId w:val="2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联合体各方应当共同与采购人签订采购合同，就合同约定的事项对采购人承担连带责任；</w:t>
      </w:r>
    </w:p>
    <w:p w14:paraId="10DB5159">
      <w:pPr>
        <w:numPr>
          <w:ilvl w:val="0"/>
          <w:numId w:val="2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投标时，应以联合体协议中确定的主体方名义投标，对联合体各方均具有约束力。</w:t>
      </w:r>
    </w:p>
    <w:p w14:paraId="48CC6F9D">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语言文字以及度量衡单位</w:t>
      </w:r>
    </w:p>
    <w:p w14:paraId="65E2C149">
      <w:pPr>
        <w:numPr>
          <w:ilvl w:val="0"/>
          <w:numId w:val="21"/>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投标文件以及投标人与</w:t>
      </w:r>
      <w:r>
        <w:rPr>
          <w:rFonts w:hint="eastAsia" w:ascii="宋体" w:hAnsi="宋体" w:cs="宋体"/>
          <w:color w:val="auto"/>
          <w:kern w:val="0"/>
          <w:sz w:val="24"/>
          <w:highlight w:val="none"/>
        </w:rPr>
        <w:t>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471DF2E6">
      <w:pPr>
        <w:numPr>
          <w:ilvl w:val="0"/>
          <w:numId w:val="21"/>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所有计量均采用中国法定的计量单位。</w:t>
      </w:r>
    </w:p>
    <w:p w14:paraId="62FC322D">
      <w:pPr>
        <w:numPr>
          <w:ilvl w:val="0"/>
          <w:numId w:val="21"/>
        </w:num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所有</w:t>
      </w:r>
      <w:r>
        <w:rPr>
          <w:color w:val="auto"/>
          <w:sz w:val="24"/>
          <w:highlight w:val="none"/>
        </w:rPr>
        <w:t>报价一律使用人民币，货币单位：元。</w:t>
      </w:r>
    </w:p>
    <w:p w14:paraId="001DD346">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现场踏勘</w:t>
      </w:r>
    </w:p>
    <w:p w14:paraId="133EDFA0">
      <w:pPr>
        <w:numPr>
          <w:ilvl w:val="0"/>
          <w:numId w:val="22"/>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招标文件规定组织踏勘现场的，采购人按招标文件规定的时间、地点组织投标人踏勘项目现场。</w:t>
      </w:r>
    </w:p>
    <w:p w14:paraId="6E15C3A2">
      <w:pPr>
        <w:numPr>
          <w:ilvl w:val="0"/>
          <w:numId w:val="22"/>
        </w:num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投标人自行承担踏勘现场发生的责任、风险和自身费用。</w:t>
      </w:r>
    </w:p>
    <w:p w14:paraId="53FF0323">
      <w:pPr>
        <w:numPr>
          <w:ilvl w:val="0"/>
          <w:numId w:val="22"/>
        </w:num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采购人</w:t>
      </w:r>
      <w:r>
        <w:rPr>
          <w:color w:val="auto"/>
          <w:sz w:val="24"/>
          <w:highlight w:val="none"/>
        </w:rPr>
        <w:t>在踏勘现场中介绍的资料和数据等，不构成对招标文件的修改或不作为投标人编制投标文件的依据。</w:t>
      </w:r>
    </w:p>
    <w:p w14:paraId="7928274F">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投标费用</w:t>
      </w:r>
    </w:p>
    <w:p w14:paraId="1478FA7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不论投标结果如何，供应商均应自行承担所有与投标有关的全部费用（招标文件有相关规定除外）。</w:t>
      </w:r>
    </w:p>
    <w:p w14:paraId="002E3966">
      <w:pPr>
        <w:numPr>
          <w:ilvl w:val="0"/>
          <w:numId w:val="18"/>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特别说明</w:t>
      </w:r>
    </w:p>
    <w:p w14:paraId="085CA313">
      <w:pPr>
        <w:pStyle w:val="12"/>
        <w:numPr>
          <w:ilvl w:val="0"/>
          <w:numId w:val="23"/>
        </w:num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64E8B90A">
      <w:pPr>
        <w:pStyle w:val="40"/>
        <w:numPr>
          <w:ilvl w:val="0"/>
          <w:numId w:val="23"/>
        </w:numPr>
        <w:snapToGrid w:val="0"/>
        <w:spacing w:line="360" w:lineRule="auto"/>
        <w:ind w:firstLine="480"/>
        <w:rPr>
          <w:color w:val="auto"/>
          <w:highlight w:val="none"/>
        </w:rPr>
      </w:pPr>
      <w:r>
        <w:rPr>
          <w:rFonts w:hint="eastAsia" w:ascii="宋体" w:hAnsi="宋体" w:cs="宋体"/>
          <w:color w:val="auto"/>
          <w:sz w:val="24"/>
          <w:szCs w:val="24"/>
          <w:highlight w:val="none"/>
        </w:rPr>
        <w:t>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4F0F9222">
      <w:pPr>
        <w:pStyle w:val="40"/>
        <w:numPr>
          <w:ilvl w:val="0"/>
          <w:numId w:val="23"/>
        </w:num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本招标文件中关于电子招投标内容、流程如与政采云系统中最新的内容、操作不一致的，以政采云系统中的要求为准。</w:t>
      </w:r>
    </w:p>
    <w:p w14:paraId="23660748">
      <w:pPr>
        <w:numPr>
          <w:ilvl w:val="0"/>
          <w:numId w:val="10"/>
        </w:num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招标文件</w:t>
      </w:r>
    </w:p>
    <w:p w14:paraId="1C322256">
      <w:pPr>
        <w:pStyle w:val="40"/>
        <w:numPr>
          <w:ilvl w:val="0"/>
          <w:numId w:val="24"/>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招标文件由招标文件目录所列内容组成。</w:t>
      </w:r>
    </w:p>
    <w:p w14:paraId="4A5BF42A">
      <w:pPr>
        <w:pStyle w:val="40"/>
        <w:numPr>
          <w:ilvl w:val="0"/>
          <w:numId w:val="24"/>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投标人在规定的时间内未对招标文件提出疑问、质疑或要求澄清的，将视其为无异议。</w:t>
      </w:r>
    </w:p>
    <w:p w14:paraId="44B2CE91">
      <w:pPr>
        <w:pStyle w:val="40"/>
        <w:numPr>
          <w:ilvl w:val="0"/>
          <w:numId w:val="24"/>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对招标文件中描述有歧义或前后不一致的地方，评标委员会有权进行评判，但对同一条款的评判应适用于每个投标人。</w:t>
      </w:r>
    </w:p>
    <w:p w14:paraId="1AAB6C51">
      <w:pPr>
        <w:pStyle w:val="40"/>
        <w:numPr>
          <w:ilvl w:val="0"/>
          <w:numId w:val="24"/>
        </w:numPr>
        <w:snapToGrid w:val="0"/>
        <w:spacing w:line="360" w:lineRule="auto"/>
        <w:ind w:firstLineChars="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3D671886">
      <w:pPr>
        <w:numPr>
          <w:ilvl w:val="0"/>
          <w:numId w:val="10"/>
        </w:num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w:t>
      </w:r>
    </w:p>
    <w:p w14:paraId="37248FE4">
      <w:pPr>
        <w:pStyle w:val="8"/>
        <w:numPr>
          <w:ilvl w:val="0"/>
          <w:numId w:val="25"/>
        </w:numPr>
        <w:spacing w:line="360" w:lineRule="auto"/>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投标文件的编制</w:t>
      </w:r>
    </w:p>
    <w:p w14:paraId="10B0F50C">
      <w:pPr>
        <w:pStyle w:val="8"/>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 xml:space="preserve"> 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6FB59151">
      <w:pPr>
        <w:snapToGrid w:val="0"/>
        <w:spacing w:line="360" w:lineRule="auto"/>
        <w:ind w:firstLine="482" w:firstLineChars="200"/>
        <w:rPr>
          <w:rFonts w:ascii="宋体" w:hAnsi="宋体"/>
          <w:b/>
          <w:color w:val="auto"/>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2394C6F7">
      <w:pPr>
        <w:widowControl/>
        <w:numPr>
          <w:ilvl w:val="0"/>
          <w:numId w:val="2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投标声明书；（附件1）</w:t>
      </w:r>
    </w:p>
    <w:p w14:paraId="1DA1B2FF">
      <w:pPr>
        <w:widowControl/>
        <w:numPr>
          <w:ilvl w:val="0"/>
          <w:numId w:val="2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授权委托书（法定代表人亲自办理投标事宜的，则无需提交)；（附件2）</w:t>
      </w:r>
    </w:p>
    <w:p w14:paraId="5F5C9C21">
      <w:pPr>
        <w:widowControl/>
        <w:numPr>
          <w:ilvl w:val="0"/>
          <w:numId w:val="2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法人或者其他组织的营业执照等证明文件，自然人的身份证明；（附件3）</w:t>
      </w:r>
    </w:p>
    <w:p w14:paraId="7EDE805E">
      <w:pPr>
        <w:widowControl/>
        <w:numPr>
          <w:ilvl w:val="0"/>
          <w:numId w:val="2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38EF82F2">
      <w:pPr>
        <w:widowControl/>
        <w:numPr>
          <w:ilvl w:val="0"/>
          <w:numId w:val="2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提供采购公告中符合供应商特定条件的有效资质证书（供应商特定条件中有要求的必须提供），以及需要说明的其他资料。</w:t>
      </w:r>
    </w:p>
    <w:p w14:paraId="577F4DDD">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49DAE9DB">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投标人基本情况表；（附件5）</w:t>
      </w:r>
    </w:p>
    <w:p w14:paraId="6E4A56D7">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项目实施人员一览表；（附件6）</w:t>
      </w:r>
    </w:p>
    <w:p w14:paraId="34F25F9B">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项目负责人资格情况表；（附件7）</w:t>
      </w:r>
    </w:p>
    <w:p w14:paraId="514A8D8E">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投标人类似项目业绩一览表；（附件8）</w:t>
      </w:r>
    </w:p>
    <w:p w14:paraId="34256F08">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技术需求响应表；（附件9）</w:t>
      </w:r>
    </w:p>
    <w:p w14:paraId="1B2155B5">
      <w:pPr>
        <w:widowControl/>
        <w:numPr>
          <w:ilvl w:val="0"/>
          <w:numId w:val="27"/>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商务需求响应表；（附件10）</w:t>
      </w:r>
    </w:p>
    <w:p w14:paraId="68E1C563">
      <w:pPr>
        <w:widowControl/>
        <w:numPr>
          <w:ilvl w:val="0"/>
          <w:numId w:val="27"/>
        </w:numPr>
        <w:spacing w:line="360" w:lineRule="auto"/>
        <w:ind w:left="425"/>
        <w:rPr>
          <w:color w:val="auto"/>
          <w:highlight w:val="none"/>
        </w:rPr>
      </w:pPr>
      <w:r>
        <w:rPr>
          <w:rFonts w:hint="eastAsia" w:asciiTheme="minorEastAsia" w:hAnsiTheme="minorEastAsia" w:eastAsiaTheme="minorEastAsia"/>
          <w:color w:val="auto"/>
          <w:kern w:val="0"/>
          <w:sz w:val="24"/>
          <w:szCs w:val="20"/>
          <w:highlight w:val="none"/>
        </w:rPr>
        <w:t>项目</w:t>
      </w:r>
      <w:r>
        <w:rPr>
          <w:rFonts w:hint="eastAsia" w:asciiTheme="minorEastAsia" w:hAnsiTheme="minorEastAsia" w:eastAsiaTheme="minorEastAsia"/>
          <w:color w:val="auto"/>
          <w:kern w:val="0"/>
          <w:sz w:val="24"/>
          <w:szCs w:val="20"/>
          <w:highlight w:val="none"/>
          <w:lang w:eastAsia="zh-CN"/>
        </w:rPr>
        <w:t>培训方案、售后服务、实施方案等</w:t>
      </w:r>
      <w:r>
        <w:rPr>
          <w:rFonts w:hint="eastAsia" w:asciiTheme="minorEastAsia" w:hAnsiTheme="minorEastAsia" w:eastAsiaTheme="minorEastAsia"/>
          <w:color w:val="auto"/>
          <w:kern w:val="0"/>
          <w:sz w:val="24"/>
          <w:szCs w:val="20"/>
          <w:highlight w:val="none"/>
        </w:rPr>
        <w:t>；（格式自拟）</w:t>
      </w:r>
    </w:p>
    <w:p w14:paraId="385E4F7E">
      <w:pPr>
        <w:widowControl/>
        <w:numPr>
          <w:ilvl w:val="0"/>
          <w:numId w:val="27"/>
        </w:numPr>
        <w:spacing w:line="360" w:lineRule="auto"/>
        <w:ind w:left="425"/>
        <w:rPr>
          <w:color w:val="auto"/>
          <w:highlight w:val="none"/>
        </w:rPr>
      </w:pPr>
      <w:r>
        <w:rPr>
          <w:rFonts w:hint="eastAsia" w:asciiTheme="minorEastAsia" w:hAnsiTheme="minorEastAsia" w:eastAsiaTheme="minorEastAsia"/>
          <w:color w:val="auto"/>
          <w:kern w:val="0"/>
          <w:sz w:val="24"/>
          <w:szCs w:val="20"/>
          <w:highlight w:val="none"/>
        </w:rPr>
        <w:t>供应商认为需要提供的其他资料（包括可能影响供应商商务与技术评分的各类证明材料）。</w:t>
      </w:r>
    </w:p>
    <w:p w14:paraId="151C572A">
      <w:pPr>
        <w:autoSpaceDE w:val="0"/>
        <w:autoSpaceDN w:val="0"/>
        <w:adjustRightInd w:val="0"/>
        <w:spacing w:line="360" w:lineRule="auto"/>
        <w:ind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kern w:val="0"/>
          <w:sz w:val="24"/>
          <w:highlight w:val="none"/>
        </w:rPr>
        <w:t>报价内容的组成</w:t>
      </w:r>
    </w:p>
    <w:p w14:paraId="7B48972F">
      <w:pPr>
        <w:widowControl/>
        <w:numPr>
          <w:ilvl w:val="0"/>
          <w:numId w:val="28"/>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开标一览表；（附件11）</w:t>
      </w:r>
    </w:p>
    <w:p w14:paraId="2ADCD75E">
      <w:pPr>
        <w:widowControl/>
        <w:numPr>
          <w:ilvl w:val="0"/>
          <w:numId w:val="28"/>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报价明细表；（附件12）</w:t>
      </w:r>
    </w:p>
    <w:p w14:paraId="753EFD33">
      <w:pPr>
        <w:widowControl/>
        <w:numPr>
          <w:ilvl w:val="0"/>
          <w:numId w:val="28"/>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中小企业等声明函、残疾人福利性单位声明函、</w:t>
      </w:r>
      <w:r>
        <w:rPr>
          <w:rFonts w:hint="eastAsia" w:asciiTheme="minorEastAsia" w:hAnsiTheme="minorEastAsia" w:eastAsiaTheme="minorEastAsia"/>
          <w:color w:val="auto"/>
          <w:kern w:val="0"/>
          <w:sz w:val="24"/>
          <w:szCs w:val="20"/>
          <w:highlight w:val="none"/>
          <w:lang w:eastAsia="zh-CN"/>
        </w:rPr>
        <w:t>监狱企业证明文件</w:t>
      </w:r>
      <w:r>
        <w:rPr>
          <w:rFonts w:hint="eastAsia" w:asciiTheme="minorEastAsia" w:hAnsiTheme="minorEastAsia" w:eastAsiaTheme="minorEastAsia"/>
          <w:color w:val="auto"/>
          <w:kern w:val="0"/>
          <w:sz w:val="24"/>
          <w:szCs w:val="20"/>
          <w:highlight w:val="none"/>
        </w:rPr>
        <w:t>；（附件13）</w:t>
      </w:r>
    </w:p>
    <w:p w14:paraId="0C847562">
      <w:pPr>
        <w:widowControl/>
        <w:numPr>
          <w:ilvl w:val="0"/>
          <w:numId w:val="28"/>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针对报价投标人认为其他需要说明的</w:t>
      </w:r>
      <w:r>
        <w:rPr>
          <w:rFonts w:hint="eastAsia" w:asciiTheme="minorEastAsia" w:hAnsiTheme="minorEastAsia" w:eastAsiaTheme="minorEastAsia"/>
          <w:color w:val="auto"/>
          <w:kern w:val="0"/>
          <w:sz w:val="24"/>
          <w:szCs w:val="20"/>
          <w:highlight w:val="none"/>
          <w:lang w:val="en-GB"/>
        </w:rPr>
        <w:t>；</w:t>
      </w:r>
    </w:p>
    <w:p w14:paraId="5097DAC9">
      <w:pPr>
        <w:pStyle w:val="8"/>
        <w:numPr>
          <w:ilvl w:val="0"/>
          <w:numId w:val="25"/>
        </w:numPr>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投标报价</w:t>
      </w:r>
    </w:p>
    <w:p w14:paraId="6CB134F9">
      <w:pPr>
        <w:pStyle w:val="8"/>
        <w:numPr>
          <w:ilvl w:val="0"/>
          <w:numId w:val="29"/>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投标人应按照招标需求内容、责任范围以及合同条款进行报价。并按“开标一览表”和“报价明细表”规定的格式报出总价和分项价格。投标总价中不得包含招标文件要求以外的内容，否则，在评标时不予核减。</w:t>
      </w:r>
    </w:p>
    <w:p w14:paraId="654A1A22">
      <w:pPr>
        <w:pStyle w:val="8"/>
        <w:numPr>
          <w:ilvl w:val="0"/>
          <w:numId w:val="29"/>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投标报价包括本项目采购需求和投入使用的所有费用，包括但不限于主件、标准附件、备品备件、人工、服务、专用工具、包装、运输、装卸、安装、</w:t>
      </w:r>
      <w:r>
        <w:rPr>
          <w:rFonts w:hint="eastAsia" w:asciiTheme="minorEastAsia" w:hAnsiTheme="minorEastAsia" w:eastAsiaTheme="minorEastAsia"/>
          <w:bCs/>
          <w:color w:val="auto"/>
          <w:kern w:val="0"/>
          <w:sz w:val="24"/>
          <w:highlight w:val="none"/>
          <w:lang w:eastAsia="zh-CN"/>
        </w:rPr>
        <w:t>调试、试运行、保修、培训</w:t>
      </w:r>
      <w:r>
        <w:rPr>
          <w:rFonts w:hint="eastAsia" w:asciiTheme="minorEastAsia" w:hAnsiTheme="minorEastAsia" w:eastAsiaTheme="minorEastAsia"/>
          <w:bCs/>
          <w:color w:val="auto"/>
          <w:kern w:val="0"/>
          <w:sz w:val="24"/>
          <w:highlight w:val="none"/>
        </w:rPr>
        <w:t>、保险、利润、关税、规费、税金、政策性文件规定、招标代理服务费、合同包含的所有风险责任等各项费用及不可预见费等项目实施所发生的全部费用，全部费用已包含在开标一览表的投标总报价中。如有漏项，视同已包含在本项目的总报价中。总报价以人民币元计。</w:t>
      </w:r>
    </w:p>
    <w:p w14:paraId="66D976EC">
      <w:pPr>
        <w:pStyle w:val="8"/>
        <w:numPr>
          <w:ilvl w:val="0"/>
          <w:numId w:val="29"/>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投标报价不得为选择性报价和附有条件的报价。</w:t>
      </w:r>
    </w:p>
    <w:p w14:paraId="3FB41D24">
      <w:pPr>
        <w:pStyle w:val="8"/>
        <w:numPr>
          <w:ilvl w:val="0"/>
          <w:numId w:val="25"/>
        </w:numPr>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投标文件的有效期</w:t>
      </w:r>
    </w:p>
    <w:p w14:paraId="7BCECD02">
      <w:pPr>
        <w:pStyle w:val="8"/>
        <w:numPr>
          <w:ilvl w:val="0"/>
          <w:numId w:val="30"/>
        </w:numPr>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投标文件有效期为</w:t>
      </w:r>
      <w:r>
        <w:rPr>
          <w:rFonts w:hint="eastAsia" w:asciiTheme="minorEastAsia" w:hAnsiTheme="minorEastAsia" w:eastAsiaTheme="minorEastAsia" w:cstheme="minorEastAsia"/>
          <w:color w:val="auto"/>
          <w:sz w:val="24"/>
          <w:highlight w:val="none"/>
          <w:lang w:val="en-GB"/>
        </w:rPr>
        <w:t>投标截止日起90天。</w:t>
      </w:r>
    </w:p>
    <w:p w14:paraId="479BCB40">
      <w:pPr>
        <w:pStyle w:val="8"/>
        <w:numPr>
          <w:ilvl w:val="0"/>
          <w:numId w:val="30"/>
        </w:numPr>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3ED1241A">
      <w:pPr>
        <w:numPr>
          <w:ilvl w:val="0"/>
          <w:numId w:val="30"/>
        </w:num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中标人的投标文件自开标之日起至合同履行完毕均应保持有效。</w:t>
      </w:r>
    </w:p>
    <w:p w14:paraId="7862C8B7">
      <w:pPr>
        <w:pStyle w:val="8"/>
        <w:numPr>
          <w:ilvl w:val="0"/>
          <w:numId w:val="25"/>
        </w:numPr>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投标文件的签署</w:t>
      </w:r>
    </w:p>
    <w:p w14:paraId="00BB1B6E">
      <w:pPr>
        <w:pStyle w:val="8"/>
        <w:numPr>
          <w:ilvl w:val="0"/>
          <w:numId w:val="31"/>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51803AF">
      <w:pPr>
        <w:pStyle w:val="8"/>
        <w:numPr>
          <w:ilvl w:val="0"/>
          <w:numId w:val="31"/>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投标文件中所有的插字、涂改和增删，必须由法定代表人或经其正式授权的代表在旁边签字或盖章才有效。</w:t>
      </w:r>
    </w:p>
    <w:p w14:paraId="2552174F">
      <w:pPr>
        <w:pStyle w:val="8"/>
        <w:numPr>
          <w:ilvl w:val="0"/>
          <w:numId w:val="31"/>
        </w:numPr>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投标文件中要求加盖公章处，可使用有效安全的电子签章替代。</w:t>
      </w:r>
    </w:p>
    <w:p w14:paraId="595502A8">
      <w:pPr>
        <w:pStyle w:val="8"/>
        <w:numPr>
          <w:ilvl w:val="0"/>
          <w:numId w:val="25"/>
        </w:numPr>
        <w:spacing w:line="360" w:lineRule="auto"/>
        <w:rPr>
          <w:rFonts w:asciiTheme="minorEastAsia" w:hAnsiTheme="minorEastAsia"/>
          <w:b/>
          <w:bCs/>
          <w:color w:val="auto"/>
          <w:sz w:val="24"/>
          <w:highlight w:val="none"/>
        </w:rPr>
      </w:pP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2D53DE22">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057D7A26">
      <w:pPr>
        <w:numPr>
          <w:ilvl w:val="0"/>
          <w:numId w:val="10"/>
        </w:numPr>
        <w:snapToGri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开标</w:t>
      </w:r>
    </w:p>
    <w:p w14:paraId="39C3B555">
      <w:pPr>
        <w:pStyle w:val="8"/>
        <w:numPr>
          <w:ilvl w:val="0"/>
          <w:numId w:val="32"/>
        </w:numPr>
        <w:spacing w:line="360" w:lineRule="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24105A31">
      <w:pPr>
        <w:pStyle w:val="8"/>
        <w:numPr>
          <w:ilvl w:val="0"/>
          <w:numId w:val="33"/>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开标时间到后，主持人准时组织开标；</w:t>
      </w:r>
    </w:p>
    <w:p w14:paraId="2260DB40">
      <w:pPr>
        <w:pStyle w:val="8"/>
        <w:numPr>
          <w:ilvl w:val="0"/>
          <w:numId w:val="33"/>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宣布采购组织机构工作人员；</w:t>
      </w:r>
    </w:p>
    <w:p w14:paraId="78C7EABB">
      <w:pPr>
        <w:pStyle w:val="8"/>
        <w:numPr>
          <w:ilvl w:val="0"/>
          <w:numId w:val="33"/>
        </w:num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投标人登录政采云平台，用“项目采购-开标评标”功能对投标文件进行在线解密，在线解密时间为开标时间起半个小时内；</w:t>
      </w:r>
    </w:p>
    <w:p w14:paraId="288508E3">
      <w:pPr>
        <w:pStyle w:val="8"/>
        <w:numPr>
          <w:ilvl w:val="0"/>
          <w:numId w:val="33"/>
        </w:numPr>
        <w:spacing w:line="360" w:lineRule="auto"/>
        <w:ind w:firstLine="480" w:firstLineChars="200"/>
        <w:rPr>
          <w:color w:val="auto"/>
          <w:sz w:val="24"/>
          <w:szCs w:val="22"/>
          <w:highlight w:val="none"/>
        </w:rPr>
      </w:pP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12B2B72C">
      <w:pPr>
        <w:pStyle w:val="8"/>
        <w:numPr>
          <w:ilvl w:val="0"/>
          <w:numId w:val="33"/>
        </w:num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公布开标结果。</w:t>
      </w:r>
    </w:p>
    <w:p w14:paraId="6D29CA21">
      <w:pPr>
        <w:pStyle w:val="8"/>
        <w:numPr>
          <w:ilvl w:val="0"/>
          <w:numId w:val="32"/>
        </w:numPr>
        <w:spacing w:line="360" w:lineRule="auto"/>
        <w:rPr>
          <w:b/>
          <w:bCs/>
          <w:color w:val="auto"/>
          <w:sz w:val="24"/>
          <w:szCs w:val="22"/>
          <w:highlight w:val="none"/>
        </w:rPr>
      </w:pPr>
      <w:r>
        <w:rPr>
          <w:rFonts w:hint="eastAsia"/>
          <w:b/>
          <w:bCs/>
          <w:color w:val="auto"/>
          <w:sz w:val="24"/>
          <w:szCs w:val="22"/>
          <w:highlight w:val="none"/>
        </w:rPr>
        <w:t>开标异议</w:t>
      </w:r>
    </w:p>
    <w:p w14:paraId="773C4833">
      <w:pPr>
        <w:pStyle w:val="8"/>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5EAAC23D">
      <w:pPr>
        <w:pStyle w:val="8"/>
        <w:numPr>
          <w:ilvl w:val="0"/>
          <w:numId w:val="32"/>
        </w:numPr>
        <w:spacing w:line="360" w:lineRule="auto"/>
        <w:rPr>
          <w:color w:val="auto"/>
          <w:sz w:val="24"/>
          <w:szCs w:val="22"/>
          <w:highlight w:val="none"/>
        </w:rPr>
      </w:pPr>
      <w:r>
        <w:rPr>
          <w:rFonts w:hint="eastAsia"/>
          <w:color w:val="auto"/>
          <w:sz w:val="24"/>
          <w:szCs w:val="22"/>
          <w:highlight w:val="none"/>
        </w:rPr>
        <w:t>投标人不足三家，不得开标。</w:t>
      </w:r>
    </w:p>
    <w:p w14:paraId="57EA85C9">
      <w:pPr>
        <w:pStyle w:val="12"/>
        <w:numPr>
          <w:ilvl w:val="0"/>
          <w:numId w:val="10"/>
        </w:numPr>
        <w:snapToGrid w:val="0"/>
        <w:spacing w:line="360" w:lineRule="auto"/>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评标（详见第四章）</w:t>
      </w:r>
    </w:p>
    <w:p w14:paraId="5B1B51E0">
      <w:pPr>
        <w:pStyle w:val="23"/>
        <w:numPr>
          <w:ilvl w:val="0"/>
          <w:numId w:val="10"/>
        </w:numPr>
        <w:spacing w:before="0" w:beforeAutospacing="0" w:after="0" w:afterAutospacing="0" w:line="360" w:lineRule="auto"/>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定标</w:t>
      </w:r>
    </w:p>
    <w:p w14:paraId="4220E0C2">
      <w:pPr>
        <w:pStyle w:val="8"/>
        <w:numPr>
          <w:ilvl w:val="0"/>
          <w:numId w:val="34"/>
        </w:numPr>
        <w:spacing w:line="360" w:lineRule="auto"/>
        <w:rPr>
          <w:rFonts w:ascii="宋体" w:hAnsi="宋体"/>
          <w:color w:val="auto"/>
          <w:kern w:val="0"/>
          <w:sz w:val="24"/>
          <w:highlight w:val="none"/>
        </w:rPr>
      </w:pPr>
      <w:r>
        <w:rPr>
          <w:rFonts w:hint="eastAsia" w:ascii="宋体" w:hAnsi="宋体"/>
          <w:color w:val="auto"/>
          <w:kern w:val="0"/>
          <w:sz w:val="24"/>
          <w:highlight w:val="none"/>
        </w:rPr>
        <w:t>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025B38EA">
      <w:pPr>
        <w:pStyle w:val="8"/>
        <w:numPr>
          <w:ilvl w:val="0"/>
          <w:numId w:val="34"/>
        </w:numPr>
        <w:spacing w:line="360" w:lineRule="auto"/>
        <w:rPr>
          <w:rFonts w:ascii="宋体" w:hAnsi="宋体"/>
          <w:color w:val="auto"/>
          <w:kern w:val="0"/>
          <w:sz w:val="24"/>
          <w:highlight w:val="none"/>
        </w:rPr>
      </w:pP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和三门县公共资源交易网上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中标结果公告期为1个工作日</w:t>
      </w:r>
      <w:r>
        <w:rPr>
          <w:rFonts w:hint="eastAsia" w:ascii="宋体" w:hAnsi="宋体"/>
          <w:color w:val="auto"/>
          <w:kern w:val="0"/>
          <w:sz w:val="24"/>
          <w:highlight w:val="none"/>
        </w:rPr>
        <w:t>。</w:t>
      </w:r>
    </w:p>
    <w:p w14:paraId="00A31299">
      <w:pPr>
        <w:pStyle w:val="8"/>
        <w:numPr>
          <w:ilvl w:val="0"/>
          <w:numId w:val="34"/>
        </w:numPr>
        <w:spacing w:line="360" w:lineRule="auto"/>
        <w:rPr>
          <w:color w:val="auto"/>
          <w:highlight w:val="none"/>
        </w:rPr>
      </w:pP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向中标人发放中标通知书。</w:t>
      </w:r>
    </w:p>
    <w:p w14:paraId="0B0D23CC">
      <w:pPr>
        <w:numPr>
          <w:ilvl w:val="0"/>
          <w:numId w:val="10"/>
        </w:numPr>
        <w:spacing w:line="360" w:lineRule="auto"/>
        <w:rPr>
          <w:rFonts w:ascii="宋体" w:hAnsi="宋体"/>
          <w:color w:val="auto"/>
          <w:kern w:val="0"/>
          <w:sz w:val="24"/>
          <w:highlight w:val="none"/>
        </w:rPr>
      </w:pPr>
      <w:r>
        <w:rPr>
          <w:rFonts w:hint="eastAsia" w:ascii="宋体" w:hAnsi="宋体"/>
          <w:b/>
          <w:color w:val="auto"/>
          <w:kern w:val="0"/>
          <w:sz w:val="24"/>
          <w:highlight w:val="none"/>
        </w:rPr>
        <w:t>合同签订及公告</w:t>
      </w:r>
    </w:p>
    <w:p w14:paraId="1222F3AA">
      <w:pPr>
        <w:pStyle w:val="8"/>
        <w:numPr>
          <w:ilvl w:val="0"/>
          <w:numId w:val="35"/>
        </w:numPr>
        <w:spacing w:line="360" w:lineRule="auto"/>
        <w:rPr>
          <w:rFonts w:ascii="宋体" w:hAnsi="宋体"/>
          <w:b/>
          <w:color w:val="auto"/>
          <w:kern w:val="0"/>
          <w:sz w:val="24"/>
          <w:highlight w:val="none"/>
        </w:rPr>
      </w:pPr>
      <w:r>
        <w:rPr>
          <w:rFonts w:hint="eastAsia" w:ascii="宋体" w:hAnsi="宋体"/>
          <w:b/>
          <w:color w:val="auto"/>
          <w:sz w:val="24"/>
          <w:highlight w:val="none"/>
        </w:rPr>
        <w:t>签订合同</w:t>
      </w:r>
    </w:p>
    <w:p w14:paraId="61EA8E10">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采购人应当自中标通知书发出之日起30日内，按照招标文件和中标人投标文件内容要求，与中标人签订书面合同或者电子合同。所签订的合同不得对招标文件确定的事项和中标人投标文件作实质性修改。</w:t>
      </w:r>
    </w:p>
    <w:p w14:paraId="7E58EEE1">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采购人不得向中标人提出任何不合理的要求作为签订合同的条件。</w:t>
      </w:r>
    </w:p>
    <w:p w14:paraId="34D135CF">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中标人无故拖延、拒签合同的,将取消中标资格。</w:t>
      </w:r>
    </w:p>
    <w:p w14:paraId="590A1AA4">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中标人放弃中标资格导致重新采购的，应当承担支付代理费和专家评审费等费用在内的赔偿责任。</w:t>
      </w:r>
    </w:p>
    <w:p w14:paraId="73ACFA9D">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4E174E99">
      <w:pPr>
        <w:pStyle w:val="23"/>
        <w:numPr>
          <w:ilvl w:val="0"/>
          <w:numId w:val="36"/>
        </w:numPr>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询问或者质疑事项可能影响中标结果的，采购人应当暂停签订合同，已经签订合同的，应当中止履行合同。</w:t>
      </w:r>
    </w:p>
    <w:p w14:paraId="6F2F1D45">
      <w:pPr>
        <w:pStyle w:val="8"/>
        <w:numPr>
          <w:ilvl w:val="0"/>
          <w:numId w:val="35"/>
        </w:numPr>
        <w:spacing w:line="360" w:lineRule="auto"/>
        <w:rPr>
          <w:rFonts w:ascii="宋体" w:hAnsi="宋体"/>
          <w:b/>
          <w:color w:val="auto"/>
          <w:sz w:val="24"/>
          <w:highlight w:val="none"/>
        </w:rPr>
      </w:pPr>
      <w:r>
        <w:rPr>
          <w:rFonts w:hint="eastAsia" w:ascii="宋体" w:hAnsi="宋体"/>
          <w:b/>
          <w:color w:val="auto"/>
          <w:sz w:val="24"/>
          <w:highlight w:val="none"/>
        </w:rPr>
        <w:t>合同公告及备案</w:t>
      </w:r>
    </w:p>
    <w:p w14:paraId="7D82CA29">
      <w:pPr>
        <w:pStyle w:val="9"/>
        <w:numPr>
          <w:ilvl w:val="0"/>
          <w:numId w:val="37"/>
        </w:numPr>
        <w:spacing w:after="0" w:line="360" w:lineRule="auto"/>
        <w:ind w:leftChars="0" w:firstLine="480" w:firstLineChars="200"/>
        <w:rPr>
          <w:rFonts w:ascii="宋体" w:hAnsi="宋体"/>
          <w:color w:val="auto"/>
          <w:sz w:val="24"/>
          <w:highlight w:val="none"/>
        </w:rPr>
      </w:pPr>
      <w:r>
        <w:rPr>
          <w:rFonts w:hint="eastAsia" w:ascii="宋体" w:hAnsi="宋体"/>
          <w:color w:val="auto"/>
          <w:sz w:val="24"/>
          <w:highlight w:val="none"/>
        </w:rPr>
        <w:t>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1D928EE4">
      <w:pPr>
        <w:pStyle w:val="10"/>
        <w:numPr>
          <w:ilvl w:val="0"/>
          <w:numId w:val="37"/>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1A808E62">
      <w:pPr>
        <w:pStyle w:val="10"/>
        <w:numPr>
          <w:ilvl w:val="0"/>
          <w:numId w:val="10"/>
        </w:numPr>
        <w:spacing w:line="360" w:lineRule="auto"/>
        <w:jc w:val="both"/>
        <w:rPr>
          <w:rFonts w:ascii="宋体" w:hAnsi="宋体"/>
          <w:b/>
          <w:bCs/>
          <w:color w:val="auto"/>
          <w:sz w:val="24"/>
          <w:highlight w:val="none"/>
        </w:rPr>
      </w:pPr>
      <w:r>
        <w:rPr>
          <w:rFonts w:hint="eastAsia" w:ascii="宋体" w:hAnsi="宋体"/>
          <w:b/>
          <w:bCs/>
          <w:color w:val="auto"/>
          <w:sz w:val="24"/>
          <w:highlight w:val="none"/>
        </w:rPr>
        <w:t>询问、质疑与投诉</w:t>
      </w:r>
    </w:p>
    <w:p w14:paraId="50E2F900">
      <w:pPr>
        <w:pStyle w:val="8"/>
        <w:numPr>
          <w:ilvl w:val="0"/>
          <w:numId w:val="38"/>
        </w:numPr>
        <w:spacing w:line="360" w:lineRule="auto"/>
        <w:rPr>
          <w:rFonts w:ascii="宋体" w:hAnsi="宋体"/>
          <w:b/>
          <w:bCs/>
          <w:color w:val="auto"/>
          <w:sz w:val="24"/>
          <w:highlight w:val="none"/>
        </w:rPr>
      </w:pPr>
      <w:r>
        <w:rPr>
          <w:rFonts w:hint="eastAsia" w:ascii="宋体" w:hAnsi="宋体"/>
          <w:b/>
          <w:bCs/>
          <w:color w:val="auto"/>
          <w:sz w:val="24"/>
          <w:highlight w:val="none"/>
        </w:rPr>
        <w:t>询问</w:t>
      </w:r>
    </w:p>
    <w:p w14:paraId="2E776611">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59377B0">
      <w:pPr>
        <w:pStyle w:val="8"/>
        <w:numPr>
          <w:ilvl w:val="0"/>
          <w:numId w:val="38"/>
        </w:numPr>
        <w:spacing w:line="360" w:lineRule="auto"/>
        <w:rPr>
          <w:rFonts w:ascii="宋体" w:hAnsi="宋体"/>
          <w:b/>
          <w:bCs/>
          <w:color w:val="auto"/>
          <w:sz w:val="24"/>
          <w:highlight w:val="none"/>
        </w:rPr>
      </w:pPr>
      <w:r>
        <w:rPr>
          <w:rFonts w:hint="eastAsia" w:ascii="宋体" w:hAnsi="宋体"/>
          <w:b/>
          <w:bCs/>
          <w:color w:val="auto"/>
          <w:sz w:val="24"/>
          <w:highlight w:val="none"/>
        </w:rPr>
        <w:t>质疑</w:t>
      </w:r>
    </w:p>
    <w:p w14:paraId="756368C9">
      <w:pPr>
        <w:pStyle w:val="10"/>
        <w:numPr>
          <w:ilvl w:val="0"/>
          <w:numId w:val="39"/>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报名本项目的投标人认为招标文件、采购过程和中标结果使自己的权益受到损害的，通过政采云平台的质疑系统一次性向采购人或采购组织机构提出质疑：</w:t>
      </w:r>
    </w:p>
    <w:p w14:paraId="01B7DCA9">
      <w:pPr>
        <w:pStyle w:val="10"/>
        <w:numPr>
          <w:ilvl w:val="0"/>
          <w:numId w:val="40"/>
        </w:numPr>
        <w:spacing w:line="360" w:lineRule="auto"/>
        <w:ind w:left="0" w:firstLine="240" w:firstLineChars="100"/>
        <w:jc w:val="both"/>
        <w:rPr>
          <w:rFonts w:ascii="宋体" w:hAnsi="宋体"/>
          <w:color w:val="auto"/>
          <w:sz w:val="24"/>
          <w:highlight w:val="none"/>
        </w:rPr>
      </w:pPr>
      <w:r>
        <w:rPr>
          <w:rFonts w:hint="eastAsia" w:ascii="宋体" w:hAnsi="宋体"/>
          <w:color w:val="auto"/>
          <w:sz w:val="24"/>
          <w:highlight w:val="none"/>
        </w:rPr>
        <w:t>投标人认为招标文件的内容损害其权益的，应当自获取之日起（获取截止日之后收到招标文件的，以获取截止日为准）7个工作日内提出质疑；</w:t>
      </w:r>
    </w:p>
    <w:p w14:paraId="0598F9C4">
      <w:pPr>
        <w:pStyle w:val="10"/>
        <w:numPr>
          <w:ilvl w:val="0"/>
          <w:numId w:val="40"/>
        </w:numPr>
        <w:spacing w:line="360" w:lineRule="auto"/>
        <w:ind w:left="0" w:firstLine="240" w:firstLineChars="100"/>
        <w:jc w:val="both"/>
        <w:rPr>
          <w:rFonts w:ascii="宋体" w:hAnsi="宋体"/>
          <w:color w:val="auto"/>
          <w:sz w:val="24"/>
          <w:highlight w:val="none"/>
        </w:rPr>
      </w:pPr>
      <w:r>
        <w:rPr>
          <w:rFonts w:hint="eastAsia" w:ascii="宋体" w:hAnsi="宋体"/>
          <w:color w:val="auto"/>
          <w:sz w:val="24"/>
          <w:highlight w:val="none"/>
        </w:rPr>
        <w:t>投标人对采购过程提出质疑的，应当在各采购程序环节结束之日起7个工作日内提出质疑；</w:t>
      </w:r>
    </w:p>
    <w:p w14:paraId="58B29AC9">
      <w:pPr>
        <w:pStyle w:val="10"/>
        <w:numPr>
          <w:ilvl w:val="0"/>
          <w:numId w:val="40"/>
        </w:numPr>
        <w:spacing w:line="360" w:lineRule="auto"/>
        <w:ind w:left="0" w:firstLine="240" w:firstLineChars="100"/>
        <w:jc w:val="both"/>
        <w:rPr>
          <w:rFonts w:ascii="宋体" w:hAnsi="宋体"/>
          <w:color w:val="auto"/>
          <w:sz w:val="24"/>
          <w:highlight w:val="none"/>
        </w:rPr>
      </w:pPr>
      <w:r>
        <w:rPr>
          <w:rFonts w:hint="eastAsia" w:ascii="宋体" w:hAnsi="宋体"/>
          <w:color w:val="auto"/>
          <w:sz w:val="24"/>
          <w:highlight w:val="none"/>
        </w:rPr>
        <w:t>投标人对中标结果提出质疑的，应当在中标结果公告期限届满之日起7个工作日内提出质疑。</w:t>
      </w:r>
    </w:p>
    <w:p w14:paraId="56E905E6">
      <w:pPr>
        <w:pStyle w:val="10"/>
        <w:numPr>
          <w:ilvl w:val="0"/>
          <w:numId w:val="39"/>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采购人或采购组织机构在收到投标人的书面质疑后7个工作日内作出答复，并以书面形式或政采云平台回复质疑投标人和其他有关投标人，但答复内容不涉及商业秘密。</w:t>
      </w:r>
    </w:p>
    <w:p w14:paraId="449420E5">
      <w:pPr>
        <w:pStyle w:val="10"/>
        <w:numPr>
          <w:ilvl w:val="0"/>
          <w:numId w:val="39"/>
        </w:numPr>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01BED0F4">
      <w:pPr>
        <w:pStyle w:val="8"/>
        <w:numPr>
          <w:ilvl w:val="0"/>
          <w:numId w:val="38"/>
        </w:numPr>
        <w:spacing w:line="360" w:lineRule="auto"/>
        <w:rPr>
          <w:rFonts w:ascii="宋体" w:hAnsi="宋体"/>
          <w:b/>
          <w:bCs/>
          <w:color w:val="auto"/>
          <w:sz w:val="24"/>
          <w:highlight w:val="none"/>
        </w:rPr>
      </w:pPr>
      <w:r>
        <w:rPr>
          <w:rFonts w:hint="eastAsia" w:ascii="宋体" w:hAnsi="宋体"/>
          <w:b/>
          <w:bCs/>
          <w:color w:val="auto"/>
          <w:sz w:val="24"/>
          <w:highlight w:val="none"/>
        </w:rPr>
        <w:t>投诉</w:t>
      </w:r>
    </w:p>
    <w:p w14:paraId="1062D95D">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3B398B85">
      <w:pPr>
        <w:pStyle w:val="9"/>
        <w:numPr>
          <w:ilvl w:val="0"/>
          <w:numId w:val="10"/>
        </w:numPr>
        <w:spacing w:after="0" w:line="360" w:lineRule="auto"/>
        <w:ind w:leftChars="0"/>
        <w:rPr>
          <w:rFonts w:ascii="宋体" w:hAnsi="宋体"/>
          <w:color w:val="auto"/>
          <w:sz w:val="24"/>
          <w:highlight w:val="none"/>
        </w:rPr>
      </w:pPr>
      <w:r>
        <w:rPr>
          <w:rFonts w:hint="eastAsia" w:ascii="宋体" w:hAnsi="宋体"/>
          <w:b/>
          <w:color w:val="auto"/>
          <w:sz w:val="24"/>
          <w:highlight w:val="none"/>
        </w:rPr>
        <w:t>政府采购支持中小企业信用融资相关事项的通知</w:t>
      </w:r>
    </w:p>
    <w:p w14:paraId="29AA49C8">
      <w:pPr>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04DD36AE">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政采贷联系方式</w:t>
      </w:r>
    </w:p>
    <w:tbl>
      <w:tblPr>
        <w:tblStyle w:val="27"/>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1002000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5876D74">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277ED67B">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7F6F04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676C5AC2">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42E2C08F">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 xml:space="preserve">   联系电话</w:t>
            </w:r>
          </w:p>
        </w:tc>
      </w:tr>
      <w:tr w14:paraId="65DDDAE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7C6AF81">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5C47C7D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8CA9D7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007723D">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58B654BE">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13958532211</w:t>
            </w:r>
          </w:p>
        </w:tc>
      </w:tr>
    </w:tbl>
    <w:p w14:paraId="0B23E6FA">
      <w:pPr>
        <w:widowControl/>
        <w:spacing w:line="360" w:lineRule="auto"/>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6CCE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6" w:type="dxa"/>
            <w:vAlign w:val="center"/>
          </w:tcPr>
          <w:p w14:paraId="7B60BF7C">
            <w:pPr>
              <w:widowControl/>
              <w:spacing w:line="400" w:lineRule="exact"/>
              <w:jc w:val="center"/>
              <w:textAlignment w:val="center"/>
              <w:rPr>
                <w:rFonts w:ascii="宋体" w:hAnsi="宋体"/>
                <w:bCs/>
                <w:color w:val="auto"/>
                <w:szCs w:val="21"/>
                <w:highlight w:val="none"/>
              </w:rPr>
            </w:pPr>
            <w:r>
              <w:rPr>
                <w:rFonts w:hint="eastAsia" w:ascii="宋体" w:hAnsi="宋体"/>
                <w:bCs/>
                <w:color w:val="auto"/>
                <w:szCs w:val="21"/>
                <w:highlight w:val="none"/>
              </w:rPr>
              <w:t>阳光财产保险股份有限公司三门支公司</w:t>
            </w:r>
          </w:p>
        </w:tc>
        <w:tc>
          <w:tcPr>
            <w:tcW w:w="3341" w:type="dxa"/>
            <w:vAlign w:val="center"/>
          </w:tcPr>
          <w:p w14:paraId="499F00DE">
            <w:pPr>
              <w:widowControl/>
              <w:spacing w:line="400" w:lineRule="exact"/>
              <w:jc w:val="left"/>
              <w:textAlignment w:val="center"/>
              <w:rPr>
                <w:rFonts w:ascii="宋体" w:hAnsi="宋体"/>
                <w:bCs/>
                <w:color w:val="auto"/>
                <w:szCs w:val="21"/>
                <w:highlight w:val="none"/>
              </w:rPr>
            </w:pPr>
            <w:r>
              <w:rPr>
                <w:rFonts w:hint="eastAsia" w:ascii="宋体" w:hAnsi="宋体"/>
                <w:bCs/>
                <w:color w:val="auto"/>
                <w:szCs w:val="21"/>
                <w:highlight w:val="none"/>
              </w:rPr>
              <w:t>合同（质量）履约按履约保证金年费率1%（1.5%</w:t>
            </w:r>
            <w:r>
              <w:rPr>
                <w:rFonts w:ascii="宋体" w:hAnsi="宋体"/>
                <w:bCs/>
                <w:color w:val="auto"/>
                <w:szCs w:val="21"/>
                <w:highlight w:val="none"/>
              </w:rPr>
              <w:t>）</w:t>
            </w:r>
            <w:r>
              <w:rPr>
                <w:rFonts w:hint="eastAsia" w:ascii="宋体" w:hAnsi="宋体"/>
                <w:bCs/>
                <w:color w:val="auto"/>
                <w:szCs w:val="21"/>
                <w:highlight w:val="none"/>
              </w:rPr>
              <w:t>，每单保函最低保险费为500元(300元)。</w:t>
            </w:r>
          </w:p>
        </w:tc>
        <w:tc>
          <w:tcPr>
            <w:tcW w:w="1134" w:type="dxa"/>
            <w:vAlign w:val="center"/>
          </w:tcPr>
          <w:p w14:paraId="73F11232">
            <w:pPr>
              <w:widowControl/>
              <w:spacing w:line="400" w:lineRule="exact"/>
              <w:jc w:val="center"/>
              <w:textAlignment w:val="center"/>
              <w:rPr>
                <w:rFonts w:ascii="宋体" w:hAnsi="宋体"/>
                <w:bCs/>
                <w:color w:val="auto"/>
                <w:szCs w:val="21"/>
                <w:highlight w:val="none"/>
              </w:rPr>
            </w:pPr>
            <w:r>
              <w:rPr>
                <w:rFonts w:hint="eastAsia" w:ascii="宋体" w:hAnsi="宋体"/>
                <w:bCs/>
                <w:color w:val="auto"/>
                <w:szCs w:val="21"/>
                <w:highlight w:val="none"/>
              </w:rPr>
              <w:t>李来萍</w:t>
            </w:r>
          </w:p>
        </w:tc>
        <w:tc>
          <w:tcPr>
            <w:tcW w:w="1977" w:type="dxa"/>
            <w:vAlign w:val="center"/>
          </w:tcPr>
          <w:p w14:paraId="0254084C">
            <w:pPr>
              <w:widowControl/>
              <w:spacing w:line="400" w:lineRule="exact"/>
              <w:jc w:val="center"/>
              <w:textAlignment w:val="center"/>
              <w:rPr>
                <w:rFonts w:ascii="宋体" w:hAnsi="宋体"/>
                <w:bCs/>
                <w:color w:val="auto"/>
                <w:szCs w:val="21"/>
                <w:highlight w:val="none"/>
              </w:rPr>
            </w:pPr>
            <w:r>
              <w:rPr>
                <w:rFonts w:hint="eastAsia" w:ascii="宋体" w:hAnsi="宋体"/>
                <w:bCs/>
                <w:color w:val="auto"/>
                <w:szCs w:val="21"/>
                <w:highlight w:val="none"/>
              </w:rPr>
              <w:t>13958525199</w:t>
            </w:r>
          </w:p>
        </w:tc>
      </w:tr>
    </w:tbl>
    <w:p w14:paraId="59DDDA88">
      <w:pPr>
        <w:tabs>
          <w:tab w:val="left" w:pos="8280"/>
        </w:tabs>
        <w:autoSpaceDE w:val="0"/>
        <w:autoSpaceDN w:val="0"/>
        <w:adjustRightInd w:val="0"/>
        <w:spacing w:line="420" w:lineRule="exact"/>
        <w:ind w:right="25"/>
        <w:rPr>
          <w:rFonts w:ascii="宋体" w:hAnsi="宋体" w:cs="宋体"/>
          <w:b/>
          <w:color w:val="auto"/>
          <w:sz w:val="24"/>
          <w:highlight w:val="none"/>
        </w:rPr>
      </w:pPr>
      <w:r>
        <w:rPr>
          <w:rFonts w:hint="eastAsia" w:asciiTheme="minorEastAsia" w:hAnsiTheme="minorEastAsia" w:eastAsiaTheme="minorEastAsia"/>
          <w:b/>
          <w:color w:val="auto"/>
          <w:sz w:val="36"/>
          <w:szCs w:val="36"/>
          <w:highlight w:val="none"/>
        </w:rPr>
        <w:t xml:space="preserve"> </w:t>
      </w:r>
    </w:p>
    <w:p w14:paraId="2F157018">
      <w:pPr>
        <w:tabs>
          <w:tab w:val="left" w:pos="8280"/>
        </w:tabs>
        <w:autoSpaceDE w:val="0"/>
        <w:autoSpaceDN w:val="0"/>
        <w:adjustRightInd w:val="0"/>
        <w:spacing w:line="420" w:lineRule="exact"/>
        <w:ind w:right="25"/>
        <w:rPr>
          <w:rFonts w:ascii="宋体" w:hAnsi="宋体" w:cs="宋体"/>
          <w:b/>
          <w:color w:val="auto"/>
          <w:sz w:val="24"/>
          <w:highlight w:val="none"/>
        </w:rPr>
      </w:pPr>
    </w:p>
    <w:p w14:paraId="647A16A4">
      <w:pPr>
        <w:rPr>
          <w:rFonts w:asciiTheme="majorEastAsia" w:hAnsiTheme="majorEastAsia" w:eastAsiaTheme="majorEastAsia"/>
          <w:b/>
          <w:color w:val="auto"/>
          <w:kern w:val="0"/>
          <w:sz w:val="32"/>
          <w:szCs w:val="32"/>
          <w:highlight w:val="none"/>
        </w:rPr>
      </w:pPr>
      <w:bookmarkStart w:id="10" w:name="_Toc13072_WPSOffice_Level1"/>
      <w:r>
        <w:rPr>
          <w:rFonts w:hint="eastAsia" w:asciiTheme="majorEastAsia" w:hAnsiTheme="majorEastAsia" w:eastAsiaTheme="majorEastAsia"/>
          <w:b/>
          <w:color w:val="auto"/>
          <w:kern w:val="0"/>
          <w:sz w:val="32"/>
          <w:szCs w:val="32"/>
          <w:highlight w:val="none"/>
        </w:rPr>
        <w:br w:type="page"/>
      </w:r>
    </w:p>
    <w:p w14:paraId="3AC38E2F">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2"/>
          <w:szCs w:val="32"/>
          <w:highlight w:val="none"/>
        </w:rPr>
      </w:pPr>
      <w:bookmarkStart w:id="11" w:name="_Toc22224"/>
      <w:r>
        <w:rPr>
          <w:rFonts w:hint="eastAsia" w:asciiTheme="majorEastAsia" w:hAnsiTheme="majorEastAsia" w:eastAsiaTheme="majorEastAsia"/>
          <w:b/>
          <w:color w:val="auto"/>
          <w:kern w:val="0"/>
          <w:sz w:val="32"/>
          <w:szCs w:val="32"/>
          <w:highlight w:val="none"/>
        </w:rPr>
        <w:t>招标需求</w:t>
      </w:r>
      <w:bookmarkEnd w:id="10"/>
      <w:bookmarkEnd w:id="11"/>
    </w:p>
    <w:p w14:paraId="7B327D88">
      <w:pPr>
        <w:numPr>
          <w:ilvl w:val="0"/>
          <w:numId w:val="41"/>
        </w:numPr>
        <w:spacing w:line="400" w:lineRule="exact"/>
        <w:jc w:val="left"/>
        <w:rPr>
          <w:rFonts w:ascii="宋体" w:hAnsi="宋体" w:cs="宋体"/>
          <w:b/>
          <w:color w:val="auto"/>
          <w:sz w:val="24"/>
          <w:highlight w:val="none"/>
        </w:rPr>
      </w:pPr>
      <w:bookmarkStart w:id="12" w:name="_Toc31173_WPSOffice_Level1"/>
      <w:r>
        <w:rPr>
          <w:rFonts w:hint="eastAsia" w:ascii="宋体" w:hAnsi="宋体" w:cs="宋体"/>
          <w:b/>
          <w:color w:val="auto"/>
          <w:sz w:val="24"/>
          <w:highlight w:val="none"/>
        </w:rPr>
        <w:t>招标项目一览表</w:t>
      </w:r>
    </w:p>
    <w:p w14:paraId="5B06D027">
      <w:pPr>
        <w:tabs>
          <w:tab w:val="left" w:pos="8280"/>
        </w:tabs>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个标项，具体内容如下表：</w:t>
      </w:r>
    </w:p>
    <w:tbl>
      <w:tblPr>
        <w:tblStyle w:val="27"/>
        <w:tblpPr w:leftFromText="181" w:rightFromText="181" w:bottomFromText="170"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581"/>
        <w:gridCol w:w="1894"/>
        <w:gridCol w:w="1489"/>
        <w:gridCol w:w="1489"/>
      </w:tblGrid>
      <w:tr w14:paraId="038D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49" w:type="pct"/>
            <w:vAlign w:val="center"/>
          </w:tcPr>
          <w:p w14:paraId="2F6C4ADA">
            <w:pPr>
              <w:tabs>
                <w:tab w:val="left" w:pos="8280"/>
              </w:tabs>
              <w:autoSpaceDE w:val="0"/>
              <w:autoSpaceDN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27" w:type="pct"/>
            <w:vAlign w:val="center"/>
          </w:tcPr>
          <w:p w14:paraId="68804923">
            <w:pPr>
              <w:tabs>
                <w:tab w:val="left" w:pos="8280"/>
              </w:tabs>
              <w:autoSpaceDE w:val="0"/>
              <w:autoSpaceDN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019" w:type="pct"/>
            <w:vAlign w:val="center"/>
          </w:tcPr>
          <w:p w14:paraId="1C82A98B">
            <w:pPr>
              <w:tabs>
                <w:tab w:val="left" w:pos="8280"/>
              </w:tabs>
              <w:autoSpaceDE w:val="0"/>
              <w:autoSpaceDN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简要技术要求</w:t>
            </w:r>
          </w:p>
        </w:tc>
        <w:tc>
          <w:tcPr>
            <w:tcW w:w="801" w:type="pct"/>
            <w:vAlign w:val="center"/>
          </w:tcPr>
          <w:p w14:paraId="5BAF0D90">
            <w:pPr>
              <w:tabs>
                <w:tab w:val="left" w:pos="8280"/>
              </w:tabs>
              <w:autoSpaceDE w:val="0"/>
              <w:autoSpaceDN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预算价</w:t>
            </w:r>
          </w:p>
        </w:tc>
        <w:tc>
          <w:tcPr>
            <w:tcW w:w="801" w:type="pct"/>
            <w:vAlign w:val="center"/>
          </w:tcPr>
          <w:p w14:paraId="65A845DF">
            <w:pPr>
              <w:tabs>
                <w:tab w:val="left" w:pos="8280"/>
              </w:tabs>
              <w:autoSpaceDE w:val="0"/>
              <w:autoSpaceDN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最高限价</w:t>
            </w:r>
          </w:p>
        </w:tc>
      </w:tr>
      <w:tr w14:paraId="1E6B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9" w:type="pct"/>
            <w:vAlign w:val="center"/>
          </w:tcPr>
          <w:p w14:paraId="61A1ACAA">
            <w:pPr>
              <w:tabs>
                <w:tab w:val="left" w:pos="8280"/>
              </w:tabs>
              <w:autoSpaceDE w:val="0"/>
              <w:autoSpaceDN w:val="0"/>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927" w:type="pct"/>
            <w:vAlign w:val="center"/>
          </w:tcPr>
          <w:p w14:paraId="1269EA80">
            <w:pPr>
              <w:tabs>
                <w:tab w:val="left" w:pos="8280"/>
              </w:tabs>
              <w:autoSpaceDE w:val="0"/>
              <w:autoSpaceDN w:val="0"/>
              <w:spacing w:line="400" w:lineRule="exact"/>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三门县公安局机房升级改造项目（二次）</w:t>
            </w:r>
          </w:p>
        </w:tc>
        <w:tc>
          <w:tcPr>
            <w:tcW w:w="1019" w:type="pct"/>
            <w:vAlign w:val="center"/>
          </w:tcPr>
          <w:p w14:paraId="0455E3D4">
            <w:pPr>
              <w:tabs>
                <w:tab w:val="left" w:pos="8280"/>
              </w:tabs>
              <w:autoSpaceDE w:val="0"/>
              <w:autoSpaceDN w:val="0"/>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详见技术需求</w:t>
            </w:r>
          </w:p>
        </w:tc>
        <w:tc>
          <w:tcPr>
            <w:tcW w:w="801" w:type="pct"/>
            <w:vAlign w:val="center"/>
          </w:tcPr>
          <w:p w14:paraId="6E11FFC0">
            <w:pPr>
              <w:tabs>
                <w:tab w:val="left" w:pos="180"/>
                <w:tab w:val="left" w:pos="360"/>
                <w:tab w:val="left" w:pos="540"/>
                <w:tab w:val="left" w:pos="8280"/>
              </w:tabs>
              <w:autoSpaceDE w:val="0"/>
              <w:autoSpaceDN w:val="0"/>
              <w:spacing w:line="400" w:lineRule="exact"/>
              <w:jc w:val="left"/>
              <w:rPr>
                <w:rFonts w:ascii="宋体" w:hAnsi="宋体" w:cs="宋体"/>
                <w:bCs/>
                <w:color w:val="auto"/>
                <w:sz w:val="24"/>
                <w:highlight w:val="none"/>
              </w:rPr>
            </w:pPr>
            <w:r>
              <w:rPr>
                <w:rFonts w:hint="eastAsia" w:ascii="宋体" w:hAnsi="宋体" w:cs="宋体"/>
                <w:color w:val="auto"/>
                <w:kern w:val="0"/>
                <w:sz w:val="24"/>
                <w:highlight w:val="none"/>
              </w:rPr>
              <w:t>2707400</w:t>
            </w:r>
            <w:r>
              <w:rPr>
                <w:rFonts w:hint="eastAsia" w:ascii="宋体" w:hAnsi="宋体" w:cs="宋体"/>
                <w:bCs/>
                <w:color w:val="auto"/>
                <w:sz w:val="24"/>
                <w:highlight w:val="none"/>
              </w:rPr>
              <w:t>元</w:t>
            </w:r>
          </w:p>
        </w:tc>
        <w:tc>
          <w:tcPr>
            <w:tcW w:w="801" w:type="pct"/>
            <w:vAlign w:val="center"/>
          </w:tcPr>
          <w:p w14:paraId="438D4A62">
            <w:pPr>
              <w:tabs>
                <w:tab w:val="left" w:pos="8280"/>
              </w:tabs>
              <w:autoSpaceDE w:val="0"/>
              <w:autoSpaceDN w:val="0"/>
              <w:spacing w:line="400" w:lineRule="exact"/>
              <w:jc w:val="center"/>
              <w:rPr>
                <w:rFonts w:ascii="宋体" w:hAnsi="宋体" w:cs="宋体"/>
                <w:bCs/>
                <w:color w:val="auto"/>
                <w:sz w:val="24"/>
                <w:highlight w:val="none"/>
              </w:rPr>
            </w:pPr>
            <w:r>
              <w:rPr>
                <w:rFonts w:hint="eastAsia" w:ascii="宋体" w:hAnsi="宋体" w:cs="宋体"/>
                <w:color w:val="auto"/>
                <w:kern w:val="0"/>
                <w:sz w:val="24"/>
                <w:highlight w:val="none"/>
              </w:rPr>
              <w:t>2631800</w:t>
            </w:r>
            <w:r>
              <w:rPr>
                <w:rFonts w:hint="eastAsia" w:ascii="宋体" w:hAnsi="宋体" w:cs="宋体"/>
                <w:bCs/>
                <w:color w:val="auto"/>
                <w:sz w:val="24"/>
                <w:highlight w:val="none"/>
              </w:rPr>
              <w:t>元</w:t>
            </w:r>
          </w:p>
        </w:tc>
      </w:tr>
    </w:tbl>
    <w:p w14:paraId="182E34EF">
      <w:pPr>
        <w:keepNext w:val="0"/>
        <w:keepLines w:val="0"/>
        <w:pageBreakBefore w:val="0"/>
        <w:widowControl w:val="0"/>
        <w:numPr>
          <w:ilvl w:val="0"/>
          <w:numId w:val="41"/>
        </w:numPr>
        <w:kinsoku/>
        <w:wordWrap/>
        <w:overflowPunct/>
        <w:topLinePunct w:val="0"/>
        <w:autoSpaceDE/>
        <w:autoSpaceDN/>
        <w:bidi w:val="0"/>
        <w:adjustRightInd/>
        <w:snapToGrid/>
        <w:spacing w:line="420" w:lineRule="exact"/>
        <w:jc w:val="left"/>
        <w:textAlignment w:val="auto"/>
        <w:rPr>
          <w:rFonts w:ascii="宋体" w:hAnsi="宋体" w:cs="宋体"/>
          <w:b/>
          <w:color w:val="auto"/>
          <w:sz w:val="24"/>
          <w:highlight w:val="none"/>
        </w:rPr>
      </w:pPr>
      <w:r>
        <w:rPr>
          <w:rFonts w:hint="eastAsia" w:ascii="宋体" w:hAnsi="宋体" w:cs="宋体"/>
          <w:b/>
          <w:color w:val="auto"/>
          <w:sz w:val="24"/>
          <w:highlight w:val="none"/>
        </w:rPr>
        <w:t>项目概况</w:t>
      </w:r>
    </w:p>
    <w:p w14:paraId="3FB17F87">
      <w:pPr>
        <w:pStyle w:val="12"/>
        <w:keepNext w:val="0"/>
        <w:keepLines w:val="0"/>
        <w:pageBreakBefore w:val="0"/>
        <w:widowControl w:val="0"/>
        <w:numPr>
          <w:ilvl w:val="0"/>
          <w:numId w:val="42"/>
        </w:numPr>
        <w:kinsoku/>
        <w:wordWrap/>
        <w:overflowPunct/>
        <w:topLinePunct w:val="0"/>
        <w:autoSpaceDE/>
        <w:autoSpaceDN/>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项目背景</w:t>
      </w:r>
    </w:p>
    <w:p w14:paraId="17763B8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中国特色社会主义进入新时代，社会各方面利益关系日趋复杂，各种不安全不稳定因素滋生成长，利用新技术、新手段、新工具的新型犯罪和非接触式案件日益增多，为公安机关在反恐维稳、治安管理、侦查破案、舆情控制、交通疏导等方面工作提出了新的挑战。‌</w:t>
      </w:r>
    </w:p>
    <w:p w14:paraId="2DD7847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随着互联网大数据时代的到来和信息技术快速普及发展，当今社会呈现出数据全面爆发、海量聚集的特点，对经济发展、社会治理、人民生活都产生了巨大影响。如何运用大数据提升公安机关社会治理的能力，更好地适应新形势、新常态、新环境、新任务的需要，成为公安工作在新时代需要解决的重大课题。因此，大数据、云计算、人工智能等先进理念正在一步一步落到实地，成为助推公安工作飞速发展的重要手段，高效的管理方式、全新的侦查手段正在孕育更加高效、更加便捷、更加有力的公安战斗力。</w:t>
      </w:r>
    </w:p>
    <w:p w14:paraId="40008BF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公安信息化建设的“十四五”规划以“大数据采集应用”为核心，以“主动、精准、高效”为追求，以“便捷、实用、服务”为导向，统筹数据计算和环境建设，优化网络体系和结构安全，促进数据采集和资源整合，打破警种壁垒和使用门槛，推进智能应用和深度开发，加快新的信息技术与公安业务的融合发展，夯实智能化支撑立体化社会治安防控体系建设，在维护社会安全稳定、打击违法犯罪、保障交通安全等方面实现动态感知、智能研判、科学决策、合成作战、精准打击，在内部行政管理方面实现高效便捷服务、规范有序管理，推动新时代公安工作快速发展、全面发展‌。</w:t>
      </w:r>
    </w:p>
    <w:p w14:paraId="70063CF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三门县公安局机房升级改造项目（二次）</w:t>
      </w:r>
      <w:r>
        <w:rPr>
          <w:rFonts w:hint="eastAsia" w:ascii="宋体" w:hAnsi="宋体" w:cs="宋体"/>
          <w:color w:val="auto"/>
          <w:sz w:val="24"/>
          <w:highlight w:val="none"/>
        </w:rPr>
        <w:t>的建设可以为公安信息系统提供稳定、高效的计算和存储支持，能大幅提升数据处理和分析的速度，加快服务器资源国产化进程，支撑现有业务扩容和新项目的顺利开展。依据《中共浙江省委关于加快提升新质公安战斗力，推进浙江公安工作现代化的意见》（浙委发〔2024〕14号）、《浙江公安厅关于调整公安基础设施建设“十四五”规划项目的通知》、台州市公安局关于印发《台州市公安基础设施建设“十四五”规划和台州公安装备建设“十四五”规划》的通知、台州市公安局关于印发《台州市公安信息化建设“十四五”规划》的通知、浙江省公安厅关于印发《浙江省公安信息化建设“十四五”规划》的通知以及浙江省公安厅关于印发《浙江省公安装备建设“十四五”规划》的通知等相关政策文件要求，规划开展本项目建设工作。</w:t>
      </w:r>
    </w:p>
    <w:p w14:paraId="3A5D1549">
      <w:pPr>
        <w:pStyle w:val="12"/>
        <w:keepNext w:val="0"/>
        <w:keepLines w:val="0"/>
        <w:pageBreakBefore w:val="0"/>
        <w:widowControl w:val="0"/>
        <w:numPr>
          <w:ilvl w:val="0"/>
          <w:numId w:val="42"/>
        </w:numPr>
        <w:kinsoku/>
        <w:wordWrap/>
        <w:overflowPunct/>
        <w:topLinePunct w:val="0"/>
        <w:autoSpaceDE/>
        <w:autoSpaceDN/>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建设目标</w:t>
      </w:r>
    </w:p>
    <w:p w14:paraId="200677A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（一）提高数据处理和分析能力</w:t>
      </w:r>
    </w:p>
    <w:p w14:paraId="3328E4E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处理效率提升：通过高性能计算平台的支持，案件数据处理速度大幅提升，从几小时缩短到几分钟或更短，快速响应突发事件和案件需求。</w:t>
      </w:r>
    </w:p>
    <w:p w14:paraId="42E19A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数据分析准确性：利用先进的大数据分析和人工智能技术，提高犯罪模式识别和预测的准确性，减少误报和漏报情况。</w:t>
      </w:r>
    </w:p>
    <w:p w14:paraId="63E495A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（二）推动智能化应用效果</w:t>
      </w:r>
    </w:p>
    <w:p w14:paraId="534DF15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智能预警系统：通过人脸识别、行为分析等智能化技术，实现对可疑人员和异常行为的自动预警，减少人工监控的工作量。</w:t>
      </w:r>
    </w:p>
    <w:p w14:paraId="702FC5D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案件侦查效率：智能化案件分析工具能够快速整合相关证据和信息，提升案件侦查的效率和准确性，缩短案件破案周期。</w:t>
      </w:r>
    </w:p>
    <w:p w14:paraId="73C55D8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（三）优化资源利用和管理</w:t>
      </w:r>
    </w:p>
    <w:p w14:paraId="75A3276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资源利用率提高：通过虚拟化和资源整合，计算和存储资源的使用效率显著提高，减少资源闲置和浪费。</w:t>
      </w:r>
    </w:p>
    <w:p w14:paraId="0F2C001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运营成本降低：通过高效的资源管理和节能措施，降低数据中心的运营和维护成本，实现经济效益的提升。</w:t>
      </w:r>
    </w:p>
    <w:p w14:paraId="260BA86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（四）改进业务流程和管理</w:t>
      </w:r>
    </w:p>
    <w:p w14:paraId="2848468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业务流程优化：业务流程的简化和自动化使得工作流程更加高效，减少人工干预，提升整体工作效率和准确性。</w:t>
      </w:r>
    </w:p>
    <w:p w14:paraId="77C7152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信息流动性增强：不同部门和系统之间的数据共享和协同能力得到提升，确保信息流动顺畅，支持快速决策。</w:t>
      </w:r>
    </w:p>
    <w:p w14:paraId="2B82ED5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（五）社会治安管理提升</w:t>
      </w:r>
    </w:p>
    <w:p w14:paraId="58D7950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治安防控能力：通过高效的数据处理和智能化应用，提高了对社会治安的管理能力，增强了对犯罪行为的预防和打击效果。</w:t>
      </w:r>
    </w:p>
    <w:p w14:paraId="617DA58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公众安全感提升：通过项目的实施，公安机关的工作效率和服务质量显著提升，增强了公众的安全感和满意度。</w:t>
      </w:r>
    </w:p>
    <w:p w14:paraId="2C451B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（六）加快服务器资源国产化进程</w:t>
      </w:r>
    </w:p>
    <w:p w14:paraId="7233E20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根据国家信息安全和自主创新的要求，需在2026年前完成所有服务器从硬件到软件的国产化适配。通过项目的实施，提升机房国产化服务器占比，逐步替换以符合政策导向。</w:t>
      </w:r>
    </w:p>
    <w:p w14:paraId="4B724C8E">
      <w:pPr>
        <w:pStyle w:val="12"/>
        <w:keepNext w:val="0"/>
        <w:keepLines w:val="0"/>
        <w:pageBreakBefore w:val="0"/>
        <w:widowControl w:val="0"/>
        <w:numPr>
          <w:ilvl w:val="0"/>
          <w:numId w:val="42"/>
        </w:numPr>
        <w:kinsoku/>
        <w:wordWrap/>
        <w:overflowPunct/>
        <w:topLinePunct w:val="0"/>
        <w:autoSpaceDE/>
        <w:autoSpaceDN/>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建设内容</w:t>
      </w:r>
    </w:p>
    <w:p w14:paraId="7AEFB7B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本项目建设主要涉及服务器设备采购以及机房原有设备的维保服务。具体建设内容如下：</w:t>
      </w:r>
    </w:p>
    <w:p w14:paraId="59685A1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（一）机房服务器设备采购</w:t>
      </w:r>
    </w:p>
    <w:p w14:paraId="135550E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（二）机房存储设备采购</w:t>
      </w:r>
    </w:p>
    <w:p w14:paraId="4B0E070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（三）云管平台（成品软件）采购</w:t>
      </w:r>
    </w:p>
    <w:p w14:paraId="7431B36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（四）中心机房精密空调采购</w:t>
      </w:r>
    </w:p>
    <w:p w14:paraId="31BD226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（五）机房原有设备维保服务</w:t>
      </w:r>
    </w:p>
    <w:p w14:paraId="3FDEBAE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（六）机房线路改造服务</w:t>
      </w:r>
    </w:p>
    <w:p w14:paraId="5EB48A01">
      <w:pPr>
        <w:keepNext w:val="0"/>
        <w:keepLines w:val="0"/>
        <w:pageBreakBefore w:val="0"/>
        <w:widowControl w:val="0"/>
        <w:numPr>
          <w:ilvl w:val="0"/>
          <w:numId w:val="41"/>
        </w:numPr>
        <w:kinsoku/>
        <w:wordWrap/>
        <w:overflowPunct/>
        <w:topLinePunct w:val="0"/>
        <w:autoSpaceDE/>
        <w:autoSpaceDN/>
        <w:bidi w:val="0"/>
        <w:adjustRightInd/>
        <w:snapToGrid/>
        <w:spacing w:line="420" w:lineRule="exact"/>
        <w:jc w:val="left"/>
        <w:textAlignment w:val="auto"/>
        <w:rPr>
          <w:rFonts w:ascii="宋体" w:hAnsi="宋体" w:cs="宋体"/>
          <w:b/>
          <w:color w:val="auto"/>
          <w:sz w:val="24"/>
          <w:highlight w:val="none"/>
        </w:rPr>
      </w:pPr>
      <w:r>
        <w:rPr>
          <w:rFonts w:hint="eastAsia" w:ascii="宋体" w:hAnsi="宋体" w:cs="宋体"/>
          <w:b/>
          <w:color w:val="auto"/>
          <w:sz w:val="24"/>
          <w:highlight w:val="none"/>
        </w:rPr>
        <w:t>技术需求</w:t>
      </w:r>
    </w:p>
    <w:p w14:paraId="4F1F25A6">
      <w:pPr>
        <w:keepNext w:val="0"/>
        <w:keepLines w:val="0"/>
        <w:pageBreakBefore w:val="0"/>
        <w:widowControl w:val="0"/>
        <w:numPr>
          <w:ilvl w:val="0"/>
          <w:numId w:val="43"/>
        </w:numPr>
        <w:kinsoku/>
        <w:wordWrap/>
        <w:overflowPunct/>
        <w:topLinePunct w:val="0"/>
        <w:autoSpaceDE/>
        <w:autoSpaceDN/>
        <w:bidi w:val="0"/>
        <w:adjustRightInd/>
        <w:snapToGrid/>
        <w:spacing w:line="42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采购清单</w:t>
      </w:r>
    </w:p>
    <w:tbl>
      <w:tblPr>
        <w:tblStyle w:val="27"/>
        <w:tblW w:w="4996" w:type="pct"/>
        <w:tblInd w:w="0" w:type="dxa"/>
        <w:tblLayout w:type="autofit"/>
        <w:tblCellMar>
          <w:top w:w="0" w:type="dxa"/>
          <w:left w:w="108" w:type="dxa"/>
          <w:bottom w:w="0" w:type="dxa"/>
          <w:right w:w="108" w:type="dxa"/>
        </w:tblCellMar>
      </w:tblPr>
      <w:tblGrid>
        <w:gridCol w:w="684"/>
        <w:gridCol w:w="2630"/>
        <w:gridCol w:w="2786"/>
        <w:gridCol w:w="734"/>
        <w:gridCol w:w="721"/>
        <w:gridCol w:w="1726"/>
      </w:tblGrid>
      <w:tr w14:paraId="410AC549">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F4309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序列</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D2A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产品名称</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F00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要求描述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B9F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B3EE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8366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5EE807D0">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3F552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14D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超融合节点服务器</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DF2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E3B9">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D4EC">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3BBA">
            <w:pPr>
              <w:widowControl/>
              <w:spacing w:line="440" w:lineRule="exact"/>
              <w:jc w:val="center"/>
              <w:textAlignment w:val="center"/>
              <w:rPr>
                <w:rFonts w:ascii="宋体" w:hAnsi="宋体" w:cs="宋体"/>
                <w:color w:val="auto"/>
                <w:kern w:val="0"/>
                <w:szCs w:val="21"/>
                <w:highlight w:val="none"/>
                <w:lang w:bidi="ar"/>
              </w:rPr>
            </w:pPr>
            <w:r>
              <w:rPr>
                <w:rFonts w:hint="eastAsia" w:ascii="宋体" w:hAnsi="宋体"/>
                <w:b/>
                <w:bCs/>
                <w:color w:val="auto"/>
                <w:kern w:val="0"/>
                <w:sz w:val="24"/>
                <w:highlight w:val="none"/>
              </w:rPr>
              <w:t>核心产品</w:t>
            </w:r>
          </w:p>
        </w:tc>
      </w:tr>
      <w:tr w14:paraId="41510F78">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80AE1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DDE1">
            <w:pPr>
              <w:pStyle w:val="3"/>
              <w:widowControl/>
              <w:adjustRightInd/>
              <w:spacing w:line="400" w:lineRule="exact"/>
              <w:jc w:val="center"/>
              <w:rPr>
                <w:rFonts w:cs="宋体"/>
                <w:b w:val="0"/>
                <w:color w:val="auto"/>
                <w:kern w:val="0"/>
                <w:sz w:val="21"/>
                <w:szCs w:val="21"/>
                <w:highlight w:val="none"/>
                <w:lang w:bidi="ar"/>
              </w:rPr>
            </w:pPr>
            <w:r>
              <w:rPr>
                <w:rFonts w:hint="eastAsia" w:cs="宋体"/>
                <w:b w:val="0"/>
                <w:color w:val="auto"/>
                <w:kern w:val="0"/>
                <w:sz w:val="21"/>
                <w:szCs w:val="21"/>
                <w:highlight w:val="none"/>
                <w:lang w:bidi="ar"/>
              </w:rPr>
              <w:t>超融合万兆交换机</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C57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95E8">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C9E9">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EC750">
            <w:pPr>
              <w:widowControl/>
              <w:spacing w:line="440" w:lineRule="exact"/>
              <w:jc w:val="center"/>
              <w:textAlignment w:val="center"/>
              <w:rPr>
                <w:rFonts w:ascii="宋体" w:hAnsi="宋体" w:cs="宋体"/>
                <w:color w:val="auto"/>
                <w:kern w:val="0"/>
                <w:szCs w:val="21"/>
                <w:highlight w:val="none"/>
                <w:lang w:bidi="ar"/>
              </w:rPr>
            </w:pPr>
          </w:p>
        </w:tc>
      </w:tr>
      <w:tr w14:paraId="107E1346">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CB4C6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F52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管理千兆交换机</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F4B3C">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F88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B0E1">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61CE">
            <w:pPr>
              <w:widowControl/>
              <w:spacing w:line="440" w:lineRule="exact"/>
              <w:jc w:val="center"/>
              <w:textAlignment w:val="center"/>
              <w:rPr>
                <w:rFonts w:ascii="宋体" w:hAnsi="宋体" w:cs="宋体"/>
                <w:color w:val="auto"/>
                <w:kern w:val="0"/>
                <w:szCs w:val="21"/>
                <w:highlight w:val="none"/>
                <w:lang w:bidi="ar"/>
              </w:rPr>
            </w:pPr>
          </w:p>
        </w:tc>
      </w:tr>
      <w:tr w14:paraId="6FC58838">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FB62C6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8D8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AI服务器</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F012">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CAB1">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AE3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21328">
            <w:pPr>
              <w:widowControl/>
              <w:spacing w:line="440" w:lineRule="exact"/>
              <w:jc w:val="center"/>
              <w:textAlignment w:val="center"/>
              <w:rPr>
                <w:rFonts w:ascii="宋体" w:hAnsi="宋体" w:cs="宋体"/>
                <w:color w:val="auto"/>
                <w:kern w:val="0"/>
                <w:szCs w:val="21"/>
                <w:highlight w:val="none"/>
                <w:lang w:bidi="ar"/>
              </w:rPr>
            </w:pPr>
          </w:p>
        </w:tc>
      </w:tr>
      <w:tr w14:paraId="35728F9C">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807D05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821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数据盘扩容</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5AF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687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2939">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42595">
            <w:pPr>
              <w:widowControl/>
              <w:spacing w:line="440" w:lineRule="exact"/>
              <w:jc w:val="center"/>
              <w:textAlignment w:val="center"/>
              <w:rPr>
                <w:rFonts w:ascii="宋体" w:hAnsi="宋体" w:cs="宋体"/>
                <w:color w:val="auto"/>
                <w:kern w:val="0"/>
                <w:szCs w:val="21"/>
                <w:highlight w:val="none"/>
                <w:lang w:bidi="ar"/>
              </w:rPr>
            </w:pPr>
          </w:p>
        </w:tc>
      </w:tr>
      <w:tr w14:paraId="10651A4C">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6FC1C48">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AA0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缓存盘扩容</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DCE0">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688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ACEE">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EE8B">
            <w:pPr>
              <w:widowControl/>
              <w:spacing w:line="440" w:lineRule="exact"/>
              <w:jc w:val="center"/>
              <w:textAlignment w:val="center"/>
              <w:rPr>
                <w:rFonts w:ascii="宋体" w:hAnsi="宋体" w:cs="宋体"/>
                <w:color w:val="auto"/>
                <w:kern w:val="0"/>
                <w:szCs w:val="21"/>
                <w:highlight w:val="none"/>
                <w:lang w:bidi="ar"/>
              </w:rPr>
            </w:pPr>
          </w:p>
        </w:tc>
      </w:tr>
      <w:tr w14:paraId="041D5025">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AE9A3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250C">
            <w:pPr>
              <w:pStyle w:val="3"/>
              <w:widowControl/>
              <w:adjustRightInd/>
              <w:spacing w:line="400" w:lineRule="exact"/>
              <w:jc w:val="center"/>
              <w:rPr>
                <w:rFonts w:cs="宋体"/>
                <w:b w:val="0"/>
                <w:color w:val="auto"/>
                <w:kern w:val="0"/>
                <w:sz w:val="21"/>
                <w:szCs w:val="21"/>
                <w:highlight w:val="none"/>
                <w:lang w:bidi="ar"/>
              </w:rPr>
            </w:pPr>
            <w:r>
              <w:rPr>
                <w:rFonts w:hint="eastAsia" w:cs="宋体"/>
                <w:b w:val="0"/>
                <w:color w:val="auto"/>
                <w:kern w:val="0"/>
                <w:sz w:val="21"/>
                <w:szCs w:val="21"/>
                <w:highlight w:val="none"/>
                <w:lang w:bidi="ar"/>
              </w:rPr>
              <w:t>文件存储服务器</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261B">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D79E">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7AF9">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939A">
            <w:pPr>
              <w:widowControl/>
              <w:spacing w:line="440" w:lineRule="exact"/>
              <w:jc w:val="center"/>
              <w:textAlignment w:val="center"/>
              <w:rPr>
                <w:rFonts w:ascii="宋体" w:hAnsi="宋体" w:cs="宋体"/>
                <w:color w:val="auto"/>
                <w:kern w:val="0"/>
                <w:szCs w:val="21"/>
                <w:highlight w:val="none"/>
                <w:lang w:bidi="ar"/>
              </w:rPr>
            </w:pPr>
          </w:p>
        </w:tc>
      </w:tr>
      <w:tr w14:paraId="2BD71F08">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983CB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DE78">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云管平台</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7F0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1CCB">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颗</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44C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18</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6680">
            <w:pPr>
              <w:widowControl/>
              <w:spacing w:line="44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CPU授权许可</w:t>
            </w:r>
          </w:p>
        </w:tc>
      </w:tr>
      <w:tr w14:paraId="76B50DFD">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6CE4A4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4D7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中心机房精密空调</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FAE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036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429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48DC">
            <w:pPr>
              <w:widowControl/>
              <w:spacing w:line="440" w:lineRule="exact"/>
              <w:jc w:val="center"/>
              <w:textAlignment w:val="center"/>
              <w:rPr>
                <w:rFonts w:ascii="宋体" w:hAnsi="宋体" w:cs="宋体"/>
                <w:color w:val="auto"/>
                <w:kern w:val="0"/>
                <w:szCs w:val="21"/>
                <w:highlight w:val="none"/>
                <w:lang w:bidi="ar"/>
              </w:rPr>
            </w:pPr>
          </w:p>
        </w:tc>
      </w:tr>
      <w:tr w14:paraId="68A5A597">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AE69CAC">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2C68">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精密空调安装材料及辅材</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554EA">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8B9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1AEB">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8024">
            <w:pPr>
              <w:widowControl/>
              <w:spacing w:line="440" w:lineRule="exact"/>
              <w:jc w:val="center"/>
              <w:textAlignment w:val="center"/>
              <w:rPr>
                <w:rFonts w:ascii="宋体" w:hAnsi="宋体" w:cs="宋体"/>
                <w:color w:val="auto"/>
                <w:kern w:val="0"/>
                <w:szCs w:val="21"/>
                <w:highlight w:val="none"/>
                <w:lang w:bidi="ar"/>
              </w:rPr>
            </w:pPr>
          </w:p>
        </w:tc>
      </w:tr>
      <w:tr w14:paraId="13410BAD">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5CE7AC2">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11</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235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原有UPS设备维保</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A9A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5ED5">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F230">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E8FE">
            <w:pPr>
              <w:widowControl/>
              <w:spacing w:line="440" w:lineRule="exact"/>
              <w:jc w:val="center"/>
              <w:textAlignment w:val="center"/>
              <w:rPr>
                <w:rFonts w:ascii="宋体" w:hAnsi="宋体" w:cs="宋体"/>
                <w:color w:val="auto"/>
                <w:kern w:val="0"/>
                <w:szCs w:val="21"/>
                <w:highlight w:val="none"/>
                <w:lang w:bidi="ar"/>
              </w:rPr>
            </w:pPr>
          </w:p>
        </w:tc>
      </w:tr>
      <w:tr w14:paraId="2878F383">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169B68E">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33BD">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原有UPS外接蓄电池组系统维保</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9E72">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4B8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组</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C119">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B41F">
            <w:pPr>
              <w:widowControl/>
              <w:spacing w:line="440" w:lineRule="exact"/>
              <w:jc w:val="center"/>
              <w:textAlignment w:val="center"/>
              <w:rPr>
                <w:rFonts w:ascii="宋体" w:hAnsi="宋体" w:cs="宋体"/>
                <w:color w:val="auto"/>
                <w:kern w:val="0"/>
                <w:szCs w:val="21"/>
                <w:highlight w:val="none"/>
                <w:lang w:bidi="ar"/>
              </w:rPr>
            </w:pPr>
          </w:p>
        </w:tc>
      </w:tr>
      <w:tr w14:paraId="5D824301">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322B1F2">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16416">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原有精密空调维保</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6B4C">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0B2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375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3D6C">
            <w:pPr>
              <w:widowControl/>
              <w:spacing w:line="440" w:lineRule="exact"/>
              <w:jc w:val="center"/>
              <w:textAlignment w:val="center"/>
              <w:rPr>
                <w:rFonts w:ascii="宋体" w:hAnsi="宋体" w:cs="宋体"/>
                <w:color w:val="auto"/>
                <w:kern w:val="0"/>
                <w:szCs w:val="21"/>
                <w:highlight w:val="none"/>
                <w:lang w:bidi="ar"/>
              </w:rPr>
            </w:pPr>
          </w:p>
        </w:tc>
      </w:tr>
      <w:tr w14:paraId="0047D8E3">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9517758">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601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UPS线路改造</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DBCB">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F6C1">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154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B2A9">
            <w:pPr>
              <w:widowControl/>
              <w:spacing w:line="440" w:lineRule="exact"/>
              <w:jc w:val="center"/>
              <w:textAlignment w:val="center"/>
              <w:rPr>
                <w:rFonts w:ascii="宋体" w:hAnsi="宋体" w:cs="宋体"/>
                <w:color w:val="auto"/>
                <w:kern w:val="0"/>
                <w:szCs w:val="21"/>
                <w:highlight w:val="none"/>
                <w:lang w:bidi="ar"/>
              </w:rPr>
            </w:pPr>
          </w:p>
        </w:tc>
      </w:tr>
      <w:tr w14:paraId="1F84063F">
        <w:tblPrEx>
          <w:tblCellMar>
            <w:top w:w="0" w:type="dxa"/>
            <w:left w:w="108" w:type="dxa"/>
            <w:bottom w:w="0" w:type="dxa"/>
            <w:right w:w="108" w:type="dxa"/>
          </w:tblCellMar>
        </w:tblPrEx>
        <w:trPr>
          <w:trHeight w:val="475" w:hRule="atLeast"/>
        </w:trPr>
        <w:tc>
          <w:tcPr>
            <w:tcW w:w="36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F58279F">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15</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4F094">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机房线路改造服务</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E429E">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详见“（二）技术要求”</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93F7">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7293">
            <w:pPr>
              <w:widowControl/>
              <w:spacing w:line="4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B5761">
            <w:pPr>
              <w:widowControl/>
              <w:spacing w:line="440" w:lineRule="exact"/>
              <w:jc w:val="center"/>
              <w:textAlignment w:val="center"/>
              <w:rPr>
                <w:rFonts w:ascii="宋体" w:hAnsi="宋体" w:cs="宋体"/>
                <w:color w:val="auto"/>
                <w:kern w:val="0"/>
                <w:szCs w:val="21"/>
                <w:highlight w:val="none"/>
                <w:lang w:bidi="ar"/>
              </w:rPr>
            </w:pPr>
          </w:p>
        </w:tc>
      </w:tr>
    </w:tbl>
    <w:p w14:paraId="26F068D8">
      <w:pPr>
        <w:numPr>
          <w:ilvl w:val="0"/>
          <w:numId w:val="43"/>
        </w:numPr>
        <w:spacing w:line="440" w:lineRule="exact"/>
        <w:rPr>
          <w:rFonts w:ascii="宋体" w:hAnsi="宋体" w:cs="宋体"/>
          <w:b/>
          <w:bCs/>
          <w:color w:val="auto"/>
          <w:sz w:val="24"/>
          <w:highlight w:val="none"/>
        </w:rPr>
      </w:pPr>
      <w:r>
        <w:rPr>
          <w:rFonts w:hint="eastAsia" w:ascii="宋体" w:hAnsi="宋体" w:cs="宋体"/>
          <w:b/>
          <w:bCs/>
          <w:color w:val="auto"/>
          <w:sz w:val="24"/>
          <w:highlight w:val="none"/>
        </w:rPr>
        <w:t xml:space="preserve">技术要求 </w:t>
      </w:r>
    </w:p>
    <w:tbl>
      <w:tblPr>
        <w:tblStyle w:val="2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61"/>
        <w:gridCol w:w="7530"/>
      </w:tblGrid>
      <w:tr w14:paraId="124A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6FF2E4A8">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572" w:type="pct"/>
            <w:vAlign w:val="center"/>
          </w:tcPr>
          <w:p w14:paraId="543AF817">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设备名称</w:t>
            </w:r>
          </w:p>
        </w:tc>
        <w:tc>
          <w:tcPr>
            <w:tcW w:w="4058" w:type="pct"/>
            <w:noWrap/>
            <w:vAlign w:val="center"/>
          </w:tcPr>
          <w:p w14:paraId="754C7C52">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技术参数</w:t>
            </w:r>
          </w:p>
        </w:tc>
      </w:tr>
      <w:tr w14:paraId="38D2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44A752E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72" w:type="pct"/>
            <w:vAlign w:val="center"/>
          </w:tcPr>
          <w:p w14:paraId="622521D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超融合节点服务器</w:t>
            </w:r>
          </w:p>
        </w:tc>
        <w:tc>
          <w:tcPr>
            <w:tcW w:w="4058" w:type="pct"/>
            <w:vAlign w:val="center"/>
          </w:tcPr>
          <w:p w14:paraId="45911E56">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符合《安全可靠测评工作指南 (试行)》要求；</w:t>
            </w:r>
          </w:p>
          <w:p w14:paraId="6B45972A">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机型：2U机架式服务器</w:t>
            </w:r>
          </w:p>
          <w:p w14:paraId="67C522DD">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CPU：配置≥2颗C86处理器，CPU核数≥32C，主频≥2.2GHz</w:t>
            </w:r>
          </w:p>
          <w:p w14:paraId="10D754D3">
            <w:pPr>
              <w:widowControl/>
              <w:numPr>
                <w:ilvl w:val="0"/>
                <w:numId w:val="44"/>
              </w:numPr>
              <w:spacing w:line="400" w:lineRule="exact"/>
              <w:jc w:val="left"/>
              <w:rPr>
                <w:rFonts w:ascii="宋体" w:hAnsi="宋体" w:cs="宋体"/>
                <w:color w:val="auto"/>
                <w:kern w:val="0"/>
                <w:szCs w:val="21"/>
                <w:highlight w:val="none"/>
              </w:rPr>
            </w:pPr>
            <w:r>
              <w:rPr>
                <w:color w:val="auto"/>
                <w:kern w:val="0"/>
                <w:szCs w:val="21"/>
                <w:highlight w:val="none"/>
              </w:rPr>
              <w:t>▲</w:t>
            </w:r>
            <w:r>
              <w:rPr>
                <w:rFonts w:hint="eastAsia" w:ascii="宋体" w:hAnsi="宋体" w:cs="宋体"/>
                <w:color w:val="auto"/>
                <w:kern w:val="0"/>
                <w:szCs w:val="21"/>
                <w:highlight w:val="none"/>
              </w:rPr>
              <w:t>内存：不小于32G DDR4_3200MHz*16</w:t>
            </w:r>
          </w:p>
          <w:p w14:paraId="2FDDE2A4">
            <w:pPr>
              <w:widowControl/>
              <w:numPr>
                <w:ilvl w:val="0"/>
                <w:numId w:val="44"/>
              </w:numPr>
              <w:spacing w:line="400" w:lineRule="exact"/>
              <w:jc w:val="left"/>
              <w:rPr>
                <w:rFonts w:ascii="宋体" w:hAnsi="宋体" w:cs="宋体"/>
                <w:color w:val="auto"/>
                <w:kern w:val="0"/>
                <w:szCs w:val="21"/>
                <w:highlight w:val="none"/>
              </w:rPr>
            </w:pPr>
            <w:r>
              <w:rPr>
                <w:color w:val="auto"/>
                <w:kern w:val="0"/>
                <w:szCs w:val="21"/>
                <w:highlight w:val="none"/>
              </w:rPr>
              <w:t>▲</w:t>
            </w:r>
            <w:r>
              <w:rPr>
                <w:rFonts w:hint="eastAsia" w:ascii="宋体" w:hAnsi="宋体" w:cs="宋体"/>
                <w:color w:val="auto"/>
                <w:kern w:val="0"/>
                <w:szCs w:val="21"/>
                <w:highlight w:val="none"/>
              </w:rPr>
              <w:t>缓存盘：不小于3.84TB NVME SSD*2</w:t>
            </w:r>
          </w:p>
          <w:p w14:paraId="6E4C8C0F">
            <w:pPr>
              <w:widowControl/>
              <w:numPr>
                <w:ilvl w:val="0"/>
                <w:numId w:val="44"/>
              </w:numPr>
              <w:spacing w:line="400" w:lineRule="exact"/>
              <w:jc w:val="left"/>
              <w:rPr>
                <w:rFonts w:ascii="宋体" w:hAnsi="宋体" w:cs="宋体"/>
                <w:color w:val="auto"/>
                <w:kern w:val="0"/>
                <w:szCs w:val="21"/>
                <w:highlight w:val="none"/>
              </w:rPr>
            </w:pPr>
            <w:r>
              <w:rPr>
                <w:color w:val="auto"/>
                <w:kern w:val="0"/>
                <w:szCs w:val="21"/>
                <w:highlight w:val="none"/>
              </w:rPr>
              <w:t>▲</w:t>
            </w:r>
            <w:r>
              <w:rPr>
                <w:rFonts w:hint="eastAsia" w:ascii="宋体" w:hAnsi="宋体" w:cs="宋体"/>
                <w:color w:val="auto"/>
                <w:kern w:val="0"/>
                <w:szCs w:val="21"/>
                <w:highlight w:val="none"/>
              </w:rPr>
              <w:t>数据盘：不小于8TB 7.2K SATA 3.5"*10</w:t>
            </w:r>
          </w:p>
          <w:p w14:paraId="09A61D87">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系统盘：不小于480G SSD*2</w:t>
            </w:r>
          </w:p>
          <w:p w14:paraId="44C7841B">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存储网卡：双口万兆光纤网络子卡(含多模光模块)*1</w:t>
            </w:r>
          </w:p>
          <w:p w14:paraId="3523E543">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业务网卡：双口万兆光纤网络子卡(含多模光模块)*1</w:t>
            </w:r>
          </w:p>
          <w:p w14:paraId="3D1F12EE">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管理网卡：双千兆网络子卡*1</w:t>
            </w:r>
          </w:p>
          <w:p w14:paraId="6C261B43">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其它：高性能raid卡、冗余电源、标准导轨；</w:t>
            </w:r>
          </w:p>
          <w:p w14:paraId="0CF0BB46">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服务器虚拟化系统高级版（以每物理CPU授权）包含对虚拟机全生命周期管理、集群HA、虚拟机备份、双活存储池等功能*2；</w:t>
            </w:r>
          </w:p>
          <w:p w14:paraId="0A4D2F7E">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分布式存储系统（以每物理CPU授权）：包含块存储、多副本、数据本地化、机架感知等功能*2；</w:t>
            </w:r>
          </w:p>
          <w:p w14:paraId="4E23BE0E">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网络虚拟化系统 包含vLAN、VxLAN、安全组、虚拟路由器、虚拟防火墙、DHCP等功能*2</w:t>
            </w:r>
          </w:p>
          <w:p w14:paraId="4C3EEB4A">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color w:val="auto"/>
                <w:szCs w:val="21"/>
                <w:highlight w:val="none"/>
              </w:rPr>
              <w:t>本次</w:t>
            </w:r>
            <w:r>
              <w:rPr>
                <w:rFonts w:hint="eastAsia"/>
                <w:color w:val="auto"/>
                <w:szCs w:val="21"/>
                <w:highlight w:val="none"/>
              </w:rPr>
              <w:t>超融合一体机</w:t>
            </w:r>
            <w:r>
              <w:rPr>
                <w:color w:val="auto"/>
                <w:szCs w:val="21"/>
                <w:highlight w:val="none"/>
              </w:rPr>
              <w:t>需介入对接原应用集群，集成商需负责</w:t>
            </w:r>
            <w:r>
              <w:rPr>
                <w:rFonts w:hint="eastAsia"/>
                <w:color w:val="auto"/>
                <w:szCs w:val="21"/>
                <w:highlight w:val="none"/>
              </w:rPr>
              <w:t>新购集群</w:t>
            </w:r>
            <w:r>
              <w:rPr>
                <w:color w:val="auto"/>
                <w:szCs w:val="21"/>
                <w:highlight w:val="none"/>
              </w:rPr>
              <w:t>对接及扩容实施，保证原管理平台可统一分配集群计算存储资源，应用服务虚拟机可与原集群集群虚拟在不同主机互相迁移，</w:t>
            </w:r>
            <w:r>
              <w:rPr>
                <w:b/>
                <w:bCs/>
                <w:color w:val="auto"/>
                <w:szCs w:val="21"/>
                <w:highlight w:val="none"/>
              </w:rPr>
              <w:t>提供服务承诺函</w:t>
            </w:r>
          </w:p>
          <w:p w14:paraId="24D5454F">
            <w:pPr>
              <w:widowControl/>
              <w:numPr>
                <w:ilvl w:val="0"/>
                <w:numId w:val="44"/>
              </w:numPr>
              <w:spacing w:line="400" w:lineRule="exact"/>
              <w:jc w:val="left"/>
              <w:rPr>
                <w:rFonts w:ascii="宋体" w:hAnsi="宋体" w:cs="宋体"/>
                <w:color w:val="auto"/>
                <w:kern w:val="0"/>
                <w:szCs w:val="21"/>
                <w:highlight w:val="none"/>
              </w:rPr>
            </w:pPr>
            <w:r>
              <w:rPr>
                <w:rFonts w:hint="eastAsia"/>
                <w:color w:val="auto"/>
                <w:kern w:val="0"/>
                <w:szCs w:val="21"/>
                <w:highlight w:val="none"/>
              </w:rPr>
              <w:t>支持一云多芯，支持一套管理平台纳管不同</w:t>
            </w:r>
            <w:r>
              <w:rPr>
                <w:color w:val="auto"/>
                <w:kern w:val="0"/>
                <w:szCs w:val="21"/>
                <w:highlight w:val="none"/>
              </w:rPr>
              <w:t>CPU架构（至少3种）的主机集群。</w:t>
            </w:r>
            <w:r>
              <w:rPr>
                <w:rFonts w:hint="eastAsia"/>
                <w:b/>
                <w:bCs/>
                <w:color w:val="auto"/>
                <w:kern w:val="0"/>
                <w:szCs w:val="21"/>
                <w:highlight w:val="none"/>
              </w:rPr>
              <w:t>提供对应在同一管理平台下3套架构运行证明功能截图</w:t>
            </w:r>
          </w:p>
          <w:p w14:paraId="24D0AFDB">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 B/S 和 C/S 两种虚拟机控制台使用方式，C/S 客户端无任何授权限制，支持本地文件托拉拽到虚拟机内部且支持和本地共享粘贴板；</w:t>
            </w:r>
          </w:p>
          <w:p w14:paraId="74F73B53">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虚拟机和裸金属服务器统一管理，支持对现网物理服务器远程电源管理、挂载安装ISO镜像等操作，可将虚拟机镜像部署为裸金属服务器操作系统，可查看裸金属服务器电源状态、CPU、内存、硬盘等硬件信息，支持打开裸金属服务器控制台进行运维操作；</w:t>
            </w:r>
            <w:r>
              <w:rPr>
                <w:rFonts w:hint="eastAsia" w:ascii="宋体" w:hAnsi="宋体" w:cs="宋体"/>
                <w:b/>
                <w:bCs/>
                <w:color w:val="auto"/>
                <w:kern w:val="0"/>
                <w:szCs w:val="21"/>
                <w:highlight w:val="none"/>
              </w:rPr>
              <w:t>提供功能证明截图</w:t>
            </w:r>
          </w:p>
          <w:p w14:paraId="4BABC607">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提供200个虚拟机CDP持续数据保护功能授权，通过托拽进度条，虚拟机可恢复到任意I/O时刻；</w:t>
            </w:r>
          </w:p>
          <w:p w14:paraId="57508B22">
            <w:pPr>
              <w:widowControl/>
              <w:numPr>
                <w:ilvl w:val="0"/>
                <w:numId w:val="44"/>
              </w:numPr>
              <w:spacing w:line="400" w:lineRule="exact"/>
              <w:jc w:val="left"/>
              <w:rPr>
                <w:rFonts w:ascii="宋体" w:hAnsi="宋体" w:cs="宋体"/>
                <w:color w:val="auto"/>
                <w:kern w:val="0"/>
                <w:szCs w:val="21"/>
                <w:highlight w:val="none"/>
              </w:rPr>
            </w:pPr>
            <w:r>
              <w:rPr>
                <w:color w:val="auto"/>
                <w:kern w:val="0"/>
                <w:szCs w:val="21"/>
                <w:highlight w:val="none"/>
              </w:rPr>
              <w:t>支持显示SSD物理磁盘磨损度寿命，运维用户可根据提示及时更换硬盘，避免导致系统故障，界面支持点亮/熄灭硬盘指示灯，便于运维人员对指定磁盘进行维护更换，</w:t>
            </w:r>
            <w:r>
              <w:rPr>
                <w:b/>
                <w:bCs/>
                <w:color w:val="auto"/>
                <w:kern w:val="0"/>
                <w:szCs w:val="21"/>
                <w:highlight w:val="none"/>
              </w:rPr>
              <w:t>提供产品</w:t>
            </w:r>
            <w:r>
              <w:rPr>
                <w:rFonts w:hint="eastAsia"/>
                <w:b/>
                <w:bCs/>
                <w:color w:val="auto"/>
                <w:kern w:val="0"/>
                <w:szCs w:val="21"/>
                <w:highlight w:val="none"/>
              </w:rPr>
              <w:t>功能</w:t>
            </w:r>
            <w:r>
              <w:rPr>
                <w:b/>
                <w:bCs/>
                <w:color w:val="auto"/>
                <w:kern w:val="0"/>
                <w:szCs w:val="21"/>
                <w:highlight w:val="none"/>
              </w:rPr>
              <w:t>截图证明；</w:t>
            </w:r>
          </w:p>
          <w:p w14:paraId="17D8E385">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支持同一个超融合节点同时运行虚拟机和容器计算资源，非虚拟机内嵌套部署容器方式；容器与虚拟机使用相同的SDN网络、数据存储；</w:t>
            </w:r>
          </w:p>
          <w:p w14:paraId="769D2B26">
            <w:pPr>
              <w:widowControl/>
              <w:numPr>
                <w:ilvl w:val="0"/>
                <w:numId w:val="44"/>
              </w:numPr>
              <w:spacing w:line="400" w:lineRule="exact"/>
              <w:jc w:val="left"/>
              <w:rPr>
                <w:rFonts w:ascii="宋体" w:hAnsi="宋体" w:cs="宋体"/>
                <w:color w:val="auto"/>
                <w:kern w:val="0"/>
                <w:szCs w:val="21"/>
                <w:highlight w:val="none"/>
              </w:rPr>
            </w:pPr>
            <w:r>
              <w:rPr>
                <w:rFonts w:hint="eastAsia"/>
                <w:color w:val="auto"/>
                <w:kern w:val="0"/>
                <w:szCs w:val="21"/>
                <w:highlight w:val="none"/>
              </w:rPr>
              <w:t>支持</w:t>
            </w:r>
            <w:r>
              <w:rPr>
                <w:color w:val="auto"/>
                <w:kern w:val="0"/>
                <w:szCs w:val="21"/>
                <w:highlight w:val="none"/>
              </w:rPr>
              <w:t>容器实例的全生命周期管理，如创建、编辑、重启、迁移、HA等，以及事件的查看，控制台操作等；支持容器镜像仓库的管理，支持系统内置镜像库与第三方镜像库管理</w:t>
            </w:r>
          </w:p>
          <w:p w14:paraId="068D35BD">
            <w:pPr>
              <w:widowControl/>
              <w:numPr>
                <w:ilvl w:val="0"/>
                <w:numId w:val="44"/>
              </w:numPr>
              <w:spacing w:line="400" w:lineRule="exact"/>
              <w:jc w:val="left"/>
              <w:rPr>
                <w:rFonts w:ascii="宋体" w:hAnsi="宋体" w:cs="宋体"/>
                <w:b w:val="0"/>
                <w:bCs/>
                <w:color w:val="auto"/>
                <w:kern w:val="0"/>
                <w:szCs w:val="21"/>
                <w:highlight w:val="none"/>
              </w:rPr>
            </w:pPr>
            <w:r>
              <w:rPr>
                <w:rFonts w:ascii="Segoe UI Symbol" w:hAnsi="Segoe UI Symbol" w:cs="Segoe UI Symbol"/>
                <w:b w:val="0"/>
                <w:bCs/>
                <w:color w:val="auto"/>
                <w:kern w:val="44"/>
                <w:szCs w:val="21"/>
                <w:highlight w:val="none"/>
              </w:rPr>
              <w:t>★</w:t>
            </w:r>
            <w:r>
              <w:rPr>
                <w:b w:val="0"/>
                <w:bCs/>
                <w:color w:val="auto"/>
                <w:kern w:val="0"/>
                <w:szCs w:val="21"/>
                <w:highlight w:val="none"/>
              </w:rPr>
              <w:t>当超融合主机节点或硬盘故障后，无需人工干预，自动利用集群内空余硬盘空间，将故障数据重新恢复，非在热备盘中进行重构，为保证恢复效率，要求</w:t>
            </w:r>
            <w:r>
              <w:rPr>
                <w:b w:val="0"/>
                <w:bCs/>
                <w:color w:val="auto"/>
                <w:kern w:val="0"/>
                <w:szCs w:val="21"/>
                <w:highlight w:val="none"/>
              </w:rPr>
              <w:t>每TB数据恢复时间≤15分钟；</w:t>
            </w:r>
          </w:p>
          <w:p w14:paraId="72533A8C">
            <w:pPr>
              <w:widowControl/>
              <w:numPr>
                <w:ilvl w:val="0"/>
                <w:numId w:val="44"/>
              </w:numPr>
              <w:spacing w:line="400" w:lineRule="exact"/>
              <w:jc w:val="left"/>
              <w:rPr>
                <w:rFonts w:ascii="宋体" w:hAnsi="宋体" w:cs="宋体"/>
                <w:color w:val="auto"/>
                <w:kern w:val="0"/>
                <w:szCs w:val="21"/>
                <w:highlight w:val="none"/>
              </w:rPr>
            </w:pPr>
            <w:r>
              <w:rPr>
                <w:rFonts w:hint="eastAsia"/>
                <w:color w:val="auto"/>
                <w:kern w:val="0"/>
                <w:szCs w:val="21"/>
                <w:highlight w:val="none"/>
              </w:rPr>
              <w:t>为避免出现由于单一机架的电源或网络故障造成的存储不可用和业务中断，可提供基于服务器机架拓扑的存储副本智能分布功能，在部署实施时，可与原集群统一编辑机架和主机拓扑，分布式存储可根据拓扑结构自动调整数据副本分布策略，保证数据智能、均衡存储，</w:t>
            </w:r>
            <w:r>
              <w:rPr>
                <w:rFonts w:hint="eastAsia"/>
                <w:b/>
                <w:bCs/>
                <w:color w:val="auto"/>
                <w:kern w:val="0"/>
                <w:szCs w:val="21"/>
                <w:highlight w:val="none"/>
              </w:rPr>
              <w:t>提供功能截图</w:t>
            </w:r>
          </w:p>
          <w:p w14:paraId="7DF9F11C">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支持磁盘双活功能，不依赖分布式存储多副本技术，超融合支持异构不同品牌存储双活功能，可利旧存储设备与超融合建立双活存储池，当分布式存储全局损坏时，不影响业务连续性；</w:t>
            </w:r>
            <w:r>
              <w:rPr>
                <w:rFonts w:hint="eastAsia" w:ascii="宋体" w:hAnsi="宋体" w:cs="宋体"/>
                <w:b/>
                <w:bCs/>
                <w:color w:val="auto"/>
                <w:kern w:val="0"/>
                <w:szCs w:val="21"/>
                <w:highlight w:val="none"/>
              </w:rPr>
              <w:t>提供CNAS或CMA的第三方测试机构的证明材料或技术白皮书详细说明；</w:t>
            </w:r>
          </w:p>
          <w:p w14:paraId="78A3C0DF">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★服务器硬件原厂质保5年，提供硬盘不返还服务；超融合软件原厂三年升级和技术支持服务；</w:t>
            </w:r>
          </w:p>
          <w:p w14:paraId="3D2B1509">
            <w:pPr>
              <w:widowControl/>
              <w:numPr>
                <w:ilvl w:val="0"/>
                <w:numId w:val="4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提供安装实施服务</w:t>
            </w:r>
          </w:p>
        </w:tc>
      </w:tr>
      <w:tr w14:paraId="6479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0B42864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72" w:type="pct"/>
            <w:vAlign w:val="center"/>
          </w:tcPr>
          <w:p w14:paraId="1226B9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超融合万兆交换机</w:t>
            </w:r>
          </w:p>
        </w:tc>
        <w:tc>
          <w:tcPr>
            <w:tcW w:w="4058" w:type="pct"/>
            <w:vAlign w:val="center"/>
          </w:tcPr>
          <w:p w14:paraId="72A90294">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交换容量≥2.88Tbps,三层包转发率≥1200Mpps；</w:t>
            </w:r>
          </w:p>
          <w:p w14:paraId="58D4D5FC">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提供≥48个个1/10Gbps SFP+端口和固定6个40G QSFP+端口，配置27个10GE光模块+1个40GE光模块；</w:t>
            </w:r>
          </w:p>
          <w:p w14:paraId="782205E0">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支持4K VLAN，支持QinQ、支持STP/RSTP/MSTP，支持端口镜像，聚合端口镜像及远程端口镜像，支持Jumbo≥9K；</w:t>
            </w:r>
          </w:p>
          <w:p w14:paraId="4C4860B4">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支持IPv4静态路由，RIPv1&amp;v2，OSPF，BGP，ECMP，ECMP self-healing；</w:t>
            </w:r>
          </w:p>
          <w:p w14:paraId="0FB2BCD3">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支持IPv6静态路由，OSPF V3，RIPng，BGP 4+，ICMPv6，NDP，PMTU；</w:t>
            </w:r>
          </w:p>
          <w:p w14:paraId="57029F8D">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支持VRF功能；</w:t>
            </w:r>
          </w:p>
          <w:p w14:paraId="1AAFC735">
            <w:pPr>
              <w:widowControl/>
              <w:numPr>
                <w:ilvl w:val="0"/>
                <w:numId w:val="4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实配可热插拔的冗余交流电源，实现1:1冗余，支持220V双交流或高压直流240V供电；</w:t>
            </w:r>
          </w:p>
        </w:tc>
      </w:tr>
      <w:tr w14:paraId="613E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34A10E1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72" w:type="pct"/>
            <w:vAlign w:val="center"/>
          </w:tcPr>
          <w:p w14:paraId="21A6AAA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管理千兆交换机</w:t>
            </w:r>
          </w:p>
        </w:tc>
        <w:tc>
          <w:tcPr>
            <w:tcW w:w="4058" w:type="pct"/>
            <w:vAlign w:val="center"/>
          </w:tcPr>
          <w:p w14:paraId="11ED8CC8">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不少于48个10/100/1000M以太网电口，4个1G SFP接口，单电源，交流220V供电，1个1G SFP光模块。</w:t>
            </w:r>
          </w:p>
        </w:tc>
      </w:tr>
      <w:tr w14:paraId="4F67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379D2AA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72" w:type="pct"/>
            <w:vAlign w:val="center"/>
          </w:tcPr>
          <w:p w14:paraId="237A1D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AI服务器</w:t>
            </w:r>
          </w:p>
        </w:tc>
        <w:tc>
          <w:tcPr>
            <w:tcW w:w="4058" w:type="pct"/>
            <w:vAlign w:val="center"/>
          </w:tcPr>
          <w:p w14:paraId="1EC44FD3">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符合《安全可靠测评工作指南 (试行)》要求；</w:t>
            </w:r>
          </w:p>
          <w:p w14:paraId="6C37147C">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机型：4U机架式服务器</w:t>
            </w:r>
          </w:p>
          <w:p w14:paraId="1819DA27">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CPU：不小于2.2GHz 32核*2</w:t>
            </w:r>
          </w:p>
          <w:p w14:paraId="32D2BC72">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内存：不小于32G DDR4_3200MHz*24，最大支持≥32根</w:t>
            </w:r>
          </w:p>
          <w:p w14:paraId="599436AE">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数据盘：不小于3.84TB NVMe SSD*2</w:t>
            </w:r>
          </w:p>
          <w:p w14:paraId="2602A62D">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系统盘：不小于480G SSD*2</w:t>
            </w:r>
          </w:p>
          <w:p w14:paraId="4EADD494">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硬盘扩展：最大支持 12 块 2.5 英寸 SSD，支持热插拔</w:t>
            </w:r>
          </w:p>
          <w:p w14:paraId="7DC10F7F">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★加速卡：配置不少于4张国产加速卡，单张显存不小于64G，FP16算力≥100TFlops，FP32≥24.5TFlops；</w:t>
            </w:r>
            <w:r>
              <w:rPr>
                <w:rFonts w:hint="eastAsia"/>
                <w:color w:val="auto"/>
                <w:kern w:val="0"/>
                <w:szCs w:val="21"/>
                <w:highlight w:val="none"/>
              </w:rPr>
              <w:t>支持国产开源大模型安装部署，并支持微调、推理，如</w:t>
            </w:r>
            <w:r>
              <w:rPr>
                <w:color w:val="auto"/>
                <w:kern w:val="0"/>
                <w:szCs w:val="21"/>
                <w:highlight w:val="none"/>
              </w:rPr>
              <w:t>Qwen2-7B、Qwen2-14B、Qwen2.5-72B、Qwen2.5-32B、Qwen2.5-14B等Qwen系列国产开源大模型。</w:t>
            </w:r>
          </w:p>
          <w:p w14:paraId="727C8441">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业务网卡：双口万兆光纤网络子卡(含多模光模块)*1</w:t>
            </w:r>
          </w:p>
          <w:p w14:paraId="2DEA9B0A">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存储网卡：双口万兆光纤网络子卡(含多模光模块)*1</w:t>
            </w:r>
          </w:p>
          <w:p w14:paraId="1C4A97FD">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管理网卡：双千兆网络子卡*1</w:t>
            </w:r>
          </w:p>
          <w:p w14:paraId="74B59814">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扩展性：最少支持8块双宽GPU同时最大支持5个PCIe 4.0 插槽 ，用于网卡、Raid卡扩展；</w:t>
            </w:r>
          </w:p>
          <w:p w14:paraId="759828EE">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管理：主机前面板支持故障诊断指示灯功能，具有对系统/内存/电源/风扇/温度/网络/硬盘等关键部件的故障诊断报警功能；</w:t>
            </w:r>
          </w:p>
          <w:p w14:paraId="6967216D">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支持IPMI、远程虚拟媒体、双镜像等功能；</w:t>
            </w:r>
          </w:p>
          <w:p w14:paraId="347A5340">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b/>
                <w:color w:val="auto"/>
                <w:kern w:val="44"/>
                <w:szCs w:val="21"/>
                <w:highlight w:val="none"/>
              </w:rPr>
              <w:t>★</w:t>
            </w:r>
            <w:r>
              <w:rPr>
                <w:rFonts w:hint="eastAsia" w:ascii="宋体" w:hAnsi="宋体" w:cs="宋体"/>
                <w:color w:val="auto"/>
                <w:kern w:val="0"/>
                <w:szCs w:val="21"/>
                <w:highlight w:val="none"/>
              </w:rPr>
              <w:t>AI智算管理调度平台：人工智能开发平台，统一管理调度AI计算资源，提供完整的AI软件栈和开发流程；GPU共享调度策略，实现GPU单卡复用，支持按任意粒度进行分配隔离，用户根据显存动态申请GPU资源；训练数据“零拷贝”传输，多线程拉取，数据增量更新、亲和性调度等策略大幅缩短数据缓存周期，提升模型开发和训练效率；高效的分布式训练，支持Tensorflow，Pytorch等主流框架扩展分布式训练，用户通过简单的资源、训练脚本配置即可提交分布式训练；</w:t>
            </w:r>
            <w:r>
              <w:rPr>
                <w:rFonts w:hint="eastAsia" w:ascii="宋体" w:hAnsi="宋体" w:cs="宋体"/>
                <w:b/>
                <w:bCs/>
                <w:color w:val="auto"/>
                <w:kern w:val="0"/>
                <w:szCs w:val="21"/>
                <w:highlight w:val="none"/>
              </w:rPr>
              <w:t>提供人工智能开发平台软件著作权</w:t>
            </w:r>
          </w:p>
          <w:p w14:paraId="53D8935E">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智算管理调度平台</w:t>
            </w:r>
            <w:r>
              <w:rPr>
                <w:rFonts w:hint="eastAsia"/>
                <w:color w:val="auto"/>
                <w:kern w:val="0"/>
                <w:szCs w:val="21"/>
                <w:highlight w:val="none"/>
              </w:rPr>
              <w:t>可支持资源细粒度划分能力：为了解决目前开发人员众多且资源有限问题，同时方便入门级开发人员使用，须</w:t>
            </w:r>
            <w:r>
              <w:rPr>
                <w:rFonts w:hint="eastAsia"/>
                <w:color w:val="auto"/>
                <w:kern w:val="0"/>
                <w:szCs w:val="21"/>
                <w:highlight w:val="none"/>
                <w:lang w:val="en-US" w:eastAsia="zh-CN"/>
              </w:rPr>
              <w:t>支持</w:t>
            </w:r>
            <w:r>
              <w:rPr>
                <w:rFonts w:hint="eastAsia"/>
                <w:color w:val="auto"/>
                <w:kern w:val="0"/>
                <w:szCs w:val="21"/>
                <w:highlight w:val="none"/>
              </w:rPr>
              <w:t>基于</w:t>
            </w:r>
            <w:r>
              <w:rPr>
                <w:color w:val="auto"/>
                <w:kern w:val="0"/>
                <w:szCs w:val="21"/>
                <w:highlight w:val="none"/>
              </w:rPr>
              <w:t>web的GPU细粒度调度设置，允许多个任务指定GPU显存，调度到同一张GPU卡，从而实现GPU卡的复用，提高GPU卡的使用率。提交任务时可以指定需要的GPU卡数量以及每个GPU卡需要占用显存大小。</w:t>
            </w:r>
            <w:r>
              <w:rPr>
                <w:b/>
                <w:bCs/>
                <w:color w:val="auto"/>
                <w:kern w:val="0"/>
                <w:szCs w:val="21"/>
                <w:highlight w:val="none"/>
              </w:rPr>
              <w:t>提供功能截图</w:t>
            </w:r>
          </w:p>
          <w:p w14:paraId="369A642D">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其它：2Graid卡、冗余电源、标准导轨</w:t>
            </w:r>
          </w:p>
          <w:p w14:paraId="5C01E2D2">
            <w:pPr>
              <w:widowControl/>
              <w:numPr>
                <w:ilvl w:val="0"/>
                <w:numId w:val="46"/>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★服务器硬件原厂质保5年，提供硬盘不返还服务</w:t>
            </w:r>
          </w:p>
        </w:tc>
      </w:tr>
      <w:tr w14:paraId="5348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4E24BA3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72" w:type="pct"/>
            <w:vAlign w:val="center"/>
          </w:tcPr>
          <w:p w14:paraId="72092F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数据盘扩容</w:t>
            </w:r>
          </w:p>
        </w:tc>
        <w:tc>
          <w:tcPr>
            <w:tcW w:w="4058" w:type="pct"/>
            <w:noWrap/>
            <w:vAlign w:val="center"/>
          </w:tcPr>
          <w:p w14:paraId="656448C2">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8T SATA硬盘*5，兼容原有超融合硬件平台</w:t>
            </w:r>
          </w:p>
        </w:tc>
      </w:tr>
      <w:tr w14:paraId="4449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13BE055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72" w:type="pct"/>
            <w:vAlign w:val="center"/>
          </w:tcPr>
          <w:p w14:paraId="7BE0C1B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缓存盘扩容</w:t>
            </w:r>
          </w:p>
        </w:tc>
        <w:tc>
          <w:tcPr>
            <w:tcW w:w="4058" w:type="pct"/>
            <w:noWrap/>
            <w:vAlign w:val="center"/>
          </w:tcPr>
          <w:p w14:paraId="78753A49">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1.92T NVMe SSD*2，兼容原有超融合硬件平台</w:t>
            </w:r>
          </w:p>
        </w:tc>
      </w:tr>
      <w:tr w14:paraId="7E40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65D8CAA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572" w:type="pct"/>
            <w:vAlign w:val="center"/>
          </w:tcPr>
          <w:p w14:paraId="48E2F1C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文件存储服务器</w:t>
            </w:r>
          </w:p>
        </w:tc>
        <w:tc>
          <w:tcPr>
            <w:tcW w:w="4058" w:type="pct"/>
            <w:vAlign w:val="center"/>
          </w:tcPr>
          <w:p w14:paraId="4563722F">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符合《安全可靠测评工作指南 (试行)》要求；</w:t>
            </w:r>
          </w:p>
          <w:p w14:paraId="132042B4">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机型：2U机架式</w:t>
            </w:r>
          </w:p>
          <w:p w14:paraId="57ABADC2">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CPU：</w:t>
            </w:r>
            <w:r>
              <w:rPr>
                <w:color w:val="auto"/>
                <w:szCs w:val="21"/>
                <w:highlight w:val="none"/>
              </w:rPr>
              <w:t>配置</w:t>
            </w:r>
            <w:r>
              <w:rPr>
                <w:rFonts w:hint="eastAsia" w:ascii="宋体" w:hAnsi="宋体" w:cs="宋体"/>
                <w:color w:val="auto"/>
                <w:kern w:val="0"/>
                <w:szCs w:val="21"/>
                <w:highlight w:val="none"/>
              </w:rPr>
              <w:t xml:space="preserve">不低于 </w:t>
            </w:r>
            <w:r>
              <w:rPr>
                <w:color w:val="auto"/>
                <w:szCs w:val="21"/>
                <w:highlight w:val="none"/>
              </w:rPr>
              <w:t>2颗C86处理器</w:t>
            </w:r>
            <w:r>
              <w:rPr>
                <w:rFonts w:hint="eastAsia"/>
                <w:color w:val="auto"/>
                <w:szCs w:val="21"/>
                <w:highlight w:val="none"/>
              </w:rPr>
              <w:t>(核数</w:t>
            </w:r>
            <w:r>
              <w:rPr>
                <w:color w:val="auto"/>
                <w:szCs w:val="21"/>
                <w:highlight w:val="none"/>
              </w:rPr>
              <w:t>≥16C)</w:t>
            </w:r>
          </w:p>
          <w:p w14:paraId="7035D86B">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内存：不小于32G DDR4_3200MHz*8</w:t>
            </w:r>
          </w:p>
          <w:p w14:paraId="5CBC851E">
            <w:pPr>
              <w:widowControl/>
              <w:numPr>
                <w:ilvl w:val="0"/>
                <w:numId w:val="47"/>
              </w:numPr>
              <w:spacing w:line="400" w:lineRule="exact"/>
              <w:jc w:val="left"/>
              <w:rPr>
                <w:rFonts w:ascii="宋体" w:hAnsi="宋体" w:cs="宋体"/>
                <w:color w:val="auto"/>
                <w:kern w:val="0"/>
                <w:szCs w:val="21"/>
                <w:highlight w:val="none"/>
              </w:rPr>
            </w:pPr>
            <w:r>
              <w:rPr>
                <w:color w:val="auto"/>
                <w:kern w:val="0"/>
                <w:szCs w:val="21"/>
                <w:highlight w:val="none"/>
              </w:rPr>
              <w:t>▲</w:t>
            </w:r>
            <w:r>
              <w:rPr>
                <w:rFonts w:hint="eastAsia" w:ascii="宋体" w:hAnsi="宋体" w:cs="宋体"/>
                <w:color w:val="auto"/>
                <w:kern w:val="0"/>
                <w:szCs w:val="21"/>
                <w:highlight w:val="none"/>
              </w:rPr>
              <w:t>缓存盘：不小于3.84TB NVME SSD*2</w:t>
            </w:r>
          </w:p>
          <w:p w14:paraId="474BC0AA">
            <w:pPr>
              <w:widowControl/>
              <w:numPr>
                <w:ilvl w:val="0"/>
                <w:numId w:val="47"/>
              </w:numPr>
              <w:spacing w:line="400" w:lineRule="exact"/>
              <w:jc w:val="left"/>
              <w:rPr>
                <w:rFonts w:ascii="宋体" w:hAnsi="宋体" w:cs="宋体"/>
                <w:color w:val="auto"/>
                <w:kern w:val="0"/>
                <w:szCs w:val="21"/>
                <w:highlight w:val="none"/>
              </w:rPr>
            </w:pPr>
            <w:r>
              <w:rPr>
                <w:color w:val="auto"/>
                <w:kern w:val="0"/>
                <w:szCs w:val="21"/>
                <w:highlight w:val="none"/>
              </w:rPr>
              <w:t>▲</w:t>
            </w:r>
            <w:r>
              <w:rPr>
                <w:rFonts w:hint="eastAsia" w:ascii="宋体" w:hAnsi="宋体" w:cs="宋体"/>
                <w:color w:val="auto"/>
                <w:kern w:val="0"/>
                <w:szCs w:val="21"/>
                <w:highlight w:val="none"/>
              </w:rPr>
              <w:t>数据盘：不小于8TB 7.2K SATA 3.5"*6</w:t>
            </w:r>
          </w:p>
          <w:p w14:paraId="402B21C2">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★系统盘：不小于480G SSD*2</w:t>
            </w:r>
          </w:p>
          <w:p w14:paraId="51BAEDCF">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存储网卡：双口万兆光纤网络子卡(含多模光模块)*1</w:t>
            </w:r>
          </w:p>
          <w:p w14:paraId="0B421257">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业务网卡：双口万兆光纤网络子卡(含多模光模块)*1</w:t>
            </w:r>
          </w:p>
          <w:p w14:paraId="00C65BEA">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管理网卡：双千兆网络子卡*1</w:t>
            </w:r>
          </w:p>
          <w:p w14:paraId="54C0DE59">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其它：高性能raid卡、冗余电源、标准导轨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分布式存储软件</w:t>
            </w:r>
          </w:p>
          <w:p w14:paraId="061EDAF9">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存储集群支持扩展节点不小于4096节点，存储总容量空间可提供EB级；</w:t>
            </w:r>
          </w:p>
          <w:p w14:paraId="68C32AD7">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全对称分布式架构，元数据和数据的融合部署到存储节点上，不需要专门的管理节点（元数据节点或索引节点）；元数据、数据均采用集群方式部署，满足任何一个节点出现故障，不影响数据的正常访问功能；</w:t>
            </w:r>
          </w:p>
          <w:p w14:paraId="19B592E5">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产品组成的集群支持同时提供块存储、文件存储、对象以及HDFS存储服务；</w:t>
            </w:r>
            <w:r>
              <w:rPr>
                <w:color w:val="auto"/>
                <w:szCs w:val="21"/>
                <w:highlight w:val="none"/>
              </w:rPr>
              <w:t>本次配置不限容量的文件、对象存储服务授权许可, 方便灵活选择部署方式，</w:t>
            </w:r>
            <w:r>
              <w:rPr>
                <w:b/>
                <w:bCs/>
                <w:color w:val="auto"/>
                <w:szCs w:val="21"/>
                <w:highlight w:val="none"/>
              </w:rPr>
              <w:t>提供经CNAS或CMA认可的检测机构出具的检测报告复印件。</w:t>
            </w:r>
          </w:p>
          <w:p w14:paraId="224F76A3">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支持基于文件和目录的WORM功能，文件进入保护期后，文件只能被读取，不可进行修改，写入，删除等操作；</w:t>
            </w:r>
            <w:r>
              <w:rPr>
                <w:rFonts w:ascii="宋体" w:hAnsi="宋体" w:cs="宋体"/>
                <w:color w:val="auto"/>
                <w:kern w:val="0"/>
                <w:szCs w:val="21"/>
                <w:highlight w:val="none"/>
              </w:rPr>
              <w:t xml:space="preserve"> </w:t>
            </w:r>
          </w:p>
          <w:p w14:paraId="5D8720B5">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支持全局聚合策略将多个小文件（＜1M）写入后聚合成一个文件；</w:t>
            </w:r>
          </w:p>
          <w:p w14:paraId="1C6A00C4">
            <w:pPr>
              <w:widowControl/>
              <w:numPr>
                <w:ilvl w:val="0"/>
                <w:numId w:val="47"/>
              </w:numPr>
              <w:spacing w:line="400" w:lineRule="exact"/>
              <w:jc w:val="left"/>
              <w:rPr>
                <w:rFonts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所投产品存储系统数据落盘进行深度的均衡优化，集群可写水位达99%；配置文件聚合功能，可将小文件聚合成大的数据块，充分利用网络带宽，提升小文件</w:t>
            </w:r>
            <w:r>
              <w:rPr>
                <w:rFonts w:hint="eastAsia" w:ascii="宋体" w:hAnsi="宋体" w:cs="宋体"/>
                <w:b w:val="0"/>
                <w:bCs w:val="0"/>
                <w:color w:val="auto"/>
                <w:kern w:val="0"/>
                <w:szCs w:val="21"/>
                <w:highlight w:val="none"/>
              </w:rPr>
              <w:t>读写性能。</w:t>
            </w:r>
          </w:p>
          <w:p w14:paraId="3E48D9D6">
            <w:pPr>
              <w:widowControl/>
              <w:numPr>
                <w:ilvl w:val="0"/>
                <w:numId w:val="47"/>
              </w:numPr>
              <w:spacing w:line="400" w:lineRule="exact"/>
              <w:jc w:val="left"/>
              <w:rPr>
                <w:rFonts w:ascii="宋体" w:hAnsi="宋体" w:cs="宋体"/>
                <w:b w:val="0"/>
                <w:bCs w:val="0"/>
                <w:color w:val="auto"/>
                <w:kern w:val="0"/>
                <w:szCs w:val="21"/>
                <w:highlight w:val="none"/>
              </w:rPr>
            </w:pPr>
            <w:r>
              <w:rPr>
                <w:b w:val="0"/>
                <w:bCs w:val="0"/>
                <w:color w:val="auto"/>
                <w:szCs w:val="21"/>
                <w:highlight w:val="none"/>
              </w:rPr>
              <w:t>所投产品支持文件回收站功能，文件删除后自动保存一段时间，在文件过期前可以找回被删除数据，在文件过期</w:t>
            </w:r>
            <w:r>
              <w:rPr>
                <w:b w:val="0"/>
                <w:bCs w:val="0"/>
                <w:color w:val="auto"/>
                <w:szCs w:val="21"/>
                <w:highlight w:val="none"/>
              </w:rPr>
              <w:t>后数据自动删除。</w:t>
            </w:r>
          </w:p>
          <w:p w14:paraId="6DC73B64">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支持快速ACL设置，配置权限管理支持读、写、执行、删除、可视五种权限；100W文件ACL返回时间在5s内，且用户ACL设置生效；</w:t>
            </w:r>
          </w:p>
          <w:p w14:paraId="712485E5">
            <w:pPr>
              <w:widowControl/>
              <w:numPr>
                <w:ilvl w:val="0"/>
                <w:numId w:val="47"/>
              </w:numPr>
              <w:spacing w:line="400" w:lineRule="exact"/>
              <w:jc w:val="left"/>
              <w:rPr>
                <w:rFonts w:ascii="宋体" w:hAnsi="宋体" w:cs="宋体"/>
                <w:b w:val="0"/>
                <w:bCs w:val="0"/>
                <w:color w:val="auto"/>
                <w:kern w:val="0"/>
                <w:szCs w:val="21"/>
                <w:highlight w:val="none"/>
              </w:rPr>
            </w:pPr>
            <w:r>
              <w:rPr>
                <w:b w:val="0"/>
                <w:bCs w:val="0"/>
                <w:color w:val="auto"/>
                <w:szCs w:val="21"/>
                <w:highlight w:val="none"/>
              </w:rPr>
              <w:t>配置权限管理功能，支持增强型ACL，支持r（读）、w（写）、x（执行）、d（删除）、v（可视）五种权限，确保资源不被非授权用户操作写、读、删等动作，以免数据被</w:t>
            </w:r>
            <w:r>
              <w:rPr>
                <w:b w:val="0"/>
                <w:bCs w:val="0"/>
                <w:color w:val="auto"/>
                <w:szCs w:val="21"/>
                <w:highlight w:val="none"/>
              </w:rPr>
              <w:t>恶意窃取或破坏；</w:t>
            </w:r>
          </w:p>
          <w:p w14:paraId="7AC9FD34">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支持存储需要存储固定时间或固定容量的数据，超过指定时间或容量后会自动删除最老的数据；</w:t>
            </w:r>
          </w:p>
          <w:p w14:paraId="3203B91D">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对象存储支持提供多租户服务，同一套系统为不同用户和应用提供存储服务；</w:t>
            </w:r>
          </w:p>
          <w:p w14:paraId="6AE006C6">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color w:val="auto"/>
                <w:szCs w:val="21"/>
                <w:highlight w:val="none"/>
              </w:rPr>
              <w:t>每TB 数据重构恢复时间≤15 分钟</w:t>
            </w:r>
          </w:p>
          <w:p w14:paraId="46840919">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color w:val="auto"/>
                <w:kern w:val="0"/>
                <w:szCs w:val="21"/>
                <w:highlight w:val="none"/>
              </w:rPr>
              <w:t>所投产品支持厚置备卷功能，用户可以根据业务需求分配固定的物理存储空间，保障关键业务有充足的存储空间</w:t>
            </w:r>
            <w:r>
              <w:rPr>
                <w:rFonts w:ascii="宋体" w:hAnsi="宋体" w:cs="宋体"/>
                <w:color w:val="auto"/>
                <w:kern w:val="0"/>
                <w:szCs w:val="21"/>
                <w:highlight w:val="none"/>
              </w:rPr>
              <w:t xml:space="preserve"> </w:t>
            </w:r>
          </w:p>
          <w:p w14:paraId="53E165E0">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服务器硬件原厂质保5年，提供硬盘不返还服务；分布式存储软件原厂三年升级和技术支持服务；</w:t>
            </w:r>
          </w:p>
          <w:p w14:paraId="090E2223">
            <w:pPr>
              <w:widowControl/>
              <w:numPr>
                <w:ilvl w:val="0"/>
                <w:numId w:val="47"/>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提供安装实施服务</w:t>
            </w:r>
          </w:p>
        </w:tc>
      </w:tr>
      <w:tr w14:paraId="070F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0480FC6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572" w:type="pct"/>
            <w:vAlign w:val="center"/>
          </w:tcPr>
          <w:p w14:paraId="636080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云管平台</w:t>
            </w:r>
          </w:p>
        </w:tc>
        <w:tc>
          <w:tcPr>
            <w:tcW w:w="4058" w:type="pct"/>
            <w:vAlign w:val="center"/>
          </w:tcPr>
          <w:p w14:paraId="0835EEC1">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轻量级多云管理和云服务平台；</w:t>
            </w:r>
          </w:p>
          <w:p w14:paraId="18151D89">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云管理平台服务提供运维中心、运营中心、资源中心、产品与服务中心多级资源管理与服务能力，具备租户管理、VPC网络管理、镜像库管理、工单审批等基础管理能力，系统具备静默升级能力，同时具备X86、ARM异构虚拟化平台纳管能力，提供统一资源管理与运营服务；</w:t>
            </w:r>
          </w:p>
          <w:p w14:paraId="7D1AC5D1">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b w:val="0"/>
                <w:bCs w:val="0"/>
                <w:color w:val="auto"/>
                <w:kern w:val="0"/>
                <w:szCs w:val="21"/>
                <w:highlight w:val="none"/>
              </w:rPr>
              <w:t>本次提供覆盖CPU授权许可</w:t>
            </w:r>
            <w:r>
              <w:rPr>
                <w:rFonts w:hint="eastAsia" w:ascii="宋体" w:hAnsi="宋体" w:cs="宋体"/>
                <w:b w:val="0"/>
                <w:bCs w:val="0"/>
                <w:color w:val="auto"/>
                <w:kern w:val="0"/>
                <w:szCs w:val="21"/>
                <w:highlight w:val="none"/>
                <w:lang w:val="en-US" w:eastAsia="zh-CN"/>
              </w:rPr>
              <w:t>.</w:t>
            </w:r>
          </w:p>
          <w:p w14:paraId="0723D3D9">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云管理平台支持纳管至少3家主流虚拟化与超融合产品，例如VMware、华为、深信服、浪潮、华三等，支持所纳管平台虚拟机的全生命周期管理、镜像库使用、VPC网络资源创建、组织管理等服务，提供总计不少于50个节点的异构厂商平台纳管授权；需兼容中心机房原有的超融合集群。</w:t>
            </w:r>
            <w:r>
              <w:rPr>
                <w:rFonts w:hint="eastAsia" w:ascii="宋体" w:hAnsi="宋体" w:cs="宋体"/>
                <w:b/>
                <w:bCs/>
                <w:color w:val="auto"/>
                <w:kern w:val="0"/>
                <w:szCs w:val="21"/>
                <w:highlight w:val="none"/>
              </w:rPr>
              <w:t>提供产品截图证明。</w:t>
            </w:r>
          </w:p>
          <w:p w14:paraId="0482D51F">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为保证平台连续性与安全性，云管理平台与超融合\虚拟化平台采用松耦合架构，不集成在底层</w:t>
            </w:r>
            <w:bookmarkStart w:id="73" w:name="_GoBack"/>
            <w:bookmarkEnd w:id="73"/>
            <w:r>
              <w:rPr>
                <w:rFonts w:hint="eastAsia" w:ascii="宋体" w:hAnsi="宋体" w:cs="宋体"/>
                <w:color w:val="auto"/>
                <w:kern w:val="0"/>
                <w:szCs w:val="21"/>
                <w:highlight w:val="none"/>
              </w:rPr>
              <w:t>虚拟化平台内，并具备高可用策略；</w:t>
            </w:r>
          </w:p>
          <w:p w14:paraId="2A36BCF6">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产品必须拥有完全的自主知识产权及软件著作权，不接受采用开源产品（例如OpenStack、Apache CloudStack等）进行二次开发的产品；</w:t>
            </w:r>
            <w:r>
              <w:rPr>
                <w:rFonts w:hint="eastAsia" w:ascii="宋体" w:hAnsi="宋体" w:cs="宋体"/>
                <w:b/>
                <w:bCs/>
                <w:color w:val="auto"/>
                <w:kern w:val="0"/>
                <w:szCs w:val="21"/>
                <w:highlight w:val="none"/>
              </w:rPr>
              <w:t>提供软件著作权证书证明</w:t>
            </w:r>
          </w:p>
          <w:p w14:paraId="10FBF3C6">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支持平台资源信息统计，涵盖所纳管站点、主机、云主机数量及状态展示，所纳管物理CPU、内存、物理存储、弹性IP的总量与使用率展示；</w:t>
            </w:r>
          </w:p>
          <w:p w14:paraId="16EA18DC">
            <w:pPr>
              <w:widowControl/>
              <w:numPr>
                <w:ilvl w:val="0"/>
                <w:numId w:val="48"/>
              </w:numPr>
              <w:spacing w:line="400" w:lineRule="exact"/>
              <w:jc w:val="left"/>
              <w:rPr>
                <w:rFonts w:ascii="宋体" w:hAnsi="宋体" w:cs="宋体"/>
                <w:color w:val="auto"/>
                <w:kern w:val="0"/>
                <w:szCs w:val="21"/>
                <w:highlight w:val="none"/>
              </w:rPr>
            </w:pPr>
            <w:r>
              <w:rPr>
                <w:color w:val="auto"/>
                <w:kern w:val="0"/>
                <w:szCs w:val="21"/>
                <w:highlight w:val="none"/>
              </w:rPr>
              <w:t>支持动态资源大屏展示，可直观查看全局资源的当前状态，TOP 虚拟机和主机使用情况；支持管理界面定制化，包括公司名称，产品LOGO等信息；</w:t>
            </w:r>
          </w:p>
          <w:p w14:paraId="2CC3B492">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支持多数据中心全局统一资源视图，可分别展示数据中心地理位置、CPU使用率、内存使用率、数据存储使用率、系统类型、管理IP地址等基础信息；</w:t>
            </w:r>
          </w:p>
          <w:p w14:paraId="6AF2FD02">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支持多租户管理。可以支持租户的创建、删除、修改、查询、重置密码等操作，并且可以限定每个用户可以操作的资源范围。</w:t>
            </w:r>
            <w:r>
              <w:rPr>
                <w:rFonts w:hint="eastAsia" w:ascii="宋体" w:hAnsi="宋体" w:cs="宋体"/>
                <w:b/>
                <w:bCs/>
                <w:color w:val="auto"/>
                <w:kern w:val="0"/>
                <w:szCs w:val="21"/>
                <w:highlight w:val="none"/>
              </w:rPr>
              <w:t>提供截图证明</w:t>
            </w:r>
          </w:p>
          <w:p w14:paraId="08D9C71E">
            <w:pPr>
              <w:widowControl/>
              <w:numPr>
                <w:ilvl w:val="0"/>
                <w:numId w:val="48"/>
              </w:numPr>
              <w:spacing w:line="400" w:lineRule="exact"/>
              <w:jc w:val="left"/>
              <w:rPr>
                <w:rFonts w:ascii="宋体" w:hAnsi="宋体" w:cs="宋体"/>
                <w:color w:val="auto"/>
                <w:kern w:val="0"/>
                <w:szCs w:val="21"/>
                <w:highlight w:val="none"/>
              </w:rPr>
            </w:pPr>
            <w:r>
              <w:rPr>
                <w:color w:val="auto"/>
                <w:kern w:val="0"/>
                <w:szCs w:val="21"/>
                <w:highlight w:val="none"/>
              </w:rPr>
              <w:t>提供虚拟数据中心管理能力，以匹配业主的组织/租户体系进行管理，支持对组织可以使用的资源做配额限制，包括但不限于对这些服务配额进行控制：虚拟机、镜像、云硬盘、CPU、内存、弹性IP等。</w:t>
            </w:r>
            <w:r>
              <w:rPr>
                <w:rFonts w:hint="eastAsia"/>
                <w:b/>
                <w:bCs/>
                <w:color w:val="auto"/>
                <w:kern w:val="0"/>
                <w:szCs w:val="21"/>
                <w:highlight w:val="none"/>
              </w:rPr>
              <w:t>提供截图证明</w:t>
            </w:r>
            <w:r>
              <w:rPr>
                <w:b/>
                <w:bCs/>
                <w:color w:val="auto"/>
                <w:kern w:val="0"/>
                <w:szCs w:val="21"/>
                <w:highlight w:val="none"/>
              </w:rPr>
              <w:t>。</w:t>
            </w:r>
          </w:p>
          <w:p w14:paraId="694671B8">
            <w:pPr>
              <w:widowControl/>
              <w:numPr>
                <w:ilvl w:val="0"/>
                <w:numId w:val="48"/>
              </w:numPr>
              <w:spacing w:line="400" w:lineRule="exact"/>
              <w:jc w:val="left"/>
              <w:rPr>
                <w:rFonts w:ascii="宋体" w:hAnsi="宋体" w:cs="宋体"/>
                <w:color w:val="auto"/>
                <w:kern w:val="0"/>
                <w:szCs w:val="21"/>
                <w:highlight w:val="none"/>
              </w:rPr>
            </w:pPr>
            <w:r>
              <w:rPr>
                <w:color w:val="auto"/>
                <w:kern w:val="0"/>
                <w:szCs w:val="21"/>
                <w:highlight w:val="none"/>
              </w:rPr>
              <w:t>支持多租户管理。可以支持租户的创建、删除、修改、查询、重置密码等操作，并且可以限定每个用户可以操作的资源范围。</w:t>
            </w:r>
            <w:r>
              <w:rPr>
                <w:rFonts w:hint="eastAsia"/>
                <w:b/>
                <w:bCs/>
                <w:color w:val="auto"/>
                <w:kern w:val="0"/>
                <w:szCs w:val="21"/>
                <w:highlight w:val="none"/>
              </w:rPr>
              <w:t>提供截图证明</w:t>
            </w:r>
          </w:p>
          <w:p w14:paraId="0E153720">
            <w:pPr>
              <w:widowControl/>
              <w:numPr>
                <w:ilvl w:val="0"/>
                <w:numId w:val="48"/>
              </w:numPr>
              <w:spacing w:line="400" w:lineRule="exact"/>
              <w:jc w:val="left"/>
              <w:rPr>
                <w:rFonts w:ascii="宋体" w:hAnsi="宋体" w:cs="宋体"/>
                <w:color w:val="auto"/>
                <w:kern w:val="0"/>
                <w:szCs w:val="21"/>
                <w:highlight w:val="none"/>
              </w:rPr>
            </w:pPr>
            <w:r>
              <w:rPr>
                <w:color w:val="auto"/>
                <w:kern w:val="0"/>
                <w:szCs w:val="21"/>
                <w:highlight w:val="none"/>
              </w:rPr>
              <w:t>支持服务工单，通过自助形式的工单申请流程，运维人员和云主机使用人员不再需要执行线下手动申请的复杂流程。用户可以通过线上填写服务工单的形式进行资源申请，支持修改配额工单、创建云主机工单和改配云主机工单。</w:t>
            </w:r>
          </w:p>
          <w:p w14:paraId="1630FB38">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支持云备份资源资源池管理，支持全量备份、差异备份、增量备份模式多种备份模式，支持设置备份策略、时间策略、滚动执行、限速策略、保留策略、存储策略和传输策略等</w:t>
            </w:r>
          </w:p>
          <w:p w14:paraId="39B0ED98">
            <w:pPr>
              <w:widowControl/>
              <w:numPr>
                <w:ilvl w:val="0"/>
                <w:numId w:val="48"/>
              </w:numPr>
              <w:spacing w:line="400" w:lineRule="exact"/>
              <w:jc w:val="left"/>
              <w:rPr>
                <w:rFonts w:ascii="宋体" w:hAnsi="宋体" w:cs="宋体"/>
                <w:color w:val="auto"/>
                <w:kern w:val="0"/>
                <w:szCs w:val="21"/>
                <w:highlight w:val="none"/>
              </w:rPr>
            </w:pPr>
            <w:r>
              <w:rPr>
                <w:color w:val="auto"/>
                <w:kern w:val="0"/>
                <w:szCs w:val="21"/>
                <w:highlight w:val="none"/>
              </w:rPr>
              <w:t>支持云主机服务管理，用户可以配置云主机的CPU数量、内存容量、虚拟磁盘数量及容量、网卡数量及连接的网络、弹性IP地址、光驱和操作系统类型等。系统管理员、组织管理员和组织成员均可以创建云主机，系统管理员可以将创建的云主机分配给指定组织或用户，组织管理员可以将本组织的云主机分配给指定组织成员</w:t>
            </w:r>
          </w:p>
          <w:p w14:paraId="06E129DF">
            <w:pPr>
              <w:widowControl/>
              <w:numPr>
                <w:ilvl w:val="0"/>
                <w:numId w:val="48"/>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实现对本次建设的5台超融合节点服务器、公安网已建设的3台超融合节点服务器以及待交付的1台超融合节点服务器纳管，按照每颗CPU进行软件授权。</w:t>
            </w:r>
          </w:p>
        </w:tc>
      </w:tr>
      <w:tr w14:paraId="5C33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09C7C21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572" w:type="pct"/>
            <w:vAlign w:val="center"/>
          </w:tcPr>
          <w:p w14:paraId="4F6D9C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中心机房精密空调</w:t>
            </w:r>
          </w:p>
        </w:tc>
        <w:tc>
          <w:tcPr>
            <w:tcW w:w="4058" w:type="pct"/>
            <w:vAlign w:val="center"/>
          </w:tcPr>
          <w:p w14:paraId="3B154600">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房间级精密空调总制冷量≥60KW，显冷量≥54KW，每套精密空调为双压缩机、双制冷管路下送风精密空调机组，每套精密空调机组的送风量≥20000m3/h，加湿量≥10Kg/h，加热量≥9Kw，压缩机具有较高的能效比，谷轮涡旋式压缩机。满足机房布置尺寸，每套精密空调的宽、深、高≤1850mm×1000mm×2000mm。</w:t>
            </w:r>
            <w:r>
              <w:rPr>
                <w:rFonts w:hint="eastAsia" w:ascii="宋体" w:hAnsi="宋体" w:cs="宋体"/>
                <w:b/>
                <w:bCs/>
                <w:color w:val="auto"/>
                <w:kern w:val="0"/>
                <w:szCs w:val="21"/>
                <w:highlight w:val="none"/>
              </w:rPr>
              <w:t>提供泰尔认证证书及同系列产品泰尔检测报告。</w:t>
            </w:r>
          </w:p>
          <w:p w14:paraId="3A2B4524">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 xml:space="preserve">机组应有节能措施的设计：应选用高效大面积V型蒸发器，提高换热面积，保障换热效率；应采用高可靠的热力膨胀阀，调节范围宽、速度快；室外风机应可根据室外温度无级调速，减少风机能耗。 </w:t>
            </w:r>
          </w:p>
          <w:p w14:paraId="2908596F">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机房精密空调系统应标准配置采用环保制冷剂R410A，不得采用R22或R407C冷媒。</w:t>
            </w:r>
            <w:r>
              <w:rPr>
                <w:rFonts w:hint="eastAsia" w:ascii="宋体" w:hAnsi="宋体" w:cs="宋体"/>
                <w:b/>
                <w:bCs/>
                <w:color w:val="auto"/>
                <w:kern w:val="0"/>
                <w:szCs w:val="21"/>
                <w:highlight w:val="none"/>
              </w:rPr>
              <w:t>提供环保制冷剂环保合格证明。</w:t>
            </w:r>
          </w:p>
          <w:p w14:paraId="405BCB9E">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机房精密空调的加湿性能：应采用高效加湿器，要求加湿速度快，确保高效性。为节能环保，采用不受任何水质影响的远红外加湿器。所选用加湿器需可以在应用场地现场进行清理，支持反复应用。</w:t>
            </w:r>
          </w:p>
          <w:p w14:paraId="1C9F5381">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color w:val="auto"/>
                <w:kern w:val="0"/>
                <w:szCs w:val="21"/>
                <w:highlight w:val="none"/>
              </w:rPr>
              <w:t>精密空调温湿度传感器控制精度（温度精度＜±0.3℃和湿度＜±2%）。</w:t>
            </w:r>
            <w:r>
              <w:rPr>
                <w:rFonts w:hint="eastAsia" w:ascii="宋体" w:hAnsi="宋体" w:cs="宋体"/>
                <w:b/>
                <w:bCs/>
                <w:color w:val="auto"/>
                <w:kern w:val="0"/>
                <w:szCs w:val="21"/>
                <w:highlight w:val="none"/>
              </w:rPr>
              <w:t>提供国家认可的第三方机构出具的产品校准报告</w:t>
            </w:r>
            <w:r>
              <w:rPr>
                <w:rFonts w:hint="eastAsia" w:ascii="宋体" w:hAnsi="宋体" w:cs="宋体"/>
                <w:color w:val="auto"/>
                <w:kern w:val="0"/>
                <w:szCs w:val="21"/>
                <w:highlight w:val="none"/>
              </w:rPr>
              <w:t xml:space="preserve">  </w:t>
            </w:r>
          </w:p>
          <w:p w14:paraId="27532CF1">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要求提供5年12次上门巡检服务，每次巡检完成须提供完整的巡检维护服务报告给建设单位，对巡检产生的问题根据建设单位要求及时整改。</w:t>
            </w:r>
          </w:p>
          <w:p w14:paraId="3CEFF26B">
            <w:pPr>
              <w:widowControl/>
              <w:numPr>
                <w:ilvl w:val="0"/>
                <w:numId w:val="49"/>
              </w:numPr>
              <w:spacing w:line="400" w:lineRule="exact"/>
              <w:jc w:val="left"/>
              <w:rPr>
                <w:rFonts w:ascii="宋体" w:hAnsi="宋体" w:cs="宋体"/>
                <w:color w:val="auto"/>
                <w:kern w:val="0"/>
                <w:szCs w:val="21"/>
                <w:highlight w:val="none"/>
              </w:rPr>
            </w:pPr>
            <w:r>
              <w:rPr>
                <w:rFonts w:hint="eastAsia" w:ascii="宋体" w:hAnsi="宋体" w:cs="宋体"/>
                <w:color w:val="auto"/>
                <w:kern w:val="44"/>
                <w:szCs w:val="21"/>
                <w:highlight w:val="none"/>
              </w:rPr>
              <w:t>★</w:t>
            </w:r>
            <w:r>
              <w:rPr>
                <w:rFonts w:hint="eastAsia" w:ascii="宋体" w:hAnsi="宋体" w:cs="宋体"/>
                <w:b/>
                <w:bCs/>
                <w:color w:val="auto"/>
                <w:kern w:val="0"/>
                <w:szCs w:val="21"/>
                <w:highlight w:val="none"/>
              </w:rPr>
              <w:t>投标时精密空调制造商须提供原厂针对本项目的授权函及原厂5年服务承诺函（须为原件加盖原厂公章，复印件或扫描件无效）。</w:t>
            </w:r>
          </w:p>
        </w:tc>
      </w:tr>
      <w:tr w14:paraId="38D2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46F419D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572" w:type="pct"/>
            <w:vAlign w:val="center"/>
          </w:tcPr>
          <w:p w14:paraId="1D8F09E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精密空调安装材料及辅材</w:t>
            </w:r>
          </w:p>
        </w:tc>
        <w:tc>
          <w:tcPr>
            <w:tcW w:w="4058" w:type="pct"/>
            <w:vAlign w:val="center"/>
          </w:tcPr>
          <w:p w14:paraId="137C4F8B">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精密空调安装材料及辅材，包括：</w:t>
            </w:r>
          </w:p>
          <w:p w14:paraId="230452CD">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R410A, ≥11.3KG/瓶，原厂配套，数量：4瓶；</w:t>
            </w:r>
          </w:p>
          <w:p w14:paraId="77E94B00">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室内机进线电缆，阻燃ZR-YJV16mm2*4+1,国标线缆，长度：55米；</w:t>
            </w:r>
          </w:p>
          <w:p w14:paraId="4BEF389C">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冷媒铜管 19铜管：无缝紫铜管3/4″(19.05mm)×δ1mm TP2 Y(硬 直)GB/T 17791-1999，国标，长度：140米；</w:t>
            </w:r>
          </w:p>
          <w:p w14:paraId="335B8B05">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冷媒铜管 25铜管：无缝紫铜管φ25mm×δ1mm T2 Y(硬 直)GB/T 17791-1999，国标，长度：140米；</w:t>
            </w:r>
          </w:p>
          <w:p w14:paraId="59F10A31">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室内机支架/底座，与主机同尺寸，现场订制，数量：1套；</w:t>
            </w:r>
          </w:p>
          <w:p w14:paraId="0F20EFAB">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室外机支架/底座，与主机同尺寸，现场订制，数量：1套；</w:t>
            </w:r>
          </w:p>
          <w:p w14:paraId="7D971BE1">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延长组件，原厂配套，数量：2套；</w:t>
            </w:r>
          </w:p>
          <w:p w14:paraId="29157FC0">
            <w:pPr>
              <w:widowControl/>
              <w:numPr>
                <w:ilvl w:val="0"/>
                <w:numId w:val="50"/>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精密空调安装辅材（含焊接气体、乙炔、氧气、保温棉与安装材料，室内机固定、室外机固定，进出水管，室内外机连接电缆和信号线及其他所有辅材），数量：1套</w:t>
            </w:r>
          </w:p>
        </w:tc>
      </w:tr>
      <w:tr w14:paraId="0D3C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04C5977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572" w:type="pct"/>
            <w:vAlign w:val="center"/>
          </w:tcPr>
          <w:p w14:paraId="2B507CB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原有UPS设备维保</w:t>
            </w:r>
          </w:p>
        </w:tc>
        <w:tc>
          <w:tcPr>
            <w:tcW w:w="4058" w:type="pct"/>
            <w:vAlign w:val="center"/>
          </w:tcPr>
          <w:p w14:paraId="49CDFD3B">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针对原有的2套维谛</w:t>
            </w:r>
            <w:r>
              <w:rPr>
                <w:rFonts w:hint="eastAsia" w:ascii="宋体" w:hAnsi="宋体" w:eastAsia="宋体" w:cs="宋体"/>
                <w:color w:val="auto"/>
                <w:kern w:val="0"/>
                <w:sz w:val="21"/>
                <w:szCs w:val="21"/>
                <w:highlight w:val="none"/>
              </w:rPr>
              <w:t xml:space="preserve">UL33-0600K </w:t>
            </w:r>
            <w:r>
              <w:rPr>
                <w:rFonts w:hint="eastAsia" w:ascii="宋体" w:hAnsi="宋体" w:cs="宋体"/>
                <w:color w:val="auto"/>
                <w:kern w:val="0"/>
                <w:szCs w:val="21"/>
                <w:highlight w:val="none"/>
              </w:rPr>
              <w:t xml:space="preserve">UPS设备维保3年。每年进行4次巡检，包括主板、风扇等备件的维修和更换，不含外接蓄电池的维护。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工作内容包括：</w:t>
            </w:r>
          </w:p>
          <w:p w14:paraId="7E789E77">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检测整个系统的运行参数，确保设备正常运行；</w:t>
            </w:r>
          </w:p>
          <w:p w14:paraId="746439DB">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检查各主要部件的装配及内部间的连接情况；</w:t>
            </w:r>
          </w:p>
          <w:p w14:paraId="440C85DD">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检查所有螺丝、螺栓等连接点的紧固性及热腐蚀状况并做必要的调整；</w:t>
            </w:r>
          </w:p>
          <w:p w14:paraId="2F783A24">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检查是否有损坏及烧毁的元件及电缆；</w:t>
            </w:r>
          </w:p>
          <w:p w14:paraId="325B3C2A">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在建设方配合下对机组内外部的清洁；</w:t>
            </w:r>
          </w:p>
          <w:p w14:paraId="711FDCDD">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测量设备的输入、输出电压及电流；</w:t>
            </w:r>
          </w:p>
          <w:p w14:paraId="6E6900AB">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检测UPS的同步及输出频率的稳定性；</w:t>
            </w:r>
          </w:p>
          <w:p w14:paraId="4D4BA006">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对并机系统，检查每个UPS之间的负载均衡情况；</w:t>
            </w:r>
          </w:p>
          <w:p w14:paraId="6946E26A">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必要时调校UPS的一些基准点和设置参数；</w:t>
            </w:r>
          </w:p>
          <w:p w14:paraId="5F68ED59">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提交所有服务报告；</w:t>
            </w:r>
          </w:p>
          <w:p w14:paraId="57665E4D">
            <w:pPr>
              <w:widowControl/>
              <w:numPr>
                <w:ilvl w:val="0"/>
                <w:numId w:val="51"/>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汇报任何异常情况，提出解决方案并给予解决。</w:t>
            </w:r>
          </w:p>
        </w:tc>
      </w:tr>
      <w:tr w14:paraId="1868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668E219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572" w:type="pct"/>
            <w:vAlign w:val="center"/>
          </w:tcPr>
          <w:p w14:paraId="75AB62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原有UPS外接蓄电池组系统维保</w:t>
            </w:r>
          </w:p>
        </w:tc>
        <w:tc>
          <w:tcPr>
            <w:tcW w:w="4058" w:type="pct"/>
            <w:vAlign w:val="center"/>
          </w:tcPr>
          <w:p w14:paraId="4AF3FDAD">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原有5组共计120块蓄电池维保3年。每年含4次巡检，包括完整的蓄电池组充放电试验以及可能损坏的蓄电池连接电缆的更换，不含蓄电池组的更换。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工作内容包括：</w:t>
            </w:r>
          </w:p>
          <w:p w14:paraId="0D57B66F">
            <w:pPr>
              <w:widowControl/>
              <w:numPr>
                <w:ilvl w:val="0"/>
                <w:numId w:val="52"/>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对电池进行充放电测试；</w:t>
            </w:r>
          </w:p>
          <w:p w14:paraId="78FE78F8">
            <w:pPr>
              <w:widowControl/>
              <w:numPr>
                <w:ilvl w:val="0"/>
                <w:numId w:val="52"/>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检测电池组/柜的完整性；</w:t>
            </w:r>
          </w:p>
          <w:p w14:paraId="5573A838">
            <w:pPr>
              <w:widowControl/>
              <w:numPr>
                <w:ilvl w:val="0"/>
                <w:numId w:val="52"/>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电池容量检测内容包括：</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3.1、外观是否有损坏、变形及漏水；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3.2、电池线及接线端子是否有过热及腐蚀情况；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3.3、各电池组或箱内是否有松脱；</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3.4、测量每节电池的浮充电压；</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3.5、电池组20％容量在线放电检测；</w:t>
            </w:r>
          </w:p>
          <w:p w14:paraId="51095C5C">
            <w:pPr>
              <w:widowControl/>
              <w:numPr>
                <w:ilvl w:val="0"/>
                <w:numId w:val="52"/>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提交所有服务报告；</w:t>
            </w:r>
          </w:p>
          <w:p w14:paraId="6F292477">
            <w:pPr>
              <w:widowControl/>
              <w:numPr>
                <w:ilvl w:val="0"/>
                <w:numId w:val="52"/>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汇报任何异常情况，提出解决方案并给予解决。 </w:t>
            </w:r>
          </w:p>
        </w:tc>
      </w:tr>
      <w:tr w14:paraId="70E1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072A0E9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572" w:type="pct"/>
            <w:vAlign w:val="center"/>
          </w:tcPr>
          <w:p w14:paraId="737F692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原有精密空调维保</w:t>
            </w:r>
          </w:p>
        </w:tc>
        <w:tc>
          <w:tcPr>
            <w:tcW w:w="4058" w:type="pct"/>
            <w:vAlign w:val="center"/>
          </w:tcPr>
          <w:p w14:paraId="79F238B6">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针对原有的1台雷诺威RUA020A空调以及2台依米康SCA602D空调设备维保3年。每年含4次巡检，包含定期清洗及精密空调所有备件。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工作内容包括：</w:t>
            </w:r>
          </w:p>
          <w:p w14:paraId="5C7690D5">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检查机组运行状况，核对最后十个报警内容。</w:t>
            </w:r>
          </w:p>
          <w:p w14:paraId="4B9F18D0">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检查设定参数、控制电路、进行电脑“空白测试”，并根据实际需要调整各项运行参数。 </w:t>
            </w:r>
          </w:p>
          <w:p w14:paraId="3187D0CF">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检查压缩机、风机的运行电流值及绝缘电阻值。</w:t>
            </w:r>
          </w:p>
          <w:p w14:paraId="42626898">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检查每个接触器触点、电磁阀、压力开关，必要时作保养或更换。 </w:t>
            </w:r>
          </w:p>
          <w:p w14:paraId="54536F6D">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检查冷媒液镜，观察冷媒液位，视情况补液或换干燥剂。</w:t>
            </w:r>
          </w:p>
          <w:p w14:paraId="1FE68B21">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清洗或更换空气滤器，清洗风冷冷凝器。</w:t>
            </w:r>
          </w:p>
          <w:p w14:paraId="6A74455B">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检查制冷系统运行情况，检查制冷剂的压力，使设备处于最佳运行状态。 </w:t>
            </w:r>
          </w:p>
          <w:p w14:paraId="0995A222">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每次完成保养工作后，应向建设方呈交保养和维修工作报告。</w:t>
            </w:r>
          </w:p>
          <w:p w14:paraId="4C799F4F">
            <w:pPr>
              <w:widowControl/>
              <w:numPr>
                <w:ilvl w:val="0"/>
                <w:numId w:val="53"/>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对建设方运行管理人员进行操作培训，以便更好地掌握运行检查和简单维修技能。</w:t>
            </w:r>
          </w:p>
        </w:tc>
      </w:tr>
      <w:tr w14:paraId="60D6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140347D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572" w:type="pct"/>
            <w:vAlign w:val="center"/>
          </w:tcPr>
          <w:p w14:paraId="5CE7D74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UPS线路改造</w:t>
            </w:r>
          </w:p>
        </w:tc>
        <w:tc>
          <w:tcPr>
            <w:tcW w:w="4058" w:type="pct"/>
            <w:vAlign w:val="center"/>
          </w:tcPr>
          <w:p w14:paraId="45398B6A">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新增两个42U标准服务器机柜，同时机房原有的两个UPS配电柜线路进行改造；</w:t>
            </w:r>
          </w:p>
          <w:p w14:paraId="4BA64131">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PDU 8位10A，功率32A8KW，4套</w:t>
            </w:r>
          </w:p>
          <w:p w14:paraId="441FCCEB">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PDU 8位16A，功率32A8KW，4套</w:t>
            </w:r>
          </w:p>
          <w:p w14:paraId="13051E3A">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连接器 16A，8套</w:t>
            </w:r>
          </w:p>
          <w:p w14:paraId="46655C27">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电缆 YJV3*4平方，145米</w:t>
            </w:r>
          </w:p>
          <w:p w14:paraId="398D3024">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空开 16A单匹，2个</w:t>
            </w:r>
          </w:p>
          <w:p w14:paraId="787CA519">
            <w:pPr>
              <w:widowControl/>
              <w:numPr>
                <w:ilvl w:val="0"/>
                <w:numId w:val="54"/>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施工费 含辅材，1项</w:t>
            </w:r>
          </w:p>
        </w:tc>
      </w:tr>
      <w:tr w14:paraId="2E1C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 w:type="pct"/>
            <w:noWrap/>
            <w:vAlign w:val="center"/>
          </w:tcPr>
          <w:p w14:paraId="272A32C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572" w:type="pct"/>
            <w:vAlign w:val="center"/>
          </w:tcPr>
          <w:p w14:paraId="18EB138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机房线路改造服务</w:t>
            </w:r>
          </w:p>
        </w:tc>
        <w:tc>
          <w:tcPr>
            <w:tcW w:w="4058" w:type="pct"/>
            <w:vAlign w:val="center"/>
          </w:tcPr>
          <w:p w14:paraId="0D57DE1C">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机柜内所有网络线缆，光纤线缆的重新梳理和捆扎，考虑线材使用状况进行网线，光纤线，电源线更换；</w:t>
            </w:r>
          </w:p>
          <w:p w14:paraId="7EF08C05">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线路两端的标签制作，和合理布放，线路包括电源线，网线，光纤线，</w:t>
            </w:r>
          </w:p>
          <w:p w14:paraId="6D389054">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机房桥架内的线路合理规划和布放。</w:t>
            </w:r>
          </w:p>
          <w:p w14:paraId="2E05D1BD">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按照机房管理员要求对于现在不再使用的老旧设备进行下架处理，整齐堆放</w:t>
            </w:r>
          </w:p>
          <w:p w14:paraId="304C16CE">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考虑业务连续性对于机柜内设备的重新定位和安装，确保符合最佳安装位置</w:t>
            </w:r>
          </w:p>
          <w:p w14:paraId="721399D3">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提供项目工期实施计划表，确保按照工期完成施工；</w:t>
            </w:r>
          </w:p>
          <w:p w14:paraId="75012E4F">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线材等：lc多模：3米100根，5米50根，10米30根，20米10根；lc 单模：3米20根，5米10根，10米10根，六类网线5箱，六类水龙头3盒，配套标签扎带等；</w:t>
            </w:r>
          </w:p>
          <w:p w14:paraId="495A73E0">
            <w:pPr>
              <w:widowControl/>
              <w:numPr>
                <w:ilvl w:val="0"/>
                <w:numId w:val="55"/>
              </w:num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工程师现场人天服务：人员：2人，现场服务时间：20天</w:t>
            </w:r>
          </w:p>
        </w:tc>
      </w:tr>
    </w:tbl>
    <w:p w14:paraId="0B7171A3">
      <w:pPr>
        <w:keepNext w:val="0"/>
        <w:keepLines w:val="0"/>
        <w:pageBreakBefore w:val="0"/>
        <w:widowControl w:val="0"/>
        <w:numPr>
          <w:ilvl w:val="0"/>
          <w:numId w:val="43"/>
        </w:numPr>
        <w:kinsoku/>
        <w:wordWrap/>
        <w:overflowPunct/>
        <w:topLinePunct w:val="0"/>
        <w:bidi w:val="0"/>
        <w:adjustRightInd/>
        <w:snapToGrid/>
        <w:spacing w:line="42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实施要求</w:t>
      </w:r>
    </w:p>
    <w:p w14:paraId="1A213A48">
      <w:pPr>
        <w:pStyle w:val="12"/>
        <w:keepNext w:val="0"/>
        <w:keepLines w:val="0"/>
        <w:pageBreakBefore w:val="0"/>
        <w:widowControl w:val="0"/>
        <w:numPr>
          <w:ilvl w:val="0"/>
          <w:numId w:val="56"/>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项目组织及实施要求</w:t>
      </w:r>
    </w:p>
    <w:p w14:paraId="07C59B40">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1.1、中标人有责任检查安装现场是否符合产品安装条件。</w:t>
      </w:r>
    </w:p>
    <w:p w14:paraId="42E1977A">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1.2、中标人应承担投标软件的安装、测试和有关配置工作，进行实际的测试。</w:t>
      </w:r>
    </w:p>
    <w:p w14:paraId="637D0A1F">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1.3、中标人应根据采购人的详细需求，保证系统按时、正常地投入运行。</w:t>
      </w:r>
    </w:p>
    <w:p w14:paraId="4EFA2931">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1.4、产品实施过程中，如果牵涉到与第三方产品集成工作，中标人应提供必要的技术支持。</w:t>
      </w:r>
    </w:p>
    <w:p w14:paraId="6E0B2626">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1.5、投标人应在投标文件中提供本次项目实施的实施人员名单及具体计划。</w:t>
      </w:r>
    </w:p>
    <w:p w14:paraId="3CC3687B">
      <w:pPr>
        <w:pStyle w:val="12"/>
        <w:keepNext w:val="0"/>
        <w:keepLines w:val="0"/>
        <w:pageBreakBefore w:val="0"/>
        <w:widowControl w:val="0"/>
        <w:numPr>
          <w:ilvl w:val="0"/>
          <w:numId w:val="56"/>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售后服务要求</w:t>
      </w:r>
    </w:p>
    <w:p w14:paraId="2F8C0715">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2.1、中标供应商提供的售后服务应符合国家或行业相关标准。</w:t>
      </w:r>
    </w:p>
    <w:p w14:paraId="29F886A6">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2.2、质保期：</w:t>
      </w:r>
    </w:p>
    <w:p w14:paraId="3E5255DD">
      <w:pPr>
        <w:keepNext w:val="0"/>
        <w:keepLines w:val="0"/>
        <w:pageBreakBefore w:val="0"/>
        <w:widowControl w:val="0"/>
        <w:kinsoku/>
        <w:wordWrap/>
        <w:overflowPunct/>
        <w:topLinePunct w:val="0"/>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超融合节点服务器硬件、AI服务器硬件、文件存储服务器硬件原厂质保5年；中心机房精密空调5年12次上门巡检服务；超融合万兆交换机硬件、管理千兆交换机硬件原厂质保3年；其他设备及相关配套软件原厂免费质保3年。自最终验收合格开始之日起计算。</w:t>
      </w:r>
    </w:p>
    <w:p w14:paraId="77B4C4AA">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2.3、投标人应配有较强的专业技术队伍，能确保现场实施和售后现场服务响应。</w:t>
      </w:r>
    </w:p>
    <w:p w14:paraId="6CE9B59A">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售后响应服务：在接到硬件故障通知后，投标人需要在60分钟内响应。对于影响硬件设备正常运行的严重故障（包括由系统原因引起的），原则上要求投标人的相关技术人员应在接到故障通知后4小时内排查并修复故障至完全恢复正常工作为止，一般要求保证系统在24小时之内修复。</w:t>
      </w:r>
    </w:p>
    <w:p w14:paraId="5CE8BAEC">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2.4、中标人应帮助采购人建立远程维护体系，中标人工程师经采购人授权后可通过互联网远程登录进行故障诊断和故障排除。</w:t>
      </w:r>
    </w:p>
    <w:p w14:paraId="6757D1D0">
      <w:pPr>
        <w:pStyle w:val="12"/>
        <w:keepNext w:val="0"/>
        <w:keepLines w:val="0"/>
        <w:pageBreakBefore w:val="0"/>
        <w:widowControl w:val="0"/>
        <w:numPr>
          <w:ilvl w:val="0"/>
          <w:numId w:val="56"/>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培训要求</w:t>
      </w:r>
    </w:p>
    <w:p w14:paraId="2F190FDA">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中标人负责为</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名以上操作人员提供免费的上机操作及日常维护培训：</w:t>
      </w:r>
    </w:p>
    <w:p w14:paraId="6F81D843">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3.1、中标人应对采购人的操作人员、维修人员免费进行培训。</w:t>
      </w:r>
    </w:p>
    <w:p w14:paraId="635279C6">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3.2、中标人应提供相应的培训计划。</w:t>
      </w:r>
    </w:p>
    <w:p w14:paraId="6E168F72">
      <w:pPr>
        <w:keepNext w:val="0"/>
        <w:keepLines w:val="0"/>
        <w:pageBreakBefore w:val="0"/>
        <w:widowControl w:val="0"/>
        <w:kinsoku/>
        <w:wordWrap/>
        <w:overflowPunct/>
        <w:topLinePunct w:val="0"/>
        <w:bidi w:val="0"/>
        <w:adjustRightInd/>
        <w:snapToGrid/>
        <w:spacing w:line="420" w:lineRule="exact"/>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3.3、免费提供全套、完整的技术资料，包括详细的设备中英文说明书、操作手册和设备维护等有关资料。</w:t>
      </w:r>
    </w:p>
    <w:p w14:paraId="728A058B">
      <w:pPr>
        <w:keepNext w:val="0"/>
        <w:keepLines w:val="0"/>
        <w:pageBreakBefore w:val="0"/>
        <w:widowControl w:val="0"/>
        <w:numPr>
          <w:ilvl w:val="0"/>
          <w:numId w:val="43"/>
        </w:numPr>
        <w:kinsoku/>
        <w:wordWrap/>
        <w:overflowPunct/>
        <w:topLinePunct w:val="0"/>
        <w:bidi w:val="0"/>
        <w:adjustRightInd/>
        <w:snapToGrid/>
        <w:spacing w:line="42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项目建设其他要求</w:t>
      </w:r>
    </w:p>
    <w:p w14:paraId="34038C86">
      <w:pPr>
        <w:pStyle w:val="87"/>
        <w:keepNext w:val="0"/>
        <w:keepLines w:val="0"/>
        <w:pageBreakBefore w:val="0"/>
        <w:widowControl w:val="0"/>
        <w:numPr>
          <w:ilvl w:val="0"/>
          <w:numId w:val="57"/>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中标人在总报价基础上按采购清单的所需设备和数量分别报价，招标人在今后扩展需增加建设时，若采购中标人子系统内容，中标人不得超过本次投标报价。</w:t>
      </w:r>
    </w:p>
    <w:p w14:paraId="0732C13B">
      <w:pPr>
        <w:pStyle w:val="87"/>
        <w:keepNext w:val="0"/>
        <w:keepLines w:val="0"/>
        <w:pageBreakBefore w:val="0"/>
        <w:widowControl w:val="0"/>
        <w:numPr>
          <w:ilvl w:val="0"/>
          <w:numId w:val="57"/>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中标人提供的所有产品所涉及到的知识产权和所提供的技术资料是合法取得，并享有完整的知识产权，不会因为采购人的使用而被责令停止使用、追偿或者要求赔偿，如出现上述问题，一切经济损失和法律责任均由中标人承担。中标人所投标平台项目内系统若采用第三方软件，中标人需提供满足三门县公安局需要的正版授权，采购人不承担该项费用，也不再另行采购。中标人必须保证第三方软件的售后同质化。</w:t>
      </w:r>
    </w:p>
    <w:p w14:paraId="412BB206">
      <w:pPr>
        <w:pStyle w:val="87"/>
        <w:keepNext w:val="0"/>
        <w:keepLines w:val="0"/>
        <w:pageBreakBefore w:val="0"/>
        <w:widowControl w:val="0"/>
        <w:numPr>
          <w:ilvl w:val="0"/>
          <w:numId w:val="57"/>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为了确保人员投入，保证项目服务质量，投标人的投标价格若低于预算价格60%的，需提供其针对本项目的详细的成本说明。若评标专家组半数以上专家认为存在虚假应标或恶意竞标的情形，做无效标处理。</w:t>
      </w:r>
    </w:p>
    <w:p w14:paraId="445975DC">
      <w:pPr>
        <w:keepNext w:val="0"/>
        <w:keepLines w:val="0"/>
        <w:pageBreakBefore w:val="0"/>
        <w:widowControl w:val="0"/>
        <w:numPr>
          <w:ilvl w:val="0"/>
          <w:numId w:val="43"/>
        </w:numPr>
        <w:kinsoku/>
        <w:wordWrap/>
        <w:overflowPunct/>
        <w:topLinePunct w:val="0"/>
        <w:bidi w:val="0"/>
        <w:adjustRightInd/>
        <w:snapToGrid/>
        <w:spacing w:line="42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网络和数据安全条款</w:t>
      </w:r>
    </w:p>
    <w:p w14:paraId="370B3F0E">
      <w:pPr>
        <w:pStyle w:val="12"/>
        <w:keepNext w:val="0"/>
        <w:keepLines w:val="0"/>
        <w:pageBreakBefore w:val="0"/>
        <w:widowControl w:val="0"/>
        <w:numPr>
          <w:ilvl w:val="0"/>
          <w:numId w:val="58"/>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网络安全管理要求</w:t>
      </w:r>
    </w:p>
    <w:p w14:paraId="457ED686">
      <w:pPr>
        <w:pStyle w:val="87"/>
        <w:keepNext w:val="0"/>
        <w:keepLines w:val="0"/>
        <w:pageBreakBefore w:val="0"/>
        <w:widowControl w:val="0"/>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中标人在日常工作中需要严格遵守采购人的网络安全管理要求:</w:t>
      </w:r>
    </w:p>
    <w:p w14:paraId="2DF8B5BC">
      <w:pPr>
        <w:pStyle w:val="87"/>
        <w:keepNext w:val="0"/>
        <w:keepLines w:val="0"/>
        <w:pageBreakBefore w:val="0"/>
        <w:widowControl w:val="0"/>
        <w:numPr>
          <w:ilvl w:val="0"/>
          <w:numId w:val="59"/>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中标人需按照采购人的网络安全管理制度，严格落实网络安全责任，执行日常安全运维、检查制度，确保不发生信息泄密、重大安全漏洞等安全事故。</w:t>
      </w:r>
    </w:p>
    <w:p w14:paraId="3960CC15">
      <w:pPr>
        <w:pStyle w:val="87"/>
        <w:keepNext w:val="0"/>
        <w:keepLines w:val="0"/>
        <w:pageBreakBefore w:val="0"/>
        <w:widowControl w:val="0"/>
        <w:numPr>
          <w:ilvl w:val="0"/>
          <w:numId w:val="59"/>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需要开展现场长期服务的中标人，需派驻现场专职人员，其主要职责包括：负责按照国家及采购人的网络安全管理要求，配合采购人开展派驻现场的安全管理，确保不发生违规行为，接受采购人的监督。</w:t>
      </w:r>
    </w:p>
    <w:p w14:paraId="518212DA">
      <w:pPr>
        <w:pStyle w:val="87"/>
        <w:keepNext w:val="0"/>
        <w:keepLines w:val="0"/>
        <w:pageBreakBefore w:val="0"/>
        <w:widowControl w:val="0"/>
        <w:numPr>
          <w:ilvl w:val="0"/>
          <w:numId w:val="59"/>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中标人网络安全管理人员发生变更时，应在变更前一周将有关变更信息报送采购人。</w:t>
      </w:r>
    </w:p>
    <w:p w14:paraId="061A0B24">
      <w:pPr>
        <w:pStyle w:val="87"/>
        <w:keepNext w:val="0"/>
        <w:keepLines w:val="0"/>
        <w:pageBreakBefore w:val="0"/>
        <w:widowControl w:val="0"/>
        <w:numPr>
          <w:ilvl w:val="0"/>
          <w:numId w:val="59"/>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采购人有权督促指导中标人及人员遵循采购人的安全管理制度和规范，将安全要求合同内容，纳入双方合作协议，定期组织对中标人进行网络安全监督。</w:t>
      </w:r>
    </w:p>
    <w:p w14:paraId="302A24AB">
      <w:pPr>
        <w:pStyle w:val="12"/>
        <w:keepNext w:val="0"/>
        <w:keepLines w:val="0"/>
        <w:pageBreakBefore w:val="0"/>
        <w:widowControl w:val="0"/>
        <w:numPr>
          <w:ilvl w:val="0"/>
          <w:numId w:val="58"/>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数据安全管理要求</w:t>
      </w:r>
    </w:p>
    <w:p w14:paraId="5BCD7DA0">
      <w:pPr>
        <w:pStyle w:val="87"/>
        <w:keepNext w:val="0"/>
        <w:keepLines w:val="0"/>
        <w:pageBreakBefore w:val="0"/>
        <w:widowControl w:val="0"/>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中标人在日常工作中需要严格遵守采购人的数据安全管理要求:</w:t>
      </w:r>
    </w:p>
    <w:p w14:paraId="7559443B">
      <w:pPr>
        <w:pStyle w:val="87"/>
        <w:keepNext w:val="0"/>
        <w:keepLines w:val="0"/>
        <w:pageBreakBefore w:val="0"/>
        <w:widowControl w:val="0"/>
        <w:numPr>
          <w:ilvl w:val="0"/>
          <w:numId w:val="60"/>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合作过程中，如有不可避免地接触到采购人的数据资料、经营信息等各类敏感信息及秘密（下面简称敏感信息），需要采购人进行全程评估及监督，保证不损害敏感信息的保密性、完整性、可用性、真实性、可核查性、可靠性、防抵赖性。</w:t>
      </w:r>
    </w:p>
    <w:p w14:paraId="7C9B74DB">
      <w:pPr>
        <w:pStyle w:val="87"/>
        <w:keepNext w:val="0"/>
        <w:keepLines w:val="0"/>
        <w:pageBreakBefore w:val="0"/>
        <w:widowControl w:val="0"/>
        <w:numPr>
          <w:ilvl w:val="0"/>
          <w:numId w:val="60"/>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在合作过程中，中标人需按照不同权限查看相应的数据，原则上无权修改数据。如工作需要，需采购人指派人员对中标人修改数据行为进行监督评估。</w:t>
      </w:r>
    </w:p>
    <w:p w14:paraId="72DEE546">
      <w:pPr>
        <w:pStyle w:val="87"/>
        <w:keepNext w:val="0"/>
        <w:keepLines w:val="0"/>
        <w:pageBreakBefore w:val="0"/>
        <w:widowControl w:val="0"/>
        <w:numPr>
          <w:ilvl w:val="0"/>
          <w:numId w:val="60"/>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中标人对于数据内容和数据结构进行变更前，应提前向采购人提出变更申请，以避免发生数据混乱。</w:t>
      </w:r>
    </w:p>
    <w:p w14:paraId="6C0EA809">
      <w:pPr>
        <w:pStyle w:val="87"/>
        <w:keepNext w:val="0"/>
        <w:keepLines w:val="0"/>
        <w:pageBreakBefore w:val="0"/>
        <w:widowControl w:val="0"/>
        <w:numPr>
          <w:ilvl w:val="0"/>
          <w:numId w:val="60"/>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中标人有责任配合采购人开展数据备份，数据备份采取定期备份与动态备份相结合的原则。要确保备份数据的完整性和正确性，若数据备份存在问题，应及时把问题反馈至采购人。</w:t>
      </w:r>
    </w:p>
    <w:p w14:paraId="095159FC">
      <w:pPr>
        <w:pStyle w:val="87"/>
        <w:keepNext w:val="0"/>
        <w:keepLines w:val="0"/>
        <w:pageBreakBefore w:val="0"/>
        <w:widowControl w:val="0"/>
        <w:numPr>
          <w:ilvl w:val="0"/>
          <w:numId w:val="60"/>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中标人在工作中产生的敏感数据，在需要销毁时由采购人负责执行，销毁时须有数据生产部门和数据使用部门相关人员监督销毁。</w:t>
      </w:r>
    </w:p>
    <w:p w14:paraId="10F5BDA4">
      <w:pPr>
        <w:pStyle w:val="12"/>
        <w:keepNext w:val="0"/>
        <w:keepLines w:val="0"/>
        <w:pageBreakBefore w:val="0"/>
        <w:widowControl w:val="0"/>
        <w:numPr>
          <w:ilvl w:val="0"/>
          <w:numId w:val="58"/>
        </w:numPr>
        <w:kinsoku/>
        <w:wordWrap/>
        <w:overflowPunct/>
        <w:topLinePunct w:val="0"/>
        <w:bidi w:val="0"/>
        <w:adjustRightInd/>
        <w:snapToGrid/>
        <w:spacing w:line="420" w:lineRule="exact"/>
        <w:ind w:firstLine="480" w:firstLineChars="200"/>
        <w:textAlignment w:val="auto"/>
        <w:rPr>
          <w:rFonts w:hAnsi="宋体" w:cs="宋体"/>
          <w:color w:val="auto"/>
          <w:sz w:val="24"/>
          <w:highlight w:val="none"/>
        </w:rPr>
      </w:pPr>
      <w:r>
        <w:rPr>
          <w:rFonts w:hint="eastAsia" w:hAnsi="宋体" w:cs="宋体"/>
          <w:color w:val="auto"/>
          <w:sz w:val="24"/>
          <w:highlight w:val="none"/>
        </w:rPr>
        <w:t>服务和产品要符合国家相关安全规定及《浙江省信息技术服务外包安全管理规范》要求，并提供相关产品的证书。</w:t>
      </w:r>
    </w:p>
    <w:p w14:paraId="3E78ECAF">
      <w:pPr>
        <w:pStyle w:val="12"/>
        <w:keepNext w:val="0"/>
        <w:keepLines w:val="0"/>
        <w:pageBreakBefore w:val="0"/>
        <w:widowControl w:val="0"/>
        <w:numPr>
          <w:ilvl w:val="0"/>
          <w:numId w:val="58"/>
        </w:numPr>
        <w:kinsoku/>
        <w:wordWrap/>
        <w:overflowPunct/>
        <w:topLinePunct w:val="0"/>
        <w:bidi w:val="0"/>
        <w:adjustRightInd/>
        <w:snapToGrid/>
        <w:spacing w:line="420" w:lineRule="exact"/>
        <w:ind w:firstLine="480" w:firstLineChars="200"/>
        <w:textAlignment w:val="auto"/>
        <w:rPr>
          <w:rFonts w:hAnsi="宋体" w:cs="宋体"/>
          <w:color w:val="auto"/>
          <w:sz w:val="24"/>
          <w:highlight w:val="none"/>
        </w:rPr>
      </w:pPr>
      <w:r>
        <w:rPr>
          <w:rFonts w:hint="eastAsia" w:hAnsi="宋体" w:cs="宋体"/>
          <w:color w:val="auto"/>
          <w:sz w:val="24"/>
          <w:highlight w:val="none"/>
        </w:rPr>
        <w:t>中标方与采购人签署保密协议，中标方提供核心运维人员背景审查材料、并签署个人保密协议。</w:t>
      </w:r>
    </w:p>
    <w:p w14:paraId="401CC094">
      <w:pPr>
        <w:pStyle w:val="12"/>
        <w:keepNext w:val="0"/>
        <w:keepLines w:val="0"/>
        <w:pageBreakBefore w:val="0"/>
        <w:widowControl w:val="0"/>
        <w:numPr>
          <w:ilvl w:val="0"/>
          <w:numId w:val="58"/>
        </w:numPr>
        <w:kinsoku/>
        <w:wordWrap/>
        <w:overflowPunct/>
        <w:topLinePunct w:val="0"/>
        <w:bidi w:val="0"/>
        <w:adjustRightInd/>
        <w:snapToGrid/>
        <w:spacing w:line="420" w:lineRule="exact"/>
        <w:ind w:firstLine="482" w:firstLineChars="200"/>
        <w:textAlignment w:val="auto"/>
        <w:rPr>
          <w:rFonts w:hAnsi="宋体" w:cs="宋体"/>
          <w:b/>
          <w:bCs/>
          <w:color w:val="auto"/>
          <w:sz w:val="24"/>
          <w:highlight w:val="none"/>
        </w:rPr>
      </w:pPr>
      <w:r>
        <w:rPr>
          <w:rFonts w:hint="eastAsia" w:hAnsi="宋体" w:cs="宋体"/>
          <w:b/>
          <w:bCs/>
          <w:color w:val="auto"/>
          <w:sz w:val="24"/>
          <w:highlight w:val="none"/>
        </w:rPr>
        <w:t>网络和数据安全责任条款</w:t>
      </w:r>
    </w:p>
    <w:p w14:paraId="2A14C0CA">
      <w:pPr>
        <w:pStyle w:val="87"/>
        <w:keepNext w:val="0"/>
        <w:keepLines w:val="0"/>
        <w:pageBreakBefore w:val="0"/>
        <w:widowControl w:val="0"/>
        <w:numPr>
          <w:ilvl w:val="0"/>
          <w:numId w:val="61"/>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网络和数据安全保护承诺：中标人开展运营活动时应依法保障电子政务网的安全，在数据处理活动时应当依照《数据安全法》相关规定，建立健全安全管理制度，组织开展网络和数据安全教育培训，采取相应的技术措施和其他必要措施保障安全。如利用互联网等信息网络开展数据处理活动，应当在网络安全等级保护制度的基础上，履行上述安全保护义务。</w:t>
      </w:r>
    </w:p>
    <w:p w14:paraId="7934C2BF">
      <w:pPr>
        <w:pStyle w:val="87"/>
        <w:keepNext w:val="0"/>
        <w:keepLines w:val="0"/>
        <w:pageBreakBefore w:val="0"/>
        <w:widowControl w:val="0"/>
        <w:numPr>
          <w:ilvl w:val="0"/>
          <w:numId w:val="61"/>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安全问责机制：经甲乙双方共同认定因中标人原因引起，受到国家、省级、市级安全问题通报的，相关责任人员按照《浙江信息技术服务外包网络安全管理办法》就行问责。每次通报后，中标人应及时解决并通交书面整改报告。</w:t>
      </w:r>
    </w:p>
    <w:p w14:paraId="78201085">
      <w:pPr>
        <w:pStyle w:val="87"/>
        <w:keepNext w:val="0"/>
        <w:keepLines w:val="0"/>
        <w:pageBreakBefore w:val="0"/>
        <w:widowControl w:val="0"/>
        <w:numPr>
          <w:ilvl w:val="0"/>
          <w:numId w:val="61"/>
        </w:numPr>
        <w:kinsoku/>
        <w:wordWrap/>
        <w:overflowPunct/>
        <w:topLinePunct w:val="0"/>
        <w:bidi w:val="0"/>
        <w:adjustRightInd/>
        <w:snapToGrid/>
        <w:spacing w:line="420" w:lineRule="exact"/>
        <w:ind w:left="0" w:firstLineChars="0"/>
        <w:textAlignment w:val="auto"/>
        <w:rPr>
          <w:rFonts w:ascii="宋体" w:hAnsi="宋体" w:cs="宋体"/>
          <w:color w:val="auto"/>
          <w:highlight w:val="none"/>
        </w:rPr>
      </w:pPr>
      <w:r>
        <w:rPr>
          <w:rFonts w:hint="eastAsia" w:ascii="宋体" w:hAnsi="宋体" w:cs="宋体"/>
          <w:color w:val="auto"/>
          <w:highlight w:val="none"/>
        </w:rPr>
        <w:t>安全处罚机制：中标人在服务期内应保障所提供的服务和产品的网络和数据安全，若发生网络和数据安全事件，采购人有权每次扣除合同款的5%。以上扣除总额不超过合同的20%。网络和数据安全事件包括但不限于以下情形：</w:t>
      </w:r>
    </w:p>
    <w:p w14:paraId="0126B754">
      <w:pPr>
        <w:pStyle w:val="87"/>
        <w:keepNext w:val="0"/>
        <w:keepLines w:val="0"/>
        <w:pageBreakBefore w:val="0"/>
        <w:widowControl w:val="0"/>
        <w:numPr>
          <w:ilvl w:val="0"/>
          <w:numId w:val="62"/>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发生重大网络安全事故；</w:t>
      </w:r>
    </w:p>
    <w:p w14:paraId="4553D27A">
      <w:pPr>
        <w:pStyle w:val="87"/>
        <w:keepNext w:val="0"/>
        <w:keepLines w:val="0"/>
        <w:pageBreakBefore w:val="0"/>
        <w:widowControl w:val="0"/>
        <w:numPr>
          <w:ilvl w:val="0"/>
          <w:numId w:val="62"/>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存在严重安全隐患且逾期未能整改到位或未提交整改报告；</w:t>
      </w:r>
    </w:p>
    <w:p w14:paraId="3BBE7EAB">
      <w:pPr>
        <w:pStyle w:val="87"/>
        <w:keepNext w:val="0"/>
        <w:keepLines w:val="0"/>
        <w:pageBreakBefore w:val="0"/>
        <w:widowControl w:val="0"/>
        <w:numPr>
          <w:ilvl w:val="0"/>
          <w:numId w:val="62"/>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私自保存或泄露本项目相关敏感信息用作他途；</w:t>
      </w:r>
    </w:p>
    <w:p w14:paraId="160E3E17">
      <w:pPr>
        <w:pStyle w:val="87"/>
        <w:keepNext w:val="0"/>
        <w:keepLines w:val="0"/>
        <w:pageBreakBefore w:val="0"/>
        <w:widowControl w:val="0"/>
        <w:numPr>
          <w:ilvl w:val="0"/>
          <w:numId w:val="62"/>
        </w:numPr>
        <w:kinsoku/>
        <w:wordWrap/>
        <w:overflowPunct/>
        <w:topLinePunct w:val="0"/>
        <w:bidi w:val="0"/>
        <w:adjustRightInd/>
        <w:snapToGrid/>
        <w:spacing w:line="420" w:lineRule="exact"/>
        <w:ind w:firstLine="480"/>
        <w:textAlignment w:val="auto"/>
        <w:rPr>
          <w:rFonts w:ascii="宋体" w:hAnsi="宋体" w:cs="宋体"/>
          <w:color w:val="auto"/>
          <w:highlight w:val="none"/>
        </w:rPr>
      </w:pPr>
      <w:r>
        <w:rPr>
          <w:rFonts w:hint="eastAsia" w:ascii="宋体" w:hAnsi="宋体" w:cs="宋体"/>
          <w:color w:val="auto"/>
          <w:highlight w:val="none"/>
        </w:rPr>
        <w:t>违反保密协议中规定的其他事项。</w:t>
      </w:r>
    </w:p>
    <w:p w14:paraId="3B70B546">
      <w:pPr>
        <w:keepNext w:val="0"/>
        <w:keepLines w:val="0"/>
        <w:pageBreakBefore w:val="0"/>
        <w:widowControl w:val="0"/>
        <w:numPr>
          <w:ilvl w:val="0"/>
          <w:numId w:val="41"/>
        </w:numPr>
        <w:kinsoku/>
        <w:wordWrap/>
        <w:overflowPunct/>
        <w:topLinePunct w:val="0"/>
        <w:bidi w:val="0"/>
        <w:adjustRightInd/>
        <w:snapToGrid/>
        <w:spacing w:line="420" w:lineRule="exact"/>
        <w:jc w:val="left"/>
        <w:textAlignment w:val="auto"/>
        <w:rPr>
          <w:rFonts w:ascii="宋体" w:hAnsi="宋体" w:cs="宋体"/>
          <w:b/>
          <w:color w:val="auto"/>
          <w:sz w:val="24"/>
          <w:highlight w:val="none"/>
        </w:rPr>
      </w:pPr>
      <w:r>
        <w:rPr>
          <w:rFonts w:hint="eastAsia" w:ascii="宋体" w:hAnsi="宋体" w:cs="宋体"/>
          <w:b/>
          <w:color w:val="auto"/>
          <w:sz w:val="24"/>
          <w:highlight w:val="none"/>
        </w:rPr>
        <w:t>商务需求</w:t>
      </w:r>
      <w:bookmarkStart w:id="13" w:name="_Toc527009537"/>
    </w:p>
    <w:bookmarkEnd w:id="13"/>
    <w:p w14:paraId="6DE70BC1">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b/>
          <w:color w:val="auto"/>
          <w:highlight w:val="none"/>
        </w:rPr>
      </w:pPr>
      <w:r>
        <w:rPr>
          <w:rFonts w:hint="eastAsia" w:ascii="宋体" w:hAnsi="宋体" w:cs="宋体"/>
          <w:b/>
          <w:color w:val="auto"/>
          <w:highlight w:val="none"/>
        </w:rPr>
        <w:t>质保期：</w:t>
      </w:r>
      <w:r>
        <w:rPr>
          <w:rFonts w:hint="eastAsia" w:ascii="宋体" w:hAnsi="宋体" w:cs="宋体"/>
          <w:bCs/>
          <w:color w:val="auto"/>
          <w:highlight w:val="none"/>
        </w:rPr>
        <w:t>超融合节点服务器硬件、AI服务器硬件、文件存储服务器硬件原厂质保5年；中心机房精密空调5年12次上门巡检服务；超融合万兆交换机硬件、管理千兆交换机硬件原厂质保3年；其他设备及相关配套软件原厂免费质保3年。自最终验收合格开始之日起计算。</w:t>
      </w:r>
    </w:p>
    <w:p w14:paraId="53BAD656">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bCs/>
          <w:color w:val="auto"/>
          <w:highlight w:val="none"/>
        </w:rPr>
      </w:pPr>
      <w:r>
        <w:rPr>
          <w:rFonts w:hint="eastAsia" w:ascii="宋体" w:hAnsi="宋体" w:cs="宋体"/>
          <w:b/>
          <w:color w:val="auto"/>
          <w:highlight w:val="none"/>
        </w:rPr>
        <w:t>项目工期：</w:t>
      </w:r>
      <w:r>
        <w:rPr>
          <w:rFonts w:hint="eastAsia" w:ascii="宋体" w:hAnsi="宋体" w:cs="宋体"/>
          <w:bCs/>
          <w:color w:val="auto"/>
          <w:highlight w:val="none"/>
          <w:lang w:eastAsia="zh-CN"/>
        </w:rPr>
        <w:t>合同签订后4个月内完成供货、安装调试并申请初验，初验合格后试运行3个月后申请终验。终验合格后，进入正式运行阶段</w:t>
      </w:r>
      <w:r>
        <w:rPr>
          <w:rFonts w:hint="eastAsia" w:ascii="宋体" w:hAnsi="宋体" w:cs="宋体"/>
          <w:bCs/>
          <w:color w:val="auto"/>
          <w:highlight w:val="none"/>
        </w:rPr>
        <w:t>。</w:t>
      </w:r>
    </w:p>
    <w:p w14:paraId="41BD7862">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bCs/>
          <w:color w:val="auto"/>
          <w:highlight w:val="none"/>
        </w:rPr>
      </w:pPr>
      <w:r>
        <w:rPr>
          <w:rFonts w:hint="eastAsia" w:ascii="宋体" w:hAnsi="宋体" w:cs="宋体"/>
          <w:b/>
          <w:color w:val="auto"/>
          <w:highlight w:val="none"/>
        </w:rPr>
        <w:t>履约保证金：</w:t>
      </w:r>
      <w:r>
        <w:rPr>
          <w:rFonts w:hint="eastAsia" w:ascii="宋体" w:hAnsi="宋体" w:cs="宋体"/>
          <w:bCs/>
          <w:color w:val="auto"/>
          <w:highlight w:val="none"/>
        </w:rPr>
        <w:t>无。</w:t>
      </w:r>
    </w:p>
    <w:p w14:paraId="1CC02AF5">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color w:val="auto"/>
          <w:highlight w:val="none"/>
        </w:rPr>
      </w:pPr>
      <w:r>
        <w:rPr>
          <w:rFonts w:hint="eastAsia" w:ascii="宋体" w:hAnsi="宋体" w:cs="宋体"/>
          <w:b/>
          <w:color w:val="auto"/>
          <w:highlight w:val="none"/>
        </w:rPr>
        <w:t>付款方式：</w:t>
      </w:r>
    </w:p>
    <w:p w14:paraId="133CCD4D">
      <w:pPr>
        <w:pStyle w:val="11"/>
        <w:keepNext w:val="0"/>
        <w:keepLines w:val="0"/>
        <w:pageBreakBefore w:val="0"/>
        <w:widowControl w:val="0"/>
        <w:numPr>
          <w:ilvl w:val="0"/>
          <w:numId w:val="64"/>
        </w:numPr>
        <w:kinsoku/>
        <w:wordWrap/>
        <w:overflowPunct/>
        <w:topLinePunct w:val="0"/>
        <w:bidi w:val="0"/>
        <w:adjustRightInd/>
        <w:snapToGrid/>
        <w:spacing w:line="420" w:lineRule="exact"/>
        <w:ind w:firstLine="480" w:firstLineChars="200"/>
        <w:textAlignment w:val="auto"/>
        <w:rPr>
          <w:rFonts w:ascii="宋体" w:hAnsi="宋体" w:cs="宋体"/>
          <w:color w:val="auto"/>
          <w:highlight w:val="none"/>
        </w:rPr>
      </w:pPr>
      <w:r>
        <w:rPr>
          <w:rFonts w:hint="eastAsia" w:ascii="宋体" w:hAnsi="宋体" w:cs="宋体"/>
          <w:bCs/>
          <w:color w:val="auto"/>
          <w:highlight w:val="none"/>
        </w:rPr>
        <w:t>合同生效以及具备实施条件后7个工作日内，采购人向中标人支付40%的合同预付款；</w:t>
      </w:r>
    </w:p>
    <w:p w14:paraId="1E9CC3B7">
      <w:pPr>
        <w:pStyle w:val="11"/>
        <w:keepNext w:val="0"/>
        <w:keepLines w:val="0"/>
        <w:pageBreakBefore w:val="0"/>
        <w:widowControl w:val="0"/>
        <w:numPr>
          <w:ilvl w:val="0"/>
          <w:numId w:val="64"/>
        </w:numPr>
        <w:kinsoku/>
        <w:wordWrap/>
        <w:overflowPunct/>
        <w:topLinePunct w:val="0"/>
        <w:bidi w:val="0"/>
        <w:adjustRightInd/>
        <w:snapToGrid/>
        <w:spacing w:line="420" w:lineRule="exact"/>
        <w:ind w:firstLine="480" w:firstLineChars="200"/>
        <w:textAlignment w:val="auto"/>
        <w:rPr>
          <w:rFonts w:ascii="宋体" w:hAnsi="宋体" w:cs="宋体"/>
          <w:color w:val="auto"/>
          <w:highlight w:val="none"/>
        </w:rPr>
      </w:pPr>
      <w:r>
        <w:rPr>
          <w:rFonts w:hint="eastAsia" w:ascii="宋体" w:hAnsi="宋体" w:cs="宋体"/>
          <w:bCs/>
          <w:color w:val="auto"/>
          <w:highlight w:val="none"/>
        </w:rPr>
        <w:t>在中标人完成供货、安装调试，并经采购人初验合格收到发票后7个工作日内，向中标人支付合同总金额的30%；</w:t>
      </w:r>
    </w:p>
    <w:p w14:paraId="7F0CF48E">
      <w:pPr>
        <w:pStyle w:val="11"/>
        <w:keepNext w:val="0"/>
        <w:keepLines w:val="0"/>
        <w:pageBreakBefore w:val="0"/>
        <w:widowControl w:val="0"/>
        <w:numPr>
          <w:ilvl w:val="0"/>
          <w:numId w:val="64"/>
        </w:numPr>
        <w:kinsoku/>
        <w:wordWrap/>
        <w:overflowPunct/>
        <w:topLinePunct w:val="0"/>
        <w:bidi w:val="0"/>
        <w:adjustRightInd/>
        <w:snapToGrid/>
        <w:spacing w:line="420" w:lineRule="exact"/>
        <w:ind w:firstLine="480" w:firstLineChars="200"/>
        <w:textAlignment w:val="auto"/>
        <w:rPr>
          <w:rFonts w:ascii="宋体" w:hAnsi="宋体" w:cs="宋体"/>
          <w:color w:val="auto"/>
          <w:highlight w:val="none"/>
        </w:rPr>
      </w:pPr>
      <w:r>
        <w:rPr>
          <w:rFonts w:hint="eastAsia" w:ascii="宋体" w:hAnsi="宋体" w:cs="宋体"/>
          <w:bCs/>
          <w:color w:val="auto"/>
          <w:highlight w:val="none"/>
        </w:rPr>
        <w:t>中标人完成试运行并经采购人终验合格收到发票后7个工作日内，付清剩余款项。</w:t>
      </w:r>
    </w:p>
    <w:p w14:paraId="2F0EEAD1">
      <w:pPr>
        <w:pStyle w:val="11"/>
        <w:keepNext w:val="0"/>
        <w:keepLines w:val="0"/>
        <w:pageBreakBefore w:val="0"/>
        <w:widowControl w:val="0"/>
        <w:numPr>
          <w:ilvl w:val="0"/>
          <w:numId w:val="64"/>
        </w:numPr>
        <w:kinsoku/>
        <w:wordWrap/>
        <w:overflowPunct/>
        <w:topLinePunct w:val="0"/>
        <w:bidi w:val="0"/>
        <w:adjustRightInd/>
        <w:snapToGrid/>
        <w:spacing w:line="420" w:lineRule="exact"/>
        <w:ind w:firstLine="480" w:firstLineChars="200"/>
        <w:textAlignment w:val="auto"/>
        <w:rPr>
          <w:rFonts w:ascii="宋体" w:hAnsi="宋体" w:cs="宋体"/>
          <w:color w:val="auto"/>
          <w:highlight w:val="none"/>
        </w:rPr>
      </w:pPr>
      <w:r>
        <w:rPr>
          <w:rFonts w:hint="eastAsia" w:ascii="宋体" w:hAnsi="宋体" w:cs="宋体"/>
          <w:bCs/>
          <w:color w:val="auto"/>
          <w:highlight w:val="none"/>
        </w:rPr>
        <w:t>正式增值税务发票应随付款进度及时提供。</w:t>
      </w:r>
    </w:p>
    <w:p w14:paraId="6A5317E2">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bCs/>
          <w:color w:val="auto"/>
          <w:highlight w:val="none"/>
        </w:rPr>
      </w:pPr>
      <w:r>
        <w:rPr>
          <w:rFonts w:hint="eastAsia" w:ascii="宋体" w:hAnsi="宋体" w:cs="宋体"/>
          <w:b/>
          <w:color w:val="auto"/>
          <w:highlight w:val="none"/>
        </w:rPr>
        <w:t>项目实施地点：</w:t>
      </w:r>
      <w:r>
        <w:rPr>
          <w:rFonts w:hint="eastAsia" w:ascii="宋体" w:hAnsi="宋体" w:cs="宋体"/>
          <w:bCs/>
          <w:color w:val="auto"/>
          <w:highlight w:val="none"/>
        </w:rPr>
        <w:t>三门县公安局。</w:t>
      </w:r>
    </w:p>
    <w:p w14:paraId="10C82FA4">
      <w:pPr>
        <w:pStyle w:val="11"/>
        <w:keepNext w:val="0"/>
        <w:keepLines w:val="0"/>
        <w:pageBreakBefore w:val="0"/>
        <w:widowControl w:val="0"/>
        <w:numPr>
          <w:ilvl w:val="0"/>
          <w:numId w:val="63"/>
        </w:numPr>
        <w:kinsoku/>
        <w:wordWrap/>
        <w:overflowPunct/>
        <w:topLinePunct w:val="0"/>
        <w:bidi w:val="0"/>
        <w:adjustRightInd/>
        <w:snapToGrid/>
        <w:spacing w:line="420" w:lineRule="exact"/>
        <w:ind w:firstLine="482" w:firstLineChars="200"/>
        <w:textAlignment w:val="auto"/>
        <w:rPr>
          <w:rFonts w:ascii="宋体" w:hAnsi="宋体" w:cs="宋体"/>
          <w:color w:val="auto"/>
          <w:highlight w:val="none"/>
        </w:rPr>
      </w:pPr>
      <w:r>
        <w:rPr>
          <w:rFonts w:hint="eastAsia" w:ascii="宋体" w:hAnsi="宋体" w:cs="宋体"/>
          <w:b/>
          <w:color w:val="auto"/>
          <w:highlight w:val="none"/>
        </w:rPr>
        <w:t>项目报价要求：</w:t>
      </w:r>
      <w:r>
        <w:rPr>
          <w:rFonts w:hint="eastAsia" w:ascii="宋体" w:hAnsi="宋体" w:cs="宋体"/>
          <w:bCs/>
          <w:color w:val="auto"/>
          <w:highlight w:val="none"/>
        </w:rPr>
        <w:t>供应商应要根据项目内容要求、项目特点和企业自身条件确定报价。项目费用包括但不限于主件、标准附件、备品备件、人工、服务、专用工具、包装、运输、装卸、安装、</w:t>
      </w:r>
      <w:r>
        <w:rPr>
          <w:rFonts w:hint="eastAsia" w:ascii="宋体" w:hAnsi="宋体" w:cs="宋体"/>
          <w:bCs/>
          <w:color w:val="auto"/>
          <w:highlight w:val="none"/>
          <w:lang w:eastAsia="zh-CN"/>
        </w:rPr>
        <w:t>调试、试运行、保修、培训</w:t>
      </w:r>
      <w:r>
        <w:rPr>
          <w:rFonts w:hint="eastAsia" w:ascii="宋体" w:hAnsi="宋体" w:cs="宋体"/>
          <w:bCs/>
          <w:color w:val="auto"/>
          <w:highlight w:val="none"/>
        </w:rPr>
        <w:t>、保险、利润、关税、规费、税金、政策性文件规定、招标代理服务费、合同包含的所有风险责任等各项费用及不可预见费等项目实施所发生的全部费用。如有漏项，视同已包含在本项目的总报价中。</w:t>
      </w:r>
    </w:p>
    <w:p w14:paraId="6AD867B0">
      <w:pPr>
        <w:keepNext w:val="0"/>
        <w:keepLines w:val="0"/>
        <w:pageBreakBefore w:val="0"/>
        <w:widowControl w:val="0"/>
        <w:numPr>
          <w:ilvl w:val="0"/>
          <w:numId w:val="41"/>
        </w:numPr>
        <w:kinsoku/>
        <w:wordWrap/>
        <w:overflowPunct/>
        <w:topLinePunct w:val="0"/>
        <w:bidi w:val="0"/>
        <w:adjustRightInd/>
        <w:snapToGrid/>
        <w:spacing w:line="420" w:lineRule="exact"/>
        <w:jc w:val="left"/>
        <w:textAlignment w:val="auto"/>
        <w:rPr>
          <w:rFonts w:ascii="宋体" w:hAnsi="宋体" w:cs="宋体"/>
          <w:b/>
          <w:color w:val="auto"/>
          <w:sz w:val="24"/>
          <w:highlight w:val="none"/>
        </w:rPr>
      </w:pPr>
      <w:r>
        <w:rPr>
          <w:rFonts w:hint="eastAsia" w:ascii="宋体" w:hAnsi="宋体" w:cs="宋体"/>
          <w:b/>
          <w:color w:val="auto"/>
          <w:sz w:val="24"/>
          <w:highlight w:val="none"/>
        </w:rPr>
        <w:t>其他</w:t>
      </w:r>
    </w:p>
    <w:p w14:paraId="0B0EC539">
      <w:pPr>
        <w:keepNext w:val="0"/>
        <w:keepLines w:val="0"/>
        <w:pageBreakBefore w:val="0"/>
        <w:widowControl w:val="0"/>
        <w:numPr>
          <w:ilvl w:val="0"/>
          <w:numId w:val="65"/>
        </w:numPr>
        <w:kinsoku/>
        <w:wordWrap/>
        <w:overflowPunct/>
        <w:topLinePunct w:val="0"/>
        <w:autoSpaceDE w:val="0"/>
        <w:autoSpaceDN w:val="0"/>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安全责任：成交人外业调查期间发生的人身意外事故由其自行负责，与采购人无关。</w:t>
      </w:r>
    </w:p>
    <w:p w14:paraId="50B0DFF7">
      <w:pPr>
        <w:keepNext w:val="0"/>
        <w:keepLines w:val="0"/>
        <w:pageBreakBefore w:val="0"/>
        <w:widowControl w:val="0"/>
        <w:numPr>
          <w:ilvl w:val="0"/>
          <w:numId w:val="65"/>
        </w:numPr>
        <w:kinsoku/>
        <w:wordWrap/>
        <w:overflowPunct/>
        <w:topLinePunct w:val="0"/>
        <w:autoSpaceDE w:val="0"/>
        <w:autoSpaceDN w:val="0"/>
        <w:bidi w:val="0"/>
        <w:adjustRightInd/>
        <w:snapToGri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现场踏勘：供应商自行组织现场踏勘，踏勘现场所发生的费用由供应商自己承担。</w:t>
      </w:r>
    </w:p>
    <w:p w14:paraId="2C8CF2C7">
      <w:pPr>
        <w:rPr>
          <w:rFonts w:asciiTheme="majorEastAsia" w:hAnsiTheme="majorEastAsia" w:eastAsiaTheme="majorEastAsia"/>
          <w:b/>
          <w:color w:val="auto"/>
          <w:kern w:val="0"/>
          <w:sz w:val="32"/>
          <w:szCs w:val="32"/>
          <w:highlight w:val="none"/>
        </w:rPr>
      </w:pPr>
      <w:r>
        <w:rPr>
          <w:rFonts w:hint="eastAsia" w:asciiTheme="majorEastAsia" w:hAnsiTheme="majorEastAsia" w:eastAsiaTheme="majorEastAsia"/>
          <w:b/>
          <w:color w:val="auto"/>
          <w:kern w:val="0"/>
          <w:sz w:val="32"/>
          <w:szCs w:val="32"/>
          <w:highlight w:val="none"/>
        </w:rPr>
        <w:br w:type="page"/>
      </w:r>
    </w:p>
    <w:p w14:paraId="364A9349">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2"/>
          <w:szCs w:val="32"/>
          <w:highlight w:val="none"/>
        </w:rPr>
      </w:pPr>
      <w:bookmarkStart w:id="14" w:name="_Toc28147"/>
      <w:r>
        <w:rPr>
          <w:rFonts w:hint="eastAsia" w:asciiTheme="majorEastAsia" w:hAnsiTheme="majorEastAsia" w:eastAsiaTheme="majorEastAsia"/>
          <w:b/>
          <w:color w:val="auto"/>
          <w:kern w:val="0"/>
          <w:sz w:val="32"/>
          <w:szCs w:val="32"/>
          <w:highlight w:val="none"/>
        </w:rPr>
        <w:t>评标</w:t>
      </w:r>
      <w:bookmarkEnd w:id="12"/>
      <w:bookmarkEnd w:id="14"/>
    </w:p>
    <w:p w14:paraId="66012CF0">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评标原则</w:t>
      </w:r>
    </w:p>
    <w:p w14:paraId="5625CFB9">
      <w:pPr>
        <w:numPr>
          <w:ilvl w:val="0"/>
          <w:numId w:val="67"/>
        </w:numPr>
        <w:spacing w:line="360" w:lineRule="auto"/>
        <w:rPr>
          <w:rFonts w:ascii="宋体" w:hAnsi="宋体" w:cs="宋体"/>
          <w:color w:val="auto"/>
          <w:sz w:val="24"/>
          <w:highlight w:val="none"/>
        </w:rPr>
      </w:pPr>
      <w:r>
        <w:rPr>
          <w:rFonts w:hint="eastAsia" w:ascii="宋体" w:hAnsi="宋体" w:cs="宋体"/>
          <w:color w:val="auto"/>
          <w:sz w:val="24"/>
          <w:highlight w:val="none"/>
        </w:rPr>
        <w:t>评标活动遵循公平、公正、科学和择优的原则，以招标文件和投标文件为评标的基本依据，并按照招标文件规定的评标方法和评标标准进行评标。</w:t>
      </w:r>
    </w:p>
    <w:p w14:paraId="039ED290">
      <w:pPr>
        <w:numPr>
          <w:ilvl w:val="0"/>
          <w:numId w:val="67"/>
        </w:numPr>
        <w:spacing w:line="360" w:lineRule="auto"/>
        <w:rPr>
          <w:rFonts w:ascii="宋体" w:hAnsi="宋体" w:cs="宋体"/>
          <w:color w:val="auto"/>
          <w:sz w:val="24"/>
          <w:highlight w:val="none"/>
        </w:rPr>
      </w:pPr>
      <w:r>
        <w:rPr>
          <w:rFonts w:hint="eastAsia" w:ascii="宋体" w:hAnsi="宋体" w:cs="宋体"/>
          <w:color w:val="auto"/>
          <w:sz w:val="24"/>
          <w:highlight w:val="none"/>
        </w:rPr>
        <w:t>任何单位和个人不得干扰、影响评标的正常进行；评标委员会及有关工作人员应不带任何倾向性和启发性，不得向外界透露任何与评标有关的内容，不得私下与投标人接触。</w:t>
      </w:r>
    </w:p>
    <w:p w14:paraId="7F00966E">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评标方法</w:t>
      </w:r>
    </w:p>
    <w:p w14:paraId="5497FC09">
      <w:pPr>
        <w:spacing w:line="360" w:lineRule="auto"/>
        <w:ind w:firstLine="480" w:firstLineChars="200"/>
        <w:rPr>
          <w:color w:val="auto"/>
          <w:sz w:val="24"/>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65ACCBB2">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评标委员会</w:t>
      </w:r>
    </w:p>
    <w:p w14:paraId="37041D66">
      <w:pPr>
        <w:pStyle w:val="8"/>
        <w:numPr>
          <w:ilvl w:val="0"/>
          <w:numId w:val="68"/>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本项目评标委员会由采购人代表（1人）和评审专家（4人）组成。</w:t>
      </w:r>
    </w:p>
    <w:p w14:paraId="33A7C37E">
      <w:pPr>
        <w:pStyle w:val="8"/>
        <w:numPr>
          <w:ilvl w:val="0"/>
          <w:numId w:val="68"/>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评标委员会成员与参与投标的供应商有下列情形之一的，应当回避：</w:t>
      </w:r>
    </w:p>
    <w:p w14:paraId="46037936">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参加采购活动前3年内与供应商存在劳动关系；</w:t>
      </w:r>
    </w:p>
    <w:p w14:paraId="0E4DEE8D">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参加采购活动前3年内担任供应商的董事、监事；</w:t>
      </w:r>
    </w:p>
    <w:p w14:paraId="5EC55A35">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参加采购活动前3年内是供应商的控股股东或者实际控制人；</w:t>
      </w:r>
    </w:p>
    <w:p w14:paraId="54228BEE">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与供应商的法定代表人或者负责人有夫妻、直系血亲、三代以内旁系血亲或者近姻亲关系；</w:t>
      </w:r>
    </w:p>
    <w:p w14:paraId="4C5EF9C9">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与供应商有其他可能影响政府采购活动公平、公正进行的关系；</w:t>
      </w:r>
    </w:p>
    <w:p w14:paraId="72A16311">
      <w:pPr>
        <w:pStyle w:val="8"/>
        <w:numPr>
          <w:ilvl w:val="0"/>
          <w:numId w:val="69"/>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法律法规规定的其他情形。</w:t>
      </w:r>
    </w:p>
    <w:p w14:paraId="34627538">
      <w:pPr>
        <w:pStyle w:val="8"/>
        <w:numPr>
          <w:ilvl w:val="0"/>
          <w:numId w:val="68"/>
        </w:num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评标委员会负责具体评标事务，并独立履行下列职责：</w:t>
      </w:r>
    </w:p>
    <w:p w14:paraId="4037AA81">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审查、评价投标文件是否符合招标文件的商务、技术等实质性要求；</w:t>
      </w:r>
    </w:p>
    <w:p w14:paraId="3294E371">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要求投标人对投标文件有关事项作出澄清或者说明；</w:t>
      </w:r>
    </w:p>
    <w:p w14:paraId="14E631F5">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对投标文件进行比较和评价；</w:t>
      </w:r>
    </w:p>
    <w:p w14:paraId="5E17378E">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确定中标候选人名单，以及根据采购人委托直接确定中标人；</w:t>
      </w:r>
    </w:p>
    <w:p w14:paraId="3BBB1B3A">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向采购人、采购组织机构或者有关部门报告评标中发现的违法行为；</w:t>
      </w:r>
    </w:p>
    <w:p w14:paraId="14105557">
      <w:pPr>
        <w:pStyle w:val="8"/>
        <w:numPr>
          <w:ilvl w:val="0"/>
          <w:numId w:val="70"/>
        </w:num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法律法规规定的其他职责。</w:t>
      </w:r>
    </w:p>
    <w:p w14:paraId="51A6B934">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无效标情形</w:t>
      </w:r>
    </w:p>
    <w:p w14:paraId="041BEE7D">
      <w:pPr>
        <w:numPr>
          <w:ilvl w:val="0"/>
          <w:numId w:val="71"/>
        </w:numPr>
        <w:adjustRightInd w:val="0"/>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在资格证明文件或商务与技术文件中出现投标报价的，或者报价文件中报价的货物跟商务与技术文件中的投标货物出现重大偏差的；</w:t>
      </w:r>
    </w:p>
    <w:p w14:paraId="3E98E8C8">
      <w:pPr>
        <w:pStyle w:val="23"/>
        <w:numPr>
          <w:ilvl w:val="0"/>
          <w:numId w:val="71"/>
        </w:numPr>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不具备招标文件中规定的资格要求的；</w:t>
      </w:r>
      <w:r>
        <w:rPr>
          <w:rFonts w:hint="default" w:asciiTheme="minorEastAsia" w:hAnsiTheme="minorEastAsia" w:eastAsiaTheme="minorEastAsia"/>
          <w:color w:val="auto"/>
          <w:highlight w:val="none"/>
        </w:rPr>
        <w:tab/>
      </w:r>
    </w:p>
    <w:p w14:paraId="0B27236A">
      <w:pPr>
        <w:pStyle w:val="23"/>
        <w:numPr>
          <w:ilvl w:val="0"/>
          <w:numId w:val="71"/>
        </w:numPr>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投标文件含有采购人不能接受的附加条件的；</w:t>
      </w:r>
    </w:p>
    <w:p w14:paraId="77865C6A">
      <w:pPr>
        <w:pStyle w:val="10"/>
        <w:numPr>
          <w:ilvl w:val="0"/>
          <w:numId w:val="71"/>
        </w:numPr>
        <w:spacing w:line="360" w:lineRule="auto"/>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评标委员会认为投标人的报价明显低于其他通过符合性审查投标人的报价，有可能影响产品质量或者不能诚信履约的，投标人在限定的时间内不能证明其报价合理性的，评标委员会应当将其作为无效投标处理；</w:t>
      </w:r>
    </w:p>
    <w:p w14:paraId="78945693">
      <w:pPr>
        <w:pStyle w:val="23"/>
        <w:numPr>
          <w:ilvl w:val="0"/>
          <w:numId w:val="71"/>
        </w:numPr>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报价超过招标文件中规定的预算金额/最高限价或未填写投标报价的； </w:t>
      </w:r>
    </w:p>
    <w:p w14:paraId="6DCA4035">
      <w:pPr>
        <w:pStyle w:val="23"/>
        <w:numPr>
          <w:ilvl w:val="0"/>
          <w:numId w:val="71"/>
        </w:numPr>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投标参数未如实填写，完全复制粘贴招标参数的；</w:t>
      </w:r>
    </w:p>
    <w:p w14:paraId="030E265F">
      <w:pPr>
        <w:pStyle w:val="23"/>
        <w:numPr>
          <w:ilvl w:val="0"/>
          <w:numId w:val="71"/>
        </w:numPr>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投标文件存在虚假材料的； </w:t>
      </w:r>
    </w:p>
    <w:p w14:paraId="50E2BA64">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25156ACB">
      <w:pPr>
        <w:numPr>
          <w:ilvl w:val="0"/>
          <w:numId w:val="72"/>
        </w:num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不同投标人的投标文件由同一单位或者个人编制；</w:t>
      </w:r>
    </w:p>
    <w:p w14:paraId="41AEBDC5">
      <w:pPr>
        <w:pStyle w:val="23"/>
        <w:numPr>
          <w:ilvl w:val="0"/>
          <w:numId w:val="72"/>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不同投标人委托同一单位或者个人办理投标事宜；</w:t>
      </w:r>
    </w:p>
    <w:p w14:paraId="67B3081B">
      <w:pPr>
        <w:pStyle w:val="23"/>
        <w:numPr>
          <w:ilvl w:val="0"/>
          <w:numId w:val="72"/>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不同投标人的投标文件载明的项目管理成员或者联系人员为同一人；</w:t>
      </w:r>
    </w:p>
    <w:p w14:paraId="5A4ACFF8">
      <w:pPr>
        <w:pStyle w:val="23"/>
        <w:numPr>
          <w:ilvl w:val="0"/>
          <w:numId w:val="72"/>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不同投标人的投标文件异常一致或者投标报价呈规律性差异；</w:t>
      </w:r>
    </w:p>
    <w:p w14:paraId="031946F9">
      <w:pPr>
        <w:pStyle w:val="23"/>
        <w:numPr>
          <w:ilvl w:val="0"/>
          <w:numId w:val="72"/>
        </w:numPr>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不同投标人的投标文件相互混装。</w:t>
      </w:r>
    </w:p>
    <w:p w14:paraId="7BC464D1">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实质性要求（招标文件中打“▲”内容）不响应的；</w:t>
      </w:r>
    </w:p>
    <w:p w14:paraId="385CA622">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商务条款不响应的；</w:t>
      </w:r>
    </w:p>
    <w:p w14:paraId="555E28AA">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投标文件有效期不足的；</w:t>
      </w:r>
    </w:p>
    <w:p w14:paraId="184AD215">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逾期或未按要求提交投标文件的；</w:t>
      </w:r>
    </w:p>
    <w:p w14:paraId="096A3EAF">
      <w:pPr>
        <w:numPr>
          <w:ilvl w:val="0"/>
          <w:numId w:val="71"/>
        </w:numPr>
        <w:tabs>
          <w:tab w:val="left" w:pos="1898"/>
        </w:tabs>
        <w:autoSpaceDE w:val="0"/>
        <w:autoSpaceDN w:val="0"/>
        <w:adjustRightInd w:val="0"/>
        <w:snapToGri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其他不符合法律法规相关规定的。</w:t>
      </w:r>
    </w:p>
    <w:p w14:paraId="4BF364E3">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废标情形</w:t>
      </w:r>
    </w:p>
    <w:p w14:paraId="537243D6">
      <w:pPr>
        <w:pStyle w:val="23"/>
        <w:numPr>
          <w:ilvl w:val="0"/>
          <w:numId w:val="73"/>
        </w:numPr>
        <w:spacing w:before="0" w:beforeAutospacing="0" w:after="0" w:afterAutospacing="0" w:line="360" w:lineRule="auto"/>
        <w:jc w:val="both"/>
        <w:rPr>
          <w:rFonts w:hint="default" w:cs="宋体"/>
          <w:color w:val="auto"/>
          <w:highlight w:val="none"/>
        </w:rPr>
      </w:pPr>
      <w:r>
        <w:rPr>
          <w:rFonts w:cs="宋体"/>
          <w:color w:val="auto"/>
          <w:highlight w:val="none"/>
        </w:rPr>
        <w:t>出现影响采购公正的违法、违规行为的；</w:t>
      </w:r>
    </w:p>
    <w:p w14:paraId="61A14DBE">
      <w:pPr>
        <w:pStyle w:val="23"/>
        <w:numPr>
          <w:ilvl w:val="0"/>
          <w:numId w:val="73"/>
        </w:numPr>
        <w:spacing w:before="0" w:beforeAutospacing="0" w:after="0" w:afterAutospacing="0" w:line="360" w:lineRule="auto"/>
        <w:jc w:val="both"/>
        <w:rPr>
          <w:rFonts w:hint="default" w:cs="宋体"/>
          <w:b/>
          <w:bCs/>
          <w:color w:val="auto"/>
          <w:highlight w:val="none"/>
        </w:rPr>
      </w:pPr>
      <w:r>
        <w:rPr>
          <w:rFonts w:cs="宋体"/>
          <w:color w:val="auto"/>
          <w:highlight w:val="none"/>
        </w:rPr>
        <w:t>评标委员会发现招标文件存在歧义、重大缺陷导致评标工作无法进行，或者招标文件内容违反国家有关强制性规定的；</w:t>
      </w:r>
    </w:p>
    <w:p w14:paraId="04306C89">
      <w:pPr>
        <w:pStyle w:val="23"/>
        <w:numPr>
          <w:ilvl w:val="0"/>
          <w:numId w:val="73"/>
        </w:numPr>
        <w:spacing w:before="0" w:beforeAutospacing="0" w:after="0" w:afterAutospacing="0" w:line="360" w:lineRule="auto"/>
        <w:jc w:val="both"/>
        <w:rPr>
          <w:rFonts w:hint="default" w:cs="宋体"/>
          <w:color w:val="auto"/>
          <w:highlight w:val="none"/>
        </w:rPr>
      </w:pPr>
      <w:r>
        <w:rPr>
          <w:rFonts w:cs="宋体"/>
          <w:color w:val="auto"/>
          <w:highlight w:val="none"/>
        </w:rPr>
        <w:t>因重大变故，采购任务取消的；</w:t>
      </w:r>
    </w:p>
    <w:p w14:paraId="50C07692">
      <w:pPr>
        <w:pStyle w:val="23"/>
        <w:numPr>
          <w:ilvl w:val="0"/>
          <w:numId w:val="73"/>
        </w:numPr>
        <w:spacing w:before="0" w:beforeAutospacing="0" w:after="0" w:afterAutospacing="0" w:line="360" w:lineRule="auto"/>
        <w:jc w:val="both"/>
        <w:rPr>
          <w:rFonts w:hint="default" w:cs="宋体"/>
          <w:color w:val="auto"/>
          <w:highlight w:val="none"/>
        </w:rPr>
      </w:pPr>
      <w:r>
        <w:rPr>
          <w:rFonts w:cs="宋体"/>
          <w:color w:val="auto"/>
          <w:highlight w:val="none"/>
        </w:rPr>
        <w:t>法律、法规和招标文件规定的其他导致评标结果无效的。</w:t>
      </w:r>
    </w:p>
    <w:p w14:paraId="02919EBA">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评标过程的监控</w:t>
      </w:r>
    </w:p>
    <w:p w14:paraId="2782F753">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6656F602">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政府采购政策落实</w:t>
      </w:r>
    </w:p>
    <w:p w14:paraId="312886D1">
      <w:pPr>
        <w:numPr>
          <w:ilvl w:val="0"/>
          <w:numId w:val="74"/>
        </w:numPr>
        <w:autoSpaceDE w:val="0"/>
        <w:autoSpaceDN w:val="0"/>
        <w:adjustRightInd w:val="0"/>
        <w:spacing w:line="360" w:lineRule="auto"/>
        <w:rPr>
          <w:rFonts w:ascii="宋体"/>
          <w:b/>
          <w:bCs/>
          <w:color w:val="auto"/>
          <w:sz w:val="24"/>
          <w:highlight w:val="none"/>
          <w:lang w:val="zh-CN"/>
        </w:rPr>
      </w:pPr>
      <w:r>
        <w:rPr>
          <w:rFonts w:hint="eastAsia" w:ascii="宋体"/>
          <w:b/>
          <w:bCs/>
          <w:color w:val="auto"/>
          <w:sz w:val="24"/>
          <w:highlight w:val="none"/>
          <w:lang w:val="zh-CN"/>
        </w:rPr>
        <w:t>政府采购政策：</w:t>
      </w:r>
    </w:p>
    <w:p w14:paraId="7AC8BC77">
      <w:pPr>
        <w:numPr>
          <w:ilvl w:val="0"/>
          <w:numId w:val="75"/>
        </w:num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01F31872">
      <w:pPr>
        <w:numPr>
          <w:ilvl w:val="0"/>
          <w:numId w:val="75"/>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65FD8097">
      <w:pPr>
        <w:numPr>
          <w:ilvl w:val="0"/>
          <w:numId w:val="75"/>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残疾人福利性单位在参加政府采购活动时，应提供《残疾人福利性单位声明函》，视同小型、微型企业，享受小微企业政府采购优惠政策；</w:t>
      </w:r>
    </w:p>
    <w:p w14:paraId="493AFD05">
      <w:pPr>
        <w:numPr>
          <w:ilvl w:val="0"/>
          <w:numId w:val="75"/>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14:paraId="77098354">
      <w:pPr>
        <w:numPr>
          <w:ilvl w:val="0"/>
          <w:numId w:val="75"/>
        </w:num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300178A">
      <w:pPr>
        <w:numPr>
          <w:ilvl w:val="0"/>
          <w:numId w:val="74"/>
        </w:numPr>
        <w:autoSpaceDE w:val="0"/>
        <w:autoSpaceDN w:val="0"/>
        <w:adjustRightInd w:val="0"/>
        <w:spacing w:line="360" w:lineRule="auto"/>
        <w:rPr>
          <w:b/>
          <w:bCs/>
          <w:color w:val="auto"/>
          <w:highlight w:val="none"/>
          <w:lang w:val="zh-CN"/>
        </w:rPr>
      </w:pPr>
      <w:r>
        <w:rPr>
          <w:rFonts w:hint="eastAsia" w:ascii="宋体"/>
          <w:b/>
          <w:bCs/>
          <w:color w:val="auto"/>
          <w:sz w:val="24"/>
          <w:highlight w:val="none"/>
        </w:rPr>
        <w:t>政府采购政策优惠措施：</w:t>
      </w:r>
    </w:p>
    <w:p w14:paraId="7593E3DE">
      <w:pPr>
        <w:autoSpaceDE w:val="0"/>
        <w:autoSpaceDN w:val="0"/>
        <w:spacing w:line="44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经主管预算单位统筹后未预留份额专门面向中小企业采购的采购项目，以及预留份额项目中的非预留部分：</w:t>
      </w:r>
      <w:r>
        <w:rPr>
          <w:rFonts w:hint="eastAsia" w:ascii="宋体" w:hAnsi="宋体" w:cs="宋体"/>
          <w:color w:val="auto"/>
          <w:kern w:val="0"/>
          <w:sz w:val="24"/>
          <w:highlight w:val="none"/>
        </w:rPr>
        <w:t>对</w:t>
      </w:r>
      <w:r>
        <w:rPr>
          <w:rFonts w:hint="eastAsia" w:ascii="宋体" w:hAnsi="宋体" w:cs="宋体"/>
          <w:color w:val="auto"/>
          <w:kern w:val="0"/>
          <w:sz w:val="24"/>
          <w:highlight w:val="none"/>
          <w:lang w:val="zh-CN"/>
        </w:rPr>
        <w:t>小微企业</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给予20%的扣除，用扣除后的价格计算评标基准价和投标报价。联合体各方均为小微企业的，联合体视同为小微企业，</w:t>
      </w:r>
      <w:r>
        <w:rPr>
          <w:rFonts w:hint="eastAsia" w:ascii="宋体" w:hAnsi="宋体" w:cs="宋体"/>
          <w:color w:val="auto"/>
          <w:kern w:val="0"/>
          <w:sz w:val="24"/>
          <w:highlight w:val="none"/>
        </w:rPr>
        <w:t>对报价</w:t>
      </w:r>
      <w:r>
        <w:rPr>
          <w:rFonts w:hint="eastAsia" w:ascii="宋体" w:hAnsi="宋体" w:cs="宋体"/>
          <w:color w:val="auto"/>
          <w:kern w:val="0"/>
          <w:sz w:val="24"/>
          <w:highlight w:val="none"/>
          <w:lang w:val="zh-CN"/>
        </w:rPr>
        <w:t>给予20%的扣除；联合协议或者分包意向协议约定小微企业的合同份额占到合同总金额30%以上的，应</w:t>
      </w:r>
      <w:r>
        <w:rPr>
          <w:rFonts w:hint="eastAsia" w:ascii="宋体" w:hAnsi="宋体" w:cs="宋体"/>
          <w:color w:val="auto"/>
          <w:kern w:val="0"/>
          <w:sz w:val="24"/>
          <w:highlight w:val="none"/>
        </w:rPr>
        <w:t>对联合体或者大中型企业的报价</w:t>
      </w:r>
      <w:r>
        <w:rPr>
          <w:rFonts w:hint="eastAsia" w:ascii="宋体" w:hAnsi="宋体" w:cs="宋体"/>
          <w:color w:val="auto"/>
          <w:kern w:val="0"/>
          <w:sz w:val="24"/>
          <w:highlight w:val="none"/>
          <w:lang w:val="zh-CN"/>
        </w:rPr>
        <w:t>给予</w:t>
      </w: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的价格扣除，用扣除后的价格计算评标基准价和响应报价。同一投标人（包括联合体），小微企业、监狱企业、残疾人福利性单位价格扣除优惠只享受一次，不得重复享受。</w:t>
      </w:r>
    </w:p>
    <w:p w14:paraId="4599BA94">
      <w:pPr>
        <w:numPr>
          <w:ilvl w:val="0"/>
          <w:numId w:val="66"/>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评标程序</w:t>
      </w:r>
    </w:p>
    <w:p w14:paraId="35978E37">
      <w:pPr>
        <w:numPr>
          <w:ilvl w:val="0"/>
          <w:numId w:val="76"/>
        </w:numPr>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资格</w:t>
      </w:r>
      <w:r>
        <w:rPr>
          <w:rFonts w:hint="eastAsia" w:ascii="宋体" w:hAnsi="宋体" w:cs="宋体"/>
          <w:b/>
          <w:bCs/>
          <w:color w:val="auto"/>
          <w:sz w:val="24"/>
          <w:highlight w:val="none"/>
        </w:rPr>
        <w:t>性</w:t>
      </w:r>
      <w:r>
        <w:rPr>
          <w:rFonts w:asciiTheme="minorEastAsia" w:hAnsiTheme="minorEastAsia" w:eastAsiaTheme="minorEastAsia"/>
          <w:b/>
          <w:bCs/>
          <w:color w:val="auto"/>
          <w:sz w:val="24"/>
          <w:highlight w:val="none"/>
        </w:rPr>
        <w:t>审查</w:t>
      </w:r>
    </w:p>
    <w:p w14:paraId="1237B4A4">
      <w:pPr>
        <w:pStyle w:val="10"/>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tbl>
      <w:tblPr>
        <w:tblStyle w:val="27"/>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56"/>
        <w:gridCol w:w="6749"/>
      </w:tblGrid>
      <w:tr w14:paraId="7946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6" w:type="dxa"/>
            <w:shd w:val="clear" w:color="auto" w:fill="auto"/>
            <w:tcMar>
              <w:top w:w="57" w:type="dxa"/>
              <w:left w:w="108" w:type="dxa"/>
              <w:bottom w:w="0" w:type="dxa"/>
              <w:right w:w="108" w:type="dxa"/>
            </w:tcMar>
            <w:vAlign w:val="center"/>
          </w:tcPr>
          <w:p w14:paraId="7E19B730">
            <w:pPr>
              <w:pStyle w:val="59"/>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6749" w:type="dxa"/>
            <w:shd w:val="clear" w:color="auto" w:fill="auto"/>
            <w:tcMar>
              <w:top w:w="57" w:type="dxa"/>
              <w:left w:w="108" w:type="dxa"/>
              <w:bottom w:w="0" w:type="dxa"/>
              <w:right w:w="108" w:type="dxa"/>
            </w:tcMar>
            <w:vAlign w:val="center"/>
          </w:tcPr>
          <w:p w14:paraId="3B95B4CF">
            <w:pPr>
              <w:pStyle w:val="59"/>
              <w:spacing w:line="300" w:lineRule="auto"/>
              <w:ind w:right="-17" w:rightChars="-8"/>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w:t>
            </w:r>
          </w:p>
        </w:tc>
      </w:tr>
      <w:tr w14:paraId="16FD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256" w:type="dxa"/>
            <w:shd w:val="clear" w:color="auto" w:fill="auto"/>
            <w:tcMar>
              <w:top w:w="57" w:type="dxa"/>
              <w:left w:w="108" w:type="dxa"/>
              <w:bottom w:w="0" w:type="dxa"/>
              <w:right w:w="108" w:type="dxa"/>
            </w:tcMar>
            <w:vAlign w:val="center"/>
          </w:tcPr>
          <w:p w14:paraId="152543BA">
            <w:pPr>
              <w:pStyle w:val="59"/>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6749" w:type="dxa"/>
            <w:shd w:val="clear" w:color="auto" w:fill="auto"/>
            <w:tcMar>
              <w:top w:w="57" w:type="dxa"/>
              <w:left w:w="108" w:type="dxa"/>
              <w:bottom w:w="0" w:type="dxa"/>
              <w:right w:w="108" w:type="dxa"/>
            </w:tcMar>
            <w:vAlign w:val="center"/>
          </w:tcPr>
          <w:p w14:paraId="51A3E10E">
            <w:pPr>
              <w:pStyle w:val="59"/>
              <w:spacing w:line="300" w:lineRule="auto"/>
              <w:ind w:right="-17" w:rightChars="-8"/>
              <w:rPr>
                <w:color w:val="auto"/>
                <w:szCs w:val="21"/>
                <w:highlight w:val="none"/>
              </w:rPr>
            </w:pPr>
            <w:r>
              <w:rPr>
                <w:rFonts w:hint="eastAsia"/>
                <w:color w:val="auto"/>
                <w:szCs w:val="21"/>
                <w:highlight w:val="none"/>
              </w:rPr>
              <w:t>符合参加政府采购活动应当具备的一般条件的承诺函</w:t>
            </w:r>
          </w:p>
        </w:tc>
      </w:tr>
      <w:tr w14:paraId="066C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256" w:type="dxa"/>
            <w:shd w:val="clear" w:color="auto" w:fill="auto"/>
            <w:tcMar>
              <w:top w:w="57" w:type="dxa"/>
              <w:left w:w="108" w:type="dxa"/>
              <w:bottom w:w="0" w:type="dxa"/>
              <w:right w:w="108" w:type="dxa"/>
            </w:tcMar>
            <w:vAlign w:val="center"/>
          </w:tcPr>
          <w:p w14:paraId="1D44896B">
            <w:pPr>
              <w:pStyle w:val="59"/>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6749" w:type="dxa"/>
            <w:shd w:val="clear" w:color="auto" w:fill="auto"/>
            <w:tcMar>
              <w:top w:w="57" w:type="dxa"/>
              <w:left w:w="108" w:type="dxa"/>
              <w:bottom w:w="0" w:type="dxa"/>
              <w:right w:w="108" w:type="dxa"/>
            </w:tcMar>
            <w:vAlign w:val="center"/>
          </w:tcPr>
          <w:p w14:paraId="69589580">
            <w:pPr>
              <w:pStyle w:val="59"/>
              <w:spacing w:before="117" w:line="300" w:lineRule="auto"/>
              <w:ind w:right="-17" w:rightChars="-8"/>
              <w:rPr>
                <w:color w:val="auto"/>
                <w:szCs w:val="21"/>
                <w:highlight w:val="none"/>
              </w:rPr>
            </w:pPr>
            <w:r>
              <w:rPr>
                <w:rFonts w:hint="eastAsia"/>
                <w:color w:val="auto"/>
                <w:szCs w:val="21"/>
                <w:highlight w:val="none"/>
              </w:rPr>
              <w:t>符合参加政府采购活动应当具备的一般条件的承诺函</w:t>
            </w:r>
          </w:p>
        </w:tc>
      </w:tr>
      <w:tr w14:paraId="6443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2256" w:type="dxa"/>
            <w:shd w:val="clear" w:color="auto" w:fill="auto"/>
            <w:tcMar>
              <w:top w:w="57" w:type="dxa"/>
              <w:left w:w="108" w:type="dxa"/>
              <w:bottom w:w="0" w:type="dxa"/>
              <w:right w:w="108" w:type="dxa"/>
            </w:tcMar>
            <w:vAlign w:val="center"/>
          </w:tcPr>
          <w:p w14:paraId="02351558">
            <w:pPr>
              <w:pStyle w:val="59"/>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6749" w:type="dxa"/>
            <w:shd w:val="clear" w:color="auto" w:fill="auto"/>
            <w:tcMar>
              <w:top w:w="57" w:type="dxa"/>
              <w:left w:w="108" w:type="dxa"/>
              <w:bottom w:w="0" w:type="dxa"/>
              <w:right w:w="108" w:type="dxa"/>
            </w:tcMar>
            <w:vAlign w:val="center"/>
          </w:tcPr>
          <w:p w14:paraId="498090E2">
            <w:pPr>
              <w:pStyle w:val="59"/>
              <w:spacing w:before="1" w:line="300" w:lineRule="auto"/>
              <w:ind w:right="-17" w:rightChars="-8"/>
              <w:rPr>
                <w:color w:val="auto"/>
                <w:szCs w:val="21"/>
                <w:highlight w:val="none"/>
              </w:rPr>
            </w:pPr>
            <w:r>
              <w:rPr>
                <w:rFonts w:hint="eastAsia"/>
                <w:color w:val="auto"/>
                <w:szCs w:val="21"/>
                <w:highlight w:val="none"/>
              </w:rPr>
              <w:t>符合参加政府采购活动应当具备的一般条件的承诺函</w:t>
            </w:r>
          </w:p>
        </w:tc>
      </w:tr>
      <w:tr w14:paraId="5986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2256" w:type="dxa"/>
            <w:shd w:val="clear" w:color="auto" w:fill="auto"/>
            <w:tcMar>
              <w:top w:w="57" w:type="dxa"/>
              <w:left w:w="108" w:type="dxa"/>
              <w:bottom w:w="0" w:type="dxa"/>
              <w:right w:w="108" w:type="dxa"/>
            </w:tcMar>
            <w:vAlign w:val="center"/>
          </w:tcPr>
          <w:p w14:paraId="7A3B753B">
            <w:pPr>
              <w:pStyle w:val="59"/>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6749" w:type="dxa"/>
            <w:shd w:val="clear" w:color="auto" w:fill="auto"/>
            <w:tcMar>
              <w:top w:w="57" w:type="dxa"/>
              <w:left w:w="108" w:type="dxa"/>
              <w:bottom w:w="0" w:type="dxa"/>
              <w:right w:w="108" w:type="dxa"/>
            </w:tcMar>
            <w:vAlign w:val="center"/>
          </w:tcPr>
          <w:p w14:paraId="560D5BC8">
            <w:pPr>
              <w:pStyle w:val="59"/>
              <w:spacing w:before="48" w:line="300" w:lineRule="auto"/>
              <w:ind w:right="-17" w:rightChars="-8"/>
              <w:rPr>
                <w:color w:val="auto"/>
                <w:szCs w:val="21"/>
                <w:highlight w:val="none"/>
              </w:rPr>
            </w:pPr>
            <w:r>
              <w:rPr>
                <w:rFonts w:hint="eastAsia"/>
                <w:color w:val="auto"/>
                <w:szCs w:val="21"/>
                <w:highlight w:val="none"/>
              </w:rPr>
              <w:t>符合参加政府采购活动应当具备的一般条件的承诺函</w:t>
            </w:r>
          </w:p>
        </w:tc>
      </w:tr>
      <w:tr w14:paraId="0772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2256" w:type="dxa"/>
            <w:shd w:val="clear" w:color="auto" w:fill="auto"/>
            <w:tcMar>
              <w:top w:w="57" w:type="dxa"/>
              <w:left w:w="108" w:type="dxa"/>
              <w:bottom w:w="0" w:type="dxa"/>
              <w:right w:w="108" w:type="dxa"/>
            </w:tcMar>
            <w:vAlign w:val="center"/>
          </w:tcPr>
          <w:p w14:paraId="28ECBB22">
            <w:pPr>
              <w:pStyle w:val="59"/>
              <w:spacing w:line="300" w:lineRule="auto"/>
              <w:ind w:right="3" w:hanging="10"/>
              <w:jc w:val="center"/>
              <w:rPr>
                <w:color w:val="auto"/>
                <w:szCs w:val="21"/>
                <w:highlight w:val="none"/>
              </w:rPr>
            </w:pPr>
            <w:r>
              <w:rPr>
                <w:rFonts w:hint="eastAsia"/>
                <w:color w:val="auto"/>
                <w:szCs w:val="21"/>
                <w:highlight w:val="none"/>
              </w:rPr>
              <w:t>信用记录</w:t>
            </w:r>
          </w:p>
        </w:tc>
        <w:tc>
          <w:tcPr>
            <w:tcW w:w="6749" w:type="dxa"/>
            <w:shd w:val="clear" w:color="auto" w:fill="auto"/>
            <w:tcMar>
              <w:top w:w="57" w:type="dxa"/>
              <w:left w:w="108" w:type="dxa"/>
              <w:bottom w:w="0" w:type="dxa"/>
              <w:right w:w="108" w:type="dxa"/>
            </w:tcMar>
            <w:vAlign w:val="center"/>
          </w:tcPr>
          <w:p w14:paraId="1CD3E131">
            <w:pPr>
              <w:spacing w:line="300" w:lineRule="auto"/>
              <w:ind w:right="-17" w:rightChars="-8"/>
              <w:rPr>
                <w:rFonts w:ascii="宋体" w:hAnsi="宋体" w:cs="宋体"/>
                <w:color w:val="auto"/>
                <w:szCs w:val="21"/>
                <w:highlight w:val="none"/>
              </w:rPr>
            </w:pPr>
            <w:r>
              <w:rPr>
                <w:rFonts w:hint="eastAsia"/>
                <w:color w:val="auto"/>
                <w:szCs w:val="21"/>
                <w:highlight w:val="none"/>
              </w:rPr>
              <w:t>符合参加政府采购活动应当具备的一般条件的承诺函</w:t>
            </w:r>
          </w:p>
        </w:tc>
      </w:tr>
      <w:tr w14:paraId="2DF0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2256" w:type="dxa"/>
            <w:shd w:val="clear" w:color="auto" w:fill="auto"/>
            <w:tcMar>
              <w:top w:w="57" w:type="dxa"/>
              <w:left w:w="108" w:type="dxa"/>
              <w:bottom w:w="0" w:type="dxa"/>
              <w:right w:w="108" w:type="dxa"/>
            </w:tcMar>
            <w:vAlign w:val="center"/>
          </w:tcPr>
          <w:p w14:paraId="5E008958">
            <w:pPr>
              <w:pStyle w:val="59"/>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6749" w:type="dxa"/>
            <w:shd w:val="clear" w:color="auto" w:fill="auto"/>
            <w:tcMar>
              <w:top w:w="57" w:type="dxa"/>
              <w:left w:w="108" w:type="dxa"/>
              <w:bottom w:w="0" w:type="dxa"/>
              <w:right w:w="108" w:type="dxa"/>
            </w:tcMar>
            <w:vAlign w:val="center"/>
          </w:tcPr>
          <w:p w14:paraId="55A1E98E">
            <w:pPr>
              <w:pStyle w:val="59"/>
              <w:spacing w:before="48" w:line="300" w:lineRule="auto"/>
              <w:ind w:right="-17" w:rightChars="-8"/>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3F89DEB4">
            <w:pPr>
              <w:pStyle w:val="59"/>
              <w:spacing w:before="48" w:line="300" w:lineRule="auto"/>
              <w:ind w:right="-17" w:rightChars="-8"/>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27316B5F">
            <w:pPr>
              <w:pStyle w:val="59"/>
              <w:spacing w:before="48" w:line="300" w:lineRule="auto"/>
              <w:ind w:right="-17" w:rightChars="-8"/>
              <w:rPr>
                <w:color w:val="auto"/>
                <w:szCs w:val="21"/>
                <w:highlight w:val="none"/>
              </w:rPr>
            </w:pPr>
            <w:r>
              <w:rPr>
                <w:rFonts w:hint="eastAsia"/>
                <w:color w:val="auto"/>
                <w:szCs w:val="21"/>
                <w:highlight w:val="none"/>
              </w:rPr>
              <w:t>3.投标（报价）文件相关承诺要求内容。</w:t>
            </w:r>
          </w:p>
        </w:tc>
      </w:tr>
      <w:tr w14:paraId="0A23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2256" w:type="dxa"/>
            <w:shd w:val="clear" w:color="auto" w:fill="auto"/>
            <w:tcMar>
              <w:top w:w="57" w:type="dxa"/>
              <w:left w:w="108" w:type="dxa"/>
              <w:bottom w:w="0" w:type="dxa"/>
              <w:right w:w="108" w:type="dxa"/>
            </w:tcMar>
            <w:vAlign w:val="center"/>
          </w:tcPr>
          <w:p w14:paraId="0B4FC56E">
            <w:pPr>
              <w:pStyle w:val="59"/>
              <w:spacing w:before="48" w:line="300" w:lineRule="auto"/>
              <w:ind w:right="-17" w:rightChars="-8"/>
              <w:jc w:val="center"/>
              <w:rPr>
                <w:color w:val="auto"/>
                <w:szCs w:val="21"/>
                <w:highlight w:val="none"/>
              </w:rPr>
            </w:pPr>
            <w:r>
              <w:rPr>
                <w:rFonts w:hint="eastAsia"/>
                <w:color w:val="auto"/>
                <w:szCs w:val="21"/>
                <w:highlight w:val="none"/>
              </w:rPr>
              <w:t>联合体投标</w:t>
            </w:r>
          </w:p>
        </w:tc>
        <w:tc>
          <w:tcPr>
            <w:tcW w:w="6749" w:type="dxa"/>
            <w:shd w:val="clear" w:color="auto" w:fill="auto"/>
            <w:tcMar>
              <w:top w:w="57" w:type="dxa"/>
              <w:left w:w="108" w:type="dxa"/>
              <w:bottom w:w="0" w:type="dxa"/>
              <w:right w:w="108" w:type="dxa"/>
            </w:tcMar>
            <w:vAlign w:val="center"/>
          </w:tcPr>
          <w:p w14:paraId="0E55BC3E">
            <w:pPr>
              <w:pStyle w:val="59"/>
              <w:spacing w:before="48" w:line="300" w:lineRule="auto"/>
              <w:ind w:right="-17" w:rightChars="-8"/>
              <w:rPr>
                <w:color w:val="auto"/>
                <w:szCs w:val="21"/>
                <w:highlight w:val="none"/>
              </w:rPr>
            </w:pPr>
            <w:r>
              <w:rPr>
                <w:rFonts w:hint="eastAsia"/>
                <w:color w:val="auto"/>
                <w:szCs w:val="21"/>
                <w:highlight w:val="none"/>
              </w:rPr>
              <w:t>本项目不接受联合体投标。</w:t>
            </w:r>
          </w:p>
        </w:tc>
      </w:tr>
      <w:tr w14:paraId="2794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256" w:type="dxa"/>
            <w:shd w:val="clear" w:color="auto" w:fill="auto"/>
            <w:tcMar>
              <w:top w:w="57" w:type="dxa"/>
              <w:left w:w="108" w:type="dxa"/>
              <w:bottom w:w="0" w:type="dxa"/>
              <w:right w:w="108" w:type="dxa"/>
            </w:tcMar>
            <w:vAlign w:val="center"/>
          </w:tcPr>
          <w:p w14:paraId="0A642AF0">
            <w:pPr>
              <w:pStyle w:val="59"/>
              <w:spacing w:before="48" w:line="300" w:lineRule="auto"/>
              <w:ind w:right="-17" w:rightChars="-8"/>
              <w:jc w:val="center"/>
              <w:rPr>
                <w:color w:val="auto"/>
                <w:szCs w:val="21"/>
                <w:highlight w:val="none"/>
              </w:rPr>
            </w:pPr>
            <w:r>
              <w:rPr>
                <w:rFonts w:hint="eastAsia"/>
                <w:color w:val="auto"/>
                <w:szCs w:val="21"/>
                <w:highlight w:val="none"/>
              </w:rPr>
              <w:t>特定资格条件</w:t>
            </w:r>
          </w:p>
        </w:tc>
        <w:tc>
          <w:tcPr>
            <w:tcW w:w="6749" w:type="dxa"/>
            <w:shd w:val="clear" w:color="auto" w:fill="auto"/>
            <w:tcMar>
              <w:top w:w="57" w:type="dxa"/>
              <w:left w:w="108" w:type="dxa"/>
              <w:bottom w:w="0" w:type="dxa"/>
              <w:right w:w="108" w:type="dxa"/>
            </w:tcMar>
            <w:vAlign w:val="center"/>
          </w:tcPr>
          <w:p w14:paraId="3FCFF26F">
            <w:pPr>
              <w:pStyle w:val="59"/>
              <w:spacing w:before="48" w:line="300" w:lineRule="auto"/>
              <w:ind w:right="-17" w:rightChars="-8"/>
              <w:rPr>
                <w:color w:val="auto"/>
                <w:szCs w:val="21"/>
                <w:highlight w:val="none"/>
              </w:rPr>
            </w:pPr>
            <w:r>
              <w:rPr>
                <w:rFonts w:hint="eastAsia"/>
                <w:color w:val="auto"/>
                <w:szCs w:val="21"/>
                <w:highlight w:val="none"/>
              </w:rPr>
              <w:t>按招标公告要求提供</w:t>
            </w:r>
          </w:p>
        </w:tc>
      </w:tr>
      <w:tr w14:paraId="39ED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2256" w:type="dxa"/>
            <w:shd w:val="clear" w:color="auto" w:fill="auto"/>
            <w:tcMar>
              <w:top w:w="57" w:type="dxa"/>
              <w:left w:w="108" w:type="dxa"/>
              <w:bottom w:w="0" w:type="dxa"/>
              <w:right w:w="108" w:type="dxa"/>
            </w:tcMar>
            <w:vAlign w:val="center"/>
          </w:tcPr>
          <w:p w14:paraId="01D2B9F0">
            <w:pPr>
              <w:pStyle w:val="59"/>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6749" w:type="dxa"/>
            <w:shd w:val="clear" w:color="auto" w:fill="auto"/>
            <w:tcMar>
              <w:top w:w="57" w:type="dxa"/>
              <w:left w:w="108" w:type="dxa"/>
              <w:bottom w:w="0" w:type="dxa"/>
              <w:right w:w="108" w:type="dxa"/>
            </w:tcMar>
            <w:vAlign w:val="center"/>
          </w:tcPr>
          <w:p w14:paraId="0C33CA89">
            <w:pPr>
              <w:pStyle w:val="10"/>
              <w:spacing w:line="300" w:lineRule="auto"/>
              <w:ind w:right="-17" w:rightChars="-8"/>
              <w:jc w:val="both"/>
              <w:rPr>
                <w:color w:val="auto"/>
                <w:szCs w:val="21"/>
                <w:highlight w:val="none"/>
              </w:rPr>
            </w:pPr>
            <w:r>
              <w:rPr>
                <w:rFonts w:hint="eastAsia"/>
                <w:color w:val="auto"/>
                <w:szCs w:val="21"/>
                <w:highlight w:val="none"/>
              </w:rPr>
              <w:t>/</w:t>
            </w:r>
          </w:p>
        </w:tc>
      </w:tr>
    </w:tbl>
    <w:p w14:paraId="6EF51D2D">
      <w:pPr>
        <w:numPr>
          <w:ilvl w:val="0"/>
          <w:numId w:val="76"/>
        </w:numPr>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符合性审查</w:t>
      </w:r>
    </w:p>
    <w:p w14:paraId="4C6D2D06">
      <w:pPr>
        <w:pStyle w:val="1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评标委员会应当对符合资格的投标人的投标文件进行符合性审查，以确定其是否满足招标文件的实质性要求，对审查发现无效的进行必要的询问，在政采云平台公布无效投标的投标人名单、投标无效的原因。</w:t>
      </w:r>
    </w:p>
    <w:tbl>
      <w:tblPr>
        <w:tblStyle w:val="27"/>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282C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13652BC1">
            <w:pPr>
              <w:pStyle w:val="59"/>
              <w:spacing w:line="300" w:lineRule="auto"/>
              <w:ind w:right="3" w:hanging="10"/>
              <w:jc w:val="center"/>
              <w:rPr>
                <w:color w:val="auto"/>
                <w:szCs w:val="21"/>
                <w:highlight w:val="none"/>
              </w:rPr>
            </w:pPr>
            <w:r>
              <w:rPr>
                <w:rFonts w:hint="eastAsia"/>
                <w:color w:val="auto"/>
                <w:szCs w:val="21"/>
                <w:highlight w:val="none"/>
              </w:rPr>
              <w:t>投标文件</w:t>
            </w:r>
          </w:p>
        </w:tc>
        <w:tc>
          <w:tcPr>
            <w:tcW w:w="7183" w:type="dxa"/>
            <w:shd w:val="clear" w:color="auto" w:fill="auto"/>
            <w:tcMar>
              <w:top w:w="57" w:type="dxa"/>
              <w:left w:w="108" w:type="dxa"/>
              <w:bottom w:w="0" w:type="dxa"/>
              <w:right w:w="108" w:type="dxa"/>
            </w:tcMar>
            <w:vAlign w:val="center"/>
          </w:tcPr>
          <w:p w14:paraId="2B4C4629">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0A97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4657F364">
            <w:pPr>
              <w:pStyle w:val="59"/>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auto"/>
            <w:tcMar>
              <w:top w:w="57" w:type="dxa"/>
              <w:left w:w="108" w:type="dxa"/>
              <w:bottom w:w="0" w:type="dxa"/>
              <w:right w:w="108" w:type="dxa"/>
            </w:tcMar>
            <w:vAlign w:val="center"/>
          </w:tcPr>
          <w:p w14:paraId="37211108">
            <w:pPr>
              <w:pStyle w:val="10"/>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0631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2E33059">
            <w:pPr>
              <w:pStyle w:val="59"/>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shd w:val="clear" w:color="auto" w:fill="auto"/>
            <w:tcMar>
              <w:top w:w="57" w:type="dxa"/>
              <w:left w:w="108" w:type="dxa"/>
              <w:bottom w:w="0" w:type="dxa"/>
              <w:right w:w="108" w:type="dxa"/>
            </w:tcMar>
            <w:vAlign w:val="center"/>
          </w:tcPr>
          <w:p w14:paraId="40C2A498">
            <w:pPr>
              <w:pStyle w:val="10"/>
              <w:spacing w:line="30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103C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25F332F9">
            <w:pPr>
              <w:pStyle w:val="59"/>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auto"/>
            <w:tcMar>
              <w:top w:w="57" w:type="dxa"/>
              <w:left w:w="108" w:type="dxa"/>
              <w:bottom w:w="0" w:type="dxa"/>
              <w:right w:w="108" w:type="dxa"/>
            </w:tcMar>
            <w:vAlign w:val="center"/>
          </w:tcPr>
          <w:p w14:paraId="7DF7386B">
            <w:pPr>
              <w:pStyle w:val="10"/>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047E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78A3F95E">
            <w:pPr>
              <w:pStyle w:val="59"/>
              <w:spacing w:line="300" w:lineRule="auto"/>
              <w:ind w:right="3" w:hanging="10"/>
              <w:jc w:val="center"/>
              <w:rPr>
                <w:color w:val="auto"/>
                <w:szCs w:val="21"/>
                <w:highlight w:val="none"/>
              </w:rPr>
            </w:pPr>
            <w:r>
              <w:rPr>
                <w:rFonts w:hint="eastAsia"/>
                <w:color w:val="auto"/>
                <w:szCs w:val="21"/>
                <w:highlight w:val="none"/>
              </w:rPr>
              <w:t>附加条件</w:t>
            </w:r>
          </w:p>
        </w:tc>
        <w:tc>
          <w:tcPr>
            <w:tcW w:w="7183" w:type="dxa"/>
            <w:shd w:val="clear" w:color="auto" w:fill="auto"/>
            <w:tcMar>
              <w:top w:w="57" w:type="dxa"/>
              <w:left w:w="108" w:type="dxa"/>
              <w:bottom w:w="0" w:type="dxa"/>
              <w:right w:w="108" w:type="dxa"/>
            </w:tcMar>
            <w:vAlign w:val="center"/>
          </w:tcPr>
          <w:p w14:paraId="45A27566">
            <w:pPr>
              <w:pStyle w:val="10"/>
              <w:spacing w:line="30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06E9F652">
      <w:pPr>
        <w:numPr>
          <w:ilvl w:val="0"/>
          <w:numId w:val="76"/>
        </w:numPr>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商务技术及价格评审</w:t>
      </w:r>
    </w:p>
    <w:p w14:paraId="589B4CBA">
      <w:pPr>
        <w:pStyle w:val="12"/>
        <w:snapToGrid w:val="0"/>
        <w:spacing w:line="360" w:lineRule="auto"/>
        <w:ind w:firstLine="480" w:firstLineChars="200"/>
        <w:rPr>
          <w:rFonts w:asciiTheme="minorEastAsia" w:hAnsiTheme="minorEastAsia" w:eastAsiaTheme="minorEastAsia"/>
          <w:b/>
          <w:color w:val="auto"/>
          <w:sz w:val="24"/>
          <w:highlight w:val="none"/>
        </w:rPr>
      </w:pPr>
      <w:r>
        <w:rPr>
          <w:rFonts w:hint="eastAsia" w:hAnsi="宋体" w:cs="宋体" w:eastAsiaTheme="minorEastAsia"/>
          <w:color w:val="auto"/>
          <w:sz w:val="24"/>
          <w:highlight w:val="none"/>
          <w:lang w:eastAsia="zh-CN"/>
        </w:rPr>
        <w:t>三门县公安局机房升级改造项目（二次）</w:t>
      </w:r>
      <w:r>
        <w:rPr>
          <w:rFonts w:hint="eastAsia" w:asciiTheme="minorEastAsia" w:hAnsiTheme="minorEastAsia" w:eastAsiaTheme="minorEastAsia"/>
          <w:color w:val="auto"/>
          <w:kern w:val="0"/>
          <w:sz w:val="24"/>
          <w:highlight w:val="none"/>
        </w:rPr>
        <w:t>评标方法为综合评分法，总计100分，评标按以下标准及要求进行：</w:t>
      </w:r>
    </w:p>
    <w:p w14:paraId="58DB6A77">
      <w:pPr>
        <w:pStyle w:val="12"/>
        <w:numPr>
          <w:ilvl w:val="0"/>
          <w:numId w:val="77"/>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详细的</w:t>
      </w:r>
      <w:r>
        <w:rPr>
          <w:rFonts w:hint="eastAsia" w:asciiTheme="minorEastAsia" w:hAnsiTheme="minorEastAsia" w:eastAsiaTheme="minorEastAsia"/>
          <w:b/>
          <w:color w:val="auto"/>
          <w:sz w:val="24"/>
          <w:highlight w:val="none"/>
          <w:lang w:val="zh-CN"/>
        </w:rPr>
        <w:t>评审内容及分值</w:t>
      </w:r>
      <w:r>
        <w:rPr>
          <w:rFonts w:hint="eastAsia" w:asciiTheme="minorEastAsia" w:hAnsiTheme="minorEastAsia" w:eastAsiaTheme="minorEastAsia"/>
          <w:b/>
          <w:color w:val="auto"/>
          <w:sz w:val="24"/>
          <w:highlight w:val="none"/>
        </w:rPr>
        <w:t>：</w:t>
      </w:r>
    </w:p>
    <w:tbl>
      <w:tblPr>
        <w:tblStyle w:val="27"/>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025"/>
        <w:gridCol w:w="840"/>
        <w:gridCol w:w="6771"/>
        <w:gridCol w:w="622"/>
      </w:tblGrid>
      <w:tr w14:paraId="3A90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14:paraId="74902A79">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520" w:type="pct"/>
            <w:vAlign w:val="center"/>
          </w:tcPr>
          <w:p w14:paraId="59BA5C97">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评分因素</w:t>
            </w:r>
          </w:p>
        </w:tc>
        <w:tc>
          <w:tcPr>
            <w:tcW w:w="426" w:type="pct"/>
            <w:vAlign w:val="center"/>
          </w:tcPr>
          <w:p w14:paraId="5D7EF7C7">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c>
          <w:tcPr>
            <w:tcW w:w="3434" w:type="pct"/>
            <w:vAlign w:val="center"/>
          </w:tcPr>
          <w:p w14:paraId="6AF46ED9">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评分细则</w:t>
            </w:r>
          </w:p>
        </w:tc>
        <w:tc>
          <w:tcPr>
            <w:tcW w:w="315" w:type="pct"/>
            <w:vAlign w:val="center"/>
          </w:tcPr>
          <w:p w14:paraId="3E4D67B4">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1725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Merge w:val="restart"/>
            <w:shd w:val="clear" w:color="auto" w:fill="auto"/>
            <w:vAlign w:val="center"/>
          </w:tcPr>
          <w:p w14:paraId="4A42F405">
            <w:pPr>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1</w:t>
            </w:r>
          </w:p>
        </w:tc>
        <w:tc>
          <w:tcPr>
            <w:tcW w:w="520" w:type="pct"/>
            <w:vMerge w:val="restart"/>
            <w:vAlign w:val="center"/>
          </w:tcPr>
          <w:p w14:paraId="0598405B">
            <w:pPr>
              <w:spacing w:line="400" w:lineRule="exact"/>
              <w:jc w:val="center"/>
              <w:rPr>
                <w:rFonts w:ascii="宋体" w:hAnsi="宋体" w:cs="宋体"/>
                <w:b/>
                <w:bCs/>
                <w:color w:val="auto"/>
                <w:sz w:val="22"/>
                <w:szCs w:val="22"/>
                <w:highlight w:val="none"/>
              </w:rPr>
            </w:pPr>
            <w:r>
              <w:rPr>
                <w:rFonts w:hint="eastAsia" w:ascii="宋体" w:hAnsi="宋体" w:cs="宋体"/>
                <w:color w:val="auto"/>
                <w:sz w:val="22"/>
                <w:szCs w:val="22"/>
                <w:highlight w:val="none"/>
              </w:rPr>
              <w:t>项目组成员</w:t>
            </w:r>
          </w:p>
        </w:tc>
        <w:tc>
          <w:tcPr>
            <w:tcW w:w="426" w:type="pct"/>
            <w:vAlign w:val="center"/>
          </w:tcPr>
          <w:p w14:paraId="3CE9A30C">
            <w:pPr>
              <w:spacing w:line="400" w:lineRule="exact"/>
              <w:jc w:val="center"/>
              <w:rPr>
                <w:rFonts w:ascii="宋体" w:hAnsi="宋体" w:cs="宋体"/>
                <w:b/>
                <w:bCs/>
                <w:color w:val="auto"/>
                <w:sz w:val="22"/>
                <w:szCs w:val="22"/>
                <w:highlight w:val="none"/>
              </w:rPr>
            </w:pPr>
            <w:r>
              <w:rPr>
                <w:rFonts w:hint="eastAsia" w:ascii="宋体" w:hAnsi="宋体" w:cs="宋体"/>
                <w:color w:val="auto"/>
                <w:kern w:val="0"/>
                <w:sz w:val="22"/>
                <w:szCs w:val="22"/>
                <w:highlight w:val="none"/>
              </w:rPr>
              <w:t>0-5分</w:t>
            </w:r>
          </w:p>
        </w:tc>
        <w:tc>
          <w:tcPr>
            <w:tcW w:w="3434" w:type="pct"/>
            <w:vAlign w:val="center"/>
          </w:tcPr>
          <w:p w14:paraId="6A20E1D7">
            <w:pPr>
              <w:widowControl/>
              <w:spacing w:line="400" w:lineRule="exac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投标人拟投入本项目的项目负责人</w:t>
            </w:r>
            <w:r>
              <w:rPr>
                <w:rFonts w:hint="eastAsia" w:ascii="宋体" w:hAnsi="宋体" w:cs="宋体"/>
                <w:color w:val="auto"/>
                <w:kern w:val="0"/>
                <w:sz w:val="22"/>
                <w:szCs w:val="22"/>
                <w:highlight w:val="none"/>
              </w:rPr>
              <w:t>具备权威部门颁发的系统架构设计师（高级）、高级工程师（系统集成）、网络规划设计师（高级）、信息安全工程师（中级）、信创规划管理师</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lang w:bidi="ar"/>
              </w:rPr>
              <w:t>每提供1本证书得1分，最高得5分。</w:t>
            </w:r>
          </w:p>
          <w:p w14:paraId="0A84F72F">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【提供清晰可辨的证书扫描件</w:t>
            </w:r>
            <w:r>
              <w:rPr>
                <w:rFonts w:hint="eastAsia" w:ascii="宋体" w:hAnsi="宋体" w:cs="宋体"/>
                <w:b/>
                <w:bCs/>
                <w:color w:val="auto"/>
                <w:sz w:val="22"/>
                <w:szCs w:val="22"/>
                <w:highlight w:val="none"/>
              </w:rPr>
              <w:t>、由社保部门出具的开标时间前连续3个月在本单位社保缴纳证明或退休证明和返聘证明</w:t>
            </w:r>
            <w:r>
              <w:rPr>
                <w:rFonts w:hint="eastAsia" w:ascii="宋体" w:hAnsi="宋体" w:cs="宋体"/>
                <w:b/>
                <w:color w:val="auto"/>
                <w:sz w:val="22"/>
                <w:szCs w:val="22"/>
                <w:highlight w:val="none"/>
              </w:rPr>
              <w:t>，否则不得分】</w:t>
            </w:r>
          </w:p>
        </w:tc>
        <w:tc>
          <w:tcPr>
            <w:tcW w:w="315" w:type="pct"/>
            <w:vAlign w:val="center"/>
          </w:tcPr>
          <w:p w14:paraId="2A0B8624">
            <w:pPr>
              <w:spacing w:line="400" w:lineRule="exact"/>
              <w:jc w:val="center"/>
              <w:rPr>
                <w:rFonts w:ascii="宋体" w:hAnsi="宋体" w:cs="宋体"/>
                <w:b/>
                <w:color w:val="auto"/>
                <w:sz w:val="22"/>
                <w:szCs w:val="22"/>
                <w:highlight w:val="none"/>
              </w:rPr>
            </w:pPr>
          </w:p>
        </w:tc>
      </w:tr>
      <w:tr w14:paraId="5FCC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Merge w:val="continue"/>
            <w:shd w:val="clear" w:color="auto" w:fill="auto"/>
            <w:vAlign w:val="center"/>
          </w:tcPr>
          <w:p w14:paraId="20FC9337">
            <w:pPr>
              <w:spacing w:line="400" w:lineRule="exact"/>
              <w:jc w:val="center"/>
              <w:rPr>
                <w:rFonts w:ascii="宋体" w:hAnsi="宋体" w:cs="宋体"/>
                <w:color w:val="auto"/>
                <w:sz w:val="22"/>
                <w:szCs w:val="22"/>
                <w:highlight w:val="none"/>
              </w:rPr>
            </w:pPr>
          </w:p>
        </w:tc>
        <w:tc>
          <w:tcPr>
            <w:tcW w:w="520" w:type="pct"/>
            <w:vMerge w:val="continue"/>
            <w:vAlign w:val="center"/>
          </w:tcPr>
          <w:p w14:paraId="14A8656C">
            <w:pPr>
              <w:spacing w:line="400" w:lineRule="exact"/>
              <w:jc w:val="center"/>
              <w:rPr>
                <w:rFonts w:ascii="宋体" w:hAnsi="宋体" w:cs="宋体"/>
                <w:color w:val="auto"/>
                <w:sz w:val="22"/>
                <w:szCs w:val="22"/>
                <w:highlight w:val="none"/>
              </w:rPr>
            </w:pPr>
          </w:p>
        </w:tc>
        <w:tc>
          <w:tcPr>
            <w:tcW w:w="426" w:type="pct"/>
            <w:vAlign w:val="center"/>
          </w:tcPr>
          <w:p w14:paraId="1B479BCE">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0-5分</w:t>
            </w:r>
          </w:p>
        </w:tc>
        <w:tc>
          <w:tcPr>
            <w:tcW w:w="3434" w:type="pct"/>
            <w:vAlign w:val="center"/>
          </w:tcPr>
          <w:p w14:paraId="2530F0D3">
            <w:pPr>
              <w:pStyle w:val="9"/>
              <w:spacing w:after="0" w:line="400" w:lineRule="exact"/>
              <w:ind w:left="0" w:leftChars="0"/>
              <w:rPr>
                <w:rFonts w:ascii="宋体" w:hAnsi="宋体" w:cs="宋体"/>
                <w:color w:val="auto"/>
                <w:sz w:val="22"/>
                <w:szCs w:val="22"/>
                <w:highlight w:val="none"/>
              </w:rPr>
            </w:pPr>
            <w:r>
              <w:rPr>
                <w:rFonts w:hint="eastAsia" w:ascii="宋体" w:hAnsi="宋体" w:cs="宋体"/>
                <w:color w:val="auto"/>
                <w:kern w:val="0"/>
                <w:sz w:val="22"/>
                <w:szCs w:val="22"/>
                <w:highlight w:val="none"/>
              </w:rPr>
              <w:t>技术负责人具备权威部门颁发的系统规划与管理师、系统集成项目管理工程师（中级）、通信工程师-互联网技术、信息系统项目管理师（高级）、信创集成项目管理师，</w:t>
            </w:r>
            <w:r>
              <w:rPr>
                <w:rFonts w:hint="eastAsia" w:ascii="宋体" w:hAnsi="宋体" w:cs="宋体"/>
                <w:color w:val="auto"/>
                <w:kern w:val="0"/>
                <w:sz w:val="22"/>
                <w:szCs w:val="22"/>
                <w:highlight w:val="none"/>
                <w:lang w:bidi="ar"/>
              </w:rPr>
              <w:t>每提供1本证书得1分，最高得5分。</w:t>
            </w:r>
          </w:p>
          <w:p w14:paraId="619390F6">
            <w:pPr>
              <w:widowControl/>
              <w:spacing w:line="400" w:lineRule="exact"/>
              <w:rPr>
                <w:rFonts w:ascii="宋体" w:hAnsi="宋体" w:cs="宋体"/>
                <w:color w:val="auto"/>
                <w:kern w:val="0"/>
                <w:sz w:val="22"/>
                <w:szCs w:val="22"/>
                <w:highlight w:val="none"/>
                <w:lang w:bidi="ar"/>
              </w:rPr>
            </w:pPr>
            <w:r>
              <w:rPr>
                <w:rFonts w:hint="eastAsia" w:ascii="宋体" w:hAnsi="宋体" w:cs="宋体"/>
                <w:b/>
                <w:color w:val="auto"/>
                <w:sz w:val="22"/>
                <w:szCs w:val="22"/>
                <w:highlight w:val="none"/>
              </w:rPr>
              <w:t>【提供清晰可辨的证书扫描件</w:t>
            </w:r>
            <w:r>
              <w:rPr>
                <w:rFonts w:hint="eastAsia" w:ascii="宋体" w:hAnsi="宋体" w:cs="宋体"/>
                <w:b/>
                <w:bCs/>
                <w:color w:val="auto"/>
                <w:sz w:val="22"/>
                <w:szCs w:val="22"/>
                <w:highlight w:val="none"/>
              </w:rPr>
              <w:t>、由社保部门出具的开标时间前连续3个月在本单位社保缴纳证明或退休证明和返聘证明</w:t>
            </w:r>
            <w:r>
              <w:rPr>
                <w:rFonts w:hint="eastAsia" w:ascii="宋体" w:hAnsi="宋体" w:cs="宋体"/>
                <w:b/>
                <w:color w:val="auto"/>
                <w:sz w:val="22"/>
                <w:szCs w:val="22"/>
                <w:highlight w:val="none"/>
              </w:rPr>
              <w:t>，否则不得分】</w:t>
            </w:r>
          </w:p>
        </w:tc>
        <w:tc>
          <w:tcPr>
            <w:tcW w:w="315" w:type="pct"/>
            <w:vAlign w:val="center"/>
          </w:tcPr>
          <w:p w14:paraId="752D240D">
            <w:pPr>
              <w:spacing w:line="400" w:lineRule="exact"/>
              <w:jc w:val="center"/>
              <w:rPr>
                <w:rFonts w:ascii="宋体" w:hAnsi="宋体" w:cs="宋体"/>
                <w:bCs/>
                <w:color w:val="auto"/>
                <w:sz w:val="22"/>
                <w:szCs w:val="22"/>
                <w:highlight w:val="none"/>
              </w:rPr>
            </w:pPr>
          </w:p>
        </w:tc>
      </w:tr>
      <w:tr w14:paraId="28A8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Merge w:val="continue"/>
            <w:vAlign w:val="center"/>
          </w:tcPr>
          <w:p w14:paraId="55F19677">
            <w:pPr>
              <w:spacing w:line="400" w:lineRule="exact"/>
              <w:jc w:val="center"/>
              <w:rPr>
                <w:rFonts w:ascii="宋体" w:hAnsi="宋体" w:cs="宋体"/>
                <w:color w:val="auto"/>
                <w:sz w:val="22"/>
                <w:szCs w:val="22"/>
                <w:highlight w:val="none"/>
              </w:rPr>
            </w:pPr>
          </w:p>
        </w:tc>
        <w:tc>
          <w:tcPr>
            <w:tcW w:w="520" w:type="pct"/>
            <w:vMerge w:val="continue"/>
            <w:vAlign w:val="center"/>
          </w:tcPr>
          <w:p w14:paraId="30264593">
            <w:pPr>
              <w:spacing w:line="400" w:lineRule="exact"/>
              <w:jc w:val="center"/>
              <w:rPr>
                <w:rFonts w:ascii="宋体" w:hAnsi="宋体" w:cs="宋体"/>
                <w:color w:val="auto"/>
                <w:sz w:val="22"/>
                <w:szCs w:val="22"/>
                <w:highlight w:val="none"/>
              </w:rPr>
            </w:pPr>
          </w:p>
        </w:tc>
        <w:tc>
          <w:tcPr>
            <w:tcW w:w="426" w:type="pct"/>
            <w:vAlign w:val="center"/>
          </w:tcPr>
          <w:p w14:paraId="4747D2EC">
            <w:pPr>
              <w:spacing w:line="400" w:lineRule="exact"/>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0-6分</w:t>
            </w:r>
          </w:p>
        </w:tc>
        <w:tc>
          <w:tcPr>
            <w:tcW w:w="3434" w:type="pct"/>
            <w:vAlign w:val="center"/>
          </w:tcPr>
          <w:p w14:paraId="29737C41">
            <w:pPr>
              <w:widowControl/>
              <w:spacing w:line="400" w:lineRule="exac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投标人拟派本项目的项目组成员具备权威部门颁发的信息系统项目管理师（高级）、高级工程师（系统集成）、信创规划管理师、网络工程师（中级）、网络规划设计师（高级）、系统集成项目管理工程师（中级），每具有一个得1分，最多6分</w:t>
            </w:r>
            <w:r>
              <w:rPr>
                <w:rFonts w:hint="eastAsia" w:ascii="宋体" w:hAnsi="宋体" w:cs="宋体"/>
                <w:color w:val="auto"/>
                <w:sz w:val="22"/>
                <w:szCs w:val="22"/>
                <w:highlight w:val="none"/>
              </w:rPr>
              <w:t>。</w:t>
            </w:r>
          </w:p>
          <w:p w14:paraId="4E729F41">
            <w:pPr>
              <w:widowControl/>
              <w:spacing w:line="400" w:lineRule="exact"/>
              <w:rPr>
                <w:rFonts w:ascii="宋体" w:hAnsi="宋体" w:cs="宋体"/>
                <w:color w:val="auto"/>
                <w:kern w:val="0"/>
                <w:sz w:val="22"/>
                <w:szCs w:val="22"/>
                <w:highlight w:val="none"/>
                <w:lang w:bidi="ar"/>
              </w:rPr>
            </w:pPr>
            <w:r>
              <w:rPr>
                <w:rFonts w:hint="eastAsia" w:ascii="宋体" w:hAnsi="宋体" w:cs="宋体"/>
                <w:b/>
                <w:color w:val="auto"/>
                <w:sz w:val="22"/>
                <w:szCs w:val="22"/>
                <w:highlight w:val="none"/>
              </w:rPr>
              <w:t>【提供清晰可辨的证书扫描件</w:t>
            </w:r>
            <w:r>
              <w:rPr>
                <w:rFonts w:hint="eastAsia" w:ascii="宋体" w:hAnsi="宋体" w:cs="宋体"/>
                <w:b/>
                <w:bCs/>
                <w:color w:val="auto"/>
                <w:sz w:val="22"/>
                <w:szCs w:val="22"/>
                <w:highlight w:val="none"/>
              </w:rPr>
              <w:t>、由社保部门出具的开标时间前连续3个月在本单位社保缴纳证明或退休证明和返聘证明</w:t>
            </w:r>
            <w:r>
              <w:rPr>
                <w:rFonts w:hint="eastAsia" w:ascii="宋体" w:hAnsi="宋体" w:cs="宋体"/>
                <w:b/>
                <w:color w:val="auto"/>
                <w:sz w:val="22"/>
                <w:szCs w:val="22"/>
                <w:highlight w:val="none"/>
              </w:rPr>
              <w:t>，否则不得分】</w:t>
            </w:r>
          </w:p>
        </w:tc>
        <w:tc>
          <w:tcPr>
            <w:tcW w:w="315" w:type="pct"/>
            <w:vAlign w:val="center"/>
          </w:tcPr>
          <w:p w14:paraId="1E54720F">
            <w:pPr>
              <w:spacing w:line="400" w:lineRule="exact"/>
              <w:jc w:val="center"/>
              <w:rPr>
                <w:rFonts w:ascii="宋体" w:hAnsi="宋体" w:cs="宋体"/>
                <w:bCs/>
                <w:color w:val="auto"/>
                <w:sz w:val="22"/>
                <w:szCs w:val="22"/>
                <w:highlight w:val="none"/>
              </w:rPr>
            </w:pPr>
          </w:p>
        </w:tc>
      </w:tr>
      <w:tr w14:paraId="260C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14:paraId="5E078182">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520" w:type="pct"/>
            <w:vAlign w:val="center"/>
          </w:tcPr>
          <w:p w14:paraId="61004FBC">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类似项目业绩</w:t>
            </w:r>
          </w:p>
        </w:tc>
        <w:tc>
          <w:tcPr>
            <w:tcW w:w="426" w:type="pct"/>
            <w:vAlign w:val="center"/>
          </w:tcPr>
          <w:p w14:paraId="63FFD4A2">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0-3</w:t>
            </w:r>
            <w:r>
              <w:rPr>
                <w:rFonts w:hint="eastAsia" w:ascii="宋体" w:hAnsi="宋体" w:cs="宋体"/>
                <w:color w:val="auto"/>
                <w:kern w:val="0"/>
                <w:sz w:val="22"/>
                <w:szCs w:val="22"/>
                <w:highlight w:val="none"/>
              </w:rPr>
              <w:t>分</w:t>
            </w:r>
          </w:p>
        </w:tc>
        <w:tc>
          <w:tcPr>
            <w:tcW w:w="3434" w:type="pct"/>
            <w:vAlign w:val="center"/>
          </w:tcPr>
          <w:p w14:paraId="688D35EC">
            <w:pPr>
              <w:widowControl/>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投标人自2021年1月1日（以合同签订日期为准）至投标截止日，承担过类似业绩，并提供合同、中标通知书，每个得1分，最多得3分。</w:t>
            </w:r>
          </w:p>
          <w:p w14:paraId="0C5A8E3B">
            <w:pPr>
              <w:spacing w:line="400" w:lineRule="exact"/>
              <w:rPr>
                <w:rFonts w:ascii="宋体" w:hAnsi="宋体" w:cs="宋体"/>
                <w:color w:val="auto"/>
                <w:sz w:val="22"/>
                <w:szCs w:val="22"/>
                <w:highlight w:val="none"/>
              </w:rPr>
            </w:pPr>
            <w:r>
              <w:rPr>
                <w:rFonts w:hint="eastAsia" w:ascii="宋体" w:hAnsi="宋体" w:cs="宋体"/>
                <w:b/>
                <w:bCs/>
                <w:color w:val="auto"/>
                <w:sz w:val="22"/>
                <w:szCs w:val="22"/>
                <w:highlight w:val="none"/>
              </w:rPr>
              <w:t>【提供清晰可辨的合同、中标通知书扫描件并加盖投标人公章，否则不得分】</w:t>
            </w:r>
          </w:p>
        </w:tc>
        <w:tc>
          <w:tcPr>
            <w:tcW w:w="315" w:type="pct"/>
            <w:vAlign w:val="center"/>
          </w:tcPr>
          <w:p w14:paraId="090F2BB4">
            <w:pPr>
              <w:spacing w:line="400" w:lineRule="exact"/>
              <w:jc w:val="center"/>
              <w:rPr>
                <w:rFonts w:ascii="宋体" w:hAnsi="宋体" w:cs="宋体"/>
                <w:b/>
                <w:bCs/>
                <w:color w:val="auto"/>
                <w:kern w:val="0"/>
                <w:sz w:val="22"/>
                <w:szCs w:val="22"/>
                <w:highlight w:val="none"/>
                <w:lang w:bidi="ar"/>
              </w:rPr>
            </w:pPr>
          </w:p>
        </w:tc>
      </w:tr>
      <w:tr w14:paraId="41A7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4073F912">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520" w:type="pct"/>
            <w:vAlign w:val="center"/>
          </w:tcPr>
          <w:p w14:paraId="3C27055A">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产品响应程度</w:t>
            </w:r>
          </w:p>
        </w:tc>
        <w:tc>
          <w:tcPr>
            <w:tcW w:w="426" w:type="pct"/>
            <w:vAlign w:val="center"/>
          </w:tcPr>
          <w:p w14:paraId="4005110E">
            <w:pPr>
              <w:widowControl/>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0-30分</w:t>
            </w:r>
          </w:p>
        </w:tc>
        <w:tc>
          <w:tcPr>
            <w:tcW w:w="3434" w:type="pct"/>
          </w:tcPr>
          <w:p w14:paraId="1D6C2B3E">
            <w:pPr>
              <w:widowControl/>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标“★”项系产品关键技术指标，每负偏离一项扣1分；未标注“★”的其他参数不满足每负偏离一项扣0.5分，扣完为止。</w:t>
            </w:r>
          </w:p>
          <w:p w14:paraId="2E0635EE">
            <w:pPr>
              <w:widowControl/>
              <w:spacing w:line="400" w:lineRule="exact"/>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标“▲”项系产品重要指标要求，不允许负偏离，否则作无效投标处理</w:t>
            </w:r>
            <w:r>
              <w:rPr>
                <w:rFonts w:hint="eastAsia" w:ascii="宋体" w:hAnsi="宋体" w:eastAsia="宋体" w:cs="宋体"/>
                <w:color w:val="auto"/>
                <w:sz w:val="22"/>
                <w:szCs w:val="22"/>
                <w:highlight w:val="none"/>
                <w:lang w:eastAsia="zh-CN"/>
              </w:rPr>
              <w:t>。</w:t>
            </w:r>
          </w:p>
        </w:tc>
        <w:tc>
          <w:tcPr>
            <w:tcW w:w="315" w:type="pct"/>
            <w:vAlign w:val="center"/>
          </w:tcPr>
          <w:p w14:paraId="59C3A53D">
            <w:pPr>
              <w:pStyle w:val="25"/>
              <w:spacing w:line="400" w:lineRule="exact"/>
              <w:ind w:firstLine="0" w:firstLineChars="0"/>
              <w:jc w:val="center"/>
              <w:rPr>
                <w:rFonts w:ascii="宋体" w:hAnsi="宋体" w:cs="宋体"/>
                <w:color w:val="auto"/>
                <w:kern w:val="0"/>
                <w:sz w:val="22"/>
                <w:szCs w:val="22"/>
                <w:highlight w:val="none"/>
                <w:lang w:bidi="ar"/>
              </w:rPr>
            </w:pPr>
          </w:p>
        </w:tc>
      </w:tr>
      <w:tr w14:paraId="42AA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409551D9">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520" w:type="pct"/>
            <w:vAlign w:val="center"/>
          </w:tcPr>
          <w:p w14:paraId="3B71C2E8">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功能演示</w:t>
            </w:r>
          </w:p>
        </w:tc>
        <w:tc>
          <w:tcPr>
            <w:tcW w:w="426" w:type="pct"/>
            <w:vAlign w:val="center"/>
          </w:tcPr>
          <w:p w14:paraId="164F064A">
            <w:pPr>
              <w:widowControl/>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0-6分</w:t>
            </w:r>
          </w:p>
        </w:tc>
        <w:tc>
          <w:tcPr>
            <w:tcW w:w="3434" w:type="pct"/>
            <w:vAlign w:val="center"/>
          </w:tcPr>
          <w:p w14:paraId="70B10DB6">
            <w:pPr>
              <w:spacing w:line="400" w:lineRule="exact"/>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投标人针对超融合节点对应演示内容要求逐一进行论证说明,提供软件功能视频演示（非PPT及word版本）</w:t>
            </w:r>
          </w:p>
          <w:p w14:paraId="5367EE3C">
            <w:pPr>
              <w:pStyle w:val="81"/>
              <w:numPr>
                <w:ilvl w:val="0"/>
                <w:numId w:val="78"/>
              </w:numPr>
              <w:spacing w:line="400" w:lineRule="exact"/>
              <w:ind w:firstLineChars="0"/>
              <w:jc w:val="left"/>
              <w:textAlignment w:val="baseline"/>
              <w:rPr>
                <w:rFonts w:ascii="宋体" w:hAnsi="宋体" w:cs="宋体"/>
                <w:color w:val="auto"/>
                <w:spacing w:val="-6"/>
                <w:sz w:val="22"/>
                <w:highlight w:val="none"/>
                <w:lang w:val="zh-CN"/>
              </w:rPr>
            </w:pPr>
            <w:r>
              <w:rPr>
                <w:rFonts w:hint="eastAsia" w:ascii="宋体" w:hAnsi="宋体" w:cs="宋体"/>
                <w:color w:val="auto"/>
                <w:kern w:val="0"/>
                <w:sz w:val="22"/>
                <w:highlight w:val="none"/>
              </w:rPr>
              <w:t>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w:t>
            </w:r>
            <w:r>
              <w:rPr>
                <w:rFonts w:hint="eastAsia" w:ascii="宋体" w:hAnsi="宋体" w:cs="宋体"/>
                <w:color w:val="auto"/>
                <w:spacing w:val="-6"/>
                <w:sz w:val="22"/>
                <w:highlight w:val="none"/>
                <w:lang w:val="zh-CN"/>
              </w:rPr>
              <w:t>（完全满足得</w:t>
            </w:r>
            <w:r>
              <w:rPr>
                <w:rFonts w:hint="eastAsia" w:ascii="宋体" w:hAnsi="宋体" w:cs="宋体"/>
                <w:color w:val="auto"/>
                <w:spacing w:val="-6"/>
                <w:sz w:val="22"/>
                <w:highlight w:val="none"/>
              </w:rPr>
              <w:t>1.5</w:t>
            </w:r>
            <w:r>
              <w:rPr>
                <w:rFonts w:hint="eastAsia" w:ascii="宋体" w:hAnsi="宋体" w:cs="宋体"/>
                <w:color w:val="auto"/>
                <w:spacing w:val="-6"/>
                <w:sz w:val="22"/>
                <w:highlight w:val="none"/>
                <w:lang w:val="zh-CN"/>
              </w:rPr>
              <w:t>分，</w:t>
            </w:r>
            <w:r>
              <w:rPr>
                <w:rFonts w:hint="eastAsia" w:ascii="宋体" w:hAnsi="宋体" w:cs="宋体"/>
                <w:color w:val="auto"/>
                <w:spacing w:val="-6"/>
                <w:sz w:val="22"/>
                <w:highlight w:val="none"/>
              </w:rPr>
              <w:t>部分满足得1分，不演示或不满足不得分</w:t>
            </w:r>
            <w:r>
              <w:rPr>
                <w:rFonts w:hint="eastAsia" w:ascii="宋体" w:hAnsi="宋体" w:cs="宋体"/>
                <w:color w:val="auto"/>
                <w:spacing w:val="-6"/>
                <w:sz w:val="22"/>
                <w:highlight w:val="none"/>
                <w:lang w:val="zh-CN"/>
              </w:rPr>
              <w:t>）</w:t>
            </w:r>
          </w:p>
          <w:p w14:paraId="552B5C05">
            <w:pPr>
              <w:pStyle w:val="81"/>
              <w:numPr>
                <w:ilvl w:val="0"/>
                <w:numId w:val="78"/>
              </w:numPr>
              <w:spacing w:line="400" w:lineRule="exact"/>
              <w:ind w:firstLineChars="0"/>
              <w:jc w:val="left"/>
              <w:textAlignment w:val="baseline"/>
              <w:rPr>
                <w:rFonts w:ascii="宋体" w:hAnsi="宋体" w:cs="宋体"/>
                <w:color w:val="auto"/>
                <w:spacing w:val="-6"/>
                <w:sz w:val="22"/>
                <w:highlight w:val="none"/>
              </w:rPr>
            </w:pPr>
            <w:r>
              <w:rPr>
                <w:rFonts w:hint="eastAsia" w:ascii="宋体" w:hAnsi="宋体" w:cs="宋体"/>
                <w:color w:val="auto"/>
                <w:kern w:val="0"/>
                <w:sz w:val="22"/>
                <w:highlight w:val="none"/>
              </w:rPr>
              <w:t>支持双站点容灾功能，提供虚拟机粒度的异地容灾方案，不依赖分布式存储本身，可在生产站点发生灾难时，迅速恢复并接管业务，支持容灾故障切换、重新保护、容灾演练等功能</w:t>
            </w:r>
            <w:r>
              <w:rPr>
                <w:rFonts w:hint="eastAsia" w:ascii="宋体" w:hAnsi="宋体" w:cs="宋体"/>
                <w:color w:val="auto"/>
                <w:spacing w:val="-6"/>
                <w:sz w:val="22"/>
                <w:highlight w:val="none"/>
                <w:lang w:val="zh-CN"/>
              </w:rPr>
              <w:t>（完全满足得</w:t>
            </w:r>
            <w:r>
              <w:rPr>
                <w:rFonts w:hint="eastAsia" w:ascii="宋体" w:hAnsi="宋体" w:cs="宋体"/>
                <w:color w:val="auto"/>
                <w:spacing w:val="-6"/>
                <w:sz w:val="22"/>
                <w:highlight w:val="none"/>
              </w:rPr>
              <w:t>1.5</w:t>
            </w:r>
            <w:r>
              <w:rPr>
                <w:rFonts w:hint="eastAsia" w:ascii="宋体" w:hAnsi="宋体" w:cs="宋体"/>
                <w:color w:val="auto"/>
                <w:spacing w:val="-6"/>
                <w:sz w:val="22"/>
                <w:highlight w:val="none"/>
                <w:lang w:val="zh-CN"/>
              </w:rPr>
              <w:t>分，</w:t>
            </w:r>
            <w:r>
              <w:rPr>
                <w:rFonts w:hint="eastAsia" w:ascii="宋体" w:hAnsi="宋体" w:cs="宋体"/>
                <w:color w:val="auto"/>
                <w:spacing w:val="-6"/>
                <w:sz w:val="22"/>
                <w:highlight w:val="none"/>
              </w:rPr>
              <w:t>部分满足得1分，不演示或不满足不得分</w:t>
            </w:r>
            <w:r>
              <w:rPr>
                <w:rFonts w:hint="eastAsia" w:ascii="宋体" w:hAnsi="宋体" w:cs="宋体"/>
                <w:color w:val="auto"/>
                <w:spacing w:val="-6"/>
                <w:sz w:val="22"/>
                <w:highlight w:val="none"/>
                <w:lang w:val="zh-CN"/>
              </w:rPr>
              <w:t>）</w:t>
            </w:r>
          </w:p>
          <w:p w14:paraId="7B761F0E">
            <w:pPr>
              <w:pStyle w:val="81"/>
              <w:numPr>
                <w:ilvl w:val="0"/>
                <w:numId w:val="78"/>
              </w:numPr>
              <w:spacing w:line="400" w:lineRule="exact"/>
              <w:ind w:firstLineChars="0"/>
              <w:jc w:val="left"/>
              <w:textAlignment w:val="baseline"/>
              <w:rPr>
                <w:rFonts w:ascii="宋体" w:hAnsi="宋体" w:cs="宋体"/>
                <w:color w:val="auto"/>
                <w:spacing w:val="-6"/>
                <w:sz w:val="22"/>
                <w:highlight w:val="none"/>
              </w:rPr>
            </w:pPr>
            <w:r>
              <w:rPr>
                <w:rFonts w:hint="eastAsia" w:ascii="宋体" w:hAnsi="宋体" w:cs="宋体"/>
                <w:color w:val="auto"/>
                <w:kern w:val="0"/>
                <w:sz w:val="22"/>
                <w:highlight w:val="none"/>
              </w:rPr>
              <w:t>支持多租户管理，根据需要对用户进行不同授权。提供B/S和C/S两种虚拟机控制台使用方式，C/S客户端无任何授权限制</w:t>
            </w:r>
            <w:r>
              <w:rPr>
                <w:rFonts w:hint="eastAsia" w:ascii="宋体" w:hAnsi="宋体" w:cs="宋体"/>
                <w:color w:val="auto"/>
                <w:spacing w:val="-6"/>
                <w:sz w:val="22"/>
                <w:highlight w:val="none"/>
                <w:lang w:val="zh-CN"/>
              </w:rPr>
              <w:t>（完全满足得</w:t>
            </w:r>
            <w:r>
              <w:rPr>
                <w:rFonts w:hint="eastAsia" w:ascii="宋体" w:hAnsi="宋体" w:cs="宋体"/>
                <w:color w:val="auto"/>
                <w:spacing w:val="-6"/>
                <w:sz w:val="22"/>
                <w:highlight w:val="none"/>
              </w:rPr>
              <w:t>1.5</w:t>
            </w:r>
            <w:r>
              <w:rPr>
                <w:rFonts w:hint="eastAsia" w:ascii="宋体" w:hAnsi="宋体" w:cs="宋体"/>
                <w:color w:val="auto"/>
                <w:spacing w:val="-6"/>
                <w:sz w:val="22"/>
                <w:highlight w:val="none"/>
                <w:lang w:val="zh-CN"/>
              </w:rPr>
              <w:t>分，</w:t>
            </w:r>
            <w:r>
              <w:rPr>
                <w:rFonts w:hint="eastAsia" w:ascii="宋体" w:hAnsi="宋体" w:cs="宋体"/>
                <w:color w:val="auto"/>
                <w:spacing w:val="-6"/>
                <w:sz w:val="22"/>
                <w:highlight w:val="none"/>
              </w:rPr>
              <w:t>部分满足得1分，不演示或不满足不得分</w:t>
            </w:r>
            <w:r>
              <w:rPr>
                <w:rFonts w:hint="eastAsia" w:ascii="宋体" w:hAnsi="宋体" w:cs="宋体"/>
                <w:color w:val="auto"/>
                <w:spacing w:val="-6"/>
                <w:sz w:val="22"/>
                <w:highlight w:val="none"/>
                <w:lang w:val="zh-CN"/>
              </w:rPr>
              <w:t>）</w:t>
            </w:r>
          </w:p>
          <w:p w14:paraId="7D9243DC">
            <w:pPr>
              <w:pStyle w:val="81"/>
              <w:numPr>
                <w:ilvl w:val="0"/>
                <w:numId w:val="78"/>
              </w:numPr>
              <w:spacing w:line="400" w:lineRule="exact"/>
              <w:ind w:firstLineChars="0"/>
              <w:jc w:val="left"/>
              <w:textAlignment w:val="baseline"/>
              <w:rPr>
                <w:rFonts w:ascii="宋体" w:hAnsi="宋体" w:cs="宋体"/>
                <w:color w:val="auto"/>
                <w:spacing w:val="-6"/>
                <w:sz w:val="22"/>
                <w:highlight w:val="none"/>
              </w:rPr>
            </w:pPr>
            <w:r>
              <w:rPr>
                <w:rFonts w:hint="eastAsia" w:ascii="宋体" w:hAnsi="宋体" w:cs="宋体"/>
                <w:color w:val="auto"/>
                <w:kern w:val="0"/>
                <w:sz w:val="22"/>
                <w:highlight w:val="none"/>
              </w:rPr>
              <w:t>支持一云多芯，支持一套管理平台纳管不同CPU架构（至少3种，至少包含X86、C86、ARM）的主机集群</w:t>
            </w:r>
            <w:r>
              <w:rPr>
                <w:rFonts w:hint="eastAsia" w:ascii="宋体" w:hAnsi="宋体" w:cs="宋体"/>
                <w:color w:val="auto"/>
                <w:spacing w:val="-6"/>
                <w:sz w:val="22"/>
                <w:highlight w:val="none"/>
                <w:lang w:val="zh-CN"/>
              </w:rPr>
              <w:t>（完全满足得</w:t>
            </w:r>
            <w:r>
              <w:rPr>
                <w:rFonts w:hint="eastAsia" w:ascii="宋体" w:hAnsi="宋体" w:cs="宋体"/>
                <w:color w:val="auto"/>
                <w:spacing w:val="-6"/>
                <w:sz w:val="22"/>
                <w:highlight w:val="none"/>
              </w:rPr>
              <w:t>1.5</w:t>
            </w:r>
            <w:r>
              <w:rPr>
                <w:rFonts w:hint="eastAsia" w:ascii="宋体" w:hAnsi="宋体" w:cs="宋体"/>
                <w:color w:val="auto"/>
                <w:spacing w:val="-6"/>
                <w:sz w:val="22"/>
                <w:highlight w:val="none"/>
                <w:lang w:val="zh-CN"/>
              </w:rPr>
              <w:t>分，</w:t>
            </w:r>
            <w:r>
              <w:rPr>
                <w:rFonts w:hint="eastAsia" w:ascii="宋体" w:hAnsi="宋体" w:cs="宋体"/>
                <w:color w:val="auto"/>
                <w:spacing w:val="-6"/>
                <w:sz w:val="22"/>
                <w:highlight w:val="none"/>
              </w:rPr>
              <w:t>部分满足得1分，不演示或不满足不得分</w:t>
            </w:r>
            <w:r>
              <w:rPr>
                <w:rFonts w:hint="eastAsia" w:ascii="宋体" w:hAnsi="宋体" w:cs="宋体"/>
                <w:color w:val="auto"/>
                <w:spacing w:val="-6"/>
                <w:sz w:val="22"/>
                <w:highlight w:val="none"/>
                <w:lang w:val="zh-CN"/>
              </w:rPr>
              <w:t>）</w:t>
            </w:r>
          </w:p>
          <w:p w14:paraId="6F423ECA">
            <w:pPr>
              <w:keepNext/>
              <w:keepLines/>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注：</w:t>
            </w:r>
          </w:p>
          <w:p w14:paraId="5B6FAC90">
            <w:pPr>
              <w:keepNext/>
              <w:keepLines/>
              <w:numPr>
                <w:ilvl w:val="0"/>
                <w:numId w:val="79"/>
              </w:numPr>
              <w:spacing w:line="400" w:lineRule="exact"/>
              <w:ind w:firstLine="0"/>
              <w:rPr>
                <w:rFonts w:ascii="宋体" w:hAnsi="宋体" w:cs="宋体"/>
                <w:b/>
                <w:bCs/>
                <w:color w:val="auto"/>
                <w:sz w:val="22"/>
                <w:szCs w:val="22"/>
                <w:highlight w:val="none"/>
              </w:rPr>
            </w:pPr>
            <w:r>
              <w:rPr>
                <w:rFonts w:hint="eastAsia" w:ascii="宋体" w:hAnsi="宋体" w:cs="宋体"/>
                <w:b/>
                <w:bCs/>
                <w:color w:val="auto"/>
                <w:sz w:val="22"/>
                <w:szCs w:val="22"/>
                <w:highlight w:val="none"/>
              </w:rPr>
              <w:t>评标办法中，提供视频演示的投标人将需演示的部分自行演示并录制成视频，录制视频时长≤20分钟，录制的视频必须为MP4格式（若视频为其他格式导致评审中不能正常播放的，后果自负）。未提供演示的不得分，评委观看演示视频按招标文件评分项进行评分。</w:t>
            </w:r>
          </w:p>
          <w:p w14:paraId="663C00C7">
            <w:pPr>
              <w:keepNext/>
              <w:keepLines/>
              <w:numPr>
                <w:ilvl w:val="0"/>
                <w:numId w:val="79"/>
              </w:numPr>
              <w:spacing w:line="400" w:lineRule="exact"/>
              <w:ind w:firstLine="0"/>
              <w:rPr>
                <w:rFonts w:ascii="宋体" w:hAnsi="宋体" w:cs="宋体"/>
                <w:b/>
                <w:bCs/>
                <w:color w:val="auto"/>
                <w:sz w:val="22"/>
                <w:szCs w:val="22"/>
                <w:highlight w:val="none"/>
              </w:rPr>
            </w:pPr>
            <w:r>
              <w:rPr>
                <w:rFonts w:hint="eastAsia" w:ascii="宋体" w:hAnsi="宋体" w:cs="宋体"/>
                <w:b/>
                <w:bCs/>
                <w:color w:val="auto"/>
                <w:sz w:val="22"/>
                <w:szCs w:val="22"/>
                <w:highlight w:val="none"/>
              </w:rPr>
              <w:t>视频文件投递邮箱：243753506@qq.com。</w:t>
            </w:r>
          </w:p>
          <w:p w14:paraId="26F6C4C9">
            <w:pPr>
              <w:pStyle w:val="11"/>
              <w:numPr>
                <w:ilvl w:val="0"/>
                <w:numId w:val="79"/>
              </w:numPr>
              <w:spacing w:line="400" w:lineRule="exact"/>
              <w:ind w:firstLine="0"/>
              <w:rPr>
                <w:rFonts w:ascii="宋体" w:hAnsi="宋体" w:cs="宋体"/>
                <w:bCs/>
                <w:color w:val="auto"/>
                <w:sz w:val="22"/>
                <w:szCs w:val="22"/>
                <w:highlight w:val="none"/>
                <w:lang w:val="zh-CN"/>
              </w:rPr>
            </w:pPr>
            <w:r>
              <w:rPr>
                <w:rFonts w:hint="eastAsia" w:ascii="宋体" w:hAnsi="宋体" w:cs="宋体"/>
                <w:b/>
                <w:bCs/>
                <w:color w:val="auto"/>
                <w:sz w:val="22"/>
                <w:szCs w:val="22"/>
                <w:highlight w:val="none"/>
              </w:rPr>
              <w:t>视频文件投递时间：开标当天</w:t>
            </w:r>
            <w:r>
              <w:rPr>
                <w:rFonts w:hint="eastAsia" w:ascii="宋体" w:hAnsi="宋体" w:cs="宋体"/>
                <w:b/>
                <w:bCs/>
                <w:color w:val="auto"/>
                <w:sz w:val="22"/>
                <w:szCs w:val="22"/>
                <w:highlight w:val="none"/>
                <w:lang w:eastAsia="zh-CN"/>
              </w:rPr>
              <w:t>9：00</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eastAsia="zh-CN"/>
              </w:rPr>
              <w:t>9：30</w:t>
            </w:r>
            <w:r>
              <w:rPr>
                <w:rFonts w:hint="eastAsia" w:ascii="宋体" w:hAnsi="宋体" w:cs="宋体"/>
                <w:b/>
                <w:bCs/>
                <w:color w:val="auto"/>
                <w:sz w:val="22"/>
                <w:szCs w:val="22"/>
                <w:highlight w:val="none"/>
              </w:rPr>
              <w:t>（北京时间）。</w:t>
            </w:r>
          </w:p>
          <w:p w14:paraId="63E81B79">
            <w:pPr>
              <w:pStyle w:val="11"/>
              <w:numPr>
                <w:ilvl w:val="0"/>
                <w:numId w:val="79"/>
              </w:numPr>
              <w:spacing w:line="400" w:lineRule="exact"/>
              <w:ind w:firstLine="0"/>
              <w:rPr>
                <w:rFonts w:ascii="宋体" w:hAnsi="宋体" w:cs="宋体"/>
                <w:b/>
                <w:bCs/>
                <w:color w:val="auto"/>
                <w:sz w:val="22"/>
                <w:szCs w:val="22"/>
                <w:highlight w:val="none"/>
                <w:lang w:val="zh-CN"/>
              </w:rPr>
            </w:pPr>
            <w:r>
              <w:rPr>
                <w:rFonts w:hint="eastAsia" w:ascii="宋体" w:hAnsi="宋体" w:cs="宋体"/>
                <w:b/>
                <w:bCs/>
                <w:color w:val="auto"/>
                <w:sz w:val="22"/>
                <w:szCs w:val="22"/>
                <w:highlight w:val="none"/>
              </w:rPr>
              <w:t>未按上述要求递交视频文件或所提供的视频文件不符合要求的视同放弃，本项不得分。</w:t>
            </w:r>
          </w:p>
          <w:p w14:paraId="5A72E399">
            <w:pPr>
              <w:pStyle w:val="11"/>
              <w:numPr>
                <w:ilvl w:val="0"/>
                <w:numId w:val="79"/>
              </w:numPr>
              <w:spacing w:line="400" w:lineRule="exact"/>
              <w:ind w:firstLine="0"/>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产品演示部分，若存在虚假剪辑演示，后果自负。</w:t>
            </w:r>
          </w:p>
          <w:p w14:paraId="04923AFA">
            <w:pPr>
              <w:pStyle w:val="81"/>
              <w:numPr>
                <w:ilvl w:val="0"/>
                <w:numId w:val="78"/>
              </w:numPr>
              <w:spacing w:line="400" w:lineRule="exact"/>
              <w:ind w:firstLineChars="0"/>
              <w:jc w:val="left"/>
              <w:textAlignment w:val="baseline"/>
              <w:rPr>
                <w:rFonts w:ascii="宋体" w:hAnsi="宋体" w:cs="宋体"/>
                <w:color w:val="auto"/>
                <w:spacing w:val="-6"/>
                <w:sz w:val="22"/>
                <w:highlight w:val="none"/>
              </w:rPr>
            </w:pPr>
            <w:r>
              <w:rPr>
                <w:rFonts w:hint="eastAsia" w:ascii="宋体" w:hAnsi="宋体" w:cs="宋体"/>
                <w:b/>
                <w:bCs/>
                <w:color w:val="auto"/>
                <w:sz w:val="22"/>
                <w:highlight w:val="none"/>
              </w:rPr>
              <w:t>视频文件名称：</w:t>
            </w:r>
            <w:r>
              <w:rPr>
                <w:rFonts w:hint="eastAsia" w:ascii="宋体" w:hAnsi="宋体" w:cs="宋体"/>
                <w:b/>
                <w:bCs/>
                <w:color w:val="auto"/>
                <w:sz w:val="22"/>
                <w:highlight w:val="none"/>
                <w:lang w:eastAsia="zh-CN"/>
              </w:rPr>
              <w:t>三门县公安局机房升级改造项目（二次）</w:t>
            </w:r>
            <w:r>
              <w:rPr>
                <w:rFonts w:hint="eastAsia" w:ascii="宋体" w:hAnsi="宋体" w:cs="宋体"/>
                <w:b/>
                <w:bCs/>
                <w:color w:val="auto"/>
                <w:sz w:val="22"/>
                <w:highlight w:val="none"/>
              </w:rPr>
              <w:t>（投标人单位名称）。</w:t>
            </w:r>
          </w:p>
        </w:tc>
        <w:tc>
          <w:tcPr>
            <w:tcW w:w="315" w:type="pct"/>
            <w:vAlign w:val="center"/>
          </w:tcPr>
          <w:p w14:paraId="78ED4CDA">
            <w:pPr>
              <w:spacing w:line="400" w:lineRule="exact"/>
              <w:jc w:val="center"/>
              <w:textAlignment w:val="baseline"/>
              <w:rPr>
                <w:rFonts w:ascii="宋体" w:hAnsi="宋体" w:cs="宋体"/>
                <w:color w:val="auto"/>
                <w:kern w:val="0"/>
                <w:sz w:val="22"/>
                <w:szCs w:val="22"/>
                <w:highlight w:val="none"/>
                <w:lang w:bidi="ar"/>
              </w:rPr>
            </w:pPr>
          </w:p>
        </w:tc>
      </w:tr>
      <w:tr w14:paraId="4573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191A6A7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520" w:type="pct"/>
            <w:vAlign w:val="center"/>
          </w:tcPr>
          <w:p w14:paraId="2572E5C5">
            <w:pPr>
              <w:spacing w:line="400" w:lineRule="exact"/>
              <w:jc w:val="center"/>
              <w:rPr>
                <w:rFonts w:ascii="宋体" w:hAnsi="宋体" w:cs="宋体"/>
                <w:b/>
                <w:bCs/>
                <w:color w:val="auto"/>
                <w:sz w:val="22"/>
                <w:szCs w:val="22"/>
                <w:highlight w:val="none"/>
              </w:rPr>
            </w:pPr>
            <w:r>
              <w:rPr>
                <w:rFonts w:hint="eastAsia" w:ascii="宋体" w:hAnsi="宋体" w:cs="宋体"/>
                <w:color w:val="auto"/>
                <w:sz w:val="22"/>
                <w:szCs w:val="22"/>
                <w:highlight w:val="none"/>
              </w:rPr>
              <w:t>培训方案</w:t>
            </w:r>
          </w:p>
        </w:tc>
        <w:tc>
          <w:tcPr>
            <w:tcW w:w="426" w:type="pct"/>
            <w:vAlign w:val="center"/>
          </w:tcPr>
          <w:p w14:paraId="43E5732F">
            <w:pPr>
              <w:spacing w:line="400" w:lineRule="exact"/>
              <w:jc w:val="center"/>
              <w:rPr>
                <w:rFonts w:ascii="宋体" w:hAnsi="宋体" w:cs="宋体"/>
                <w:b/>
                <w:bCs/>
                <w:color w:val="auto"/>
                <w:sz w:val="22"/>
                <w:szCs w:val="22"/>
                <w:highlight w:val="none"/>
              </w:rPr>
            </w:pPr>
            <w:r>
              <w:rPr>
                <w:rFonts w:hint="eastAsia" w:ascii="宋体" w:hAnsi="宋体" w:cs="宋体"/>
                <w:color w:val="auto"/>
                <w:sz w:val="22"/>
                <w:szCs w:val="22"/>
                <w:highlight w:val="none"/>
              </w:rPr>
              <w:t>0-5</w:t>
            </w:r>
            <w:r>
              <w:rPr>
                <w:rFonts w:hint="eastAsia" w:ascii="宋体" w:hAnsi="宋体" w:cs="宋体"/>
                <w:color w:val="auto"/>
                <w:kern w:val="0"/>
                <w:sz w:val="22"/>
                <w:szCs w:val="22"/>
                <w:highlight w:val="none"/>
              </w:rPr>
              <w:t>分</w:t>
            </w:r>
          </w:p>
        </w:tc>
        <w:tc>
          <w:tcPr>
            <w:tcW w:w="3434" w:type="pct"/>
            <w:vAlign w:val="center"/>
          </w:tcPr>
          <w:p w14:paraId="5480A9E4">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根据培训</w:t>
            </w:r>
            <w:r>
              <w:rPr>
                <w:rFonts w:hint="eastAsia" w:ascii="宋体" w:hAnsi="宋体" w:cs="宋体"/>
                <w:color w:val="auto"/>
                <w:sz w:val="22"/>
                <w:szCs w:val="22"/>
                <w:highlight w:val="none"/>
                <w:lang w:val="en-GB"/>
              </w:rPr>
              <w:t>目的</w:t>
            </w:r>
            <w:r>
              <w:rPr>
                <w:rFonts w:hint="eastAsia" w:ascii="宋体" w:hAnsi="宋体" w:cs="宋体"/>
                <w:color w:val="auto"/>
                <w:sz w:val="22"/>
                <w:szCs w:val="22"/>
                <w:highlight w:val="none"/>
              </w:rPr>
              <w:t>、培训内容、培训时间、地点、</w:t>
            </w:r>
            <w:r>
              <w:rPr>
                <w:rFonts w:hint="eastAsia" w:ascii="宋体" w:hAnsi="宋体" w:cs="宋体"/>
                <w:color w:val="auto"/>
                <w:sz w:val="22"/>
                <w:szCs w:val="22"/>
                <w:highlight w:val="none"/>
                <w:lang w:val="en-GB"/>
              </w:rPr>
              <w:t>频次</w:t>
            </w:r>
            <w:r>
              <w:rPr>
                <w:rFonts w:hint="eastAsia" w:ascii="宋体" w:hAnsi="宋体" w:cs="宋体"/>
                <w:color w:val="auto"/>
                <w:sz w:val="22"/>
                <w:szCs w:val="22"/>
                <w:highlight w:val="none"/>
              </w:rPr>
              <w:t>等</w:t>
            </w:r>
            <w:r>
              <w:rPr>
                <w:rFonts w:hint="eastAsia" w:ascii="宋体" w:hAnsi="宋体" w:cs="宋体"/>
                <w:color w:val="auto"/>
                <w:kern w:val="0"/>
                <w:sz w:val="22"/>
                <w:szCs w:val="22"/>
                <w:highlight w:val="none"/>
              </w:rPr>
              <w:t>，由评标委员会打分</w:t>
            </w:r>
            <w:r>
              <w:rPr>
                <w:rFonts w:hint="eastAsia" w:ascii="宋体" w:hAnsi="宋体" w:cs="宋体"/>
                <w:snapToGrid w:val="0"/>
                <w:color w:val="auto"/>
                <w:sz w:val="22"/>
                <w:szCs w:val="22"/>
                <w:highlight w:val="none"/>
              </w:rPr>
              <w:t>。</w:t>
            </w:r>
          </w:p>
          <w:p w14:paraId="6702652B">
            <w:pPr>
              <w:numPr>
                <w:ilvl w:val="0"/>
                <w:numId w:val="80"/>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方案能贴合采购人需求，合理可行、针对性强的得</w:t>
            </w:r>
            <w:r>
              <w:rPr>
                <w:rFonts w:hint="eastAsia" w:ascii="宋体" w:hAnsi="宋体" w:cs="宋体"/>
                <w:bCs/>
                <w:color w:val="auto"/>
                <w:sz w:val="22"/>
                <w:szCs w:val="22"/>
                <w:highlight w:val="none"/>
              </w:rPr>
              <w:t>5.0-4.0</w:t>
            </w:r>
            <w:r>
              <w:rPr>
                <w:rFonts w:hint="eastAsia" w:ascii="宋体" w:hAnsi="宋体" w:cs="宋体"/>
                <w:bCs/>
                <w:color w:val="auto"/>
                <w:sz w:val="22"/>
                <w:szCs w:val="22"/>
                <w:highlight w:val="none"/>
                <w:lang w:val="zh-CN"/>
              </w:rPr>
              <w:t>分</w:t>
            </w:r>
            <w:r>
              <w:rPr>
                <w:rFonts w:hint="eastAsia" w:ascii="宋体" w:hAnsi="宋体" w:cs="宋体"/>
                <w:color w:val="auto"/>
                <w:sz w:val="22"/>
                <w:szCs w:val="22"/>
                <w:highlight w:val="none"/>
              </w:rPr>
              <w:t>；</w:t>
            </w:r>
          </w:p>
          <w:p w14:paraId="61F01E8D">
            <w:pPr>
              <w:numPr>
                <w:ilvl w:val="0"/>
                <w:numId w:val="80"/>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方案能比较贴合采购人需求，较合理可行、针对性较强的得</w:t>
            </w:r>
            <w:r>
              <w:rPr>
                <w:rFonts w:hint="eastAsia" w:ascii="宋体" w:hAnsi="宋体" w:cs="宋体"/>
                <w:bCs/>
                <w:color w:val="auto"/>
                <w:sz w:val="22"/>
                <w:szCs w:val="22"/>
                <w:highlight w:val="none"/>
              </w:rPr>
              <w:t>3.9-2.0</w:t>
            </w:r>
            <w:r>
              <w:rPr>
                <w:rFonts w:hint="eastAsia" w:ascii="宋体" w:hAnsi="宋体" w:cs="宋体"/>
                <w:bCs/>
                <w:color w:val="auto"/>
                <w:sz w:val="22"/>
                <w:szCs w:val="22"/>
                <w:highlight w:val="none"/>
                <w:lang w:val="zh-CN"/>
              </w:rPr>
              <w:t>分</w:t>
            </w:r>
            <w:r>
              <w:rPr>
                <w:rFonts w:hint="eastAsia" w:ascii="宋体" w:hAnsi="宋体" w:cs="宋体"/>
                <w:color w:val="auto"/>
                <w:sz w:val="22"/>
                <w:szCs w:val="22"/>
                <w:highlight w:val="none"/>
              </w:rPr>
              <w:t>；</w:t>
            </w:r>
          </w:p>
          <w:p w14:paraId="53D0F1B2">
            <w:pPr>
              <w:numPr>
                <w:ilvl w:val="0"/>
                <w:numId w:val="80"/>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方案能基本贴合采购人需求，合理性、可行性、针对性一般的得</w:t>
            </w:r>
            <w:r>
              <w:rPr>
                <w:rFonts w:hint="eastAsia" w:ascii="宋体" w:hAnsi="宋体" w:cs="宋体"/>
                <w:bCs/>
                <w:color w:val="auto"/>
                <w:sz w:val="22"/>
                <w:szCs w:val="22"/>
                <w:highlight w:val="none"/>
                <w:lang w:val="zh-CN"/>
              </w:rPr>
              <w:t>1.9-0分</w:t>
            </w:r>
            <w:r>
              <w:rPr>
                <w:rFonts w:hint="eastAsia" w:ascii="宋体" w:hAnsi="宋体" w:cs="宋体"/>
                <w:color w:val="auto"/>
                <w:sz w:val="22"/>
                <w:szCs w:val="22"/>
                <w:highlight w:val="none"/>
              </w:rPr>
              <w:t>；</w:t>
            </w:r>
          </w:p>
          <w:p w14:paraId="11D517C7">
            <w:pPr>
              <w:numPr>
                <w:ilvl w:val="0"/>
                <w:numId w:val="80"/>
              </w:numPr>
              <w:spacing w:line="400" w:lineRule="exact"/>
              <w:jc w:val="left"/>
              <w:rPr>
                <w:rFonts w:ascii="宋体" w:hAnsi="宋体" w:cs="宋体"/>
                <w:color w:val="auto"/>
                <w:spacing w:val="-6"/>
                <w:sz w:val="22"/>
                <w:szCs w:val="22"/>
                <w:highlight w:val="none"/>
              </w:rPr>
            </w:pPr>
            <w:r>
              <w:rPr>
                <w:rFonts w:hint="eastAsia" w:ascii="宋体" w:hAnsi="宋体" w:cs="宋体"/>
                <w:color w:val="auto"/>
                <w:sz w:val="22"/>
                <w:szCs w:val="22"/>
                <w:highlight w:val="none"/>
              </w:rPr>
              <w:t>不提供不得分。</w:t>
            </w:r>
          </w:p>
        </w:tc>
        <w:tc>
          <w:tcPr>
            <w:tcW w:w="315" w:type="pct"/>
            <w:vAlign w:val="center"/>
          </w:tcPr>
          <w:p w14:paraId="36FDE62A">
            <w:pPr>
              <w:spacing w:line="400" w:lineRule="exact"/>
              <w:jc w:val="center"/>
              <w:rPr>
                <w:rFonts w:ascii="宋体" w:hAnsi="宋体" w:cs="宋体"/>
                <w:color w:val="auto"/>
                <w:sz w:val="22"/>
                <w:szCs w:val="22"/>
                <w:highlight w:val="none"/>
              </w:rPr>
            </w:pPr>
          </w:p>
        </w:tc>
      </w:tr>
      <w:tr w14:paraId="21AB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01E440AE">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520" w:type="pct"/>
            <w:vAlign w:val="center"/>
          </w:tcPr>
          <w:p w14:paraId="2C92160C">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售后服务</w:t>
            </w:r>
          </w:p>
        </w:tc>
        <w:tc>
          <w:tcPr>
            <w:tcW w:w="426" w:type="pct"/>
            <w:vAlign w:val="center"/>
          </w:tcPr>
          <w:p w14:paraId="7B64A519">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0-5</w:t>
            </w:r>
            <w:r>
              <w:rPr>
                <w:rFonts w:hint="eastAsia" w:ascii="宋体" w:hAnsi="宋体" w:cs="宋体"/>
                <w:color w:val="auto"/>
                <w:kern w:val="0"/>
                <w:sz w:val="22"/>
                <w:szCs w:val="22"/>
                <w:highlight w:val="none"/>
              </w:rPr>
              <w:t>分</w:t>
            </w:r>
          </w:p>
        </w:tc>
        <w:tc>
          <w:tcPr>
            <w:tcW w:w="3434" w:type="pct"/>
            <w:vAlign w:val="center"/>
          </w:tcPr>
          <w:p w14:paraId="5F1E9FA6">
            <w:pPr>
              <w:spacing w:line="400" w:lineRule="exact"/>
              <w:jc w:val="left"/>
              <w:rPr>
                <w:rFonts w:ascii="宋体" w:hAnsi="宋体" w:cs="宋体"/>
                <w:color w:val="auto"/>
                <w:sz w:val="22"/>
                <w:szCs w:val="22"/>
                <w:highlight w:val="none"/>
              </w:rPr>
            </w:pPr>
            <w:r>
              <w:rPr>
                <w:rFonts w:hint="eastAsia" w:ascii="宋体" w:hAnsi="宋体" w:cs="宋体"/>
                <w:color w:val="auto"/>
                <w:spacing w:val="-6"/>
                <w:sz w:val="22"/>
                <w:szCs w:val="22"/>
                <w:highlight w:val="none"/>
              </w:rPr>
              <w:t>根据售后服务</w:t>
            </w:r>
            <w:r>
              <w:rPr>
                <w:rFonts w:hint="eastAsia" w:ascii="宋体" w:hAnsi="宋体" w:cs="宋体"/>
                <w:color w:val="auto"/>
                <w:sz w:val="22"/>
                <w:szCs w:val="22"/>
                <w:highlight w:val="none"/>
              </w:rPr>
              <w:t>承诺</w:t>
            </w:r>
            <w:r>
              <w:rPr>
                <w:rFonts w:hint="eastAsia" w:ascii="宋体" w:hAnsi="宋体" w:cs="宋体"/>
                <w:color w:val="auto"/>
                <w:spacing w:val="-6"/>
                <w:sz w:val="22"/>
                <w:szCs w:val="22"/>
                <w:highlight w:val="none"/>
              </w:rPr>
              <w:t>（</w:t>
            </w:r>
            <w:r>
              <w:rPr>
                <w:rFonts w:hint="eastAsia" w:ascii="宋体" w:hAnsi="宋体" w:cs="宋体"/>
                <w:color w:val="auto"/>
                <w:sz w:val="22"/>
                <w:szCs w:val="22"/>
                <w:highlight w:val="none"/>
              </w:rPr>
              <w:t>包括优惠条件、质保期满后所有产品维修、保养、额外升级所收费用的优惠承诺等</w:t>
            </w:r>
            <w:r>
              <w:rPr>
                <w:rFonts w:hint="eastAsia" w:ascii="宋体" w:hAnsi="宋体" w:cs="宋体"/>
                <w:color w:val="auto"/>
                <w:spacing w:val="-6"/>
                <w:sz w:val="22"/>
                <w:szCs w:val="22"/>
                <w:highlight w:val="none"/>
              </w:rPr>
              <w:t>）、售后服务承诺的供货时间、接到故障通知后到达时间、处理故障时间、</w:t>
            </w:r>
            <w:r>
              <w:rPr>
                <w:rFonts w:hint="eastAsia" w:ascii="宋体" w:hAnsi="宋体" w:cs="宋体"/>
                <w:color w:val="auto"/>
                <w:sz w:val="22"/>
                <w:szCs w:val="22"/>
                <w:highlight w:val="none"/>
              </w:rPr>
              <w:t>质保期内外的后续技术支持和维护能力情况、配件、附件、备品备件的准备和保障措施</w:t>
            </w:r>
            <w:r>
              <w:rPr>
                <w:rFonts w:hint="eastAsia" w:ascii="宋体" w:hAnsi="宋体" w:cs="宋体"/>
                <w:color w:val="auto"/>
                <w:kern w:val="0"/>
                <w:sz w:val="22"/>
                <w:szCs w:val="22"/>
                <w:highlight w:val="none"/>
              </w:rPr>
              <w:t>，由评标委员会打分</w:t>
            </w:r>
            <w:r>
              <w:rPr>
                <w:rFonts w:hint="eastAsia" w:ascii="宋体" w:hAnsi="宋体" w:cs="宋体"/>
                <w:snapToGrid w:val="0"/>
                <w:color w:val="auto"/>
                <w:sz w:val="22"/>
                <w:szCs w:val="22"/>
                <w:highlight w:val="none"/>
              </w:rPr>
              <w:t>。</w:t>
            </w:r>
          </w:p>
          <w:p w14:paraId="34DF8EFA">
            <w:pPr>
              <w:numPr>
                <w:ilvl w:val="0"/>
                <w:numId w:val="81"/>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方案能贴合采购人需求，合理可行、针对性强的得</w:t>
            </w:r>
            <w:r>
              <w:rPr>
                <w:rFonts w:hint="eastAsia" w:ascii="宋体" w:hAnsi="宋体" w:cs="宋体"/>
                <w:bCs/>
                <w:color w:val="auto"/>
                <w:sz w:val="22"/>
                <w:szCs w:val="22"/>
                <w:highlight w:val="none"/>
              </w:rPr>
              <w:t>5.0-4.0</w:t>
            </w:r>
            <w:r>
              <w:rPr>
                <w:rFonts w:hint="eastAsia" w:ascii="宋体" w:hAnsi="宋体" w:cs="宋体"/>
                <w:bCs/>
                <w:color w:val="auto"/>
                <w:sz w:val="22"/>
                <w:szCs w:val="22"/>
                <w:highlight w:val="none"/>
                <w:lang w:val="zh-CN"/>
              </w:rPr>
              <w:t>分</w:t>
            </w:r>
            <w:r>
              <w:rPr>
                <w:rFonts w:hint="eastAsia" w:ascii="宋体" w:hAnsi="宋体" w:cs="宋体"/>
                <w:color w:val="auto"/>
                <w:sz w:val="22"/>
                <w:szCs w:val="22"/>
                <w:highlight w:val="none"/>
              </w:rPr>
              <w:t>；</w:t>
            </w:r>
          </w:p>
          <w:p w14:paraId="7F7CE755">
            <w:pPr>
              <w:numPr>
                <w:ilvl w:val="0"/>
                <w:numId w:val="81"/>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方案能比较贴合采购人需求，较合理可行、针对性较强的得</w:t>
            </w:r>
            <w:r>
              <w:rPr>
                <w:rFonts w:hint="eastAsia" w:ascii="宋体" w:hAnsi="宋体" w:cs="宋体"/>
                <w:bCs/>
                <w:color w:val="auto"/>
                <w:sz w:val="22"/>
                <w:szCs w:val="22"/>
                <w:highlight w:val="none"/>
              </w:rPr>
              <w:t>3.9-2.0</w:t>
            </w:r>
            <w:r>
              <w:rPr>
                <w:rFonts w:hint="eastAsia" w:ascii="宋体" w:hAnsi="宋体" w:cs="宋体"/>
                <w:bCs/>
                <w:color w:val="auto"/>
                <w:sz w:val="22"/>
                <w:szCs w:val="22"/>
                <w:highlight w:val="none"/>
                <w:lang w:val="zh-CN"/>
              </w:rPr>
              <w:t>分</w:t>
            </w:r>
            <w:r>
              <w:rPr>
                <w:rFonts w:hint="eastAsia" w:ascii="宋体" w:hAnsi="宋体" w:cs="宋体"/>
                <w:color w:val="auto"/>
                <w:sz w:val="22"/>
                <w:szCs w:val="22"/>
                <w:highlight w:val="none"/>
              </w:rPr>
              <w:t>；</w:t>
            </w:r>
          </w:p>
          <w:p w14:paraId="75C391E6">
            <w:pPr>
              <w:numPr>
                <w:ilvl w:val="0"/>
                <w:numId w:val="81"/>
              </w:num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方案能基本贴合采购人需求，合理性、可行性、针对性一般的得</w:t>
            </w:r>
            <w:r>
              <w:rPr>
                <w:rFonts w:hint="eastAsia" w:ascii="宋体" w:hAnsi="宋体" w:cs="宋体"/>
                <w:bCs/>
                <w:color w:val="auto"/>
                <w:sz w:val="22"/>
                <w:szCs w:val="22"/>
                <w:highlight w:val="none"/>
                <w:lang w:val="zh-CN"/>
              </w:rPr>
              <w:t>1.9-0分</w:t>
            </w:r>
            <w:r>
              <w:rPr>
                <w:rFonts w:hint="eastAsia" w:ascii="宋体" w:hAnsi="宋体" w:cs="宋体"/>
                <w:color w:val="auto"/>
                <w:sz w:val="22"/>
                <w:szCs w:val="22"/>
                <w:highlight w:val="none"/>
              </w:rPr>
              <w:t>；</w:t>
            </w:r>
          </w:p>
          <w:p w14:paraId="6AC125A7">
            <w:pPr>
              <w:pStyle w:val="9"/>
              <w:numPr>
                <w:ilvl w:val="0"/>
                <w:numId w:val="81"/>
              </w:numPr>
              <w:spacing w:after="0" w:line="400" w:lineRule="exact"/>
              <w:ind w:leftChars="0"/>
              <w:rPr>
                <w:rFonts w:ascii="宋体" w:hAnsi="宋体" w:cs="宋体"/>
                <w:color w:val="auto"/>
                <w:spacing w:val="-6"/>
                <w:sz w:val="22"/>
                <w:szCs w:val="22"/>
                <w:highlight w:val="none"/>
              </w:rPr>
            </w:pPr>
            <w:r>
              <w:rPr>
                <w:rFonts w:hint="eastAsia" w:ascii="宋体" w:hAnsi="宋体" w:cs="宋体"/>
                <w:color w:val="auto"/>
                <w:sz w:val="22"/>
                <w:szCs w:val="22"/>
                <w:highlight w:val="none"/>
              </w:rPr>
              <w:t>不提供不得分。</w:t>
            </w:r>
          </w:p>
        </w:tc>
        <w:tc>
          <w:tcPr>
            <w:tcW w:w="315" w:type="pct"/>
            <w:vAlign w:val="center"/>
          </w:tcPr>
          <w:p w14:paraId="0ECE76AD">
            <w:pPr>
              <w:pStyle w:val="9"/>
              <w:spacing w:after="0" w:line="400" w:lineRule="exact"/>
              <w:jc w:val="center"/>
              <w:rPr>
                <w:rFonts w:ascii="宋体" w:hAnsi="宋体" w:cs="宋体"/>
                <w:color w:val="auto"/>
                <w:kern w:val="0"/>
                <w:sz w:val="22"/>
                <w:szCs w:val="22"/>
                <w:highlight w:val="none"/>
              </w:rPr>
            </w:pPr>
          </w:p>
        </w:tc>
      </w:tr>
      <w:tr w14:paraId="6F03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4A6AAFB6">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520" w:type="pct"/>
            <w:vAlign w:val="center"/>
          </w:tcPr>
          <w:p w14:paraId="79E3C7B5">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实施方案</w:t>
            </w:r>
          </w:p>
        </w:tc>
        <w:tc>
          <w:tcPr>
            <w:tcW w:w="426" w:type="pct"/>
            <w:vAlign w:val="center"/>
          </w:tcPr>
          <w:p w14:paraId="32716EDB">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0-5</w:t>
            </w:r>
            <w:r>
              <w:rPr>
                <w:rFonts w:hint="eastAsia" w:ascii="宋体" w:hAnsi="宋体" w:cs="宋体"/>
                <w:color w:val="auto"/>
                <w:kern w:val="0"/>
                <w:sz w:val="22"/>
                <w:szCs w:val="22"/>
                <w:highlight w:val="none"/>
              </w:rPr>
              <w:t>分</w:t>
            </w:r>
          </w:p>
        </w:tc>
        <w:tc>
          <w:tcPr>
            <w:tcW w:w="3434" w:type="pct"/>
            <w:vAlign w:val="center"/>
          </w:tcPr>
          <w:p w14:paraId="44B68407">
            <w:pPr>
              <w:spacing w:line="400" w:lineRule="exact"/>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根据供应商提供具体的实施方案、质量保证措施（包含但不限于项目实施计划、组织及人员安排、项目进度保障措施等）方面的方案是否符合采购人需求又切实可行等方面进行分档评分：</w:t>
            </w:r>
          </w:p>
          <w:p w14:paraId="28F3CA6D">
            <w:pPr>
              <w:numPr>
                <w:ilvl w:val="0"/>
                <w:numId w:val="82"/>
              </w:numPr>
              <w:spacing w:line="400" w:lineRule="exact"/>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有明确的项目实施方案内容，包括具体的数据迁移方案、组织架构、明确的质量保障措施，带有具体的时间节点进度安排，与实际情况较为匹配，得</w:t>
            </w:r>
            <w:r>
              <w:rPr>
                <w:rFonts w:hint="eastAsia" w:ascii="宋体" w:hAnsi="宋体" w:cs="宋体"/>
                <w:bCs/>
                <w:color w:val="auto"/>
                <w:sz w:val="22"/>
                <w:szCs w:val="22"/>
                <w:highlight w:val="none"/>
              </w:rPr>
              <w:t>5.0-4.0</w:t>
            </w:r>
            <w:r>
              <w:rPr>
                <w:rFonts w:hint="eastAsia" w:ascii="宋体" w:hAnsi="宋体" w:cs="宋体"/>
                <w:color w:val="auto"/>
                <w:spacing w:val="-6"/>
                <w:sz w:val="22"/>
                <w:szCs w:val="22"/>
                <w:highlight w:val="none"/>
              </w:rPr>
              <w:t>分。</w:t>
            </w:r>
          </w:p>
          <w:p w14:paraId="2BA96ED2">
            <w:pPr>
              <w:numPr>
                <w:ilvl w:val="0"/>
                <w:numId w:val="82"/>
              </w:numPr>
              <w:spacing w:line="400" w:lineRule="exact"/>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有较明确的实施方案内容，但方案内容中未明确具体的组织架构或质量保障措施或具体的时间节点进度安排，但内容宽泛针对性不足，得</w:t>
            </w:r>
            <w:r>
              <w:rPr>
                <w:rFonts w:hint="eastAsia" w:ascii="宋体" w:hAnsi="宋体" w:cs="宋体"/>
                <w:bCs/>
                <w:color w:val="auto"/>
                <w:sz w:val="22"/>
                <w:szCs w:val="22"/>
                <w:highlight w:val="none"/>
              </w:rPr>
              <w:t>3.9-2.0</w:t>
            </w:r>
            <w:r>
              <w:rPr>
                <w:rFonts w:hint="eastAsia" w:ascii="宋体" w:hAnsi="宋体" w:cs="宋体"/>
                <w:color w:val="auto"/>
                <w:spacing w:val="-6"/>
                <w:sz w:val="22"/>
                <w:szCs w:val="22"/>
                <w:highlight w:val="none"/>
              </w:rPr>
              <w:t>分。</w:t>
            </w:r>
          </w:p>
          <w:p w14:paraId="1E0D431C">
            <w:pPr>
              <w:numPr>
                <w:ilvl w:val="0"/>
                <w:numId w:val="82"/>
              </w:numPr>
              <w:spacing w:line="400" w:lineRule="exact"/>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有实施方案内容，但所提供内容简略，未详细展开描述得</w:t>
            </w:r>
            <w:r>
              <w:rPr>
                <w:rFonts w:hint="eastAsia" w:ascii="宋体" w:hAnsi="宋体" w:cs="宋体"/>
                <w:bCs/>
                <w:color w:val="auto"/>
                <w:sz w:val="22"/>
                <w:szCs w:val="22"/>
                <w:highlight w:val="none"/>
                <w:lang w:val="zh-CN"/>
              </w:rPr>
              <w:t>1.9-0</w:t>
            </w:r>
            <w:r>
              <w:rPr>
                <w:rFonts w:hint="eastAsia" w:ascii="宋体" w:hAnsi="宋体" w:cs="宋体"/>
                <w:color w:val="auto"/>
                <w:spacing w:val="-6"/>
                <w:sz w:val="22"/>
                <w:szCs w:val="22"/>
                <w:highlight w:val="none"/>
              </w:rPr>
              <w:t>分。</w:t>
            </w:r>
          </w:p>
          <w:p w14:paraId="7DD45452">
            <w:pPr>
              <w:numPr>
                <w:ilvl w:val="0"/>
                <w:numId w:val="82"/>
              </w:numPr>
              <w:spacing w:line="400" w:lineRule="exact"/>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未提供方案不得分。</w:t>
            </w:r>
          </w:p>
        </w:tc>
        <w:tc>
          <w:tcPr>
            <w:tcW w:w="315" w:type="pct"/>
            <w:vAlign w:val="center"/>
          </w:tcPr>
          <w:p w14:paraId="55B3D51C">
            <w:pPr>
              <w:pStyle w:val="9"/>
              <w:spacing w:after="0" w:line="400" w:lineRule="exact"/>
              <w:jc w:val="center"/>
              <w:rPr>
                <w:rFonts w:ascii="宋体" w:hAnsi="宋体" w:cs="宋体"/>
                <w:bCs/>
                <w:color w:val="auto"/>
                <w:sz w:val="22"/>
                <w:szCs w:val="22"/>
                <w:highlight w:val="none"/>
              </w:rPr>
            </w:pPr>
          </w:p>
        </w:tc>
      </w:tr>
      <w:tr w14:paraId="7DCE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shd w:val="clear" w:color="auto" w:fill="auto"/>
            <w:vAlign w:val="center"/>
          </w:tcPr>
          <w:p w14:paraId="71BEDAA8">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520" w:type="pct"/>
            <w:vAlign w:val="center"/>
          </w:tcPr>
          <w:p w14:paraId="41D748C1">
            <w:pPr>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lang w:val="zh-CN"/>
              </w:rPr>
              <w:t>价格得分</w:t>
            </w:r>
          </w:p>
        </w:tc>
        <w:tc>
          <w:tcPr>
            <w:tcW w:w="426" w:type="pct"/>
            <w:vAlign w:val="center"/>
          </w:tcPr>
          <w:p w14:paraId="7B0EF957">
            <w:pPr>
              <w:spacing w:line="400" w:lineRule="exact"/>
              <w:jc w:val="center"/>
              <w:rPr>
                <w:rFonts w:ascii="宋体" w:hAnsi="宋体" w:cs="宋体"/>
                <w:color w:val="auto"/>
                <w:sz w:val="22"/>
                <w:szCs w:val="22"/>
                <w:highlight w:val="none"/>
              </w:rPr>
            </w:pPr>
            <w:r>
              <w:rPr>
                <w:rFonts w:hint="eastAsia" w:ascii="宋体" w:hAnsi="宋体" w:cs="宋体"/>
                <w:bCs/>
                <w:color w:val="auto"/>
                <w:sz w:val="22"/>
                <w:szCs w:val="22"/>
                <w:highlight w:val="none"/>
              </w:rPr>
              <w:t>0-30</w:t>
            </w:r>
            <w:r>
              <w:rPr>
                <w:rFonts w:hint="eastAsia" w:ascii="宋体" w:hAnsi="宋体" w:cs="宋体"/>
                <w:color w:val="auto"/>
                <w:kern w:val="0"/>
                <w:sz w:val="22"/>
                <w:szCs w:val="22"/>
                <w:highlight w:val="none"/>
              </w:rPr>
              <w:t>分</w:t>
            </w:r>
          </w:p>
        </w:tc>
        <w:tc>
          <w:tcPr>
            <w:tcW w:w="3434" w:type="pct"/>
            <w:vAlign w:val="center"/>
          </w:tcPr>
          <w:p w14:paraId="088067A9">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以合格投标人有效投标总报价中的最低价为基准价，基准价为30分。投标报价得分＝（评标基准价/投标报价）×30%×100（小数点后保留2位小数）。</w:t>
            </w:r>
          </w:p>
          <w:p w14:paraId="411564FC">
            <w:pPr>
              <w:spacing w:line="400" w:lineRule="exact"/>
              <w:jc w:val="left"/>
              <w:rPr>
                <w:rFonts w:ascii="宋体" w:hAnsi="宋体" w:cs="宋体"/>
                <w:color w:val="auto"/>
                <w:spacing w:val="-6"/>
                <w:sz w:val="22"/>
                <w:szCs w:val="22"/>
                <w:highlight w:val="none"/>
              </w:rPr>
            </w:pPr>
            <w:r>
              <w:rPr>
                <w:rFonts w:hint="eastAsia" w:ascii="宋体" w:hAnsi="宋体" w:cs="宋体"/>
                <w:color w:val="auto"/>
                <w:sz w:val="22"/>
                <w:szCs w:val="22"/>
                <w:highlight w:val="none"/>
              </w:rPr>
              <w:t>注：符合本章第七点政府采购政策的，对报价给予20%的价格扣除，用扣除后的价格参与评审。</w:t>
            </w:r>
          </w:p>
        </w:tc>
        <w:tc>
          <w:tcPr>
            <w:tcW w:w="315" w:type="pct"/>
            <w:vAlign w:val="center"/>
          </w:tcPr>
          <w:p w14:paraId="6CCFDFED">
            <w:pPr>
              <w:pStyle w:val="9"/>
              <w:spacing w:after="0" w:line="400" w:lineRule="exact"/>
              <w:jc w:val="center"/>
              <w:rPr>
                <w:rFonts w:ascii="宋体" w:hAnsi="宋体" w:cs="宋体"/>
                <w:bCs/>
                <w:color w:val="auto"/>
                <w:sz w:val="22"/>
                <w:szCs w:val="22"/>
                <w:highlight w:val="none"/>
              </w:rPr>
            </w:pPr>
          </w:p>
        </w:tc>
      </w:tr>
    </w:tbl>
    <w:p w14:paraId="7415CA27">
      <w:pPr>
        <w:spacing w:line="360" w:lineRule="auto"/>
        <w:rPr>
          <w:b/>
          <w:bCs/>
          <w:color w:val="auto"/>
          <w:sz w:val="24"/>
          <w:highlight w:val="none"/>
        </w:rPr>
      </w:pPr>
      <w:r>
        <w:rPr>
          <w:rFonts w:hint="eastAsia"/>
          <w:b/>
          <w:bCs/>
          <w:color w:val="auto"/>
          <w:sz w:val="24"/>
          <w:highlight w:val="none"/>
        </w:rPr>
        <w:t>注：①请扫描上传相关证明材料至投标文件，并加盖投标人公章。</w:t>
      </w:r>
    </w:p>
    <w:p w14:paraId="02F92B3D">
      <w:pPr>
        <w:spacing w:line="360" w:lineRule="auto"/>
        <w:ind w:firstLine="482" w:firstLineChars="200"/>
        <w:rPr>
          <w:b/>
          <w:bCs/>
          <w:color w:val="auto"/>
          <w:sz w:val="24"/>
          <w:highlight w:val="none"/>
        </w:rPr>
      </w:pPr>
      <w:r>
        <w:rPr>
          <w:b/>
          <w:bCs/>
          <w:color w:val="auto"/>
          <w:sz w:val="24"/>
          <w:highlight w:val="none"/>
        </w:rPr>
        <w:t>②</w:t>
      </w:r>
      <w:r>
        <w:rPr>
          <w:rFonts w:hint="eastAsia"/>
          <w:b/>
          <w:bCs/>
          <w:color w:val="auto"/>
          <w:sz w:val="24"/>
          <w:highlight w:val="none"/>
        </w:rPr>
        <w:t>上述证明材料中的单位名称与投标人的名称必须一致。</w:t>
      </w:r>
    </w:p>
    <w:p w14:paraId="2BFC7A62">
      <w:pPr>
        <w:pStyle w:val="12"/>
        <w:numPr>
          <w:ilvl w:val="0"/>
          <w:numId w:val="77"/>
        </w:num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评审要求</w:t>
      </w:r>
    </w:p>
    <w:p w14:paraId="0FEFD66D">
      <w:pPr>
        <w:numPr>
          <w:ilvl w:val="0"/>
          <w:numId w:val="83"/>
        </w:numPr>
        <w:spacing w:line="360" w:lineRule="auto"/>
        <w:rPr>
          <w:rFonts w:ascii="宋体" w:hAnsi="宋体" w:cs="宋体"/>
          <w:color w:val="auto"/>
          <w:sz w:val="24"/>
          <w:highlight w:val="none"/>
        </w:rPr>
      </w:pPr>
      <w:r>
        <w:rPr>
          <w:rFonts w:hint="eastAsia" w:ascii="宋体" w:hAnsi="宋体" w:cs="宋体"/>
          <w:color w:val="auto"/>
          <w:sz w:val="24"/>
          <w:highlight w:val="none"/>
        </w:rPr>
        <w:t>评标委员会应当按照招标文件中规定的评标方法和标准，对符合性审查合格的投标文件的商务部分和技术部分进行综合比较与评价，其中客观评分项的分值应当一致。</w:t>
      </w:r>
    </w:p>
    <w:p w14:paraId="7F01CF63">
      <w:pPr>
        <w:numPr>
          <w:ilvl w:val="0"/>
          <w:numId w:val="83"/>
        </w:numPr>
        <w:spacing w:line="360" w:lineRule="auto"/>
        <w:rPr>
          <w:rFonts w:ascii="宋体" w:hAnsi="宋体" w:cs="宋体"/>
          <w:color w:val="auto"/>
          <w:sz w:val="24"/>
          <w:highlight w:val="none"/>
        </w:rPr>
      </w:pPr>
      <w:r>
        <w:rPr>
          <w:rFonts w:hint="eastAsia" w:ascii="宋体" w:hAnsi="宋体" w:cs="宋体"/>
          <w:color w:val="auto"/>
          <w:sz w:val="24"/>
          <w:highlight w:val="none"/>
        </w:rPr>
        <w:t>对于投标文件报价出现前后不一致的，除招标文件另有规定外，按照下列规定修正：</w:t>
      </w:r>
    </w:p>
    <w:p w14:paraId="037E0739">
      <w:pPr>
        <w:numPr>
          <w:ilvl w:val="0"/>
          <w:numId w:val="8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政府采购云平台上开启的投标报价与电子投标文件中开标一览表（报价表）内容不一致的，以电子投标文件中开标一览表（报价表）为准；</w:t>
      </w:r>
    </w:p>
    <w:p w14:paraId="14E7CBBC">
      <w:pPr>
        <w:numPr>
          <w:ilvl w:val="0"/>
          <w:numId w:val="8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投标文件中开标一览表（报价表）内容与投标文件中相应内容不一致的，以开标一览表（报价表）为准；</w:t>
      </w:r>
    </w:p>
    <w:p w14:paraId="1B7F9D5A">
      <w:pPr>
        <w:numPr>
          <w:ilvl w:val="0"/>
          <w:numId w:val="8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14:paraId="09C44610">
      <w:pPr>
        <w:numPr>
          <w:ilvl w:val="0"/>
          <w:numId w:val="8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单价金额小数点或者百分比有明显错位的，以开标一览表的总价为准，并修改单价；</w:t>
      </w:r>
    </w:p>
    <w:p w14:paraId="49C08869">
      <w:pPr>
        <w:numPr>
          <w:ilvl w:val="0"/>
          <w:numId w:val="8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总价金额与按单价汇总金额不一致的，以单价金额计算结果为准。</w:t>
      </w:r>
    </w:p>
    <w:p w14:paraId="7A3E11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3A369C56">
      <w:pPr>
        <w:numPr>
          <w:ilvl w:val="0"/>
          <w:numId w:val="83"/>
        </w:numPr>
        <w:spacing w:line="360" w:lineRule="auto"/>
        <w:rPr>
          <w:rFonts w:ascii="宋体" w:hAnsi="宋体" w:cs="宋体"/>
          <w:color w:val="auto"/>
          <w:sz w:val="24"/>
          <w:highlight w:val="none"/>
        </w:rPr>
      </w:pPr>
      <w:r>
        <w:rPr>
          <w:rFonts w:hint="eastAsia" w:ascii="宋体" w:hAnsi="宋体" w:cs="宋体"/>
          <w:color w:val="auto"/>
          <w:sz w:val="24"/>
          <w:highlight w:val="none"/>
        </w:rPr>
        <w:t>对于投标文件中含义不明确、同类问题表述不一致或者有明显文字和计算错误的内容，评标委员会应当要求投标人作出必要的澄清、说明或者补正。</w:t>
      </w:r>
    </w:p>
    <w:p w14:paraId="5C186316">
      <w:pPr>
        <w:numPr>
          <w:ilvl w:val="0"/>
          <w:numId w:val="83"/>
        </w:numPr>
        <w:spacing w:line="360" w:lineRule="auto"/>
        <w:rPr>
          <w:rFonts w:ascii="宋体" w:hAnsi="宋体" w:cs="宋体"/>
          <w:color w:val="auto"/>
          <w:sz w:val="24"/>
          <w:highlight w:val="none"/>
        </w:rPr>
      </w:pP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14:paraId="2E9E26A6">
      <w:pPr>
        <w:numPr>
          <w:ilvl w:val="0"/>
          <w:numId w:val="76"/>
        </w:numPr>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结果汇总及排序</w:t>
      </w:r>
    </w:p>
    <w:p w14:paraId="043D7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评标委员会各成员应当独立对每个投标人的投标文件进行评价，并汇总每个投标人的得分。</w:t>
      </w:r>
    </w:p>
    <w:p w14:paraId="4535A0CA">
      <w:pPr>
        <w:numPr>
          <w:ilvl w:val="0"/>
          <w:numId w:val="85"/>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5663E53">
      <w:pPr>
        <w:pStyle w:val="11"/>
        <w:numPr>
          <w:ilvl w:val="0"/>
          <w:numId w:val="85"/>
        </w:numPr>
        <w:spacing w:line="360" w:lineRule="auto"/>
        <w:ind w:firstLine="480" w:firstLineChars="200"/>
        <w:rPr>
          <w:color w:val="auto"/>
          <w:highlight w:val="none"/>
        </w:rPr>
      </w:pPr>
      <w:r>
        <w:rPr>
          <w:rFonts w:hint="eastAsia" w:ascii="宋体" w:hAnsi="宋体" w:cs="宋体"/>
          <w:color w:val="auto"/>
          <w:highlight w:val="none"/>
          <w:lang w:val="zh-CN"/>
        </w:rPr>
        <w:t>本项目的核心产品为</w:t>
      </w:r>
      <w:r>
        <w:rPr>
          <w:rFonts w:hint="eastAsia" w:ascii="宋体" w:hAnsi="宋体" w:cs="宋体"/>
          <w:b/>
          <w:bCs/>
          <w:color w:val="auto"/>
          <w:highlight w:val="none"/>
          <w:u w:val="single"/>
        </w:rPr>
        <w:t xml:space="preserve">  超融合节点服务器 </w:t>
      </w:r>
      <w:r>
        <w:rPr>
          <w:rFonts w:hint="eastAsia" w:ascii="宋体" w:hAnsi="宋体" w:cs="宋体"/>
          <w:b/>
          <w:bCs/>
          <w:color w:val="auto"/>
          <w:highlight w:val="none"/>
        </w:rPr>
        <w:t>。</w:t>
      </w:r>
      <w:r>
        <w:rPr>
          <w:rFonts w:hint="eastAsia" w:ascii="宋体" w:hAnsi="宋体" w:cs="宋体"/>
          <w:color w:val="auto"/>
          <w:highlight w:val="none"/>
          <w:lang w:val="zh-CN"/>
        </w:rPr>
        <w:t>不同投标人的核心产品出现同品牌时，</w:t>
      </w:r>
      <w:r>
        <w:rPr>
          <w:rFonts w:hint="eastAsia" w:ascii="宋体" w:hAnsi="宋体" w:cs="宋体"/>
          <w:color w:val="auto"/>
          <w:highlight w:val="none"/>
        </w:rPr>
        <w:t>参照《政府采购货物和服务招标投标管理办法》（第87号令）第三十一条有关规定执行</w:t>
      </w:r>
      <w:r>
        <w:rPr>
          <w:rFonts w:hint="eastAsia" w:ascii="宋体" w:hAnsi="宋体" w:cs="宋体"/>
          <w:color w:val="auto"/>
          <w:highlight w:val="none"/>
          <w:lang w:val="zh-CN"/>
        </w:rPr>
        <w:t>。</w:t>
      </w:r>
    </w:p>
    <w:p w14:paraId="2E71C0EF">
      <w:pPr>
        <w:numPr>
          <w:ilvl w:val="0"/>
          <w:numId w:val="76"/>
        </w:numPr>
        <w:snapToGrid w:val="0"/>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评标报告撰写</w:t>
      </w:r>
    </w:p>
    <w:p w14:paraId="5D034EF0">
      <w:pPr>
        <w:spacing w:line="360" w:lineRule="auto"/>
        <w:ind w:firstLine="480" w:firstLineChars="200"/>
        <w:rPr>
          <w:rFonts w:asciiTheme="minorEastAsia" w:hAnsiTheme="minorEastAsia" w:eastAsiaTheme="minorEastAsia"/>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15" w:name="_Toc27944_WPSOffice_Level1"/>
      <w:r>
        <w:rPr>
          <w:rFonts w:hint="eastAsia" w:asciiTheme="minorEastAsia" w:hAnsiTheme="minorEastAsia" w:eastAsiaTheme="minorEastAsia"/>
          <w:b/>
          <w:color w:val="auto"/>
          <w:sz w:val="36"/>
          <w:szCs w:val="36"/>
          <w:highlight w:val="none"/>
        </w:rPr>
        <w:br w:type="page"/>
      </w:r>
    </w:p>
    <w:bookmarkEnd w:id="15"/>
    <w:p w14:paraId="62F83D47">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2"/>
          <w:szCs w:val="32"/>
          <w:highlight w:val="none"/>
        </w:rPr>
      </w:pPr>
      <w:bookmarkStart w:id="16" w:name="_Toc8165"/>
      <w:r>
        <w:rPr>
          <w:rFonts w:hint="eastAsia" w:asciiTheme="majorEastAsia" w:hAnsiTheme="majorEastAsia" w:eastAsiaTheme="majorEastAsia"/>
          <w:b/>
          <w:color w:val="auto"/>
          <w:kern w:val="0"/>
          <w:sz w:val="32"/>
          <w:szCs w:val="32"/>
          <w:highlight w:val="none"/>
        </w:rPr>
        <w:t>拟签订的合同文本</w:t>
      </w:r>
      <w:bookmarkEnd w:id="16"/>
    </w:p>
    <w:p w14:paraId="6853C2CE">
      <w:pPr>
        <w:keepNext w:val="0"/>
        <w:keepLines w:val="0"/>
        <w:pageBreakBefore w:val="0"/>
        <w:widowControl/>
        <w:kinsoku/>
        <w:wordWrap/>
        <w:overflowPunct/>
        <w:topLinePunct w:val="0"/>
        <w:bidi w:val="0"/>
        <w:adjustRightInd/>
        <w:snapToGrid/>
        <w:spacing w:line="440" w:lineRule="atLeast"/>
        <w:ind w:firstLine="480" w:firstLineChars="200"/>
        <w:textAlignment w:val="auto"/>
        <w:rPr>
          <w:rFonts w:ascii="宋体" w:hAnsi="宋体" w:cs="宋体"/>
          <w:color w:val="auto"/>
          <w:sz w:val="24"/>
          <w:highlight w:val="none"/>
        </w:rPr>
      </w:pPr>
      <w:bookmarkStart w:id="17" w:name="_Toc5481_WPSOffice_Level1"/>
      <w:r>
        <w:rPr>
          <w:rFonts w:hint="eastAsia" w:ascii="宋体" w:hAnsi="宋体" w:cs="宋体"/>
          <w:color w:val="auto"/>
          <w:sz w:val="24"/>
          <w:highlight w:val="none"/>
        </w:rPr>
        <w:t>以下为成交后签订本项目合同的通用条款，中标人不得提出实质性的修改，关于专用条款将由采购人与中标人结合本项目具体情况协商后签订。</w:t>
      </w:r>
    </w:p>
    <w:p w14:paraId="706535E5">
      <w:pPr>
        <w:pStyle w:val="12"/>
        <w:keepNext w:val="0"/>
        <w:keepLines w:val="0"/>
        <w:pageBreakBefore w:val="0"/>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项目名称：                               项目编号：</w:t>
      </w:r>
    </w:p>
    <w:p w14:paraId="75D182F5">
      <w:pPr>
        <w:pStyle w:val="12"/>
        <w:keepNext w:val="0"/>
        <w:keepLines w:val="0"/>
        <w:pageBreakBefore w:val="0"/>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 xml:space="preserve">甲方：（采购单位）                       所在地：          </w:t>
      </w:r>
    </w:p>
    <w:p w14:paraId="0199D915">
      <w:pPr>
        <w:pStyle w:val="12"/>
        <w:keepNext w:val="0"/>
        <w:keepLines w:val="0"/>
        <w:pageBreakBefore w:val="0"/>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乙方：（中标人）                         所在地：</w:t>
      </w:r>
    </w:p>
    <w:p w14:paraId="0629B9A6">
      <w:pPr>
        <w:pStyle w:val="12"/>
        <w:keepNext w:val="0"/>
        <w:keepLines w:val="0"/>
        <w:pageBreakBefore w:val="0"/>
        <w:kinsoku/>
        <w:wordWrap/>
        <w:overflowPunct/>
        <w:topLinePunct w:val="0"/>
        <w:bidi w:val="0"/>
        <w:adjustRightInd/>
        <w:snapToGrid/>
        <w:spacing w:line="440" w:lineRule="atLeast"/>
        <w:ind w:firstLine="480" w:firstLineChars="200"/>
        <w:textAlignment w:val="auto"/>
        <w:rPr>
          <w:rFonts w:hAnsi="宋体" w:cs="宋体"/>
          <w:b/>
          <w:color w:val="auto"/>
          <w:sz w:val="24"/>
          <w:highlight w:val="none"/>
        </w:rPr>
      </w:pPr>
      <w:r>
        <w:rPr>
          <w:rFonts w:hint="eastAsia" w:hAnsi="宋体" w:cs="宋体"/>
          <w:color w:val="auto"/>
          <w:sz w:val="24"/>
          <w:highlight w:val="none"/>
        </w:rPr>
        <w:t>甲、乙双方根据××（采购组织机构名称）关于××单位××项目公开招标的结果，签署本合同。</w:t>
      </w:r>
    </w:p>
    <w:p w14:paraId="09C3BF92">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bCs/>
          <w:color w:val="auto"/>
          <w:sz w:val="24"/>
          <w:highlight w:val="none"/>
          <w:lang w:val="zh-CN"/>
        </w:rPr>
      </w:pPr>
      <w:r>
        <w:rPr>
          <w:rFonts w:hint="eastAsia" w:ascii="宋体" w:hAnsi="宋体" w:cs="宋体"/>
          <w:b/>
          <w:bCs/>
          <w:color w:val="auto"/>
          <w:sz w:val="24"/>
          <w:highlight w:val="none"/>
          <w:lang w:val="zh-CN"/>
        </w:rPr>
        <w:t xml:space="preserve">合同文件： </w:t>
      </w:r>
    </w:p>
    <w:p w14:paraId="3598EDBC">
      <w:pPr>
        <w:keepNext w:val="0"/>
        <w:keepLines w:val="0"/>
        <w:pageBreakBefore w:val="0"/>
        <w:numPr>
          <w:ilvl w:val="0"/>
          <w:numId w:val="87"/>
        </w:numPr>
        <w:kinsoku/>
        <w:wordWrap/>
        <w:overflowPunct/>
        <w:topLinePunct w:val="0"/>
        <w:bidi w:val="0"/>
        <w:adjustRightInd/>
        <w:snapToGrid/>
        <w:spacing w:line="440" w:lineRule="atLeas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合同条款。</w:t>
      </w:r>
    </w:p>
    <w:p w14:paraId="46E50784">
      <w:pPr>
        <w:keepNext w:val="0"/>
        <w:keepLines w:val="0"/>
        <w:pageBreakBefore w:val="0"/>
        <w:numPr>
          <w:ilvl w:val="0"/>
          <w:numId w:val="87"/>
        </w:numPr>
        <w:kinsoku/>
        <w:wordWrap/>
        <w:overflowPunct/>
        <w:topLinePunct w:val="0"/>
        <w:bidi w:val="0"/>
        <w:adjustRightInd/>
        <w:snapToGrid/>
        <w:spacing w:line="440" w:lineRule="atLeas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中标通知书。</w:t>
      </w:r>
    </w:p>
    <w:p w14:paraId="5B5E242D">
      <w:pPr>
        <w:keepNext w:val="0"/>
        <w:keepLines w:val="0"/>
        <w:pageBreakBefore w:val="0"/>
        <w:numPr>
          <w:ilvl w:val="0"/>
          <w:numId w:val="87"/>
        </w:numPr>
        <w:kinsoku/>
        <w:wordWrap/>
        <w:overflowPunct/>
        <w:topLinePunct w:val="0"/>
        <w:bidi w:val="0"/>
        <w:adjustRightInd/>
        <w:snapToGrid/>
        <w:spacing w:line="440" w:lineRule="atLeas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更正补充文件。</w:t>
      </w:r>
    </w:p>
    <w:p w14:paraId="459EA84A">
      <w:pPr>
        <w:keepNext w:val="0"/>
        <w:keepLines w:val="0"/>
        <w:pageBreakBefore w:val="0"/>
        <w:numPr>
          <w:ilvl w:val="0"/>
          <w:numId w:val="87"/>
        </w:numPr>
        <w:kinsoku/>
        <w:wordWrap/>
        <w:overflowPunct/>
        <w:topLinePunct w:val="0"/>
        <w:bidi w:val="0"/>
        <w:adjustRightInd/>
        <w:snapToGrid/>
        <w:spacing w:line="440" w:lineRule="atLeas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招标文件。</w:t>
      </w:r>
    </w:p>
    <w:p w14:paraId="72AB05D5">
      <w:pPr>
        <w:keepNext w:val="0"/>
        <w:keepLines w:val="0"/>
        <w:pageBreakBefore w:val="0"/>
        <w:numPr>
          <w:ilvl w:val="0"/>
          <w:numId w:val="87"/>
        </w:numPr>
        <w:kinsoku/>
        <w:wordWrap/>
        <w:overflowPunct/>
        <w:topLinePunct w:val="0"/>
        <w:bidi w:val="0"/>
        <w:adjustRightInd/>
        <w:snapToGrid/>
        <w:spacing w:line="440" w:lineRule="atLeas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中标</w:t>
      </w:r>
      <w:r>
        <w:rPr>
          <w:rFonts w:hint="eastAsia" w:ascii="宋体" w:hAnsi="宋体" w:cs="宋体"/>
          <w:color w:val="auto"/>
          <w:sz w:val="24"/>
          <w:highlight w:val="none"/>
        </w:rPr>
        <w:t>人</w:t>
      </w:r>
      <w:r>
        <w:rPr>
          <w:rFonts w:hint="eastAsia" w:ascii="宋体" w:hAnsi="宋体" w:cs="宋体"/>
          <w:color w:val="auto"/>
          <w:sz w:val="24"/>
          <w:highlight w:val="none"/>
          <w:lang w:val="zh-CN"/>
        </w:rPr>
        <w:t>投标文件。</w:t>
      </w:r>
    </w:p>
    <w:p w14:paraId="260BAC40">
      <w:pPr>
        <w:keepNext w:val="0"/>
        <w:keepLines w:val="0"/>
        <w:pageBreakBefore w:val="0"/>
        <w:numPr>
          <w:ilvl w:val="0"/>
          <w:numId w:val="87"/>
        </w:numPr>
        <w:kinsoku/>
        <w:wordWrap/>
        <w:overflowPunct/>
        <w:topLinePunct w:val="0"/>
        <w:bidi w:val="0"/>
        <w:adjustRightInd/>
        <w:snapToGrid/>
        <w:spacing w:line="440" w:lineRule="atLeas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其他。</w:t>
      </w:r>
    </w:p>
    <w:p w14:paraId="28DBCE12">
      <w:pPr>
        <w:pStyle w:val="12"/>
        <w:keepNext w:val="0"/>
        <w:keepLines w:val="0"/>
        <w:pageBreakBefore w:val="0"/>
        <w:kinsoku/>
        <w:wordWrap/>
        <w:overflowPunct/>
        <w:topLinePunct w:val="0"/>
        <w:bidi w:val="0"/>
        <w:adjustRightInd/>
        <w:snapToGrid/>
        <w:spacing w:line="440" w:lineRule="atLeast"/>
        <w:ind w:firstLine="480" w:firstLineChars="200"/>
        <w:textAlignment w:val="auto"/>
        <w:rPr>
          <w:rFonts w:hAnsi="宋体" w:cs="宋体"/>
          <w:color w:val="auto"/>
          <w:sz w:val="24"/>
          <w:highlight w:val="none"/>
          <w:lang w:val="zh-CN"/>
        </w:rPr>
      </w:pPr>
      <w:r>
        <w:rPr>
          <w:rFonts w:hint="eastAsia" w:hAnsi="宋体" w:cs="宋体"/>
          <w:color w:val="auto"/>
          <w:sz w:val="24"/>
          <w:highlight w:val="none"/>
          <w:lang w:val="zh-CN"/>
        </w:rPr>
        <w:t>上述所指合同文件应认为是互相补充和解释的，但是有模棱两可或互相矛盾之处，以其所列内容顺序为准。</w:t>
      </w:r>
    </w:p>
    <w:p w14:paraId="137D5292">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bCs/>
          <w:color w:val="auto"/>
          <w:sz w:val="24"/>
          <w:highlight w:val="none"/>
          <w:lang w:val="zh-CN"/>
        </w:rPr>
      </w:pPr>
      <w:r>
        <w:rPr>
          <w:rFonts w:hint="eastAsia" w:ascii="宋体" w:hAnsi="宋体" w:cs="宋体"/>
          <w:b/>
          <w:bCs/>
          <w:color w:val="auto"/>
          <w:sz w:val="24"/>
          <w:highlight w:val="none"/>
          <w:lang w:val="zh-CN"/>
        </w:rPr>
        <w:t>货物内容</w:t>
      </w:r>
    </w:p>
    <w:p w14:paraId="49D57033">
      <w:pPr>
        <w:pStyle w:val="12"/>
        <w:keepNext w:val="0"/>
        <w:keepLines w:val="0"/>
        <w:pageBreakBefore w:val="0"/>
        <w:numPr>
          <w:ilvl w:val="0"/>
          <w:numId w:val="88"/>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货物名称：</w:t>
      </w:r>
    </w:p>
    <w:p w14:paraId="1C3E211B">
      <w:pPr>
        <w:pStyle w:val="12"/>
        <w:keepNext w:val="0"/>
        <w:keepLines w:val="0"/>
        <w:pageBreakBefore w:val="0"/>
        <w:numPr>
          <w:ilvl w:val="0"/>
          <w:numId w:val="88"/>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型号规格：</w:t>
      </w:r>
    </w:p>
    <w:p w14:paraId="1688D4B7">
      <w:pPr>
        <w:pStyle w:val="12"/>
        <w:keepNext w:val="0"/>
        <w:keepLines w:val="0"/>
        <w:pageBreakBefore w:val="0"/>
        <w:numPr>
          <w:ilvl w:val="0"/>
          <w:numId w:val="88"/>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技术参数：</w:t>
      </w:r>
    </w:p>
    <w:p w14:paraId="1A552409">
      <w:pPr>
        <w:pStyle w:val="12"/>
        <w:keepNext w:val="0"/>
        <w:keepLines w:val="0"/>
        <w:pageBreakBefore w:val="0"/>
        <w:numPr>
          <w:ilvl w:val="0"/>
          <w:numId w:val="88"/>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数量（单位）：</w:t>
      </w:r>
    </w:p>
    <w:p w14:paraId="4F541F8C">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合同金额</w:t>
      </w:r>
    </w:p>
    <w:p w14:paraId="694B1320">
      <w:pPr>
        <w:pStyle w:val="12"/>
        <w:keepNext w:val="0"/>
        <w:keepLines w:val="0"/>
        <w:pageBreakBefore w:val="0"/>
        <w:kinsoku/>
        <w:wordWrap/>
        <w:overflowPunct/>
        <w:topLinePunct w:val="0"/>
        <w:bidi w:val="0"/>
        <w:adjustRightInd/>
        <w:snapToGrid/>
        <w:spacing w:line="440" w:lineRule="atLeast"/>
        <w:ind w:firstLine="480" w:firstLineChars="200"/>
        <w:textAlignment w:val="auto"/>
        <w:rPr>
          <w:rFonts w:hAnsi="宋体" w:cs="宋体"/>
          <w:color w:val="auto"/>
          <w:sz w:val="24"/>
          <w:highlight w:val="none"/>
        </w:rPr>
      </w:pPr>
      <w:r>
        <w:rPr>
          <w:rFonts w:hint="eastAsia" w:hAnsi="宋体" w:cs="宋体"/>
          <w:color w:val="auto"/>
          <w:sz w:val="24"/>
          <w:highlight w:val="none"/>
        </w:rPr>
        <w:t>本合同金额为（大写）：</w:t>
      </w:r>
      <w:r>
        <w:rPr>
          <w:rFonts w:hint="eastAsia" w:hAnsi="宋体" w:cs="宋体"/>
          <w:color w:val="auto"/>
          <w:sz w:val="24"/>
          <w:highlight w:val="none"/>
          <w:u w:val="single"/>
        </w:rPr>
        <w:t xml:space="preserve">                   </w:t>
      </w:r>
      <w:r>
        <w:rPr>
          <w:rFonts w:hint="eastAsia" w:hAnsi="宋体" w:cs="宋体"/>
          <w:color w:val="auto"/>
          <w:sz w:val="24"/>
          <w:highlight w:val="none"/>
        </w:rPr>
        <w:t>元（￥</w:t>
      </w:r>
      <w:r>
        <w:rPr>
          <w:rFonts w:hint="eastAsia" w:hAnsi="宋体" w:cs="宋体"/>
          <w:color w:val="auto"/>
          <w:sz w:val="24"/>
          <w:highlight w:val="none"/>
          <w:u w:val="single"/>
        </w:rPr>
        <w:t xml:space="preserve">        </w:t>
      </w:r>
      <w:r>
        <w:rPr>
          <w:rFonts w:hint="eastAsia" w:hAnsi="宋体" w:cs="宋体"/>
          <w:color w:val="auto"/>
          <w:sz w:val="24"/>
          <w:highlight w:val="none"/>
        </w:rPr>
        <w:t>元）人民币。</w:t>
      </w:r>
    </w:p>
    <w:p w14:paraId="0029A798">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技术资料</w:t>
      </w:r>
    </w:p>
    <w:p w14:paraId="590F1416">
      <w:pPr>
        <w:pStyle w:val="12"/>
        <w:keepNext w:val="0"/>
        <w:keepLines w:val="0"/>
        <w:pageBreakBefore w:val="0"/>
        <w:numPr>
          <w:ilvl w:val="0"/>
          <w:numId w:val="89"/>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乙方应按招标文件规定的时间向甲方提供使用货物的有关技术资料。</w:t>
      </w:r>
    </w:p>
    <w:p w14:paraId="32826DBB">
      <w:pPr>
        <w:pStyle w:val="12"/>
        <w:keepNext w:val="0"/>
        <w:keepLines w:val="0"/>
        <w:pageBreakBefore w:val="0"/>
        <w:numPr>
          <w:ilvl w:val="0"/>
          <w:numId w:val="89"/>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B869B6">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知识产权</w:t>
      </w:r>
    </w:p>
    <w:p w14:paraId="4DBC4F98">
      <w:pPr>
        <w:pStyle w:val="12"/>
        <w:keepNext w:val="0"/>
        <w:keepLines w:val="0"/>
        <w:pageBreakBefore w:val="0"/>
        <w:numPr>
          <w:ilvl w:val="0"/>
          <w:numId w:val="90"/>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乙方应保证所提供的货物或其任何一部分均不会侵犯任何第三方的知识产权。</w:t>
      </w:r>
    </w:p>
    <w:p w14:paraId="4C466A50">
      <w:pPr>
        <w:pStyle w:val="12"/>
        <w:keepNext w:val="0"/>
        <w:keepLines w:val="0"/>
        <w:pageBreakBefore w:val="0"/>
        <w:numPr>
          <w:ilvl w:val="0"/>
          <w:numId w:val="90"/>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若侵犯,由乙方赔偿甲方因此遭受的损失（包括但不限于应对及追偿过程中所支付的律师费、差旅费、诉讼费、保全费、鉴定费、评估费等）。</w:t>
      </w:r>
    </w:p>
    <w:p w14:paraId="44694EB6">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color w:val="auto"/>
          <w:sz w:val="24"/>
          <w:highlight w:val="none"/>
          <w:u w:val="single"/>
        </w:rPr>
      </w:pPr>
      <w:r>
        <w:rPr>
          <w:rFonts w:hint="eastAsia" w:ascii="宋体" w:hAnsi="宋体" w:cs="宋体"/>
          <w:b/>
          <w:color w:val="auto"/>
          <w:sz w:val="24"/>
          <w:highlight w:val="none"/>
        </w:rPr>
        <w:t>产权担保</w:t>
      </w:r>
    </w:p>
    <w:p w14:paraId="16FD792E">
      <w:pPr>
        <w:pStyle w:val="12"/>
        <w:keepNext w:val="0"/>
        <w:keepLines w:val="0"/>
        <w:pageBreakBefore w:val="0"/>
        <w:numPr>
          <w:ilvl w:val="0"/>
          <w:numId w:val="91"/>
        </w:numPr>
        <w:kinsoku/>
        <w:wordWrap/>
        <w:overflowPunct/>
        <w:topLinePunct w:val="0"/>
        <w:bidi w:val="0"/>
        <w:adjustRightInd/>
        <w:snapToGrid/>
        <w:spacing w:line="440" w:lineRule="atLeast"/>
        <w:textAlignment w:val="auto"/>
        <w:rPr>
          <w:rFonts w:hAnsi="宋体" w:cs="宋体"/>
          <w:color w:val="auto"/>
          <w:sz w:val="24"/>
          <w:highlight w:val="none"/>
          <w:u w:val="single"/>
        </w:rPr>
      </w:pPr>
      <w:r>
        <w:rPr>
          <w:rFonts w:hint="eastAsia" w:hAnsi="宋体" w:cs="宋体"/>
          <w:color w:val="auto"/>
          <w:sz w:val="24"/>
          <w:highlight w:val="none"/>
        </w:rPr>
        <w:t>乙方保证所交付的货物的所有权完全属于乙方且无任何抵押、查封等产权瑕疵。</w:t>
      </w:r>
    </w:p>
    <w:p w14:paraId="151EA41E">
      <w:pPr>
        <w:pStyle w:val="12"/>
        <w:keepNext w:val="0"/>
        <w:keepLines w:val="0"/>
        <w:pageBreakBefore w:val="0"/>
        <w:numPr>
          <w:ilvl w:val="0"/>
          <w:numId w:val="91"/>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乙方提供的服务和产品要符合国家相关安全规定及《浙江省信息技术服务外包安全管理规范》要求，并提供相关产品的证书。</w:t>
      </w:r>
    </w:p>
    <w:p w14:paraId="538AD489">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网络安全管理要求</w:t>
      </w:r>
    </w:p>
    <w:p w14:paraId="10086A1C">
      <w:pPr>
        <w:pStyle w:val="87"/>
        <w:keepNext w:val="0"/>
        <w:keepLines w:val="0"/>
        <w:pageBreakBefore w:val="0"/>
        <w:kinsoku/>
        <w:wordWrap/>
        <w:overflowPunct/>
        <w:topLinePunct w:val="0"/>
        <w:bidi w:val="0"/>
        <w:adjustRightInd/>
        <w:snapToGrid/>
        <w:spacing w:line="440" w:lineRule="atLeast"/>
        <w:ind w:firstLine="480"/>
        <w:textAlignment w:val="auto"/>
        <w:rPr>
          <w:color w:val="auto"/>
          <w:highlight w:val="none"/>
        </w:rPr>
      </w:pPr>
      <w:r>
        <w:rPr>
          <w:rFonts w:hint="eastAsia"/>
          <w:color w:val="auto"/>
          <w:highlight w:val="none"/>
        </w:rPr>
        <w:t>乙方在日常工作中需要严格遵守甲方的网络安全管理要求:</w:t>
      </w:r>
    </w:p>
    <w:p w14:paraId="2DDB5B96">
      <w:pPr>
        <w:pStyle w:val="87"/>
        <w:keepNext w:val="0"/>
        <w:keepLines w:val="0"/>
        <w:pageBreakBefore w:val="0"/>
        <w:numPr>
          <w:ilvl w:val="0"/>
          <w:numId w:val="92"/>
        </w:numPr>
        <w:kinsoku/>
        <w:wordWrap/>
        <w:overflowPunct/>
        <w:topLinePunct w:val="0"/>
        <w:bidi w:val="0"/>
        <w:adjustRightInd/>
        <w:snapToGrid/>
        <w:spacing w:line="440" w:lineRule="atLeast"/>
        <w:ind w:firstLineChars="0"/>
        <w:textAlignment w:val="auto"/>
        <w:rPr>
          <w:color w:val="auto"/>
          <w:highlight w:val="none"/>
        </w:rPr>
      </w:pPr>
      <w:r>
        <w:rPr>
          <w:rFonts w:hint="eastAsia"/>
          <w:color w:val="auto"/>
          <w:highlight w:val="none"/>
        </w:rPr>
        <w:t>乙方需按照甲方的网络安全管理制度，严格落实网络安全责任，执行日常安全运维、检查制度，确保不发生信息泄密、重大安全漏洞等安全事故。</w:t>
      </w:r>
    </w:p>
    <w:p w14:paraId="535551CC">
      <w:pPr>
        <w:pStyle w:val="87"/>
        <w:keepNext w:val="0"/>
        <w:keepLines w:val="0"/>
        <w:pageBreakBefore w:val="0"/>
        <w:numPr>
          <w:ilvl w:val="0"/>
          <w:numId w:val="92"/>
        </w:numPr>
        <w:kinsoku/>
        <w:wordWrap/>
        <w:overflowPunct/>
        <w:topLinePunct w:val="0"/>
        <w:bidi w:val="0"/>
        <w:adjustRightInd/>
        <w:snapToGrid/>
        <w:spacing w:line="440" w:lineRule="atLeast"/>
        <w:ind w:firstLineChars="0"/>
        <w:textAlignment w:val="auto"/>
        <w:rPr>
          <w:color w:val="auto"/>
          <w:highlight w:val="none"/>
        </w:rPr>
      </w:pPr>
      <w:r>
        <w:rPr>
          <w:rFonts w:hint="eastAsia"/>
          <w:color w:val="auto"/>
          <w:highlight w:val="none"/>
        </w:rPr>
        <w:t>需要开展现场长期服务的乙方，需派驻现场专职人员，其主要职责包括：负责按照国家及甲方的网络安全管理要求，配合甲方开展派驻现场的安全管理，确保不发生违规行为，接受甲方的监督。</w:t>
      </w:r>
    </w:p>
    <w:p w14:paraId="0B2FE3D1">
      <w:pPr>
        <w:pStyle w:val="87"/>
        <w:keepNext w:val="0"/>
        <w:keepLines w:val="0"/>
        <w:pageBreakBefore w:val="0"/>
        <w:numPr>
          <w:ilvl w:val="0"/>
          <w:numId w:val="92"/>
        </w:numPr>
        <w:kinsoku/>
        <w:wordWrap/>
        <w:overflowPunct/>
        <w:topLinePunct w:val="0"/>
        <w:bidi w:val="0"/>
        <w:adjustRightInd/>
        <w:snapToGrid/>
        <w:spacing w:line="440" w:lineRule="atLeast"/>
        <w:ind w:firstLineChars="0"/>
        <w:textAlignment w:val="auto"/>
        <w:rPr>
          <w:color w:val="auto"/>
          <w:highlight w:val="none"/>
        </w:rPr>
      </w:pPr>
      <w:r>
        <w:rPr>
          <w:rFonts w:hint="eastAsia"/>
          <w:color w:val="auto"/>
          <w:highlight w:val="none"/>
        </w:rPr>
        <w:t>乙方网络安全管理人员发生变更时，应在变更前一周将有关变更信息报送甲方。</w:t>
      </w:r>
    </w:p>
    <w:p w14:paraId="47438132">
      <w:pPr>
        <w:pStyle w:val="87"/>
        <w:keepNext w:val="0"/>
        <w:keepLines w:val="0"/>
        <w:pageBreakBefore w:val="0"/>
        <w:numPr>
          <w:ilvl w:val="0"/>
          <w:numId w:val="92"/>
        </w:numPr>
        <w:kinsoku/>
        <w:wordWrap/>
        <w:overflowPunct/>
        <w:topLinePunct w:val="0"/>
        <w:bidi w:val="0"/>
        <w:adjustRightInd/>
        <w:snapToGrid/>
        <w:spacing w:line="440" w:lineRule="atLeast"/>
        <w:ind w:firstLineChars="0"/>
        <w:textAlignment w:val="auto"/>
        <w:rPr>
          <w:color w:val="auto"/>
          <w:highlight w:val="none"/>
        </w:rPr>
      </w:pPr>
      <w:r>
        <w:rPr>
          <w:rFonts w:hint="eastAsia"/>
          <w:color w:val="auto"/>
          <w:highlight w:val="none"/>
        </w:rPr>
        <w:t>甲方有权督促指导乙方及人员遵循甲方的安全管理制度和规范，将安全要求合同内容，纳入双方合作协议，定期组织对乙方进行网络安全监督。</w:t>
      </w:r>
    </w:p>
    <w:p w14:paraId="03C044D1">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数据安全管理要求</w:t>
      </w:r>
    </w:p>
    <w:p w14:paraId="021CBDC0">
      <w:pPr>
        <w:pStyle w:val="87"/>
        <w:keepNext w:val="0"/>
        <w:keepLines w:val="0"/>
        <w:pageBreakBefore w:val="0"/>
        <w:kinsoku/>
        <w:wordWrap/>
        <w:overflowPunct/>
        <w:topLinePunct w:val="0"/>
        <w:bidi w:val="0"/>
        <w:adjustRightInd/>
        <w:snapToGrid/>
        <w:spacing w:line="440" w:lineRule="atLeast"/>
        <w:ind w:firstLine="480"/>
        <w:textAlignment w:val="auto"/>
        <w:rPr>
          <w:color w:val="auto"/>
          <w:highlight w:val="none"/>
        </w:rPr>
      </w:pPr>
      <w:r>
        <w:rPr>
          <w:rFonts w:hint="eastAsia"/>
          <w:color w:val="auto"/>
          <w:highlight w:val="none"/>
        </w:rPr>
        <w:t>乙方在日常工作中需要严格遵守甲方的数据安全管理要求:</w:t>
      </w:r>
    </w:p>
    <w:p w14:paraId="23A82E97">
      <w:pPr>
        <w:pStyle w:val="87"/>
        <w:keepNext w:val="0"/>
        <w:keepLines w:val="0"/>
        <w:pageBreakBefore w:val="0"/>
        <w:numPr>
          <w:ilvl w:val="0"/>
          <w:numId w:val="93"/>
        </w:numPr>
        <w:kinsoku/>
        <w:wordWrap/>
        <w:overflowPunct/>
        <w:topLinePunct w:val="0"/>
        <w:bidi w:val="0"/>
        <w:adjustRightInd/>
        <w:snapToGrid/>
        <w:spacing w:line="440" w:lineRule="atLeast"/>
        <w:ind w:firstLineChars="0"/>
        <w:textAlignment w:val="auto"/>
        <w:rPr>
          <w:color w:val="auto"/>
          <w:highlight w:val="none"/>
        </w:rPr>
      </w:pPr>
      <w:r>
        <w:rPr>
          <w:rFonts w:hint="eastAsia"/>
          <w:color w:val="auto"/>
          <w:highlight w:val="none"/>
        </w:rPr>
        <w:t>合作过程中，如有不可避免地接触到甲方的数据资料、经营信息等各类敏感信息及秘密（下面简称敏感信息），需要甲方进行全程评估及监督，保证不损害敏感信息的保密性、完整性、可用性、真实性、可核查性、可靠性、防抵赖性。</w:t>
      </w:r>
    </w:p>
    <w:p w14:paraId="06102769">
      <w:pPr>
        <w:pStyle w:val="87"/>
        <w:keepNext w:val="0"/>
        <w:keepLines w:val="0"/>
        <w:pageBreakBefore w:val="0"/>
        <w:numPr>
          <w:ilvl w:val="0"/>
          <w:numId w:val="93"/>
        </w:numPr>
        <w:kinsoku/>
        <w:wordWrap/>
        <w:overflowPunct/>
        <w:topLinePunct w:val="0"/>
        <w:bidi w:val="0"/>
        <w:adjustRightInd/>
        <w:snapToGrid/>
        <w:spacing w:line="440" w:lineRule="atLeast"/>
        <w:ind w:firstLineChars="0"/>
        <w:textAlignment w:val="auto"/>
        <w:rPr>
          <w:color w:val="auto"/>
          <w:highlight w:val="none"/>
        </w:rPr>
      </w:pPr>
      <w:r>
        <w:rPr>
          <w:rFonts w:hint="eastAsia"/>
          <w:color w:val="auto"/>
          <w:highlight w:val="none"/>
        </w:rPr>
        <w:t>在合作过程中，乙方需按照不同权限查看相应的数据，原则上无权修改数据。如工作需要，需甲方指派人员对乙方修改数据行为进行监督评估。</w:t>
      </w:r>
    </w:p>
    <w:p w14:paraId="34C49560">
      <w:pPr>
        <w:pStyle w:val="87"/>
        <w:keepNext w:val="0"/>
        <w:keepLines w:val="0"/>
        <w:pageBreakBefore w:val="0"/>
        <w:numPr>
          <w:ilvl w:val="0"/>
          <w:numId w:val="93"/>
        </w:numPr>
        <w:kinsoku/>
        <w:wordWrap/>
        <w:overflowPunct/>
        <w:topLinePunct w:val="0"/>
        <w:bidi w:val="0"/>
        <w:adjustRightInd/>
        <w:snapToGrid/>
        <w:spacing w:line="440" w:lineRule="atLeast"/>
        <w:ind w:firstLineChars="0"/>
        <w:textAlignment w:val="auto"/>
        <w:rPr>
          <w:color w:val="auto"/>
          <w:highlight w:val="none"/>
        </w:rPr>
      </w:pPr>
      <w:r>
        <w:rPr>
          <w:rFonts w:hint="eastAsia"/>
          <w:color w:val="auto"/>
          <w:highlight w:val="none"/>
        </w:rPr>
        <w:t>乙方对于数据内容和数据结构进行变更前，应提前向甲方提出变更申请，以避免发生数据混乱。</w:t>
      </w:r>
    </w:p>
    <w:p w14:paraId="74A3607C">
      <w:pPr>
        <w:pStyle w:val="87"/>
        <w:keepNext w:val="0"/>
        <w:keepLines w:val="0"/>
        <w:pageBreakBefore w:val="0"/>
        <w:numPr>
          <w:ilvl w:val="0"/>
          <w:numId w:val="93"/>
        </w:numPr>
        <w:kinsoku/>
        <w:wordWrap/>
        <w:overflowPunct/>
        <w:topLinePunct w:val="0"/>
        <w:bidi w:val="0"/>
        <w:adjustRightInd/>
        <w:snapToGrid/>
        <w:spacing w:line="440" w:lineRule="atLeast"/>
        <w:ind w:firstLineChars="0"/>
        <w:textAlignment w:val="auto"/>
        <w:rPr>
          <w:color w:val="auto"/>
          <w:highlight w:val="none"/>
        </w:rPr>
      </w:pPr>
      <w:r>
        <w:rPr>
          <w:rFonts w:hint="eastAsia"/>
          <w:color w:val="auto"/>
          <w:highlight w:val="none"/>
        </w:rPr>
        <w:t>乙方有责任配合甲方开展数据备份，数据备份采取定期备份与动态备份相结合的原则。要确保备份数据的完整性和正确性，若数据备份存在问题，应及时把问题反馈至甲方。</w:t>
      </w:r>
    </w:p>
    <w:p w14:paraId="3AB9625E">
      <w:pPr>
        <w:pStyle w:val="87"/>
        <w:keepNext w:val="0"/>
        <w:keepLines w:val="0"/>
        <w:pageBreakBefore w:val="0"/>
        <w:numPr>
          <w:ilvl w:val="0"/>
          <w:numId w:val="93"/>
        </w:numPr>
        <w:kinsoku/>
        <w:wordWrap/>
        <w:overflowPunct/>
        <w:topLinePunct w:val="0"/>
        <w:bidi w:val="0"/>
        <w:adjustRightInd/>
        <w:snapToGrid/>
        <w:spacing w:line="440" w:lineRule="atLeast"/>
        <w:ind w:firstLineChars="0"/>
        <w:textAlignment w:val="auto"/>
        <w:rPr>
          <w:color w:val="auto"/>
          <w:highlight w:val="none"/>
        </w:rPr>
      </w:pPr>
      <w:r>
        <w:rPr>
          <w:rFonts w:hint="eastAsia"/>
          <w:color w:val="auto"/>
          <w:highlight w:val="none"/>
        </w:rPr>
        <w:t>乙方在工作中产生的敏感数据，在需要销毁时由甲方负责执行，销毁时须有数据生产部门和数据使用部门相关人员监督销毁。</w:t>
      </w:r>
    </w:p>
    <w:p w14:paraId="74FF8A95">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履约保证金</w:t>
      </w:r>
    </w:p>
    <w:p w14:paraId="0A747F8D">
      <w:pPr>
        <w:keepNext w:val="0"/>
        <w:keepLines w:val="0"/>
        <w:pageBreakBefore w:val="0"/>
        <w:tabs>
          <w:tab w:val="left" w:pos="1418"/>
        </w:tabs>
        <w:kinsoku/>
        <w:wordWrap/>
        <w:overflowPunct/>
        <w:topLinePunct w:val="0"/>
        <w:autoSpaceDE w:val="0"/>
        <w:autoSpaceDN w:val="0"/>
        <w:bidi w:val="0"/>
        <w:adjustRightInd/>
        <w:snapToGrid/>
        <w:spacing w:line="440" w:lineRule="atLeas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本项目履约保证金为合同金额的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24DFCCB">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转包或分包</w:t>
      </w:r>
    </w:p>
    <w:p w14:paraId="74E7D6E7">
      <w:pPr>
        <w:keepNext w:val="0"/>
        <w:keepLines w:val="0"/>
        <w:pageBreakBefore w:val="0"/>
        <w:numPr>
          <w:ilvl w:val="0"/>
          <w:numId w:val="94"/>
        </w:numPr>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sz w:val="24"/>
          <w:highlight w:val="none"/>
        </w:rPr>
        <w:t>本合同范围的货物，应由乙方直接供应，不得转让他人供应。</w:t>
      </w:r>
    </w:p>
    <w:p w14:paraId="7D2C4FFA">
      <w:pPr>
        <w:keepNext w:val="0"/>
        <w:keepLines w:val="0"/>
        <w:pageBreakBefore w:val="0"/>
        <w:numPr>
          <w:ilvl w:val="0"/>
          <w:numId w:val="94"/>
        </w:numPr>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sz w:val="24"/>
          <w:highlight w:val="none"/>
        </w:rPr>
        <w:t>除非得到甲方的书面同意，乙方不得将本合同范围的货物全部或部分分包给他人供应。</w:t>
      </w:r>
    </w:p>
    <w:p w14:paraId="280537F6">
      <w:pPr>
        <w:keepNext w:val="0"/>
        <w:keepLines w:val="0"/>
        <w:pageBreakBefore w:val="0"/>
        <w:numPr>
          <w:ilvl w:val="0"/>
          <w:numId w:val="94"/>
        </w:numPr>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sz w:val="24"/>
          <w:highlight w:val="none"/>
        </w:rPr>
        <w:t>如有转让和未经甲方同意的分包行为，甲方有权解除合同，并追究乙方的违约责任。</w:t>
      </w:r>
    </w:p>
    <w:p w14:paraId="6B40A1DF">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b/>
          <w:color w:val="auto"/>
          <w:sz w:val="24"/>
          <w:highlight w:val="none"/>
        </w:rPr>
        <w:t>质保期</w:t>
      </w:r>
    </w:p>
    <w:p w14:paraId="298EC91F">
      <w:pPr>
        <w:pStyle w:val="12"/>
        <w:keepNext w:val="0"/>
        <w:keepLines w:val="0"/>
        <w:pageBreakBefore w:val="0"/>
        <w:kinsoku/>
        <w:wordWrap/>
        <w:overflowPunct/>
        <w:topLinePunct w:val="0"/>
        <w:bidi w:val="0"/>
        <w:adjustRightInd/>
        <w:snapToGrid/>
        <w:spacing w:line="440" w:lineRule="atLeast"/>
        <w:ind w:firstLine="480" w:firstLineChars="200"/>
        <w:textAlignment w:val="auto"/>
        <w:rPr>
          <w:rFonts w:hint="eastAsia" w:hAnsi="宋体" w:cs="宋体"/>
          <w:color w:val="auto"/>
          <w:sz w:val="24"/>
          <w:highlight w:val="none"/>
        </w:rPr>
      </w:pPr>
      <w:r>
        <w:rPr>
          <w:rFonts w:hint="eastAsia" w:hAnsi="宋体" w:cs="宋体"/>
          <w:color w:val="auto"/>
          <w:sz w:val="24"/>
          <w:highlight w:val="none"/>
        </w:rPr>
        <w:t>超融合节点服务器硬件、AI服务器硬件、文件存储服务器硬件原厂质保</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年；中心机房精密空调</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年12次上门巡检服务；超融合万兆交换机硬件、管理千兆交换机硬件原厂质保</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年；其他设备及相关配套软件原厂免费质保</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年。（自最终验收合格开始之日起计算）</w:t>
      </w:r>
    </w:p>
    <w:p w14:paraId="65C66D52">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交货期、交货方式及交货地点</w:t>
      </w:r>
    </w:p>
    <w:p w14:paraId="085CD270">
      <w:pPr>
        <w:pStyle w:val="12"/>
        <w:keepNext w:val="0"/>
        <w:keepLines w:val="0"/>
        <w:pageBreakBefore w:val="0"/>
        <w:numPr>
          <w:ilvl w:val="0"/>
          <w:numId w:val="95"/>
        </w:numPr>
        <w:kinsoku/>
        <w:wordWrap/>
        <w:overflowPunct/>
        <w:topLinePunct w:val="0"/>
        <w:bidi w:val="0"/>
        <w:adjustRightInd/>
        <w:snapToGrid/>
        <w:spacing w:line="440" w:lineRule="atLeast"/>
        <w:textAlignment w:val="auto"/>
        <w:rPr>
          <w:rFonts w:hAnsi="宋体" w:cs="宋体"/>
          <w:bCs/>
          <w:color w:val="auto"/>
          <w:sz w:val="24"/>
          <w:highlight w:val="none"/>
        </w:rPr>
      </w:pPr>
      <w:r>
        <w:rPr>
          <w:rFonts w:hint="eastAsia" w:hAnsi="宋体" w:cs="宋体"/>
          <w:bCs/>
          <w:color w:val="auto"/>
          <w:sz w:val="24"/>
          <w:highlight w:val="none"/>
        </w:rPr>
        <w:t>交货期：</w:t>
      </w:r>
    </w:p>
    <w:p w14:paraId="6C01B886">
      <w:pPr>
        <w:pStyle w:val="12"/>
        <w:keepNext w:val="0"/>
        <w:keepLines w:val="0"/>
        <w:pageBreakBefore w:val="0"/>
        <w:numPr>
          <w:ilvl w:val="0"/>
          <w:numId w:val="95"/>
        </w:numPr>
        <w:kinsoku/>
        <w:wordWrap/>
        <w:overflowPunct/>
        <w:topLinePunct w:val="0"/>
        <w:bidi w:val="0"/>
        <w:adjustRightInd/>
        <w:snapToGrid/>
        <w:spacing w:line="440" w:lineRule="atLeast"/>
        <w:textAlignment w:val="auto"/>
        <w:rPr>
          <w:rFonts w:hAnsi="宋体" w:cs="宋体"/>
          <w:bCs/>
          <w:color w:val="auto"/>
          <w:sz w:val="24"/>
          <w:highlight w:val="none"/>
        </w:rPr>
      </w:pPr>
      <w:r>
        <w:rPr>
          <w:rFonts w:hint="eastAsia" w:hAnsi="宋体" w:cs="宋体"/>
          <w:bCs/>
          <w:color w:val="auto"/>
          <w:sz w:val="24"/>
          <w:highlight w:val="none"/>
        </w:rPr>
        <w:t>交货方式：</w:t>
      </w:r>
    </w:p>
    <w:p w14:paraId="1910E278">
      <w:pPr>
        <w:pStyle w:val="12"/>
        <w:keepNext w:val="0"/>
        <w:keepLines w:val="0"/>
        <w:pageBreakBefore w:val="0"/>
        <w:numPr>
          <w:ilvl w:val="0"/>
          <w:numId w:val="95"/>
        </w:numPr>
        <w:kinsoku/>
        <w:wordWrap/>
        <w:overflowPunct/>
        <w:topLinePunct w:val="0"/>
        <w:bidi w:val="0"/>
        <w:adjustRightInd/>
        <w:snapToGrid/>
        <w:spacing w:line="440" w:lineRule="atLeast"/>
        <w:textAlignment w:val="auto"/>
        <w:rPr>
          <w:rFonts w:hAnsi="宋体" w:cs="宋体"/>
          <w:b/>
          <w:color w:val="auto"/>
          <w:sz w:val="24"/>
          <w:highlight w:val="none"/>
        </w:rPr>
      </w:pPr>
      <w:r>
        <w:rPr>
          <w:rFonts w:hint="eastAsia" w:hAnsi="宋体" w:cs="宋体"/>
          <w:bCs/>
          <w:color w:val="auto"/>
          <w:sz w:val="24"/>
          <w:highlight w:val="none"/>
        </w:rPr>
        <w:t>交货地点：</w:t>
      </w:r>
    </w:p>
    <w:p w14:paraId="37CCDDC0">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货款支付</w:t>
      </w:r>
    </w:p>
    <w:p w14:paraId="4963E584">
      <w:pPr>
        <w:pStyle w:val="12"/>
        <w:keepNext w:val="0"/>
        <w:keepLines w:val="0"/>
        <w:pageBreakBefore w:val="0"/>
        <w:kinsoku/>
        <w:wordWrap/>
        <w:overflowPunct/>
        <w:topLinePunct w:val="0"/>
        <w:bidi w:val="0"/>
        <w:adjustRightInd/>
        <w:snapToGrid/>
        <w:spacing w:line="440" w:lineRule="atLeast"/>
        <w:ind w:firstLine="480" w:firstLineChars="200"/>
        <w:textAlignment w:val="auto"/>
        <w:rPr>
          <w:rFonts w:hAnsi="宋体" w:cs="宋体"/>
          <w:bCs/>
          <w:color w:val="auto"/>
          <w:sz w:val="24"/>
          <w:highlight w:val="none"/>
        </w:rPr>
      </w:pPr>
      <w:r>
        <w:rPr>
          <w:rFonts w:hint="eastAsia" w:hAnsi="宋体" w:cs="宋体"/>
          <w:bCs/>
          <w:color w:val="auto"/>
          <w:sz w:val="24"/>
          <w:highlight w:val="none"/>
        </w:rPr>
        <w:t>付款方式：</w:t>
      </w:r>
    </w:p>
    <w:p w14:paraId="1868DFD5">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税费</w:t>
      </w:r>
    </w:p>
    <w:p w14:paraId="0A5FB0EB">
      <w:pPr>
        <w:keepNext w:val="0"/>
        <w:keepLines w:val="0"/>
        <w:pageBreakBefore w:val="0"/>
        <w:kinsoku/>
        <w:wordWrap/>
        <w:overflowPunct/>
        <w:topLinePunct w:val="0"/>
        <w:bidi w:val="0"/>
        <w:adjustRightInd/>
        <w:snapToGrid/>
        <w:spacing w:line="440" w:lineRule="atLeas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1412E63D">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b/>
          <w:color w:val="auto"/>
          <w:sz w:val="24"/>
          <w:highlight w:val="none"/>
        </w:rPr>
        <w:t>质量保证及售后服务</w:t>
      </w:r>
    </w:p>
    <w:p w14:paraId="341774D9">
      <w:pPr>
        <w:pStyle w:val="12"/>
        <w:keepNext w:val="0"/>
        <w:keepLines w:val="0"/>
        <w:pageBreakBefore w:val="0"/>
        <w:numPr>
          <w:ilvl w:val="0"/>
          <w:numId w:val="96"/>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乙方应按招标文件规定的货物性能、技术要求、质量标准向甲方提供未经使用的全新产品。</w:t>
      </w:r>
    </w:p>
    <w:p w14:paraId="02EA75A3">
      <w:pPr>
        <w:pStyle w:val="12"/>
        <w:keepNext w:val="0"/>
        <w:keepLines w:val="0"/>
        <w:pageBreakBefore w:val="0"/>
        <w:numPr>
          <w:ilvl w:val="0"/>
          <w:numId w:val="96"/>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乙方提供的货物在质保期内因货物本身的质量问题发生故障，乙方应负责免费更换。对达不到技术要求者，根据实际情况，经双方协商，可按以下办法处理：</w:t>
      </w:r>
    </w:p>
    <w:p w14:paraId="77AFA8A8">
      <w:pPr>
        <w:pStyle w:val="12"/>
        <w:keepNext w:val="0"/>
        <w:keepLines w:val="0"/>
        <w:pageBreakBefore w:val="0"/>
        <w:numPr>
          <w:ilvl w:val="0"/>
          <w:numId w:val="97"/>
        </w:numPr>
        <w:kinsoku/>
        <w:wordWrap/>
        <w:overflowPunct/>
        <w:topLinePunct w:val="0"/>
        <w:bidi w:val="0"/>
        <w:adjustRightInd/>
        <w:snapToGrid/>
        <w:spacing w:line="440" w:lineRule="atLeast"/>
        <w:ind w:firstLine="480" w:firstLineChars="200"/>
        <w:textAlignment w:val="auto"/>
        <w:rPr>
          <w:rFonts w:hAnsi="宋体" w:cs="宋体"/>
          <w:color w:val="auto"/>
          <w:sz w:val="24"/>
          <w:highlight w:val="none"/>
        </w:rPr>
      </w:pPr>
      <w:r>
        <w:rPr>
          <w:rFonts w:hint="eastAsia" w:hAnsi="宋体" w:cs="宋体"/>
          <w:color w:val="auto"/>
          <w:sz w:val="24"/>
          <w:highlight w:val="none"/>
        </w:rPr>
        <w:t>更换：由乙方承担所发生的全部费用。</w:t>
      </w:r>
    </w:p>
    <w:p w14:paraId="28E628F3">
      <w:pPr>
        <w:pStyle w:val="12"/>
        <w:keepNext w:val="0"/>
        <w:keepLines w:val="0"/>
        <w:pageBreakBefore w:val="0"/>
        <w:numPr>
          <w:ilvl w:val="0"/>
          <w:numId w:val="97"/>
        </w:numPr>
        <w:kinsoku/>
        <w:wordWrap/>
        <w:overflowPunct/>
        <w:topLinePunct w:val="0"/>
        <w:bidi w:val="0"/>
        <w:adjustRightInd/>
        <w:snapToGrid/>
        <w:spacing w:line="440" w:lineRule="atLeast"/>
        <w:ind w:firstLine="480" w:firstLineChars="200"/>
        <w:textAlignment w:val="auto"/>
        <w:rPr>
          <w:rFonts w:hAnsi="宋体" w:cs="宋体"/>
          <w:color w:val="auto"/>
          <w:sz w:val="24"/>
          <w:highlight w:val="none"/>
        </w:rPr>
      </w:pPr>
      <w:r>
        <w:rPr>
          <w:rFonts w:hint="eastAsia" w:hAnsi="宋体" w:cs="宋体"/>
          <w:color w:val="auto"/>
          <w:sz w:val="24"/>
          <w:highlight w:val="none"/>
        </w:rPr>
        <w:t>贬值处理：由甲乙双方合议定价。</w:t>
      </w:r>
    </w:p>
    <w:p w14:paraId="20BDBCAF">
      <w:pPr>
        <w:pStyle w:val="12"/>
        <w:keepNext w:val="0"/>
        <w:keepLines w:val="0"/>
        <w:pageBreakBefore w:val="0"/>
        <w:numPr>
          <w:ilvl w:val="0"/>
          <w:numId w:val="97"/>
        </w:numPr>
        <w:kinsoku/>
        <w:wordWrap/>
        <w:overflowPunct/>
        <w:topLinePunct w:val="0"/>
        <w:bidi w:val="0"/>
        <w:adjustRightInd/>
        <w:snapToGrid/>
        <w:spacing w:line="440" w:lineRule="atLeast"/>
        <w:ind w:firstLine="480" w:firstLineChars="200"/>
        <w:textAlignment w:val="auto"/>
        <w:rPr>
          <w:rFonts w:hAnsi="宋体" w:cs="宋体"/>
          <w:color w:val="auto"/>
          <w:sz w:val="24"/>
          <w:highlight w:val="none"/>
        </w:rPr>
      </w:pPr>
      <w:r>
        <w:rPr>
          <w:rFonts w:hint="eastAsia" w:hAnsi="宋体" w:cs="宋体"/>
          <w:color w:val="auto"/>
          <w:sz w:val="24"/>
          <w:highlight w:val="none"/>
        </w:rPr>
        <w:t>退货处理：乙方应退还甲方支付的合同款，同时应承担该货物的直接费用（运输、保险、检验、货款利息及银行手续费等）。</w:t>
      </w:r>
    </w:p>
    <w:p w14:paraId="29FC4737">
      <w:pPr>
        <w:pStyle w:val="12"/>
        <w:keepNext w:val="0"/>
        <w:keepLines w:val="0"/>
        <w:pageBreakBefore w:val="0"/>
        <w:numPr>
          <w:ilvl w:val="0"/>
          <w:numId w:val="96"/>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如在使用过程中发生质量问题，乙方在接到甲方通知后在</w:t>
      </w:r>
      <w:r>
        <w:rPr>
          <w:rFonts w:hint="eastAsia" w:hAnsi="宋体" w:cs="宋体"/>
          <w:color w:val="auto"/>
          <w:sz w:val="24"/>
          <w:highlight w:val="none"/>
          <w:u w:val="single"/>
        </w:rPr>
        <w:t xml:space="preserve">    </w:t>
      </w:r>
      <w:r>
        <w:rPr>
          <w:rFonts w:hint="eastAsia" w:hAnsi="宋体" w:cs="宋体"/>
          <w:color w:val="auto"/>
          <w:sz w:val="24"/>
          <w:highlight w:val="none"/>
        </w:rPr>
        <w:t>小时内到达甲方现场。</w:t>
      </w:r>
    </w:p>
    <w:p w14:paraId="4E44C0F4">
      <w:pPr>
        <w:pStyle w:val="12"/>
        <w:keepNext w:val="0"/>
        <w:keepLines w:val="0"/>
        <w:pageBreakBefore w:val="0"/>
        <w:numPr>
          <w:ilvl w:val="0"/>
          <w:numId w:val="96"/>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在质保期内，乙方应对货物出现的质量及安全问题负责处理解决并承担一切费用。</w:t>
      </w:r>
    </w:p>
    <w:p w14:paraId="3EAB1E6B">
      <w:pPr>
        <w:pStyle w:val="12"/>
        <w:keepNext w:val="0"/>
        <w:keepLines w:val="0"/>
        <w:pageBreakBefore w:val="0"/>
        <w:numPr>
          <w:ilvl w:val="0"/>
          <w:numId w:val="96"/>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上述的货物因人为因素出现的故障不在免费保修范围内。超过保修期的机器设备，终生维修，维修时只收部件成本费。</w:t>
      </w:r>
    </w:p>
    <w:p w14:paraId="45BAB72D">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调试和验收</w:t>
      </w:r>
    </w:p>
    <w:p w14:paraId="27121E0E">
      <w:pPr>
        <w:pStyle w:val="12"/>
        <w:keepNext w:val="0"/>
        <w:keepLines w:val="0"/>
        <w:pageBreakBefore w:val="0"/>
        <w:numPr>
          <w:ilvl w:val="0"/>
          <w:numId w:val="98"/>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cs="宋体"/>
          <w:color w:val="auto"/>
          <w:sz w:val="24"/>
          <w:highlight w:val="none"/>
          <w:u w:val="single"/>
        </w:rPr>
        <w:t xml:space="preserve">    </w:t>
      </w:r>
      <w:r>
        <w:rPr>
          <w:rFonts w:hint="eastAsia" w:hAnsi="宋体" w:cs="宋体"/>
          <w:color w:val="auto"/>
          <w:sz w:val="24"/>
          <w:highlight w:val="none"/>
        </w:rPr>
        <w:t>个工作日内验收。</w:t>
      </w:r>
    </w:p>
    <w:p w14:paraId="7D17B75B">
      <w:pPr>
        <w:pStyle w:val="12"/>
        <w:keepNext w:val="0"/>
        <w:keepLines w:val="0"/>
        <w:pageBreakBefore w:val="0"/>
        <w:numPr>
          <w:ilvl w:val="0"/>
          <w:numId w:val="98"/>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乙方交货前应对产品作出全面检查和对验收文件进行整理，并列出清单，作为甲方收货验收和使用的技术条件依据，检验的结果应随货物交甲方。</w:t>
      </w:r>
    </w:p>
    <w:p w14:paraId="11E207B6">
      <w:pPr>
        <w:pStyle w:val="12"/>
        <w:keepNext w:val="0"/>
        <w:keepLines w:val="0"/>
        <w:pageBreakBefore w:val="0"/>
        <w:numPr>
          <w:ilvl w:val="0"/>
          <w:numId w:val="98"/>
        </w:numPr>
        <w:kinsoku/>
        <w:wordWrap/>
        <w:overflowPunct/>
        <w:topLinePunct w:val="0"/>
        <w:bidi w:val="0"/>
        <w:adjustRightInd/>
        <w:snapToGrid/>
        <w:spacing w:line="440" w:lineRule="atLeast"/>
        <w:textAlignment w:val="auto"/>
        <w:rPr>
          <w:rFonts w:hAnsi="宋体" w:cs="宋体"/>
          <w:color w:val="auto"/>
          <w:sz w:val="24"/>
          <w:highlight w:val="none"/>
          <w:u w:val="single"/>
        </w:rPr>
      </w:pPr>
      <w:r>
        <w:rPr>
          <w:rFonts w:hint="eastAsia" w:hAnsi="宋体" w:cs="宋体"/>
          <w:color w:val="auto"/>
          <w:sz w:val="24"/>
          <w:highlight w:val="none"/>
        </w:rPr>
        <w:t>甲方对乙方提供的货物在使用前进行调试时，乙方需负责安装并培训甲方的使用操作人员，并协助甲方一起调试，直到符合技术要求，甲方才做最终验收。</w:t>
      </w:r>
    </w:p>
    <w:p w14:paraId="274E8917">
      <w:pPr>
        <w:pStyle w:val="12"/>
        <w:keepNext w:val="0"/>
        <w:keepLines w:val="0"/>
        <w:pageBreakBefore w:val="0"/>
        <w:numPr>
          <w:ilvl w:val="0"/>
          <w:numId w:val="98"/>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对技术复杂的货物，甲方应请国家认可的专业检测机构参与初步验收及最终验收，并由其出具质量检测报告。</w:t>
      </w:r>
    </w:p>
    <w:p w14:paraId="0AEE0522">
      <w:pPr>
        <w:pStyle w:val="12"/>
        <w:keepNext w:val="0"/>
        <w:keepLines w:val="0"/>
        <w:pageBreakBefore w:val="0"/>
        <w:numPr>
          <w:ilvl w:val="0"/>
          <w:numId w:val="98"/>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验收时乙方必须在现场，验收完毕后作出验收结果报告；验收费用由甲方负责。</w:t>
      </w:r>
    </w:p>
    <w:p w14:paraId="6847B1A8">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货物包装、发运及运输</w:t>
      </w:r>
    </w:p>
    <w:p w14:paraId="21775EBD">
      <w:pPr>
        <w:pStyle w:val="12"/>
        <w:keepNext w:val="0"/>
        <w:keepLines w:val="0"/>
        <w:pageBreakBefore w:val="0"/>
        <w:numPr>
          <w:ilvl w:val="0"/>
          <w:numId w:val="99"/>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乙方应在货物发运前对其进行满足运输距离、防潮、防震、防锈和防破损装卸等要求包装，以保证货物安全运达甲方指定地点。</w:t>
      </w:r>
    </w:p>
    <w:p w14:paraId="7B7A30EE">
      <w:pPr>
        <w:pStyle w:val="12"/>
        <w:keepNext w:val="0"/>
        <w:keepLines w:val="0"/>
        <w:pageBreakBefore w:val="0"/>
        <w:numPr>
          <w:ilvl w:val="0"/>
          <w:numId w:val="99"/>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使用说明书、质量检验证明书、随配附件和工具以及清单一并附于货物内。</w:t>
      </w:r>
    </w:p>
    <w:p w14:paraId="19B4041D">
      <w:pPr>
        <w:pStyle w:val="12"/>
        <w:keepNext w:val="0"/>
        <w:keepLines w:val="0"/>
        <w:pageBreakBefore w:val="0"/>
        <w:numPr>
          <w:ilvl w:val="0"/>
          <w:numId w:val="99"/>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货物在交付甲方前发生的风险均由乙方负责。</w:t>
      </w:r>
    </w:p>
    <w:p w14:paraId="2A0E8482">
      <w:pPr>
        <w:pStyle w:val="12"/>
        <w:keepNext w:val="0"/>
        <w:keepLines w:val="0"/>
        <w:pageBreakBefore w:val="0"/>
        <w:numPr>
          <w:ilvl w:val="0"/>
          <w:numId w:val="99"/>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货物在规定的交付期限内由乙方送达甲方指定的地点视为交付，乙方同时需通知甲方货物已送达。</w:t>
      </w:r>
    </w:p>
    <w:p w14:paraId="09FE3D01">
      <w:pPr>
        <w:pStyle w:val="12"/>
        <w:keepNext w:val="0"/>
        <w:keepLines w:val="0"/>
        <w:pageBreakBefore w:val="0"/>
        <w:numPr>
          <w:ilvl w:val="0"/>
          <w:numId w:val="99"/>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乙方运送的货物涉及商品包装和快递包装的，参考《商品包装政府采购需求标准（试行）》、《快递包装政府采购需求标准（试行）》（财办库［2020］123号）。</w:t>
      </w:r>
    </w:p>
    <w:p w14:paraId="797717AA">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违约责任</w:t>
      </w:r>
    </w:p>
    <w:p w14:paraId="68D3DFD3">
      <w:pPr>
        <w:pStyle w:val="12"/>
        <w:keepNext w:val="0"/>
        <w:keepLines w:val="0"/>
        <w:pageBreakBefore w:val="0"/>
        <w:numPr>
          <w:ilvl w:val="0"/>
          <w:numId w:val="100"/>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甲方无正当理由拒收货物的，甲方向乙方偿付拒收货款总值的</w:t>
      </w:r>
      <w:r>
        <w:rPr>
          <w:rFonts w:hint="eastAsia" w:hAnsi="宋体" w:cs="宋体"/>
          <w:color w:val="auto"/>
          <w:sz w:val="24"/>
          <w:highlight w:val="none"/>
          <w:u w:val="single"/>
        </w:rPr>
        <w:t>百分之五</w:t>
      </w:r>
      <w:r>
        <w:rPr>
          <w:rFonts w:hint="eastAsia" w:hAnsi="宋体" w:cs="宋体"/>
          <w:color w:val="auto"/>
          <w:sz w:val="24"/>
          <w:highlight w:val="none"/>
        </w:rPr>
        <w:t>违约金。</w:t>
      </w:r>
    </w:p>
    <w:p w14:paraId="233E804A">
      <w:pPr>
        <w:pStyle w:val="12"/>
        <w:keepNext w:val="0"/>
        <w:keepLines w:val="0"/>
        <w:pageBreakBefore w:val="0"/>
        <w:numPr>
          <w:ilvl w:val="0"/>
          <w:numId w:val="100"/>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甲方无故逾期验收和办理货款支付手续的,甲方应按逾期付款总额每日</w:t>
      </w:r>
      <w:r>
        <w:rPr>
          <w:rFonts w:hint="eastAsia" w:hAnsi="宋体" w:cs="宋体"/>
          <w:color w:val="auto"/>
          <w:sz w:val="24"/>
          <w:highlight w:val="none"/>
          <w:u w:val="single"/>
        </w:rPr>
        <w:t>万分之五</w:t>
      </w:r>
      <w:r>
        <w:rPr>
          <w:rFonts w:hint="eastAsia" w:hAnsi="宋体" w:cs="宋体"/>
          <w:color w:val="auto"/>
          <w:sz w:val="24"/>
          <w:highlight w:val="none"/>
        </w:rPr>
        <w:t>向乙方支付违约金。</w:t>
      </w:r>
    </w:p>
    <w:p w14:paraId="2FCC5A2B">
      <w:pPr>
        <w:pStyle w:val="12"/>
        <w:keepNext w:val="0"/>
        <w:keepLines w:val="0"/>
        <w:pageBreakBefore w:val="0"/>
        <w:numPr>
          <w:ilvl w:val="0"/>
          <w:numId w:val="100"/>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乙方逾期交付货物的，乙方应按逾期交货总额每日</w:t>
      </w:r>
      <w:r>
        <w:rPr>
          <w:rFonts w:hint="eastAsia" w:hAnsi="宋体" w:cs="宋体"/>
          <w:color w:val="auto"/>
          <w:sz w:val="24"/>
          <w:highlight w:val="none"/>
          <w:u w:val="single"/>
        </w:rPr>
        <w:t>千分之六</w:t>
      </w:r>
      <w:r>
        <w:rPr>
          <w:rFonts w:hint="eastAsia" w:hAnsi="宋体" w:cs="宋体"/>
          <w:color w:val="auto"/>
          <w:sz w:val="24"/>
          <w:highlight w:val="none"/>
        </w:rPr>
        <w:t>向甲方支付违约金，由甲方从待付货款中扣除。逾期超过约定日期</w:t>
      </w:r>
      <w:r>
        <w:rPr>
          <w:rFonts w:hint="eastAsia" w:hAnsi="宋体" w:cs="宋体"/>
          <w:color w:val="auto"/>
          <w:sz w:val="24"/>
          <w:highlight w:val="none"/>
          <w:u w:val="single"/>
        </w:rPr>
        <w:t xml:space="preserve">  15  </w:t>
      </w:r>
      <w:r>
        <w:rPr>
          <w:rFonts w:hint="eastAsia" w:hAnsi="宋体" w:cs="宋体"/>
          <w:color w:val="auto"/>
          <w:sz w:val="24"/>
          <w:highlight w:val="none"/>
        </w:rPr>
        <w:t>个工作日不能交货的，甲方可解除本合同。乙方因逾期交货或因其他违约行为导致甲方解除合同的，乙方应向甲方支付合同总值</w:t>
      </w:r>
      <w:r>
        <w:rPr>
          <w:rFonts w:hint="eastAsia" w:hAnsi="宋体" w:cs="宋体"/>
          <w:color w:val="auto"/>
          <w:sz w:val="24"/>
          <w:highlight w:val="none"/>
          <w:u w:val="single"/>
        </w:rPr>
        <w:t>5%</w:t>
      </w:r>
      <w:r>
        <w:rPr>
          <w:rFonts w:hint="eastAsia" w:hAnsi="宋体" w:cs="宋体"/>
          <w:color w:val="auto"/>
          <w:sz w:val="24"/>
          <w:highlight w:val="none"/>
        </w:rPr>
        <w:t xml:space="preserve">的违约金，如造成甲方损失超过违约金的，超出部分由乙方继续承担赔偿责任。 </w:t>
      </w:r>
    </w:p>
    <w:p w14:paraId="4DAC01CE">
      <w:pPr>
        <w:pStyle w:val="12"/>
        <w:keepNext w:val="0"/>
        <w:keepLines w:val="0"/>
        <w:pageBreakBefore w:val="0"/>
        <w:numPr>
          <w:ilvl w:val="0"/>
          <w:numId w:val="100"/>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CE2209">
      <w:pPr>
        <w:pStyle w:val="12"/>
        <w:keepNext w:val="0"/>
        <w:keepLines w:val="0"/>
        <w:pageBreakBefore w:val="0"/>
        <w:numPr>
          <w:ilvl w:val="0"/>
          <w:numId w:val="100"/>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网络和数据安全责任条款</w:t>
      </w:r>
    </w:p>
    <w:p w14:paraId="30FCAA2F">
      <w:pPr>
        <w:pStyle w:val="12"/>
        <w:keepNext w:val="0"/>
        <w:keepLines w:val="0"/>
        <w:pageBreakBefore w:val="0"/>
        <w:numPr>
          <w:ilvl w:val="0"/>
          <w:numId w:val="101"/>
        </w:numPr>
        <w:kinsoku/>
        <w:wordWrap/>
        <w:overflowPunct/>
        <w:topLinePunct w:val="0"/>
        <w:bidi w:val="0"/>
        <w:adjustRightInd/>
        <w:snapToGrid/>
        <w:spacing w:line="440" w:lineRule="atLeast"/>
        <w:ind w:firstLine="480" w:firstLineChars="200"/>
        <w:textAlignment w:val="auto"/>
        <w:rPr>
          <w:rFonts w:hAnsi="宋体" w:cs="宋体"/>
          <w:color w:val="auto"/>
          <w:sz w:val="24"/>
          <w:highlight w:val="none"/>
        </w:rPr>
      </w:pPr>
      <w:r>
        <w:rPr>
          <w:rFonts w:hint="eastAsia" w:hAnsi="宋体" w:cs="宋体"/>
          <w:color w:val="auto"/>
          <w:sz w:val="24"/>
          <w:highlight w:val="none"/>
        </w:rPr>
        <w:t>网络和数据安全保护承诺：乙方开展运营活动时应依法保障电子政务网的安全，在数据处理活动时应当依照《数据安全法》相关规定，建立健全安全管理制度，组织开展网络和数据安全教育培训，采取相应的技术措施和其他必要措施保障安全。如利用互联网等信息网络开展数据处理活动，应当在网络安全等级保护制度的基础上，履行上述安全保护义务。</w:t>
      </w:r>
    </w:p>
    <w:p w14:paraId="68198AAA">
      <w:pPr>
        <w:pStyle w:val="12"/>
        <w:keepNext w:val="0"/>
        <w:keepLines w:val="0"/>
        <w:pageBreakBefore w:val="0"/>
        <w:numPr>
          <w:ilvl w:val="0"/>
          <w:numId w:val="101"/>
        </w:numPr>
        <w:kinsoku/>
        <w:wordWrap/>
        <w:overflowPunct/>
        <w:topLinePunct w:val="0"/>
        <w:bidi w:val="0"/>
        <w:adjustRightInd/>
        <w:snapToGrid/>
        <w:spacing w:line="440" w:lineRule="atLeast"/>
        <w:ind w:firstLine="480" w:firstLineChars="200"/>
        <w:textAlignment w:val="auto"/>
        <w:rPr>
          <w:rFonts w:hAnsi="宋体" w:cs="宋体"/>
          <w:color w:val="auto"/>
          <w:sz w:val="24"/>
          <w:highlight w:val="none"/>
        </w:rPr>
      </w:pPr>
      <w:r>
        <w:rPr>
          <w:rFonts w:hint="eastAsia" w:hAnsi="宋体" w:cs="宋体"/>
          <w:color w:val="auto"/>
          <w:sz w:val="24"/>
          <w:highlight w:val="none"/>
        </w:rPr>
        <w:t>安全问责机制：经甲乙双方共同认定因乙方原因引起，受到国家、省级、市级安全问题通报的，相关责任人员按照《浙江信息技术服务外包网络安全管理办法》就行问责。每次通报后，乙方应及时解决并通交书面整改报告。</w:t>
      </w:r>
    </w:p>
    <w:p w14:paraId="36E98170">
      <w:pPr>
        <w:pStyle w:val="12"/>
        <w:keepNext w:val="0"/>
        <w:keepLines w:val="0"/>
        <w:pageBreakBefore w:val="0"/>
        <w:numPr>
          <w:ilvl w:val="0"/>
          <w:numId w:val="101"/>
        </w:numPr>
        <w:kinsoku/>
        <w:wordWrap/>
        <w:overflowPunct/>
        <w:topLinePunct w:val="0"/>
        <w:bidi w:val="0"/>
        <w:adjustRightInd/>
        <w:snapToGrid/>
        <w:spacing w:line="440" w:lineRule="atLeast"/>
        <w:ind w:firstLine="480" w:firstLineChars="200"/>
        <w:textAlignment w:val="auto"/>
        <w:rPr>
          <w:rFonts w:hAnsi="宋体" w:cs="宋体"/>
          <w:color w:val="auto"/>
          <w:sz w:val="24"/>
          <w:highlight w:val="none"/>
        </w:rPr>
      </w:pPr>
      <w:r>
        <w:rPr>
          <w:rFonts w:hint="eastAsia" w:hAnsi="宋体" w:cs="宋体"/>
          <w:color w:val="auto"/>
          <w:sz w:val="24"/>
          <w:highlight w:val="none"/>
        </w:rPr>
        <w:t>安全处罚机制：乙方在服务期内应保障所提供的服务和产品的网络和数据安全，若发生网络和数据安全事件，甲方有权每次扣除合同款的5%。以上扣除总额不超过合同的20%。网络和数据安全事件包括但不限于以下情形：</w:t>
      </w:r>
    </w:p>
    <w:p w14:paraId="37176BD2">
      <w:pPr>
        <w:pStyle w:val="12"/>
        <w:keepNext w:val="0"/>
        <w:keepLines w:val="0"/>
        <w:pageBreakBefore w:val="0"/>
        <w:numPr>
          <w:ilvl w:val="0"/>
          <w:numId w:val="102"/>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发生重大网络安全事故；</w:t>
      </w:r>
    </w:p>
    <w:p w14:paraId="189031BB">
      <w:pPr>
        <w:pStyle w:val="12"/>
        <w:keepNext w:val="0"/>
        <w:keepLines w:val="0"/>
        <w:pageBreakBefore w:val="0"/>
        <w:numPr>
          <w:ilvl w:val="0"/>
          <w:numId w:val="102"/>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存在严重安全隐患且逾期未能整改到位或未提交整改报告；</w:t>
      </w:r>
    </w:p>
    <w:p w14:paraId="6ED08F9F">
      <w:pPr>
        <w:pStyle w:val="12"/>
        <w:keepNext w:val="0"/>
        <w:keepLines w:val="0"/>
        <w:pageBreakBefore w:val="0"/>
        <w:numPr>
          <w:ilvl w:val="0"/>
          <w:numId w:val="102"/>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私自保存或泄露本项目相关敏感信息用作他途；</w:t>
      </w:r>
    </w:p>
    <w:p w14:paraId="5222CBE9">
      <w:pPr>
        <w:pStyle w:val="12"/>
        <w:keepNext w:val="0"/>
        <w:keepLines w:val="0"/>
        <w:pageBreakBefore w:val="0"/>
        <w:numPr>
          <w:ilvl w:val="0"/>
          <w:numId w:val="102"/>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违反保密协议中规定的其他事项。</w:t>
      </w:r>
    </w:p>
    <w:p w14:paraId="1BF57AF2">
      <w:pPr>
        <w:pStyle w:val="12"/>
        <w:keepNext w:val="0"/>
        <w:keepLines w:val="0"/>
        <w:pageBreakBefore w:val="0"/>
        <w:numPr>
          <w:ilvl w:val="0"/>
          <w:numId w:val="100"/>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若发生纠纷，由违约方赔偿守约方因纠纷所支付的费用（包括但不限于律师费、差旅费、诉讼费、保全费、鉴定费、评估费等）。</w:t>
      </w:r>
    </w:p>
    <w:p w14:paraId="337A4C77">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不可抗力事件处理</w:t>
      </w:r>
    </w:p>
    <w:p w14:paraId="75D42DB2">
      <w:pPr>
        <w:pStyle w:val="12"/>
        <w:keepNext w:val="0"/>
        <w:keepLines w:val="0"/>
        <w:pageBreakBefore w:val="0"/>
        <w:numPr>
          <w:ilvl w:val="0"/>
          <w:numId w:val="103"/>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在合同有效期内，任何一方因不可抗力事件导致不能履行合同，则合同履行期可延长，其延长期与不可抗力影响期相同。</w:t>
      </w:r>
    </w:p>
    <w:p w14:paraId="67E9F5E8">
      <w:pPr>
        <w:pStyle w:val="12"/>
        <w:keepNext w:val="0"/>
        <w:keepLines w:val="0"/>
        <w:pageBreakBefore w:val="0"/>
        <w:numPr>
          <w:ilvl w:val="0"/>
          <w:numId w:val="103"/>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不可抗力事件发生后，应立即通知对方，并寄送有关权威机构出具的证明。</w:t>
      </w:r>
    </w:p>
    <w:p w14:paraId="158BA305">
      <w:pPr>
        <w:pStyle w:val="12"/>
        <w:keepNext w:val="0"/>
        <w:keepLines w:val="0"/>
        <w:pageBreakBefore w:val="0"/>
        <w:numPr>
          <w:ilvl w:val="0"/>
          <w:numId w:val="103"/>
        </w:numPr>
        <w:kinsoku/>
        <w:wordWrap/>
        <w:overflowPunct/>
        <w:topLinePunct w:val="0"/>
        <w:bidi w:val="0"/>
        <w:adjustRightInd/>
        <w:snapToGrid/>
        <w:spacing w:line="440" w:lineRule="atLeast"/>
        <w:textAlignment w:val="auto"/>
        <w:rPr>
          <w:rFonts w:hAnsi="宋体" w:cs="宋体"/>
          <w:color w:val="auto"/>
          <w:sz w:val="24"/>
          <w:highlight w:val="none"/>
        </w:rPr>
      </w:pPr>
      <w:r>
        <w:rPr>
          <w:rFonts w:hint="eastAsia" w:hAnsi="宋体" w:cs="宋体"/>
          <w:color w:val="auto"/>
          <w:sz w:val="24"/>
          <w:highlight w:val="none"/>
        </w:rPr>
        <w:t>不可抗力事件延续120天以上，双方应通过友好协商，确定是否继续履行合同。</w:t>
      </w:r>
    </w:p>
    <w:p w14:paraId="28F9B336">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解决争议的方法</w:t>
      </w:r>
    </w:p>
    <w:p w14:paraId="0E5CE188">
      <w:pPr>
        <w:pStyle w:val="12"/>
        <w:keepNext w:val="0"/>
        <w:keepLines w:val="0"/>
        <w:pageBreakBefore w:val="0"/>
        <w:kinsoku/>
        <w:wordWrap/>
        <w:overflowPunct/>
        <w:topLinePunct w:val="0"/>
        <w:bidi w:val="0"/>
        <w:adjustRightInd/>
        <w:snapToGrid/>
        <w:spacing w:line="440" w:lineRule="atLeast"/>
        <w:ind w:firstLine="480" w:firstLineChars="200"/>
        <w:textAlignment w:val="auto"/>
        <w:rPr>
          <w:rFonts w:hAnsi="宋体" w:cs="宋体"/>
          <w:color w:val="auto"/>
          <w:sz w:val="24"/>
          <w:highlight w:val="none"/>
        </w:rPr>
      </w:pPr>
      <w:r>
        <w:rPr>
          <w:rFonts w:hint="eastAsia" w:hAnsi="宋体" w:cs="宋体"/>
          <w:color w:val="auto"/>
          <w:sz w:val="24"/>
          <w:highlight w:val="none"/>
        </w:rPr>
        <w:t>如双方在履行合同时发生纠纷，应协商解决；协商不成时，可提请政府采购管理部门调解；调解不成的通过以下第（ 2 ）方式解决：</w:t>
      </w:r>
    </w:p>
    <w:p w14:paraId="1C44D9C1">
      <w:pPr>
        <w:keepNext w:val="0"/>
        <w:keepLines w:val="0"/>
        <w:pageBreakBefore w:val="0"/>
        <w:widowControl/>
        <w:numPr>
          <w:ilvl w:val="0"/>
          <w:numId w:val="104"/>
        </w:numPr>
        <w:kinsoku/>
        <w:wordWrap/>
        <w:overflowPunct/>
        <w:topLinePunct w:val="0"/>
        <w:bidi w:val="0"/>
        <w:adjustRightInd/>
        <w:snapToGrid/>
        <w:spacing w:line="440" w:lineRule="atLeast"/>
        <w:textAlignment w:val="auto"/>
        <w:rPr>
          <w:rFonts w:ascii="宋体" w:hAnsi="宋体" w:cs="宋体"/>
          <w:color w:val="auto"/>
          <w:kern w:val="0"/>
          <w:sz w:val="24"/>
          <w:highlight w:val="none"/>
        </w:rPr>
      </w:pPr>
      <w:r>
        <w:rPr>
          <w:rFonts w:hint="eastAsia" w:ascii="宋体" w:hAnsi="宋体" w:cs="宋体"/>
          <w:color w:val="auto"/>
          <w:kern w:val="0"/>
          <w:sz w:val="24"/>
          <w:highlight w:val="none"/>
        </w:rPr>
        <w:t>提交</w:t>
      </w:r>
      <w:r>
        <w:rPr>
          <w:rFonts w:hint="eastAsia" w:ascii="宋体" w:hAnsi="宋体" w:cs="宋体"/>
          <w:color w:val="auto"/>
          <w:sz w:val="24"/>
          <w:highlight w:val="none"/>
          <w:u w:val="single"/>
        </w:rPr>
        <w:t>台州</w:t>
      </w:r>
      <w:r>
        <w:rPr>
          <w:rFonts w:hint="eastAsia" w:ascii="宋体" w:hAnsi="宋体" w:cs="宋体"/>
          <w:color w:val="auto"/>
          <w:kern w:val="0"/>
          <w:sz w:val="24"/>
          <w:highlight w:val="none"/>
        </w:rPr>
        <w:t>仲裁委员会仲裁。</w:t>
      </w:r>
    </w:p>
    <w:p w14:paraId="18626F32">
      <w:pPr>
        <w:keepNext w:val="0"/>
        <w:keepLines w:val="0"/>
        <w:pageBreakBefore w:val="0"/>
        <w:widowControl/>
        <w:numPr>
          <w:ilvl w:val="0"/>
          <w:numId w:val="104"/>
        </w:numPr>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kern w:val="0"/>
          <w:sz w:val="24"/>
          <w:highlight w:val="none"/>
        </w:rPr>
        <w:t xml:space="preserve">依法向三门县人民法院提起诉讼。 </w:t>
      </w:r>
    </w:p>
    <w:p w14:paraId="13509FD8">
      <w:pPr>
        <w:keepNext w:val="0"/>
        <w:keepLines w:val="0"/>
        <w:pageBreakBefore w:val="0"/>
        <w:numPr>
          <w:ilvl w:val="0"/>
          <w:numId w:val="86"/>
        </w:numPr>
        <w:kinsoku/>
        <w:wordWrap/>
        <w:overflowPunct/>
        <w:topLinePunct w:val="0"/>
        <w:bidi w:val="0"/>
        <w:adjustRightInd/>
        <w:snapToGrid/>
        <w:spacing w:line="440" w:lineRule="atLeast"/>
        <w:textAlignment w:val="auto"/>
        <w:rPr>
          <w:rFonts w:ascii="宋体" w:hAnsi="宋体" w:cs="宋体"/>
          <w:b/>
          <w:color w:val="auto"/>
          <w:sz w:val="24"/>
          <w:highlight w:val="none"/>
        </w:rPr>
      </w:pPr>
      <w:r>
        <w:rPr>
          <w:rFonts w:hint="eastAsia" w:ascii="宋体" w:hAnsi="宋体" w:cs="宋体"/>
          <w:b/>
          <w:color w:val="auto"/>
          <w:sz w:val="24"/>
          <w:highlight w:val="none"/>
        </w:rPr>
        <w:t>合同生效及其它</w:t>
      </w:r>
      <w:r>
        <w:rPr>
          <w:rFonts w:hint="eastAsia" w:ascii="宋体" w:hAnsi="宋体" w:cs="宋体"/>
          <w:b/>
          <w:color w:val="auto"/>
          <w:sz w:val="24"/>
          <w:highlight w:val="none"/>
        </w:rPr>
        <w:tab/>
      </w:r>
    </w:p>
    <w:p w14:paraId="1710CA4F">
      <w:pPr>
        <w:pStyle w:val="11"/>
        <w:keepNext w:val="0"/>
        <w:keepLines w:val="0"/>
        <w:pageBreakBefore w:val="0"/>
        <w:widowControl/>
        <w:numPr>
          <w:ilvl w:val="0"/>
          <w:numId w:val="105"/>
        </w:numPr>
        <w:kinsoku/>
        <w:wordWrap/>
        <w:overflowPunct/>
        <w:topLinePunct w:val="0"/>
        <w:bidi w:val="0"/>
        <w:adjustRightInd/>
        <w:snapToGrid/>
        <w:spacing w:line="440" w:lineRule="atLeast"/>
        <w:textAlignment w:val="auto"/>
        <w:rPr>
          <w:rFonts w:ascii="宋体" w:hAnsi="宋体" w:cs="宋体"/>
          <w:color w:val="auto"/>
          <w:highlight w:val="none"/>
        </w:rPr>
      </w:pPr>
      <w:r>
        <w:rPr>
          <w:rFonts w:hint="eastAsia" w:ascii="宋体" w:hAnsi="宋体" w:cs="宋体"/>
          <w:color w:val="auto"/>
          <w:highlight w:val="none"/>
        </w:rPr>
        <w:t>合同经双方法定代表人或授权代表签字并加盖单位公章后生效。</w:t>
      </w:r>
    </w:p>
    <w:p w14:paraId="7A2DEBF2">
      <w:pPr>
        <w:pStyle w:val="11"/>
        <w:keepNext w:val="0"/>
        <w:keepLines w:val="0"/>
        <w:pageBreakBefore w:val="0"/>
        <w:widowControl/>
        <w:numPr>
          <w:ilvl w:val="0"/>
          <w:numId w:val="105"/>
        </w:numPr>
        <w:kinsoku/>
        <w:wordWrap/>
        <w:overflowPunct/>
        <w:topLinePunct w:val="0"/>
        <w:bidi w:val="0"/>
        <w:adjustRightInd/>
        <w:snapToGrid/>
        <w:spacing w:line="440" w:lineRule="atLeast"/>
        <w:textAlignment w:val="auto"/>
        <w:rPr>
          <w:rFonts w:ascii="宋体" w:hAnsi="宋体" w:cs="宋体"/>
          <w:color w:val="auto"/>
          <w:highlight w:val="none"/>
        </w:rPr>
      </w:pPr>
      <w:r>
        <w:rPr>
          <w:rFonts w:hint="eastAsia" w:asciiTheme="minorEastAsia" w:hAnsiTheme="minorEastAsia" w:eastAsiaTheme="minorEastAsia"/>
          <w:color w:val="auto"/>
          <w:highlight w:val="none"/>
        </w:rPr>
        <w:t>乙方单位与甲方签署保密协议；乙方提供核心运维人员背景审查材料、并签署个人保密协议。</w:t>
      </w:r>
    </w:p>
    <w:p w14:paraId="4EC1AC68">
      <w:pPr>
        <w:pStyle w:val="11"/>
        <w:keepNext w:val="0"/>
        <w:keepLines w:val="0"/>
        <w:pageBreakBefore w:val="0"/>
        <w:widowControl/>
        <w:numPr>
          <w:ilvl w:val="0"/>
          <w:numId w:val="105"/>
        </w:numPr>
        <w:kinsoku/>
        <w:wordWrap/>
        <w:overflowPunct/>
        <w:topLinePunct w:val="0"/>
        <w:bidi w:val="0"/>
        <w:adjustRightInd/>
        <w:snapToGrid/>
        <w:spacing w:line="440" w:lineRule="atLeast"/>
        <w:textAlignment w:val="auto"/>
        <w:rPr>
          <w:rFonts w:ascii="宋体" w:hAnsi="宋体" w:cs="宋体"/>
          <w:color w:val="auto"/>
          <w:highlight w:val="none"/>
        </w:rPr>
      </w:pPr>
      <w:r>
        <w:rPr>
          <w:rFonts w:hint="eastAsia" w:ascii="宋体" w:hAnsi="宋体" w:cs="宋体"/>
          <w:color w:val="auto"/>
          <w:highlight w:val="none"/>
        </w:rPr>
        <w:t>本合同未尽事宜，遵照《</w:t>
      </w:r>
      <w:r>
        <w:rPr>
          <w:rFonts w:hint="eastAsia" w:ascii="宋体" w:hAnsi="宋体" w:cs="宋体"/>
          <w:color w:val="auto"/>
          <w:highlight w:val="none"/>
          <w:shd w:val="clear" w:color="auto" w:fill="FFFFFF"/>
        </w:rPr>
        <w:t>中华人民共和国民法典</w:t>
      </w:r>
      <w:r>
        <w:rPr>
          <w:rFonts w:hint="eastAsia" w:ascii="宋体" w:hAnsi="宋体" w:cs="宋体"/>
          <w:color w:val="auto"/>
          <w:highlight w:val="none"/>
        </w:rPr>
        <w:t>》有关条文执行。</w:t>
      </w:r>
    </w:p>
    <w:p w14:paraId="76FFF79B">
      <w:pPr>
        <w:pStyle w:val="11"/>
        <w:keepNext w:val="0"/>
        <w:keepLines w:val="0"/>
        <w:pageBreakBefore w:val="0"/>
        <w:widowControl/>
        <w:numPr>
          <w:ilvl w:val="0"/>
          <w:numId w:val="105"/>
        </w:numPr>
        <w:kinsoku/>
        <w:wordWrap/>
        <w:overflowPunct/>
        <w:topLinePunct w:val="0"/>
        <w:bidi w:val="0"/>
        <w:adjustRightInd/>
        <w:snapToGrid/>
        <w:spacing w:line="440" w:lineRule="atLeast"/>
        <w:textAlignment w:val="auto"/>
        <w:rPr>
          <w:rFonts w:ascii="宋体" w:hAnsi="宋体" w:cs="宋体"/>
          <w:color w:val="auto"/>
          <w:highlight w:val="none"/>
        </w:rPr>
      </w:pPr>
      <w:r>
        <w:rPr>
          <w:rFonts w:hint="eastAsia" w:ascii="宋体" w:hAnsi="宋体" w:cs="宋体"/>
          <w:color w:val="auto"/>
          <w:highlight w:val="none"/>
        </w:rPr>
        <w:t>本合同一式四份。甲、乙双方各执一份，代理公司一份，三门县财政局一份。本项目未尽事宜以招标文件、投标文件及澄清文件等为准。</w:t>
      </w:r>
    </w:p>
    <w:p w14:paraId="54CAEFBE">
      <w:pPr>
        <w:keepNext w:val="0"/>
        <w:keepLines w:val="0"/>
        <w:pageBreakBefore w:val="0"/>
        <w:widowControl/>
        <w:kinsoku/>
        <w:wordWrap/>
        <w:overflowPunct/>
        <w:topLinePunct w:val="0"/>
        <w:bidi w:val="0"/>
        <w:adjustRightInd/>
        <w:snapToGrid/>
        <w:spacing w:line="440" w:lineRule="atLeast"/>
        <w:ind w:firstLine="482" w:firstLineChars="200"/>
        <w:textAlignment w:val="auto"/>
        <w:rPr>
          <w:rFonts w:ascii="宋体" w:hAnsi="宋体" w:cs="宋体"/>
          <w:b/>
          <w:color w:val="auto"/>
          <w:sz w:val="24"/>
          <w:highlight w:val="none"/>
        </w:rPr>
      </w:pPr>
    </w:p>
    <w:p w14:paraId="085C1E60">
      <w:pPr>
        <w:keepNext w:val="0"/>
        <w:keepLines w:val="0"/>
        <w:pageBreakBefore w:val="0"/>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sz w:val="24"/>
          <w:highlight w:val="none"/>
        </w:rPr>
        <w:t>甲方（盖章）                                     乙方（盖章）</w:t>
      </w:r>
    </w:p>
    <w:p w14:paraId="5105EDE4">
      <w:pPr>
        <w:keepNext w:val="0"/>
        <w:keepLines w:val="0"/>
        <w:pageBreakBefore w:val="0"/>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sz w:val="24"/>
          <w:highlight w:val="none"/>
        </w:rPr>
        <w:t>法定代表人：                                     法定代表人：</w:t>
      </w:r>
    </w:p>
    <w:p w14:paraId="6B841353">
      <w:pPr>
        <w:keepNext w:val="0"/>
        <w:keepLines w:val="0"/>
        <w:pageBreakBefore w:val="0"/>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sz w:val="24"/>
          <w:highlight w:val="none"/>
        </w:rPr>
        <w:t>委托代理人：                                     委托代理人：</w:t>
      </w:r>
    </w:p>
    <w:p w14:paraId="44E64CA4">
      <w:pPr>
        <w:keepNext w:val="0"/>
        <w:keepLines w:val="0"/>
        <w:pageBreakBefore w:val="0"/>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sz w:val="24"/>
          <w:highlight w:val="none"/>
        </w:rPr>
        <w:t>联系电话：                                       联系电话：</w:t>
      </w:r>
    </w:p>
    <w:p w14:paraId="52170239">
      <w:pPr>
        <w:keepNext w:val="0"/>
        <w:keepLines w:val="0"/>
        <w:pageBreakBefore w:val="0"/>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sz w:val="24"/>
          <w:highlight w:val="none"/>
        </w:rPr>
        <w:t>开户银行：                                       开户银行：</w:t>
      </w:r>
    </w:p>
    <w:p w14:paraId="57BD2BF5">
      <w:pPr>
        <w:keepNext w:val="0"/>
        <w:keepLines w:val="0"/>
        <w:pageBreakBefore w:val="0"/>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sz w:val="24"/>
          <w:highlight w:val="none"/>
        </w:rPr>
        <w:t>账号：                                           账号：</w:t>
      </w:r>
    </w:p>
    <w:p w14:paraId="0F4C3B63">
      <w:pPr>
        <w:keepNext w:val="0"/>
        <w:keepLines w:val="0"/>
        <w:pageBreakBefore w:val="0"/>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sz w:val="24"/>
          <w:highlight w:val="none"/>
        </w:rPr>
        <w:t>地址及邮编：                                     地址及邮编：</w:t>
      </w:r>
    </w:p>
    <w:p w14:paraId="7A8EEF39">
      <w:pPr>
        <w:keepNext w:val="0"/>
        <w:keepLines w:val="0"/>
        <w:pageBreakBefore w:val="0"/>
        <w:kinsoku/>
        <w:wordWrap/>
        <w:overflowPunct/>
        <w:topLinePunct w:val="0"/>
        <w:bidi w:val="0"/>
        <w:adjustRightInd/>
        <w:snapToGrid/>
        <w:spacing w:line="440" w:lineRule="atLeast"/>
        <w:textAlignment w:val="auto"/>
        <w:rPr>
          <w:rFonts w:ascii="宋体" w:hAnsi="宋体" w:cs="宋体"/>
          <w:color w:val="auto"/>
          <w:sz w:val="24"/>
          <w:highlight w:val="none"/>
        </w:rPr>
      </w:pPr>
    </w:p>
    <w:p w14:paraId="587C48A1">
      <w:pPr>
        <w:keepNext w:val="0"/>
        <w:keepLines w:val="0"/>
        <w:pageBreakBefore w:val="0"/>
        <w:kinsoku/>
        <w:wordWrap/>
        <w:overflowPunct/>
        <w:topLinePunct w:val="0"/>
        <w:bidi w:val="0"/>
        <w:adjustRightInd/>
        <w:snapToGrid/>
        <w:spacing w:line="440" w:lineRule="atLeast"/>
        <w:textAlignment w:val="auto"/>
        <w:rPr>
          <w:rFonts w:ascii="宋体" w:hAnsi="宋体" w:cs="宋体"/>
          <w:color w:val="auto"/>
          <w:sz w:val="24"/>
          <w:highlight w:val="none"/>
        </w:rPr>
      </w:pPr>
      <w:r>
        <w:rPr>
          <w:rFonts w:hint="eastAsia" w:ascii="宋体" w:hAnsi="宋体" w:cs="宋体"/>
          <w:color w:val="auto"/>
          <w:sz w:val="24"/>
          <w:highlight w:val="none"/>
        </w:rPr>
        <w:t>签订时间：    年   月    日</w:t>
      </w:r>
    </w:p>
    <w:p w14:paraId="32FB2A1F">
      <w:pPr>
        <w:spacing w:line="360" w:lineRule="auto"/>
        <w:ind w:firstLine="480" w:firstLineChars="200"/>
        <w:rPr>
          <w:rFonts w:ascii="宋体" w:hAnsi="宋体" w:cs="宋体"/>
          <w:color w:val="auto"/>
          <w:sz w:val="24"/>
          <w:highlight w:val="none"/>
        </w:rPr>
      </w:pPr>
    </w:p>
    <w:p w14:paraId="688BB4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专用条款</w:t>
      </w:r>
    </w:p>
    <w:p w14:paraId="52A189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（如果项目性质特殊，采购人认为需要制定专用条款的，须在提交项目采购需求时一并提供，但条款内容应合法、合理，并符合项目实际需求，且不得与通用条款冲突）</w:t>
      </w:r>
    </w:p>
    <w:p w14:paraId="747905FC">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14:paraId="1A231C55">
      <w:pPr>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三门县公安局机房升级改造项目（二次）</w:t>
      </w:r>
    </w:p>
    <w:p w14:paraId="50029FA7">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网络和数据安全承诺书</w:t>
      </w:r>
    </w:p>
    <w:p w14:paraId="0FB39B0B">
      <w:pPr>
        <w:widowControl/>
        <w:kinsoku w:val="0"/>
        <w:autoSpaceDE w:val="0"/>
        <w:autoSpaceDN w:val="0"/>
        <w:adjustRightInd w:val="0"/>
        <w:snapToGrid w:val="0"/>
        <w:spacing w:line="520" w:lineRule="exact"/>
        <w:textAlignment w:val="baseline"/>
        <w:rPr>
          <w:rFonts w:ascii="宋体" w:hAnsi="宋体" w:cs="宋体"/>
          <w:color w:val="auto"/>
          <w:spacing w:val="1"/>
          <w:sz w:val="28"/>
          <w:szCs w:val="28"/>
          <w:highlight w:val="none"/>
          <w:u w:val="single"/>
        </w:rPr>
      </w:pPr>
      <w:r>
        <w:rPr>
          <w:rFonts w:hint="eastAsia" w:ascii="宋体" w:hAnsi="宋体" w:cs="宋体"/>
          <w:color w:val="auto"/>
          <w:spacing w:val="1"/>
          <w:sz w:val="28"/>
          <w:szCs w:val="28"/>
          <w:highlight w:val="none"/>
          <w:u w:val="single"/>
        </w:rPr>
        <w:t xml:space="preserve">             ：</w:t>
      </w:r>
    </w:p>
    <w:p w14:paraId="784FB282">
      <w:pPr>
        <w:widowControl/>
        <w:kinsoku w:val="0"/>
        <w:autoSpaceDE w:val="0"/>
        <w:autoSpaceDN w:val="0"/>
        <w:adjustRightInd w:val="0"/>
        <w:snapToGrid w:val="0"/>
        <w:spacing w:line="520" w:lineRule="exact"/>
        <w:ind w:left="319" w:leftChars="152" w:firstLine="614" w:firstLineChars="218"/>
        <w:textAlignment w:val="baseline"/>
        <w:rPr>
          <w:rFonts w:ascii="宋体" w:hAnsi="宋体" w:cs="宋体"/>
          <w:color w:val="auto"/>
          <w:sz w:val="28"/>
          <w:szCs w:val="28"/>
          <w:highlight w:val="none"/>
        </w:rPr>
      </w:pPr>
      <w:r>
        <w:rPr>
          <w:rFonts w:hint="eastAsia" w:ascii="宋体" w:hAnsi="宋体" w:cs="宋体"/>
          <w:color w:val="auto"/>
          <w:spacing w:val="1"/>
          <w:sz w:val="28"/>
          <w:szCs w:val="28"/>
          <w:highlight w:val="none"/>
        </w:rPr>
        <w:t>为确保我单位运维的</w:t>
      </w:r>
      <w:r>
        <w:rPr>
          <w:rFonts w:hint="eastAsia" w:ascii="宋体" w:hAnsi="宋体" w:cs="宋体"/>
          <w:color w:val="auto"/>
          <w:spacing w:val="1"/>
          <w:sz w:val="28"/>
          <w:szCs w:val="28"/>
          <w:highlight w:val="none"/>
          <w:u w:val="single"/>
        </w:rPr>
        <w:t xml:space="preserve">           </w:t>
      </w:r>
      <w:r>
        <w:rPr>
          <w:rFonts w:hint="eastAsia" w:ascii="宋体" w:hAnsi="宋体" w:cs="宋体"/>
          <w:color w:val="auto"/>
          <w:spacing w:val="2"/>
          <w:sz w:val="28"/>
          <w:szCs w:val="28"/>
          <w:highlight w:val="none"/>
          <w:u w:val="single"/>
        </w:rPr>
        <w:t xml:space="preserve">  </w:t>
      </w:r>
      <w:r>
        <w:rPr>
          <w:rFonts w:hint="eastAsia" w:ascii="宋体" w:hAnsi="宋体" w:cs="宋体"/>
          <w:color w:val="auto"/>
          <w:spacing w:val="1"/>
          <w:sz w:val="28"/>
          <w:szCs w:val="28"/>
          <w:highlight w:val="none"/>
        </w:rPr>
        <w:t>安</w:t>
      </w:r>
      <w:r>
        <w:rPr>
          <w:rFonts w:hint="eastAsia" w:ascii="宋体" w:hAnsi="宋体" w:cs="宋体"/>
          <w:color w:val="auto"/>
          <w:spacing w:val="-4"/>
          <w:sz w:val="28"/>
          <w:szCs w:val="28"/>
          <w:highlight w:val="none"/>
        </w:rPr>
        <w:t>全稳定运行，我单位郑重承诺认真落实</w:t>
      </w:r>
      <w:r>
        <w:rPr>
          <w:rFonts w:hint="eastAsia" w:ascii="宋体" w:hAnsi="宋体" w:cs="宋体"/>
          <w:color w:val="auto"/>
          <w:spacing w:val="-4"/>
          <w:sz w:val="28"/>
          <w:szCs w:val="28"/>
          <w:highlight w:val="none"/>
          <w:u w:val="single"/>
        </w:rPr>
        <w:t xml:space="preserve"> </w:t>
      </w:r>
      <w:r>
        <w:rPr>
          <w:rFonts w:hint="eastAsia" w:ascii="宋体" w:hAnsi="宋体" w:cs="宋体"/>
          <w:color w:val="auto"/>
          <w:spacing w:val="1"/>
          <w:sz w:val="28"/>
          <w:szCs w:val="28"/>
          <w:highlight w:val="none"/>
          <w:u w:val="single"/>
        </w:rPr>
        <w:t xml:space="preserve">          </w:t>
      </w:r>
      <w:r>
        <w:rPr>
          <w:rFonts w:hint="eastAsia" w:ascii="宋体" w:hAnsi="宋体" w:cs="宋体"/>
          <w:color w:val="auto"/>
          <w:spacing w:val="3"/>
          <w:sz w:val="28"/>
          <w:szCs w:val="28"/>
          <w:highlight w:val="none"/>
        </w:rPr>
        <w:t>部署的各项网络安全工作任务，采取包括增加人员和经费投</w:t>
      </w:r>
      <w:r>
        <w:rPr>
          <w:rFonts w:hint="eastAsia" w:ascii="宋体" w:hAnsi="宋体" w:cs="宋体"/>
          <w:color w:val="auto"/>
          <w:spacing w:val="2"/>
          <w:sz w:val="28"/>
          <w:szCs w:val="28"/>
          <w:highlight w:val="none"/>
        </w:rPr>
        <w:t>入在内的一切必要手段，确保系统安全运行，确保不发生网络和数据安全</w:t>
      </w:r>
      <w:r>
        <w:rPr>
          <w:rFonts w:hint="eastAsia" w:ascii="宋体" w:hAnsi="宋体" w:cs="宋体"/>
          <w:color w:val="auto"/>
          <w:spacing w:val="1"/>
          <w:sz w:val="28"/>
          <w:szCs w:val="28"/>
          <w:highlight w:val="none"/>
        </w:rPr>
        <w:t>事</w:t>
      </w:r>
      <w:r>
        <w:rPr>
          <w:rFonts w:hint="eastAsia" w:ascii="宋体" w:hAnsi="宋体" w:cs="宋体"/>
          <w:color w:val="auto"/>
          <w:spacing w:val="-8"/>
          <w:sz w:val="28"/>
          <w:szCs w:val="28"/>
          <w:highlight w:val="none"/>
        </w:rPr>
        <w:t>件。</w:t>
      </w:r>
    </w:p>
    <w:p w14:paraId="24802A4D">
      <w:pPr>
        <w:widowControl/>
        <w:kinsoku w:val="0"/>
        <w:autoSpaceDE w:val="0"/>
        <w:autoSpaceDN w:val="0"/>
        <w:adjustRightInd w:val="0"/>
        <w:snapToGrid w:val="0"/>
        <w:spacing w:line="520" w:lineRule="exact"/>
        <w:ind w:firstLine="624"/>
        <w:textAlignment w:val="baseline"/>
        <w:rPr>
          <w:rFonts w:ascii="宋体" w:hAnsi="宋体" w:cs="宋体"/>
          <w:color w:val="auto"/>
          <w:sz w:val="28"/>
          <w:szCs w:val="28"/>
          <w:highlight w:val="none"/>
        </w:rPr>
      </w:pPr>
      <w:r>
        <w:rPr>
          <w:rFonts w:hint="eastAsia" w:ascii="宋体" w:hAnsi="宋体" w:cs="宋体"/>
          <w:b/>
          <w:bCs/>
          <w:color w:val="auto"/>
          <w:spacing w:val="-11"/>
          <w:sz w:val="28"/>
          <w:szCs w:val="28"/>
          <w:highlight w:val="none"/>
        </w:rPr>
        <w:t>我单位明确：</w:t>
      </w:r>
      <w:r>
        <w:rPr>
          <w:rFonts w:hint="eastAsia" w:ascii="宋体" w:hAnsi="宋体" w:cs="宋体"/>
          <w:color w:val="auto"/>
          <w:spacing w:val="2"/>
          <w:sz w:val="28"/>
          <w:szCs w:val="28"/>
          <w:highlight w:val="none"/>
          <w:u w:val="single"/>
        </w:rPr>
        <w:t xml:space="preserve">        </w:t>
      </w:r>
      <w:r>
        <w:rPr>
          <w:rFonts w:hint="eastAsia" w:ascii="宋体" w:hAnsi="宋体" w:cs="宋体"/>
          <w:color w:val="auto"/>
          <w:spacing w:val="-135"/>
          <w:sz w:val="28"/>
          <w:szCs w:val="28"/>
          <w:highlight w:val="none"/>
        </w:rPr>
        <w:t xml:space="preserve"> </w:t>
      </w:r>
      <w:r>
        <w:rPr>
          <w:rFonts w:hint="eastAsia" w:ascii="宋体" w:hAnsi="宋体" w:cs="宋体"/>
          <w:color w:val="auto"/>
          <w:spacing w:val="-11"/>
          <w:sz w:val="28"/>
          <w:szCs w:val="28"/>
          <w:highlight w:val="none"/>
        </w:rPr>
        <w:t>为我单位项目负责人，全面负责</w:t>
      </w:r>
      <w:r>
        <w:rPr>
          <w:rFonts w:hint="eastAsia" w:ascii="宋体" w:hAnsi="宋体" w:cs="宋体"/>
          <w:color w:val="auto"/>
          <w:spacing w:val="3"/>
          <w:sz w:val="28"/>
          <w:szCs w:val="28"/>
          <w:highlight w:val="none"/>
        </w:rPr>
        <w:t>信息系统管理、网络和数据安全工作，派出骨干技术力量负责项目</w:t>
      </w:r>
      <w:r>
        <w:rPr>
          <w:rFonts w:hint="eastAsia" w:ascii="宋体" w:hAnsi="宋体" w:cs="宋体"/>
          <w:color w:val="auto"/>
          <w:spacing w:val="2"/>
          <w:sz w:val="28"/>
          <w:szCs w:val="28"/>
          <w:highlight w:val="none"/>
        </w:rPr>
        <w:t>的开</w:t>
      </w:r>
      <w:r>
        <w:rPr>
          <w:rFonts w:hint="eastAsia" w:ascii="宋体" w:hAnsi="宋体" w:cs="宋体"/>
          <w:color w:val="auto"/>
          <w:spacing w:val="3"/>
          <w:sz w:val="28"/>
          <w:szCs w:val="28"/>
          <w:highlight w:val="none"/>
        </w:rPr>
        <w:t>发、运维和保障工作。我单位将把应用系统安全运行情</w:t>
      </w:r>
      <w:r>
        <w:rPr>
          <w:rFonts w:hint="eastAsia" w:ascii="宋体" w:hAnsi="宋体" w:cs="宋体"/>
          <w:color w:val="auto"/>
          <w:spacing w:val="2"/>
          <w:sz w:val="28"/>
          <w:szCs w:val="28"/>
          <w:highlight w:val="none"/>
        </w:rPr>
        <w:t>况纳入对</w:t>
      </w:r>
      <w:r>
        <w:rPr>
          <w:rFonts w:hint="eastAsia" w:ascii="宋体" w:hAnsi="宋体" w:cs="宋体"/>
          <w:color w:val="auto"/>
          <w:spacing w:val="-3"/>
          <w:sz w:val="28"/>
          <w:szCs w:val="28"/>
          <w:highlight w:val="none"/>
        </w:rPr>
        <w:t>上述人员的奖惩考核范围并充分征求贵单位意见。</w:t>
      </w:r>
    </w:p>
    <w:p w14:paraId="63E3963A">
      <w:pPr>
        <w:widowControl/>
        <w:tabs>
          <w:tab w:val="left" w:pos="8620"/>
        </w:tabs>
        <w:kinsoku w:val="0"/>
        <w:autoSpaceDE w:val="0"/>
        <w:autoSpaceDN w:val="0"/>
        <w:adjustRightInd w:val="0"/>
        <w:snapToGrid w:val="0"/>
        <w:spacing w:line="520" w:lineRule="exact"/>
        <w:ind w:right="120" w:firstLine="614"/>
        <w:textAlignment w:val="baseline"/>
        <w:rPr>
          <w:rFonts w:ascii="宋体" w:hAnsi="宋体" w:cs="宋体"/>
          <w:color w:val="auto"/>
          <w:sz w:val="28"/>
          <w:szCs w:val="28"/>
          <w:highlight w:val="none"/>
        </w:rPr>
      </w:pPr>
      <w:r>
        <w:rPr>
          <w:rFonts w:hint="eastAsia" w:ascii="宋体" w:hAnsi="宋体" w:cs="宋体"/>
          <w:b/>
          <w:bCs/>
          <w:color w:val="auto"/>
          <w:spacing w:val="-5"/>
          <w:sz w:val="28"/>
          <w:szCs w:val="28"/>
          <w:highlight w:val="none"/>
        </w:rPr>
        <w:t>我单位承诺：</w:t>
      </w:r>
      <w:r>
        <w:rPr>
          <w:rFonts w:hint="eastAsia" w:ascii="宋体" w:hAnsi="宋体" w:cs="宋体"/>
          <w:color w:val="auto"/>
          <w:spacing w:val="-5"/>
          <w:sz w:val="28"/>
          <w:szCs w:val="28"/>
          <w:highlight w:val="none"/>
        </w:rPr>
        <w:t>按照国家法律法规和技术标准加</w:t>
      </w:r>
      <w:r>
        <w:rPr>
          <w:rFonts w:hint="eastAsia" w:ascii="宋体" w:hAnsi="宋体" w:cs="宋体"/>
          <w:color w:val="auto"/>
          <w:spacing w:val="-6"/>
          <w:sz w:val="28"/>
          <w:szCs w:val="28"/>
          <w:highlight w:val="none"/>
        </w:rPr>
        <w:t>强网络和数据安全技</w:t>
      </w:r>
      <w:r>
        <w:rPr>
          <w:rFonts w:hint="eastAsia" w:ascii="宋体" w:hAnsi="宋体" w:cs="宋体"/>
          <w:color w:val="auto"/>
          <w:spacing w:val="3"/>
          <w:sz w:val="28"/>
          <w:szCs w:val="28"/>
          <w:highlight w:val="none"/>
        </w:rPr>
        <w:t>术防护，确保自身和相关供应链的网络和数据安全，积极配合贵单位和国家涉网监管部门组织的检查、检测等工作。与贵单位官</w:t>
      </w:r>
      <w:r>
        <w:rPr>
          <w:rFonts w:hint="eastAsia" w:ascii="宋体" w:hAnsi="宋体" w:cs="宋体"/>
          <w:color w:val="auto"/>
          <w:spacing w:val="2"/>
          <w:sz w:val="28"/>
          <w:szCs w:val="28"/>
          <w:highlight w:val="none"/>
        </w:rPr>
        <w:t>方网络和数据</w:t>
      </w:r>
      <w:r>
        <w:rPr>
          <w:rFonts w:hint="eastAsia" w:ascii="宋体" w:hAnsi="宋体" w:cs="宋体"/>
          <w:color w:val="auto"/>
          <w:spacing w:val="3"/>
          <w:sz w:val="28"/>
          <w:szCs w:val="28"/>
          <w:highlight w:val="none"/>
        </w:rPr>
        <w:t>安全服务合作伙伴做好技术对接，确保重要网络安全态势信息互联互通。按照最小化原则管理相关权限、信息和数据</w:t>
      </w:r>
      <w:r>
        <w:rPr>
          <w:rFonts w:hint="eastAsia" w:ascii="宋体" w:hAnsi="宋体" w:cs="宋体"/>
          <w:color w:val="auto"/>
          <w:spacing w:val="2"/>
          <w:sz w:val="28"/>
          <w:szCs w:val="28"/>
          <w:highlight w:val="none"/>
        </w:rPr>
        <w:t>，对重要信息系统原则上采用双因子认证进行身份认证和授权访问。做好日</w:t>
      </w:r>
      <w:r>
        <w:rPr>
          <w:rFonts w:hint="eastAsia" w:ascii="宋体" w:hAnsi="宋体" w:cs="宋体"/>
          <w:color w:val="auto"/>
          <w:spacing w:val="-1"/>
          <w:sz w:val="28"/>
          <w:szCs w:val="28"/>
          <w:highlight w:val="none"/>
        </w:rPr>
        <w:t>常监测、技术巡检等工作，及时修复高危漏洞、关闭高危端口，</w:t>
      </w:r>
      <w:r>
        <w:rPr>
          <w:rFonts w:hint="eastAsia" w:ascii="宋体" w:hAnsi="宋体" w:cs="宋体"/>
          <w:color w:val="auto"/>
          <w:spacing w:val="3"/>
          <w:sz w:val="28"/>
          <w:szCs w:val="28"/>
          <w:highlight w:val="none"/>
        </w:rPr>
        <w:t>配备防范页面篡改、黑客攻击、病毒入侵、系统故障、数据泄露</w:t>
      </w:r>
      <w:r>
        <w:rPr>
          <w:rFonts w:hint="eastAsia" w:ascii="宋体" w:hAnsi="宋体" w:cs="宋体"/>
          <w:color w:val="auto"/>
          <w:spacing w:val="11"/>
          <w:sz w:val="28"/>
          <w:szCs w:val="28"/>
          <w:highlight w:val="none"/>
        </w:rPr>
        <w:t>等情况的技术力量，确保系统安全稳定运行。制定应急预案，并定期开展应急演练，当发生网络和数据安全事件时，应于24小时内向贵</w:t>
      </w:r>
      <w:r>
        <w:rPr>
          <w:rFonts w:hint="eastAsia" w:ascii="宋体" w:hAnsi="宋体" w:cs="宋体"/>
          <w:color w:val="auto"/>
          <w:spacing w:val="12"/>
          <w:sz w:val="28"/>
          <w:szCs w:val="28"/>
          <w:highlight w:val="none"/>
        </w:rPr>
        <w:t>单位书面反馈突发网络安全和数据安全事件处置情况。</w:t>
      </w:r>
      <w:r>
        <w:rPr>
          <w:rFonts w:hint="eastAsia" w:ascii="宋体" w:hAnsi="宋体" w:cs="宋体"/>
          <w:color w:val="auto"/>
          <w:spacing w:val="11"/>
          <w:sz w:val="28"/>
          <w:szCs w:val="28"/>
          <w:highlight w:val="none"/>
        </w:rPr>
        <w:t>留存系统日志、应用日志和行为审计日志等直至项目结束，确保网</w:t>
      </w:r>
      <w:r>
        <w:rPr>
          <w:rFonts w:hint="eastAsia" w:ascii="宋体" w:hAnsi="宋体" w:cs="宋体"/>
          <w:color w:val="auto"/>
          <w:spacing w:val="10"/>
          <w:sz w:val="28"/>
          <w:szCs w:val="28"/>
          <w:highlight w:val="none"/>
        </w:rPr>
        <w:t>络访问</w:t>
      </w:r>
      <w:r>
        <w:rPr>
          <w:rFonts w:hint="eastAsia" w:ascii="宋体" w:hAnsi="宋体" w:cs="宋体"/>
          <w:color w:val="auto"/>
          <w:spacing w:val="13"/>
          <w:sz w:val="28"/>
          <w:szCs w:val="28"/>
          <w:highlight w:val="none"/>
        </w:rPr>
        <w:t>行为可记录、可追溯。系统运行结束后按照贵单位的要求处置相</w:t>
      </w:r>
      <w:r>
        <w:rPr>
          <w:rFonts w:hint="eastAsia" w:ascii="宋体" w:hAnsi="宋体" w:cs="宋体"/>
          <w:color w:val="auto"/>
          <w:spacing w:val="8"/>
          <w:sz w:val="28"/>
          <w:szCs w:val="28"/>
          <w:highlight w:val="none"/>
        </w:rPr>
        <w:t>关数据，确保系统安全关停。</w:t>
      </w:r>
    </w:p>
    <w:p w14:paraId="2D070923">
      <w:pPr>
        <w:widowControl/>
        <w:kinsoku w:val="0"/>
        <w:autoSpaceDE w:val="0"/>
        <w:autoSpaceDN w:val="0"/>
        <w:adjustRightInd w:val="0"/>
        <w:snapToGrid w:val="0"/>
        <w:spacing w:line="520" w:lineRule="exact"/>
        <w:ind w:firstLine="624"/>
        <w:textAlignment w:val="baseline"/>
        <w:rPr>
          <w:rFonts w:ascii="宋体" w:hAnsi="宋体" w:cs="宋体"/>
          <w:color w:val="auto"/>
          <w:spacing w:val="12"/>
          <w:sz w:val="28"/>
          <w:szCs w:val="28"/>
          <w:highlight w:val="none"/>
        </w:rPr>
      </w:pPr>
      <w:r>
        <w:rPr>
          <w:rFonts w:hint="eastAsia" w:ascii="宋体" w:hAnsi="宋体" w:cs="宋体"/>
          <w:b/>
          <w:bCs/>
          <w:color w:val="auto"/>
          <w:spacing w:val="12"/>
          <w:sz w:val="28"/>
          <w:szCs w:val="28"/>
          <w:highlight w:val="none"/>
        </w:rPr>
        <w:t>我单位确认：</w:t>
      </w:r>
      <w:r>
        <w:rPr>
          <w:rFonts w:hint="eastAsia" w:ascii="宋体" w:hAnsi="宋体" w:cs="宋体"/>
          <w:color w:val="auto"/>
          <w:spacing w:val="12"/>
          <w:sz w:val="28"/>
          <w:szCs w:val="28"/>
          <w:highlight w:val="none"/>
        </w:rPr>
        <w:t>已对该项目暴露在互联网上的系统测试账号、</w:t>
      </w:r>
      <w:r>
        <w:rPr>
          <w:rFonts w:hint="eastAsia" w:ascii="宋体" w:hAnsi="宋体" w:cs="宋体"/>
          <w:color w:val="auto"/>
          <w:spacing w:val="13"/>
          <w:sz w:val="28"/>
          <w:szCs w:val="28"/>
          <w:highlight w:val="none"/>
        </w:rPr>
        <w:t>配置文件、系统数据、测试环境、试运行环境、密码记录、源代</w:t>
      </w:r>
      <w:r>
        <w:rPr>
          <w:rFonts w:hint="eastAsia" w:ascii="宋体" w:hAnsi="宋体" w:cs="宋体"/>
          <w:color w:val="auto"/>
          <w:spacing w:val="7"/>
          <w:sz w:val="28"/>
          <w:szCs w:val="28"/>
          <w:highlight w:val="none"/>
        </w:rPr>
        <w:t>码（包括</w:t>
      </w:r>
      <w:r>
        <w:rPr>
          <w:rFonts w:hint="eastAsia" w:ascii="宋体" w:hAnsi="宋体" w:cs="宋体"/>
          <w:color w:val="auto"/>
          <w:sz w:val="28"/>
          <w:szCs w:val="28"/>
          <w:highlight w:val="none"/>
        </w:rPr>
        <w:t>github</w:t>
      </w:r>
      <w:r>
        <w:rPr>
          <w:rFonts w:hint="eastAsia" w:ascii="宋体" w:hAnsi="宋体" w:cs="宋体"/>
          <w:color w:val="auto"/>
          <w:spacing w:val="7"/>
          <w:sz w:val="28"/>
          <w:szCs w:val="28"/>
          <w:highlight w:val="none"/>
        </w:rPr>
        <w:t>、</w:t>
      </w:r>
      <w:r>
        <w:rPr>
          <w:rFonts w:hint="eastAsia" w:ascii="宋体" w:hAnsi="宋体" w:cs="宋体"/>
          <w:color w:val="auto"/>
          <w:sz w:val="28"/>
          <w:szCs w:val="28"/>
          <w:highlight w:val="none"/>
        </w:rPr>
        <w:t>gitlab</w:t>
      </w:r>
      <w:r>
        <w:rPr>
          <w:rFonts w:hint="eastAsia" w:ascii="宋体" w:hAnsi="宋体" w:cs="宋体"/>
          <w:color w:val="auto"/>
          <w:spacing w:val="7"/>
          <w:sz w:val="28"/>
          <w:szCs w:val="28"/>
          <w:highlight w:val="none"/>
        </w:rPr>
        <w:t>等）、弱口令、技术方案等与项目</w:t>
      </w:r>
      <w:r>
        <w:rPr>
          <w:rFonts w:hint="eastAsia" w:ascii="宋体" w:hAnsi="宋体" w:cs="宋体"/>
          <w:color w:val="auto"/>
          <w:spacing w:val="6"/>
          <w:sz w:val="28"/>
          <w:szCs w:val="28"/>
          <w:highlight w:val="none"/>
        </w:rPr>
        <w:t>安全运</w:t>
      </w:r>
      <w:r>
        <w:rPr>
          <w:rFonts w:hint="eastAsia" w:ascii="宋体" w:hAnsi="宋体" w:cs="宋体"/>
          <w:color w:val="auto"/>
          <w:spacing w:val="12"/>
          <w:sz w:val="28"/>
          <w:szCs w:val="28"/>
          <w:highlight w:val="none"/>
        </w:rPr>
        <w:t>行无关的信息进行了清理。后续也将对上述信息进行有效管理。</w:t>
      </w:r>
    </w:p>
    <w:p w14:paraId="01F643EF">
      <w:pPr>
        <w:widowControl/>
        <w:kinsoku w:val="0"/>
        <w:autoSpaceDE w:val="0"/>
        <w:autoSpaceDN w:val="0"/>
        <w:adjustRightInd w:val="0"/>
        <w:snapToGrid w:val="0"/>
        <w:spacing w:line="520" w:lineRule="exact"/>
        <w:ind w:firstLine="624"/>
        <w:textAlignment w:val="baseline"/>
        <w:rPr>
          <w:rFonts w:ascii="宋体" w:hAnsi="宋体" w:cs="宋体"/>
          <w:color w:val="auto"/>
          <w:sz w:val="28"/>
          <w:szCs w:val="28"/>
          <w:highlight w:val="none"/>
        </w:rPr>
      </w:pPr>
      <w:r>
        <w:rPr>
          <w:rFonts w:hint="eastAsia" w:ascii="宋体" w:hAnsi="宋体" w:cs="宋体"/>
          <w:color w:val="auto"/>
          <w:spacing w:val="24"/>
          <w:sz w:val="28"/>
          <w:szCs w:val="28"/>
          <w:highlight w:val="none"/>
        </w:rPr>
        <w:t>如我单位承建信息系统发生任何网络安全事件引</w:t>
      </w:r>
      <w:r>
        <w:rPr>
          <w:rFonts w:hint="eastAsia" w:ascii="宋体" w:hAnsi="宋体" w:cs="宋体"/>
          <w:color w:val="auto"/>
          <w:spacing w:val="7"/>
          <w:sz w:val="28"/>
          <w:szCs w:val="28"/>
          <w:highlight w:val="none"/>
        </w:rPr>
        <w:t>发任何损失，我单位将采取一切可能的措施配合贵单位积极开展处置，承担相应损失，并追究相关人员责任。</w:t>
      </w:r>
    </w:p>
    <w:p w14:paraId="5F98CE7C">
      <w:pPr>
        <w:spacing w:line="520" w:lineRule="exact"/>
        <w:rPr>
          <w:rFonts w:ascii="宋体" w:hAnsi="宋体" w:cs="宋体"/>
          <w:color w:val="auto"/>
          <w:sz w:val="28"/>
          <w:szCs w:val="28"/>
          <w:highlight w:val="none"/>
        </w:rPr>
      </w:pPr>
    </w:p>
    <w:p w14:paraId="043660C4">
      <w:pPr>
        <w:spacing w:line="520" w:lineRule="exact"/>
        <w:rPr>
          <w:rFonts w:ascii="宋体" w:hAnsi="宋体" w:cs="宋体"/>
          <w:color w:val="auto"/>
          <w:sz w:val="28"/>
          <w:szCs w:val="28"/>
          <w:highlight w:val="none"/>
        </w:rPr>
      </w:pPr>
    </w:p>
    <w:p w14:paraId="352AF108">
      <w:pPr>
        <w:spacing w:line="520" w:lineRule="exact"/>
        <w:ind w:left="4534" w:firstLine="580" w:firstLineChars="200"/>
        <w:rPr>
          <w:rFonts w:ascii="宋体" w:hAnsi="宋体" w:cs="宋体"/>
          <w:color w:val="auto"/>
          <w:sz w:val="28"/>
          <w:szCs w:val="28"/>
          <w:highlight w:val="none"/>
        </w:rPr>
      </w:pPr>
      <w:r>
        <w:rPr>
          <w:rFonts w:hint="eastAsia" w:ascii="宋体" w:hAnsi="宋体" w:cs="宋体"/>
          <w:color w:val="auto"/>
          <w:spacing w:val="5"/>
          <w:sz w:val="28"/>
          <w:szCs w:val="28"/>
          <w:highlight w:val="none"/>
        </w:rPr>
        <w:t>单位名称（章）:</w:t>
      </w:r>
    </w:p>
    <w:p w14:paraId="4B6D91BA">
      <w:pPr>
        <w:spacing w:line="520" w:lineRule="exact"/>
        <w:ind w:left="4534" w:firstLine="480" w:firstLineChars="200"/>
        <w:rPr>
          <w:rFonts w:ascii="宋体" w:hAnsi="宋体" w:cs="宋体"/>
          <w:color w:val="auto"/>
          <w:spacing w:val="-20"/>
          <w:sz w:val="32"/>
          <w:szCs w:val="32"/>
          <w:highlight w:val="none"/>
        </w:rPr>
      </w:pPr>
      <w:r>
        <w:rPr>
          <w:rFonts w:hint="eastAsia" w:ascii="宋体" w:hAnsi="宋体" w:cs="宋体"/>
          <w:color w:val="auto"/>
          <w:spacing w:val="-20"/>
          <w:sz w:val="28"/>
          <w:szCs w:val="28"/>
          <w:highlight w:val="none"/>
        </w:rPr>
        <w:t xml:space="preserve">  年    月    日</w:t>
      </w:r>
    </w:p>
    <w:p w14:paraId="457C73E5">
      <w:pPr>
        <w:pStyle w:val="11"/>
        <w:rPr>
          <w:color w:val="auto"/>
          <w:highlight w:val="none"/>
        </w:rPr>
      </w:pPr>
    </w:p>
    <w:p w14:paraId="52770489">
      <w:pPr>
        <w:rPr>
          <w:color w:val="auto"/>
          <w:highlight w:val="none"/>
        </w:rPr>
      </w:pPr>
    </w:p>
    <w:p w14:paraId="3AF5EEA3">
      <w:pPr>
        <w:pStyle w:val="11"/>
        <w:rPr>
          <w:color w:val="auto"/>
          <w:highlight w:val="none"/>
        </w:rPr>
      </w:pPr>
    </w:p>
    <w:p w14:paraId="07D0A827">
      <w:pPr>
        <w:rPr>
          <w:color w:val="auto"/>
          <w:highlight w:val="none"/>
        </w:rPr>
      </w:pPr>
    </w:p>
    <w:p w14:paraId="6ACF97D6">
      <w:pPr>
        <w:pStyle w:val="11"/>
        <w:rPr>
          <w:color w:val="auto"/>
          <w:highlight w:val="none"/>
        </w:rPr>
      </w:pPr>
    </w:p>
    <w:p w14:paraId="3900EB5F">
      <w:pPr>
        <w:rPr>
          <w:color w:val="auto"/>
          <w:highlight w:val="none"/>
        </w:rPr>
      </w:pPr>
    </w:p>
    <w:p w14:paraId="73527473">
      <w:pPr>
        <w:pStyle w:val="11"/>
        <w:rPr>
          <w:color w:val="auto"/>
          <w:highlight w:val="none"/>
        </w:rPr>
      </w:pPr>
    </w:p>
    <w:p w14:paraId="3D4A50EB">
      <w:pPr>
        <w:rPr>
          <w:color w:val="auto"/>
          <w:highlight w:val="none"/>
        </w:rPr>
      </w:pPr>
    </w:p>
    <w:p w14:paraId="670F2BFF">
      <w:pPr>
        <w:pStyle w:val="11"/>
        <w:rPr>
          <w:color w:val="auto"/>
          <w:highlight w:val="none"/>
        </w:rPr>
      </w:pPr>
    </w:p>
    <w:p w14:paraId="4C17D3AA">
      <w:pPr>
        <w:rPr>
          <w:color w:val="auto"/>
          <w:highlight w:val="none"/>
        </w:rPr>
      </w:pPr>
    </w:p>
    <w:p w14:paraId="49200E87">
      <w:pPr>
        <w:pStyle w:val="11"/>
        <w:rPr>
          <w:color w:val="auto"/>
          <w:highlight w:val="none"/>
        </w:rPr>
      </w:pPr>
    </w:p>
    <w:p w14:paraId="6DDA2EDA">
      <w:pPr>
        <w:rPr>
          <w:color w:val="auto"/>
          <w:highlight w:val="none"/>
        </w:rPr>
      </w:pPr>
    </w:p>
    <w:p w14:paraId="66444AEB">
      <w:pPr>
        <w:pStyle w:val="11"/>
        <w:rPr>
          <w:color w:val="auto"/>
          <w:highlight w:val="none"/>
        </w:rPr>
      </w:pPr>
    </w:p>
    <w:p w14:paraId="64FAFE99">
      <w:pPr>
        <w:rPr>
          <w:color w:val="auto"/>
          <w:highlight w:val="none"/>
        </w:rPr>
      </w:pPr>
    </w:p>
    <w:p w14:paraId="0C061CA3">
      <w:pPr>
        <w:pStyle w:val="11"/>
        <w:rPr>
          <w:color w:val="auto"/>
          <w:highlight w:val="none"/>
        </w:rPr>
      </w:pPr>
    </w:p>
    <w:p w14:paraId="61853FA7">
      <w:pPr>
        <w:rPr>
          <w:color w:val="auto"/>
          <w:highlight w:val="none"/>
        </w:rPr>
      </w:pPr>
    </w:p>
    <w:p w14:paraId="4FE7CA7A">
      <w:pPr>
        <w:pStyle w:val="11"/>
        <w:rPr>
          <w:color w:val="auto"/>
          <w:highlight w:val="none"/>
        </w:rPr>
      </w:pPr>
    </w:p>
    <w:p w14:paraId="0A4F77E0">
      <w:pPr>
        <w:rPr>
          <w:color w:val="auto"/>
          <w:highlight w:val="none"/>
        </w:rPr>
      </w:pPr>
    </w:p>
    <w:p w14:paraId="25B67FC7">
      <w:pPr>
        <w:pStyle w:val="11"/>
        <w:rPr>
          <w:color w:val="auto"/>
          <w:highlight w:val="none"/>
        </w:rPr>
      </w:pPr>
    </w:p>
    <w:p w14:paraId="6550BFFF">
      <w:pPr>
        <w:rPr>
          <w:color w:val="auto"/>
          <w:highlight w:val="none"/>
        </w:rPr>
      </w:pPr>
    </w:p>
    <w:p w14:paraId="65E27725">
      <w:pPr>
        <w:pStyle w:val="11"/>
        <w:rPr>
          <w:color w:val="auto"/>
          <w:highlight w:val="none"/>
        </w:rPr>
      </w:pPr>
    </w:p>
    <w:p w14:paraId="3C01BAA8">
      <w:pPr>
        <w:rPr>
          <w:color w:val="auto"/>
          <w:highlight w:val="none"/>
        </w:rPr>
      </w:pPr>
    </w:p>
    <w:p w14:paraId="29628E4F">
      <w:pPr>
        <w:pStyle w:val="11"/>
        <w:rPr>
          <w:color w:val="auto"/>
          <w:highlight w:val="none"/>
        </w:rPr>
      </w:pPr>
    </w:p>
    <w:p w14:paraId="44FA26EB">
      <w:pPr>
        <w:pStyle w:val="11"/>
        <w:rPr>
          <w:color w:val="auto"/>
          <w:highlight w:val="none"/>
        </w:rPr>
      </w:pPr>
    </w:p>
    <w:p w14:paraId="4BB3E461">
      <w:pPr>
        <w:rPr>
          <w:color w:val="auto"/>
          <w:highlight w:val="none"/>
        </w:rPr>
      </w:pPr>
    </w:p>
    <w:p w14:paraId="4F4D435D">
      <w:pPr>
        <w:jc w:val="center"/>
        <w:rPr>
          <w:rFonts w:ascii="宋体" w:hAnsi="宋体" w:cs="宋体"/>
          <w:b/>
          <w:bCs/>
          <w:color w:val="auto"/>
          <w:sz w:val="32"/>
          <w:szCs w:val="32"/>
          <w:highlight w:val="none"/>
        </w:rPr>
      </w:pPr>
    </w:p>
    <w:p w14:paraId="58CE2AA6">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14:paraId="7B114A8A">
      <w:pPr>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三门县公安局机房升级改造项目（二次）</w:t>
      </w:r>
    </w:p>
    <w:p w14:paraId="61657F2D">
      <w:pPr>
        <w:pStyle w:val="11"/>
        <w:rPr>
          <w:color w:val="auto"/>
          <w:highlight w:val="none"/>
        </w:rPr>
      </w:pPr>
    </w:p>
    <w:p w14:paraId="0DCCC2AF">
      <w:pPr>
        <w:jc w:val="center"/>
        <w:rPr>
          <w:rFonts w:ascii="宋体" w:hAnsi="宋体" w:cs="宋体"/>
          <w:b/>
          <w:bCs/>
          <w:color w:val="auto"/>
          <w:sz w:val="32"/>
          <w:szCs w:val="32"/>
          <w:highlight w:val="none"/>
        </w:rPr>
      </w:pPr>
      <w:r>
        <w:rPr>
          <w:rFonts w:ascii="宋体" w:hAnsi="宋体" w:cs="宋体"/>
          <w:b/>
          <w:bCs/>
          <w:color w:val="auto"/>
          <w:sz w:val="32"/>
          <w:szCs w:val="32"/>
          <w:highlight w:val="none"/>
        </w:rPr>
        <w:t>信息技术服务人员网络和数据安全承诺</w:t>
      </w:r>
      <w:r>
        <w:rPr>
          <w:rFonts w:hint="eastAsia" w:ascii="宋体" w:hAnsi="宋体" w:cs="宋体"/>
          <w:b/>
          <w:bCs/>
          <w:color w:val="auto"/>
          <w:sz w:val="32"/>
          <w:szCs w:val="32"/>
          <w:highlight w:val="none"/>
        </w:rPr>
        <w:t>书</w:t>
      </w:r>
    </w:p>
    <w:p w14:paraId="0355652E">
      <w:pPr>
        <w:spacing w:line="520" w:lineRule="exact"/>
        <w:rPr>
          <w:rFonts w:eastAsia="仿宋_GB2312"/>
          <w:b/>
          <w:bCs/>
          <w:color w:val="auto"/>
          <w:spacing w:val="-3"/>
          <w:sz w:val="32"/>
          <w:szCs w:val="32"/>
          <w:highlight w:val="none"/>
          <w:u w:val="single"/>
        </w:rPr>
      </w:pPr>
    </w:p>
    <w:p w14:paraId="7E1752A0">
      <w:pPr>
        <w:spacing w:line="520" w:lineRule="exact"/>
        <w:rPr>
          <w:rFonts w:ascii="宋体" w:hAnsi="宋体" w:cs="宋体"/>
          <w:color w:val="auto"/>
          <w:sz w:val="28"/>
          <w:szCs w:val="28"/>
          <w:highlight w:val="none"/>
        </w:rPr>
      </w:pPr>
      <w:r>
        <w:rPr>
          <w:rFonts w:hint="eastAsia" w:ascii="宋体" w:hAnsi="宋体" w:cs="宋体"/>
          <w:b/>
          <w:bCs/>
          <w:color w:val="auto"/>
          <w:spacing w:val="-3"/>
          <w:sz w:val="28"/>
          <w:szCs w:val="28"/>
          <w:highlight w:val="none"/>
          <w:u w:val="single"/>
        </w:rPr>
        <w:t xml:space="preserve">               ：</w:t>
      </w:r>
    </w:p>
    <w:p w14:paraId="5FC9B7D1">
      <w:pPr>
        <w:widowControl/>
        <w:kinsoku w:val="0"/>
        <w:autoSpaceDE w:val="0"/>
        <w:autoSpaceDN w:val="0"/>
        <w:adjustRightInd w:val="0"/>
        <w:snapToGrid w:val="0"/>
        <w:spacing w:line="520" w:lineRule="exact"/>
        <w:ind w:firstLine="572" w:firstLineChars="200"/>
        <w:textAlignment w:val="baseline"/>
        <w:rPr>
          <w:rFonts w:ascii="宋体" w:hAnsi="宋体" w:cs="宋体"/>
          <w:color w:val="auto"/>
          <w:sz w:val="28"/>
          <w:szCs w:val="28"/>
          <w:highlight w:val="none"/>
        </w:rPr>
      </w:pPr>
      <w:r>
        <w:rPr>
          <w:rFonts w:hint="eastAsia" w:ascii="宋体" w:hAnsi="宋体" w:cs="宋体"/>
          <w:color w:val="auto"/>
          <w:spacing w:val="3"/>
          <w:sz w:val="28"/>
          <w:szCs w:val="28"/>
          <w:highlight w:val="none"/>
        </w:rPr>
        <w:t>本人已认真</w:t>
      </w:r>
      <w:r>
        <w:rPr>
          <w:rFonts w:hint="eastAsia" w:ascii="宋体" w:hAnsi="宋体" w:cs="宋体"/>
          <w:color w:val="auto"/>
          <w:spacing w:val="2"/>
          <w:sz w:val="28"/>
          <w:szCs w:val="28"/>
          <w:highlight w:val="none"/>
        </w:rPr>
        <w:t>阅读并将持续学习 《网络和数据安全管理办法》等网络和数据安全管理规程和政策流程文件。本人对个人掌握的信息系统权限负责，不向他人泄露或共享本人所有的系统权限。提升安全意识、注重用网安全，确保本人管理的权限、账号以及计算机终端安全。如工作岗</w:t>
      </w:r>
      <w:r>
        <w:rPr>
          <w:rFonts w:hint="eastAsia" w:ascii="宋体" w:hAnsi="宋体" w:cs="宋体"/>
          <w:color w:val="auto"/>
          <w:spacing w:val="-2"/>
          <w:sz w:val="28"/>
          <w:szCs w:val="28"/>
          <w:highlight w:val="none"/>
        </w:rPr>
        <w:t>位发生调整，本人将及时做好必要的交接程序。</w:t>
      </w:r>
    </w:p>
    <w:p w14:paraId="589DA8DD">
      <w:pPr>
        <w:widowControl/>
        <w:kinsoku w:val="0"/>
        <w:autoSpaceDE w:val="0"/>
        <w:autoSpaceDN w:val="0"/>
        <w:adjustRightInd w:val="0"/>
        <w:snapToGrid w:val="0"/>
        <w:spacing w:line="520" w:lineRule="exact"/>
        <w:ind w:firstLine="624"/>
        <w:textAlignment w:val="baseline"/>
        <w:rPr>
          <w:rFonts w:ascii="宋体" w:hAnsi="宋体" w:cs="宋体"/>
          <w:color w:val="auto"/>
          <w:sz w:val="28"/>
          <w:szCs w:val="28"/>
          <w:highlight w:val="none"/>
        </w:rPr>
      </w:pPr>
      <w:r>
        <w:rPr>
          <w:rFonts w:hint="eastAsia" w:ascii="宋体" w:hAnsi="宋体" w:cs="宋体"/>
          <w:b/>
          <w:bCs/>
          <w:color w:val="auto"/>
          <w:spacing w:val="-16"/>
          <w:sz w:val="28"/>
          <w:szCs w:val="28"/>
          <w:highlight w:val="none"/>
        </w:rPr>
        <w:t>本人承诺：</w:t>
      </w:r>
      <w:r>
        <w:rPr>
          <w:rFonts w:hint="eastAsia" w:ascii="宋体" w:hAnsi="宋体" w:cs="宋体"/>
          <w:color w:val="auto"/>
          <w:spacing w:val="-16"/>
          <w:sz w:val="28"/>
          <w:szCs w:val="28"/>
          <w:highlight w:val="none"/>
        </w:rPr>
        <w:t>遵守《网络安全法》《数据安全法》《保密法》等</w:t>
      </w:r>
      <w:r>
        <w:rPr>
          <w:rFonts w:hint="eastAsia" w:ascii="宋体" w:hAnsi="宋体" w:cs="宋体"/>
          <w:color w:val="auto"/>
          <w:spacing w:val="1"/>
          <w:sz w:val="28"/>
          <w:szCs w:val="28"/>
          <w:highlight w:val="none"/>
        </w:rPr>
        <w:t>国家法律法规及标准规范，遵守项目组和单位的各项网络安全管</w:t>
      </w:r>
      <w:r>
        <w:rPr>
          <w:rFonts w:hint="eastAsia" w:ascii="宋体" w:hAnsi="宋体" w:cs="宋体"/>
          <w:color w:val="auto"/>
          <w:spacing w:val="3"/>
          <w:sz w:val="28"/>
          <w:szCs w:val="28"/>
          <w:highlight w:val="none"/>
        </w:rPr>
        <w:t>理制度和工作要求，认真做好技术服务和保障工作，不泄露贵单位任何数据，确保信息系</w:t>
      </w:r>
      <w:r>
        <w:rPr>
          <w:rFonts w:hint="eastAsia" w:ascii="宋体" w:hAnsi="宋体" w:cs="宋体"/>
          <w:color w:val="auto"/>
          <w:spacing w:val="2"/>
          <w:sz w:val="28"/>
          <w:szCs w:val="28"/>
          <w:highlight w:val="none"/>
        </w:rPr>
        <w:t>统安全稳定运行。及时向项目组报告信息系统的重大变更</w:t>
      </w:r>
      <w:r>
        <w:rPr>
          <w:rFonts w:hint="eastAsia" w:ascii="宋体" w:hAnsi="宋体" w:cs="宋体"/>
          <w:color w:val="auto"/>
          <w:spacing w:val="1"/>
          <w:sz w:val="28"/>
          <w:szCs w:val="28"/>
          <w:highlight w:val="none"/>
        </w:rPr>
        <w:t>、重要</w:t>
      </w:r>
      <w:r>
        <w:rPr>
          <w:rFonts w:hint="eastAsia" w:ascii="宋体" w:hAnsi="宋体" w:cs="宋体"/>
          <w:color w:val="auto"/>
          <w:spacing w:val="3"/>
          <w:sz w:val="28"/>
          <w:szCs w:val="28"/>
          <w:highlight w:val="none"/>
        </w:rPr>
        <w:t>操作、运行态势等重要信息，积极配合各类网络安全检</w:t>
      </w:r>
      <w:r>
        <w:rPr>
          <w:rFonts w:hint="eastAsia" w:ascii="宋体" w:hAnsi="宋体" w:cs="宋体"/>
          <w:color w:val="auto"/>
          <w:spacing w:val="2"/>
          <w:sz w:val="28"/>
          <w:szCs w:val="28"/>
          <w:highlight w:val="none"/>
        </w:rPr>
        <w:t>查、检测</w:t>
      </w:r>
      <w:r>
        <w:rPr>
          <w:rFonts w:hint="eastAsia" w:ascii="宋体" w:hAnsi="宋体" w:cs="宋体"/>
          <w:color w:val="auto"/>
          <w:spacing w:val="-2"/>
          <w:sz w:val="28"/>
          <w:szCs w:val="28"/>
          <w:highlight w:val="none"/>
        </w:rPr>
        <w:t>和演练工作确保不发生网络安全事件。</w:t>
      </w:r>
    </w:p>
    <w:p w14:paraId="3363FB41">
      <w:pPr>
        <w:widowControl/>
        <w:kinsoku w:val="0"/>
        <w:autoSpaceDE w:val="0"/>
        <w:autoSpaceDN w:val="0"/>
        <w:adjustRightInd w:val="0"/>
        <w:snapToGrid w:val="0"/>
        <w:spacing w:line="520" w:lineRule="exact"/>
        <w:ind w:firstLine="624"/>
        <w:textAlignment w:val="baseline"/>
        <w:rPr>
          <w:rFonts w:ascii="宋体" w:hAnsi="宋体" w:cs="宋体"/>
          <w:color w:val="auto"/>
          <w:sz w:val="28"/>
          <w:szCs w:val="28"/>
          <w:highlight w:val="none"/>
        </w:rPr>
      </w:pPr>
      <w:r>
        <w:rPr>
          <w:rFonts w:hint="eastAsia" w:ascii="宋体" w:hAnsi="宋体" w:cs="宋体"/>
          <w:b/>
          <w:bCs/>
          <w:color w:val="auto"/>
          <w:spacing w:val="-15"/>
          <w:sz w:val="28"/>
          <w:szCs w:val="28"/>
          <w:highlight w:val="none"/>
        </w:rPr>
        <w:t>本人同意：</w:t>
      </w:r>
      <w:r>
        <w:rPr>
          <w:rFonts w:hint="eastAsia" w:ascii="宋体" w:hAnsi="宋体" w:cs="宋体"/>
          <w:color w:val="auto"/>
          <w:spacing w:val="-15"/>
          <w:sz w:val="28"/>
          <w:szCs w:val="28"/>
          <w:highlight w:val="none"/>
        </w:rPr>
        <w:t xml:space="preserve">把 </w:t>
      </w:r>
      <w:r>
        <w:rPr>
          <w:rFonts w:hint="eastAsia" w:ascii="宋体" w:hAnsi="宋体" w:cs="宋体"/>
          <w:color w:val="auto"/>
          <w:spacing w:val="2"/>
          <w:sz w:val="28"/>
          <w:szCs w:val="28"/>
          <w:highlight w:val="none"/>
          <w:u w:val="single"/>
        </w:rPr>
        <w:t xml:space="preserve">               </w:t>
      </w:r>
      <w:r>
        <w:rPr>
          <w:rFonts w:hint="eastAsia" w:ascii="宋体" w:hAnsi="宋体" w:cs="宋体"/>
          <w:color w:val="auto"/>
          <w:spacing w:val="-15"/>
          <w:sz w:val="28"/>
          <w:szCs w:val="28"/>
          <w:highlight w:val="none"/>
        </w:rPr>
        <w:t>安全运行情况纳</w:t>
      </w:r>
      <w:r>
        <w:rPr>
          <w:rFonts w:hint="eastAsia" w:ascii="宋体" w:hAnsi="宋体" w:cs="宋体"/>
          <w:color w:val="auto"/>
          <w:spacing w:val="2"/>
          <w:sz w:val="28"/>
          <w:szCs w:val="28"/>
          <w:highlight w:val="none"/>
        </w:rPr>
        <w:t>入本单位对本人的奖惩考核范围。如我单位承建信息系统发生任</w:t>
      </w:r>
      <w:r>
        <w:rPr>
          <w:rFonts w:hint="eastAsia" w:ascii="宋体" w:hAnsi="宋体" w:cs="宋体"/>
          <w:color w:val="auto"/>
          <w:spacing w:val="3"/>
          <w:sz w:val="28"/>
          <w:szCs w:val="28"/>
          <w:highlight w:val="none"/>
        </w:rPr>
        <w:t>何网络安全事件引发任何损失，本人将采取一切可能的措施积极</w:t>
      </w:r>
      <w:r>
        <w:rPr>
          <w:rFonts w:hint="eastAsia" w:ascii="宋体" w:hAnsi="宋体" w:cs="宋体"/>
          <w:color w:val="auto"/>
          <w:spacing w:val="-10"/>
          <w:sz w:val="28"/>
          <w:szCs w:val="28"/>
          <w:highlight w:val="none"/>
        </w:rPr>
        <w:t>开展处置。</w:t>
      </w:r>
    </w:p>
    <w:p w14:paraId="1DAAC5B5">
      <w:pPr>
        <w:spacing w:line="520" w:lineRule="exact"/>
        <w:rPr>
          <w:rFonts w:ascii="宋体" w:hAnsi="宋体" w:cs="宋体"/>
          <w:color w:val="auto"/>
          <w:sz w:val="28"/>
          <w:szCs w:val="28"/>
          <w:highlight w:val="none"/>
        </w:rPr>
      </w:pPr>
    </w:p>
    <w:p w14:paraId="3B6F631B">
      <w:pPr>
        <w:spacing w:line="520" w:lineRule="exact"/>
        <w:ind w:left="4665"/>
        <w:rPr>
          <w:rFonts w:ascii="宋体" w:hAnsi="宋体" w:cs="宋体"/>
          <w:color w:val="auto"/>
          <w:sz w:val="28"/>
          <w:szCs w:val="28"/>
          <w:highlight w:val="none"/>
        </w:rPr>
      </w:pPr>
      <w:r>
        <w:rPr>
          <w:rFonts w:hint="eastAsia" w:ascii="宋体" w:hAnsi="宋体" w:cs="宋体"/>
          <w:color w:val="auto"/>
          <w:sz w:val="28"/>
          <w:szCs w:val="28"/>
          <w:highlight w:val="none"/>
        </w:rPr>
        <w:t>承诺人（签字）:</w:t>
      </w:r>
    </w:p>
    <w:p w14:paraId="3B39DF0C">
      <w:pPr>
        <w:pStyle w:val="11"/>
        <w:rPr>
          <w:color w:val="auto"/>
          <w:highlight w:val="none"/>
        </w:rPr>
      </w:pPr>
    </w:p>
    <w:p w14:paraId="362E99D7">
      <w:pPr>
        <w:pStyle w:val="11"/>
        <w:jc w:val="center"/>
        <w:rPr>
          <w:rFonts w:ascii="宋体" w:hAnsi="宋体" w:cs="宋体"/>
          <w:color w:val="auto"/>
          <w:spacing w:val="16"/>
          <w:sz w:val="28"/>
          <w:szCs w:val="28"/>
          <w:highlight w:val="none"/>
        </w:rPr>
      </w:pPr>
      <w:r>
        <w:rPr>
          <w:rFonts w:hint="eastAsia" w:ascii="宋体" w:hAnsi="宋体" w:cs="宋体"/>
          <w:color w:val="auto"/>
          <w:spacing w:val="-20"/>
          <w:sz w:val="28"/>
          <w:szCs w:val="28"/>
          <w:highlight w:val="none"/>
        </w:rPr>
        <w:t xml:space="preserve">                              年</w:t>
      </w:r>
      <w:r>
        <w:rPr>
          <w:rFonts w:hint="eastAsia" w:ascii="宋体" w:hAnsi="宋体" w:cs="宋体"/>
          <w:color w:val="auto"/>
          <w:spacing w:val="11"/>
          <w:sz w:val="28"/>
          <w:szCs w:val="28"/>
          <w:highlight w:val="none"/>
        </w:rPr>
        <w:t xml:space="preserve">   </w:t>
      </w:r>
      <w:r>
        <w:rPr>
          <w:rFonts w:hint="eastAsia" w:ascii="宋体" w:hAnsi="宋体" w:cs="宋体"/>
          <w:color w:val="auto"/>
          <w:spacing w:val="-20"/>
          <w:sz w:val="28"/>
          <w:szCs w:val="28"/>
          <w:highlight w:val="none"/>
        </w:rPr>
        <w:t>月</w:t>
      </w:r>
      <w:r>
        <w:rPr>
          <w:rFonts w:hint="eastAsia" w:ascii="宋体" w:hAnsi="宋体" w:cs="宋体"/>
          <w:color w:val="auto"/>
          <w:spacing w:val="16"/>
          <w:sz w:val="28"/>
          <w:szCs w:val="28"/>
          <w:highlight w:val="none"/>
        </w:rPr>
        <w:t xml:space="preserve">   日</w:t>
      </w:r>
    </w:p>
    <w:p w14:paraId="34D095B6">
      <w:pPr>
        <w:rPr>
          <w:rFonts w:asciiTheme="majorEastAsia" w:hAnsiTheme="majorEastAsia" w:eastAsiaTheme="majorEastAsia"/>
          <w:b/>
          <w:color w:val="auto"/>
          <w:kern w:val="0"/>
          <w:sz w:val="32"/>
          <w:szCs w:val="32"/>
          <w:highlight w:val="none"/>
        </w:rPr>
      </w:pPr>
      <w:r>
        <w:rPr>
          <w:rFonts w:hint="eastAsia" w:asciiTheme="majorEastAsia" w:hAnsiTheme="majorEastAsia" w:eastAsiaTheme="majorEastAsia"/>
          <w:b/>
          <w:color w:val="auto"/>
          <w:kern w:val="0"/>
          <w:sz w:val="32"/>
          <w:szCs w:val="32"/>
          <w:highlight w:val="none"/>
        </w:rPr>
        <w:br w:type="page"/>
      </w:r>
    </w:p>
    <w:p w14:paraId="410C4155">
      <w:pPr>
        <w:numPr>
          <w:ilvl w:val="0"/>
          <w:numId w:val="4"/>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2"/>
          <w:szCs w:val="32"/>
          <w:highlight w:val="none"/>
        </w:rPr>
      </w:pPr>
      <w:bookmarkStart w:id="18" w:name="_Toc1716"/>
      <w:r>
        <w:rPr>
          <w:rFonts w:hint="eastAsia" w:asciiTheme="majorEastAsia" w:hAnsiTheme="majorEastAsia" w:eastAsiaTheme="majorEastAsia"/>
          <w:b/>
          <w:color w:val="auto"/>
          <w:kern w:val="0"/>
          <w:sz w:val="32"/>
          <w:szCs w:val="32"/>
          <w:highlight w:val="none"/>
        </w:rPr>
        <w:t>投标文件格式</w:t>
      </w:r>
      <w:bookmarkEnd w:id="17"/>
      <w:bookmarkEnd w:id="18"/>
    </w:p>
    <w:p w14:paraId="0E332808">
      <w:pPr>
        <w:rPr>
          <w:rFonts w:ascii="宋体" w:hAnsi="宋体"/>
          <w:b/>
          <w:color w:val="auto"/>
          <w:sz w:val="30"/>
          <w:szCs w:val="30"/>
          <w:highlight w:val="none"/>
        </w:rPr>
      </w:pPr>
    </w:p>
    <w:p w14:paraId="5B937FB0">
      <w:pPr>
        <w:rPr>
          <w:rFonts w:ascii="宋体" w:hAnsi="宋体"/>
          <w:b/>
          <w:color w:val="auto"/>
          <w:kern w:val="0"/>
          <w:sz w:val="28"/>
          <w:szCs w:val="28"/>
          <w:highlight w:val="none"/>
        </w:rPr>
      </w:pPr>
      <w:r>
        <w:rPr>
          <w:rFonts w:hint="eastAsia" w:ascii="宋体" w:hAnsi="宋体"/>
          <w:color w:val="auto"/>
          <w:sz w:val="30"/>
          <w:szCs w:val="30"/>
          <w:highlight w:val="none"/>
        </w:rPr>
        <w:t xml:space="preserve"> 　　　</w:t>
      </w:r>
    </w:p>
    <w:p w14:paraId="44967966">
      <w:pPr>
        <w:spacing w:line="360" w:lineRule="auto"/>
        <w:rPr>
          <w:rFonts w:asciiTheme="minorEastAsia" w:hAnsiTheme="minorEastAsia" w:eastAsiaTheme="minorEastAsia"/>
          <w:b/>
          <w:color w:val="auto"/>
          <w:sz w:val="30"/>
          <w:szCs w:val="30"/>
          <w:highlight w:val="none"/>
        </w:rPr>
      </w:pPr>
    </w:p>
    <w:p w14:paraId="5BBC1E90">
      <w:pPr>
        <w:jc w:val="center"/>
        <w:rPr>
          <w:color w:val="auto"/>
          <w:sz w:val="52"/>
          <w:szCs w:val="52"/>
          <w:highlight w:val="none"/>
        </w:rPr>
      </w:pPr>
      <w:bookmarkStart w:id="19" w:name="_Toc19093_WPSOffice_Level1"/>
      <w:bookmarkStart w:id="20" w:name="_Toc32372_WPSOffice_Level1"/>
      <w:bookmarkStart w:id="21" w:name="_Toc4956_WPSOffice_Level1"/>
      <w:r>
        <w:rPr>
          <w:rFonts w:hint="eastAsia"/>
          <w:color w:val="auto"/>
          <w:sz w:val="52"/>
          <w:szCs w:val="52"/>
          <w:highlight w:val="none"/>
        </w:rPr>
        <w:t>项目名称</w:t>
      </w:r>
      <w:bookmarkEnd w:id="19"/>
      <w:bookmarkEnd w:id="20"/>
      <w:bookmarkEnd w:id="21"/>
    </w:p>
    <w:p w14:paraId="5AED525A">
      <w:pPr>
        <w:pStyle w:val="26"/>
        <w:rPr>
          <w:color w:val="auto"/>
          <w:sz w:val="52"/>
          <w:szCs w:val="52"/>
          <w:highlight w:val="none"/>
        </w:rPr>
      </w:pPr>
    </w:p>
    <w:p w14:paraId="5D7D30F1">
      <w:pPr>
        <w:pStyle w:val="26"/>
        <w:rPr>
          <w:color w:val="auto"/>
          <w:sz w:val="52"/>
          <w:szCs w:val="52"/>
          <w:highlight w:val="none"/>
        </w:rPr>
      </w:pPr>
    </w:p>
    <w:p w14:paraId="26CB7D1F">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678BD37E">
      <w:pPr>
        <w:pStyle w:val="26"/>
        <w:rPr>
          <w:color w:val="auto"/>
          <w:highlight w:val="none"/>
        </w:rPr>
      </w:pPr>
    </w:p>
    <w:p w14:paraId="7A3D82AE">
      <w:pPr>
        <w:jc w:val="center"/>
        <w:rPr>
          <w:color w:val="auto"/>
          <w:sz w:val="84"/>
          <w:szCs w:val="84"/>
          <w:highlight w:val="none"/>
          <w:lang w:val="zh-CN"/>
        </w:rPr>
      </w:pPr>
      <w:r>
        <w:rPr>
          <w:rFonts w:hint="eastAsia"/>
          <w:color w:val="auto"/>
          <w:sz w:val="84"/>
          <w:szCs w:val="84"/>
          <w:highlight w:val="none"/>
          <w:lang w:val="zh-CN"/>
        </w:rPr>
        <w:t>投</w:t>
      </w:r>
    </w:p>
    <w:p w14:paraId="24CB3B5C">
      <w:pPr>
        <w:jc w:val="center"/>
        <w:rPr>
          <w:color w:val="auto"/>
          <w:sz w:val="84"/>
          <w:szCs w:val="84"/>
          <w:highlight w:val="none"/>
          <w:lang w:val="zh-CN"/>
        </w:rPr>
      </w:pPr>
      <w:r>
        <w:rPr>
          <w:rFonts w:hint="eastAsia"/>
          <w:color w:val="auto"/>
          <w:sz w:val="84"/>
          <w:szCs w:val="84"/>
          <w:highlight w:val="none"/>
          <w:lang w:val="zh-CN"/>
        </w:rPr>
        <w:t>标</w:t>
      </w:r>
    </w:p>
    <w:p w14:paraId="23B0EC80">
      <w:pPr>
        <w:jc w:val="center"/>
        <w:rPr>
          <w:color w:val="auto"/>
          <w:sz w:val="84"/>
          <w:szCs w:val="84"/>
          <w:highlight w:val="none"/>
        </w:rPr>
      </w:pPr>
      <w:r>
        <w:rPr>
          <w:rFonts w:hint="eastAsia"/>
          <w:color w:val="auto"/>
          <w:sz w:val="84"/>
          <w:szCs w:val="84"/>
          <w:highlight w:val="none"/>
          <w:lang w:val="zh-CN"/>
        </w:rPr>
        <w:t>文</w:t>
      </w:r>
    </w:p>
    <w:p w14:paraId="556DA731">
      <w:pPr>
        <w:jc w:val="center"/>
        <w:rPr>
          <w:color w:val="auto"/>
          <w:sz w:val="84"/>
          <w:szCs w:val="84"/>
          <w:highlight w:val="none"/>
          <w:lang w:val="zh-CN"/>
        </w:rPr>
      </w:pPr>
      <w:r>
        <w:rPr>
          <w:rFonts w:hint="eastAsia"/>
          <w:color w:val="auto"/>
          <w:sz w:val="84"/>
          <w:szCs w:val="84"/>
          <w:highlight w:val="none"/>
          <w:lang w:val="zh-CN"/>
        </w:rPr>
        <w:t>件</w:t>
      </w:r>
    </w:p>
    <w:p w14:paraId="6AB3E195">
      <w:pPr>
        <w:pStyle w:val="26"/>
        <w:rPr>
          <w:color w:val="auto"/>
          <w:highlight w:val="none"/>
          <w:lang w:val="zh-CN"/>
        </w:rPr>
      </w:pPr>
    </w:p>
    <w:p w14:paraId="11E208B8">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27752A6D">
      <w:pPr>
        <w:pStyle w:val="26"/>
        <w:rPr>
          <w:color w:val="auto"/>
          <w:highlight w:val="none"/>
        </w:rPr>
      </w:pPr>
    </w:p>
    <w:p w14:paraId="54E9582F">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16E8F2F2">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01BCE8A9">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47365E75">
      <w:pPr>
        <w:spacing w:line="360" w:lineRule="auto"/>
        <w:rPr>
          <w:b/>
          <w:bCs/>
          <w:color w:val="auto"/>
          <w:sz w:val="36"/>
          <w:szCs w:val="36"/>
          <w:highlight w:val="none"/>
        </w:rPr>
      </w:pPr>
    </w:p>
    <w:p w14:paraId="0BD277CA">
      <w:pPr>
        <w:spacing w:line="360" w:lineRule="auto"/>
        <w:jc w:val="center"/>
        <w:rPr>
          <w:b/>
          <w:bCs/>
          <w:color w:val="auto"/>
          <w:sz w:val="32"/>
          <w:szCs w:val="32"/>
          <w:highlight w:val="none"/>
        </w:rPr>
      </w:pPr>
    </w:p>
    <w:p w14:paraId="244A3D3A">
      <w:pPr>
        <w:spacing w:line="360" w:lineRule="auto"/>
        <w:jc w:val="center"/>
        <w:rPr>
          <w:b/>
          <w:bCs/>
          <w:color w:val="auto"/>
          <w:sz w:val="32"/>
          <w:szCs w:val="32"/>
          <w:highlight w:val="none"/>
        </w:rPr>
      </w:pPr>
      <w:r>
        <w:rPr>
          <w:rFonts w:hint="eastAsia"/>
          <w:b/>
          <w:bCs/>
          <w:color w:val="auto"/>
          <w:sz w:val="32"/>
          <w:szCs w:val="32"/>
          <w:highlight w:val="none"/>
        </w:rPr>
        <w:t>资格证明文件目录</w:t>
      </w:r>
    </w:p>
    <w:p w14:paraId="720AF84F">
      <w:pPr>
        <w:widowControl/>
        <w:numPr>
          <w:ilvl w:val="0"/>
          <w:numId w:val="10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投标声明书；（附件1）</w:t>
      </w:r>
    </w:p>
    <w:p w14:paraId="40FBBDEF">
      <w:pPr>
        <w:widowControl/>
        <w:numPr>
          <w:ilvl w:val="0"/>
          <w:numId w:val="10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授权委托书（法定代表人亲自办理投标事宜的，则无需提交)；（附件2）</w:t>
      </w:r>
    </w:p>
    <w:p w14:paraId="6BCC65AB">
      <w:pPr>
        <w:widowControl/>
        <w:numPr>
          <w:ilvl w:val="0"/>
          <w:numId w:val="10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法人或者其他组织的营业执照等证明文件，自然人的身份证明；（附件3）</w:t>
      </w:r>
    </w:p>
    <w:p w14:paraId="5F458789">
      <w:pPr>
        <w:widowControl/>
        <w:numPr>
          <w:ilvl w:val="0"/>
          <w:numId w:val="10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符合参加政府采购活动应当具备的一般条件的承诺函；（附件4）</w:t>
      </w:r>
    </w:p>
    <w:p w14:paraId="25CE13CD">
      <w:pPr>
        <w:widowControl/>
        <w:numPr>
          <w:ilvl w:val="0"/>
          <w:numId w:val="106"/>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提供采购公告中符合供应商特定条件的有效资质证书（供应商特定条件中有要求的必须提供），以及需要说明的其他资料。</w:t>
      </w:r>
    </w:p>
    <w:p w14:paraId="4B7BCBD6">
      <w:pPr>
        <w:spacing w:line="360" w:lineRule="auto"/>
        <w:ind w:left="425"/>
        <w:rPr>
          <w:color w:val="auto"/>
          <w:sz w:val="28"/>
          <w:szCs w:val="36"/>
          <w:highlight w:val="none"/>
        </w:rPr>
      </w:pPr>
    </w:p>
    <w:p w14:paraId="0DFB120C">
      <w:pPr>
        <w:spacing w:line="360" w:lineRule="auto"/>
        <w:ind w:left="420"/>
        <w:rPr>
          <w:rFonts w:ascii="宋体" w:hAnsi="宋体"/>
          <w:b/>
          <w:color w:val="auto"/>
          <w:sz w:val="28"/>
          <w:highlight w:val="none"/>
        </w:rPr>
      </w:pPr>
    </w:p>
    <w:p w14:paraId="73F00DE1">
      <w:pPr>
        <w:pStyle w:val="39"/>
        <w:rPr>
          <w:rFonts w:ascii="宋体" w:hAnsi="宋体"/>
          <w:b/>
          <w:color w:val="auto"/>
          <w:sz w:val="28"/>
          <w:highlight w:val="none"/>
        </w:rPr>
      </w:pPr>
    </w:p>
    <w:p w14:paraId="5B51616E">
      <w:pPr>
        <w:pStyle w:val="39"/>
        <w:rPr>
          <w:rFonts w:ascii="宋体" w:hAnsi="宋体"/>
          <w:b/>
          <w:color w:val="auto"/>
          <w:sz w:val="28"/>
          <w:highlight w:val="none"/>
        </w:rPr>
      </w:pPr>
    </w:p>
    <w:p w14:paraId="5C1399FE">
      <w:pPr>
        <w:spacing w:line="360" w:lineRule="auto"/>
        <w:ind w:left="420"/>
        <w:rPr>
          <w:rFonts w:ascii="宋体" w:hAnsi="宋体"/>
          <w:b/>
          <w:color w:val="auto"/>
          <w:sz w:val="28"/>
          <w:highlight w:val="none"/>
        </w:rPr>
      </w:pPr>
    </w:p>
    <w:p w14:paraId="770787BA">
      <w:pPr>
        <w:spacing w:line="360" w:lineRule="auto"/>
        <w:ind w:left="420"/>
        <w:rPr>
          <w:rFonts w:ascii="宋体" w:hAnsi="宋体"/>
          <w:b/>
          <w:color w:val="auto"/>
          <w:sz w:val="28"/>
          <w:highlight w:val="none"/>
        </w:rPr>
      </w:pPr>
    </w:p>
    <w:p w14:paraId="76EEDE55">
      <w:pPr>
        <w:pStyle w:val="8"/>
        <w:ind w:firstLine="0"/>
        <w:rPr>
          <w:rFonts w:ascii="宋体" w:hAnsi="宋体"/>
          <w:b/>
          <w:color w:val="auto"/>
          <w:sz w:val="28"/>
          <w:highlight w:val="none"/>
        </w:rPr>
      </w:pPr>
    </w:p>
    <w:p w14:paraId="44D45525">
      <w:pPr>
        <w:pStyle w:val="9"/>
        <w:rPr>
          <w:rFonts w:ascii="宋体" w:hAnsi="宋体"/>
          <w:b/>
          <w:color w:val="auto"/>
          <w:sz w:val="28"/>
          <w:highlight w:val="none"/>
        </w:rPr>
      </w:pPr>
    </w:p>
    <w:p w14:paraId="20D3466F">
      <w:pPr>
        <w:rPr>
          <w:rFonts w:ascii="宋体" w:hAnsi="宋体"/>
          <w:b/>
          <w:color w:val="auto"/>
          <w:sz w:val="28"/>
          <w:highlight w:val="none"/>
        </w:rPr>
      </w:pPr>
    </w:p>
    <w:p w14:paraId="6441C991">
      <w:pPr>
        <w:pStyle w:val="26"/>
        <w:rPr>
          <w:rFonts w:ascii="宋体" w:hAnsi="宋体"/>
          <w:b/>
          <w:color w:val="auto"/>
          <w:sz w:val="28"/>
          <w:highlight w:val="none"/>
        </w:rPr>
      </w:pPr>
    </w:p>
    <w:p w14:paraId="4ADEB730">
      <w:pPr>
        <w:pStyle w:val="8"/>
        <w:ind w:firstLine="0"/>
        <w:rPr>
          <w:rFonts w:ascii="宋体" w:hAnsi="宋体"/>
          <w:b/>
          <w:color w:val="auto"/>
          <w:sz w:val="28"/>
          <w:highlight w:val="none"/>
        </w:rPr>
      </w:pPr>
    </w:p>
    <w:p w14:paraId="5D267B69">
      <w:pPr>
        <w:rPr>
          <w:rFonts w:ascii="宋体" w:hAnsi="宋体"/>
          <w:b/>
          <w:color w:val="auto"/>
          <w:sz w:val="28"/>
          <w:highlight w:val="none"/>
        </w:rPr>
      </w:pPr>
      <w:bookmarkStart w:id="22" w:name="_Toc26389_WPSOffice_Level1"/>
      <w:bookmarkStart w:id="23" w:name="_Toc12331_WPSOffice_Level1"/>
      <w:bookmarkStart w:id="24" w:name="_Toc16825_WPSOffice_Level1"/>
      <w:r>
        <w:rPr>
          <w:rFonts w:hint="eastAsia" w:ascii="宋体" w:hAnsi="宋体"/>
          <w:b/>
          <w:color w:val="auto"/>
          <w:sz w:val="28"/>
          <w:highlight w:val="none"/>
        </w:rPr>
        <w:br w:type="page"/>
      </w:r>
    </w:p>
    <w:p w14:paraId="28595638">
      <w:pPr>
        <w:adjustRightInd w:val="0"/>
        <w:snapToGrid w:val="0"/>
        <w:spacing w:line="360" w:lineRule="auto"/>
        <w:ind w:right="480"/>
        <w:outlineLvl w:val="0"/>
        <w:rPr>
          <w:rFonts w:ascii="宋体" w:hAnsi="宋体"/>
          <w:b/>
          <w:color w:val="auto"/>
          <w:sz w:val="28"/>
          <w:highlight w:val="none"/>
        </w:rPr>
      </w:pPr>
      <w:bookmarkStart w:id="25" w:name="_Toc29767"/>
      <w:r>
        <w:rPr>
          <w:rFonts w:hint="eastAsia" w:ascii="宋体" w:hAnsi="宋体"/>
          <w:b/>
          <w:color w:val="auto"/>
          <w:sz w:val="28"/>
          <w:highlight w:val="none"/>
        </w:rPr>
        <w:t>附件1</w:t>
      </w:r>
      <w:bookmarkEnd w:id="25"/>
    </w:p>
    <w:p w14:paraId="064D6B7A">
      <w:pPr>
        <w:adjustRightInd w:val="0"/>
        <w:snapToGrid w:val="0"/>
        <w:spacing w:line="312" w:lineRule="auto"/>
        <w:ind w:right="480"/>
        <w:jc w:val="center"/>
        <w:rPr>
          <w:rFonts w:ascii="宋体" w:hAnsi="宋体"/>
          <w:b/>
          <w:color w:val="auto"/>
          <w:kern w:val="0"/>
          <w:sz w:val="32"/>
          <w:szCs w:val="32"/>
          <w:highlight w:val="none"/>
          <w:lang w:val="zh-CN"/>
        </w:rPr>
      </w:pPr>
      <w:bookmarkStart w:id="26" w:name="_Toc31708_WPSOffice_Level1"/>
      <w:bookmarkStart w:id="27" w:name="_Toc30723_WPSOffice_Level1"/>
      <w:r>
        <w:rPr>
          <w:rFonts w:hint="eastAsia" w:ascii="宋体" w:hAnsi="宋体"/>
          <w:b/>
          <w:color w:val="auto"/>
          <w:kern w:val="0"/>
          <w:sz w:val="32"/>
          <w:szCs w:val="32"/>
          <w:highlight w:val="none"/>
          <w:lang w:val="zh-CN"/>
        </w:rPr>
        <w:t>投标声明书</w:t>
      </w:r>
      <w:bookmarkEnd w:id="26"/>
      <w:bookmarkEnd w:id="27"/>
    </w:p>
    <w:p w14:paraId="6320E595">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浙江恒义工程咨询有限公司</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0014832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DF8834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31D1FEC9">
      <w:pPr>
        <w:numPr>
          <w:ilvl w:val="0"/>
          <w:numId w:val="107"/>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失信主体、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60283604">
      <w:pPr>
        <w:numPr>
          <w:ilvl w:val="0"/>
          <w:numId w:val="107"/>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01AD1EDC">
      <w:pPr>
        <w:numPr>
          <w:ilvl w:val="0"/>
          <w:numId w:val="107"/>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69858482">
      <w:pPr>
        <w:numPr>
          <w:ilvl w:val="0"/>
          <w:numId w:val="107"/>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2395DF9">
      <w:pPr>
        <w:numPr>
          <w:ilvl w:val="0"/>
          <w:numId w:val="107"/>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2DD6F5C5">
      <w:pPr>
        <w:numPr>
          <w:ilvl w:val="0"/>
          <w:numId w:val="107"/>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2A9F5804">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3E0055F0">
      <w:pPr>
        <w:adjustRightInd w:val="0"/>
        <w:snapToGrid w:val="0"/>
        <w:spacing w:line="360" w:lineRule="auto"/>
        <w:jc w:val="righ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法定代表人或授权委托人(签字或盖章)：</w:t>
      </w:r>
    </w:p>
    <w:p w14:paraId="2DEDB2C7">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 xml:space="preserve"> </w:t>
      </w:r>
      <w:r>
        <w:rPr>
          <w:rFonts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日</w:t>
      </w:r>
    </w:p>
    <w:p w14:paraId="12F046ED">
      <w:pPr>
        <w:rPr>
          <w:rFonts w:ascii="宋体" w:hAnsi="宋体"/>
          <w:b/>
          <w:color w:val="auto"/>
          <w:sz w:val="28"/>
          <w:highlight w:val="none"/>
        </w:rPr>
      </w:pPr>
      <w:r>
        <w:rPr>
          <w:rFonts w:hint="eastAsia" w:ascii="宋体" w:hAnsi="宋体"/>
          <w:b/>
          <w:color w:val="auto"/>
          <w:sz w:val="28"/>
          <w:highlight w:val="none"/>
        </w:rPr>
        <w:br w:type="page"/>
      </w:r>
    </w:p>
    <w:p w14:paraId="26DDA247">
      <w:pPr>
        <w:adjustRightInd w:val="0"/>
        <w:snapToGrid w:val="0"/>
        <w:spacing w:line="360" w:lineRule="auto"/>
        <w:ind w:right="480"/>
        <w:outlineLvl w:val="0"/>
        <w:rPr>
          <w:rFonts w:ascii="宋体" w:hAnsi="宋体"/>
          <w:b/>
          <w:color w:val="auto"/>
          <w:sz w:val="28"/>
          <w:highlight w:val="none"/>
        </w:rPr>
      </w:pPr>
      <w:bookmarkStart w:id="28" w:name="_Toc15805"/>
      <w:r>
        <w:rPr>
          <w:rFonts w:hint="eastAsia" w:ascii="宋体" w:hAnsi="宋体"/>
          <w:b/>
          <w:color w:val="auto"/>
          <w:sz w:val="28"/>
          <w:highlight w:val="none"/>
        </w:rPr>
        <w:t>附件2</w:t>
      </w:r>
      <w:bookmarkEnd w:id="28"/>
    </w:p>
    <w:p w14:paraId="1FA74FC4">
      <w:pPr>
        <w:spacing w:line="360" w:lineRule="auto"/>
        <w:ind w:firstLine="321" w:firstLineChars="100"/>
        <w:jc w:val="center"/>
        <w:rPr>
          <w:rFonts w:hAnsi="宋体"/>
          <w:b/>
          <w:color w:val="auto"/>
          <w:sz w:val="32"/>
          <w:szCs w:val="32"/>
          <w:highlight w:val="none"/>
          <w:u w:val="single"/>
        </w:rPr>
      </w:pPr>
      <w:bookmarkStart w:id="29" w:name="_Toc24373_WPSOffice_Level1"/>
      <w:bookmarkStart w:id="30"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29"/>
      <w:bookmarkEnd w:id="30"/>
    </w:p>
    <w:p w14:paraId="70ABE11A">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浙江恒义工程咨询有限公司</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0CE7868E">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29219C7A">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097CB237">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0FCD9CCF">
      <w:pPr>
        <w:spacing w:line="360" w:lineRule="auto"/>
        <w:rPr>
          <w:color w:val="auto"/>
          <w:sz w:val="24"/>
          <w:highlight w:val="none"/>
        </w:rPr>
      </w:pPr>
    </w:p>
    <w:p w14:paraId="5E0566D9">
      <w:pPr>
        <w:spacing w:line="360" w:lineRule="auto"/>
        <w:rPr>
          <w:color w:val="auto"/>
          <w:sz w:val="24"/>
          <w:highlight w:val="none"/>
        </w:rPr>
      </w:pPr>
      <w:r>
        <w:rPr>
          <w:rFonts w:hint="eastAsia" w:ascii="宋体"/>
          <w:color w:val="auto"/>
          <w:sz w:val="24"/>
          <w:highlight w:val="none"/>
        </w:rPr>
        <w:t>法定代表人签字或盖章：</w:t>
      </w:r>
    </w:p>
    <w:p w14:paraId="10476EC6">
      <w:pPr>
        <w:spacing w:line="360" w:lineRule="auto"/>
        <w:rPr>
          <w:color w:val="auto"/>
          <w:sz w:val="24"/>
          <w:highlight w:val="none"/>
        </w:rPr>
      </w:pPr>
      <w:r>
        <w:rPr>
          <w:rFonts w:hint="eastAsia" w:ascii="宋体"/>
          <w:color w:val="auto"/>
          <w:sz w:val="24"/>
          <w:highlight w:val="none"/>
        </w:rPr>
        <w:t>投标人名称(公章)：                              日期：</w:t>
      </w:r>
    </w:p>
    <w:p w14:paraId="1F71508A">
      <w:pPr>
        <w:spacing w:line="360" w:lineRule="auto"/>
        <w:rPr>
          <w:color w:val="auto"/>
          <w:sz w:val="24"/>
          <w:highlight w:val="none"/>
        </w:rPr>
      </w:pPr>
    </w:p>
    <w:p w14:paraId="592B70DC">
      <w:pPr>
        <w:spacing w:line="360" w:lineRule="auto"/>
        <w:rPr>
          <w:b/>
          <w:color w:val="auto"/>
          <w:sz w:val="24"/>
          <w:highlight w:val="none"/>
        </w:rPr>
      </w:pPr>
      <w:r>
        <w:rPr>
          <w:rFonts w:hint="eastAsia" w:ascii="宋体"/>
          <w:b/>
          <w:color w:val="auto"/>
          <w:sz w:val="24"/>
          <w:highlight w:val="none"/>
        </w:rPr>
        <w:t>附：</w:t>
      </w: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761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29580A2">
            <w:pPr>
              <w:spacing w:line="360" w:lineRule="auto"/>
              <w:rPr>
                <w:rFonts w:ascii="宋体"/>
                <w:b/>
                <w:color w:val="auto"/>
                <w:sz w:val="24"/>
                <w:highlight w:val="none"/>
              </w:rPr>
            </w:pPr>
          </w:p>
          <w:p w14:paraId="6C74C973">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法定代表身份证（正面、反面）</w:t>
            </w:r>
          </w:p>
        </w:tc>
      </w:tr>
    </w:tbl>
    <w:p w14:paraId="46BC4950">
      <w:pPr>
        <w:spacing w:line="360" w:lineRule="auto"/>
        <w:rPr>
          <w:color w:val="auto"/>
          <w:sz w:val="24"/>
          <w:highlight w:val="none"/>
        </w:rPr>
      </w:pPr>
      <w:r>
        <w:rPr>
          <w:rFonts w:hint="eastAsia" w:ascii="宋体"/>
          <w:color w:val="auto"/>
          <w:sz w:val="24"/>
          <w:highlight w:val="none"/>
        </w:rPr>
        <w:t xml:space="preserve">法定代表人姓名：                                 </w:t>
      </w:r>
    </w:p>
    <w:p w14:paraId="40555F20">
      <w:pPr>
        <w:spacing w:line="360" w:lineRule="auto"/>
        <w:rPr>
          <w:color w:val="auto"/>
          <w:sz w:val="24"/>
          <w:highlight w:val="none"/>
        </w:rPr>
      </w:pPr>
      <w:r>
        <w:rPr>
          <w:rFonts w:hint="eastAsia" w:ascii="宋体"/>
          <w:color w:val="auto"/>
          <w:sz w:val="24"/>
          <w:highlight w:val="none"/>
        </w:rPr>
        <w:t>传真：</w:t>
      </w:r>
    </w:p>
    <w:p w14:paraId="262F1908">
      <w:pPr>
        <w:spacing w:line="360" w:lineRule="auto"/>
        <w:rPr>
          <w:rFonts w:ascii="宋体"/>
          <w:color w:val="auto"/>
          <w:sz w:val="24"/>
          <w:highlight w:val="none"/>
        </w:rPr>
      </w:pPr>
      <w:r>
        <w:rPr>
          <w:rFonts w:hint="eastAsia" w:ascii="宋体"/>
          <w:color w:val="auto"/>
          <w:sz w:val="24"/>
          <w:highlight w:val="none"/>
        </w:rPr>
        <w:t>电话：</w:t>
      </w:r>
    </w:p>
    <w:p w14:paraId="77E0098A">
      <w:pPr>
        <w:spacing w:line="360" w:lineRule="auto"/>
        <w:rPr>
          <w:color w:val="auto"/>
          <w:sz w:val="24"/>
          <w:highlight w:val="none"/>
        </w:rPr>
      </w:pPr>
      <w:r>
        <w:rPr>
          <w:rFonts w:hint="eastAsia" w:ascii="宋体"/>
          <w:color w:val="auto"/>
          <w:sz w:val="24"/>
          <w:highlight w:val="none"/>
        </w:rPr>
        <w:t>详细通讯地址：</w:t>
      </w:r>
    </w:p>
    <w:p w14:paraId="68DAF7D4">
      <w:pPr>
        <w:spacing w:line="360" w:lineRule="auto"/>
        <w:rPr>
          <w:rFonts w:ascii="宋体"/>
          <w:color w:val="auto"/>
          <w:sz w:val="24"/>
          <w:highlight w:val="none"/>
        </w:rPr>
      </w:pPr>
      <w:r>
        <w:rPr>
          <w:rFonts w:hint="eastAsia" w:ascii="宋体"/>
          <w:color w:val="auto"/>
          <w:sz w:val="24"/>
          <w:highlight w:val="none"/>
        </w:rPr>
        <w:t>邮政编码：</w:t>
      </w:r>
    </w:p>
    <w:p w14:paraId="3362743B">
      <w:pPr>
        <w:spacing w:line="360" w:lineRule="auto"/>
        <w:rPr>
          <w:b/>
          <w:color w:val="auto"/>
          <w:sz w:val="24"/>
          <w:highlight w:val="none"/>
        </w:rPr>
      </w:pPr>
    </w:p>
    <w:tbl>
      <w:tblPr>
        <w:tblStyle w:val="2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9BB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311CAB5">
            <w:pPr>
              <w:spacing w:line="360" w:lineRule="auto"/>
              <w:rPr>
                <w:rFonts w:ascii="宋体"/>
                <w:b/>
                <w:color w:val="auto"/>
                <w:sz w:val="24"/>
                <w:highlight w:val="none"/>
              </w:rPr>
            </w:pPr>
          </w:p>
          <w:p w14:paraId="3C9A6256">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全权代表身份证（正面、反面）</w:t>
            </w:r>
          </w:p>
        </w:tc>
      </w:tr>
    </w:tbl>
    <w:p w14:paraId="73CEE960">
      <w:pPr>
        <w:spacing w:line="360" w:lineRule="auto"/>
        <w:rPr>
          <w:rFonts w:ascii="宋体"/>
          <w:color w:val="auto"/>
          <w:sz w:val="24"/>
          <w:highlight w:val="none"/>
        </w:rPr>
      </w:pPr>
      <w:r>
        <w:rPr>
          <w:rFonts w:hint="eastAsia" w:ascii="宋体"/>
          <w:color w:val="auto"/>
          <w:sz w:val="24"/>
          <w:highlight w:val="none"/>
        </w:rPr>
        <w:t xml:space="preserve">全权代表姓名：       </w:t>
      </w:r>
    </w:p>
    <w:p w14:paraId="63DBF7D1">
      <w:pPr>
        <w:spacing w:line="360" w:lineRule="auto"/>
        <w:rPr>
          <w:color w:val="auto"/>
          <w:sz w:val="24"/>
          <w:highlight w:val="none"/>
        </w:rPr>
      </w:pPr>
      <w:r>
        <w:rPr>
          <w:rFonts w:hint="eastAsia" w:ascii="宋体"/>
          <w:color w:val="auto"/>
          <w:sz w:val="24"/>
          <w:highlight w:val="none"/>
        </w:rPr>
        <w:t xml:space="preserve">职务：                           </w:t>
      </w:r>
    </w:p>
    <w:p w14:paraId="08BEF528">
      <w:pPr>
        <w:spacing w:line="360" w:lineRule="auto"/>
        <w:rPr>
          <w:color w:val="auto"/>
          <w:sz w:val="24"/>
          <w:highlight w:val="none"/>
        </w:rPr>
      </w:pPr>
      <w:r>
        <w:rPr>
          <w:rFonts w:hint="eastAsia" w:ascii="宋体"/>
          <w:color w:val="auto"/>
          <w:sz w:val="24"/>
          <w:highlight w:val="none"/>
        </w:rPr>
        <w:t>传真：</w:t>
      </w:r>
    </w:p>
    <w:p w14:paraId="20CFA60C">
      <w:pPr>
        <w:spacing w:line="360" w:lineRule="auto"/>
        <w:rPr>
          <w:rFonts w:ascii="宋体"/>
          <w:color w:val="auto"/>
          <w:sz w:val="24"/>
          <w:highlight w:val="none"/>
        </w:rPr>
      </w:pPr>
      <w:r>
        <w:rPr>
          <w:rFonts w:hint="eastAsia" w:ascii="宋体"/>
          <w:color w:val="auto"/>
          <w:sz w:val="24"/>
          <w:highlight w:val="none"/>
        </w:rPr>
        <w:t>电话：</w:t>
      </w:r>
    </w:p>
    <w:p w14:paraId="5921DBC5">
      <w:pPr>
        <w:spacing w:line="360" w:lineRule="auto"/>
        <w:rPr>
          <w:color w:val="auto"/>
          <w:sz w:val="24"/>
          <w:highlight w:val="none"/>
        </w:rPr>
      </w:pPr>
      <w:r>
        <w:rPr>
          <w:rFonts w:hint="eastAsia" w:ascii="宋体"/>
          <w:color w:val="auto"/>
          <w:sz w:val="24"/>
          <w:highlight w:val="none"/>
        </w:rPr>
        <w:t>详细通讯地址：</w:t>
      </w:r>
    </w:p>
    <w:p w14:paraId="02F9045D">
      <w:pPr>
        <w:spacing w:line="360" w:lineRule="auto"/>
        <w:rPr>
          <w:rFonts w:ascii="宋体"/>
          <w:color w:val="auto"/>
          <w:sz w:val="24"/>
          <w:highlight w:val="none"/>
        </w:rPr>
      </w:pPr>
      <w:r>
        <w:rPr>
          <w:rFonts w:hint="eastAsia" w:ascii="宋体"/>
          <w:color w:val="auto"/>
          <w:sz w:val="24"/>
          <w:highlight w:val="none"/>
        </w:rPr>
        <w:t>邮政编码：</w:t>
      </w:r>
    </w:p>
    <w:p w14:paraId="26291790">
      <w:pPr>
        <w:rPr>
          <w:rFonts w:ascii="宋体" w:hAnsi="宋体"/>
          <w:b/>
          <w:color w:val="auto"/>
          <w:sz w:val="28"/>
          <w:highlight w:val="none"/>
        </w:rPr>
      </w:pPr>
      <w:r>
        <w:rPr>
          <w:rFonts w:hint="eastAsia" w:ascii="宋体" w:hAnsi="宋体"/>
          <w:b/>
          <w:color w:val="auto"/>
          <w:sz w:val="28"/>
          <w:highlight w:val="none"/>
        </w:rPr>
        <w:br w:type="page"/>
      </w:r>
    </w:p>
    <w:p w14:paraId="738FDAC3">
      <w:pPr>
        <w:rPr>
          <w:rFonts w:ascii="宋体" w:hAnsi="宋体"/>
          <w:b/>
          <w:color w:val="auto"/>
          <w:sz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cols w:space="720" w:num="1"/>
          <w:docGrid w:linePitch="312" w:charSpace="0"/>
        </w:sectPr>
      </w:pPr>
    </w:p>
    <w:p w14:paraId="055B060D">
      <w:pPr>
        <w:adjustRightInd w:val="0"/>
        <w:snapToGrid w:val="0"/>
        <w:spacing w:line="360" w:lineRule="auto"/>
        <w:ind w:right="480"/>
        <w:outlineLvl w:val="0"/>
        <w:rPr>
          <w:rFonts w:ascii="宋体" w:hAnsi="宋体"/>
          <w:b/>
          <w:color w:val="auto"/>
          <w:sz w:val="28"/>
          <w:highlight w:val="none"/>
        </w:rPr>
      </w:pPr>
      <w:bookmarkStart w:id="31" w:name="_Toc574"/>
      <w:r>
        <w:rPr>
          <w:rFonts w:hint="eastAsia" w:ascii="宋体" w:hAnsi="宋体"/>
          <w:b/>
          <w:color w:val="auto"/>
          <w:sz w:val="28"/>
          <w:highlight w:val="none"/>
        </w:rPr>
        <w:t>附件3</w:t>
      </w:r>
      <w:bookmarkEnd w:id="31"/>
    </w:p>
    <w:p w14:paraId="1003C105">
      <w:pPr>
        <w:adjustRightInd w:val="0"/>
        <w:snapToGrid w:val="0"/>
        <w:spacing w:line="48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营业执照等证明文件</w:t>
      </w:r>
    </w:p>
    <w:tbl>
      <w:tblPr>
        <w:tblStyle w:val="27"/>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29A759E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vAlign w:val="center"/>
          </w:tcPr>
          <w:p w14:paraId="7B109B4E">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证明材料：</w:t>
            </w:r>
            <w:r>
              <w:rPr>
                <w:rFonts w:hint="eastAsia" w:ascii="仿宋" w:hAnsi="仿宋" w:eastAsia="仿宋"/>
                <w:b/>
                <w:color w:val="auto"/>
                <w:sz w:val="28"/>
                <w:highlight w:val="none"/>
                <w:u w:val="single"/>
              </w:rPr>
              <w:t>营业执照（或事业单位法人证书或执业许可证或自然人有效身份证明）</w:t>
            </w:r>
            <w:r>
              <w:rPr>
                <w:rFonts w:hint="eastAsia" w:ascii="仿宋" w:hAnsi="仿宋" w:eastAsia="仿宋"/>
                <w:color w:val="auto"/>
                <w:sz w:val="28"/>
                <w:highlight w:val="none"/>
              </w:rPr>
              <w:t>（提供扫描件加盖供应商公章）</w:t>
            </w:r>
            <w:r>
              <w:rPr>
                <w:rFonts w:hint="eastAsia" w:ascii="仿宋" w:hAnsi="仿宋" w:eastAsia="仿宋"/>
                <w:color w:val="auto"/>
                <w:sz w:val="24"/>
                <w:highlight w:val="none"/>
              </w:rPr>
              <w:t>。</w:t>
            </w:r>
          </w:p>
          <w:p w14:paraId="4722EBE8">
            <w:pPr>
              <w:spacing w:line="360" w:lineRule="auto"/>
              <w:jc w:val="left"/>
              <w:rPr>
                <w:rFonts w:ascii="仿宋" w:hAnsi="仿宋" w:eastAsia="仿宋"/>
                <w:i/>
                <w:color w:val="auto"/>
                <w:sz w:val="24"/>
                <w:highlight w:val="none"/>
              </w:rPr>
            </w:pPr>
          </w:p>
          <w:p w14:paraId="21C104C4">
            <w:pPr>
              <w:spacing w:line="360" w:lineRule="auto"/>
              <w:jc w:val="left"/>
              <w:rPr>
                <w:rFonts w:ascii="仿宋" w:hAnsi="仿宋" w:eastAsia="仿宋"/>
                <w:b/>
                <w:i/>
                <w:color w:val="auto"/>
                <w:sz w:val="28"/>
                <w:highlight w:val="none"/>
              </w:rPr>
            </w:pPr>
            <w:r>
              <w:rPr>
                <w:rFonts w:hint="eastAsia" w:ascii="仿宋" w:hAnsi="仿宋" w:eastAsia="仿宋"/>
                <w:b/>
                <w:i/>
                <w:color w:val="auto"/>
                <w:sz w:val="28"/>
                <w:highlight w:val="none"/>
              </w:rPr>
              <w:t>提示和说明：</w:t>
            </w:r>
          </w:p>
          <w:p w14:paraId="04E092BF">
            <w:pPr>
              <w:spacing w:line="360" w:lineRule="auto"/>
              <w:ind w:firstLine="422" w:firstLineChars="151"/>
              <w:jc w:val="left"/>
              <w:rPr>
                <w:rFonts w:ascii="仿宋" w:hAnsi="仿宋" w:eastAsia="仿宋" w:cs="Arial"/>
                <w:i/>
                <w:color w:val="auto"/>
                <w:kern w:val="0"/>
                <w:sz w:val="28"/>
                <w:highlight w:val="none"/>
              </w:rPr>
            </w:pPr>
            <w:r>
              <w:rPr>
                <w:rFonts w:hint="eastAsia" w:ascii="仿宋" w:hAnsi="仿宋" w:eastAsia="仿宋" w:cs="Arial"/>
                <w:i/>
                <w:color w:val="auto"/>
                <w:kern w:val="0"/>
                <w:sz w:val="28"/>
                <w:highlight w:val="none"/>
              </w:rPr>
              <w:t>企业或个体工商户提供有效的“营业执照”；事业单位提供有效的“事业单位法人证书”；非企业专业服务机构提供执业许可证等证明文件；自然人（中国公民）提供个人有效身份证明文件。</w:t>
            </w:r>
          </w:p>
          <w:p w14:paraId="366A5E10">
            <w:pPr>
              <w:pStyle w:val="4"/>
              <w:ind w:firstLine="280"/>
              <w:rPr>
                <w:rFonts w:ascii="仿宋" w:hAnsi="仿宋" w:eastAsia="仿宋"/>
                <w:i/>
                <w:color w:val="auto"/>
                <w:highlight w:val="none"/>
              </w:rPr>
            </w:pPr>
          </w:p>
        </w:tc>
      </w:tr>
    </w:tbl>
    <w:p w14:paraId="14303DA6">
      <w:pPr>
        <w:pStyle w:val="12"/>
        <w:spacing w:line="360" w:lineRule="auto"/>
        <w:rPr>
          <w:rFonts w:hAnsi="宋体"/>
          <w:b/>
          <w:bCs/>
          <w:color w:val="auto"/>
          <w:sz w:val="24"/>
          <w:highlight w:val="none"/>
        </w:rPr>
      </w:pPr>
    </w:p>
    <w:p w14:paraId="19B9B72A">
      <w:pPr>
        <w:pStyle w:val="13"/>
        <w:ind w:left="5250"/>
        <w:rPr>
          <w:rFonts w:ascii="宋体" w:hAnsi="宋体" w:eastAsia="宋体"/>
          <w:b/>
          <w:bCs/>
          <w:color w:val="auto"/>
          <w:sz w:val="24"/>
          <w:highlight w:val="none"/>
        </w:rPr>
      </w:pPr>
    </w:p>
    <w:p w14:paraId="04B48008">
      <w:pPr>
        <w:rPr>
          <w:rFonts w:ascii="宋体" w:hAnsi="宋体"/>
          <w:b/>
          <w:bCs/>
          <w:color w:val="auto"/>
          <w:sz w:val="24"/>
          <w:highlight w:val="none"/>
        </w:rPr>
      </w:pPr>
    </w:p>
    <w:p w14:paraId="1BA0681C">
      <w:pPr>
        <w:adjustRightInd w:val="0"/>
        <w:snapToGrid w:val="0"/>
        <w:spacing w:line="360" w:lineRule="auto"/>
        <w:ind w:right="480"/>
        <w:outlineLvl w:val="0"/>
        <w:rPr>
          <w:rFonts w:ascii="宋体" w:hAnsi="宋体"/>
          <w:b/>
          <w:color w:val="auto"/>
          <w:sz w:val="28"/>
          <w:highlight w:val="none"/>
        </w:rPr>
      </w:pPr>
    </w:p>
    <w:p w14:paraId="73C6AC4C">
      <w:pPr>
        <w:adjustRightInd w:val="0"/>
        <w:snapToGrid w:val="0"/>
        <w:spacing w:line="360" w:lineRule="auto"/>
        <w:ind w:right="480"/>
        <w:outlineLvl w:val="0"/>
        <w:rPr>
          <w:rFonts w:ascii="宋体" w:hAnsi="宋体"/>
          <w:b/>
          <w:color w:val="auto"/>
          <w:sz w:val="28"/>
          <w:highlight w:val="none"/>
        </w:rPr>
      </w:pPr>
      <w:bookmarkStart w:id="32" w:name="_Toc3009"/>
      <w:r>
        <w:rPr>
          <w:rFonts w:hint="eastAsia" w:ascii="宋体" w:hAnsi="宋体"/>
          <w:b/>
          <w:color w:val="auto"/>
          <w:sz w:val="28"/>
          <w:highlight w:val="none"/>
        </w:rPr>
        <w:t>附件4</w:t>
      </w:r>
      <w:bookmarkEnd w:id="32"/>
    </w:p>
    <w:p w14:paraId="27CCCD4E">
      <w:pPr>
        <w:pStyle w:val="76"/>
        <w:rPr>
          <w:rFonts w:ascii="宋体" w:hAnsi="宋体" w:eastAsia="宋体"/>
          <w:b/>
          <w:bCs/>
          <w:color w:val="auto"/>
          <w:sz w:val="24"/>
          <w:highlight w:val="none"/>
        </w:rPr>
      </w:pPr>
    </w:p>
    <w:p w14:paraId="76ED002D">
      <w:pPr>
        <w:snapToGrid w:val="0"/>
        <w:spacing w:before="120" w:beforeLines="50" w:after="50" w:line="460" w:lineRule="exact"/>
        <w:jc w:val="center"/>
        <w:rPr>
          <w:color w:val="auto"/>
          <w:szCs w:val="21"/>
          <w:highlight w:val="none"/>
          <w:shd w:val="clear" w:color="auto" w:fill="FFFFFF"/>
        </w:rPr>
      </w:pPr>
      <w:r>
        <w:rPr>
          <w:rFonts w:hint="eastAsia"/>
          <w:b/>
          <w:bCs/>
          <w:color w:val="auto"/>
          <w:sz w:val="28"/>
          <w:szCs w:val="28"/>
          <w:highlight w:val="none"/>
        </w:rPr>
        <w:t>符合参加政府采购活动应当具备的一般条件的承诺函</w:t>
      </w:r>
    </w:p>
    <w:p w14:paraId="7D2CAC30">
      <w:pPr>
        <w:snapToGrid w:val="0"/>
        <w:spacing w:before="120" w:beforeLines="50" w:after="50" w:line="460" w:lineRule="exact"/>
        <w:ind w:firstLine="480" w:firstLineChars="200"/>
        <w:rPr>
          <w:rFonts w:ascii="宋体" w:hAnsi="宋体" w:cs="宋体"/>
          <w:b/>
          <w:bCs/>
          <w:color w:val="auto"/>
          <w:spacing w:val="-6"/>
          <w:sz w:val="24"/>
          <w:highlight w:val="none"/>
        </w:rPr>
      </w:pPr>
      <w:r>
        <w:rPr>
          <w:rFonts w:hint="eastAsia" w:ascii="宋体" w:hAnsi="宋体"/>
          <w:color w:val="auto"/>
          <w:sz w:val="24"/>
          <w:highlight w:val="none"/>
          <w:u w:val="single"/>
        </w:rPr>
        <w:t>浙江恒义工程咨询有限公司</w:t>
      </w:r>
      <w:r>
        <w:rPr>
          <w:rFonts w:hint="eastAsia" w:ascii="宋体" w:hAnsi="宋体" w:cs="宋体"/>
          <w:color w:val="auto"/>
          <w:kern w:val="0"/>
          <w:sz w:val="24"/>
          <w:highlight w:val="none"/>
        </w:rPr>
        <w:t>（</w:t>
      </w:r>
      <w:r>
        <w:rPr>
          <w:rFonts w:hint="eastAsia" w:ascii="宋体" w:hAnsi="宋体"/>
          <w:color w:val="auto"/>
          <w:sz w:val="24"/>
          <w:highlight w:val="none"/>
        </w:rPr>
        <w:t>采购组织机构名称</w:t>
      </w:r>
      <w:r>
        <w:rPr>
          <w:rFonts w:hint="eastAsia" w:ascii="宋体" w:hAnsi="宋体" w:cs="宋体"/>
          <w:color w:val="auto"/>
          <w:kern w:val="0"/>
          <w:sz w:val="24"/>
          <w:highlight w:val="none"/>
        </w:rPr>
        <w:t>）：</w:t>
      </w:r>
    </w:p>
    <w:p w14:paraId="35D6B8BB">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项目的采购活动并承诺如下：</w:t>
      </w:r>
    </w:p>
    <w:p w14:paraId="0979AB30">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1BA90E55">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具有独立承担民事责任的能力；</w:t>
      </w:r>
    </w:p>
    <w:p w14:paraId="3F9787B4">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具有良好的商业信誉和健全的财务会计制度；</w:t>
      </w:r>
    </w:p>
    <w:p w14:paraId="333DE067">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具有履行合同所必需的设备和专业技术能力；</w:t>
      </w:r>
    </w:p>
    <w:p w14:paraId="67D6AB5A">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有依法缴纳税收和社会保障资金的良好记录；</w:t>
      </w:r>
    </w:p>
    <w:p w14:paraId="31789707">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7A46C0A1">
      <w:pPr>
        <w:numPr>
          <w:ilvl w:val="0"/>
          <w:numId w:val="108"/>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法律、行政法规规定的其他条件。</w:t>
      </w:r>
    </w:p>
    <w:p w14:paraId="0758DF92">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二、未被信用中国（www.creditchina.gov.cn)、中国政府采购网（www.ccgp.gov.cn）列入失信被执行人、重大税收违法失信主体、政府采购严重违法失信行为记录名单。</w:t>
      </w:r>
    </w:p>
    <w:p w14:paraId="778599E9">
      <w:p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5B6E707C">
      <w:pPr>
        <w:numPr>
          <w:ilvl w:val="0"/>
          <w:numId w:val="109"/>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单位负责人为同一人或者存在直接控股、管理关系的不同供应商参加同一合同项下的政府采购活动的；</w:t>
      </w:r>
    </w:p>
    <w:p w14:paraId="36DE342B">
      <w:pPr>
        <w:numPr>
          <w:ilvl w:val="0"/>
          <w:numId w:val="109"/>
        </w:numPr>
        <w:adjustRightInd w:val="0"/>
        <w:snapToGrid w:val="0"/>
        <w:spacing w:line="46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为采购项目提供整体设计、规范编制或者项目管理、监理、检测等服务后再参加该采购项目的其他采购活动的。</w:t>
      </w:r>
    </w:p>
    <w:p w14:paraId="05841769">
      <w:pPr>
        <w:adjustRightInd w:val="0"/>
        <w:snapToGrid w:val="0"/>
        <w:spacing w:line="460" w:lineRule="exact"/>
        <w:ind w:firstLine="456" w:firstLineChars="200"/>
        <w:rPr>
          <w:rFonts w:ascii="宋体" w:hAnsi="宋体" w:cs="宋体"/>
          <w:color w:val="auto"/>
          <w:sz w:val="24"/>
          <w:highlight w:val="none"/>
        </w:rPr>
      </w:pPr>
      <w:r>
        <w:rPr>
          <w:rFonts w:hint="eastAsia" w:ascii="宋体" w:hAnsi="宋体" w:cs="宋体"/>
          <w:color w:val="auto"/>
          <w:spacing w:val="-6"/>
          <w:sz w:val="24"/>
          <w:highlight w:val="none"/>
        </w:rPr>
        <w:t>四、以上事项如有虚假或隐瞒，我方愿意承担一切后果和责任。</w:t>
      </w:r>
    </w:p>
    <w:p w14:paraId="3782DD0E">
      <w:pPr>
        <w:rPr>
          <w:rFonts w:ascii="宋体" w:hAnsi="宋体"/>
          <w:b/>
          <w:color w:val="auto"/>
          <w:sz w:val="28"/>
          <w:highlight w:val="none"/>
        </w:rPr>
      </w:pPr>
    </w:p>
    <w:p w14:paraId="3267279F">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3A67C7D1">
      <w:pPr>
        <w:spacing w:line="360" w:lineRule="auto"/>
        <w:ind w:left="420"/>
        <w:rPr>
          <w:rFonts w:ascii="宋体" w:hAnsi="宋体"/>
          <w:color w:val="auto"/>
          <w:sz w:val="24"/>
          <w:highlight w:val="none"/>
        </w:rPr>
      </w:pPr>
    </w:p>
    <w:p w14:paraId="3A697A96">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7B90A847">
      <w:pPr>
        <w:spacing w:line="360" w:lineRule="auto"/>
        <w:ind w:left="420"/>
        <w:rPr>
          <w:rFonts w:ascii="宋体" w:hAnsi="宋体"/>
          <w:color w:val="auto"/>
          <w:sz w:val="24"/>
          <w:highlight w:val="none"/>
        </w:rPr>
      </w:pPr>
    </w:p>
    <w:p w14:paraId="7794992F">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1AC5A7C6">
      <w:pPr>
        <w:spacing w:line="360" w:lineRule="auto"/>
        <w:ind w:left="420"/>
        <w:rPr>
          <w:color w:val="auto"/>
          <w:highlight w:val="none"/>
        </w:rPr>
      </w:pPr>
      <w:r>
        <w:rPr>
          <w:rFonts w:hint="eastAsia" w:ascii="宋体" w:hAnsi="宋体"/>
          <w:color w:val="auto"/>
          <w:sz w:val="24"/>
          <w:highlight w:val="none"/>
        </w:rPr>
        <w:t>日        期：</w:t>
      </w:r>
    </w:p>
    <w:p w14:paraId="24A51237">
      <w:pPr>
        <w:rPr>
          <w:rFonts w:ascii="宋体" w:hAnsi="宋体"/>
          <w:b/>
          <w:color w:val="auto"/>
          <w:sz w:val="28"/>
          <w:highlight w:val="none"/>
        </w:rPr>
        <w:sectPr>
          <w:footerReference r:id="rId9" w:type="default"/>
          <w:pgSz w:w="11906" w:h="16838"/>
          <w:pgMar w:top="1440" w:right="1133" w:bottom="1440" w:left="1560" w:header="851" w:footer="992" w:gutter="0"/>
          <w:cols w:space="720" w:num="1"/>
          <w:docGrid w:linePitch="312" w:charSpace="0"/>
        </w:sectPr>
      </w:pPr>
    </w:p>
    <w:p w14:paraId="4DD10C8E">
      <w:pPr>
        <w:pageBreakBefore/>
        <w:jc w:val="center"/>
        <w:rPr>
          <w:color w:val="auto"/>
          <w:sz w:val="52"/>
          <w:szCs w:val="52"/>
          <w:highlight w:val="none"/>
        </w:rPr>
      </w:pPr>
      <w:r>
        <w:rPr>
          <w:rFonts w:hint="eastAsia"/>
          <w:color w:val="auto"/>
          <w:sz w:val="52"/>
          <w:szCs w:val="52"/>
          <w:highlight w:val="none"/>
        </w:rPr>
        <w:t>项目名称</w:t>
      </w:r>
      <w:bookmarkEnd w:id="22"/>
      <w:bookmarkEnd w:id="23"/>
      <w:bookmarkEnd w:id="24"/>
    </w:p>
    <w:p w14:paraId="67DB9327">
      <w:pPr>
        <w:spacing w:before="240" w:beforeLines="100" w:line="360" w:lineRule="auto"/>
        <w:ind w:right="-108"/>
        <w:jc w:val="center"/>
        <w:rPr>
          <w:rFonts w:ascii="宋体" w:hAnsi="宋体"/>
          <w:color w:val="auto"/>
          <w:sz w:val="36"/>
          <w:szCs w:val="36"/>
          <w:highlight w:val="none"/>
          <w:u w:val="singl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6DA92AC3">
      <w:pPr>
        <w:pStyle w:val="26"/>
        <w:rPr>
          <w:color w:val="auto"/>
          <w:highlight w:val="none"/>
        </w:rPr>
      </w:pPr>
    </w:p>
    <w:p w14:paraId="0DDA74C0">
      <w:pPr>
        <w:autoSpaceDE w:val="0"/>
        <w:autoSpaceDN w:val="0"/>
        <w:adjustRightInd w:val="0"/>
        <w:spacing w:line="360" w:lineRule="auto"/>
        <w:jc w:val="center"/>
        <w:rPr>
          <w:rFonts w:ascii="宋体" w:hAnsi="宋体" w:cs="宋体"/>
          <w:color w:val="auto"/>
          <w:sz w:val="24"/>
          <w:highlight w:val="none"/>
          <w:lang w:val="zh-CN"/>
        </w:rPr>
      </w:pPr>
    </w:p>
    <w:p w14:paraId="10BDB19C">
      <w:pPr>
        <w:jc w:val="center"/>
        <w:rPr>
          <w:color w:val="auto"/>
          <w:sz w:val="84"/>
          <w:szCs w:val="84"/>
          <w:highlight w:val="none"/>
          <w:lang w:val="zh-CN"/>
        </w:rPr>
      </w:pPr>
      <w:r>
        <w:rPr>
          <w:rFonts w:hint="eastAsia"/>
          <w:color w:val="auto"/>
          <w:sz w:val="84"/>
          <w:szCs w:val="84"/>
          <w:highlight w:val="none"/>
          <w:lang w:val="zh-CN"/>
        </w:rPr>
        <w:t>投</w:t>
      </w:r>
    </w:p>
    <w:p w14:paraId="58536890">
      <w:pPr>
        <w:jc w:val="center"/>
        <w:rPr>
          <w:color w:val="auto"/>
          <w:sz w:val="84"/>
          <w:szCs w:val="84"/>
          <w:highlight w:val="none"/>
          <w:lang w:val="zh-CN"/>
        </w:rPr>
      </w:pPr>
      <w:r>
        <w:rPr>
          <w:rFonts w:hint="eastAsia"/>
          <w:color w:val="auto"/>
          <w:sz w:val="84"/>
          <w:szCs w:val="84"/>
          <w:highlight w:val="none"/>
          <w:lang w:val="zh-CN"/>
        </w:rPr>
        <w:t>标</w:t>
      </w:r>
    </w:p>
    <w:p w14:paraId="12DF53AD">
      <w:pPr>
        <w:jc w:val="center"/>
        <w:rPr>
          <w:color w:val="auto"/>
          <w:sz w:val="84"/>
          <w:szCs w:val="84"/>
          <w:highlight w:val="none"/>
        </w:rPr>
      </w:pPr>
      <w:r>
        <w:rPr>
          <w:rFonts w:hint="eastAsia"/>
          <w:color w:val="auto"/>
          <w:sz w:val="84"/>
          <w:szCs w:val="84"/>
          <w:highlight w:val="none"/>
          <w:lang w:val="zh-CN"/>
        </w:rPr>
        <w:t>文</w:t>
      </w:r>
    </w:p>
    <w:p w14:paraId="1C99D4E3">
      <w:pPr>
        <w:jc w:val="center"/>
        <w:rPr>
          <w:color w:val="auto"/>
          <w:sz w:val="84"/>
          <w:szCs w:val="84"/>
          <w:highlight w:val="none"/>
          <w:lang w:val="zh-CN"/>
        </w:rPr>
      </w:pPr>
      <w:r>
        <w:rPr>
          <w:rFonts w:hint="eastAsia"/>
          <w:color w:val="auto"/>
          <w:sz w:val="84"/>
          <w:szCs w:val="84"/>
          <w:highlight w:val="none"/>
          <w:lang w:val="zh-CN"/>
        </w:rPr>
        <w:t>件</w:t>
      </w:r>
    </w:p>
    <w:p w14:paraId="5488D56A">
      <w:pPr>
        <w:pStyle w:val="26"/>
        <w:rPr>
          <w:color w:val="auto"/>
          <w:highlight w:val="none"/>
          <w:lang w:val="zh-CN"/>
        </w:rPr>
      </w:pPr>
    </w:p>
    <w:p w14:paraId="20703241">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0B44ACED">
      <w:pPr>
        <w:pStyle w:val="26"/>
        <w:rPr>
          <w:color w:val="auto"/>
          <w:highlight w:val="none"/>
        </w:rPr>
      </w:pPr>
    </w:p>
    <w:p w14:paraId="64AAB43F">
      <w:pPr>
        <w:pStyle w:val="26"/>
        <w:rPr>
          <w:color w:val="auto"/>
          <w:highlight w:val="none"/>
        </w:rPr>
      </w:pPr>
    </w:p>
    <w:p w14:paraId="03D1BEEA">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2095CB4F">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2DA5674C">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3D78A108">
      <w:pPr>
        <w:snapToGrid w:val="0"/>
        <w:spacing w:before="50" w:after="50" w:line="360" w:lineRule="auto"/>
        <w:rPr>
          <w:rFonts w:ascii="仿宋_GB2312" w:hAnsi="宋体" w:eastAsia="仿宋_GB2312"/>
          <w:b/>
          <w:color w:val="auto"/>
          <w:sz w:val="36"/>
          <w:szCs w:val="36"/>
          <w:highlight w:val="none"/>
        </w:rPr>
      </w:pPr>
    </w:p>
    <w:p w14:paraId="57C68240">
      <w:pPr>
        <w:pStyle w:val="8"/>
        <w:rPr>
          <w:rFonts w:ascii="仿宋_GB2312" w:hAnsi="宋体" w:eastAsia="仿宋_GB2312"/>
          <w:b/>
          <w:color w:val="auto"/>
          <w:sz w:val="36"/>
          <w:szCs w:val="36"/>
          <w:highlight w:val="none"/>
        </w:rPr>
      </w:pPr>
    </w:p>
    <w:p w14:paraId="757FC2FD">
      <w:pPr>
        <w:rPr>
          <w:b/>
          <w:bCs/>
          <w:color w:val="auto"/>
          <w:sz w:val="36"/>
          <w:szCs w:val="36"/>
          <w:highlight w:val="none"/>
          <w:lang w:val="zh-CN"/>
        </w:rPr>
      </w:pPr>
      <w:bookmarkStart w:id="33" w:name="_Toc11308_WPSOffice_Level1"/>
      <w:bookmarkStart w:id="34" w:name="_Toc5889_WPSOffice_Level1"/>
      <w:r>
        <w:rPr>
          <w:rFonts w:hint="eastAsia"/>
          <w:b/>
          <w:bCs/>
          <w:color w:val="auto"/>
          <w:sz w:val="36"/>
          <w:szCs w:val="36"/>
          <w:highlight w:val="none"/>
          <w:lang w:val="zh-CN"/>
        </w:rPr>
        <w:br w:type="page"/>
      </w:r>
    </w:p>
    <w:p w14:paraId="416859C6">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33"/>
      <w:bookmarkEnd w:id="34"/>
    </w:p>
    <w:p w14:paraId="5B48D021">
      <w:pPr>
        <w:spacing w:line="360" w:lineRule="auto"/>
        <w:rPr>
          <w:color w:val="auto"/>
          <w:sz w:val="24"/>
          <w:highlight w:val="none"/>
        </w:rPr>
      </w:pPr>
    </w:p>
    <w:p w14:paraId="17F97A15">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投标人基本情况表；（附件5）</w:t>
      </w:r>
    </w:p>
    <w:p w14:paraId="5C3CFC2F">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项目实施人员一览表；（附件6）</w:t>
      </w:r>
    </w:p>
    <w:p w14:paraId="707F2249">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项目负责人资格情况表；（附件7）</w:t>
      </w:r>
    </w:p>
    <w:p w14:paraId="1042D485">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投标人类似项目业绩一览表；（附件8）</w:t>
      </w:r>
    </w:p>
    <w:p w14:paraId="2D347945">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技术需求响应表；（附件9）</w:t>
      </w:r>
    </w:p>
    <w:p w14:paraId="2A98D6E8">
      <w:pPr>
        <w:widowControl/>
        <w:numPr>
          <w:ilvl w:val="0"/>
          <w:numId w:val="110"/>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商务需求响应表；（附件10）</w:t>
      </w:r>
    </w:p>
    <w:p w14:paraId="72958FA2">
      <w:pPr>
        <w:widowControl/>
        <w:numPr>
          <w:ilvl w:val="0"/>
          <w:numId w:val="110"/>
        </w:numPr>
        <w:spacing w:line="360" w:lineRule="auto"/>
        <w:ind w:left="425"/>
        <w:rPr>
          <w:color w:val="auto"/>
          <w:highlight w:val="none"/>
        </w:rPr>
      </w:pPr>
      <w:r>
        <w:rPr>
          <w:rFonts w:hint="eastAsia" w:asciiTheme="minorEastAsia" w:hAnsiTheme="minorEastAsia" w:eastAsiaTheme="minorEastAsia"/>
          <w:color w:val="auto"/>
          <w:kern w:val="0"/>
          <w:sz w:val="24"/>
          <w:szCs w:val="20"/>
          <w:highlight w:val="none"/>
        </w:rPr>
        <w:t>项目</w:t>
      </w:r>
      <w:r>
        <w:rPr>
          <w:rFonts w:hint="eastAsia" w:asciiTheme="minorEastAsia" w:hAnsiTheme="minorEastAsia" w:eastAsiaTheme="minorEastAsia"/>
          <w:color w:val="auto"/>
          <w:kern w:val="0"/>
          <w:sz w:val="24"/>
          <w:szCs w:val="20"/>
          <w:highlight w:val="none"/>
          <w:lang w:eastAsia="zh-CN"/>
        </w:rPr>
        <w:t>培训方案、售后服务、实施方案等</w:t>
      </w:r>
      <w:r>
        <w:rPr>
          <w:rFonts w:hint="eastAsia" w:asciiTheme="minorEastAsia" w:hAnsiTheme="minorEastAsia" w:eastAsiaTheme="minorEastAsia"/>
          <w:color w:val="auto"/>
          <w:kern w:val="0"/>
          <w:sz w:val="24"/>
          <w:szCs w:val="20"/>
          <w:highlight w:val="none"/>
        </w:rPr>
        <w:t>；（格式自拟）</w:t>
      </w:r>
    </w:p>
    <w:p w14:paraId="7B422B5E">
      <w:pPr>
        <w:widowControl/>
        <w:numPr>
          <w:ilvl w:val="0"/>
          <w:numId w:val="110"/>
        </w:numPr>
        <w:spacing w:line="360" w:lineRule="auto"/>
        <w:ind w:left="425"/>
        <w:rPr>
          <w:color w:val="auto"/>
          <w:highlight w:val="none"/>
        </w:rPr>
      </w:pPr>
      <w:r>
        <w:rPr>
          <w:rFonts w:hint="eastAsia" w:asciiTheme="minorEastAsia" w:hAnsiTheme="minorEastAsia" w:eastAsiaTheme="minorEastAsia"/>
          <w:color w:val="auto"/>
          <w:kern w:val="0"/>
          <w:sz w:val="24"/>
          <w:szCs w:val="20"/>
          <w:highlight w:val="none"/>
        </w:rPr>
        <w:t>供应商认为需要提供的其他资料（包括可能影响供应商商务与技术评分的各类证明材料）。</w:t>
      </w:r>
    </w:p>
    <w:p w14:paraId="6129FD09">
      <w:pPr>
        <w:pStyle w:val="8"/>
        <w:spacing w:line="360" w:lineRule="auto"/>
        <w:ind w:firstLine="480" w:firstLineChars="200"/>
        <w:rPr>
          <w:color w:val="auto"/>
          <w:sz w:val="24"/>
          <w:szCs w:val="24"/>
          <w:highlight w:val="none"/>
        </w:rPr>
      </w:pPr>
    </w:p>
    <w:p w14:paraId="71F6F5F7">
      <w:pPr>
        <w:pStyle w:val="8"/>
        <w:spacing w:line="360" w:lineRule="auto"/>
        <w:ind w:firstLine="480" w:firstLineChars="200"/>
        <w:rPr>
          <w:color w:val="auto"/>
          <w:sz w:val="24"/>
          <w:szCs w:val="24"/>
          <w:highlight w:val="none"/>
        </w:rPr>
      </w:pPr>
    </w:p>
    <w:p w14:paraId="2A46FD24">
      <w:pPr>
        <w:pStyle w:val="8"/>
        <w:spacing w:line="360" w:lineRule="auto"/>
        <w:ind w:firstLine="480" w:firstLineChars="200"/>
        <w:rPr>
          <w:color w:val="auto"/>
          <w:sz w:val="24"/>
          <w:szCs w:val="24"/>
          <w:highlight w:val="none"/>
        </w:rPr>
      </w:pPr>
    </w:p>
    <w:p w14:paraId="006A2406">
      <w:pPr>
        <w:pStyle w:val="8"/>
        <w:spacing w:line="360" w:lineRule="auto"/>
        <w:ind w:firstLine="480" w:firstLineChars="200"/>
        <w:rPr>
          <w:color w:val="auto"/>
          <w:sz w:val="24"/>
          <w:szCs w:val="24"/>
          <w:highlight w:val="none"/>
        </w:rPr>
      </w:pPr>
    </w:p>
    <w:p w14:paraId="02F4BAC6">
      <w:pPr>
        <w:pStyle w:val="8"/>
        <w:spacing w:line="360" w:lineRule="auto"/>
        <w:ind w:firstLine="480" w:firstLineChars="200"/>
        <w:rPr>
          <w:color w:val="auto"/>
          <w:sz w:val="24"/>
          <w:szCs w:val="24"/>
          <w:highlight w:val="none"/>
        </w:rPr>
      </w:pPr>
    </w:p>
    <w:p w14:paraId="01ADE114">
      <w:pPr>
        <w:pStyle w:val="8"/>
        <w:spacing w:line="360" w:lineRule="auto"/>
        <w:ind w:firstLine="480" w:firstLineChars="200"/>
        <w:rPr>
          <w:color w:val="auto"/>
          <w:sz w:val="24"/>
          <w:szCs w:val="24"/>
          <w:highlight w:val="none"/>
        </w:rPr>
      </w:pPr>
    </w:p>
    <w:p w14:paraId="06A05C26">
      <w:pPr>
        <w:pStyle w:val="9"/>
        <w:rPr>
          <w:color w:val="auto"/>
          <w:highlight w:val="none"/>
        </w:rPr>
      </w:pPr>
    </w:p>
    <w:p w14:paraId="50FBD885">
      <w:pPr>
        <w:rPr>
          <w:color w:val="auto"/>
          <w:highlight w:val="none"/>
        </w:rPr>
      </w:pPr>
    </w:p>
    <w:p w14:paraId="68AE4854">
      <w:pPr>
        <w:pStyle w:val="26"/>
        <w:rPr>
          <w:color w:val="auto"/>
          <w:highlight w:val="none"/>
        </w:rPr>
      </w:pPr>
    </w:p>
    <w:p w14:paraId="0119BE1F">
      <w:pPr>
        <w:pStyle w:val="26"/>
        <w:rPr>
          <w:color w:val="auto"/>
          <w:highlight w:val="none"/>
        </w:rPr>
      </w:pPr>
    </w:p>
    <w:p w14:paraId="539F6B8D">
      <w:pPr>
        <w:pStyle w:val="26"/>
        <w:rPr>
          <w:color w:val="auto"/>
          <w:highlight w:val="none"/>
        </w:rPr>
      </w:pPr>
    </w:p>
    <w:p w14:paraId="25EDD438">
      <w:pPr>
        <w:pStyle w:val="26"/>
        <w:rPr>
          <w:color w:val="auto"/>
          <w:highlight w:val="none"/>
        </w:rPr>
      </w:pPr>
    </w:p>
    <w:p w14:paraId="2FF33F09">
      <w:pPr>
        <w:pStyle w:val="26"/>
        <w:rPr>
          <w:color w:val="auto"/>
          <w:highlight w:val="none"/>
        </w:rPr>
      </w:pPr>
    </w:p>
    <w:p w14:paraId="21C61C2E">
      <w:pPr>
        <w:pStyle w:val="8"/>
        <w:ind w:firstLine="0"/>
        <w:rPr>
          <w:color w:val="auto"/>
          <w:sz w:val="28"/>
          <w:szCs w:val="28"/>
          <w:highlight w:val="none"/>
        </w:rPr>
      </w:pPr>
    </w:p>
    <w:p w14:paraId="4833D75E">
      <w:pPr>
        <w:rPr>
          <w:b/>
          <w:color w:val="auto"/>
          <w:sz w:val="28"/>
          <w:highlight w:val="none"/>
        </w:rPr>
      </w:pPr>
      <w:r>
        <w:rPr>
          <w:rFonts w:hint="eastAsia"/>
          <w:b/>
          <w:color w:val="auto"/>
          <w:sz w:val="28"/>
          <w:highlight w:val="none"/>
        </w:rPr>
        <w:br w:type="page"/>
      </w:r>
    </w:p>
    <w:p w14:paraId="07DA1601">
      <w:pPr>
        <w:adjustRightInd w:val="0"/>
        <w:snapToGrid w:val="0"/>
        <w:spacing w:line="360" w:lineRule="auto"/>
        <w:ind w:right="480"/>
        <w:outlineLvl w:val="0"/>
        <w:rPr>
          <w:rFonts w:ascii="宋体" w:hAnsi="宋体"/>
          <w:b/>
          <w:color w:val="auto"/>
          <w:sz w:val="28"/>
          <w:highlight w:val="none"/>
        </w:rPr>
      </w:pPr>
      <w:bookmarkStart w:id="35" w:name="_Toc32017"/>
      <w:r>
        <w:rPr>
          <w:rFonts w:hint="eastAsia" w:ascii="宋体" w:hAnsi="宋体"/>
          <w:b/>
          <w:color w:val="auto"/>
          <w:sz w:val="28"/>
          <w:highlight w:val="none"/>
        </w:rPr>
        <w:t>附件5</w:t>
      </w:r>
      <w:bookmarkEnd w:id="35"/>
    </w:p>
    <w:p w14:paraId="548AEA92">
      <w:pPr>
        <w:pStyle w:val="43"/>
        <w:spacing w:before="0" w:beforeAutospacing="0" w:after="0" w:afterAutospacing="0" w:line="360" w:lineRule="auto"/>
        <w:jc w:val="center"/>
        <w:rPr>
          <w:rFonts w:eastAsia="微软雅黑"/>
          <w:color w:val="auto"/>
          <w:sz w:val="36"/>
          <w:szCs w:val="36"/>
          <w:highlight w:val="none"/>
        </w:rPr>
      </w:pPr>
      <w:bookmarkStart w:id="36" w:name="_Toc13307_WPSOffice_Level1"/>
      <w:bookmarkStart w:id="37" w:name="_Toc14261_WPSOffice_Level1"/>
      <w:r>
        <w:rPr>
          <w:rFonts w:hint="eastAsia"/>
          <w:b/>
          <w:color w:val="auto"/>
          <w:sz w:val="32"/>
          <w:szCs w:val="32"/>
          <w:highlight w:val="none"/>
        </w:rPr>
        <w:t>投标</w:t>
      </w:r>
      <w:r>
        <w:rPr>
          <w:rFonts w:hint="eastAsia"/>
          <w:b/>
          <w:bCs/>
          <w:color w:val="auto"/>
          <w:sz w:val="32"/>
          <w:szCs w:val="32"/>
          <w:highlight w:val="none"/>
        </w:rPr>
        <w:t>人基本情况表</w:t>
      </w:r>
      <w:bookmarkEnd w:id="36"/>
      <w:bookmarkEnd w:id="37"/>
    </w:p>
    <w:tbl>
      <w:tblPr>
        <w:tblStyle w:val="27"/>
        <w:tblpPr w:leftFromText="181" w:rightFromText="181" w:bottomFromText="170" w:vertAnchor="text" w:tblpXSpec="center" w:tblpY="1"/>
        <w:tblOverlap w:val="never"/>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242"/>
        <w:gridCol w:w="1275"/>
        <w:gridCol w:w="910"/>
        <w:gridCol w:w="565"/>
        <w:gridCol w:w="1255"/>
        <w:gridCol w:w="874"/>
        <w:gridCol w:w="1132"/>
        <w:gridCol w:w="1011"/>
        <w:gridCol w:w="897"/>
      </w:tblGrid>
      <w:tr w14:paraId="05AD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79" w:type="dxa"/>
            <w:tcMar>
              <w:top w:w="57" w:type="dxa"/>
              <w:left w:w="85" w:type="dxa"/>
              <w:bottom w:w="0" w:type="dxa"/>
              <w:right w:w="85" w:type="dxa"/>
            </w:tcMar>
            <w:vAlign w:val="center"/>
          </w:tcPr>
          <w:p w14:paraId="7055C471">
            <w:pPr>
              <w:pStyle w:val="43"/>
              <w:spacing w:before="0" w:beforeAutospacing="0" w:after="0" w:afterAutospacing="0"/>
              <w:jc w:val="center"/>
              <w:rPr>
                <w:bCs/>
                <w:color w:val="auto"/>
                <w:highlight w:val="none"/>
              </w:rPr>
            </w:pPr>
            <w:r>
              <w:rPr>
                <w:rFonts w:hint="eastAsia"/>
                <w:bCs/>
                <w:color w:val="auto"/>
                <w:highlight w:val="none"/>
              </w:rPr>
              <w:t>企业名称</w:t>
            </w:r>
          </w:p>
        </w:tc>
        <w:tc>
          <w:tcPr>
            <w:tcW w:w="5247" w:type="dxa"/>
            <w:gridSpan w:val="5"/>
            <w:tcMar>
              <w:top w:w="57" w:type="dxa"/>
              <w:left w:w="85" w:type="dxa"/>
              <w:bottom w:w="0" w:type="dxa"/>
              <w:right w:w="85" w:type="dxa"/>
            </w:tcMar>
            <w:vAlign w:val="center"/>
          </w:tcPr>
          <w:p w14:paraId="255E285A">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283EBD91">
            <w:pPr>
              <w:pStyle w:val="43"/>
              <w:spacing w:before="0" w:beforeAutospacing="0" w:after="0" w:afterAutospacing="0"/>
              <w:jc w:val="center"/>
              <w:rPr>
                <w:bCs/>
                <w:color w:val="auto"/>
                <w:highlight w:val="none"/>
              </w:rPr>
            </w:pPr>
            <w:r>
              <w:rPr>
                <w:rFonts w:hint="eastAsia"/>
                <w:bCs/>
                <w:color w:val="auto"/>
                <w:highlight w:val="none"/>
              </w:rPr>
              <w:t>法人代表</w:t>
            </w:r>
          </w:p>
        </w:tc>
        <w:tc>
          <w:tcPr>
            <w:tcW w:w="1908" w:type="dxa"/>
            <w:gridSpan w:val="2"/>
            <w:tcMar>
              <w:top w:w="57" w:type="dxa"/>
              <w:left w:w="85" w:type="dxa"/>
              <w:bottom w:w="0" w:type="dxa"/>
              <w:right w:w="85" w:type="dxa"/>
            </w:tcMar>
            <w:vAlign w:val="center"/>
          </w:tcPr>
          <w:p w14:paraId="09FB3859">
            <w:pPr>
              <w:pStyle w:val="43"/>
              <w:spacing w:before="0" w:beforeAutospacing="0" w:after="0" w:afterAutospacing="0"/>
              <w:jc w:val="center"/>
              <w:rPr>
                <w:bCs/>
                <w:color w:val="auto"/>
                <w:highlight w:val="none"/>
              </w:rPr>
            </w:pPr>
          </w:p>
        </w:tc>
      </w:tr>
      <w:tr w14:paraId="4053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79" w:type="dxa"/>
            <w:tcMar>
              <w:top w:w="57" w:type="dxa"/>
              <w:left w:w="85" w:type="dxa"/>
              <w:bottom w:w="0" w:type="dxa"/>
              <w:right w:w="85" w:type="dxa"/>
            </w:tcMar>
            <w:vAlign w:val="center"/>
          </w:tcPr>
          <w:p w14:paraId="6903C30E">
            <w:pPr>
              <w:pStyle w:val="43"/>
              <w:spacing w:before="0" w:beforeAutospacing="0" w:after="0" w:afterAutospacing="0"/>
              <w:jc w:val="center"/>
              <w:rPr>
                <w:bCs/>
                <w:color w:val="auto"/>
                <w:highlight w:val="none"/>
              </w:rPr>
            </w:pPr>
            <w:r>
              <w:rPr>
                <w:rFonts w:hint="eastAsia"/>
                <w:bCs/>
                <w:color w:val="auto"/>
                <w:highlight w:val="none"/>
              </w:rPr>
              <w:t>地址</w:t>
            </w:r>
          </w:p>
        </w:tc>
        <w:tc>
          <w:tcPr>
            <w:tcW w:w="5247" w:type="dxa"/>
            <w:gridSpan w:val="5"/>
            <w:tcBorders>
              <w:bottom w:val="single" w:color="auto" w:sz="4" w:space="0"/>
            </w:tcBorders>
            <w:tcMar>
              <w:top w:w="57" w:type="dxa"/>
              <w:left w:w="85" w:type="dxa"/>
              <w:bottom w:w="0" w:type="dxa"/>
              <w:right w:w="85" w:type="dxa"/>
            </w:tcMar>
            <w:vAlign w:val="center"/>
          </w:tcPr>
          <w:p w14:paraId="505EF130">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65579700">
            <w:pPr>
              <w:pStyle w:val="43"/>
              <w:spacing w:before="0" w:beforeAutospacing="0" w:after="0" w:afterAutospacing="0"/>
              <w:jc w:val="center"/>
              <w:rPr>
                <w:bCs/>
                <w:color w:val="auto"/>
                <w:highlight w:val="none"/>
              </w:rPr>
            </w:pPr>
            <w:r>
              <w:rPr>
                <w:rFonts w:hint="eastAsia"/>
                <w:bCs/>
                <w:color w:val="auto"/>
                <w:highlight w:val="none"/>
              </w:rPr>
              <w:t>企业性质</w:t>
            </w:r>
          </w:p>
        </w:tc>
        <w:tc>
          <w:tcPr>
            <w:tcW w:w="1908" w:type="dxa"/>
            <w:gridSpan w:val="2"/>
            <w:tcMar>
              <w:top w:w="57" w:type="dxa"/>
              <w:left w:w="85" w:type="dxa"/>
              <w:bottom w:w="0" w:type="dxa"/>
              <w:right w:w="85" w:type="dxa"/>
            </w:tcMar>
            <w:vAlign w:val="center"/>
          </w:tcPr>
          <w:p w14:paraId="6C48CFA9">
            <w:pPr>
              <w:pStyle w:val="43"/>
              <w:spacing w:before="0" w:beforeAutospacing="0" w:after="0" w:afterAutospacing="0"/>
              <w:jc w:val="center"/>
              <w:rPr>
                <w:bCs/>
                <w:color w:val="auto"/>
                <w:highlight w:val="none"/>
              </w:rPr>
            </w:pPr>
          </w:p>
        </w:tc>
      </w:tr>
      <w:tr w14:paraId="2A7C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79" w:type="dxa"/>
            <w:tcBorders>
              <w:bottom w:val="single" w:color="auto" w:sz="4" w:space="0"/>
            </w:tcBorders>
            <w:tcMar>
              <w:top w:w="57" w:type="dxa"/>
              <w:left w:w="85" w:type="dxa"/>
              <w:bottom w:w="0" w:type="dxa"/>
              <w:right w:w="85" w:type="dxa"/>
            </w:tcMar>
            <w:vAlign w:val="center"/>
          </w:tcPr>
          <w:p w14:paraId="5E4E598A">
            <w:pPr>
              <w:pStyle w:val="43"/>
              <w:spacing w:before="0" w:beforeAutospacing="0" w:after="0" w:afterAutospacing="0"/>
              <w:jc w:val="center"/>
              <w:rPr>
                <w:bCs/>
                <w:color w:val="auto"/>
                <w:highlight w:val="none"/>
              </w:rPr>
            </w:pPr>
            <w:r>
              <w:rPr>
                <w:rFonts w:hint="eastAsia"/>
                <w:bCs/>
                <w:color w:val="auto"/>
                <w:highlight w:val="none"/>
              </w:rPr>
              <w:t>股东姓名</w:t>
            </w:r>
          </w:p>
        </w:tc>
        <w:tc>
          <w:tcPr>
            <w:tcW w:w="1242" w:type="dxa"/>
            <w:tcBorders>
              <w:bottom w:val="single" w:color="auto" w:sz="4" w:space="0"/>
            </w:tcBorders>
            <w:tcMar>
              <w:top w:w="57" w:type="dxa"/>
              <w:left w:w="85" w:type="dxa"/>
              <w:bottom w:w="0" w:type="dxa"/>
              <w:right w:w="85" w:type="dxa"/>
            </w:tcMar>
            <w:vAlign w:val="center"/>
          </w:tcPr>
          <w:p w14:paraId="7ECDE463">
            <w:pPr>
              <w:pStyle w:val="43"/>
              <w:spacing w:before="0" w:beforeAutospacing="0" w:after="0" w:afterAutospacing="0"/>
              <w:jc w:val="center"/>
              <w:rPr>
                <w:bCs/>
                <w:color w:val="auto"/>
                <w:highlight w:val="none"/>
              </w:rPr>
            </w:pPr>
          </w:p>
        </w:tc>
        <w:tc>
          <w:tcPr>
            <w:tcW w:w="1275" w:type="dxa"/>
            <w:tcBorders>
              <w:bottom w:val="single" w:color="auto" w:sz="4" w:space="0"/>
            </w:tcBorders>
            <w:tcMar>
              <w:top w:w="57" w:type="dxa"/>
              <w:left w:w="85" w:type="dxa"/>
              <w:bottom w:w="0" w:type="dxa"/>
              <w:right w:w="85" w:type="dxa"/>
            </w:tcMar>
            <w:vAlign w:val="center"/>
          </w:tcPr>
          <w:p w14:paraId="3BBFA154">
            <w:pPr>
              <w:pStyle w:val="43"/>
              <w:spacing w:before="0" w:beforeAutospacing="0" w:after="0" w:afterAutospacing="0"/>
              <w:jc w:val="center"/>
              <w:rPr>
                <w:bCs/>
                <w:color w:val="auto"/>
                <w:highlight w:val="none"/>
              </w:rPr>
            </w:pPr>
            <w:r>
              <w:rPr>
                <w:rFonts w:hint="eastAsia"/>
                <w:bCs/>
                <w:color w:val="auto"/>
                <w:highlight w:val="none"/>
              </w:rPr>
              <w:t>股权结构（%）</w:t>
            </w:r>
          </w:p>
        </w:tc>
        <w:tc>
          <w:tcPr>
            <w:tcW w:w="2730" w:type="dxa"/>
            <w:gridSpan w:val="3"/>
            <w:tcBorders>
              <w:bottom w:val="single" w:color="auto" w:sz="4" w:space="0"/>
            </w:tcBorders>
            <w:tcMar>
              <w:top w:w="57" w:type="dxa"/>
              <w:left w:w="85" w:type="dxa"/>
              <w:bottom w:w="0" w:type="dxa"/>
              <w:right w:w="85" w:type="dxa"/>
            </w:tcMar>
            <w:vAlign w:val="center"/>
          </w:tcPr>
          <w:p w14:paraId="419CD4A1">
            <w:pPr>
              <w:widowControl/>
              <w:jc w:val="center"/>
              <w:rPr>
                <w:rFonts w:ascii="宋体" w:hAnsi="宋体" w:cs="宋体"/>
                <w:bCs/>
                <w:color w:val="auto"/>
                <w:kern w:val="0"/>
                <w:sz w:val="24"/>
                <w:highlight w:val="none"/>
              </w:rPr>
            </w:pPr>
          </w:p>
          <w:p w14:paraId="3895F869">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6C679867">
            <w:pPr>
              <w:pStyle w:val="43"/>
              <w:spacing w:before="0" w:beforeAutospacing="0" w:after="0" w:afterAutospacing="0"/>
              <w:jc w:val="center"/>
              <w:rPr>
                <w:bCs/>
                <w:color w:val="auto"/>
                <w:highlight w:val="none"/>
              </w:rPr>
            </w:pPr>
            <w:r>
              <w:rPr>
                <w:rFonts w:hint="eastAsia"/>
                <w:bCs/>
                <w:color w:val="auto"/>
                <w:highlight w:val="none"/>
              </w:rPr>
              <w:t>股东关系</w:t>
            </w:r>
          </w:p>
        </w:tc>
        <w:tc>
          <w:tcPr>
            <w:tcW w:w="1908" w:type="dxa"/>
            <w:gridSpan w:val="2"/>
            <w:tcMar>
              <w:top w:w="57" w:type="dxa"/>
              <w:left w:w="85" w:type="dxa"/>
              <w:bottom w:w="0" w:type="dxa"/>
              <w:right w:w="85" w:type="dxa"/>
            </w:tcMar>
            <w:vAlign w:val="center"/>
          </w:tcPr>
          <w:p w14:paraId="5D4E9377">
            <w:pPr>
              <w:pStyle w:val="43"/>
              <w:spacing w:before="0" w:beforeAutospacing="0" w:after="0" w:afterAutospacing="0"/>
              <w:jc w:val="center"/>
              <w:rPr>
                <w:bCs/>
                <w:color w:val="auto"/>
                <w:highlight w:val="none"/>
              </w:rPr>
            </w:pPr>
          </w:p>
        </w:tc>
      </w:tr>
      <w:tr w14:paraId="045A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79" w:type="dxa"/>
            <w:vMerge w:val="restart"/>
            <w:tcMar>
              <w:top w:w="57" w:type="dxa"/>
              <w:left w:w="85" w:type="dxa"/>
              <w:bottom w:w="0" w:type="dxa"/>
              <w:right w:w="85" w:type="dxa"/>
            </w:tcMar>
            <w:vAlign w:val="center"/>
          </w:tcPr>
          <w:p w14:paraId="750006DD">
            <w:pPr>
              <w:pStyle w:val="43"/>
              <w:spacing w:before="0" w:beforeAutospacing="0" w:after="0" w:afterAutospacing="0"/>
              <w:jc w:val="center"/>
              <w:rPr>
                <w:bCs/>
                <w:color w:val="auto"/>
                <w:highlight w:val="none"/>
              </w:rPr>
            </w:pPr>
            <w:r>
              <w:rPr>
                <w:rFonts w:hint="eastAsia"/>
                <w:bCs/>
                <w:color w:val="auto"/>
                <w:highlight w:val="none"/>
              </w:rPr>
              <w:t>联系人姓名</w:t>
            </w:r>
          </w:p>
        </w:tc>
        <w:tc>
          <w:tcPr>
            <w:tcW w:w="1242" w:type="dxa"/>
            <w:vMerge w:val="restart"/>
            <w:tcBorders>
              <w:top w:val="nil"/>
            </w:tcBorders>
            <w:tcMar>
              <w:top w:w="57" w:type="dxa"/>
              <w:left w:w="85" w:type="dxa"/>
              <w:bottom w:w="0" w:type="dxa"/>
              <w:right w:w="85" w:type="dxa"/>
            </w:tcMar>
            <w:vAlign w:val="center"/>
          </w:tcPr>
          <w:p w14:paraId="1D1446F2">
            <w:pPr>
              <w:pStyle w:val="43"/>
              <w:spacing w:before="0" w:beforeAutospacing="0" w:after="0" w:afterAutospacing="0"/>
              <w:jc w:val="center"/>
              <w:rPr>
                <w:bCs/>
                <w:color w:val="auto"/>
                <w:highlight w:val="none"/>
              </w:rPr>
            </w:pPr>
          </w:p>
        </w:tc>
        <w:tc>
          <w:tcPr>
            <w:tcW w:w="1275" w:type="dxa"/>
            <w:tcBorders>
              <w:top w:val="nil"/>
              <w:bottom w:val="single" w:color="auto" w:sz="4" w:space="0"/>
            </w:tcBorders>
            <w:tcMar>
              <w:top w:w="57" w:type="dxa"/>
              <w:left w:w="85" w:type="dxa"/>
              <w:bottom w:w="0" w:type="dxa"/>
              <w:right w:w="85" w:type="dxa"/>
            </w:tcMar>
            <w:vAlign w:val="center"/>
          </w:tcPr>
          <w:p w14:paraId="2DF272BA">
            <w:pPr>
              <w:pStyle w:val="43"/>
              <w:spacing w:before="0" w:beforeAutospacing="0" w:after="0" w:afterAutospacing="0"/>
              <w:jc w:val="center"/>
              <w:rPr>
                <w:bCs/>
                <w:color w:val="auto"/>
                <w:highlight w:val="none"/>
              </w:rPr>
            </w:pPr>
            <w:r>
              <w:rPr>
                <w:rFonts w:hint="eastAsia"/>
                <w:bCs/>
                <w:color w:val="auto"/>
                <w:highlight w:val="none"/>
              </w:rPr>
              <w:t>固定电话</w:t>
            </w:r>
          </w:p>
        </w:tc>
        <w:tc>
          <w:tcPr>
            <w:tcW w:w="2730" w:type="dxa"/>
            <w:gridSpan w:val="3"/>
            <w:tcBorders>
              <w:top w:val="nil"/>
              <w:bottom w:val="single" w:color="auto" w:sz="4" w:space="0"/>
            </w:tcBorders>
            <w:tcMar>
              <w:top w:w="57" w:type="dxa"/>
              <w:left w:w="85" w:type="dxa"/>
              <w:bottom w:w="0" w:type="dxa"/>
              <w:right w:w="85" w:type="dxa"/>
            </w:tcMar>
            <w:vAlign w:val="center"/>
          </w:tcPr>
          <w:p w14:paraId="492827FB">
            <w:pPr>
              <w:pStyle w:val="43"/>
              <w:spacing w:before="0" w:beforeAutospacing="0" w:after="0" w:afterAutospacing="0"/>
              <w:jc w:val="both"/>
              <w:rPr>
                <w:bCs/>
                <w:color w:val="auto"/>
                <w:highlight w:val="none"/>
              </w:rPr>
            </w:pPr>
          </w:p>
        </w:tc>
        <w:tc>
          <w:tcPr>
            <w:tcW w:w="2006" w:type="dxa"/>
            <w:gridSpan w:val="2"/>
            <w:vMerge w:val="restart"/>
            <w:tcMar>
              <w:top w:w="57" w:type="dxa"/>
              <w:left w:w="85" w:type="dxa"/>
              <w:bottom w:w="0" w:type="dxa"/>
              <w:right w:w="85" w:type="dxa"/>
            </w:tcMar>
            <w:vAlign w:val="center"/>
          </w:tcPr>
          <w:p w14:paraId="24929CEE">
            <w:pPr>
              <w:pStyle w:val="43"/>
              <w:spacing w:before="0" w:beforeAutospacing="0" w:after="0" w:afterAutospacing="0"/>
              <w:jc w:val="center"/>
              <w:rPr>
                <w:bCs/>
                <w:color w:val="auto"/>
                <w:highlight w:val="none"/>
              </w:rPr>
            </w:pPr>
            <w:r>
              <w:rPr>
                <w:rFonts w:hint="eastAsia"/>
                <w:bCs/>
                <w:color w:val="auto"/>
                <w:highlight w:val="none"/>
              </w:rPr>
              <w:t>传真</w:t>
            </w:r>
          </w:p>
        </w:tc>
        <w:tc>
          <w:tcPr>
            <w:tcW w:w="1908" w:type="dxa"/>
            <w:gridSpan w:val="2"/>
            <w:vMerge w:val="restart"/>
            <w:tcMar>
              <w:top w:w="57" w:type="dxa"/>
              <w:left w:w="85" w:type="dxa"/>
              <w:bottom w:w="0" w:type="dxa"/>
              <w:right w:w="85" w:type="dxa"/>
            </w:tcMar>
            <w:vAlign w:val="center"/>
          </w:tcPr>
          <w:p w14:paraId="279B1AA6">
            <w:pPr>
              <w:pStyle w:val="43"/>
              <w:spacing w:before="0" w:beforeAutospacing="0" w:after="0" w:afterAutospacing="0"/>
              <w:jc w:val="center"/>
              <w:rPr>
                <w:bCs/>
                <w:color w:val="auto"/>
                <w:highlight w:val="none"/>
              </w:rPr>
            </w:pPr>
          </w:p>
        </w:tc>
      </w:tr>
      <w:tr w14:paraId="644A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79" w:type="dxa"/>
            <w:vMerge w:val="continue"/>
            <w:tcBorders>
              <w:bottom w:val="single" w:color="auto" w:sz="4" w:space="0"/>
            </w:tcBorders>
            <w:tcMar>
              <w:top w:w="57" w:type="dxa"/>
              <w:left w:w="85" w:type="dxa"/>
              <w:bottom w:w="0" w:type="dxa"/>
              <w:right w:w="85" w:type="dxa"/>
            </w:tcMar>
            <w:vAlign w:val="center"/>
          </w:tcPr>
          <w:p w14:paraId="0E4BC7EF">
            <w:pPr>
              <w:pStyle w:val="43"/>
              <w:spacing w:before="0" w:beforeAutospacing="0" w:after="0" w:afterAutospacing="0"/>
              <w:jc w:val="center"/>
              <w:rPr>
                <w:bCs/>
                <w:color w:val="auto"/>
                <w:highlight w:val="none"/>
              </w:rPr>
            </w:pPr>
          </w:p>
        </w:tc>
        <w:tc>
          <w:tcPr>
            <w:tcW w:w="1242" w:type="dxa"/>
            <w:vMerge w:val="continue"/>
            <w:tcBorders>
              <w:bottom w:val="single" w:color="auto" w:sz="4" w:space="0"/>
            </w:tcBorders>
            <w:tcMar>
              <w:top w:w="57" w:type="dxa"/>
              <w:left w:w="85" w:type="dxa"/>
              <w:bottom w:w="0" w:type="dxa"/>
              <w:right w:w="85" w:type="dxa"/>
            </w:tcMar>
            <w:vAlign w:val="center"/>
          </w:tcPr>
          <w:p w14:paraId="0C41CA82">
            <w:pPr>
              <w:pStyle w:val="43"/>
              <w:spacing w:before="0" w:beforeAutospacing="0" w:after="0" w:afterAutospacing="0"/>
              <w:jc w:val="center"/>
              <w:rPr>
                <w:bCs/>
                <w:color w:val="auto"/>
                <w:highlight w:val="none"/>
              </w:rPr>
            </w:pPr>
          </w:p>
        </w:tc>
        <w:tc>
          <w:tcPr>
            <w:tcW w:w="1275" w:type="dxa"/>
            <w:tcBorders>
              <w:bottom w:val="single" w:color="auto" w:sz="4" w:space="0"/>
            </w:tcBorders>
            <w:tcMar>
              <w:top w:w="57" w:type="dxa"/>
              <w:left w:w="85" w:type="dxa"/>
              <w:bottom w:w="0" w:type="dxa"/>
              <w:right w:w="85" w:type="dxa"/>
            </w:tcMar>
            <w:vAlign w:val="center"/>
          </w:tcPr>
          <w:p w14:paraId="530296EC">
            <w:pPr>
              <w:pStyle w:val="43"/>
              <w:spacing w:before="0" w:beforeAutospacing="0" w:after="0" w:afterAutospacing="0"/>
              <w:jc w:val="center"/>
              <w:rPr>
                <w:bCs/>
                <w:color w:val="auto"/>
                <w:highlight w:val="none"/>
              </w:rPr>
            </w:pPr>
            <w:r>
              <w:rPr>
                <w:rFonts w:hint="eastAsia"/>
                <w:bCs/>
                <w:color w:val="auto"/>
                <w:highlight w:val="none"/>
              </w:rPr>
              <w:t>手机</w:t>
            </w:r>
          </w:p>
        </w:tc>
        <w:tc>
          <w:tcPr>
            <w:tcW w:w="2730" w:type="dxa"/>
            <w:gridSpan w:val="3"/>
            <w:tcBorders>
              <w:bottom w:val="single" w:color="auto" w:sz="4" w:space="0"/>
            </w:tcBorders>
            <w:tcMar>
              <w:top w:w="57" w:type="dxa"/>
              <w:left w:w="85" w:type="dxa"/>
              <w:bottom w:w="0" w:type="dxa"/>
              <w:right w:w="85" w:type="dxa"/>
            </w:tcMar>
            <w:vAlign w:val="center"/>
          </w:tcPr>
          <w:p w14:paraId="2564B055">
            <w:pPr>
              <w:pStyle w:val="43"/>
              <w:spacing w:before="0" w:beforeAutospacing="0" w:after="0" w:afterAutospacing="0"/>
              <w:jc w:val="both"/>
              <w:rPr>
                <w:bCs/>
                <w:color w:val="auto"/>
                <w:highlight w:val="none"/>
              </w:rPr>
            </w:pPr>
          </w:p>
        </w:tc>
        <w:tc>
          <w:tcPr>
            <w:tcW w:w="2006" w:type="dxa"/>
            <w:gridSpan w:val="2"/>
            <w:vMerge w:val="continue"/>
            <w:tcMar>
              <w:top w:w="57" w:type="dxa"/>
              <w:left w:w="85" w:type="dxa"/>
              <w:bottom w:w="0" w:type="dxa"/>
              <w:right w:w="85" w:type="dxa"/>
            </w:tcMar>
            <w:vAlign w:val="center"/>
          </w:tcPr>
          <w:p w14:paraId="22CD6321">
            <w:pPr>
              <w:pStyle w:val="43"/>
              <w:spacing w:before="0" w:beforeAutospacing="0" w:after="0" w:afterAutospacing="0"/>
              <w:jc w:val="center"/>
              <w:rPr>
                <w:bCs/>
                <w:color w:val="auto"/>
                <w:highlight w:val="none"/>
              </w:rPr>
            </w:pPr>
          </w:p>
        </w:tc>
        <w:tc>
          <w:tcPr>
            <w:tcW w:w="1908" w:type="dxa"/>
            <w:gridSpan w:val="2"/>
            <w:vMerge w:val="continue"/>
            <w:tcMar>
              <w:top w:w="57" w:type="dxa"/>
              <w:left w:w="85" w:type="dxa"/>
              <w:bottom w:w="0" w:type="dxa"/>
              <w:right w:w="85" w:type="dxa"/>
            </w:tcMar>
            <w:vAlign w:val="center"/>
          </w:tcPr>
          <w:p w14:paraId="3C60AFF2">
            <w:pPr>
              <w:pStyle w:val="43"/>
              <w:spacing w:before="0" w:beforeAutospacing="0" w:after="0" w:afterAutospacing="0"/>
              <w:jc w:val="center"/>
              <w:rPr>
                <w:bCs/>
                <w:color w:val="auto"/>
                <w:highlight w:val="none"/>
              </w:rPr>
            </w:pPr>
          </w:p>
        </w:tc>
      </w:tr>
      <w:tr w14:paraId="0471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79" w:type="dxa"/>
            <w:vMerge w:val="restart"/>
            <w:tcMar>
              <w:top w:w="57" w:type="dxa"/>
              <w:left w:w="85" w:type="dxa"/>
              <w:bottom w:w="0" w:type="dxa"/>
              <w:right w:w="85" w:type="dxa"/>
            </w:tcMar>
            <w:vAlign w:val="center"/>
          </w:tcPr>
          <w:p w14:paraId="207FCCE2">
            <w:pPr>
              <w:pStyle w:val="43"/>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61E3B6A4">
            <w:pPr>
              <w:pStyle w:val="43"/>
              <w:spacing w:before="0" w:beforeAutospacing="0" w:after="0" w:afterAutospacing="0"/>
              <w:jc w:val="center"/>
              <w:rPr>
                <w:bCs/>
                <w:color w:val="auto"/>
                <w:highlight w:val="none"/>
              </w:rPr>
            </w:pPr>
            <w:r>
              <w:rPr>
                <w:rFonts w:hint="eastAsia"/>
                <w:bCs/>
                <w:color w:val="auto"/>
                <w:highlight w:val="none"/>
              </w:rPr>
              <w:t>企</w:t>
            </w:r>
          </w:p>
          <w:p w14:paraId="77E2A8C9">
            <w:pPr>
              <w:pStyle w:val="43"/>
              <w:spacing w:before="0" w:beforeAutospacing="0" w:after="0" w:afterAutospacing="0"/>
              <w:jc w:val="center"/>
              <w:rPr>
                <w:bCs/>
                <w:color w:val="auto"/>
                <w:highlight w:val="none"/>
              </w:rPr>
            </w:pPr>
            <w:r>
              <w:rPr>
                <w:rFonts w:hint="eastAsia"/>
                <w:bCs/>
                <w:color w:val="auto"/>
                <w:highlight w:val="none"/>
              </w:rPr>
              <w:t>业</w:t>
            </w:r>
          </w:p>
          <w:p w14:paraId="4D7226D9">
            <w:pPr>
              <w:pStyle w:val="43"/>
              <w:spacing w:before="0" w:beforeAutospacing="0" w:after="0" w:afterAutospacing="0"/>
              <w:jc w:val="center"/>
              <w:rPr>
                <w:bCs/>
                <w:color w:val="auto"/>
                <w:highlight w:val="none"/>
              </w:rPr>
            </w:pPr>
            <w:r>
              <w:rPr>
                <w:rFonts w:hint="eastAsia"/>
                <w:bCs/>
                <w:color w:val="auto"/>
                <w:highlight w:val="none"/>
              </w:rPr>
              <w:t>概</w:t>
            </w:r>
          </w:p>
          <w:p w14:paraId="2F49282D">
            <w:pPr>
              <w:pStyle w:val="43"/>
              <w:spacing w:before="0" w:beforeAutospacing="0" w:after="0" w:afterAutospacing="0"/>
              <w:jc w:val="center"/>
              <w:rPr>
                <w:bCs/>
                <w:color w:val="auto"/>
                <w:highlight w:val="none"/>
              </w:rPr>
            </w:pPr>
            <w:r>
              <w:rPr>
                <w:rFonts w:hint="eastAsia"/>
                <w:bCs/>
                <w:color w:val="auto"/>
                <w:highlight w:val="none"/>
              </w:rPr>
              <w:t>况</w:t>
            </w:r>
          </w:p>
        </w:tc>
        <w:tc>
          <w:tcPr>
            <w:tcW w:w="1242" w:type="dxa"/>
            <w:tcBorders>
              <w:top w:val="nil"/>
            </w:tcBorders>
            <w:tcMar>
              <w:top w:w="57" w:type="dxa"/>
              <w:left w:w="85" w:type="dxa"/>
              <w:bottom w:w="0" w:type="dxa"/>
              <w:right w:w="85" w:type="dxa"/>
            </w:tcMar>
            <w:vAlign w:val="center"/>
          </w:tcPr>
          <w:p w14:paraId="24971BEB">
            <w:pPr>
              <w:pStyle w:val="43"/>
              <w:spacing w:before="0" w:beforeAutospacing="0" w:after="0" w:afterAutospacing="0"/>
              <w:jc w:val="center"/>
              <w:rPr>
                <w:bCs/>
                <w:color w:val="auto"/>
                <w:highlight w:val="none"/>
              </w:rPr>
            </w:pPr>
            <w:r>
              <w:rPr>
                <w:rFonts w:hint="eastAsia"/>
                <w:bCs/>
                <w:color w:val="auto"/>
                <w:highlight w:val="none"/>
              </w:rPr>
              <w:t>职工人数</w:t>
            </w:r>
          </w:p>
        </w:tc>
        <w:tc>
          <w:tcPr>
            <w:tcW w:w="1275" w:type="dxa"/>
            <w:tcBorders>
              <w:top w:val="nil"/>
            </w:tcBorders>
            <w:tcMar>
              <w:top w:w="57" w:type="dxa"/>
              <w:left w:w="85" w:type="dxa"/>
              <w:bottom w:w="0" w:type="dxa"/>
              <w:right w:w="85" w:type="dxa"/>
            </w:tcMar>
            <w:vAlign w:val="center"/>
          </w:tcPr>
          <w:p w14:paraId="5416CA7B">
            <w:pPr>
              <w:pStyle w:val="43"/>
              <w:spacing w:before="0" w:beforeAutospacing="0" w:after="0" w:afterAutospacing="0"/>
              <w:jc w:val="center"/>
              <w:rPr>
                <w:bCs/>
                <w:color w:val="auto"/>
                <w:highlight w:val="none"/>
              </w:rPr>
            </w:pPr>
          </w:p>
        </w:tc>
        <w:tc>
          <w:tcPr>
            <w:tcW w:w="1475" w:type="dxa"/>
            <w:gridSpan w:val="2"/>
            <w:tcBorders>
              <w:top w:val="nil"/>
            </w:tcBorders>
            <w:tcMar>
              <w:top w:w="57" w:type="dxa"/>
              <w:left w:w="85" w:type="dxa"/>
              <w:bottom w:w="0" w:type="dxa"/>
              <w:right w:w="85" w:type="dxa"/>
            </w:tcMar>
            <w:vAlign w:val="center"/>
          </w:tcPr>
          <w:p w14:paraId="0962AECC">
            <w:pPr>
              <w:pStyle w:val="43"/>
              <w:spacing w:before="0" w:beforeAutospacing="0" w:after="0" w:afterAutospacing="0"/>
              <w:jc w:val="center"/>
              <w:rPr>
                <w:bCs/>
                <w:color w:val="auto"/>
                <w:highlight w:val="none"/>
              </w:rPr>
            </w:pPr>
            <w:r>
              <w:rPr>
                <w:rFonts w:hint="eastAsia"/>
                <w:bCs/>
                <w:color w:val="auto"/>
                <w:highlight w:val="none"/>
              </w:rPr>
              <w:t>具备大专以上学历人数</w:t>
            </w:r>
          </w:p>
        </w:tc>
        <w:tc>
          <w:tcPr>
            <w:tcW w:w="1255" w:type="dxa"/>
            <w:tcBorders>
              <w:top w:val="nil"/>
            </w:tcBorders>
            <w:tcMar>
              <w:top w:w="57" w:type="dxa"/>
              <w:left w:w="85" w:type="dxa"/>
              <w:bottom w:w="0" w:type="dxa"/>
              <w:right w:w="85" w:type="dxa"/>
            </w:tcMar>
            <w:vAlign w:val="center"/>
          </w:tcPr>
          <w:p w14:paraId="29D880FB">
            <w:pPr>
              <w:widowControl/>
              <w:jc w:val="center"/>
              <w:rPr>
                <w:rFonts w:ascii="宋体" w:hAnsi="宋体" w:cs="宋体"/>
                <w:bCs/>
                <w:color w:val="auto"/>
                <w:kern w:val="0"/>
                <w:sz w:val="24"/>
                <w:highlight w:val="none"/>
              </w:rPr>
            </w:pPr>
          </w:p>
          <w:p w14:paraId="71D8F1DA">
            <w:pPr>
              <w:widowControl/>
              <w:jc w:val="center"/>
              <w:rPr>
                <w:rFonts w:ascii="宋体" w:hAnsi="宋体" w:cs="宋体"/>
                <w:bCs/>
                <w:color w:val="auto"/>
                <w:kern w:val="0"/>
                <w:sz w:val="24"/>
                <w:highlight w:val="none"/>
              </w:rPr>
            </w:pPr>
          </w:p>
          <w:p w14:paraId="2AC31BC7">
            <w:pPr>
              <w:pStyle w:val="43"/>
              <w:spacing w:before="0" w:beforeAutospacing="0" w:after="0" w:afterAutospacing="0"/>
              <w:jc w:val="center"/>
              <w:rPr>
                <w:bCs/>
                <w:color w:val="auto"/>
                <w:highlight w:val="none"/>
              </w:rPr>
            </w:pPr>
          </w:p>
        </w:tc>
        <w:tc>
          <w:tcPr>
            <w:tcW w:w="2006" w:type="dxa"/>
            <w:gridSpan w:val="2"/>
            <w:tcMar>
              <w:top w:w="57" w:type="dxa"/>
              <w:left w:w="85" w:type="dxa"/>
              <w:bottom w:w="0" w:type="dxa"/>
              <w:right w:w="85" w:type="dxa"/>
            </w:tcMar>
            <w:vAlign w:val="center"/>
          </w:tcPr>
          <w:p w14:paraId="1A0D6435">
            <w:pPr>
              <w:pStyle w:val="43"/>
              <w:spacing w:before="0" w:beforeAutospacing="0" w:after="0" w:afterAutospacing="0"/>
              <w:jc w:val="center"/>
              <w:rPr>
                <w:bCs/>
                <w:color w:val="auto"/>
                <w:highlight w:val="none"/>
              </w:rPr>
            </w:pPr>
            <w:r>
              <w:rPr>
                <w:rFonts w:hint="eastAsia"/>
                <w:bCs/>
                <w:color w:val="auto"/>
                <w:highlight w:val="none"/>
              </w:rPr>
              <w:t>国家授予技术职称人数</w:t>
            </w:r>
          </w:p>
        </w:tc>
        <w:tc>
          <w:tcPr>
            <w:tcW w:w="1908" w:type="dxa"/>
            <w:gridSpan w:val="2"/>
            <w:tcMar>
              <w:top w:w="57" w:type="dxa"/>
              <w:left w:w="85" w:type="dxa"/>
              <w:bottom w:w="0" w:type="dxa"/>
              <w:right w:w="85" w:type="dxa"/>
            </w:tcMar>
            <w:vAlign w:val="center"/>
          </w:tcPr>
          <w:p w14:paraId="0ECA009A">
            <w:pPr>
              <w:widowControl/>
              <w:jc w:val="center"/>
              <w:rPr>
                <w:rFonts w:ascii="宋体" w:hAnsi="宋体" w:cs="宋体"/>
                <w:bCs/>
                <w:color w:val="auto"/>
                <w:kern w:val="0"/>
                <w:sz w:val="24"/>
                <w:highlight w:val="none"/>
              </w:rPr>
            </w:pPr>
          </w:p>
          <w:p w14:paraId="7685C206">
            <w:pPr>
              <w:pStyle w:val="43"/>
              <w:spacing w:before="0" w:beforeAutospacing="0" w:after="0" w:afterAutospacing="0"/>
              <w:jc w:val="center"/>
              <w:rPr>
                <w:bCs/>
                <w:color w:val="auto"/>
                <w:highlight w:val="none"/>
              </w:rPr>
            </w:pPr>
          </w:p>
        </w:tc>
      </w:tr>
      <w:tr w14:paraId="1346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79" w:type="dxa"/>
            <w:vMerge w:val="continue"/>
            <w:tcMar>
              <w:top w:w="57" w:type="dxa"/>
              <w:left w:w="85" w:type="dxa"/>
              <w:bottom w:w="0" w:type="dxa"/>
              <w:right w:w="85" w:type="dxa"/>
            </w:tcMar>
            <w:vAlign w:val="center"/>
          </w:tcPr>
          <w:p w14:paraId="0ADF14B2">
            <w:pPr>
              <w:pStyle w:val="43"/>
              <w:spacing w:before="0" w:beforeAutospacing="0" w:after="0" w:afterAutospacing="0"/>
              <w:jc w:val="center"/>
              <w:rPr>
                <w:bCs/>
                <w:color w:val="auto"/>
                <w:highlight w:val="none"/>
              </w:rPr>
            </w:pPr>
          </w:p>
        </w:tc>
        <w:tc>
          <w:tcPr>
            <w:tcW w:w="1242" w:type="dxa"/>
            <w:tcMar>
              <w:top w:w="57" w:type="dxa"/>
              <w:left w:w="85" w:type="dxa"/>
              <w:bottom w:w="0" w:type="dxa"/>
              <w:right w:w="85" w:type="dxa"/>
            </w:tcMar>
            <w:vAlign w:val="center"/>
          </w:tcPr>
          <w:p w14:paraId="2B29B1DA">
            <w:pPr>
              <w:pStyle w:val="43"/>
              <w:spacing w:before="0" w:beforeAutospacing="0" w:after="0" w:afterAutospacing="0"/>
              <w:jc w:val="center"/>
              <w:rPr>
                <w:bCs/>
                <w:color w:val="auto"/>
                <w:highlight w:val="none"/>
              </w:rPr>
            </w:pPr>
            <w:r>
              <w:rPr>
                <w:rFonts w:hint="eastAsia"/>
                <w:bCs/>
                <w:color w:val="auto"/>
                <w:highlight w:val="none"/>
              </w:rPr>
              <w:t>占地面积</w:t>
            </w:r>
          </w:p>
        </w:tc>
        <w:tc>
          <w:tcPr>
            <w:tcW w:w="1275" w:type="dxa"/>
            <w:tcMar>
              <w:top w:w="57" w:type="dxa"/>
              <w:left w:w="85" w:type="dxa"/>
              <w:bottom w:w="0" w:type="dxa"/>
              <w:right w:w="85" w:type="dxa"/>
            </w:tcMar>
            <w:vAlign w:val="center"/>
          </w:tcPr>
          <w:p w14:paraId="7998D315">
            <w:pPr>
              <w:pStyle w:val="43"/>
              <w:spacing w:before="0" w:beforeAutospacing="0" w:after="0" w:afterAutospacing="0"/>
              <w:jc w:val="center"/>
              <w:rPr>
                <w:bCs/>
                <w:color w:val="auto"/>
                <w:highlight w:val="none"/>
              </w:rPr>
            </w:pPr>
          </w:p>
        </w:tc>
        <w:tc>
          <w:tcPr>
            <w:tcW w:w="1475" w:type="dxa"/>
            <w:gridSpan w:val="2"/>
            <w:tcMar>
              <w:top w:w="57" w:type="dxa"/>
              <w:left w:w="85" w:type="dxa"/>
              <w:bottom w:w="0" w:type="dxa"/>
              <w:right w:w="85" w:type="dxa"/>
            </w:tcMar>
            <w:vAlign w:val="center"/>
          </w:tcPr>
          <w:p w14:paraId="76E6B321">
            <w:pPr>
              <w:pStyle w:val="43"/>
              <w:spacing w:before="0" w:beforeAutospacing="0" w:after="0" w:afterAutospacing="0"/>
              <w:jc w:val="center"/>
              <w:rPr>
                <w:bCs/>
                <w:color w:val="auto"/>
                <w:highlight w:val="none"/>
              </w:rPr>
            </w:pPr>
            <w:r>
              <w:rPr>
                <w:rFonts w:hint="eastAsia"/>
                <w:bCs/>
                <w:color w:val="auto"/>
                <w:highlight w:val="none"/>
              </w:rPr>
              <w:t>建筑面积</w:t>
            </w:r>
          </w:p>
        </w:tc>
        <w:tc>
          <w:tcPr>
            <w:tcW w:w="1255" w:type="dxa"/>
            <w:tcMar>
              <w:top w:w="57" w:type="dxa"/>
              <w:left w:w="85" w:type="dxa"/>
              <w:bottom w:w="0" w:type="dxa"/>
              <w:right w:w="85" w:type="dxa"/>
            </w:tcMar>
            <w:vAlign w:val="center"/>
          </w:tcPr>
          <w:p w14:paraId="0B72E56A">
            <w:pPr>
              <w:pStyle w:val="43"/>
              <w:spacing w:before="0" w:beforeAutospacing="0" w:after="0" w:afterAutospacing="0"/>
              <w:jc w:val="center"/>
              <w:rPr>
                <w:bCs/>
                <w:color w:val="auto"/>
                <w:highlight w:val="none"/>
              </w:rPr>
            </w:pPr>
            <w:r>
              <w:rPr>
                <w:rFonts w:hint="eastAsia"/>
                <w:bCs/>
                <w:color w:val="auto"/>
                <w:highlight w:val="none"/>
              </w:rPr>
              <w:t>平方米</w:t>
            </w:r>
          </w:p>
          <w:p w14:paraId="51D7C0B0">
            <w:pPr>
              <w:pStyle w:val="43"/>
              <w:spacing w:before="0" w:beforeAutospacing="0" w:after="0" w:afterAutospacing="0"/>
              <w:jc w:val="center"/>
              <w:rPr>
                <w:bCs/>
                <w:color w:val="auto"/>
                <w:highlight w:val="none"/>
              </w:rPr>
            </w:pPr>
            <w:r>
              <w:rPr>
                <w:rFonts w:hint="eastAsia"/>
                <w:bCs/>
                <w:color w:val="auto"/>
                <w:highlight w:val="none"/>
              </w:rPr>
              <w:t>□自有</w:t>
            </w:r>
          </w:p>
          <w:p w14:paraId="5D080E15">
            <w:pPr>
              <w:pStyle w:val="43"/>
              <w:spacing w:before="0" w:beforeAutospacing="0" w:after="0" w:afterAutospacing="0"/>
              <w:jc w:val="center"/>
              <w:rPr>
                <w:bCs/>
                <w:color w:val="auto"/>
                <w:highlight w:val="none"/>
              </w:rPr>
            </w:pPr>
            <w:r>
              <w:rPr>
                <w:rFonts w:hint="eastAsia"/>
                <w:bCs/>
                <w:color w:val="auto"/>
                <w:highlight w:val="none"/>
              </w:rPr>
              <w:t>□租赁</w:t>
            </w:r>
          </w:p>
        </w:tc>
        <w:tc>
          <w:tcPr>
            <w:tcW w:w="2006" w:type="dxa"/>
            <w:gridSpan w:val="2"/>
            <w:tcMar>
              <w:top w:w="57" w:type="dxa"/>
              <w:left w:w="85" w:type="dxa"/>
              <w:bottom w:w="0" w:type="dxa"/>
              <w:right w:w="85" w:type="dxa"/>
            </w:tcMar>
            <w:vAlign w:val="center"/>
          </w:tcPr>
          <w:p w14:paraId="191115EC">
            <w:pPr>
              <w:pStyle w:val="43"/>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1908" w:type="dxa"/>
            <w:gridSpan w:val="2"/>
            <w:tcMar>
              <w:top w:w="57" w:type="dxa"/>
              <w:left w:w="85" w:type="dxa"/>
              <w:bottom w:w="0" w:type="dxa"/>
              <w:right w:w="85" w:type="dxa"/>
            </w:tcMar>
            <w:vAlign w:val="center"/>
          </w:tcPr>
          <w:p w14:paraId="3F82AD7D">
            <w:pPr>
              <w:pStyle w:val="43"/>
              <w:spacing w:before="0" w:beforeAutospacing="0" w:after="0" w:afterAutospacing="0"/>
              <w:jc w:val="center"/>
              <w:rPr>
                <w:bCs/>
                <w:color w:val="auto"/>
                <w:highlight w:val="none"/>
              </w:rPr>
            </w:pPr>
          </w:p>
        </w:tc>
      </w:tr>
      <w:tr w14:paraId="3CD4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79" w:type="dxa"/>
            <w:vMerge w:val="continue"/>
            <w:tcMar>
              <w:top w:w="57" w:type="dxa"/>
              <w:left w:w="85" w:type="dxa"/>
              <w:bottom w:w="0" w:type="dxa"/>
              <w:right w:w="85" w:type="dxa"/>
            </w:tcMar>
            <w:vAlign w:val="center"/>
          </w:tcPr>
          <w:p w14:paraId="11FA482A">
            <w:pPr>
              <w:pStyle w:val="43"/>
              <w:spacing w:before="0" w:beforeAutospacing="0" w:after="0" w:afterAutospacing="0"/>
              <w:jc w:val="center"/>
              <w:rPr>
                <w:bCs/>
                <w:color w:val="auto"/>
                <w:highlight w:val="none"/>
              </w:rPr>
            </w:pPr>
          </w:p>
        </w:tc>
        <w:tc>
          <w:tcPr>
            <w:tcW w:w="1242" w:type="dxa"/>
            <w:tcMar>
              <w:top w:w="57" w:type="dxa"/>
              <w:left w:w="85" w:type="dxa"/>
              <w:bottom w:w="0" w:type="dxa"/>
              <w:right w:w="85" w:type="dxa"/>
            </w:tcMar>
            <w:vAlign w:val="center"/>
          </w:tcPr>
          <w:p w14:paraId="49AF29E1">
            <w:pPr>
              <w:pStyle w:val="43"/>
              <w:spacing w:before="0" w:beforeAutospacing="0" w:after="0" w:afterAutospacing="0"/>
              <w:jc w:val="center"/>
              <w:rPr>
                <w:bCs/>
                <w:color w:val="auto"/>
                <w:highlight w:val="none"/>
              </w:rPr>
            </w:pPr>
            <w:r>
              <w:rPr>
                <w:rFonts w:hint="eastAsia"/>
                <w:bCs/>
                <w:color w:val="auto"/>
                <w:highlight w:val="none"/>
              </w:rPr>
              <w:t>注册资金</w:t>
            </w:r>
          </w:p>
        </w:tc>
        <w:tc>
          <w:tcPr>
            <w:tcW w:w="1275" w:type="dxa"/>
            <w:tcMar>
              <w:top w:w="57" w:type="dxa"/>
              <w:left w:w="85" w:type="dxa"/>
              <w:bottom w:w="0" w:type="dxa"/>
              <w:right w:w="85" w:type="dxa"/>
            </w:tcMar>
            <w:vAlign w:val="center"/>
          </w:tcPr>
          <w:p w14:paraId="5FE68689">
            <w:pPr>
              <w:pStyle w:val="43"/>
              <w:spacing w:before="0" w:beforeAutospacing="0" w:after="0" w:afterAutospacing="0"/>
              <w:jc w:val="center"/>
              <w:rPr>
                <w:bCs/>
                <w:color w:val="auto"/>
                <w:highlight w:val="none"/>
              </w:rPr>
            </w:pPr>
          </w:p>
        </w:tc>
        <w:tc>
          <w:tcPr>
            <w:tcW w:w="1475" w:type="dxa"/>
            <w:gridSpan w:val="2"/>
            <w:tcMar>
              <w:top w:w="57" w:type="dxa"/>
              <w:left w:w="85" w:type="dxa"/>
              <w:bottom w:w="0" w:type="dxa"/>
              <w:right w:w="85" w:type="dxa"/>
            </w:tcMar>
            <w:vAlign w:val="center"/>
          </w:tcPr>
          <w:p w14:paraId="29C421E5">
            <w:pPr>
              <w:pStyle w:val="43"/>
              <w:spacing w:before="0" w:beforeAutospacing="0" w:after="0" w:afterAutospacing="0"/>
              <w:jc w:val="center"/>
              <w:rPr>
                <w:bCs/>
                <w:color w:val="auto"/>
                <w:highlight w:val="none"/>
              </w:rPr>
            </w:pPr>
            <w:r>
              <w:rPr>
                <w:rFonts w:hint="eastAsia"/>
                <w:bCs/>
                <w:color w:val="auto"/>
                <w:highlight w:val="none"/>
              </w:rPr>
              <w:t>注册发证机关</w:t>
            </w:r>
          </w:p>
        </w:tc>
        <w:tc>
          <w:tcPr>
            <w:tcW w:w="3261" w:type="dxa"/>
            <w:gridSpan w:val="3"/>
            <w:tcMar>
              <w:top w:w="57" w:type="dxa"/>
              <w:left w:w="85" w:type="dxa"/>
              <w:bottom w:w="0" w:type="dxa"/>
              <w:right w:w="85" w:type="dxa"/>
            </w:tcMar>
            <w:vAlign w:val="center"/>
          </w:tcPr>
          <w:p w14:paraId="645505C9">
            <w:pPr>
              <w:widowControl/>
              <w:jc w:val="center"/>
              <w:rPr>
                <w:rFonts w:ascii="宋体" w:hAnsi="宋体" w:cs="宋体"/>
                <w:bCs/>
                <w:color w:val="auto"/>
                <w:kern w:val="0"/>
                <w:sz w:val="24"/>
                <w:highlight w:val="none"/>
              </w:rPr>
            </w:pPr>
          </w:p>
          <w:p w14:paraId="2CCBE7AE">
            <w:pPr>
              <w:pStyle w:val="43"/>
              <w:spacing w:before="0" w:beforeAutospacing="0" w:after="0" w:afterAutospacing="0"/>
              <w:jc w:val="center"/>
              <w:rPr>
                <w:bCs/>
                <w:color w:val="auto"/>
                <w:highlight w:val="none"/>
              </w:rPr>
            </w:pPr>
          </w:p>
        </w:tc>
        <w:tc>
          <w:tcPr>
            <w:tcW w:w="1011" w:type="dxa"/>
            <w:tcMar>
              <w:top w:w="57" w:type="dxa"/>
              <w:left w:w="85" w:type="dxa"/>
              <w:bottom w:w="0" w:type="dxa"/>
              <w:right w:w="85" w:type="dxa"/>
            </w:tcMar>
            <w:vAlign w:val="center"/>
          </w:tcPr>
          <w:p w14:paraId="2583DB20">
            <w:pPr>
              <w:pStyle w:val="43"/>
              <w:spacing w:before="0" w:beforeAutospacing="0" w:after="0" w:afterAutospacing="0"/>
              <w:jc w:val="center"/>
              <w:rPr>
                <w:bCs/>
                <w:color w:val="auto"/>
                <w:highlight w:val="none"/>
              </w:rPr>
            </w:pPr>
            <w:r>
              <w:rPr>
                <w:rFonts w:hint="eastAsia"/>
                <w:bCs/>
                <w:color w:val="auto"/>
                <w:highlight w:val="none"/>
              </w:rPr>
              <w:t>公司成立时间</w:t>
            </w:r>
          </w:p>
        </w:tc>
        <w:tc>
          <w:tcPr>
            <w:tcW w:w="897" w:type="dxa"/>
            <w:tcMar>
              <w:top w:w="57" w:type="dxa"/>
              <w:left w:w="85" w:type="dxa"/>
              <w:bottom w:w="0" w:type="dxa"/>
              <w:right w:w="85" w:type="dxa"/>
            </w:tcMar>
            <w:vAlign w:val="center"/>
          </w:tcPr>
          <w:p w14:paraId="4E7A1717">
            <w:pPr>
              <w:pStyle w:val="43"/>
              <w:spacing w:before="0" w:beforeAutospacing="0" w:after="0" w:afterAutospacing="0"/>
              <w:jc w:val="center"/>
              <w:rPr>
                <w:bCs/>
                <w:color w:val="auto"/>
                <w:highlight w:val="none"/>
              </w:rPr>
            </w:pPr>
          </w:p>
        </w:tc>
      </w:tr>
      <w:tr w14:paraId="4651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079" w:type="dxa"/>
            <w:vMerge w:val="continue"/>
            <w:tcMar>
              <w:top w:w="57" w:type="dxa"/>
              <w:left w:w="85" w:type="dxa"/>
              <w:bottom w:w="0" w:type="dxa"/>
              <w:right w:w="85" w:type="dxa"/>
            </w:tcMar>
            <w:vAlign w:val="center"/>
          </w:tcPr>
          <w:p w14:paraId="487A742B">
            <w:pPr>
              <w:pStyle w:val="43"/>
              <w:spacing w:before="0" w:beforeAutospacing="0" w:after="0" w:afterAutospacing="0"/>
              <w:jc w:val="center"/>
              <w:rPr>
                <w:bCs/>
                <w:color w:val="auto"/>
                <w:highlight w:val="none"/>
              </w:rPr>
            </w:pPr>
          </w:p>
        </w:tc>
        <w:tc>
          <w:tcPr>
            <w:tcW w:w="1242" w:type="dxa"/>
            <w:tcMar>
              <w:top w:w="57" w:type="dxa"/>
              <w:left w:w="85" w:type="dxa"/>
              <w:bottom w:w="0" w:type="dxa"/>
              <w:right w:w="85" w:type="dxa"/>
            </w:tcMar>
            <w:vAlign w:val="center"/>
          </w:tcPr>
          <w:p w14:paraId="1CC76A71">
            <w:pPr>
              <w:pStyle w:val="43"/>
              <w:spacing w:before="0" w:beforeAutospacing="0" w:after="0" w:afterAutospacing="0"/>
              <w:jc w:val="center"/>
              <w:rPr>
                <w:bCs/>
                <w:color w:val="auto"/>
                <w:highlight w:val="none"/>
              </w:rPr>
            </w:pPr>
            <w:r>
              <w:rPr>
                <w:rFonts w:hint="eastAsia"/>
                <w:bCs/>
                <w:color w:val="auto"/>
                <w:highlight w:val="none"/>
              </w:rPr>
              <w:t>核准经营范围</w:t>
            </w:r>
          </w:p>
        </w:tc>
        <w:tc>
          <w:tcPr>
            <w:tcW w:w="7919" w:type="dxa"/>
            <w:gridSpan w:val="8"/>
            <w:tcMar>
              <w:top w:w="57" w:type="dxa"/>
              <w:left w:w="85" w:type="dxa"/>
              <w:bottom w:w="0" w:type="dxa"/>
              <w:right w:w="85" w:type="dxa"/>
            </w:tcMar>
            <w:vAlign w:val="center"/>
          </w:tcPr>
          <w:p w14:paraId="294B3C35">
            <w:pPr>
              <w:pStyle w:val="43"/>
              <w:spacing w:before="0" w:beforeAutospacing="0" w:after="0" w:afterAutospacing="0"/>
              <w:jc w:val="center"/>
              <w:rPr>
                <w:bCs/>
                <w:color w:val="auto"/>
                <w:highlight w:val="none"/>
              </w:rPr>
            </w:pPr>
          </w:p>
        </w:tc>
      </w:tr>
      <w:tr w14:paraId="3D49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79" w:type="dxa"/>
            <w:vMerge w:val="continue"/>
            <w:tcMar>
              <w:top w:w="57" w:type="dxa"/>
              <w:left w:w="85" w:type="dxa"/>
              <w:bottom w:w="0" w:type="dxa"/>
              <w:right w:w="85" w:type="dxa"/>
            </w:tcMar>
            <w:vAlign w:val="center"/>
          </w:tcPr>
          <w:p w14:paraId="3E6F9B52">
            <w:pPr>
              <w:pStyle w:val="43"/>
              <w:spacing w:before="0" w:beforeAutospacing="0" w:after="0" w:afterAutospacing="0"/>
              <w:jc w:val="center"/>
              <w:rPr>
                <w:bCs/>
                <w:color w:val="auto"/>
                <w:highlight w:val="none"/>
              </w:rPr>
            </w:pPr>
          </w:p>
        </w:tc>
        <w:tc>
          <w:tcPr>
            <w:tcW w:w="9161" w:type="dxa"/>
            <w:gridSpan w:val="9"/>
            <w:tcMar>
              <w:top w:w="57" w:type="dxa"/>
              <w:left w:w="85" w:type="dxa"/>
              <w:bottom w:w="0" w:type="dxa"/>
              <w:right w:w="85" w:type="dxa"/>
            </w:tcMar>
            <w:vAlign w:val="center"/>
          </w:tcPr>
          <w:p w14:paraId="5AA66A4F">
            <w:pPr>
              <w:pStyle w:val="43"/>
              <w:spacing w:before="0" w:beforeAutospacing="0" w:after="0" w:afterAutospacing="0"/>
              <w:jc w:val="center"/>
              <w:rPr>
                <w:bCs/>
                <w:color w:val="auto"/>
                <w:highlight w:val="none"/>
              </w:rPr>
            </w:pPr>
            <w:r>
              <w:rPr>
                <w:rFonts w:hint="eastAsia"/>
                <w:bCs/>
                <w:color w:val="auto"/>
                <w:highlight w:val="none"/>
              </w:rPr>
              <w:t>发展历程及主要荣誉：</w:t>
            </w:r>
          </w:p>
        </w:tc>
      </w:tr>
      <w:tr w14:paraId="3AF8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79" w:type="dxa"/>
            <w:vMerge w:val="restart"/>
            <w:tcMar>
              <w:top w:w="57" w:type="dxa"/>
              <w:left w:w="85" w:type="dxa"/>
              <w:bottom w:w="0" w:type="dxa"/>
              <w:right w:w="85" w:type="dxa"/>
            </w:tcMar>
            <w:vAlign w:val="center"/>
          </w:tcPr>
          <w:p w14:paraId="3FBC806C">
            <w:pPr>
              <w:pStyle w:val="43"/>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3D977A3D">
            <w:pPr>
              <w:pStyle w:val="43"/>
              <w:spacing w:before="0" w:beforeAutospacing="0" w:after="0" w:afterAutospacing="0"/>
              <w:jc w:val="center"/>
              <w:rPr>
                <w:bCs/>
                <w:color w:val="auto"/>
                <w:highlight w:val="none"/>
              </w:rPr>
            </w:pPr>
            <w:r>
              <w:rPr>
                <w:rFonts w:hint="eastAsia"/>
                <w:bCs/>
                <w:color w:val="auto"/>
                <w:highlight w:val="none"/>
              </w:rPr>
              <w:t>企业有关资质获证情况</w:t>
            </w:r>
          </w:p>
        </w:tc>
        <w:tc>
          <w:tcPr>
            <w:tcW w:w="2517" w:type="dxa"/>
            <w:gridSpan w:val="2"/>
            <w:vMerge w:val="restart"/>
            <w:tcMar>
              <w:top w:w="57" w:type="dxa"/>
              <w:left w:w="85" w:type="dxa"/>
              <w:bottom w:w="0" w:type="dxa"/>
              <w:right w:w="85" w:type="dxa"/>
            </w:tcMar>
            <w:vAlign w:val="center"/>
          </w:tcPr>
          <w:p w14:paraId="7739492D">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产品生产许可证情况（对需获得生产许可证的产品要填写此栏）</w:t>
            </w:r>
          </w:p>
        </w:tc>
        <w:tc>
          <w:tcPr>
            <w:tcW w:w="910" w:type="dxa"/>
            <w:tcMar>
              <w:top w:w="57" w:type="dxa"/>
              <w:left w:w="85" w:type="dxa"/>
              <w:bottom w:w="0" w:type="dxa"/>
              <w:right w:w="85" w:type="dxa"/>
            </w:tcMar>
            <w:vAlign w:val="center"/>
          </w:tcPr>
          <w:p w14:paraId="6BB94D70">
            <w:pPr>
              <w:pStyle w:val="43"/>
              <w:spacing w:before="0" w:beforeAutospacing="0" w:after="0" w:afterAutospacing="0"/>
              <w:jc w:val="center"/>
              <w:rPr>
                <w:bCs/>
                <w:color w:val="auto"/>
                <w:highlight w:val="none"/>
              </w:rPr>
            </w:pPr>
            <w:r>
              <w:rPr>
                <w:rFonts w:hint="eastAsia" w:asciiTheme="minorEastAsia" w:hAnsiTheme="minorEastAsia" w:eastAsiaTheme="minorEastAsia" w:cstheme="minorEastAsia"/>
                <w:bCs/>
                <w:color w:val="auto"/>
                <w:sz w:val="21"/>
                <w:szCs w:val="21"/>
                <w:highlight w:val="none"/>
              </w:rPr>
              <w:t>产品名称</w:t>
            </w:r>
          </w:p>
        </w:tc>
        <w:tc>
          <w:tcPr>
            <w:tcW w:w="1820" w:type="dxa"/>
            <w:gridSpan w:val="2"/>
            <w:tcMar>
              <w:top w:w="57" w:type="dxa"/>
              <w:left w:w="85" w:type="dxa"/>
              <w:bottom w:w="0" w:type="dxa"/>
              <w:right w:w="85" w:type="dxa"/>
            </w:tcMar>
            <w:vAlign w:val="center"/>
          </w:tcPr>
          <w:p w14:paraId="3EDCB8E6">
            <w:pPr>
              <w:pStyle w:val="43"/>
              <w:spacing w:before="0" w:beforeAutospacing="0" w:after="0" w:afterAutospacing="0"/>
              <w:jc w:val="center"/>
              <w:rPr>
                <w:bCs/>
                <w:color w:val="auto"/>
                <w:highlight w:val="none"/>
              </w:rPr>
            </w:pPr>
            <w:r>
              <w:rPr>
                <w:rFonts w:hint="eastAsia"/>
                <w:bCs/>
                <w:color w:val="auto"/>
                <w:spacing w:val="16"/>
                <w:highlight w:val="none"/>
              </w:rPr>
              <w:t>发证机关</w:t>
            </w:r>
          </w:p>
        </w:tc>
        <w:tc>
          <w:tcPr>
            <w:tcW w:w="874" w:type="dxa"/>
            <w:tcMar>
              <w:top w:w="57" w:type="dxa"/>
              <w:left w:w="85" w:type="dxa"/>
              <w:bottom w:w="0" w:type="dxa"/>
              <w:right w:w="85" w:type="dxa"/>
            </w:tcMar>
            <w:vAlign w:val="center"/>
          </w:tcPr>
          <w:p w14:paraId="34AE2918">
            <w:pPr>
              <w:pStyle w:val="43"/>
              <w:spacing w:before="0" w:beforeAutospacing="0" w:after="0" w:afterAutospacing="0"/>
              <w:jc w:val="center"/>
              <w:rPr>
                <w:bCs/>
                <w:color w:val="auto"/>
                <w:highlight w:val="none"/>
              </w:rPr>
            </w:pPr>
            <w:r>
              <w:rPr>
                <w:rFonts w:hint="eastAsia"/>
                <w:bCs/>
                <w:color w:val="auto"/>
                <w:spacing w:val="27"/>
                <w:highlight w:val="none"/>
              </w:rPr>
              <w:t>编号</w:t>
            </w:r>
          </w:p>
        </w:tc>
        <w:tc>
          <w:tcPr>
            <w:tcW w:w="2143" w:type="dxa"/>
            <w:gridSpan w:val="2"/>
            <w:tcMar>
              <w:top w:w="57" w:type="dxa"/>
              <w:left w:w="85" w:type="dxa"/>
              <w:bottom w:w="0" w:type="dxa"/>
              <w:right w:w="85" w:type="dxa"/>
            </w:tcMar>
            <w:vAlign w:val="center"/>
          </w:tcPr>
          <w:p w14:paraId="186B59E2">
            <w:pPr>
              <w:pStyle w:val="43"/>
              <w:spacing w:before="0" w:beforeAutospacing="0" w:after="0" w:afterAutospacing="0"/>
              <w:jc w:val="center"/>
              <w:rPr>
                <w:bCs/>
                <w:color w:val="auto"/>
                <w:highlight w:val="none"/>
              </w:rPr>
            </w:pPr>
            <w:r>
              <w:rPr>
                <w:rFonts w:hint="eastAsia"/>
                <w:bCs/>
                <w:color w:val="auto"/>
                <w:spacing w:val="16"/>
                <w:highlight w:val="none"/>
              </w:rPr>
              <w:t>发证时间</w:t>
            </w:r>
          </w:p>
        </w:tc>
        <w:tc>
          <w:tcPr>
            <w:tcW w:w="897" w:type="dxa"/>
            <w:tcMar>
              <w:top w:w="57" w:type="dxa"/>
              <w:left w:w="85" w:type="dxa"/>
              <w:bottom w:w="0" w:type="dxa"/>
              <w:right w:w="85" w:type="dxa"/>
            </w:tcMar>
            <w:vAlign w:val="center"/>
          </w:tcPr>
          <w:p w14:paraId="6963F69C">
            <w:pPr>
              <w:pStyle w:val="43"/>
              <w:spacing w:before="0" w:beforeAutospacing="0" w:after="0" w:afterAutospacing="0"/>
              <w:jc w:val="center"/>
              <w:rPr>
                <w:bCs/>
                <w:color w:val="auto"/>
                <w:highlight w:val="none"/>
              </w:rPr>
            </w:pPr>
            <w:r>
              <w:rPr>
                <w:rFonts w:hint="eastAsia"/>
                <w:bCs/>
                <w:color w:val="auto"/>
                <w:spacing w:val="27"/>
                <w:highlight w:val="none"/>
              </w:rPr>
              <w:t>期限</w:t>
            </w:r>
          </w:p>
        </w:tc>
      </w:tr>
      <w:tr w14:paraId="4AB3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79" w:type="dxa"/>
            <w:vMerge w:val="continue"/>
            <w:tcMar>
              <w:top w:w="57" w:type="dxa"/>
              <w:left w:w="85" w:type="dxa"/>
              <w:bottom w:w="0" w:type="dxa"/>
              <w:right w:w="85" w:type="dxa"/>
            </w:tcMar>
            <w:vAlign w:val="center"/>
          </w:tcPr>
          <w:p w14:paraId="71C85FAD">
            <w:pPr>
              <w:pStyle w:val="43"/>
              <w:spacing w:before="0" w:beforeAutospacing="0" w:after="0" w:afterAutospacing="0"/>
              <w:jc w:val="center"/>
              <w:rPr>
                <w:bCs/>
                <w:color w:val="auto"/>
                <w:highlight w:val="none"/>
              </w:rPr>
            </w:pPr>
          </w:p>
        </w:tc>
        <w:tc>
          <w:tcPr>
            <w:tcW w:w="2517" w:type="dxa"/>
            <w:gridSpan w:val="2"/>
            <w:vMerge w:val="continue"/>
            <w:tcMar>
              <w:top w:w="57" w:type="dxa"/>
              <w:left w:w="85" w:type="dxa"/>
              <w:bottom w:w="0" w:type="dxa"/>
              <w:right w:w="85" w:type="dxa"/>
            </w:tcMar>
            <w:vAlign w:val="center"/>
          </w:tcPr>
          <w:p w14:paraId="2F0B67E2">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p>
        </w:tc>
        <w:tc>
          <w:tcPr>
            <w:tcW w:w="910" w:type="dxa"/>
            <w:tcMar>
              <w:top w:w="57" w:type="dxa"/>
              <w:left w:w="85" w:type="dxa"/>
              <w:bottom w:w="0" w:type="dxa"/>
              <w:right w:w="85" w:type="dxa"/>
            </w:tcMar>
            <w:vAlign w:val="center"/>
          </w:tcPr>
          <w:p w14:paraId="639D22A4">
            <w:pPr>
              <w:pStyle w:val="43"/>
              <w:spacing w:before="0" w:beforeAutospacing="0" w:after="0" w:afterAutospacing="0"/>
              <w:jc w:val="center"/>
              <w:rPr>
                <w:bCs/>
                <w:color w:val="auto"/>
                <w:highlight w:val="none"/>
              </w:rPr>
            </w:pPr>
          </w:p>
        </w:tc>
        <w:tc>
          <w:tcPr>
            <w:tcW w:w="1820" w:type="dxa"/>
            <w:gridSpan w:val="2"/>
            <w:tcMar>
              <w:top w:w="57" w:type="dxa"/>
              <w:left w:w="85" w:type="dxa"/>
              <w:bottom w:w="0" w:type="dxa"/>
              <w:right w:w="85" w:type="dxa"/>
            </w:tcMar>
            <w:vAlign w:val="center"/>
          </w:tcPr>
          <w:p w14:paraId="1E46C9BE">
            <w:pPr>
              <w:pStyle w:val="43"/>
              <w:spacing w:before="0" w:beforeAutospacing="0" w:after="0" w:afterAutospacing="0"/>
              <w:jc w:val="center"/>
              <w:rPr>
                <w:bCs/>
                <w:color w:val="auto"/>
                <w:highlight w:val="none"/>
              </w:rPr>
            </w:pPr>
          </w:p>
        </w:tc>
        <w:tc>
          <w:tcPr>
            <w:tcW w:w="874" w:type="dxa"/>
            <w:tcMar>
              <w:top w:w="57" w:type="dxa"/>
              <w:left w:w="85" w:type="dxa"/>
              <w:bottom w:w="0" w:type="dxa"/>
              <w:right w:w="85" w:type="dxa"/>
            </w:tcMar>
            <w:vAlign w:val="center"/>
          </w:tcPr>
          <w:p w14:paraId="1CB64189">
            <w:pPr>
              <w:pStyle w:val="43"/>
              <w:spacing w:before="0" w:beforeAutospacing="0" w:after="0" w:afterAutospacing="0"/>
              <w:jc w:val="center"/>
              <w:rPr>
                <w:bCs/>
                <w:color w:val="auto"/>
                <w:highlight w:val="none"/>
              </w:rPr>
            </w:pPr>
          </w:p>
        </w:tc>
        <w:tc>
          <w:tcPr>
            <w:tcW w:w="2143" w:type="dxa"/>
            <w:gridSpan w:val="2"/>
            <w:tcMar>
              <w:top w:w="57" w:type="dxa"/>
              <w:left w:w="85" w:type="dxa"/>
              <w:bottom w:w="0" w:type="dxa"/>
              <w:right w:w="85" w:type="dxa"/>
            </w:tcMar>
            <w:vAlign w:val="center"/>
          </w:tcPr>
          <w:p w14:paraId="16FCF180">
            <w:pPr>
              <w:pStyle w:val="43"/>
              <w:spacing w:before="0" w:beforeAutospacing="0" w:after="0" w:afterAutospacing="0"/>
              <w:jc w:val="center"/>
              <w:rPr>
                <w:bCs/>
                <w:color w:val="auto"/>
                <w:highlight w:val="none"/>
              </w:rPr>
            </w:pPr>
          </w:p>
        </w:tc>
        <w:tc>
          <w:tcPr>
            <w:tcW w:w="897" w:type="dxa"/>
            <w:tcMar>
              <w:top w:w="57" w:type="dxa"/>
              <w:left w:w="85" w:type="dxa"/>
              <w:bottom w:w="0" w:type="dxa"/>
              <w:right w:w="85" w:type="dxa"/>
            </w:tcMar>
            <w:vAlign w:val="center"/>
          </w:tcPr>
          <w:p w14:paraId="00C96EFB">
            <w:pPr>
              <w:pStyle w:val="43"/>
              <w:spacing w:before="0" w:beforeAutospacing="0" w:after="0" w:afterAutospacing="0"/>
              <w:jc w:val="center"/>
              <w:rPr>
                <w:color w:val="auto"/>
                <w:highlight w:val="none"/>
              </w:rPr>
            </w:pPr>
          </w:p>
        </w:tc>
      </w:tr>
      <w:tr w14:paraId="5558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79" w:type="dxa"/>
            <w:vMerge w:val="continue"/>
            <w:tcMar>
              <w:top w:w="57" w:type="dxa"/>
              <w:left w:w="85" w:type="dxa"/>
              <w:bottom w:w="0" w:type="dxa"/>
              <w:right w:w="85" w:type="dxa"/>
            </w:tcMar>
            <w:vAlign w:val="center"/>
          </w:tcPr>
          <w:p w14:paraId="5971412A">
            <w:pPr>
              <w:pStyle w:val="43"/>
              <w:spacing w:before="0" w:beforeAutospacing="0" w:after="0" w:afterAutospacing="0"/>
              <w:jc w:val="center"/>
              <w:rPr>
                <w:bCs/>
                <w:color w:val="auto"/>
                <w:highlight w:val="none"/>
              </w:rPr>
            </w:pPr>
          </w:p>
        </w:tc>
        <w:tc>
          <w:tcPr>
            <w:tcW w:w="2517" w:type="dxa"/>
            <w:gridSpan w:val="2"/>
            <w:tcMar>
              <w:top w:w="57" w:type="dxa"/>
              <w:left w:w="85" w:type="dxa"/>
              <w:bottom w:w="0" w:type="dxa"/>
              <w:right w:w="85" w:type="dxa"/>
            </w:tcMar>
            <w:vAlign w:val="center"/>
          </w:tcPr>
          <w:p w14:paraId="68DDC1F2">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企业通过质量体系、环保体系、计量等认证情况</w:t>
            </w:r>
          </w:p>
        </w:tc>
        <w:tc>
          <w:tcPr>
            <w:tcW w:w="6644" w:type="dxa"/>
            <w:gridSpan w:val="7"/>
            <w:tcMar>
              <w:top w:w="57" w:type="dxa"/>
              <w:left w:w="85" w:type="dxa"/>
              <w:bottom w:w="0" w:type="dxa"/>
              <w:right w:w="85" w:type="dxa"/>
            </w:tcMar>
            <w:vAlign w:val="center"/>
          </w:tcPr>
          <w:p w14:paraId="1E664B04">
            <w:pPr>
              <w:pStyle w:val="43"/>
              <w:spacing w:before="0" w:beforeAutospacing="0" w:after="0" w:afterAutospacing="0"/>
              <w:jc w:val="center"/>
              <w:rPr>
                <w:color w:val="auto"/>
                <w:highlight w:val="none"/>
              </w:rPr>
            </w:pPr>
          </w:p>
        </w:tc>
      </w:tr>
      <w:tr w14:paraId="6402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79" w:type="dxa"/>
            <w:vMerge w:val="continue"/>
            <w:tcMar>
              <w:top w:w="57" w:type="dxa"/>
              <w:left w:w="85" w:type="dxa"/>
              <w:bottom w:w="0" w:type="dxa"/>
              <w:right w:w="85" w:type="dxa"/>
            </w:tcMar>
            <w:vAlign w:val="center"/>
          </w:tcPr>
          <w:p w14:paraId="4227EDAF">
            <w:pPr>
              <w:pStyle w:val="43"/>
              <w:spacing w:before="0" w:beforeAutospacing="0" w:after="0" w:afterAutospacing="0"/>
              <w:jc w:val="center"/>
              <w:rPr>
                <w:bCs/>
                <w:color w:val="auto"/>
                <w:highlight w:val="none"/>
              </w:rPr>
            </w:pPr>
          </w:p>
        </w:tc>
        <w:tc>
          <w:tcPr>
            <w:tcW w:w="2517" w:type="dxa"/>
            <w:gridSpan w:val="2"/>
            <w:tcMar>
              <w:top w:w="57" w:type="dxa"/>
              <w:left w:w="85" w:type="dxa"/>
              <w:bottom w:w="0" w:type="dxa"/>
              <w:right w:w="85" w:type="dxa"/>
            </w:tcMar>
            <w:vAlign w:val="center"/>
          </w:tcPr>
          <w:p w14:paraId="10D62560">
            <w:pPr>
              <w:pStyle w:val="43"/>
              <w:spacing w:before="0" w:beforeAutospacing="0" w:after="0" w:afterAutospacing="0"/>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企业获得专利情况</w:t>
            </w:r>
          </w:p>
        </w:tc>
        <w:tc>
          <w:tcPr>
            <w:tcW w:w="6644" w:type="dxa"/>
            <w:gridSpan w:val="7"/>
            <w:tcMar>
              <w:top w:w="57" w:type="dxa"/>
              <w:left w:w="85" w:type="dxa"/>
              <w:bottom w:w="0" w:type="dxa"/>
              <w:right w:w="85" w:type="dxa"/>
            </w:tcMar>
            <w:vAlign w:val="center"/>
          </w:tcPr>
          <w:p w14:paraId="02647C57">
            <w:pPr>
              <w:pStyle w:val="43"/>
              <w:spacing w:before="0" w:beforeAutospacing="0" w:after="0" w:afterAutospacing="0"/>
              <w:jc w:val="center"/>
              <w:rPr>
                <w:bCs/>
                <w:color w:val="auto"/>
                <w:highlight w:val="none"/>
              </w:rPr>
            </w:pPr>
          </w:p>
        </w:tc>
      </w:tr>
    </w:tbl>
    <w:p w14:paraId="5A67769D">
      <w:pPr>
        <w:pStyle w:val="43"/>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4E3E398E">
      <w:pPr>
        <w:pStyle w:val="43"/>
        <w:spacing w:before="0" w:beforeAutospacing="0" w:after="0" w:afterAutospacing="0" w:line="360" w:lineRule="auto"/>
        <w:ind w:firstLine="424" w:firstLineChars="202"/>
        <w:rPr>
          <w:color w:val="auto"/>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4432D23B">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6CB7EC82">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66F93794">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01D60874">
      <w:pPr>
        <w:spacing w:line="360" w:lineRule="auto"/>
        <w:ind w:left="420"/>
        <w:rPr>
          <w:color w:val="auto"/>
          <w:highlight w:val="none"/>
        </w:rPr>
      </w:pPr>
      <w:r>
        <w:rPr>
          <w:rFonts w:hint="eastAsia" w:ascii="宋体" w:hAnsi="宋体"/>
          <w:color w:val="auto"/>
          <w:sz w:val="24"/>
          <w:highlight w:val="none"/>
        </w:rPr>
        <w:t>日        期：</w:t>
      </w:r>
    </w:p>
    <w:p w14:paraId="0B0EFBE6">
      <w:pPr>
        <w:rPr>
          <w:rFonts w:ascii="宋体" w:hAnsi="宋体"/>
          <w:b/>
          <w:color w:val="auto"/>
          <w:sz w:val="28"/>
          <w:highlight w:val="none"/>
        </w:rPr>
      </w:pPr>
      <w:r>
        <w:rPr>
          <w:rFonts w:hint="eastAsia" w:ascii="宋体" w:hAnsi="宋体"/>
          <w:b/>
          <w:color w:val="auto"/>
          <w:sz w:val="28"/>
          <w:highlight w:val="none"/>
        </w:rPr>
        <w:br w:type="page"/>
      </w:r>
    </w:p>
    <w:p w14:paraId="58E24B0C">
      <w:pPr>
        <w:adjustRightInd w:val="0"/>
        <w:snapToGrid w:val="0"/>
        <w:spacing w:line="360" w:lineRule="auto"/>
        <w:ind w:right="480"/>
        <w:outlineLvl w:val="0"/>
        <w:rPr>
          <w:rFonts w:ascii="宋体" w:hAnsi="宋体"/>
          <w:b/>
          <w:color w:val="auto"/>
          <w:sz w:val="28"/>
          <w:highlight w:val="none"/>
        </w:rPr>
      </w:pPr>
      <w:bookmarkStart w:id="38" w:name="_Toc1736"/>
      <w:r>
        <w:rPr>
          <w:rFonts w:hint="eastAsia" w:ascii="宋体" w:hAnsi="宋体"/>
          <w:b/>
          <w:color w:val="auto"/>
          <w:sz w:val="28"/>
          <w:highlight w:val="none"/>
        </w:rPr>
        <w:t>附件6</w:t>
      </w:r>
      <w:bookmarkEnd w:id="38"/>
    </w:p>
    <w:p w14:paraId="7C65E76F">
      <w:pPr>
        <w:snapToGrid w:val="0"/>
        <w:spacing w:line="360" w:lineRule="auto"/>
        <w:jc w:val="center"/>
        <w:rPr>
          <w:rFonts w:ascii="宋体" w:hAnsi="宋体"/>
          <w:b/>
          <w:color w:val="auto"/>
          <w:sz w:val="32"/>
          <w:szCs w:val="32"/>
          <w:highlight w:val="none"/>
        </w:rPr>
      </w:pPr>
      <w:bookmarkStart w:id="39" w:name="_Toc20569_WPSOffice_Level1"/>
      <w:bookmarkStart w:id="40" w:name="_Toc23671_WPSOffice_Level1"/>
      <w:r>
        <w:rPr>
          <w:rFonts w:hint="eastAsia" w:ascii="宋体" w:hAnsi="宋体"/>
          <w:b/>
          <w:color w:val="auto"/>
          <w:sz w:val="32"/>
          <w:szCs w:val="32"/>
          <w:highlight w:val="none"/>
        </w:rPr>
        <w:t>项目实施人员一览表</w:t>
      </w:r>
      <w:bookmarkEnd w:id="39"/>
      <w:bookmarkEnd w:id="40"/>
    </w:p>
    <w:p w14:paraId="6C6C874E">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7"/>
        <w:tblpPr w:leftFromText="181" w:rightFromText="181" w:bottomFromText="170" w:vertAnchor="text" w:tblpXSpec="center" w:tblpY="1"/>
        <w:tblOverlap w:val="never"/>
        <w:tblW w:w="88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1275"/>
        <w:gridCol w:w="720"/>
        <w:gridCol w:w="975"/>
        <w:gridCol w:w="1305"/>
        <w:gridCol w:w="1725"/>
        <w:gridCol w:w="2161"/>
      </w:tblGrid>
      <w:tr w14:paraId="57A1C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8FB074">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710206">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675648">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性别</w:t>
            </w: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65C12D">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年龄</w:t>
            </w: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B0BDF3">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7414FB">
            <w:pPr>
              <w:snapToGrid w:val="0"/>
              <w:spacing w:before="120" w:beforeLines="50" w:after="50" w:line="360" w:lineRule="auto"/>
              <w:jc w:val="center"/>
              <w:rPr>
                <w:rFonts w:ascii="宋体" w:hAnsi="宋体"/>
                <w:b/>
                <w:color w:val="auto"/>
                <w:szCs w:val="21"/>
                <w:highlight w:val="none"/>
              </w:rPr>
            </w:pPr>
            <w:r>
              <w:rPr>
                <w:rFonts w:hint="eastAsia" w:ascii="宋体" w:hAnsi="宋体"/>
                <w:b/>
                <w:color w:val="auto"/>
                <w:szCs w:val="21"/>
                <w:highlight w:val="none"/>
              </w:rPr>
              <w:t>职称</w:t>
            </w: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55A4D9">
            <w:pPr>
              <w:snapToGrid w:val="0"/>
              <w:spacing w:before="120" w:beforeLines="50" w:after="50" w:line="360" w:lineRule="auto"/>
              <w:jc w:val="center"/>
              <w:rPr>
                <w:rFonts w:ascii="宋体" w:hAnsi="宋体"/>
                <w:b/>
                <w:bCs/>
                <w:color w:val="auto"/>
                <w:szCs w:val="21"/>
                <w:highlight w:val="none"/>
              </w:rPr>
            </w:pPr>
            <w:r>
              <w:rPr>
                <w:rFonts w:hint="eastAsia" w:ascii="宋体" w:hAnsi="宋体"/>
                <w:b/>
                <w:bCs/>
                <w:color w:val="auto"/>
                <w:szCs w:val="21"/>
                <w:highlight w:val="none"/>
              </w:rPr>
              <w:t>本项目拟担任的职务</w:t>
            </w:r>
          </w:p>
        </w:tc>
      </w:tr>
      <w:tr w14:paraId="33A3C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4762F2">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ABD6B3">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586360">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E92541">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46FE1C">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8F6DAA">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6EBF0B">
            <w:pPr>
              <w:snapToGrid w:val="0"/>
              <w:spacing w:before="120" w:beforeLines="50" w:after="50" w:line="360" w:lineRule="auto"/>
              <w:rPr>
                <w:rFonts w:ascii="宋体" w:hAnsi="宋体"/>
                <w:b/>
                <w:color w:val="auto"/>
                <w:kern w:val="44"/>
                <w:szCs w:val="21"/>
                <w:highlight w:val="none"/>
              </w:rPr>
            </w:pPr>
          </w:p>
        </w:tc>
      </w:tr>
      <w:tr w14:paraId="1551B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84C87B">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0BF2CF">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6EC269">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24F1CA">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5C9C57">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E673CB">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F529CE">
            <w:pPr>
              <w:snapToGrid w:val="0"/>
              <w:spacing w:before="120" w:beforeLines="50" w:after="50" w:line="360" w:lineRule="auto"/>
              <w:rPr>
                <w:rFonts w:ascii="宋体" w:hAnsi="宋体"/>
                <w:b/>
                <w:color w:val="auto"/>
                <w:kern w:val="44"/>
                <w:szCs w:val="21"/>
                <w:highlight w:val="none"/>
              </w:rPr>
            </w:pPr>
          </w:p>
        </w:tc>
      </w:tr>
      <w:tr w14:paraId="031CF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B57E01">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AFD99C">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3C0938">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3A711F">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12B2EA">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669034">
            <w:pPr>
              <w:pStyle w:val="13"/>
              <w:spacing w:line="360" w:lineRule="auto"/>
              <w:ind w:left="5250"/>
              <w:rPr>
                <w:rFonts w:ascii="宋体" w:hAnsi="宋体"/>
                <w:color w:val="auto"/>
                <w:sz w:val="21"/>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B6E287">
            <w:pPr>
              <w:snapToGrid w:val="0"/>
              <w:spacing w:before="120" w:beforeLines="50" w:after="50" w:line="360" w:lineRule="auto"/>
              <w:rPr>
                <w:rFonts w:ascii="宋体" w:hAnsi="宋体"/>
                <w:color w:val="auto"/>
                <w:szCs w:val="21"/>
                <w:highlight w:val="none"/>
              </w:rPr>
            </w:pPr>
          </w:p>
        </w:tc>
      </w:tr>
      <w:tr w14:paraId="14F06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D73F46">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A3057B">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160EDC">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44B9C2">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9704EB">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A4831D">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46BDE9">
            <w:pPr>
              <w:snapToGrid w:val="0"/>
              <w:spacing w:before="120" w:beforeLines="50" w:after="50" w:line="360" w:lineRule="auto"/>
              <w:rPr>
                <w:rFonts w:ascii="宋体" w:hAnsi="宋体"/>
                <w:b/>
                <w:color w:val="auto"/>
                <w:kern w:val="44"/>
                <w:szCs w:val="21"/>
                <w:highlight w:val="none"/>
              </w:rPr>
            </w:pPr>
          </w:p>
        </w:tc>
      </w:tr>
      <w:tr w14:paraId="59027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9F3FFA">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663B75">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039E9E">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E8E631">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D3DAFE">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84F90C">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5312BB">
            <w:pPr>
              <w:snapToGrid w:val="0"/>
              <w:spacing w:before="120" w:beforeLines="50" w:after="50" w:line="360" w:lineRule="auto"/>
              <w:rPr>
                <w:rFonts w:ascii="宋体" w:hAnsi="宋体"/>
                <w:b/>
                <w:color w:val="auto"/>
                <w:kern w:val="44"/>
                <w:szCs w:val="21"/>
                <w:highlight w:val="none"/>
              </w:rPr>
            </w:pPr>
          </w:p>
        </w:tc>
      </w:tr>
      <w:tr w14:paraId="66C8D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21D145">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6634B0">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FFF7A4">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CC0ECB">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6065C7">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F2D4992">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6C74C8">
            <w:pPr>
              <w:snapToGrid w:val="0"/>
              <w:spacing w:before="120" w:beforeLines="50" w:after="50" w:line="360" w:lineRule="auto"/>
              <w:rPr>
                <w:rFonts w:ascii="宋体" w:hAnsi="宋体"/>
                <w:b/>
                <w:color w:val="auto"/>
                <w:kern w:val="44"/>
                <w:szCs w:val="21"/>
                <w:highlight w:val="none"/>
              </w:rPr>
            </w:pPr>
          </w:p>
        </w:tc>
      </w:tr>
      <w:tr w14:paraId="50D8E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0DB837">
            <w:pPr>
              <w:snapToGrid w:val="0"/>
              <w:spacing w:before="120" w:beforeLines="50" w:after="50" w:line="360" w:lineRule="auto"/>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60DC0A">
            <w:pPr>
              <w:snapToGrid w:val="0"/>
              <w:spacing w:before="120" w:beforeLines="50" w:after="50" w:line="360" w:lineRule="auto"/>
              <w:rPr>
                <w:rFonts w:ascii="宋体" w:hAnsi="宋体"/>
                <w:b/>
                <w:color w:val="auto"/>
                <w:kern w:val="44"/>
                <w:szCs w:val="21"/>
                <w:highlight w:val="none"/>
              </w:rPr>
            </w:pPr>
          </w:p>
        </w:tc>
        <w:tc>
          <w:tcPr>
            <w:tcW w:w="72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E63F1B">
            <w:pPr>
              <w:snapToGrid w:val="0"/>
              <w:spacing w:before="120" w:beforeLines="50" w:after="50" w:line="360" w:lineRule="auto"/>
              <w:rPr>
                <w:rFonts w:ascii="宋体" w:hAnsi="宋体"/>
                <w:b/>
                <w:color w:val="auto"/>
                <w:kern w:val="44"/>
                <w:szCs w:val="21"/>
                <w:highlight w:val="none"/>
              </w:rPr>
            </w:pPr>
          </w:p>
        </w:tc>
        <w:tc>
          <w:tcPr>
            <w:tcW w:w="9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0FAF9E">
            <w:pPr>
              <w:snapToGrid w:val="0"/>
              <w:spacing w:before="120" w:beforeLines="50" w:after="50" w:line="360" w:lineRule="auto"/>
              <w:rPr>
                <w:rFonts w:ascii="宋体" w:hAnsi="宋体"/>
                <w:b/>
                <w:color w:val="auto"/>
                <w:kern w:val="44"/>
                <w:szCs w:val="21"/>
                <w:highlight w:val="none"/>
              </w:rPr>
            </w:pPr>
          </w:p>
        </w:tc>
        <w:tc>
          <w:tcPr>
            <w:tcW w:w="130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D1452D">
            <w:pPr>
              <w:snapToGrid w:val="0"/>
              <w:spacing w:before="120" w:beforeLines="50" w:after="50" w:line="360" w:lineRule="auto"/>
              <w:rPr>
                <w:rFonts w:ascii="宋体" w:hAnsi="宋体"/>
                <w:b/>
                <w:color w:val="auto"/>
                <w:kern w:val="44"/>
                <w:szCs w:val="21"/>
                <w:highlight w:val="none"/>
              </w:rPr>
            </w:pPr>
          </w:p>
        </w:tc>
        <w:tc>
          <w:tcPr>
            <w:tcW w:w="172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577DBA">
            <w:pPr>
              <w:snapToGrid w:val="0"/>
              <w:spacing w:before="120" w:beforeLines="50" w:after="50" w:line="360" w:lineRule="auto"/>
              <w:rPr>
                <w:rFonts w:ascii="宋体" w:hAnsi="宋体"/>
                <w:b/>
                <w:color w:val="auto"/>
                <w:kern w:val="44"/>
                <w:szCs w:val="21"/>
                <w:highlight w:val="none"/>
              </w:rPr>
            </w:pPr>
          </w:p>
        </w:tc>
        <w:tc>
          <w:tcPr>
            <w:tcW w:w="21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7F331E">
            <w:pPr>
              <w:snapToGrid w:val="0"/>
              <w:spacing w:before="120" w:beforeLines="50" w:after="50" w:line="360" w:lineRule="auto"/>
              <w:rPr>
                <w:rFonts w:ascii="宋体" w:hAnsi="宋体"/>
                <w:b/>
                <w:color w:val="auto"/>
                <w:kern w:val="44"/>
                <w:szCs w:val="21"/>
                <w:highlight w:val="none"/>
              </w:rPr>
            </w:pPr>
          </w:p>
        </w:tc>
      </w:tr>
    </w:tbl>
    <w:p w14:paraId="2CBB53EF">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298FCCDF">
      <w:pPr>
        <w:numPr>
          <w:ilvl w:val="0"/>
          <w:numId w:val="111"/>
        </w:num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在填</w:t>
      </w:r>
      <w:r>
        <w:rPr>
          <w:rFonts w:hint="eastAsia" w:ascii="宋体" w:hAnsi="宋体"/>
          <w:color w:val="auto"/>
          <w:szCs w:val="21"/>
          <w:highlight w:val="none"/>
        </w:rPr>
        <w:t>写时，如本表格不适合投标单位的实际情况，可根据本表格式自行划表填写。</w:t>
      </w:r>
    </w:p>
    <w:p w14:paraId="0CB340B6">
      <w:pPr>
        <w:pStyle w:val="44"/>
        <w:spacing w:line="360" w:lineRule="auto"/>
        <w:rPr>
          <w:rFonts w:ascii="宋体" w:hAnsi="宋体"/>
          <w:color w:val="auto"/>
          <w:szCs w:val="21"/>
          <w:highlight w:val="none"/>
        </w:rPr>
      </w:pPr>
      <w:r>
        <w:rPr>
          <w:rFonts w:hint="eastAsia" w:ascii="宋体" w:hAnsi="宋体"/>
          <w:color w:val="auto"/>
          <w:szCs w:val="21"/>
          <w:highlight w:val="none"/>
        </w:rPr>
        <w:t>　</w:t>
      </w:r>
    </w:p>
    <w:p w14:paraId="53C63459">
      <w:pPr>
        <w:snapToGrid w:val="0"/>
        <w:spacing w:before="50" w:after="120" w:afterLines="50" w:line="360" w:lineRule="auto"/>
        <w:jc w:val="left"/>
        <w:rPr>
          <w:rFonts w:ascii="宋体" w:hAnsi="宋体"/>
          <w:color w:val="auto"/>
          <w:sz w:val="24"/>
          <w:szCs w:val="20"/>
          <w:highlight w:val="none"/>
        </w:rPr>
      </w:pPr>
    </w:p>
    <w:p w14:paraId="75D316F1">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3E2408DF">
      <w:pPr>
        <w:spacing w:line="360" w:lineRule="auto"/>
        <w:ind w:left="420"/>
        <w:rPr>
          <w:rFonts w:ascii="宋体" w:hAnsi="宋体"/>
          <w:color w:val="auto"/>
          <w:sz w:val="24"/>
          <w:highlight w:val="none"/>
        </w:rPr>
      </w:pPr>
    </w:p>
    <w:p w14:paraId="07752D74">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355D77D5">
      <w:pPr>
        <w:spacing w:line="360" w:lineRule="auto"/>
        <w:ind w:left="420"/>
        <w:rPr>
          <w:rFonts w:ascii="宋体" w:hAnsi="宋体"/>
          <w:color w:val="auto"/>
          <w:sz w:val="24"/>
          <w:highlight w:val="none"/>
        </w:rPr>
      </w:pPr>
    </w:p>
    <w:p w14:paraId="5DCB0529">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5091ED7B">
      <w:pPr>
        <w:spacing w:line="360" w:lineRule="auto"/>
        <w:ind w:left="420"/>
        <w:rPr>
          <w:color w:val="auto"/>
          <w:highlight w:val="none"/>
        </w:rPr>
      </w:pPr>
      <w:r>
        <w:rPr>
          <w:rFonts w:hint="eastAsia" w:ascii="宋体" w:hAnsi="宋体"/>
          <w:color w:val="auto"/>
          <w:sz w:val="24"/>
          <w:highlight w:val="none"/>
        </w:rPr>
        <w:t>日        期：</w:t>
      </w:r>
    </w:p>
    <w:p w14:paraId="09505DA1">
      <w:pPr>
        <w:spacing w:line="360" w:lineRule="auto"/>
        <w:rPr>
          <w:rFonts w:ascii="宋体" w:hAnsi="宋体"/>
          <w:b/>
          <w:color w:val="auto"/>
          <w:sz w:val="28"/>
          <w:highlight w:val="none"/>
        </w:rPr>
      </w:pPr>
    </w:p>
    <w:p w14:paraId="6B24AA13">
      <w:pPr>
        <w:rPr>
          <w:rFonts w:ascii="宋体" w:hAnsi="宋体"/>
          <w:b/>
          <w:color w:val="auto"/>
          <w:sz w:val="28"/>
          <w:highlight w:val="none"/>
        </w:rPr>
      </w:pPr>
      <w:r>
        <w:rPr>
          <w:rFonts w:hint="eastAsia" w:ascii="宋体" w:hAnsi="宋体"/>
          <w:b/>
          <w:color w:val="auto"/>
          <w:sz w:val="28"/>
          <w:highlight w:val="none"/>
        </w:rPr>
        <w:br w:type="page"/>
      </w:r>
    </w:p>
    <w:p w14:paraId="789D8AC4">
      <w:pPr>
        <w:adjustRightInd w:val="0"/>
        <w:snapToGrid w:val="0"/>
        <w:spacing w:line="360" w:lineRule="auto"/>
        <w:ind w:right="480"/>
        <w:outlineLvl w:val="0"/>
        <w:rPr>
          <w:rFonts w:ascii="宋体" w:hAnsi="宋体"/>
          <w:b/>
          <w:color w:val="auto"/>
          <w:sz w:val="28"/>
          <w:highlight w:val="none"/>
        </w:rPr>
      </w:pPr>
      <w:bookmarkStart w:id="41" w:name="_Toc31515"/>
      <w:r>
        <w:rPr>
          <w:rFonts w:hint="eastAsia" w:ascii="宋体" w:hAnsi="宋体"/>
          <w:b/>
          <w:color w:val="auto"/>
          <w:sz w:val="28"/>
          <w:highlight w:val="none"/>
        </w:rPr>
        <w:t>附件7</w:t>
      </w:r>
      <w:bookmarkEnd w:id="41"/>
    </w:p>
    <w:p w14:paraId="4EE188BF">
      <w:pPr>
        <w:spacing w:line="5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项目负责人资格情况表</w:t>
      </w:r>
    </w:p>
    <w:tbl>
      <w:tblPr>
        <w:tblStyle w:val="27"/>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F5E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3D47F7DB">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CFC58B0">
            <w:pPr>
              <w:autoSpaceDE w:val="0"/>
              <w:autoSpaceDN w:val="0"/>
              <w:adjustRightInd w:val="0"/>
              <w:snapToGrid w:val="0"/>
              <w:spacing w:line="360" w:lineRule="auto"/>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47E3206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3255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99F967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1A5CFD86">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7C76B56C">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711AF5D4">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1EAE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EDEACE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F9B4626">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2DEF6CB">
            <w:pPr>
              <w:autoSpaceDE w:val="0"/>
              <w:autoSpaceDN w:val="0"/>
              <w:adjustRightInd w:val="0"/>
              <w:snapToGrid w:val="0"/>
              <w:spacing w:line="360" w:lineRule="auto"/>
              <w:jc w:val="center"/>
              <w:rPr>
                <w:rFonts w:ascii="宋体" w:hAnsi="宋体"/>
                <w:color w:val="auto"/>
                <w:highlight w:val="none"/>
                <w:lang w:val="zh-CN"/>
              </w:rPr>
            </w:pPr>
          </w:p>
        </w:tc>
      </w:tr>
      <w:tr w14:paraId="7916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1DCA89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93C1C1D">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20F8963">
            <w:pPr>
              <w:autoSpaceDE w:val="0"/>
              <w:autoSpaceDN w:val="0"/>
              <w:adjustRightInd w:val="0"/>
              <w:snapToGrid w:val="0"/>
              <w:spacing w:line="360" w:lineRule="auto"/>
              <w:jc w:val="center"/>
              <w:rPr>
                <w:rFonts w:ascii="宋体" w:hAnsi="宋体"/>
                <w:color w:val="auto"/>
                <w:highlight w:val="none"/>
                <w:lang w:val="zh-CN"/>
              </w:rPr>
            </w:pPr>
          </w:p>
        </w:tc>
      </w:tr>
      <w:tr w14:paraId="400F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816D35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4EB751C1">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9C83114">
            <w:pPr>
              <w:autoSpaceDE w:val="0"/>
              <w:autoSpaceDN w:val="0"/>
              <w:adjustRightInd w:val="0"/>
              <w:snapToGrid w:val="0"/>
              <w:spacing w:line="360" w:lineRule="auto"/>
              <w:jc w:val="center"/>
              <w:rPr>
                <w:rFonts w:ascii="宋体" w:hAnsi="宋体"/>
                <w:color w:val="auto"/>
                <w:highlight w:val="none"/>
                <w:lang w:val="zh-CN"/>
              </w:rPr>
            </w:pPr>
          </w:p>
        </w:tc>
      </w:tr>
      <w:tr w14:paraId="54F9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4CE5B3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B8D054B">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110BAE">
            <w:pPr>
              <w:autoSpaceDE w:val="0"/>
              <w:autoSpaceDN w:val="0"/>
              <w:adjustRightInd w:val="0"/>
              <w:snapToGrid w:val="0"/>
              <w:spacing w:line="360" w:lineRule="auto"/>
              <w:jc w:val="center"/>
              <w:rPr>
                <w:rFonts w:ascii="宋体" w:hAnsi="宋体"/>
                <w:color w:val="auto"/>
                <w:highlight w:val="none"/>
                <w:lang w:val="zh-CN"/>
              </w:rPr>
            </w:pPr>
          </w:p>
        </w:tc>
      </w:tr>
      <w:tr w14:paraId="7B66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D893DF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51A9820">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84ADF56">
            <w:pPr>
              <w:autoSpaceDE w:val="0"/>
              <w:autoSpaceDN w:val="0"/>
              <w:adjustRightInd w:val="0"/>
              <w:snapToGrid w:val="0"/>
              <w:spacing w:line="360" w:lineRule="auto"/>
              <w:jc w:val="center"/>
              <w:rPr>
                <w:rFonts w:ascii="宋体" w:hAnsi="宋体"/>
                <w:color w:val="auto"/>
                <w:highlight w:val="none"/>
                <w:lang w:val="zh-CN"/>
              </w:rPr>
            </w:pPr>
          </w:p>
        </w:tc>
      </w:tr>
      <w:tr w14:paraId="71B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1C6A19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2C315C25">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CA8C5D0">
            <w:pPr>
              <w:autoSpaceDE w:val="0"/>
              <w:autoSpaceDN w:val="0"/>
              <w:adjustRightInd w:val="0"/>
              <w:snapToGrid w:val="0"/>
              <w:spacing w:line="360" w:lineRule="auto"/>
              <w:jc w:val="center"/>
              <w:rPr>
                <w:rFonts w:ascii="宋体" w:hAnsi="宋体"/>
                <w:color w:val="auto"/>
                <w:highlight w:val="none"/>
                <w:lang w:val="zh-CN"/>
              </w:rPr>
            </w:pPr>
          </w:p>
        </w:tc>
      </w:tr>
      <w:tr w14:paraId="5783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D85BD3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EB882EF">
            <w:pPr>
              <w:autoSpaceDE w:val="0"/>
              <w:autoSpaceDN w:val="0"/>
              <w:adjustRightInd w:val="0"/>
              <w:snapToGrid w:val="0"/>
              <w:spacing w:line="360" w:lineRule="auto"/>
              <w:jc w:val="center"/>
              <w:rPr>
                <w:rFonts w:ascii="宋体" w:hAnsi="宋体"/>
                <w:color w:val="auto"/>
                <w:highlight w:val="none"/>
                <w:lang w:val="zh-CN"/>
              </w:rPr>
            </w:pPr>
          </w:p>
        </w:tc>
      </w:tr>
    </w:tbl>
    <w:p w14:paraId="4E53A1A1">
      <w:pPr>
        <w:spacing w:line="500" w:lineRule="exact"/>
        <w:ind w:firstLine="360" w:firstLineChars="150"/>
        <w:rPr>
          <w:rFonts w:ascii="宋体" w:hAnsi="宋体" w:cs="宋体"/>
          <w:color w:val="auto"/>
          <w:sz w:val="24"/>
          <w:highlight w:val="none"/>
        </w:rPr>
      </w:pPr>
    </w:p>
    <w:p w14:paraId="796C85EF">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535B29F8">
      <w:pPr>
        <w:spacing w:line="360" w:lineRule="auto"/>
        <w:ind w:left="420"/>
        <w:rPr>
          <w:rFonts w:ascii="宋体" w:hAnsi="宋体"/>
          <w:color w:val="auto"/>
          <w:sz w:val="24"/>
          <w:highlight w:val="none"/>
        </w:rPr>
      </w:pPr>
    </w:p>
    <w:p w14:paraId="6B65EA94">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3FE527A7">
      <w:pPr>
        <w:spacing w:line="360" w:lineRule="auto"/>
        <w:ind w:left="420"/>
        <w:rPr>
          <w:rFonts w:ascii="宋体" w:hAnsi="宋体"/>
          <w:color w:val="auto"/>
          <w:sz w:val="24"/>
          <w:highlight w:val="none"/>
        </w:rPr>
      </w:pPr>
    </w:p>
    <w:p w14:paraId="552EFD1F">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06B164BC">
      <w:pPr>
        <w:spacing w:line="360" w:lineRule="auto"/>
        <w:ind w:left="420"/>
        <w:rPr>
          <w:color w:val="auto"/>
          <w:highlight w:val="none"/>
        </w:rPr>
      </w:pPr>
      <w:r>
        <w:rPr>
          <w:rFonts w:hint="eastAsia" w:ascii="宋体" w:hAnsi="宋体"/>
          <w:color w:val="auto"/>
          <w:sz w:val="24"/>
          <w:highlight w:val="none"/>
        </w:rPr>
        <w:t>日        期：</w:t>
      </w:r>
    </w:p>
    <w:p w14:paraId="524C5031">
      <w:pPr>
        <w:rPr>
          <w:rFonts w:hint="eastAsia" w:ascii="宋体" w:hAnsi="宋体"/>
          <w:b/>
          <w:color w:val="auto"/>
          <w:sz w:val="28"/>
          <w:highlight w:val="none"/>
        </w:rPr>
      </w:pPr>
      <w:bookmarkStart w:id="42" w:name="_Toc17604_WPSOffice_Level1"/>
      <w:bookmarkStart w:id="43" w:name="_Toc11030_WPSOffice_Level1"/>
      <w:r>
        <w:rPr>
          <w:rFonts w:hint="eastAsia" w:ascii="宋体" w:hAnsi="宋体"/>
          <w:b/>
          <w:color w:val="auto"/>
          <w:sz w:val="28"/>
          <w:highlight w:val="none"/>
        </w:rPr>
        <w:br w:type="page"/>
      </w:r>
    </w:p>
    <w:p w14:paraId="5E7224EF">
      <w:pPr>
        <w:adjustRightInd w:val="0"/>
        <w:snapToGrid w:val="0"/>
        <w:spacing w:line="360" w:lineRule="auto"/>
        <w:ind w:right="480"/>
        <w:outlineLvl w:val="0"/>
        <w:rPr>
          <w:rFonts w:ascii="宋体" w:hAnsi="宋体"/>
          <w:b/>
          <w:color w:val="auto"/>
          <w:sz w:val="28"/>
          <w:highlight w:val="none"/>
        </w:rPr>
      </w:pPr>
      <w:bookmarkStart w:id="44" w:name="_Toc10858"/>
      <w:r>
        <w:rPr>
          <w:rFonts w:hint="eastAsia" w:ascii="宋体" w:hAnsi="宋体"/>
          <w:b/>
          <w:color w:val="auto"/>
          <w:sz w:val="28"/>
          <w:highlight w:val="none"/>
        </w:rPr>
        <w:t>附件</w:t>
      </w:r>
      <w:bookmarkEnd w:id="42"/>
      <w:bookmarkEnd w:id="43"/>
      <w:r>
        <w:rPr>
          <w:rFonts w:hint="eastAsia" w:ascii="宋体" w:hAnsi="宋体"/>
          <w:b/>
          <w:color w:val="auto"/>
          <w:sz w:val="28"/>
          <w:highlight w:val="none"/>
        </w:rPr>
        <w:t>8</w:t>
      </w:r>
      <w:bookmarkEnd w:id="44"/>
    </w:p>
    <w:p w14:paraId="5BFFDE35">
      <w:pPr>
        <w:pStyle w:val="12"/>
        <w:spacing w:line="360" w:lineRule="auto"/>
        <w:jc w:val="center"/>
        <w:rPr>
          <w:rFonts w:hAnsi="宋体"/>
          <w:b/>
          <w:bCs/>
          <w:color w:val="auto"/>
          <w:sz w:val="32"/>
          <w:szCs w:val="32"/>
          <w:highlight w:val="none"/>
          <w:lang w:val="zh-CN"/>
        </w:rPr>
      </w:pPr>
      <w:r>
        <w:rPr>
          <w:rFonts w:hint="eastAsia" w:hAnsi="宋体"/>
          <w:b/>
          <w:color w:val="auto"/>
          <w:sz w:val="32"/>
          <w:szCs w:val="32"/>
          <w:highlight w:val="none"/>
        </w:rPr>
        <w:t>投标人类似项目业绩一览表</w:t>
      </w:r>
    </w:p>
    <w:tbl>
      <w:tblPr>
        <w:tblStyle w:val="2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3453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1FC7AFD">
            <w:pPr>
              <w:pStyle w:val="12"/>
              <w:jc w:val="center"/>
              <w:rPr>
                <w:rFonts w:hAnsi="宋体"/>
                <w:color w:val="auto"/>
                <w:sz w:val="24"/>
                <w:highlight w:val="none"/>
              </w:rPr>
            </w:pPr>
            <w:r>
              <w:rPr>
                <w:rFonts w:hAnsi="宋体"/>
                <w:color w:val="auto"/>
                <w:sz w:val="24"/>
                <w:highlight w:val="none"/>
              </w:rPr>
              <w:t>序号</w:t>
            </w:r>
          </w:p>
        </w:tc>
        <w:tc>
          <w:tcPr>
            <w:tcW w:w="1561" w:type="dxa"/>
            <w:vAlign w:val="center"/>
          </w:tcPr>
          <w:p w14:paraId="4E06E652">
            <w:pPr>
              <w:pStyle w:val="12"/>
              <w:jc w:val="center"/>
              <w:rPr>
                <w:rFonts w:hAnsi="宋体"/>
                <w:color w:val="auto"/>
                <w:sz w:val="24"/>
                <w:highlight w:val="none"/>
              </w:rPr>
            </w:pPr>
            <w:r>
              <w:rPr>
                <w:rFonts w:hAnsi="宋体"/>
                <w:color w:val="auto"/>
                <w:sz w:val="24"/>
                <w:highlight w:val="none"/>
              </w:rPr>
              <w:t>项目名称</w:t>
            </w:r>
          </w:p>
        </w:tc>
        <w:tc>
          <w:tcPr>
            <w:tcW w:w="1744" w:type="dxa"/>
            <w:vAlign w:val="center"/>
          </w:tcPr>
          <w:p w14:paraId="79BEAA49">
            <w:pPr>
              <w:pStyle w:val="12"/>
              <w:jc w:val="center"/>
              <w:rPr>
                <w:rFonts w:hAnsi="宋体"/>
                <w:color w:val="auto"/>
                <w:sz w:val="24"/>
                <w:highlight w:val="none"/>
              </w:rPr>
            </w:pPr>
            <w:r>
              <w:rPr>
                <w:rFonts w:hAnsi="宋体"/>
                <w:color w:val="auto"/>
                <w:sz w:val="24"/>
                <w:highlight w:val="none"/>
              </w:rPr>
              <w:t>业主单位</w:t>
            </w:r>
          </w:p>
        </w:tc>
        <w:tc>
          <w:tcPr>
            <w:tcW w:w="1260" w:type="dxa"/>
            <w:vAlign w:val="center"/>
          </w:tcPr>
          <w:p w14:paraId="2297A2D7">
            <w:pPr>
              <w:pStyle w:val="12"/>
              <w:jc w:val="center"/>
              <w:rPr>
                <w:rFonts w:hAnsi="宋体"/>
                <w:color w:val="auto"/>
                <w:sz w:val="24"/>
                <w:highlight w:val="none"/>
              </w:rPr>
            </w:pPr>
            <w:r>
              <w:rPr>
                <w:rFonts w:hAnsi="宋体"/>
                <w:color w:val="auto"/>
                <w:sz w:val="24"/>
                <w:highlight w:val="none"/>
              </w:rPr>
              <w:t>合同金额</w:t>
            </w:r>
          </w:p>
        </w:tc>
        <w:tc>
          <w:tcPr>
            <w:tcW w:w="1800" w:type="dxa"/>
            <w:vAlign w:val="center"/>
          </w:tcPr>
          <w:p w14:paraId="2E4ED05F">
            <w:pPr>
              <w:pStyle w:val="12"/>
              <w:jc w:val="center"/>
              <w:rPr>
                <w:rFonts w:hAnsi="宋体"/>
                <w:color w:val="auto"/>
                <w:sz w:val="24"/>
                <w:highlight w:val="none"/>
              </w:rPr>
            </w:pPr>
            <w:r>
              <w:rPr>
                <w:rFonts w:hAnsi="宋体"/>
                <w:color w:val="auto"/>
                <w:sz w:val="24"/>
                <w:highlight w:val="none"/>
              </w:rPr>
              <w:t>合同签订时间</w:t>
            </w:r>
          </w:p>
        </w:tc>
        <w:tc>
          <w:tcPr>
            <w:tcW w:w="2520" w:type="dxa"/>
            <w:vAlign w:val="center"/>
          </w:tcPr>
          <w:p w14:paraId="209CA42E">
            <w:pPr>
              <w:pStyle w:val="12"/>
              <w:jc w:val="center"/>
              <w:rPr>
                <w:rFonts w:hAnsi="宋体"/>
                <w:color w:val="auto"/>
                <w:sz w:val="24"/>
                <w:highlight w:val="none"/>
              </w:rPr>
            </w:pPr>
            <w:r>
              <w:rPr>
                <w:rFonts w:hAnsi="宋体"/>
                <w:color w:val="auto"/>
                <w:sz w:val="24"/>
                <w:highlight w:val="none"/>
              </w:rPr>
              <w:t>联系人/电话</w:t>
            </w:r>
          </w:p>
        </w:tc>
      </w:tr>
      <w:tr w14:paraId="78DC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8CF9CB5">
            <w:pPr>
              <w:pStyle w:val="12"/>
              <w:rPr>
                <w:rFonts w:hAnsi="宋体"/>
                <w:color w:val="auto"/>
                <w:sz w:val="24"/>
                <w:highlight w:val="none"/>
              </w:rPr>
            </w:pPr>
          </w:p>
        </w:tc>
        <w:tc>
          <w:tcPr>
            <w:tcW w:w="1561" w:type="dxa"/>
            <w:vAlign w:val="center"/>
          </w:tcPr>
          <w:p w14:paraId="4FBBB57A">
            <w:pPr>
              <w:pStyle w:val="12"/>
              <w:rPr>
                <w:rFonts w:hAnsi="宋体"/>
                <w:color w:val="auto"/>
                <w:sz w:val="24"/>
                <w:highlight w:val="none"/>
              </w:rPr>
            </w:pPr>
          </w:p>
        </w:tc>
        <w:tc>
          <w:tcPr>
            <w:tcW w:w="1744" w:type="dxa"/>
            <w:vAlign w:val="center"/>
          </w:tcPr>
          <w:p w14:paraId="6F2DEE8C">
            <w:pPr>
              <w:pStyle w:val="12"/>
              <w:rPr>
                <w:rFonts w:hAnsi="宋体"/>
                <w:color w:val="auto"/>
                <w:sz w:val="24"/>
                <w:highlight w:val="none"/>
              </w:rPr>
            </w:pPr>
          </w:p>
        </w:tc>
        <w:tc>
          <w:tcPr>
            <w:tcW w:w="1260" w:type="dxa"/>
            <w:vAlign w:val="center"/>
          </w:tcPr>
          <w:p w14:paraId="502559E8">
            <w:pPr>
              <w:pStyle w:val="12"/>
              <w:rPr>
                <w:rFonts w:hAnsi="宋体"/>
                <w:color w:val="auto"/>
                <w:sz w:val="24"/>
                <w:highlight w:val="none"/>
              </w:rPr>
            </w:pPr>
          </w:p>
        </w:tc>
        <w:tc>
          <w:tcPr>
            <w:tcW w:w="1800" w:type="dxa"/>
            <w:vAlign w:val="center"/>
          </w:tcPr>
          <w:p w14:paraId="43F70C99">
            <w:pPr>
              <w:pStyle w:val="12"/>
              <w:rPr>
                <w:rFonts w:hAnsi="宋体"/>
                <w:color w:val="auto"/>
                <w:sz w:val="24"/>
                <w:highlight w:val="none"/>
              </w:rPr>
            </w:pPr>
          </w:p>
        </w:tc>
        <w:tc>
          <w:tcPr>
            <w:tcW w:w="2520" w:type="dxa"/>
            <w:vAlign w:val="center"/>
          </w:tcPr>
          <w:p w14:paraId="77AB11F6">
            <w:pPr>
              <w:pStyle w:val="12"/>
              <w:rPr>
                <w:rFonts w:hAnsi="宋体"/>
                <w:color w:val="auto"/>
                <w:sz w:val="24"/>
                <w:highlight w:val="none"/>
              </w:rPr>
            </w:pPr>
          </w:p>
        </w:tc>
      </w:tr>
      <w:tr w14:paraId="1209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FD7B838">
            <w:pPr>
              <w:pStyle w:val="12"/>
              <w:rPr>
                <w:rFonts w:hAnsi="宋体"/>
                <w:color w:val="auto"/>
                <w:sz w:val="24"/>
                <w:highlight w:val="none"/>
              </w:rPr>
            </w:pPr>
          </w:p>
        </w:tc>
        <w:tc>
          <w:tcPr>
            <w:tcW w:w="1561" w:type="dxa"/>
            <w:vAlign w:val="center"/>
          </w:tcPr>
          <w:p w14:paraId="21C32D6A">
            <w:pPr>
              <w:pStyle w:val="12"/>
              <w:rPr>
                <w:rFonts w:hAnsi="宋体"/>
                <w:color w:val="auto"/>
                <w:sz w:val="24"/>
                <w:highlight w:val="none"/>
              </w:rPr>
            </w:pPr>
          </w:p>
        </w:tc>
        <w:tc>
          <w:tcPr>
            <w:tcW w:w="1744" w:type="dxa"/>
            <w:vAlign w:val="center"/>
          </w:tcPr>
          <w:p w14:paraId="57B1F2A7">
            <w:pPr>
              <w:pStyle w:val="12"/>
              <w:rPr>
                <w:rFonts w:hAnsi="宋体"/>
                <w:color w:val="auto"/>
                <w:sz w:val="24"/>
                <w:highlight w:val="none"/>
              </w:rPr>
            </w:pPr>
          </w:p>
        </w:tc>
        <w:tc>
          <w:tcPr>
            <w:tcW w:w="1260" w:type="dxa"/>
            <w:vAlign w:val="center"/>
          </w:tcPr>
          <w:p w14:paraId="60B6E4E1">
            <w:pPr>
              <w:pStyle w:val="12"/>
              <w:rPr>
                <w:rFonts w:hAnsi="宋体"/>
                <w:color w:val="auto"/>
                <w:sz w:val="24"/>
                <w:highlight w:val="none"/>
              </w:rPr>
            </w:pPr>
          </w:p>
        </w:tc>
        <w:tc>
          <w:tcPr>
            <w:tcW w:w="1800" w:type="dxa"/>
            <w:vAlign w:val="center"/>
          </w:tcPr>
          <w:p w14:paraId="63778160">
            <w:pPr>
              <w:pStyle w:val="12"/>
              <w:rPr>
                <w:rFonts w:hAnsi="宋体"/>
                <w:color w:val="auto"/>
                <w:sz w:val="24"/>
                <w:highlight w:val="none"/>
              </w:rPr>
            </w:pPr>
          </w:p>
        </w:tc>
        <w:tc>
          <w:tcPr>
            <w:tcW w:w="2520" w:type="dxa"/>
            <w:vAlign w:val="center"/>
          </w:tcPr>
          <w:p w14:paraId="7AAB2074">
            <w:pPr>
              <w:pStyle w:val="12"/>
              <w:rPr>
                <w:rFonts w:hAnsi="宋体"/>
                <w:color w:val="auto"/>
                <w:sz w:val="24"/>
                <w:highlight w:val="none"/>
              </w:rPr>
            </w:pPr>
          </w:p>
        </w:tc>
      </w:tr>
      <w:tr w14:paraId="28E4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F7212B7">
            <w:pPr>
              <w:pStyle w:val="12"/>
              <w:rPr>
                <w:rFonts w:hAnsi="宋体"/>
                <w:color w:val="auto"/>
                <w:sz w:val="24"/>
                <w:highlight w:val="none"/>
              </w:rPr>
            </w:pPr>
          </w:p>
        </w:tc>
        <w:tc>
          <w:tcPr>
            <w:tcW w:w="1561" w:type="dxa"/>
            <w:vAlign w:val="center"/>
          </w:tcPr>
          <w:p w14:paraId="5644E66C">
            <w:pPr>
              <w:pStyle w:val="12"/>
              <w:rPr>
                <w:rFonts w:hAnsi="宋体"/>
                <w:color w:val="auto"/>
                <w:sz w:val="24"/>
                <w:highlight w:val="none"/>
              </w:rPr>
            </w:pPr>
          </w:p>
        </w:tc>
        <w:tc>
          <w:tcPr>
            <w:tcW w:w="1744" w:type="dxa"/>
            <w:vAlign w:val="center"/>
          </w:tcPr>
          <w:p w14:paraId="2C48A576">
            <w:pPr>
              <w:pStyle w:val="12"/>
              <w:rPr>
                <w:rFonts w:hAnsi="宋体"/>
                <w:color w:val="auto"/>
                <w:sz w:val="24"/>
                <w:highlight w:val="none"/>
              </w:rPr>
            </w:pPr>
          </w:p>
        </w:tc>
        <w:tc>
          <w:tcPr>
            <w:tcW w:w="1260" w:type="dxa"/>
            <w:vAlign w:val="center"/>
          </w:tcPr>
          <w:p w14:paraId="7A006CBE">
            <w:pPr>
              <w:pStyle w:val="12"/>
              <w:rPr>
                <w:rFonts w:hAnsi="宋体"/>
                <w:color w:val="auto"/>
                <w:sz w:val="24"/>
                <w:highlight w:val="none"/>
              </w:rPr>
            </w:pPr>
          </w:p>
        </w:tc>
        <w:tc>
          <w:tcPr>
            <w:tcW w:w="1800" w:type="dxa"/>
            <w:vAlign w:val="center"/>
          </w:tcPr>
          <w:p w14:paraId="7D589CCC">
            <w:pPr>
              <w:pStyle w:val="12"/>
              <w:rPr>
                <w:rFonts w:hAnsi="宋体"/>
                <w:color w:val="auto"/>
                <w:sz w:val="24"/>
                <w:highlight w:val="none"/>
              </w:rPr>
            </w:pPr>
          </w:p>
        </w:tc>
        <w:tc>
          <w:tcPr>
            <w:tcW w:w="2520" w:type="dxa"/>
            <w:vAlign w:val="center"/>
          </w:tcPr>
          <w:p w14:paraId="4B842DFA">
            <w:pPr>
              <w:pStyle w:val="12"/>
              <w:rPr>
                <w:rFonts w:hAnsi="宋体"/>
                <w:color w:val="auto"/>
                <w:sz w:val="24"/>
                <w:highlight w:val="none"/>
              </w:rPr>
            </w:pPr>
          </w:p>
        </w:tc>
      </w:tr>
      <w:tr w14:paraId="668D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8673D64">
            <w:pPr>
              <w:pStyle w:val="12"/>
              <w:rPr>
                <w:rFonts w:hAnsi="宋体"/>
                <w:color w:val="auto"/>
                <w:sz w:val="24"/>
                <w:highlight w:val="none"/>
              </w:rPr>
            </w:pPr>
          </w:p>
        </w:tc>
        <w:tc>
          <w:tcPr>
            <w:tcW w:w="1561" w:type="dxa"/>
            <w:vAlign w:val="center"/>
          </w:tcPr>
          <w:p w14:paraId="5BAB10D9">
            <w:pPr>
              <w:pStyle w:val="12"/>
              <w:rPr>
                <w:rFonts w:hAnsi="宋体"/>
                <w:color w:val="auto"/>
                <w:sz w:val="24"/>
                <w:highlight w:val="none"/>
              </w:rPr>
            </w:pPr>
          </w:p>
        </w:tc>
        <w:tc>
          <w:tcPr>
            <w:tcW w:w="1744" w:type="dxa"/>
            <w:vAlign w:val="center"/>
          </w:tcPr>
          <w:p w14:paraId="4CB247C6">
            <w:pPr>
              <w:pStyle w:val="12"/>
              <w:rPr>
                <w:rFonts w:hAnsi="宋体"/>
                <w:color w:val="auto"/>
                <w:sz w:val="24"/>
                <w:highlight w:val="none"/>
              </w:rPr>
            </w:pPr>
          </w:p>
        </w:tc>
        <w:tc>
          <w:tcPr>
            <w:tcW w:w="1260" w:type="dxa"/>
            <w:vAlign w:val="center"/>
          </w:tcPr>
          <w:p w14:paraId="6E7842D4">
            <w:pPr>
              <w:pStyle w:val="12"/>
              <w:rPr>
                <w:rFonts w:hAnsi="宋体"/>
                <w:color w:val="auto"/>
                <w:sz w:val="24"/>
                <w:highlight w:val="none"/>
              </w:rPr>
            </w:pPr>
          </w:p>
        </w:tc>
        <w:tc>
          <w:tcPr>
            <w:tcW w:w="1800" w:type="dxa"/>
            <w:vAlign w:val="center"/>
          </w:tcPr>
          <w:p w14:paraId="16A8BF4C">
            <w:pPr>
              <w:pStyle w:val="12"/>
              <w:rPr>
                <w:rFonts w:hAnsi="宋体"/>
                <w:color w:val="auto"/>
                <w:sz w:val="24"/>
                <w:highlight w:val="none"/>
              </w:rPr>
            </w:pPr>
          </w:p>
        </w:tc>
        <w:tc>
          <w:tcPr>
            <w:tcW w:w="2520" w:type="dxa"/>
            <w:vAlign w:val="center"/>
          </w:tcPr>
          <w:p w14:paraId="62BF78E2">
            <w:pPr>
              <w:pStyle w:val="12"/>
              <w:rPr>
                <w:rFonts w:hAnsi="宋体"/>
                <w:color w:val="auto"/>
                <w:sz w:val="24"/>
                <w:highlight w:val="none"/>
              </w:rPr>
            </w:pPr>
          </w:p>
        </w:tc>
      </w:tr>
      <w:tr w14:paraId="2D53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5B5107E5">
            <w:pPr>
              <w:pStyle w:val="12"/>
              <w:rPr>
                <w:rFonts w:hAnsi="宋体"/>
                <w:color w:val="auto"/>
                <w:sz w:val="24"/>
                <w:highlight w:val="none"/>
              </w:rPr>
            </w:pPr>
          </w:p>
        </w:tc>
        <w:tc>
          <w:tcPr>
            <w:tcW w:w="1561" w:type="dxa"/>
            <w:vAlign w:val="center"/>
          </w:tcPr>
          <w:p w14:paraId="4EA8CAC9">
            <w:pPr>
              <w:pStyle w:val="12"/>
              <w:rPr>
                <w:rFonts w:hAnsi="宋体"/>
                <w:color w:val="auto"/>
                <w:sz w:val="24"/>
                <w:highlight w:val="none"/>
              </w:rPr>
            </w:pPr>
          </w:p>
        </w:tc>
        <w:tc>
          <w:tcPr>
            <w:tcW w:w="1744" w:type="dxa"/>
            <w:vAlign w:val="center"/>
          </w:tcPr>
          <w:p w14:paraId="3C785EC1">
            <w:pPr>
              <w:pStyle w:val="12"/>
              <w:rPr>
                <w:rFonts w:hAnsi="宋体"/>
                <w:color w:val="auto"/>
                <w:sz w:val="24"/>
                <w:highlight w:val="none"/>
              </w:rPr>
            </w:pPr>
          </w:p>
        </w:tc>
        <w:tc>
          <w:tcPr>
            <w:tcW w:w="1260" w:type="dxa"/>
            <w:vAlign w:val="center"/>
          </w:tcPr>
          <w:p w14:paraId="70D7F4DE">
            <w:pPr>
              <w:pStyle w:val="12"/>
              <w:rPr>
                <w:rFonts w:hAnsi="宋体"/>
                <w:color w:val="auto"/>
                <w:sz w:val="24"/>
                <w:highlight w:val="none"/>
              </w:rPr>
            </w:pPr>
          </w:p>
        </w:tc>
        <w:tc>
          <w:tcPr>
            <w:tcW w:w="1800" w:type="dxa"/>
            <w:vAlign w:val="center"/>
          </w:tcPr>
          <w:p w14:paraId="27D9D1ED">
            <w:pPr>
              <w:pStyle w:val="12"/>
              <w:rPr>
                <w:rFonts w:hAnsi="宋体"/>
                <w:color w:val="auto"/>
                <w:sz w:val="24"/>
                <w:highlight w:val="none"/>
              </w:rPr>
            </w:pPr>
          </w:p>
        </w:tc>
        <w:tc>
          <w:tcPr>
            <w:tcW w:w="2520" w:type="dxa"/>
            <w:vAlign w:val="center"/>
          </w:tcPr>
          <w:p w14:paraId="6A572C83">
            <w:pPr>
              <w:pStyle w:val="12"/>
              <w:rPr>
                <w:rFonts w:hAnsi="宋体"/>
                <w:color w:val="auto"/>
                <w:sz w:val="24"/>
                <w:highlight w:val="none"/>
              </w:rPr>
            </w:pPr>
          </w:p>
        </w:tc>
      </w:tr>
      <w:tr w14:paraId="7D8B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C15A3B3">
            <w:pPr>
              <w:pStyle w:val="12"/>
              <w:rPr>
                <w:rFonts w:hAnsi="宋体"/>
                <w:color w:val="auto"/>
                <w:sz w:val="24"/>
                <w:highlight w:val="none"/>
              </w:rPr>
            </w:pPr>
          </w:p>
        </w:tc>
        <w:tc>
          <w:tcPr>
            <w:tcW w:w="1561" w:type="dxa"/>
            <w:vAlign w:val="center"/>
          </w:tcPr>
          <w:p w14:paraId="6535FFF6">
            <w:pPr>
              <w:pStyle w:val="12"/>
              <w:rPr>
                <w:rFonts w:hAnsi="宋体"/>
                <w:color w:val="auto"/>
                <w:sz w:val="24"/>
                <w:highlight w:val="none"/>
              </w:rPr>
            </w:pPr>
          </w:p>
        </w:tc>
        <w:tc>
          <w:tcPr>
            <w:tcW w:w="1744" w:type="dxa"/>
            <w:vAlign w:val="center"/>
          </w:tcPr>
          <w:p w14:paraId="63A97CF9">
            <w:pPr>
              <w:pStyle w:val="12"/>
              <w:rPr>
                <w:rFonts w:hAnsi="宋体"/>
                <w:color w:val="auto"/>
                <w:sz w:val="24"/>
                <w:highlight w:val="none"/>
              </w:rPr>
            </w:pPr>
          </w:p>
        </w:tc>
        <w:tc>
          <w:tcPr>
            <w:tcW w:w="1260" w:type="dxa"/>
            <w:vAlign w:val="center"/>
          </w:tcPr>
          <w:p w14:paraId="782C38EA">
            <w:pPr>
              <w:pStyle w:val="12"/>
              <w:rPr>
                <w:rFonts w:hAnsi="宋体"/>
                <w:color w:val="auto"/>
                <w:sz w:val="24"/>
                <w:highlight w:val="none"/>
              </w:rPr>
            </w:pPr>
          </w:p>
        </w:tc>
        <w:tc>
          <w:tcPr>
            <w:tcW w:w="1800" w:type="dxa"/>
            <w:vAlign w:val="center"/>
          </w:tcPr>
          <w:p w14:paraId="53906EC1">
            <w:pPr>
              <w:pStyle w:val="12"/>
              <w:rPr>
                <w:rFonts w:hAnsi="宋体"/>
                <w:color w:val="auto"/>
                <w:sz w:val="24"/>
                <w:highlight w:val="none"/>
              </w:rPr>
            </w:pPr>
          </w:p>
        </w:tc>
        <w:tc>
          <w:tcPr>
            <w:tcW w:w="2520" w:type="dxa"/>
            <w:vAlign w:val="center"/>
          </w:tcPr>
          <w:p w14:paraId="66F5C4CB">
            <w:pPr>
              <w:pStyle w:val="12"/>
              <w:rPr>
                <w:rFonts w:hAnsi="宋体"/>
                <w:color w:val="auto"/>
                <w:sz w:val="24"/>
                <w:highlight w:val="none"/>
              </w:rPr>
            </w:pPr>
          </w:p>
        </w:tc>
      </w:tr>
      <w:tr w14:paraId="4F65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C09128C">
            <w:pPr>
              <w:pStyle w:val="12"/>
              <w:rPr>
                <w:rFonts w:hAnsi="宋体"/>
                <w:color w:val="auto"/>
                <w:sz w:val="24"/>
                <w:highlight w:val="none"/>
              </w:rPr>
            </w:pPr>
            <w:r>
              <w:rPr>
                <w:rFonts w:hint="eastAsia" w:hAnsi="宋体"/>
                <w:color w:val="auto"/>
                <w:sz w:val="24"/>
                <w:highlight w:val="none"/>
              </w:rPr>
              <w:t>……</w:t>
            </w:r>
          </w:p>
        </w:tc>
        <w:tc>
          <w:tcPr>
            <w:tcW w:w="1561" w:type="dxa"/>
            <w:vAlign w:val="center"/>
          </w:tcPr>
          <w:p w14:paraId="33197F5E">
            <w:pPr>
              <w:pStyle w:val="12"/>
              <w:rPr>
                <w:rFonts w:hAnsi="宋体"/>
                <w:color w:val="auto"/>
                <w:sz w:val="24"/>
                <w:highlight w:val="none"/>
              </w:rPr>
            </w:pPr>
          </w:p>
        </w:tc>
        <w:tc>
          <w:tcPr>
            <w:tcW w:w="1744" w:type="dxa"/>
            <w:vAlign w:val="center"/>
          </w:tcPr>
          <w:p w14:paraId="74381263">
            <w:pPr>
              <w:pStyle w:val="12"/>
              <w:rPr>
                <w:rFonts w:hAnsi="宋体"/>
                <w:color w:val="auto"/>
                <w:sz w:val="24"/>
                <w:highlight w:val="none"/>
              </w:rPr>
            </w:pPr>
          </w:p>
        </w:tc>
        <w:tc>
          <w:tcPr>
            <w:tcW w:w="1260" w:type="dxa"/>
            <w:vAlign w:val="center"/>
          </w:tcPr>
          <w:p w14:paraId="2626469E">
            <w:pPr>
              <w:pStyle w:val="12"/>
              <w:rPr>
                <w:rFonts w:hAnsi="宋体"/>
                <w:color w:val="auto"/>
                <w:sz w:val="24"/>
                <w:highlight w:val="none"/>
              </w:rPr>
            </w:pPr>
          </w:p>
        </w:tc>
        <w:tc>
          <w:tcPr>
            <w:tcW w:w="1800" w:type="dxa"/>
            <w:vAlign w:val="center"/>
          </w:tcPr>
          <w:p w14:paraId="256FEF8B">
            <w:pPr>
              <w:pStyle w:val="12"/>
              <w:rPr>
                <w:rFonts w:hAnsi="宋体"/>
                <w:color w:val="auto"/>
                <w:sz w:val="24"/>
                <w:highlight w:val="none"/>
              </w:rPr>
            </w:pPr>
          </w:p>
        </w:tc>
        <w:tc>
          <w:tcPr>
            <w:tcW w:w="2520" w:type="dxa"/>
            <w:vAlign w:val="center"/>
          </w:tcPr>
          <w:p w14:paraId="524580A9">
            <w:pPr>
              <w:pStyle w:val="12"/>
              <w:rPr>
                <w:rFonts w:hAnsi="宋体"/>
                <w:color w:val="auto"/>
                <w:sz w:val="24"/>
                <w:highlight w:val="none"/>
              </w:rPr>
            </w:pPr>
          </w:p>
        </w:tc>
      </w:tr>
    </w:tbl>
    <w:p w14:paraId="0B93DE63">
      <w:pPr>
        <w:pStyle w:val="12"/>
        <w:spacing w:line="360" w:lineRule="auto"/>
        <w:rPr>
          <w:rFonts w:hAnsi="宋体"/>
          <w:b/>
          <w:bCs/>
          <w:color w:val="auto"/>
          <w:sz w:val="24"/>
          <w:highlight w:val="none"/>
        </w:rPr>
      </w:pPr>
      <w:r>
        <w:rPr>
          <w:rFonts w:hAnsi="宋体"/>
          <w:b/>
          <w:bCs/>
          <w:color w:val="auto"/>
          <w:sz w:val="24"/>
          <w:highlight w:val="none"/>
        </w:rPr>
        <w:t>注：</w:t>
      </w:r>
    </w:p>
    <w:p w14:paraId="42C72075">
      <w:pPr>
        <w:pStyle w:val="12"/>
        <w:numPr>
          <w:ilvl w:val="0"/>
          <w:numId w:val="112"/>
        </w:numPr>
        <w:spacing w:line="360" w:lineRule="auto"/>
        <w:ind w:firstLine="420" w:firstLineChars="200"/>
        <w:rPr>
          <w:rFonts w:hAnsi="宋体"/>
          <w:color w:val="auto"/>
          <w:sz w:val="24"/>
          <w:highlight w:val="none"/>
        </w:rPr>
      </w:pPr>
      <w:r>
        <w:rPr>
          <w:rFonts w:hint="eastAsia" w:hAnsi="宋体"/>
          <w:bCs/>
          <w:color w:val="auto"/>
          <w:szCs w:val="21"/>
          <w:highlight w:val="none"/>
        </w:rPr>
        <w:t>在填</w:t>
      </w:r>
      <w:r>
        <w:rPr>
          <w:rFonts w:hint="eastAsia" w:hAnsi="宋体"/>
          <w:color w:val="auto"/>
          <w:szCs w:val="21"/>
          <w:highlight w:val="none"/>
        </w:rPr>
        <w:t>写时，如本表格不适合投标单位的实际情况，可根据本表格式自行划表填写。</w:t>
      </w:r>
    </w:p>
    <w:p w14:paraId="6C34ED96">
      <w:pPr>
        <w:pStyle w:val="12"/>
        <w:numPr>
          <w:ilvl w:val="0"/>
          <w:numId w:val="112"/>
        </w:numPr>
        <w:spacing w:line="360" w:lineRule="auto"/>
        <w:ind w:firstLine="420" w:firstLineChars="200"/>
        <w:rPr>
          <w:rFonts w:hAnsi="宋体"/>
          <w:color w:val="auto"/>
          <w:sz w:val="24"/>
          <w:highlight w:val="none"/>
        </w:rPr>
      </w:pPr>
      <w:r>
        <w:rPr>
          <w:rFonts w:hint="eastAsia" w:hAnsi="宋体"/>
          <w:color w:val="auto"/>
          <w:szCs w:val="21"/>
          <w:highlight w:val="none"/>
        </w:rPr>
        <w:t>附上每个业绩相关证明材料。</w:t>
      </w:r>
    </w:p>
    <w:p w14:paraId="458B7F77">
      <w:pPr>
        <w:autoSpaceDE w:val="0"/>
        <w:autoSpaceDN w:val="0"/>
        <w:adjustRightInd w:val="0"/>
        <w:spacing w:line="560" w:lineRule="exact"/>
        <w:ind w:firstLine="6000" w:firstLineChars="2500"/>
        <w:rPr>
          <w:rFonts w:ascii="宋体" w:hAnsi="宋体"/>
          <w:color w:val="auto"/>
          <w:sz w:val="24"/>
          <w:highlight w:val="none"/>
        </w:rPr>
      </w:pPr>
    </w:p>
    <w:p w14:paraId="13A5C855">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5A031F06">
      <w:pPr>
        <w:spacing w:line="360" w:lineRule="auto"/>
        <w:ind w:left="420"/>
        <w:rPr>
          <w:rFonts w:ascii="宋体" w:hAnsi="宋体"/>
          <w:color w:val="auto"/>
          <w:sz w:val="24"/>
          <w:highlight w:val="none"/>
        </w:rPr>
      </w:pPr>
    </w:p>
    <w:p w14:paraId="44CA0138">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149DAB98">
      <w:pPr>
        <w:spacing w:line="360" w:lineRule="auto"/>
        <w:ind w:left="420"/>
        <w:rPr>
          <w:rFonts w:ascii="宋体" w:hAnsi="宋体"/>
          <w:color w:val="auto"/>
          <w:sz w:val="24"/>
          <w:highlight w:val="none"/>
        </w:rPr>
      </w:pPr>
    </w:p>
    <w:p w14:paraId="7FCCAF6C">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6A72ADD4">
      <w:pPr>
        <w:spacing w:line="360" w:lineRule="auto"/>
        <w:ind w:left="420"/>
        <w:rPr>
          <w:color w:val="auto"/>
          <w:highlight w:val="none"/>
        </w:rPr>
      </w:pPr>
      <w:r>
        <w:rPr>
          <w:rFonts w:hint="eastAsia" w:ascii="宋体" w:hAnsi="宋体"/>
          <w:color w:val="auto"/>
          <w:sz w:val="24"/>
          <w:highlight w:val="none"/>
        </w:rPr>
        <w:t>日        期：</w:t>
      </w:r>
    </w:p>
    <w:p w14:paraId="4C8397EC">
      <w:pPr>
        <w:pStyle w:val="26"/>
        <w:ind w:left="0" w:leftChars="0" w:firstLine="0"/>
        <w:rPr>
          <w:rFonts w:ascii="宋体" w:hAnsi="宋体"/>
          <w:b/>
          <w:color w:val="auto"/>
          <w:sz w:val="28"/>
          <w:highlight w:val="none"/>
        </w:rPr>
      </w:pPr>
    </w:p>
    <w:p w14:paraId="6F6826E0">
      <w:pPr>
        <w:rPr>
          <w:rFonts w:ascii="宋体" w:hAnsi="宋体"/>
          <w:b/>
          <w:color w:val="auto"/>
          <w:sz w:val="28"/>
          <w:highlight w:val="none"/>
        </w:rPr>
      </w:pPr>
      <w:r>
        <w:rPr>
          <w:rFonts w:hint="eastAsia" w:ascii="宋体" w:hAnsi="宋体"/>
          <w:b/>
          <w:color w:val="auto"/>
          <w:sz w:val="28"/>
          <w:highlight w:val="none"/>
        </w:rPr>
        <w:br w:type="page"/>
      </w:r>
    </w:p>
    <w:p w14:paraId="09A86008">
      <w:pPr>
        <w:spacing w:line="360" w:lineRule="auto"/>
        <w:rPr>
          <w:rFonts w:ascii="宋体" w:hAnsi="宋体"/>
          <w:b/>
          <w:color w:val="auto"/>
          <w:sz w:val="28"/>
          <w:highlight w:val="none"/>
        </w:rPr>
      </w:pPr>
      <w:r>
        <w:rPr>
          <w:rFonts w:hint="eastAsia" w:ascii="宋体" w:hAnsi="宋体"/>
          <w:b/>
          <w:color w:val="auto"/>
          <w:sz w:val="28"/>
          <w:highlight w:val="none"/>
        </w:rPr>
        <w:t>附件9</w:t>
      </w:r>
    </w:p>
    <w:p w14:paraId="1B78C1BD">
      <w:pPr>
        <w:spacing w:line="360" w:lineRule="auto"/>
        <w:jc w:val="center"/>
        <w:rPr>
          <w:rFonts w:ascii="宋体" w:hAnsi="宋体"/>
          <w:color w:val="auto"/>
          <w:sz w:val="24"/>
          <w:highlight w:val="none"/>
        </w:rPr>
      </w:pPr>
      <w:bookmarkStart w:id="45" w:name="_Toc12856_WPSOffice_Level1"/>
      <w:bookmarkStart w:id="46" w:name="_Toc26601_WPSOffice_Level1"/>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7"/>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09C8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02AD374C">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4A2F0499">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08D03EF3">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380BA0D5">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3125D9D4">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14227AAD">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253F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ED6D6DF">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12FE1955">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91E902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48CB31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4C00095">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54E30B93">
            <w:pPr>
              <w:jc w:val="center"/>
              <w:rPr>
                <w:rFonts w:asciiTheme="minorEastAsia" w:hAnsiTheme="minorEastAsia" w:eastAsiaTheme="minorEastAsia" w:cstheme="minorEastAsia"/>
                <w:color w:val="auto"/>
                <w:szCs w:val="21"/>
                <w:highlight w:val="none"/>
              </w:rPr>
            </w:pPr>
          </w:p>
        </w:tc>
      </w:tr>
      <w:tr w14:paraId="42A2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0EBE0C8">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141B1461">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DE977CC">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0A5AD8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5EFF7EA4">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0AAA4EEB">
            <w:pPr>
              <w:jc w:val="center"/>
              <w:rPr>
                <w:rFonts w:asciiTheme="minorEastAsia" w:hAnsiTheme="minorEastAsia" w:eastAsiaTheme="minorEastAsia" w:cstheme="minorEastAsia"/>
                <w:color w:val="auto"/>
                <w:szCs w:val="21"/>
                <w:highlight w:val="none"/>
              </w:rPr>
            </w:pPr>
          </w:p>
        </w:tc>
      </w:tr>
      <w:tr w14:paraId="6F1E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833B8C2">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343CF1B">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B6D1679">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23040DB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D8F7674">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3C030D5">
            <w:pPr>
              <w:jc w:val="center"/>
              <w:rPr>
                <w:rFonts w:asciiTheme="minorEastAsia" w:hAnsiTheme="minorEastAsia" w:eastAsiaTheme="minorEastAsia" w:cstheme="minorEastAsia"/>
                <w:color w:val="auto"/>
                <w:szCs w:val="21"/>
                <w:highlight w:val="none"/>
              </w:rPr>
            </w:pPr>
          </w:p>
        </w:tc>
      </w:tr>
      <w:tr w14:paraId="1B25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6006A99">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9066380">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5523D8FA">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5B47C07E">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AB07B29">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0F71C87C">
            <w:pPr>
              <w:jc w:val="center"/>
              <w:rPr>
                <w:rFonts w:asciiTheme="minorEastAsia" w:hAnsiTheme="minorEastAsia" w:eastAsiaTheme="minorEastAsia" w:cstheme="minorEastAsia"/>
                <w:color w:val="auto"/>
                <w:szCs w:val="21"/>
                <w:highlight w:val="none"/>
              </w:rPr>
            </w:pPr>
          </w:p>
        </w:tc>
      </w:tr>
      <w:tr w14:paraId="39AB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6CF6C72">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E8058A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CD61FFC">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D960985">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2FF820A3">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5D08E7A7">
            <w:pPr>
              <w:jc w:val="center"/>
              <w:rPr>
                <w:rFonts w:asciiTheme="minorEastAsia" w:hAnsiTheme="minorEastAsia" w:eastAsiaTheme="minorEastAsia" w:cstheme="minorEastAsia"/>
                <w:color w:val="auto"/>
                <w:szCs w:val="21"/>
                <w:highlight w:val="none"/>
              </w:rPr>
            </w:pPr>
          </w:p>
        </w:tc>
      </w:tr>
      <w:tr w14:paraId="3C5D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00C9BFF">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4EC9307F">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17564E1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4FE3C37">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858F9DA">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5875DAF0">
            <w:pPr>
              <w:jc w:val="center"/>
              <w:rPr>
                <w:rFonts w:asciiTheme="minorEastAsia" w:hAnsiTheme="minorEastAsia" w:eastAsiaTheme="minorEastAsia" w:cstheme="minorEastAsia"/>
                <w:color w:val="auto"/>
                <w:szCs w:val="21"/>
                <w:highlight w:val="none"/>
              </w:rPr>
            </w:pPr>
          </w:p>
        </w:tc>
      </w:tr>
    </w:tbl>
    <w:p w14:paraId="599FDA50">
      <w:pPr>
        <w:pStyle w:val="45"/>
        <w:tabs>
          <w:tab w:val="left" w:pos="360"/>
        </w:tabs>
        <w:spacing w:line="360" w:lineRule="auto"/>
        <w:ind w:right="84" w:rightChars="40"/>
        <w:rPr>
          <w:rFonts w:ascii="宋体"/>
          <w:color w:val="auto"/>
          <w:szCs w:val="21"/>
          <w:highlight w:val="none"/>
        </w:rPr>
      </w:pPr>
      <w:r>
        <w:rPr>
          <w:rFonts w:hint="eastAsia" w:ascii="宋体"/>
          <w:b/>
          <w:color w:val="auto"/>
          <w:szCs w:val="21"/>
          <w:highlight w:val="none"/>
        </w:rPr>
        <w:t>要求：</w:t>
      </w:r>
    </w:p>
    <w:p w14:paraId="648721A0">
      <w:pPr>
        <w:pStyle w:val="45"/>
        <w:tabs>
          <w:tab w:val="left" w:pos="360"/>
        </w:tabs>
        <w:spacing w:line="360" w:lineRule="auto"/>
        <w:ind w:firstLine="420" w:firstLineChars="200"/>
        <w:jc w:val="both"/>
        <w:rPr>
          <w:rFonts w:ascii="宋体"/>
          <w:color w:val="auto"/>
          <w:szCs w:val="21"/>
          <w:highlight w:val="none"/>
        </w:rPr>
      </w:pPr>
      <w:r>
        <w:rPr>
          <w:rFonts w:hint="eastAsia" w:ascii="宋体"/>
          <w:color w:val="auto"/>
          <w:szCs w:val="21"/>
          <w:highlight w:val="none"/>
        </w:rPr>
        <w:t>1.本表参照本招标文件第三章“技术需求”填制，投标人应根据投标项目的要求，投标人应根据投标设备的性能指标、服务指标，对照招标文件要求在“偏离情况”栏注明“正偏离”、“负偏离”或“无偏离”。</w:t>
      </w:r>
    </w:p>
    <w:p w14:paraId="2F21ECEA">
      <w:pPr>
        <w:pStyle w:val="45"/>
        <w:spacing w:line="360" w:lineRule="auto"/>
        <w:ind w:firstLine="420" w:firstLineChars="200"/>
        <w:jc w:val="both"/>
        <w:rPr>
          <w:rFonts w:ascii="宋体"/>
          <w:color w:val="auto"/>
          <w:szCs w:val="21"/>
          <w:highlight w:val="none"/>
        </w:rPr>
      </w:pPr>
      <w:r>
        <w:rPr>
          <w:rFonts w:hint="eastAsia" w:ascii="宋体"/>
          <w:color w:val="auto"/>
          <w:szCs w:val="21"/>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438A952A">
      <w:pPr>
        <w:pStyle w:val="45"/>
        <w:spacing w:line="360" w:lineRule="auto"/>
        <w:ind w:right="84" w:rightChars="40" w:firstLine="420" w:firstLineChars="200"/>
        <w:rPr>
          <w:rFonts w:ascii="宋体"/>
          <w:color w:val="auto"/>
          <w:szCs w:val="21"/>
          <w:highlight w:val="none"/>
        </w:rPr>
      </w:pPr>
    </w:p>
    <w:bookmarkEnd w:id="45"/>
    <w:bookmarkEnd w:id="46"/>
    <w:p w14:paraId="36894307">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4ADD240E">
      <w:pPr>
        <w:spacing w:line="360" w:lineRule="auto"/>
        <w:ind w:left="420"/>
        <w:rPr>
          <w:rFonts w:ascii="宋体" w:hAnsi="宋体"/>
          <w:color w:val="auto"/>
          <w:sz w:val="24"/>
          <w:highlight w:val="none"/>
        </w:rPr>
      </w:pPr>
    </w:p>
    <w:p w14:paraId="20BD15FD">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110149C7">
      <w:pPr>
        <w:spacing w:line="360" w:lineRule="auto"/>
        <w:ind w:left="420"/>
        <w:rPr>
          <w:rFonts w:ascii="宋体" w:hAnsi="宋体"/>
          <w:color w:val="auto"/>
          <w:sz w:val="24"/>
          <w:highlight w:val="none"/>
        </w:rPr>
      </w:pPr>
    </w:p>
    <w:p w14:paraId="797819FA">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0F897EFD">
      <w:pPr>
        <w:spacing w:line="360" w:lineRule="auto"/>
        <w:ind w:left="420"/>
        <w:rPr>
          <w:color w:val="auto"/>
          <w:highlight w:val="none"/>
        </w:rPr>
      </w:pPr>
      <w:r>
        <w:rPr>
          <w:rFonts w:hint="eastAsia" w:ascii="宋体" w:hAnsi="宋体"/>
          <w:color w:val="auto"/>
          <w:sz w:val="24"/>
          <w:highlight w:val="none"/>
        </w:rPr>
        <w:t>日        期：</w:t>
      </w:r>
    </w:p>
    <w:p w14:paraId="28D96A6E">
      <w:pPr>
        <w:rPr>
          <w:rFonts w:ascii="宋体" w:hAnsi="宋体"/>
          <w:b/>
          <w:color w:val="auto"/>
          <w:sz w:val="28"/>
          <w:highlight w:val="none"/>
        </w:rPr>
      </w:pPr>
      <w:r>
        <w:rPr>
          <w:rFonts w:hint="eastAsia" w:ascii="宋体" w:hAnsi="宋体"/>
          <w:b/>
          <w:color w:val="auto"/>
          <w:sz w:val="28"/>
          <w:highlight w:val="none"/>
        </w:rPr>
        <w:br w:type="page"/>
      </w:r>
    </w:p>
    <w:p w14:paraId="37D4D27B">
      <w:pPr>
        <w:adjustRightInd w:val="0"/>
        <w:snapToGrid w:val="0"/>
        <w:spacing w:line="360" w:lineRule="auto"/>
        <w:ind w:right="480"/>
        <w:outlineLvl w:val="0"/>
        <w:rPr>
          <w:rFonts w:ascii="宋体" w:hAnsi="宋体"/>
          <w:b/>
          <w:color w:val="auto"/>
          <w:sz w:val="28"/>
          <w:highlight w:val="none"/>
        </w:rPr>
      </w:pPr>
      <w:bookmarkStart w:id="47" w:name="_Toc30105"/>
      <w:r>
        <w:rPr>
          <w:rFonts w:hint="eastAsia" w:ascii="宋体" w:hAnsi="宋体"/>
          <w:b/>
          <w:color w:val="auto"/>
          <w:sz w:val="28"/>
          <w:highlight w:val="none"/>
        </w:rPr>
        <w:t>附件10</w:t>
      </w:r>
      <w:bookmarkEnd w:id="47"/>
    </w:p>
    <w:p w14:paraId="7A9B8E53">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14:paraId="3CAFF798">
      <w:pPr>
        <w:spacing w:line="360" w:lineRule="auto"/>
        <w:ind w:left="481" w:leftChars="229" w:firstLine="813" w:firstLineChars="450"/>
        <w:rPr>
          <w:rFonts w:ascii="宋体" w:hAnsi="宋体"/>
          <w:b/>
          <w:color w:val="auto"/>
          <w:sz w:val="18"/>
          <w:szCs w:val="18"/>
          <w:highlight w:val="none"/>
        </w:rPr>
      </w:pPr>
    </w:p>
    <w:tbl>
      <w:tblPr>
        <w:tblStyle w:val="27"/>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14:paraId="4949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45BA5C5C">
            <w:pPr>
              <w:rPr>
                <w:rFonts w:ascii="宋体" w:hAnsi="宋体"/>
                <w:b/>
                <w:color w:val="auto"/>
                <w:sz w:val="24"/>
                <w:highlight w:val="none"/>
              </w:rPr>
            </w:pPr>
            <w:r>
              <w:rPr>
                <w:rFonts w:hint="eastAsia" w:ascii="宋体" w:hAnsi="宋体"/>
                <w:b/>
                <w:color w:val="auto"/>
                <w:sz w:val="24"/>
                <w:highlight w:val="none"/>
              </w:rPr>
              <w:t>序号</w:t>
            </w:r>
          </w:p>
        </w:tc>
        <w:tc>
          <w:tcPr>
            <w:tcW w:w="2587" w:type="dxa"/>
            <w:tcMar>
              <w:top w:w="57" w:type="dxa"/>
              <w:left w:w="108" w:type="dxa"/>
              <w:bottom w:w="0" w:type="dxa"/>
              <w:right w:w="108" w:type="dxa"/>
            </w:tcMar>
            <w:vAlign w:val="center"/>
          </w:tcPr>
          <w:p w14:paraId="1975FC9B">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tcMar>
              <w:top w:w="57" w:type="dxa"/>
              <w:left w:w="108" w:type="dxa"/>
              <w:bottom w:w="0" w:type="dxa"/>
              <w:right w:w="108" w:type="dxa"/>
            </w:tcMar>
            <w:vAlign w:val="center"/>
          </w:tcPr>
          <w:p w14:paraId="5E688F36">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tcMar>
              <w:top w:w="57" w:type="dxa"/>
              <w:left w:w="108" w:type="dxa"/>
              <w:bottom w:w="0" w:type="dxa"/>
              <w:right w:w="108" w:type="dxa"/>
            </w:tcMar>
            <w:vAlign w:val="center"/>
          </w:tcPr>
          <w:p w14:paraId="6C4B00B4">
            <w:pPr>
              <w:ind w:left="152"/>
              <w:rPr>
                <w:rFonts w:ascii="宋体" w:hAnsi="宋体"/>
                <w:b/>
                <w:color w:val="auto"/>
                <w:sz w:val="24"/>
                <w:highlight w:val="none"/>
              </w:rPr>
            </w:pPr>
            <w:r>
              <w:rPr>
                <w:rFonts w:hint="eastAsia" w:ascii="宋体" w:hAnsi="宋体"/>
                <w:b/>
                <w:color w:val="auto"/>
                <w:sz w:val="24"/>
                <w:highlight w:val="none"/>
              </w:rPr>
              <w:t>是否响应</w:t>
            </w:r>
          </w:p>
        </w:tc>
        <w:tc>
          <w:tcPr>
            <w:tcW w:w="2633" w:type="dxa"/>
            <w:tcMar>
              <w:top w:w="57" w:type="dxa"/>
              <w:left w:w="108" w:type="dxa"/>
              <w:bottom w:w="0" w:type="dxa"/>
              <w:right w:w="108" w:type="dxa"/>
            </w:tcMar>
            <w:vAlign w:val="center"/>
          </w:tcPr>
          <w:p w14:paraId="1466DD6C">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2D77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19F31634">
            <w:pPr>
              <w:jc w:val="center"/>
              <w:rPr>
                <w:rFonts w:ascii="宋体" w:hAnsi="宋体"/>
                <w:color w:val="auto"/>
                <w:sz w:val="24"/>
                <w:highlight w:val="none"/>
              </w:rPr>
            </w:pPr>
            <w:r>
              <w:rPr>
                <w:rFonts w:hint="eastAsia" w:ascii="宋体" w:hAnsi="宋体"/>
                <w:color w:val="auto"/>
                <w:sz w:val="24"/>
                <w:highlight w:val="none"/>
              </w:rPr>
              <w:t>1</w:t>
            </w:r>
          </w:p>
        </w:tc>
        <w:tc>
          <w:tcPr>
            <w:tcW w:w="2587" w:type="dxa"/>
            <w:tcMar>
              <w:top w:w="57" w:type="dxa"/>
              <w:left w:w="108" w:type="dxa"/>
              <w:bottom w:w="0" w:type="dxa"/>
              <w:right w:w="108" w:type="dxa"/>
            </w:tcMar>
            <w:vAlign w:val="center"/>
          </w:tcPr>
          <w:p w14:paraId="1DA77939">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3CE23941">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4DBB3945">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2290F0EC">
            <w:pPr>
              <w:jc w:val="left"/>
              <w:rPr>
                <w:rFonts w:ascii="宋体" w:hAnsi="宋体"/>
                <w:color w:val="auto"/>
                <w:sz w:val="24"/>
                <w:highlight w:val="none"/>
              </w:rPr>
            </w:pPr>
          </w:p>
        </w:tc>
      </w:tr>
      <w:tr w14:paraId="7952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55DC25F5">
            <w:pPr>
              <w:jc w:val="center"/>
              <w:rPr>
                <w:rFonts w:ascii="宋体" w:hAnsi="宋体"/>
                <w:color w:val="auto"/>
                <w:sz w:val="24"/>
                <w:highlight w:val="none"/>
              </w:rPr>
            </w:pPr>
            <w:r>
              <w:rPr>
                <w:rFonts w:hint="eastAsia" w:ascii="宋体" w:hAnsi="宋体"/>
                <w:color w:val="auto"/>
                <w:sz w:val="24"/>
                <w:highlight w:val="none"/>
              </w:rPr>
              <w:t>2</w:t>
            </w:r>
          </w:p>
        </w:tc>
        <w:tc>
          <w:tcPr>
            <w:tcW w:w="2587" w:type="dxa"/>
            <w:tcMar>
              <w:top w:w="57" w:type="dxa"/>
              <w:left w:w="108" w:type="dxa"/>
              <w:bottom w:w="0" w:type="dxa"/>
              <w:right w:w="108" w:type="dxa"/>
            </w:tcMar>
            <w:vAlign w:val="center"/>
          </w:tcPr>
          <w:p w14:paraId="79A906EF">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647C0458">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04BF9830">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453E1259">
            <w:pPr>
              <w:jc w:val="left"/>
              <w:rPr>
                <w:rFonts w:ascii="宋体" w:hAnsi="宋体"/>
                <w:color w:val="auto"/>
                <w:sz w:val="24"/>
                <w:highlight w:val="none"/>
              </w:rPr>
            </w:pPr>
          </w:p>
        </w:tc>
      </w:tr>
      <w:tr w14:paraId="4D9E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6BFB004">
            <w:pPr>
              <w:jc w:val="center"/>
              <w:rPr>
                <w:rFonts w:ascii="宋体" w:hAnsi="宋体"/>
                <w:color w:val="auto"/>
                <w:sz w:val="24"/>
                <w:highlight w:val="none"/>
              </w:rPr>
            </w:pPr>
            <w:r>
              <w:rPr>
                <w:rFonts w:hint="eastAsia" w:ascii="宋体" w:hAnsi="宋体"/>
                <w:color w:val="auto"/>
                <w:sz w:val="24"/>
                <w:highlight w:val="none"/>
              </w:rPr>
              <w:t>3</w:t>
            </w:r>
          </w:p>
        </w:tc>
        <w:tc>
          <w:tcPr>
            <w:tcW w:w="2587" w:type="dxa"/>
            <w:tcMar>
              <w:top w:w="57" w:type="dxa"/>
              <w:left w:w="108" w:type="dxa"/>
              <w:bottom w:w="0" w:type="dxa"/>
              <w:right w:w="108" w:type="dxa"/>
            </w:tcMar>
            <w:vAlign w:val="center"/>
          </w:tcPr>
          <w:p w14:paraId="32D06F95">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015570CA">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45D497B3">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07CC8F37">
            <w:pPr>
              <w:jc w:val="left"/>
              <w:rPr>
                <w:rFonts w:ascii="宋体" w:hAnsi="宋体"/>
                <w:color w:val="auto"/>
                <w:sz w:val="24"/>
                <w:highlight w:val="none"/>
              </w:rPr>
            </w:pPr>
          </w:p>
        </w:tc>
      </w:tr>
      <w:tr w14:paraId="640B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30875AD">
            <w:pPr>
              <w:jc w:val="center"/>
              <w:rPr>
                <w:rFonts w:ascii="宋体" w:hAnsi="宋体"/>
                <w:color w:val="auto"/>
                <w:sz w:val="24"/>
                <w:highlight w:val="none"/>
              </w:rPr>
            </w:pPr>
            <w:r>
              <w:rPr>
                <w:rFonts w:hint="eastAsia" w:ascii="宋体" w:hAnsi="宋体"/>
                <w:color w:val="auto"/>
                <w:sz w:val="24"/>
                <w:highlight w:val="none"/>
              </w:rPr>
              <w:t>4</w:t>
            </w:r>
          </w:p>
        </w:tc>
        <w:tc>
          <w:tcPr>
            <w:tcW w:w="2587" w:type="dxa"/>
            <w:tcMar>
              <w:top w:w="57" w:type="dxa"/>
              <w:left w:w="108" w:type="dxa"/>
              <w:bottom w:w="0" w:type="dxa"/>
              <w:right w:w="108" w:type="dxa"/>
            </w:tcMar>
            <w:vAlign w:val="center"/>
          </w:tcPr>
          <w:p w14:paraId="56975014">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05E7EE21">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2DA719D1">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7E9638BE">
            <w:pPr>
              <w:jc w:val="left"/>
              <w:rPr>
                <w:rFonts w:ascii="宋体" w:hAnsi="宋体"/>
                <w:color w:val="auto"/>
                <w:sz w:val="24"/>
                <w:highlight w:val="none"/>
              </w:rPr>
            </w:pPr>
          </w:p>
        </w:tc>
      </w:tr>
      <w:tr w14:paraId="4918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66BD88A">
            <w:pPr>
              <w:jc w:val="center"/>
              <w:rPr>
                <w:rFonts w:ascii="宋体" w:hAnsi="宋体"/>
                <w:color w:val="auto"/>
                <w:sz w:val="24"/>
                <w:highlight w:val="none"/>
              </w:rPr>
            </w:pPr>
            <w:r>
              <w:rPr>
                <w:rFonts w:hint="eastAsia" w:ascii="宋体" w:hAnsi="宋体"/>
                <w:color w:val="auto"/>
                <w:sz w:val="24"/>
                <w:highlight w:val="none"/>
              </w:rPr>
              <w:t>5</w:t>
            </w:r>
          </w:p>
        </w:tc>
        <w:tc>
          <w:tcPr>
            <w:tcW w:w="2587" w:type="dxa"/>
            <w:tcMar>
              <w:top w:w="57" w:type="dxa"/>
              <w:left w:w="108" w:type="dxa"/>
              <w:bottom w:w="0" w:type="dxa"/>
              <w:right w:w="108" w:type="dxa"/>
            </w:tcMar>
            <w:vAlign w:val="center"/>
          </w:tcPr>
          <w:p w14:paraId="625EF99A">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709A701E">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6FCC33AB">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07E7223B">
            <w:pPr>
              <w:jc w:val="left"/>
              <w:rPr>
                <w:rFonts w:ascii="宋体" w:hAnsi="宋体"/>
                <w:color w:val="auto"/>
                <w:sz w:val="24"/>
                <w:highlight w:val="none"/>
              </w:rPr>
            </w:pPr>
          </w:p>
        </w:tc>
      </w:tr>
      <w:tr w14:paraId="5473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D967359">
            <w:pPr>
              <w:jc w:val="center"/>
              <w:rPr>
                <w:rFonts w:ascii="宋体" w:hAnsi="宋体"/>
                <w:color w:val="auto"/>
                <w:sz w:val="24"/>
                <w:highlight w:val="none"/>
              </w:rPr>
            </w:pPr>
            <w:r>
              <w:rPr>
                <w:rFonts w:hint="eastAsia" w:ascii="宋体" w:hAnsi="宋体"/>
                <w:color w:val="auto"/>
                <w:sz w:val="24"/>
                <w:highlight w:val="none"/>
              </w:rPr>
              <w:t>6</w:t>
            </w:r>
          </w:p>
        </w:tc>
        <w:tc>
          <w:tcPr>
            <w:tcW w:w="2587" w:type="dxa"/>
            <w:tcMar>
              <w:top w:w="57" w:type="dxa"/>
              <w:left w:w="108" w:type="dxa"/>
              <w:bottom w:w="0" w:type="dxa"/>
              <w:right w:w="108" w:type="dxa"/>
            </w:tcMar>
            <w:vAlign w:val="center"/>
          </w:tcPr>
          <w:p w14:paraId="6FD3F452">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3150E992">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081D6294">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6A5B87C1">
            <w:pPr>
              <w:jc w:val="left"/>
              <w:rPr>
                <w:rFonts w:ascii="宋体" w:hAnsi="宋体"/>
                <w:color w:val="auto"/>
                <w:sz w:val="24"/>
                <w:highlight w:val="none"/>
              </w:rPr>
            </w:pPr>
          </w:p>
        </w:tc>
      </w:tr>
      <w:tr w14:paraId="5605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7AD62A4A">
            <w:pPr>
              <w:rPr>
                <w:rFonts w:ascii="宋体" w:hAnsi="宋体"/>
                <w:color w:val="auto"/>
                <w:sz w:val="24"/>
                <w:highlight w:val="none"/>
              </w:rPr>
            </w:pPr>
          </w:p>
        </w:tc>
        <w:tc>
          <w:tcPr>
            <w:tcW w:w="2587" w:type="dxa"/>
            <w:tcMar>
              <w:top w:w="57" w:type="dxa"/>
              <w:left w:w="108" w:type="dxa"/>
              <w:bottom w:w="0" w:type="dxa"/>
              <w:right w:w="108" w:type="dxa"/>
            </w:tcMar>
            <w:vAlign w:val="center"/>
          </w:tcPr>
          <w:p w14:paraId="052165AD">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6D465D03">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3F6B1AA6">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0AEA3523">
            <w:pPr>
              <w:jc w:val="left"/>
              <w:rPr>
                <w:rFonts w:ascii="宋体" w:hAnsi="宋体"/>
                <w:color w:val="auto"/>
                <w:sz w:val="24"/>
                <w:highlight w:val="none"/>
              </w:rPr>
            </w:pPr>
          </w:p>
        </w:tc>
      </w:tr>
      <w:tr w14:paraId="31A4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23E529CE">
            <w:pPr>
              <w:rPr>
                <w:rFonts w:ascii="宋体" w:hAnsi="宋体"/>
                <w:color w:val="auto"/>
                <w:sz w:val="24"/>
                <w:highlight w:val="none"/>
              </w:rPr>
            </w:pPr>
          </w:p>
        </w:tc>
        <w:tc>
          <w:tcPr>
            <w:tcW w:w="2587" w:type="dxa"/>
            <w:tcMar>
              <w:top w:w="57" w:type="dxa"/>
              <w:left w:w="108" w:type="dxa"/>
              <w:bottom w:w="0" w:type="dxa"/>
              <w:right w:w="108" w:type="dxa"/>
            </w:tcMar>
            <w:vAlign w:val="center"/>
          </w:tcPr>
          <w:p w14:paraId="298198A8">
            <w:pPr>
              <w:snapToGrid w:val="0"/>
              <w:jc w:val="left"/>
              <w:rPr>
                <w:rFonts w:ascii="宋体" w:hAnsi="宋体"/>
                <w:color w:val="auto"/>
                <w:sz w:val="24"/>
                <w:highlight w:val="none"/>
              </w:rPr>
            </w:pPr>
          </w:p>
        </w:tc>
        <w:tc>
          <w:tcPr>
            <w:tcW w:w="1785" w:type="dxa"/>
            <w:tcMar>
              <w:top w:w="57" w:type="dxa"/>
              <w:left w:w="108" w:type="dxa"/>
              <w:bottom w:w="0" w:type="dxa"/>
              <w:right w:w="108" w:type="dxa"/>
            </w:tcMar>
            <w:vAlign w:val="center"/>
          </w:tcPr>
          <w:p w14:paraId="6BCA302F">
            <w:pPr>
              <w:jc w:val="left"/>
              <w:rPr>
                <w:rFonts w:ascii="宋体" w:hAnsi="宋体"/>
                <w:color w:val="auto"/>
                <w:sz w:val="24"/>
                <w:highlight w:val="none"/>
              </w:rPr>
            </w:pPr>
          </w:p>
        </w:tc>
        <w:tc>
          <w:tcPr>
            <w:tcW w:w="1365" w:type="dxa"/>
            <w:tcMar>
              <w:top w:w="57" w:type="dxa"/>
              <w:left w:w="108" w:type="dxa"/>
              <w:bottom w:w="0" w:type="dxa"/>
              <w:right w:w="108" w:type="dxa"/>
            </w:tcMar>
            <w:vAlign w:val="center"/>
          </w:tcPr>
          <w:p w14:paraId="46A75C08">
            <w:pPr>
              <w:jc w:val="left"/>
              <w:rPr>
                <w:rFonts w:ascii="宋体" w:hAnsi="宋体"/>
                <w:color w:val="auto"/>
                <w:sz w:val="24"/>
                <w:highlight w:val="none"/>
              </w:rPr>
            </w:pPr>
          </w:p>
        </w:tc>
        <w:tc>
          <w:tcPr>
            <w:tcW w:w="2633" w:type="dxa"/>
            <w:tcMar>
              <w:top w:w="57" w:type="dxa"/>
              <w:left w:w="108" w:type="dxa"/>
              <w:bottom w:w="0" w:type="dxa"/>
              <w:right w:w="108" w:type="dxa"/>
            </w:tcMar>
            <w:vAlign w:val="center"/>
          </w:tcPr>
          <w:p w14:paraId="1D827A8C">
            <w:pPr>
              <w:jc w:val="left"/>
              <w:rPr>
                <w:rFonts w:ascii="宋体" w:hAnsi="宋体"/>
                <w:color w:val="auto"/>
                <w:sz w:val="24"/>
                <w:highlight w:val="none"/>
              </w:rPr>
            </w:pPr>
          </w:p>
        </w:tc>
      </w:tr>
    </w:tbl>
    <w:p w14:paraId="7C854B36">
      <w:pPr>
        <w:spacing w:line="360" w:lineRule="auto"/>
        <w:rPr>
          <w:rFonts w:ascii="宋体" w:hAnsi="宋体"/>
          <w:color w:val="auto"/>
          <w:sz w:val="24"/>
          <w:highlight w:val="none"/>
        </w:rPr>
      </w:pPr>
    </w:p>
    <w:p w14:paraId="20A35433">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34E1EC7D">
      <w:pPr>
        <w:spacing w:line="360" w:lineRule="auto"/>
        <w:ind w:left="420"/>
        <w:rPr>
          <w:rFonts w:ascii="宋体" w:hAnsi="宋体"/>
          <w:color w:val="auto"/>
          <w:sz w:val="24"/>
          <w:highlight w:val="none"/>
        </w:rPr>
      </w:pPr>
    </w:p>
    <w:p w14:paraId="5A3A4795">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08D9069C">
      <w:pPr>
        <w:spacing w:line="360" w:lineRule="auto"/>
        <w:ind w:left="420"/>
        <w:rPr>
          <w:rFonts w:ascii="宋体" w:hAnsi="宋体"/>
          <w:color w:val="auto"/>
          <w:sz w:val="24"/>
          <w:highlight w:val="none"/>
        </w:rPr>
      </w:pPr>
    </w:p>
    <w:p w14:paraId="08DF3C3B">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771667B1">
      <w:pPr>
        <w:spacing w:line="360" w:lineRule="auto"/>
        <w:ind w:left="420"/>
        <w:rPr>
          <w:color w:val="auto"/>
          <w:highlight w:val="none"/>
        </w:rPr>
      </w:pPr>
      <w:r>
        <w:rPr>
          <w:rFonts w:hint="eastAsia" w:ascii="宋体" w:hAnsi="宋体"/>
          <w:color w:val="auto"/>
          <w:sz w:val="24"/>
          <w:highlight w:val="none"/>
        </w:rPr>
        <w:t>日        期：</w:t>
      </w:r>
    </w:p>
    <w:p w14:paraId="3194DD59">
      <w:pPr>
        <w:spacing w:line="360" w:lineRule="auto"/>
        <w:rPr>
          <w:rFonts w:ascii="宋体" w:hAnsi="宋体"/>
          <w:b/>
          <w:color w:val="auto"/>
          <w:sz w:val="28"/>
          <w:highlight w:val="none"/>
        </w:rPr>
      </w:pPr>
    </w:p>
    <w:p w14:paraId="36FC7679">
      <w:pPr>
        <w:spacing w:line="360" w:lineRule="auto"/>
        <w:rPr>
          <w:rFonts w:ascii="宋体" w:hAnsi="宋体"/>
          <w:b/>
          <w:color w:val="auto"/>
          <w:sz w:val="28"/>
          <w:highlight w:val="none"/>
        </w:rPr>
      </w:pPr>
    </w:p>
    <w:p w14:paraId="0E59E351">
      <w:pPr>
        <w:jc w:val="center"/>
        <w:rPr>
          <w:color w:val="auto"/>
          <w:sz w:val="52"/>
          <w:szCs w:val="52"/>
          <w:highlight w:val="none"/>
        </w:rPr>
      </w:pPr>
      <w:bookmarkStart w:id="48" w:name="_Toc21322_WPSOffice_Level1"/>
      <w:bookmarkStart w:id="49" w:name="_Toc4615_WPSOffice_Level1"/>
      <w:bookmarkStart w:id="50" w:name="_Toc30468_WPSOffice_Level1"/>
    </w:p>
    <w:p w14:paraId="2972485C">
      <w:pPr>
        <w:pStyle w:val="26"/>
        <w:rPr>
          <w:color w:val="auto"/>
          <w:highlight w:val="none"/>
        </w:rPr>
      </w:pPr>
    </w:p>
    <w:p w14:paraId="204EB22A">
      <w:pPr>
        <w:rPr>
          <w:color w:val="auto"/>
          <w:sz w:val="52"/>
          <w:szCs w:val="52"/>
          <w:highlight w:val="none"/>
        </w:rPr>
      </w:pPr>
      <w:r>
        <w:rPr>
          <w:color w:val="auto"/>
          <w:sz w:val="52"/>
          <w:szCs w:val="52"/>
          <w:highlight w:val="none"/>
        </w:rPr>
        <w:br w:type="page"/>
      </w:r>
    </w:p>
    <w:p w14:paraId="0615A657">
      <w:pPr>
        <w:jc w:val="center"/>
        <w:rPr>
          <w:color w:val="auto"/>
          <w:sz w:val="52"/>
          <w:szCs w:val="52"/>
          <w:highlight w:val="none"/>
        </w:rPr>
      </w:pPr>
      <w:r>
        <w:rPr>
          <w:rFonts w:hint="eastAsia"/>
          <w:color w:val="auto"/>
          <w:sz w:val="52"/>
          <w:szCs w:val="52"/>
          <w:highlight w:val="none"/>
        </w:rPr>
        <w:t>项目名称</w:t>
      </w:r>
      <w:bookmarkEnd w:id="48"/>
      <w:bookmarkEnd w:id="49"/>
      <w:bookmarkEnd w:id="50"/>
    </w:p>
    <w:p w14:paraId="079B0A1C">
      <w:pPr>
        <w:spacing w:before="240" w:beforeLines="100" w:line="360" w:lineRule="auto"/>
        <w:ind w:right="-108"/>
        <w:jc w:val="center"/>
        <w:rPr>
          <w:rFonts w:ascii="宋体" w:hAnsi="宋体"/>
          <w:color w:val="auto"/>
          <w:sz w:val="36"/>
          <w:szCs w:val="36"/>
          <w:highlight w:val="none"/>
          <w:u w:val="singl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61DF97FB">
      <w:pPr>
        <w:pStyle w:val="26"/>
        <w:rPr>
          <w:color w:val="auto"/>
          <w:highlight w:val="none"/>
        </w:rPr>
      </w:pPr>
    </w:p>
    <w:p w14:paraId="59D660C8">
      <w:pPr>
        <w:jc w:val="center"/>
        <w:rPr>
          <w:color w:val="auto"/>
          <w:sz w:val="84"/>
          <w:szCs w:val="84"/>
          <w:highlight w:val="none"/>
        </w:rPr>
      </w:pPr>
      <w:bookmarkStart w:id="51" w:name="_Toc8885_WPSOffice_Level1"/>
      <w:bookmarkStart w:id="52" w:name="_Toc9453_WPSOffice_Level1"/>
      <w:r>
        <w:rPr>
          <w:rFonts w:hint="eastAsia"/>
          <w:color w:val="auto"/>
          <w:sz w:val="84"/>
          <w:szCs w:val="84"/>
          <w:highlight w:val="none"/>
        </w:rPr>
        <w:t>报</w:t>
      </w:r>
      <w:bookmarkEnd w:id="51"/>
      <w:bookmarkEnd w:id="52"/>
    </w:p>
    <w:p w14:paraId="104BC861">
      <w:pPr>
        <w:jc w:val="center"/>
        <w:rPr>
          <w:color w:val="auto"/>
          <w:sz w:val="84"/>
          <w:szCs w:val="84"/>
          <w:highlight w:val="none"/>
        </w:rPr>
      </w:pPr>
      <w:bookmarkStart w:id="53" w:name="_Toc7485_WPSOffice_Level1"/>
      <w:bookmarkStart w:id="54" w:name="_Toc10910_WPSOffice_Level1"/>
      <w:r>
        <w:rPr>
          <w:rFonts w:hint="eastAsia"/>
          <w:color w:val="auto"/>
          <w:sz w:val="84"/>
          <w:szCs w:val="84"/>
          <w:highlight w:val="none"/>
        </w:rPr>
        <w:t>价</w:t>
      </w:r>
      <w:bookmarkEnd w:id="53"/>
      <w:bookmarkEnd w:id="54"/>
    </w:p>
    <w:p w14:paraId="4652DE0C">
      <w:pPr>
        <w:jc w:val="center"/>
        <w:rPr>
          <w:color w:val="auto"/>
          <w:sz w:val="84"/>
          <w:szCs w:val="84"/>
          <w:highlight w:val="none"/>
        </w:rPr>
      </w:pPr>
      <w:bookmarkStart w:id="55" w:name="_Toc3932_WPSOffice_Level1"/>
      <w:bookmarkStart w:id="56" w:name="_Toc14572_WPSOffice_Level1"/>
      <w:r>
        <w:rPr>
          <w:rFonts w:hint="eastAsia"/>
          <w:color w:val="auto"/>
          <w:sz w:val="84"/>
          <w:szCs w:val="84"/>
          <w:highlight w:val="none"/>
        </w:rPr>
        <w:t>文</w:t>
      </w:r>
      <w:bookmarkEnd w:id="55"/>
      <w:bookmarkEnd w:id="56"/>
    </w:p>
    <w:p w14:paraId="741D3DA9">
      <w:pPr>
        <w:jc w:val="center"/>
        <w:rPr>
          <w:color w:val="auto"/>
          <w:sz w:val="84"/>
          <w:szCs w:val="84"/>
          <w:highlight w:val="none"/>
        </w:rPr>
      </w:pPr>
      <w:bookmarkStart w:id="57" w:name="_Toc7562_WPSOffice_Level1"/>
      <w:bookmarkStart w:id="58" w:name="_Toc16973_WPSOffice_Level1"/>
      <w:r>
        <w:rPr>
          <w:rFonts w:hint="eastAsia"/>
          <w:color w:val="auto"/>
          <w:sz w:val="84"/>
          <w:szCs w:val="84"/>
          <w:highlight w:val="none"/>
        </w:rPr>
        <w:t>件</w:t>
      </w:r>
      <w:bookmarkEnd w:id="57"/>
      <w:bookmarkEnd w:id="58"/>
    </w:p>
    <w:p w14:paraId="20D36B4A">
      <w:pPr>
        <w:spacing w:line="360" w:lineRule="auto"/>
        <w:ind w:right="532"/>
        <w:rPr>
          <w:rFonts w:ascii="宋体" w:hAnsi="宋体"/>
          <w:color w:val="auto"/>
          <w:sz w:val="36"/>
          <w:szCs w:val="36"/>
          <w:highlight w:val="none"/>
        </w:rPr>
      </w:pPr>
    </w:p>
    <w:p w14:paraId="69C7C920">
      <w:pPr>
        <w:spacing w:line="360" w:lineRule="auto"/>
        <w:ind w:right="532"/>
        <w:jc w:val="center"/>
        <w:rPr>
          <w:rFonts w:ascii="宋体" w:hAnsi="宋体"/>
          <w:color w:val="auto"/>
          <w:sz w:val="36"/>
          <w:szCs w:val="36"/>
          <w:highlight w:val="none"/>
        </w:rPr>
      </w:pPr>
    </w:p>
    <w:p w14:paraId="307BC943">
      <w:pPr>
        <w:spacing w:line="360" w:lineRule="auto"/>
        <w:ind w:right="532" w:firstLine="720" w:firstLineChars="200"/>
        <w:rPr>
          <w:rFonts w:ascii="宋体" w:hAnsi="宋体"/>
          <w:color w:val="auto"/>
          <w:sz w:val="36"/>
          <w:szCs w:val="36"/>
          <w:highlight w:val="none"/>
        </w:rPr>
      </w:pPr>
      <w:bookmarkStart w:id="59" w:name="_Toc4603_WPSOffice_Level1"/>
      <w:bookmarkStart w:id="60" w:name="_Toc26700_WPSOffice_Level1"/>
      <w:r>
        <w:rPr>
          <w:rFonts w:hint="eastAsia" w:ascii="宋体" w:hAnsi="宋体"/>
          <w:color w:val="auto"/>
          <w:sz w:val="36"/>
          <w:szCs w:val="36"/>
          <w:highlight w:val="none"/>
        </w:rPr>
        <w:t>投标人全称（公章）：</w:t>
      </w:r>
      <w:bookmarkEnd w:id="59"/>
      <w:bookmarkEnd w:id="60"/>
    </w:p>
    <w:p w14:paraId="17E4D3C1">
      <w:pPr>
        <w:spacing w:line="360" w:lineRule="auto"/>
        <w:ind w:right="-108" w:firstLine="720" w:firstLineChars="200"/>
        <w:rPr>
          <w:rFonts w:ascii="宋体" w:hAnsi="宋体"/>
          <w:color w:val="auto"/>
          <w:sz w:val="36"/>
          <w:szCs w:val="36"/>
          <w:highlight w:val="none"/>
        </w:rPr>
      </w:pPr>
      <w:bookmarkStart w:id="61" w:name="_Toc32593_WPSOffice_Level1"/>
      <w:bookmarkStart w:id="62" w:name="_Toc1391_WPSOffice_Level1"/>
      <w:r>
        <w:rPr>
          <w:rFonts w:hint="eastAsia" w:ascii="宋体" w:hAnsi="宋体"/>
          <w:color w:val="auto"/>
          <w:sz w:val="36"/>
          <w:szCs w:val="36"/>
          <w:highlight w:val="none"/>
        </w:rPr>
        <w:t>地    址：</w:t>
      </w:r>
      <w:bookmarkEnd w:id="61"/>
      <w:bookmarkEnd w:id="62"/>
    </w:p>
    <w:p w14:paraId="409C405F">
      <w:pPr>
        <w:spacing w:line="360" w:lineRule="auto"/>
        <w:ind w:right="-108" w:firstLine="720" w:firstLineChars="200"/>
        <w:rPr>
          <w:rFonts w:ascii="宋体" w:hAnsi="宋体"/>
          <w:color w:val="auto"/>
          <w:sz w:val="36"/>
          <w:szCs w:val="36"/>
          <w:highlight w:val="none"/>
        </w:rPr>
      </w:pPr>
      <w:bookmarkStart w:id="63" w:name="_Toc20938_WPSOffice_Level1"/>
      <w:bookmarkStart w:id="64" w:name="_Toc3791_WPSOffice_Level1"/>
      <w:r>
        <w:rPr>
          <w:rFonts w:hint="eastAsia" w:ascii="宋体" w:hAnsi="宋体"/>
          <w:color w:val="auto"/>
          <w:sz w:val="36"/>
          <w:szCs w:val="36"/>
          <w:highlight w:val="none"/>
        </w:rPr>
        <w:t>时    间：</w:t>
      </w:r>
      <w:bookmarkEnd w:id="63"/>
      <w:bookmarkEnd w:id="64"/>
    </w:p>
    <w:p w14:paraId="455E4B43">
      <w:pPr>
        <w:spacing w:line="360" w:lineRule="auto"/>
        <w:ind w:right="-108"/>
        <w:jc w:val="center"/>
        <w:rPr>
          <w:rFonts w:ascii="仿宋_GB2312" w:hAnsi="宋体" w:eastAsia="仿宋_GB2312"/>
          <w:b/>
          <w:color w:val="auto"/>
          <w:sz w:val="36"/>
          <w:szCs w:val="36"/>
          <w:highlight w:val="none"/>
        </w:rPr>
      </w:pPr>
    </w:p>
    <w:p w14:paraId="4D7A1F82">
      <w:pPr>
        <w:pStyle w:val="26"/>
        <w:rPr>
          <w:color w:val="auto"/>
          <w:highlight w:val="none"/>
        </w:rPr>
      </w:pPr>
    </w:p>
    <w:p w14:paraId="611793B8">
      <w:pPr>
        <w:pStyle w:val="26"/>
        <w:rPr>
          <w:color w:val="auto"/>
          <w:highlight w:val="none"/>
        </w:rPr>
      </w:pPr>
    </w:p>
    <w:p w14:paraId="608ADD59">
      <w:pPr>
        <w:pStyle w:val="26"/>
        <w:rPr>
          <w:color w:val="auto"/>
          <w:highlight w:val="none"/>
        </w:rPr>
      </w:pPr>
    </w:p>
    <w:p w14:paraId="4A5A8190">
      <w:pPr>
        <w:pStyle w:val="8"/>
        <w:ind w:firstLine="0"/>
        <w:rPr>
          <w:rFonts w:ascii="仿宋_GB2312" w:hAnsi="宋体" w:eastAsia="仿宋_GB2312"/>
          <w:b/>
          <w:color w:val="auto"/>
          <w:sz w:val="36"/>
          <w:szCs w:val="36"/>
          <w:highlight w:val="none"/>
        </w:rPr>
      </w:pPr>
    </w:p>
    <w:p w14:paraId="0D29502D">
      <w:pPr>
        <w:rPr>
          <w:rFonts w:ascii="宋体" w:hAnsi="宋体"/>
          <w:b/>
          <w:bCs/>
          <w:color w:val="auto"/>
          <w:sz w:val="36"/>
          <w:szCs w:val="36"/>
          <w:highlight w:val="none"/>
        </w:rPr>
      </w:pPr>
      <w:bookmarkStart w:id="65" w:name="_Toc29537_WPSOffice_Level1"/>
      <w:bookmarkStart w:id="66" w:name="_Toc19972_WPSOffice_Level1"/>
      <w:r>
        <w:rPr>
          <w:rFonts w:hint="eastAsia" w:ascii="宋体" w:hAnsi="宋体"/>
          <w:b/>
          <w:bCs/>
          <w:color w:val="auto"/>
          <w:sz w:val="36"/>
          <w:szCs w:val="36"/>
          <w:highlight w:val="none"/>
        </w:rPr>
        <w:br w:type="page"/>
      </w:r>
    </w:p>
    <w:p w14:paraId="04F5802E">
      <w:pPr>
        <w:spacing w:line="48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65"/>
      <w:bookmarkEnd w:id="66"/>
    </w:p>
    <w:p w14:paraId="55D9F7DB">
      <w:pPr>
        <w:widowControl/>
        <w:numPr>
          <w:ilvl w:val="0"/>
          <w:numId w:val="113"/>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开标一览表；（附件11）</w:t>
      </w:r>
    </w:p>
    <w:p w14:paraId="3A90921F">
      <w:pPr>
        <w:widowControl/>
        <w:numPr>
          <w:ilvl w:val="0"/>
          <w:numId w:val="113"/>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报价明细表；（附件12）</w:t>
      </w:r>
    </w:p>
    <w:p w14:paraId="472CC333">
      <w:pPr>
        <w:widowControl/>
        <w:numPr>
          <w:ilvl w:val="0"/>
          <w:numId w:val="113"/>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中小企业等声明函、残疾人福利性单位声明函、</w:t>
      </w:r>
      <w:r>
        <w:rPr>
          <w:rFonts w:hint="eastAsia" w:asciiTheme="minorEastAsia" w:hAnsiTheme="minorEastAsia" w:eastAsiaTheme="minorEastAsia"/>
          <w:color w:val="auto"/>
          <w:kern w:val="0"/>
          <w:sz w:val="24"/>
          <w:szCs w:val="20"/>
          <w:highlight w:val="none"/>
          <w:lang w:eastAsia="zh-CN"/>
        </w:rPr>
        <w:t>监狱企业证明文件</w:t>
      </w:r>
      <w:r>
        <w:rPr>
          <w:rFonts w:hint="eastAsia" w:asciiTheme="minorEastAsia" w:hAnsiTheme="minorEastAsia" w:eastAsiaTheme="minorEastAsia"/>
          <w:color w:val="auto"/>
          <w:kern w:val="0"/>
          <w:sz w:val="24"/>
          <w:szCs w:val="20"/>
          <w:highlight w:val="none"/>
        </w:rPr>
        <w:t>；（附件13）</w:t>
      </w:r>
    </w:p>
    <w:p w14:paraId="2FF3CD46">
      <w:pPr>
        <w:widowControl/>
        <w:numPr>
          <w:ilvl w:val="0"/>
          <w:numId w:val="113"/>
        </w:numPr>
        <w:spacing w:line="360" w:lineRule="auto"/>
        <w:ind w:left="425"/>
        <w:rPr>
          <w:rFonts w:asciiTheme="minorEastAsia" w:hAnsiTheme="minorEastAsia" w:eastAsiaTheme="minorEastAsia"/>
          <w:color w:val="auto"/>
          <w:kern w:val="0"/>
          <w:sz w:val="24"/>
          <w:szCs w:val="20"/>
          <w:highlight w:val="none"/>
        </w:rPr>
      </w:pPr>
      <w:r>
        <w:rPr>
          <w:rFonts w:hint="eastAsia" w:asciiTheme="minorEastAsia" w:hAnsiTheme="minorEastAsia" w:eastAsiaTheme="minorEastAsia"/>
          <w:color w:val="auto"/>
          <w:kern w:val="0"/>
          <w:sz w:val="24"/>
          <w:szCs w:val="20"/>
          <w:highlight w:val="none"/>
        </w:rPr>
        <w:t>针对报价投标人认为其他需要说明的</w:t>
      </w:r>
      <w:r>
        <w:rPr>
          <w:rFonts w:hint="eastAsia" w:asciiTheme="minorEastAsia" w:hAnsiTheme="minorEastAsia" w:eastAsiaTheme="minorEastAsia"/>
          <w:color w:val="auto"/>
          <w:kern w:val="0"/>
          <w:sz w:val="24"/>
          <w:szCs w:val="20"/>
          <w:highlight w:val="none"/>
          <w:lang w:val="en-GB"/>
        </w:rPr>
        <w:t>；</w:t>
      </w:r>
    </w:p>
    <w:p w14:paraId="6E4CB489">
      <w:pPr>
        <w:spacing w:line="360" w:lineRule="auto"/>
        <w:ind w:firstLine="482" w:firstLineChars="200"/>
        <w:rPr>
          <w:rFonts w:ascii="宋体" w:hAnsi="宋体"/>
          <w:b/>
          <w:color w:val="auto"/>
          <w:sz w:val="24"/>
          <w:highlight w:val="none"/>
        </w:rPr>
      </w:pPr>
    </w:p>
    <w:p w14:paraId="00AB763D">
      <w:pPr>
        <w:spacing w:line="360" w:lineRule="auto"/>
        <w:ind w:left="480"/>
        <w:rPr>
          <w:rFonts w:ascii="宋体" w:hAnsi="宋体"/>
          <w:b/>
          <w:color w:val="auto"/>
          <w:sz w:val="28"/>
          <w:highlight w:val="none"/>
        </w:rPr>
      </w:pPr>
    </w:p>
    <w:p w14:paraId="4CE3B4D0">
      <w:pPr>
        <w:spacing w:line="360" w:lineRule="auto"/>
        <w:ind w:left="480"/>
        <w:rPr>
          <w:rFonts w:ascii="宋体" w:hAnsi="宋体"/>
          <w:b/>
          <w:color w:val="auto"/>
          <w:sz w:val="28"/>
          <w:highlight w:val="none"/>
        </w:rPr>
      </w:pPr>
    </w:p>
    <w:p w14:paraId="569C614F">
      <w:pPr>
        <w:spacing w:line="360" w:lineRule="auto"/>
        <w:ind w:left="480"/>
        <w:rPr>
          <w:rFonts w:ascii="宋体" w:hAnsi="宋体"/>
          <w:b/>
          <w:color w:val="auto"/>
          <w:sz w:val="28"/>
          <w:highlight w:val="none"/>
        </w:rPr>
      </w:pPr>
    </w:p>
    <w:p w14:paraId="484DFF85">
      <w:pPr>
        <w:spacing w:line="360" w:lineRule="auto"/>
        <w:ind w:left="480"/>
        <w:rPr>
          <w:rFonts w:ascii="宋体" w:hAnsi="宋体"/>
          <w:b/>
          <w:color w:val="auto"/>
          <w:sz w:val="28"/>
          <w:highlight w:val="none"/>
        </w:rPr>
      </w:pPr>
    </w:p>
    <w:p w14:paraId="735079C3">
      <w:pPr>
        <w:spacing w:line="360" w:lineRule="auto"/>
        <w:ind w:left="480"/>
        <w:rPr>
          <w:rFonts w:ascii="宋体" w:hAnsi="宋体"/>
          <w:b/>
          <w:color w:val="auto"/>
          <w:sz w:val="28"/>
          <w:highlight w:val="none"/>
        </w:rPr>
      </w:pPr>
    </w:p>
    <w:p w14:paraId="715C35FB">
      <w:pPr>
        <w:spacing w:line="360" w:lineRule="auto"/>
        <w:ind w:left="480"/>
        <w:rPr>
          <w:rFonts w:ascii="宋体" w:hAnsi="宋体"/>
          <w:b/>
          <w:color w:val="auto"/>
          <w:sz w:val="28"/>
          <w:highlight w:val="none"/>
        </w:rPr>
      </w:pPr>
    </w:p>
    <w:p w14:paraId="798FE008">
      <w:pPr>
        <w:spacing w:line="360" w:lineRule="auto"/>
        <w:ind w:left="480"/>
        <w:rPr>
          <w:rFonts w:ascii="宋体" w:hAnsi="宋体"/>
          <w:b/>
          <w:color w:val="auto"/>
          <w:sz w:val="28"/>
          <w:highlight w:val="none"/>
        </w:rPr>
      </w:pPr>
    </w:p>
    <w:p w14:paraId="1F928ADE">
      <w:pPr>
        <w:spacing w:line="360" w:lineRule="auto"/>
        <w:ind w:left="480"/>
        <w:rPr>
          <w:rFonts w:ascii="宋体" w:hAnsi="宋体"/>
          <w:b/>
          <w:color w:val="auto"/>
          <w:sz w:val="28"/>
          <w:highlight w:val="none"/>
        </w:rPr>
      </w:pPr>
    </w:p>
    <w:p w14:paraId="53E63925">
      <w:pPr>
        <w:spacing w:line="360" w:lineRule="auto"/>
        <w:ind w:left="480"/>
        <w:rPr>
          <w:rFonts w:ascii="宋体" w:hAnsi="宋体"/>
          <w:b/>
          <w:color w:val="auto"/>
          <w:sz w:val="28"/>
          <w:highlight w:val="none"/>
        </w:rPr>
      </w:pPr>
    </w:p>
    <w:p w14:paraId="422B19C2">
      <w:pPr>
        <w:spacing w:line="360" w:lineRule="auto"/>
        <w:ind w:left="480"/>
        <w:rPr>
          <w:rFonts w:ascii="宋体" w:hAnsi="宋体"/>
          <w:b/>
          <w:color w:val="auto"/>
          <w:sz w:val="28"/>
          <w:highlight w:val="none"/>
        </w:rPr>
      </w:pPr>
    </w:p>
    <w:p w14:paraId="0A87EEBD">
      <w:pPr>
        <w:spacing w:line="360" w:lineRule="auto"/>
        <w:ind w:left="480"/>
        <w:rPr>
          <w:rFonts w:ascii="宋体" w:hAnsi="宋体"/>
          <w:b/>
          <w:color w:val="auto"/>
          <w:sz w:val="28"/>
          <w:highlight w:val="none"/>
        </w:rPr>
      </w:pPr>
    </w:p>
    <w:p w14:paraId="1BDE722C">
      <w:pPr>
        <w:pStyle w:val="26"/>
        <w:rPr>
          <w:rFonts w:ascii="宋体" w:hAnsi="宋体"/>
          <w:b/>
          <w:color w:val="auto"/>
          <w:sz w:val="28"/>
          <w:highlight w:val="none"/>
        </w:rPr>
      </w:pPr>
    </w:p>
    <w:p w14:paraId="3FCECD96">
      <w:pPr>
        <w:pStyle w:val="26"/>
        <w:rPr>
          <w:rFonts w:ascii="宋体" w:hAnsi="宋体"/>
          <w:b/>
          <w:color w:val="auto"/>
          <w:sz w:val="28"/>
          <w:highlight w:val="none"/>
        </w:rPr>
      </w:pPr>
    </w:p>
    <w:p w14:paraId="7BB1D7E5">
      <w:pPr>
        <w:pStyle w:val="26"/>
        <w:rPr>
          <w:rFonts w:ascii="宋体" w:hAnsi="宋体"/>
          <w:b/>
          <w:color w:val="auto"/>
          <w:sz w:val="28"/>
          <w:highlight w:val="none"/>
        </w:rPr>
      </w:pPr>
    </w:p>
    <w:p w14:paraId="70B45550">
      <w:pPr>
        <w:spacing w:line="360" w:lineRule="auto"/>
        <w:rPr>
          <w:rFonts w:ascii="宋体" w:hAnsi="宋体"/>
          <w:b/>
          <w:color w:val="auto"/>
          <w:sz w:val="28"/>
          <w:highlight w:val="none"/>
        </w:rPr>
      </w:pPr>
    </w:p>
    <w:p w14:paraId="5139D845">
      <w:pPr>
        <w:rPr>
          <w:rFonts w:ascii="宋体" w:hAnsi="宋体"/>
          <w:b/>
          <w:color w:val="auto"/>
          <w:sz w:val="28"/>
          <w:highlight w:val="none"/>
        </w:rPr>
      </w:pPr>
      <w:r>
        <w:rPr>
          <w:rFonts w:hint="eastAsia" w:ascii="宋体" w:hAnsi="宋体"/>
          <w:b/>
          <w:color w:val="auto"/>
          <w:sz w:val="28"/>
          <w:highlight w:val="none"/>
        </w:rPr>
        <w:br w:type="page"/>
      </w:r>
    </w:p>
    <w:p w14:paraId="332AB2CC">
      <w:pPr>
        <w:adjustRightInd w:val="0"/>
        <w:snapToGrid w:val="0"/>
        <w:spacing w:line="360" w:lineRule="auto"/>
        <w:ind w:right="480"/>
        <w:outlineLvl w:val="0"/>
        <w:rPr>
          <w:rFonts w:ascii="宋体" w:hAnsi="宋体"/>
          <w:b/>
          <w:color w:val="auto"/>
          <w:sz w:val="28"/>
          <w:highlight w:val="none"/>
        </w:rPr>
      </w:pPr>
      <w:bookmarkStart w:id="67" w:name="_Toc20202"/>
      <w:r>
        <w:rPr>
          <w:rFonts w:hint="eastAsia" w:ascii="宋体" w:hAnsi="宋体"/>
          <w:b/>
          <w:color w:val="auto"/>
          <w:sz w:val="28"/>
          <w:highlight w:val="none"/>
        </w:rPr>
        <w:t>附件11</w:t>
      </w:r>
      <w:bookmarkEnd w:id="67"/>
    </w:p>
    <w:p w14:paraId="081A0CE3">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 xml:space="preserve">开标一览表 </w:t>
      </w:r>
    </w:p>
    <w:p w14:paraId="6A6D0C98">
      <w:pPr>
        <w:spacing w:line="360" w:lineRule="auto"/>
        <w:ind w:left="-2" w:hanging="2"/>
        <w:jc w:val="center"/>
        <w:rPr>
          <w:rFonts w:ascii="宋体" w:hAnsi="宋体"/>
          <w:b/>
          <w:color w:val="auto"/>
          <w:sz w:val="32"/>
          <w:szCs w:val="32"/>
          <w:highlight w:val="none"/>
        </w:rPr>
      </w:pPr>
    </w:p>
    <w:p w14:paraId="748922E5">
      <w:pPr>
        <w:pStyle w:val="12"/>
        <w:spacing w:line="320" w:lineRule="exact"/>
        <w:rPr>
          <w:rFonts w:hAnsi="宋体"/>
          <w:b/>
          <w:color w:val="auto"/>
          <w:sz w:val="24"/>
          <w:highlight w:val="none"/>
        </w:rPr>
      </w:pPr>
      <w:r>
        <w:rPr>
          <w:rFonts w:hAnsi="宋体"/>
          <w:b/>
          <w:color w:val="auto"/>
          <w:sz w:val="24"/>
          <w:highlight w:val="none"/>
        </w:rPr>
        <w:t>项目编号：</w:t>
      </w:r>
    </w:p>
    <w:p w14:paraId="4C0C98D0">
      <w:pPr>
        <w:pStyle w:val="52"/>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7"/>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E3D8B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1A4F3383">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6B77FB29">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74EB342D">
            <w:pPr>
              <w:autoSpaceDE w:val="0"/>
              <w:autoSpaceDN w:val="0"/>
              <w:spacing w:line="450" w:lineRule="exact"/>
              <w:jc w:val="center"/>
              <w:textAlignment w:val="bottom"/>
              <w:rPr>
                <w:rFonts w:ascii="宋体" w:hAnsi="宋体"/>
                <w:color w:val="auto"/>
                <w:sz w:val="24"/>
                <w:highlight w:val="none"/>
              </w:rPr>
            </w:pPr>
          </w:p>
        </w:tc>
      </w:tr>
      <w:tr w14:paraId="6D016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1A2DB407">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6603B8B">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14D93CE2">
            <w:pPr>
              <w:autoSpaceDE w:val="0"/>
              <w:autoSpaceDN w:val="0"/>
              <w:spacing w:line="450" w:lineRule="exact"/>
              <w:jc w:val="center"/>
              <w:textAlignment w:val="bottom"/>
              <w:rPr>
                <w:rFonts w:ascii="宋体" w:hAnsi="宋体"/>
                <w:color w:val="auto"/>
                <w:sz w:val="24"/>
                <w:highlight w:val="none"/>
              </w:rPr>
            </w:pPr>
          </w:p>
        </w:tc>
      </w:tr>
    </w:tbl>
    <w:p w14:paraId="69EB375D">
      <w:pPr>
        <w:spacing w:line="360" w:lineRule="auto"/>
        <w:rPr>
          <w:rFonts w:ascii="宋体" w:hAnsi="宋体"/>
          <w:b/>
          <w:color w:val="auto"/>
          <w:szCs w:val="21"/>
          <w:highlight w:val="none"/>
        </w:rPr>
      </w:pPr>
    </w:p>
    <w:p w14:paraId="7FB7E3CA">
      <w:pPr>
        <w:spacing w:line="360" w:lineRule="auto"/>
        <w:rPr>
          <w:rFonts w:ascii="宋体" w:hAnsi="宋体"/>
          <w:color w:val="auto"/>
          <w:sz w:val="24"/>
          <w:highlight w:val="none"/>
        </w:rPr>
      </w:pPr>
      <w:r>
        <w:rPr>
          <w:rFonts w:hint="eastAsia" w:ascii="宋体" w:hAnsi="宋体"/>
          <w:b/>
          <w:color w:val="auto"/>
          <w:szCs w:val="21"/>
          <w:highlight w:val="none"/>
        </w:rPr>
        <w:t>填报要求：</w:t>
      </w:r>
    </w:p>
    <w:p w14:paraId="4CAAC9FF">
      <w:pPr>
        <w:spacing w:line="44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color w:val="auto"/>
          <w:kern w:val="0"/>
          <w:sz w:val="24"/>
          <w:highlight w:val="none"/>
        </w:rPr>
        <w:t>投标报价以人民币为结算货币，投标报价包括本项目采购需求和投入使用的所有费用，包括但不限于主件、标准附件、备品备件、人工、服务、专用工具、包装、运输、装卸、安装、</w:t>
      </w:r>
      <w:r>
        <w:rPr>
          <w:rFonts w:hint="eastAsia" w:ascii="宋体"/>
          <w:color w:val="auto"/>
          <w:kern w:val="0"/>
          <w:sz w:val="24"/>
          <w:highlight w:val="none"/>
          <w:lang w:eastAsia="zh-CN"/>
        </w:rPr>
        <w:t>调试、试运行、保修、培训</w:t>
      </w:r>
      <w:r>
        <w:rPr>
          <w:rFonts w:hint="eastAsia" w:ascii="宋体"/>
          <w:color w:val="auto"/>
          <w:kern w:val="0"/>
          <w:sz w:val="24"/>
          <w:highlight w:val="none"/>
        </w:rPr>
        <w:t>、保险、利润、关税、规费、税金、政策性文件规定、招标代理服务费、合同包含的所有风险责任等各项费用及不可预见费等项目实施所发生的全部费用。如有漏项，视同已包含在本项目的投标总报价中</w:t>
      </w:r>
      <w:r>
        <w:rPr>
          <w:rFonts w:hint="eastAsia" w:ascii="宋体" w:hAnsi="宋体"/>
          <w:color w:val="auto"/>
          <w:sz w:val="24"/>
          <w:highlight w:val="none"/>
        </w:rPr>
        <w:t>。</w:t>
      </w:r>
    </w:p>
    <w:p w14:paraId="4F14212A">
      <w:pPr>
        <w:pStyle w:val="26"/>
        <w:rPr>
          <w:rFonts w:ascii="宋体" w:hAnsi="宋体"/>
          <w:color w:val="auto"/>
          <w:sz w:val="24"/>
          <w:highlight w:val="none"/>
        </w:rPr>
      </w:pPr>
    </w:p>
    <w:p w14:paraId="524926D1">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5B63029B">
      <w:pPr>
        <w:spacing w:line="360" w:lineRule="auto"/>
        <w:ind w:left="420"/>
        <w:rPr>
          <w:rFonts w:ascii="宋体" w:hAnsi="宋体"/>
          <w:color w:val="auto"/>
          <w:sz w:val="24"/>
          <w:highlight w:val="none"/>
        </w:rPr>
      </w:pPr>
    </w:p>
    <w:p w14:paraId="0067D69E">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2AA12ADD">
      <w:pPr>
        <w:spacing w:line="360" w:lineRule="auto"/>
        <w:ind w:left="420"/>
        <w:rPr>
          <w:rFonts w:ascii="宋体" w:hAnsi="宋体"/>
          <w:color w:val="auto"/>
          <w:sz w:val="24"/>
          <w:highlight w:val="none"/>
        </w:rPr>
      </w:pPr>
    </w:p>
    <w:p w14:paraId="03F6345C">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174367A5">
      <w:pPr>
        <w:spacing w:line="360" w:lineRule="auto"/>
        <w:ind w:left="420"/>
        <w:rPr>
          <w:color w:val="auto"/>
          <w:highlight w:val="none"/>
        </w:rPr>
      </w:pPr>
      <w:r>
        <w:rPr>
          <w:rFonts w:hint="eastAsia" w:ascii="宋体" w:hAnsi="宋体"/>
          <w:color w:val="auto"/>
          <w:sz w:val="24"/>
          <w:highlight w:val="none"/>
        </w:rPr>
        <w:t>日        期：</w:t>
      </w:r>
    </w:p>
    <w:p w14:paraId="0FEBDD97">
      <w:pPr>
        <w:rPr>
          <w:rFonts w:ascii="宋体" w:hAnsi="宋体"/>
          <w:b/>
          <w:color w:val="auto"/>
          <w:sz w:val="28"/>
          <w:highlight w:val="none"/>
        </w:rPr>
      </w:pPr>
      <w:r>
        <w:rPr>
          <w:rFonts w:hint="eastAsia" w:ascii="宋体" w:hAnsi="宋体"/>
          <w:b/>
          <w:color w:val="auto"/>
          <w:sz w:val="28"/>
          <w:highlight w:val="none"/>
        </w:rPr>
        <w:br w:type="page"/>
      </w:r>
    </w:p>
    <w:p w14:paraId="66A0A99E">
      <w:pPr>
        <w:adjustRightInd w:val="0"/>
        <w:snapToGrid w:val="0"/>
        <w:spacing w:line="360" w:lineRule="auto"/>
        <w:ind w:right="480"/>
        <w:outlineLvl w:val="0"/>
        <w:rPr>
          <w:rFonts w:ascii="宋体" w:hAnsi="宋体"/>
          <w:b/>
          <w:color w:val="auto"/>
          <w:sz w:val="28"/>
          <w:highlight w:val="none"/>
        </w:rPr>
      </w:pPr>
      <w:bookmarkStart w:id="68" w:name="_Toc32720"/>
      <w:r>
        <w:rPr>
          <w:rFonts w:hint="eastAsia" w:ascii="宋体" w:hAnsi="宋体"/>
          <w:b/>
          <w:color w:val="auto"/>
          <w:sz w:val="28"/>
          <w:highlight w:val="none"/>
        </w:rPr>
        <w:t>附件12</w:t>
      </w:r>
      <w:bookmarkEnd w:id="68"/>
    </w:p>
    <w:p w14:paraId="3C980258">
      <w:pPr>
        <w:pStyle w:val="3"/>
        <w:keepNext/>
        <w:keepLines/>
        <w:numPr>
          <w:ilvl w:val="1"/>
          <w:numId w:val="0"/>
        </w:numPr>
        <w:tabs>
          <w:tab w:val="left" w:pos="0"/>
          <w:tab w:val="clear" w:pos="8280"/>
        </w:tabs>
        <w:autoSpaceDE/>
        <w:autoSpaceDN/>
        <w:adjustRightInd/>
        <w:ind w:right="0" w:firstLine="400"/>
        <w:jc w:val="center"/>
        <w:rPr>
          <w:color w:val="auto"/>
          <w:highlight w:val="none"/>
        </w:rPr>
      </w:pPr>
      <w:r>
        <w:rPr>
          <w:rFonts w:hint="eastAsia"/>
          <w:color w:val="auto"/>
          <w:highlight w:val="none"/>
        </w:rPr>
        <w:t>报价明细表</w:t>
      </w:r>
    </w:p>
    <w:p w14:paraId="2E9EABAF">
      <w:pPr>
        <w:spacing w:line="360" w:lineRule="auto"/>
        <w:rPr>
          <w:rFonts w:hAnsi="宋体"/>
          <w:b/>
          <w:color w:val="auto"/>
          <w:sz w:val="24"/>
          <w:highlight w:val="none"/>
        </w:rPr>
      </w:pPr>
      <w:r>
        <w:rPr>
          <w:rFonts w:hAnsi="宋体"/>
          <w:b/>
          <w:color w:val="auto"/>
          <w:sz w:val="24"/>
          <w:highlight w:val="none"/>
        </w:rPr>
        <w:t>项目编号：</w:t>
      </w:r>
    </w:p>
    <w:p w14:paraId="182D1784">
      <w:pPr>
        <w:pStyle w:val="52"/>
        <w:spacing w:line="360" w:lineRule="auto"/>
        <w:ind w:right="480"/>
        <w:jc w:val="left"/>
        <w:rPr>
          <w:rFonts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7"/>
        <w:tblW w:w="10140" w:type="dxa"/>
        <w:jc w:val="center"/>
        <w:tblLayout w:type="autofit"/>
        <w:tblCellMar>
          <w:top w:w="0" w:type="dxa"/>
          <w:left w:w="108" w:type="dxa"/>
          <w:bottom w:w="0" w:type="dxa"/>
          <w:right w:w="108" w:type="dxa"/>
        </w:tblCellMar>
      </w:tblPr>
      <w:tblGrid>
        <w:gridCol w:w="634"/>
        <w:gridCol w:w="2039"/>
        <w:gridCol w:w="740"/>
        <w:gridCol w:w="777"/>
        <w:gridCol w:w="983"/>
        <w:gridCol w:w="1067"/>
        <w:gridCol w:w="700"/>
        <w:gridCol w:w="717"/>
        <w:gridCol w:w="650"/>
        <w:gridCol w:w="1100"/>
        <w:gridCol w:w="733"/>
      </w:tblGrid>
      <w:tr w14:paraId="04068B0E">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EBEC9C">
            <w:pPr>
              <w:spacing w:line="360" w:lineRule="auto"/>
              <w:jc w:val="center"/>
              <w:rPr>
                <w:rFonts w:ascii="宋体" w:hAnsi="宋体" w:cs="宋体"/>
                <w:b/>
                <w:bCs/>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序号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E55A">
            <w:pPr>
              <w:tabs>
                <w:tab w:val="left" w:pos="8280"/>
              </w:tabs>
              <w:autoSpaceDE w:val="0"/>
              <w:autoSpaceDN w:val="0"/>
              <w:adjustRightInd w:val="0"/>
              <w:spacing w:line="360" w:lineRule="auto"/>
              <w:ind w:right="25"/>
              <w:jc w:val="center"/>
              <w:rPr>
                <w:rStyle w:val="55"/>
                <w:rFonts w:ascii="宋体" w:hAnsi="宋体" w:cs="宋体"/>
                <w:b/>
                <w:bCs/>
                <w:color w:val="auto"/>
                <w:sz w:val="20"/>
                <w:szCs w:val="20"/>
                <w:highlight w:val="none"/>
                <w:lang w:bidi="ar"/>
              </w:rPr>
            </w:pPr>
            <w:r>
              <w:rPr>
                <w:rFonts w:hint="eastAsia" w:asciiTheme="majorEastAsia" w:hAnsiTheme="majorEastAsia" w:eastAsiaTheme="majorEastAsia" w:cstheme="majorEastAsia"/>
                <w:b/>
                <w:color w:val="auto"/>
                <w:sz w:val="20"/>
                <w:szCs w:val="20"/>
                <w:highlight w:val="none"/>
              </w:rPr>
              <w:t>报价项目</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8EE2">
            <w:pPr>
              <w:widowControl/>
              <w:jc w:val="center"/>
              <w:textAlignment w:val="center"/>
              <w:rPr>
                <w:rFonts w:asciiTheme="majorEastAsia" w:hAnsiTheme="majorEastAsia" w:eastAsiaTheme="majorEastAsia" w:cstheme="majorEastAsia"/>
                <w:b/>
                <w:color w:val="auto"/>
                <w:sz w:val="20"/>
                <w:szCs w:val="20"/>
                <w:highlight w:val="none"/>
              </w:rPr>
            </w:pPr>
            <w:r>
              <w:rPr>
                <w:rFonts w:hint="eastAsia" w:asciiTheme="majorEastAsia" w:hAnsiTheme="majorEastAsia" w:eastAsiaTheme="majorEastAsia" w:cstheme="majorEastAsia"/>
                <w:b/>
                <w:color w:val="auto"/>
                <w:sz w:val="20"/>
                <w:szCs w:val="20"/>
                <w:highlight w:val="none"/>
              </w:rPr>
              <w:t>品牌、产地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17C5">
            <w:pPr>
              <w:widowControl/>
              <w:jc w:val="center"/>
              <w:textAlignment w:val="center"/>
              <w:rPr>
                <w:rFonts w:ascii="宋体" w:hAnsi="宋体" w:cs="宋体"/>
                <w:b/>
                <w:bCs/>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型号规格</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A5BA">
            <w:pPr>
              <w:widowControl/>
              <w:jc w:val="center"/>
              <w:textAlignment w:val="center"/>
              <w:rPr>
                <w:rFonts w:asciiTheme="majorEastAsia" w:hAnsiTheme="majorEastAsia" w:eastAsiaTheme="majorEastAsia" w:cstheme="majorEastAsia"/>
                <w:b/>
                <w:color w:val="auto"/>
                <w:sz w:val="20"/>
                <w:szCs w:val="20"/>
                <w:highlight w:val="none"/>
              </w:rPr>
            </w:pPr>
            <w:r>
              <w:rPr>
                <w:rFonts w:hint="eastAsia" w:asciiTheme="majorEastAsia" w:hAnsiTheme="majorEastAsia" w:eastAsiaTheme="majorEastAsia" w:cstheme="majorEastAsia"/>
                <w:b/>
                <w:color w:val="auto"/>
                <w:sz w:val="20"/>
                <w:szCs w:val="20"/>
                <w:highlight w:val="none"/>
              </w:rPr>
              <w:t>制造商名称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9D25">
            <w:pPr>
              <w:widowControl/>
              <w:jc w:val="center"/>
              <w:textAlignment w:val="center"/>
              <w:rPr>
                <w:rFonts w:ascii="宋体" w:hAnsi="宋体" w:cs="宋体"/>
                <w:b/>
                <w:bCs/>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是否是小微企业</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6B5">
            <w:pPr>
              <w:widowControl/>
              <w:jc w:val="center"/>
              <w:textAlignment w:val="center"/>
              <w:rPr>
                <w:rFonts w:ascii="宋体" w:hAnsi="宋体" w:cs="宋体"/>
                <w:color w:val="auto"/>
                <w:sz w:val="20"/>
                <w:szCs w:val="20"/>
                <w:highlight w:val="none"/>
                <w:lang w:bidi="ar"/>
              </w:rPr>
            </w:pPr>
            <w:r>
              <w:rPr>
                <w:rFonts w:hint="eastAsia" w:ascii="宋体" w:hAnsi="宋体" w:cs="宋体"/>
                <w:b/>
                <w:bCs/>
                <w:color w:val="auto"/>
                <w:kern w:val="0"/>
                <w:sz w:val="20"/>
                <w:szCs w:val="20"/>
                <w:highlight w:val="none"/>
                <w:lang w:bidi="ar"/>
              </w:rPr>
              <w:t>单位</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A7AA">
            <w:pPr>
              <w:widowControl/>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数量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23C4">
            <w:pPr>
              <w:spacing w:line="360" w:lineRule="auto"/>
              <w:jc w:val="center"/>
              <w:rPr>
                <w:rFonts w:ascii="宋体" w:hAnsi="宋体" w:cs="宋体"/>
                <w:b/>
                <w:bCs/>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单价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C52E">
            <w:pPr>
              <w:spacing w:line="360" w:lineRule="auto"/>
              <w:jc w:val="center"/>
              <w:rPr>
                <w:rFonts w:ascii="宋体" w:hAnsi="宋体" w:cs="宋体"/>
                <w:b/>
                <w:bCs/>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小计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71A5">
            <w:pPr>
              <w:spacing w:line="360" w:lineRule="auto"/>
              <w:jc w:val="center"/>
              <w:rPr>
                <w:rFonts w:asciiTheme="majorEastAsia" w:hAnsiTheme="majorEastAsia" w:eastAsiaTheme="majorEastAsia" w:cstheme="majorEastAsia"/>
                <w:b/>
                <w:color w:val="auto"/>
                <w:sz w:val="20"/>
                <w:szCs w:val="20"/>
                <w:highlight w:val="none"/>
              </w:rPr>
            </w:pPr>
            <w:r>
              <w:rPr>
                <w:rFonts w:hint="eastAsia" w:asciiTheme="majorEastAsia" w:hAnsiTheme="majorEastAsia" w:eastAsiaTheme="majorEastAsia" w:cstheme="majorEastAsia"/>
                <w:b/>
                <w:color w:val="auto"/>
                <w:sz w:val="20"/>
                <w:szCs w:val="20"/>
                <w:highlight w:val="none"/>
              </w:rPr>
              <w:t>备注</w:t>
            </w:r>
          </w:p>
        </w:tc>
      </w:tr>
      <w:tr w14:paraId="3C1738F2">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114FD6">
            <w:pPr>
              <w:widowControl/>
              <w:spacing w:line="400" w:lineRule="exact"/>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7D9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超融合节点服务器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C4B4">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10F8">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E34C">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8EFB">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321E">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5C6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A08B">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F440">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098C">
            <w:pPr>
              <w:widowControl/>
              <w:jc w:val="center"/>
              <w:textAlignment w:val="center"/>
              <w:rPr>
                <w:rFonts w:ascii="宋体" w:hAnsi="宋体" w:cs="宋体"/>
                <w:color w:val="auto"/>
                <w:kern w:val="0"/>
                <w:sz w:val="20"/>
                <w:szCs w:val="20"/>
                <w:highlight w:val="none"/>
                <w:lang w:bidi="ar"/>
              </w:rPr>
            </w:pPr>
          </w:p>
        </w:tc>
      </w:tr>
      <w:tr w14:paraId="57D4F55B">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F063C5">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5DD2">
            <w:pPr>
              <w:pStyle w:val="3"/>
              <w:widowControl/>
              <w:adjustRightInd/>
              <w:spacing w:line="400" w:lineRule="exact"/>
              <w:ind w:right="25" w:rightChars="0"/>
              <w:jc w:val="center"/>
              <w:rPr>
                <w:rFonts w:ascii="宋体" w:hAnsi="宋体" w:cs="宋体"/>
                <w:color w:val="auto"/>
                <w:kern w:val="0"/>
                <w:sz w:val="20"/>
                <w:szCs w:val="20"/>
                <w:highlight w:val="none"/>
                <w:lang w:bidi="ar"/>
              </w:rPr>
            </w:pPr>
            <w:r>
              <w:rPr>
                <w:rFonts w:hint="eastAsia" w:cs="宋体"/>
                <w:b w:val="0"/>
                <w:color w:val="auto"/>
                <w:kern w:val="0"/>
                <w:sz w:val="20"/>
                <w:szCs w:val="20"/>
                <w:highlight w:val="none"/>
                <w:lang w:bidi="ar"/>
              </w:rPr>
              <w:t>超融合万兆交换机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38A7">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1FB5">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2FB5">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06A3">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6F23">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55FA">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1D80">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B4DB">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0AFA">
            <w:pPr>
              <w:widowControl/>
              <w:jc w:val="center"/>
              <w:textAlignment w:val="center"/>
              <w:rPr>
                <w:rFonts w:ascii="宋体" w:hAnsi="宋体" w:cs="宋体"/>
                <w:color w:val="auto"/>
                <w:kern w:val="0"/>
                <w:sz w:val="20"/>
                <w:szCs w:val="20"/>
                <w:highlight w:val="none"/>
                <w:lang w:bidi="ar"/>
              </w:rPr>
            </w:pPr>
          </w:p>
        </w:tc>
      </w:tr>
      <w:tr w14:paraId="526F0409">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D58A6A">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BCA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管理千兆交换机</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4833">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B2F4">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2019">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1076">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4D3E">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1D36">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8AB8">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701C">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D602">
            <w:pPr>
              <w:widowControl/>
              <w:jc w:val="center"/>
              <w:textAlignment w:val="center"/>
              <w:rPr>
                <w:rFonts w:ascii="宋体" w:hAnsi="宋体" w:cs="宋体"/>
                <w:color w:val="auto"/>
                <w:kern w:val="0"/>
                <w:sz w:val="20"/>
                <w:szCs w:val="20"/>
                <w:highlight w:val="none"/>
                <w:lang w:bidi="ar"/>
              </w:rPr>
            </w:pPr>
          </w:p>
        </w:tc>
      </w:tr>
      <w:tr w14:paraId="192FC1FA">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FAAA0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C9C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AI服务器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8F98">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970E">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CFF4">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6B48">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6000">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DEB4">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7F3A">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93C3">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6274">
            <w:pPr>
              <w:widowControl/>
              <w:jc w:val="center"/>
              <w:textAlignment w:val="center"/>
              <w:rPr>
                <w:rFonts w:ascii="宋体" w:hAnsi="宋体" w:cs="宋体"/>
                <w:color w:val="auto"/>
                <w:kern w:val="0"/>
                <w:sz w:val="20"/>
                <w:szCs w:val="20"/>
                <w:highlight w:val="none"/>
                <w:lang w:bidi="ar"/>
              </w:rPr>
            </w:pPr>
          </w:p>
        </w:tc>
      </w:tr>
      <w:tr w14:paraId="79A3E819">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42CFF5">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12AE">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数据盘扩容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644D">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7574">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4BD4">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8370">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7217">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6DB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5602">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5EC3">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D5C7">
            <w:pPr>
              <w:widowControl/>
              <w:jc w:val="center"/>
              <w:textAlignment w:val="center"/>
              <w:rPr>
                <w:rFonts w:ascii="宋体" w:hAnsi="宋体" w:cs="宋体"/>
                <w:color w:val="auto"/>
                <w:kern w:val="0"/>
                <w:sz w:val="20"/>
                <w:szCs w:val="20"/>
                <w:highlight w:val="none"/>
                <w:lang w:bidi="ar"/>
              </w:rPr>
            </w:pPr>
          </w:p>
        </w:tc>
      </w:tr>
      <w:tr w14:paraId="39A82950">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A501E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A1B0">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缓存盘扩容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7865">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33D9">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6AED">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57C1">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66BF">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2B37">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3398">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E22A">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988F">
            <w:pPr>
              <w:widowControl/>
              <w:jc w:val="center"/>
              <w:textAlignment w:val="center"/>
              <w:rPr>
                <w:rFonts w:ascii="宋体" w:hAnsi="宋体" w:cs="宋体"/>
                <w:color w:val="auto"/>
                <w:kern w:val="0"/>
                <w:sz w:val="20"/>
                <w:szCs w:val="20"/>
                <w:highlight w:val="none"/>
                <w:lang w:bidi="ar"/>
              </w:rPr>
            </w:pPr>
          </w:p>
        </w:tc>
      </w:tr>
      <w:tr w14:paraId="0B6EF8EB">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B5DB8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E11A">
            <w:pPr>
              <w:pStyle w:val="3"/>
              <w:widowControl/>
              <w:adjustRightInd/>
              <w:spacing w:line="400" w:lineRule="exact"/>
              <w:ind w:right="25" w:rightChars="0"/>
              <w:jc w:val="center"/>
              <w:rPr>
                <w:rFonts w:ascii="宋体" w:hAnsi="宋体" w:cs="宋体"/>
                <w:color w:val="auto"/>
                <w:kern w:val="0"/>
                <w:sz w:val="20"/>
                <w:szCs w:val="20"/>
                <w:highlight w:val="none"/>
                <w:lang w:bidi="ar"/>
              </w:rPr>
            </w:pPr>
            <w:r>
              <w:rPr>
                <w:rFonts w:hint="eastAsia" w:cs="宋体"/>
                <w:b w:val="0"/>
                <w:color w:val="auto"/>
                <w:kern w:val="0"/>
                <w:sz w:val="20"/>
                <w:szCs w:val="20"/>
                <w:highlight w:val="none"/>
                <w:lang w:bidi="ar"/>
              </w:rPr>
              <w:t>文件存储服务器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8664">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F06C">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77E0">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2ACC">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AD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376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632">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EE78">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6EAD">
            <w:pPr>
              <w:widowControl/>
              <w:jc w:val="center"/>
              <w:textAlignment w:val="center"/>
              <w:rPr>
                <w:rFonts w:ascii="宋体" w:hAnsi="宋体" w:cs="宋体"/>
                <w:color w:val="auto"/>
                <w:kern w:val="0"/>
                <w:sz w:val="20"/>
                <w:szCs w:val="20"/>
                <w:highlight w:val="none"/>
                <w:lang w:bidi="ar"/>
              </w:rPr>
            </w:pPr>
          </w:p>
        </w:tc>
      </w:tr>
      <w:tr w14:paraId="2FDF9B93">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0C3AA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8C25">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云管平台</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2F0">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A996">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2E9E">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FB00">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4AD4">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FD98">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DC3E">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A906">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7B88">
            <w:pPr>
              <w:widowControl/>
              <w:jc w:val="center"/>
              <w:textAlignment w:val="center"/>
              <w:rPr>
                <w:rFonts w:ascii="宋体" w:hAnsi="宋体" w:cs="宋体"/>
                <w:color w:val="auto"/>
                <w:kern w:val="0"/>
                <w:sz w:val="20"/>
                <w:szCs w:val="20"/>
                <w:highlight w:val="none"/>
                <w:lang w:bidi="ar"/>
              </w:rPr>
            </w:pPr>
          </w:p>
        </w:tc>
      </w:tr>
      <w:tr w14:paraId="1F3C2EF0">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0A34CB">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3A24">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中心机房精密空调</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ED86">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603">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27FD">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0F39">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5EFF">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93D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0E79">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9F99">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23FE">
            <w:pPr>
              <w:widowControl/>
              <w:jc w:val="center"/>
              <w:textAlignment w:val="center"/>
              <w:rPr>
                <w:rFonts w:ascii="宋体" w:hAnsi="宋体" w:cs="宋体"/>
                <w:color w:val="auto"/>
                <w:kern w:val="0"/>
                <w:sz w:val="20"/>
                <w:szCs w:val="20"/>
                <w:highlight w:val="none"/>
                <w:lang w:bidi="ar"/>
              </w:rPr>
            </w:pPr>
          </w:p>
        </w:tc>
      </w:tr>
      <w:tr w14:paraId="0A21E7DF">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7B5C57">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E02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精密空调安装材料及辅材</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2659">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FD81">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4DA">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7701">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392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F527">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4E4B">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F8DF">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31DC">
            <w:pPr>
              <w:widowControl/>
              <w:jc w:val="center"/>
              <w:textAlignment w:val="center"/>
              <w:rPr>
                <w:rFonts w:ascii="宋体" w:hAnsi="宋体" w:cs="宋体"/>
                <w:color w:val="auto"/>
                <w:kern w:val="0"/>
                <w:sz w:val="20"/>
                <w:szCs w:val="20"/>
                <w:highlight w:val="none"/>
                <w:lang w:bidi="ar"/>
              </w:rPr>
            </w:pPr>
          </w:p>
        </w:tc>
      </w:tr>
      <w:tr w14:paraId="4AE308E8">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D1F6B3">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ABA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原有UPS设备维保</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7940">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FB70">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7ADE">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868">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2204">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B78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604F">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7B68">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F9A6">
            <w:pPr>
              <w:widowControl/>
              <w:jc w:val="center"/>
              <w:textAlignment w:val="center"/>
              <w:rPr>
                <w:rFonts w:ascii="宋体" w:hAnsi="宋体" w:cs="宋体"/>
                <w:color w:val="auto"/>
                <w:kern w:val="0"/>
                <w:sz w:val="20"/>
                <w:szCs w:val="20"/>
                <w:highlight w:val="none"/>
                <w:lang w:bidi="ar"/>
              </w:rPr>
            </w:pPr>
          </w:p>
        </w:tc>
      </w:tr>
      <w:tr w14:paraId="631656CA">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6A5C9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F72">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原有UPS外接蓄电池组系统维保</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AA52">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877">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E739">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E623">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BC65">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组</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9CC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B7BF">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CE29">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B20A">
            <w:pPr>
              <w:widowControl/>
              <w:jc w:val="center"/>
              <w:textAlignment w:val="center"/>
              <w:rPr>
                <w:rFonts w:ascii="宋体" w:hAnsi="宋体" w:cs="宋体"/>
                <w:color w:val="auto"/>
                <w:kern w:val="0"/>
                <w:sz w:val="20"/>
                <w:szCs w:val="20"/>
                <w:highlight w:val="none"/>
                <w:lang w:bidi="ar"/>
              </w:rPr>
            </w:pPr>
          </w:p>
        </w:tc>
      </w:tr>
      <w:tr w14:paraId="3078F60A">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8EB198">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970D">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原有精密空调维保</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2F77">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69D2">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3FF5">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6CB5">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0DE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A8F8">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F938">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71DA">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A917">
            <w:pPr>
              <w:widowControl/>
              <w:jc w:val="center"/>
              <w:textAlignment w:val="center"/>
              <w:rPr>
                <w:rFonts w:ascii="宋体" w:hAnsi="宋体" w:cs="宋体"/>
                <w:color w:val="auto"/>
                <w:kern w:val="0"/>
                <w:sz w:val="20"/>
                <w:szCs w:val="20"/>
                <w:highlight w:val="none"/>
                <w:lang w:bidi="ar"/>
              </w:rPr>
            </w:pPr>
          </w:p>
        </w:tc>
      </w:tr>
      <w:tr w14:paraId="457AF761">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B1413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A224">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UPS线路改造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54F1">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E8B">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02DD">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1F21">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19D9">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BF58">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B2C4">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3B42">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8253">
            <w:pPr>
              <w:widowControl/>
              <w:jc w:val="center"/>
              <w:textAlignment w:val="center"/>
              <w:rPr>
                <w:rFonts w:ascii="宋体" w:hAnsi="宋体" w:cs="宋体"/>
                <w:color w:val="auto"/>
                <w:kern w:val="0"/>
                <w:sz w:val="20"/>
                <w:szCs w:val="20"/>
                <w:highlight w:val="none"/>
                <w:lang w:bidi="ar"/>
              </w:rPr>
            </w:pPr>
          </w:p>
        </w:tc>
      </w:tr>
      <w:tr w14:paraId="3E2330FF">
        <w:tblPrEx>
          <w:tblCellMar>
            <w:top w:w="0" w:type="dxa"/>
            <w:left w:w="108" w:type="dxa"/>
            <w:bottom w:w="0" w:type="dxa"/>
            <w:right w:w="108" w:type="dxa"/>
          </w:tblCellMar>
        </w:tblPrEx>
        <w:trPr>
          <w:trHeight w:val="475"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A190FB">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6D23">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机房线路改造服务</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DB5D">
            <w:pPr>
              <w:widowControl/>
              <w:jc w:val="center"/>
              <w:textAlignment w:val="center"/>
              <w:rPr>
                <w:rFonts w:ascii="宋体" w:hAnsi="宋体" w:cs="宋体"/>
                <w:color w:val="auto"/>
                <w:kern w:val="0"/>
                <w:sz w:val="20"/>
                <w:szCs w:val="20"/>
                <w:highlight w:val="none"/>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5E2B">
            <w:pPr>
              <w:widowControl/>
              <w:jc w:val="center"/>
              <w:textAlignment w:val="center"/>
              <w:rPr>
                <w:rFonts w:ascii="宋体" w:hAnsi="宋体" w:cs="宋体"/>
                <w:color w:val="auto"/>
                <w:kern w:val="0"/>
                <w:sz w:val="20"/>
                <w:szCs w:val="20"/>
                <w:highlight w:val="none"/>
                <w:lang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7A39">
            <w:pPr>
              <w:widowControl/>
              <w:jc w:val="center"/>
              <w:textAlignment w:val="center"/>
              <w:rPr>
                <w:rFonts w:ascii="宋体" w:hAnsi="宋体" w:cs="宋体"/>
                <w:color w:val="auto"/>
                <w:kern w:val="0"/>
                <w:sz w:val="20"/>
                <w:szCs w:val="20"/>
                <w:highlight w:val="none"/>
                <w:lang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DE69">
            <w:pPr>
              <w:widowControl/>
              <w:jc w:val="center"/>
              <w:textAlignment w:val="center"/>
              <w:rPr>
                <w:rFonts w:ascii="宋体" w:hAnsi="宋体" w:cs="宋体"/>
                <w:color w:val="auto"/>
                <w:kern w:val="0"/>
                <w:sz w:val="20"/>
                <w:szCs w:val="20"/>
                <w:highlight w:val="none"/>
                <w:lang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25CF">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2A81">
            <w:pPr>
              <w:widowControl/>
              <w:spacing w:line="400" w:lineRule="exact"/>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4219">
            <w:pPr>
              <w:widowControl/>
              <w:jc w:val="center"/>
              <w:textAlignment w:val="center"/>
              <w:rPr>
                <w:rFonts w:ascii="宋体" w:hAnsi="宋体" w:cs="宋体"/>
                <w:color w:val="auto"/>
                <w:kern w:val="0"/>
                <w:sz w:val="20"/>
                <w:szCs w:val="20"/>
                <w:highlight w:val="none"/>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8B81">
            <w:pPr>
              <w:widowControl/>
              <w:jc w:val="center"/>
              <w:textAlignment w:val="center"/>
              <w:rPr>
                <w:rFonts w:ascii="宋体" w:hAnsi="宋体" w:cs="宋体"/>
                <w:color w:val="auto"/>
                <w:kern w:val="0"/>
                <w:sz w:val="20"/>
                <w:szCs w:val="20"/>
                <w:highlight w:val="none"/>
                <w:lang w:bidi="ar"/>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A635">
            <w:pPr>
              <w:widowControl/>
              <w:jc w:val="center"/>
              <w:textAlignment w:val="center"/>
              <w:rPr>
                <w:rFonts w:ascii="宋体" w:hAnsi="宋体" w:cs="宋体"/>
                <w:color w:val="auto"/>
                <w:kern w:val="0"/>
                <w:sz w:val="20"/>
                <w:szCs w:val="20"/>
                <w:highlight w:val="none"/>
                <w:lang w:bidi="ar"/>
              </w:rPr>
            </w:pPr>
          </w:p>
        </w:tc>
      </w:tr>
      <w:tr w14:paraId="2395AB95">
        <w:tblPrEx>
          <w:tblCellMar>
            <w:top w:w="0" w:type="dxa"/>
            <w:left w:w="108" w:type="dxa"/>
            <w:bottom w:w="0" w:type="dxa"/>
            <w:right w:w="108" w:type="dxa"/>
          </w:tblCellMar>
        </w:tblPrEx>
        <w:trPr>
          <w:trHeight w:val="475" w:hRule="atLeast"/>
          <w:jc w:val="center"/>
        </w:trPr>
        <w:tc>
          <w:tcPr>
            <w:tcW w:w="10140"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14:paraId="671B7649">
            <w:pPr>
              <w:widowControl/>
              <w:jc w:val="center"/>
              <w:textAlignment w:val="center"/>
              <w:rPr>
                <w:rFonts w:ascii="宋体" w:hAnsi="宋体" w:cs="宋体"/>
                <w:color w:val="auto"/>
                <w:kern w:val="0"/>
                <w:sz w:val="20"/>
                <w:szCs w:val="20"/>
                <w:highlight w:val="none"/>
                <w:lang w:bidi="ar"/>
              </w:rPr>
            </w:pPr>
            <w:r>
              <w:rPr>
                <w:rFonts w:hint="eastAsia" w:asciiTheme="majorEastAsia" w:hAnsiTheme="majorEastAsia" w:eastAsiaTheme="majorEastAsia" w:cstheme="majorEastAsia"/>
                <w:b/>
                <w:color w:val="auto"/>
                <w:sz w:val="20"/>
                <w:szCs w:val="20"/>
                <w:highlight w:val="none"/>
              </w:rPr>
              <w:t>合计人民币：大写                               小写</w:t>
            </w:r>
          </w:p>
        </w:tc>
      </w:tr>
    </w:tbl>
    <w:p w14:paraId="3FE43D88">
      <w:pPr>
        <w:snapToGrid w:val="0"/>
        <w:spacing w:before="120" w:beforeLines="50" w:after="50" w:line="360" w:lineRule="auto"/>
        <w:rPr>
          <w:rFonts w:ascii="宋体" w:hAnsi="宋体"/>
          <w:b/>
          <w:color w:val="auto"/>
          <w:sz w:val="28"/>
          <w:highlight w:val="none"/>
        </w:rPr>
      </w:pPr>
      <w:r>
        <w:rPr>
          <w:rFonts w:hint="eastAsia" w:ascii="宋体" w:hAnsi="宋体"/>
          <w:b/>
          <w:color w:val="auto"/>
          <w:sz w:val="28"/>
          <w:highlight w:val="none"/>
        </w:rPr>
        <w:t>注：</w:t>
      </w:r>
    </w:p>
    <w:p w14:paraId="32197268">
      <w:pPr>
        <w:spacing w:line="360" w:lineRule="auto"/>
        <w:ind w:left="435"/>
        <w:rPr>
          <w:rFonts w:ascii="宋体" w:hAnsi="宋体"/>
          <w:color w:val="auto"/>
          <w:sz w:val="24"/>
          <w:highlight w:val="none"/>
        </w:rPr>
      </w:pPr>
      <w:r>
        <w:rPr>
          <w:rFonts w:hint="eastAsia" w:ascii="宋体" w:hAnsi="宋体"/>
          <w:color w:val="auto"/>
          <w:sz w:val="24"/>
          <w:highlight w:val="none"/>
        </w:rPr>
        <w:t>1. 本表为《开标一览表》的报价明细表，如有缺项、漏项，视为投标报价中已包含相关费用，采购人无需另外支付任何费用。</w:t>
      </w:r>
    </w:p>
    <w:p w14:paraId="1546DE1E">
      <w:pPr>
        <w:spacing w:line="360" w:lineRule="auto"/>
        <w:ind w:left="435"/>
        <w:rPr>
          <w:color w:val="auto"/>
          <w:highlight w:val="none"/>
        </w:rPr>
      </w:pPr>
      <w:r>
        <w:rPr>
          <w:rFonts w:hint="eastAsia" w:ascii="宋体" w:hAnsi="宋体"/>
          <w:color w:val="auto"/>
          <w:sz w:val="24"/>
          <w:highlight w:val="none"/>
        </w:rPr>
        <w:t>2.</w:t>
      </w:r>
      <w:r>
        <w:rPr>
          <w:rFonts w:hint="eastAsia" w:ascii="宋体"/>
          <w:color w:val="auto"/>
          <w:sz w:val="24"/>
          <w:highlight w:val="none"/>
          <w:lang w:val="zh-CN"/>
        </w:rPr>
        <w:t>“报价明细表”中的报价合计应与“开标一览表”中的投标总报价相一致，不一致时，以开标一览表为准。</w:t>
      </w:r>
    </w:p>
    <w:p w14:paraId="5AC3F2AC">
      <w:pPr>
        <w:spacing w:line="360" w:lineRule="auto"/>
        <w:ind w:left="420"/>
        <w:rPr>
          <w:rFonts w:ascii="宋体" w:hAnsi="宋体"/>
          <w:color w:val="auto"/>
          <w:sz w:val="24"/>
          <w:highlight w:val="none"/>
        </w:rPr>
      </w:pPr>
    </w:p>
    <w:p w14:paraId="2A419F28">
      <w:pPr>
        <w:spacing w:line="360" w:lineRule="auto"/>
        <w:ind w:left="420"/>
        <w:rPr>
          <w:rFonts w:ascii="宋体" w:hAnsi="宋体"/>
          <w:color w:val="auto"/>
          <w:sz w:val="24"/>
          <w:highlight w:val="none"/>
        </w:rPr>
      </w:pPr>
      <w:r>
        <w:rPr>
          <w:rFonts w:hint="eastAsia" w:ascii="宋体" w:hAnsi="宋体"/>
          <w:color w:val="auto"/>
          <w:sz w:val="24"/>
          <w:highlight w:val="none"/>
        </w:rPr>
        <w:t>投标人名称（公章）：</w:t>
      </w:r>
    </w:p>
    <w:p w14:paraId="32837FDF">
      <w:pPr>
        <w:spacing w:line="360" w:lineRule="auto"/>
        <w:ind w:left="420"/>
        <w:rPr>
          <w:rFonts w:ascii="宋体" w:hAnsi="宋体"/>
          <w:color w:val="auto"/>
          <w:sz w:val="24"/>
          <w:highlight w:val="none"/>
        </w:rPr>
      </w:pPr>
    </w:p>
    <w:p w14:paraId="79CD6CA5">
      <w:pPr>
        <w:spacing w:line="360" w:lineRule="auto"/>
        <w:ind w:left="420"/>
        <w:rPr>
          <w:rFonts w:ascii="宋体" w:hAnsi="宋体"/>
          <w:color w:val="auto"/>
          <w:sz w:val="24"/>
          <w:highlight w:val="none"/>
        </w:rPr>
      </w:pPr>
      <w:r>
        <w:rPr>
          <w:rFonts w:hint="eastAsia" w:ascii="宋体" w:hAnsi="宋体"/>
          <w:color w:val="auto"/>
          <w:sz w:val="24"/>
          <w:highlight w:val="none"/>
        </w:rPr>
        <w:t>法定代表人或授权委托人(签字或盖章)：</w:t>
      </w:r>
    </w:p>
    <w:p w14:paraId="58CDDF97">
      <w:pPr>
        <w:spacing w:line="360" w:lineRule="auto"/>
        <w:ind w:left="420"/>
        <w:rPr>
          <w:rFonts w:ascii="宋体" w:hAnsi="宋体"/>
          <w:color w:val="auto"/>
          <w:sz w:val="24"/>
          <w:highlight w:val="none"/>
        </w:rPr>
      </w:pPr>
    </w:p>
    <w:p w14:paraId="6D078230">
      <w:pPr>
        <w:spacing w:line="360" w:lineRule="auto"/>
        <w:ind w:left="420"/>
        <w:rPr>
          <w:rFonts w:ascii="宋体" w:hAnsi="宋体"/>
          <w:color w:val="auto"/>
          <w:sz w:val="24"/>
          <w:highlight w:val="none"/>
        </w:rPr>
      </w:pPr>
      <w:r>
        <w:rPr>
          <w:rFonts w:hint="eastAsia" w:ascii="宋体" w:hAnsi="宋体"/>
          <w:color w:val="auto"/>
          <w:sz w:val="24"/>
          <w:highlight w:val="none"/>
        </w:rPr>
        <w:t>职        务：</w:t>
      </w:r>
    </w:p>
    <w:p w14:paraId="541A5F93">
      <w:pPr>
        <w:spacing w:line="360" w:lineRule="auto"/>
        <w:ind w:left="420"/>
        <w:rPr>
          <w:rFonts w:ascii="宋体" w:hAnsi="宋体"/>
          <w:color w:val="auto"/>
          <w:sz w:val="24"/>
          <w:highlight w:val="none"/>
        </w:rPr>
      </w:pPr>
      <w:r>
        <w:rPr>
          <w:rFonts w:hint="eastAsia" w:ascii="宋体" w:hAnsi="宋体"/>
          <w:color w:val="auto"/>
          <w:sz w:val="24"/>
          <w:highlight w:val="none"/>
        </w:rPr>
        <w:t>日        期：</w:t>
      </w:r>
    </w:p>
    <w:p w14:paraId="12D17939">
      <w:pPr>
        <w:rPr>
          <w:rFonts w:ascii="宋体" w:hAnsi="宋体"/>
          <w:color w:val="auto"/>
          <w:sz w:val="24"/>
          <w:highlight w:val="none"/>
        </w:rPr>
      </w:pPr>
      <w:r>
        <w:rPr>
          <w:rFonts w:hint="eastAsia" w:ascii="宋体" w:hAnsi="宋体"/>
          <w:color w:val="auto"/>
          <w:sz w:val="24"/>
          <w:highlight w:val="none"/>
        </w:rPr>
        <w:br w:type="page"/>
      </w:r>
    </w:p>
    <w:p w14:paraId="09244BFD">
      <w:pPr>
        <w:adjustRightInd w:val="0"/>
        <w:snapToGrid w:val="0"/>
        <w:spacing w:line="360" w:lineRule="auto"/>
        <w:ind w:right="480"/>
        <w:outlineLvl w:val="0"/>
        <w:rPr>
          <w:rFonts w:ascii="宋体" w:hAnsi="宋体"/>
          <w:b/>
          <w:color w:val="auto"/>
          <w:sz w:val="28"/>
          <w:highlight w:val="none"/>
        </w:rPr>
      </w:pPr>
      <w:bookmarkStart w:id="69" w:name="_Toc11838"/>
      <w:r>
        <w:rPr>
          <w:rFonts w:hint="eastAsia" w:ascii="宋体" w:hAnsi="宋体"/>
          <w:b/>
          <w:color w:val="auto"/>
          <w:sz w:val="28"/>
          <w:highlight w:val="none"/>
        </w:rPr>
        <w:t>附件13-1</w:t>
      </w:r>
      <w:bookmarkEnd w:id="69"/>
    </w:p>
    <w:p w14:paraId="5083D8F0">
      <w:pPr>
        <w:widowControl/>
        <w:autoSpaceDE w:val="0"/>
        <w:autoSpaceDN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中小企业声明函（货物）</w:t>
      </w:r>
    </w:p>
    <w:p w14:paraId="6D265995">
      <w:pPr>
        <w:widowControl/>
        <w:autoSpaceDE w:val="0"/>
        <w:autoSpaceDN w:val="0"/>
        <w:adjustRightInd w:val="0"/>
        <w:snapToGrid w:val="0"/>
        <w:spacing w:line="480" w:lineRule="auto"/>
        <w:ind w:firstLine="480" w:firstLineChars="200"/>
        <w:jc w:val="left"/>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本公司郑重声明，根据《政府采购促进中小企业发展管理办法》（财库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2020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46 号）的规定，本公司参加</w:t>
      </w:r>
      <w:r>
        <w:rPr>
          <w:rFonts w:hint="eastAsia" w:asciiTheme="minorEastAsia" w:hAnsiTheme="minorEastAsia" w:eastAsiaTheme="minorEastAsia"/>
          <w:b/>
          <w:bCs/>
          <w:color w:val="auto"/>
          <w:sz w:val="24"/>
          <w:highlight w:val="none"/>
          <w:u w:val="single"/>
        </w:rPr>
        <w:t>三门县公安局</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b/>
          <w:bCs/>
          <w:color w:val="auto"/>
          <w:sz w:val="24"/>
          <w:highlight w:val="none"/>
          <w:u w:val="single"/>
          <w:lang w:eastAsia="zh-CN"/>
        </w:rPr>
        <w:t>三门县公安局机房升级改造项目（二次）</w:t>
      </w:r>
      <w:r>
        <w:rPr>
          <w:rFonts w:asciiTheme="minorEastAsia" w:hAnsiTheme="minorEastAsia" w:eastAsiaTheme="minorEastAsia"/>
          <w:color w:val="auto"/>
          <w:sz w:val="24"/>
          <w:highlight w:val="none"/>
        </w:rPr>
        <w:t>采购活动</w:t>
      </w:r>
      <w:r>
        <w:rPr>
          <w:rFonts w:hint="eastAsia" w:asciiTheme="minorEastAsia" w:hAnsiTheme="minorEastAsia" w:eastAsiaTheme="minorEastAsia"/>
          <w:color w:val="auto"/>
          <w:sz w:val="24"/>
          <w:highlight w:val="none"/>
        </w:rPr>
        <w:t>，提供的货物全部由符合政策要求的中小企业制造。相关企业（含联合体中的中小企业、签订分包意向协议的中小企业）的具体情况如下：</w:t>
      </w:r>
    </w:p>
    <w:p w14:paraId="7347A6A2">
      <w:pPr>
        <w:numPr>
          <w:ilvl w:val="0"/>
          <w:numId w:val="114"/>
        </w:numPr>
        <w:wordWrap w:val="0"/>
        <w:spacing w:line="360" w:lineRule="auto"/>
        <w:ind w:firstLine="480" w:firstLineChars="200"/>
        <w:rPr>
          <w:rFonts w:ascii="宋体" w:hAnsi="宋体" w:cs="宋体"/>
          <w:color w:val="auto"/>
          <w:sz w:val="24"/>
          <w:highlight w:val="none"/>
        </w:rPr>
      </w:pPr>
      <w:bookmarkStart w:id="70" w:name="_Toc27721"/>
      <w:r>
        <w:rPr>
          <w:rFonts w:hint="eastAsia" w:ascii="宋体" w:hAnsi="宋体" w:cs="宋体"/>
          <w:color w:val="auto"/>
          <w:sz w:val="24"/>
          <w:highlight w:val="none"/>
          <w:u w:val="single"/>
        </w:rPr>
        <w:t xml:space="preserve">超融合节点服务器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E84BD32">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超融合万兆交换机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A375A3F">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管理千兆交换机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33037181">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AI服务器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ED5FCD4">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数据盘扩容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2E7F03CE">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缓存盘扩容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75A2A75">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文件存储服务器</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4196CEE1">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云管平台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09535947">
      <w:pPr>
        <w:numPr>
          <w:ilvl w:val="0"/>
          <w:numId w:val="114"/>
        </w:num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中心机房精密空调</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77AF4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30B30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F5FE3A3">
      <w:pPr>
        <w:wordWrap w:val="0"/>
        <w:spacing w:line="360" w:lineRule="auto"/>
        <w:ind w:firstLine="480" w:firstLineChars="200"/>
        <w:jc w:val="right"/>
        <w:rPr>
          <w:rFonts w:ascii="宋体" w:hAnsi="宋体" w:cs="宋体"/>
          <w:color w:val="auto"/>
          <w:sz w:val="24"/>
          <w:highlight w:val="none"/>
        </w:rPr>
      </w:pPr>
    </w:p>
    <w:p w14:paraId="5CACB643">
      <w:pPr>
        <w:wordWrap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企业名称（盖章）：        </w:t>
      </w:r>
    </w:p>
    <w:p w14:paraId="68D8FE35">
      <w:pPr>
        <w:wordWrap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14:paraId="679D173C">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200660</wp:posOffset>
                </wp:positionV>
                <wp:extent cx="5693410"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93410" cy="889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0.4pt;margin-top:15.8pt;height:0.7pt;width:448.3pt;z-index:251661312;mso-width-relative:page;mso-height-relative:page;" filled="f" stroked="t" coordsize="21600,21600" o:gfxdata="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LyBcbWAAAABgEAAA8AAAAAAAAAAQAgAAAAIgAAAGRycy9kb3du&#10;cmV2LnhtbFBLAQIUABQAAAAIAIdO4kACb+4GAQIAAOEDAAAOAAAAAAAAAAEAIAAAACUBAABkcnMv&#10;ZTJvRG9jLnhtbFBLBQYAAAAABgAGAFkBAACYBQAAAAA=&#10;">
                <v:fill on="f" focussize="0,0"/>
                <v:stroke weight="1.25pt" color="#000000" miterlimit="8" joinstyle="miter"/>
                <v:imagedata o:title=""/>
                <o:lock v:ext="edit" aspectratio="f"/>
              </v:line>
            </w:pict>
          </mc:Fallback>
        </mc:AlternateContent>
      </w:r>
    </w:p>
    <w:p w14:paraId="10914CCA">
      <w:pPr>
        <w:numPr>
          <w:ilvl w:val="0"/>
          <w:numId w:val="115"/>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313B9BC1">
      <w:pPr>
        <w:numPr>
          <w:ilvl w:val="0"/>
          <w:numId w:val="115"/>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本声明函将随中标结果公开，接受社会监督。</w:t>
      </w:r>
    </w:p>
    <w:p w14:paraId="56D301B2">
      <w:pPr>
        <w:pStyle w:val="17"/>
        <w:ind w:left="0" w:leftChars="0"/>
        <w:rPr>
          <w:color w:val="auto"/>
          <w:highlight w:val="none"/>
        </w:rPr>
      </w:pPr>
    </w:p>
    <w:p w14:paraId="77F4E78C">
      <w:pPr>
        <w:rPr>
          <w:color w:val="auto"/>
          <w:highlight w:val="none"/>
        </w:rPr>
      </w:pPr>
    </w:p>
    <w:p w14:paraId="0963D68E">
      <w:pPr>
        <w:pStyle w:val="17"/>
        <w:rPr>
          <w:color w:val="auto"/>
          <w:highlight w:val="none"/>
        </w:rPr>
      </w:pPr>
    </w:p>
    <w:p w14:paraId="3D1777EC">
      <w:pPr>
        <w:rPr>
          <w:color w:val="auto"/>
          <w:highlight w:val="none"/>
        </w:rPr>
        <w:sectPr>
          <w:headerReference r:id="rId11" w:type="first"/>
          <w:headerReference r:id="rId10" w:type="default"/>
          <w:footerReference r:id="rId12" w:type="default"/>
          <w:pgSz w:w="11906" w:h="16838"/>
          <w:pgMar w:top="1701" w:right="1418" w:bottom="1588" w:left="1418" w:header="851" w:footer="851" w:gutter="0"/>
          <w:cols w:space="720" w:num="1"/>
          <w:docGrid w:linePitch="312" w:charSpace="0"/>
        </w:sectPr>
      </w:pPr>
    </w:p>
    <w:p w14:paraId="411E6012">
      <w:pPr>
        <w:adjustRightInd w:val="0"/>
        <w:snapToGrid w:val="0"/>
        <w:spacing w:line="360" w:lineRule="auto"/>
        <w:ind w:right="480"/>
        <w:outlineLvl w:val="0"/>
        <w:rPr>
          <w:rFonts w:ascii="宋体" w:hAnsi="宋体"/>
          <w:b/>
          <w:color w:val="auto"/>
          <w:sz w:val="28"/>
          <w:highlight w:val="none"/>
        </w:rPr>
      </w:pPr>
      <w:bookmarkStart w:id="71" w:name="_Toc14464"/>
      <w:r>
        <w:rPr>
          <w:rFonts w:hint="eastAsia" w:ascii="宋体" w:hAnsi="宋体"/>
          <w:b/>
          <w:color w:val="auto"/>
          <w:sz w:val="28"/>
          <w:highlight w:val="none"/>
        </w:rPr>
        <w:t>附件13-2</w:t>
      </w:r>
      <w:bookmarkEnd w:id="71"/>
    </w:p>
    <w:p w14:paraId="45585FF1">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p>
    <w:p w14:paraId="6A656C60">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监狱企业</w:t>
      </w:r>
      <w:r>
        <w:rPr>
          <w:rFonts w:hint="eastAsia" w:asciiTheme="minorEastAsia" w:hAnsiTheme="minorEastAsia" w:eastAsiaTheme="minorEastAsia"/>
          <w:b/>
          <w:color w:val="auto"/>
          <w:sz w:val="24"/>
          <w:highlight w:val="none"/>
        </w:rPr>
        <w:t>证明文件</w:t>
      </w:r>
    </w:p>
    <w:p w14:paraId="4FFB982F">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不属于监狱企业的无需填写</w:t>
      </w:r>
      <w:r>
        <w:rPr>
          <w:rFonts w:hint="eastAsia" w:asciiTheme="minorEastAsia" w:hAnsiTheme="minorEastAsia" w:eastAsiaTheme="minorEastAsia"/>
          <w:b/>
          <w:bCs/>
          <w:color w:val="auto"/>
          <w:sz w:val="24"/>
          <w:highlight w:val="none"/>
        </w:rPr>
        <w:t>）</w:t>
      </w:r>
    </w:p>
    <w:tbl>
      <w:tblPr>
        <w:tblStyle w:val="27"/>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586E2456">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020A1FD7">
            <w:pPr>
              <w:spacing w:line="360" w:lineRule="auto"/>
              <w:ind w:firstLine="426" w:firstLineChars="17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备注:（1）根据《关于政府采购支持监狱企业发展有关问题的通知》（财库[2014]68号）的规定，符合规定要求的供应商视同为小型和微型企业。</w:t>
            </w:r>
          </w:p>
          <w:p w14:paraId="597429A2">
            <w:pPr>
              <w:spacing w:line="360" w:lineRule="auto"/>
              <w:ind w:firstLine="426" w:firstLineChars="177"/>
              <w:rPr>
                <w:rFonts w:cs="Arial" w:asciiTheme="minorEastAsia" w:hAnsiTheme="minorEastAsia" w:eastAsiaTheme="minorEastAsia"/>
                <w:b/>
                <w:i/>
                <w:color w:val="auto"/>
                <w:kern w:val="0"/>
                <w:sz w:val="24"/>
                <w:highlight w:val="none"/>
              </w:rPr>
            </w:pPr>
            <w:r>
              <w:rPr>
                <w:rFonts w:hint="eastAsia" w:asciiTheme="minorEastAsia" w:hAnsiTheme="minorEastAsia" w:eastAsiaTheme="minorEastAsia"/>
                <w:b/>
                <w:color w:val="auto"/>
                <w:sz w:val="24"/>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14:paraId="1474EB16">
      <w:pPr>
        <w:rPr>
          <w:rFonts w:ascii="宋体" w:hAnsi="宋体"/>
          <w:b/>
          <w:color w:val="auto"/>
          <w:sz w:val="28"/>
          <w:highlight w:val="none"/>
        </w:rPr>
      </w:pPr>
      <w:r>
        <w:rPr>
          <w:rFonts w:hint="eastAsia" w:ascii="宋体" w:hAnsi="宋体"/>
          <w:b/>
          <w:color w:val="auto"/>
          <w:sz w:val="28"/>
          <w:highlight w:val="none"/>
        </w:rPr>
        <w:br w:type="page"/>
      </w:r>
    </w:p>
    <w:p w14:paraId="646B576C">
      <w:pPr>
        <w:adjustRightInd w:val="0"/>
        <w:snapToGrid w:val="0"/>
        <w:spacing w:line="360" w:lineRule="auto"/>
        <w:ind w:right="480"/>
        <w:outlineLvl w:val="0"/>
        <w:rPr>
          <w:rFonts w:ascii="宋体" w:hAnsi="宋体"/>
          <w:b/>
          <w:color w:val="auto"/>
          <w:sz w:val="28"/>
          <w:highlight w:val="none"/>
        </w:rPr>
      </w:pPr>
      <w:bookmarkStart w:id="72" w:name="_Toc3656"/>
      <w:r>
        <w:rPr>
          <w:rFonts w:hint="eastAsia" w:ascii="宋体" w:hAnsi="宋体"/>
          <w:b/>
          <w:color w:val="auto"/>
          <w:sz w:val="28"/>
          <w:highlight w:val="none"/>
        </w:rPr>
        <w:t>附件13-</w:t>
      </w:r>
      <w:bookmarkEnd w:id="70"/>
      <w:r>
        <w:rPr>
          <w:rFonts w:hint="eastAsia" w:ascii="宋体" w:hAnsi="宋体"/>
          <w:b/>
          <w:color w:val="auto"/>
          <w:sz w:val="28"/>
          <w:highlight w:val="none"/>
        </w:rPr>
        <w:t>3</w:t>
      </w:r>
      <w:bookmarkEnd w:id="72"/>
    </w:p>
    <w:p w14:paraId="0505BF6D">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bCs/>
          <w:color w:val="auto"/>
          <w:sz w:val="24"/>
          <w:highlight w:val="none"/>
        </w:rPr>
      </w:pPr>
    </w:p>
    <w:p w14:paraId="488D6F5F">
      <w:pPr>
        <w:widowControl/>
        <w:autoSpaceDE w:val="0"/>
        <w:autoSpaceDN w:val="0"/>
        <w:adjustRightInd w:val="0"/>
        <w:snapToGrid w:val="0"/>
        <w:spacing w:line="480" w:lineRule="auto"/>
        <w:ind w:firstLine="241" w:firstLineChars="100"/>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残疾人福利性单位声明函</w:t>
      </w:r>
    </w:p>
    <w:p w14:paraId="74F660E2">
      <w:pPr>
        <w:pStyle w:val="9"/>
        <w:jc w:val="center"/>
        <w:rPr>
          <w:color w:val="auto"/>
          <w:highlight w:val="none"/>
        </w:rPr>
      </w:pPr>
      <w:r>
        <w:rPr>
          <w:rFonts w:hint="eastAsia" w:asciiTheme="minorEastAsia" w:hAnsiTheme="minorEastAsia" w:eastAsiaTheme="minorEastAsia"/>
          <w:b/>
          <w:bCs/>
          <w:color w:val="auto"/>
          <w:sz w:val="24"/>
          <w:highlight w:val="none"/>
        </w:rPr>
        <w:t>（</w:t>
      </w:r>
      <w:r>
        <w:rPr>
          <w:rFonts w:asciiTheme="minorEastAsia" w:hAnsiTheme="minorEastAsia" w:eastAsiaTheme="minorEastAsia"/>
          <w:b/>
          <w:bCs/>
          <w:color w:val="auto"/>
          <w:sz w:val="24"/>
          <w:highlight w:val="none"/>
        </w:rPr>
        <w:t>不属于</w:t>
      </w:r>
      <w:r>
        <w:rPr>
          <w:rFonts w:hint="eastAsia" w:asciiTheme="minorEastAsia" w:hAnsiTheme="minorEastAsia" w:eastAsiaTheme="minorEastAsia"/>
          <w:b/>
          <w:color w:val="auto"/>
          <w:sz w:val="24"/>
          <w:highlight w:val="none"/>
        </w:rPr>
        <w:t>残疾人福利性单位</w:t>
      </w:r>
      <w:r>
        <w:rPr>
          <w:rFonts w:asciiTheme="minorEastAsia" w:hAnsiTheme="minorEastAsia" w:eastAsiaTheme="minorEastAsia"/>
          <w:b/>
          <w:bCs/>
          <w:color w:val="auto"/>
          <w:sz w:val="24"/>
          <w:highlight w:val="none"/>
        </w:rPr>
        <w:t>的无需填写</w:t>
      </w:r>
      <w:r>
        <w:rPr>
          <w:rFonts w:hint="eastAsia" w:asciiTheme="minorEastAsia" w:hAnsiTheme="minorEastAsia" w:eastAsiaTheme="minorEastAsia"/>
          <w:b/>
          <w:bCs/>
          <w:color w:val="auto"/>
          <w:sz w:val="24"/>
          <w:highlight w:val="none"/>
        </w:rPr>
        <w:t>）</w:t>
      </w:r>
    </w:p>
    <w:p w14:paraId="2AEFA1FC">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25F8F8">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9CD1351">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0B6AE05F">
      <w:pPr>
        <w:pStyle w:val="53"/>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1E2E5D1A">
      <w:pPr>
        <w:pStyle w:val="53"/>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单位名称（盖章）：</w:t>
      </w:r>
    </w:p>
    <w:p w14:paraId="73B677F2">
      <w:pPr>
        <w:pStyle w:val="53"/>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3A248663">
      <w:pPr>
        <w:rPr>
          <w:color w:val="auto"/>
          <w:sz w:val="52"/>
          <w:szCs w:val="52"/>
          <w:highlight w:val="none"/>
        </w:rPr>
      </w:pPr>
    </w:p>
    <w:p w14:paraId="26444707">
      <w:pPr>
        <w:rPr>
          <w:color w:val="auto"/>
          <w:sz w:val="52"/>
          <w:szCs w:val="52"/>
          <w:highlight w:val="none"/>
        </w:rPr>
      </w:pPr>
    </w:p>
    <w:p w14:paraId="2465A0D3">
      <w:pPr>
        <w:jc w:val="center"/>
        <w:rPr>
          <w:color w:val="auto"/>
          <w:sz w:val="52"/>
          <w:szCs w:val="52"/>
          <w:highlight w:val="none"/>
        </w:rPr>
      </w:pPr>
    </w:p>
    <w:p w14:paraId="69D78ADA">
      <w:pPr>
        <w:pStyle w:val="5"/>
        <w:ind w:firstLine="482"/>
        <w:rPr>
          <w:color w:val="auto"/>
          <w:highlight w:val="none"/>
        </w:rPr>
      </w:pPr>
    </w:p>
    <w:p w14:paraId="0CF6C2FC">
      <w:pPr>
        <w:jc w:val="center"/>
        <w:rPr>
          <w:color w:val="auto"/>
          <w:sz w:val="52"/>
          <w:szCs w:val="52"/>
          <w:highlight w:val="none"/>
        </w:rPr>
      </w:pPr>
    </w:p>
    <w:p w14:paraId="71A305B3">
      <w:pPr>
        <w:pStyle w:val="8"/>
        <w:rPr>
          <w:color w:val="auto"/>
          <w:highlight w:val="none"/>
        </w:rPr>
      </w:pPr>
    </w:p>
    <w:sectPr>
      <w:headerReference r:id="rId13" w:type="default"/>
      <w:footerReference r:id="rId14"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Wingdings 2">
    <w:altName w:val="Wingdings"/>
    <w:panose1 w:val="05020102010507070707"/>
    <w:charset w:val="02"/>
    <w:family w:val="roman"/>
    <w:pitch w:val="default"/>
    <w:sig w:usb0="00000000" w:usb1="00000000" w:usb2="00000000" w:usb3="00000000" w:csb0="80000000" w:csb1="00000000"/>
  </w:font>
  <w:font w:name="Simang">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665059"/>
    </w:sdtPr>
    <w:sdtContent>
      <w:p w14:paraId="1A3626AB">
        <w:pPr>
          <w:pStyle w:val="15"/>
          <w:jc w:val="center"/>
        </w:pPr>
        <w:r>
          <w:fldChar w:fldCharType="begin"/>
        </w:r>
        <w:r>
          <w:instrText xml:space="preserve">PAGE   \* MERGEFORMAT</w:instrText>
        </w:r>
        <w:r>
          <w:fldChar w:fldCharType="separate"/>
        </w:r>
        <w:r>
          <w:rPr>
            <w:lang w:val="zh-CN"/>
          </w:rPr>
          <w:t>1</w:t>
        </w:r>
        <w:r>
          <w:rPr>
            <w:lang w:val="zh-CN"/>
          </w:rPr>
          <w:fldChar w:fldCharType="end"/>
        </w:r>
      </w:p>
    </w:sdtContent>
  </w:sdt>
  <w:p w14:paraId="2A762917">
    <w:pPr>
      <w:pStyle w:val="15"/>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CAEA">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A856">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441419"/>
    </w:sdtPr>
    <w:sdtContent>
      <w:p w14:paraId="050B4013">
        <w:pPr>
          <w:pStyle w:val="15"/>
          <w:jc w:val="center"/>
        </w:pPr>
        <w:r>
          <w:fldChar w:fldCharType="begin"/>
        </w:r>
        <w:r>
          <w:instrText xml:space="preserve">PAGE   \* MERGEFORMAT</w:instrText>
        </w:r>
        <w:r>
          <w:fldChar w:fldCharType="separate"/>
        </w:r>
        <w:r>
          <w:rPr>
            <w:lang w:val="zh-CN"/>
          </w:rPr>
          <w:t>56</w:t>
        </w:r>
        <w:r>
          <w:rPr>
            <w:lang w:val="zh-CN"/>
          </w:rPr>
          <w:fldChar w:fldCharType="end"/>
        </w:r>
      </w:p>
    </w:sdtContent>
  </w:sdt>
  <w:p w14:paraId="1BA5BFDE">
    <w:pPr>
      <w:pStyle w:val="15"/>
      <w:rPr>
        <w:rFonts w:eastAsia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B244">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CF55BD">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2CF55BD">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D2199">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A6337A">
                          <w:pPr>
                            <w:pStyle w:val="1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77A6337A">
                    <w:pPr>
                      <w:pStyle w:val="1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4A873">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0AE9">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5B3A">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8E4B">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73ED">
    <w:pPr>
      <w:pStyle w:val="16"/>
    </w:pPr>
    <w:r>
      <w:rPr>
        <w:rFonts w:hint="eastAsia" w:ascii="仿宋_GB2312" w:eastAsia="仿宋_GB2312"/>
        <w:sz w:val="24"/>
      </w:rPr>
      <w:t>丽水市政府采购中心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3D31">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FA8A5"/>
    <w:multiLevelType w:val="singleLevel"/>
    <w:tmpl w:val="80AFA8A5"/>
    <w:lvl w:ilvl="0" w:tentative="0">
      <w:start w:val="1"/>
      <w:numFmt w:val="chineseCounting"/>
      <w:suff w:val="nothing"/>
      <w:lvlText w:val="（%1）"/>
      <w:lvlJc w:val="left"/>
      <w:pPr>
        <w:ind w:left="0" w:firstLine="420"/>
      </w:pPr>
      <w:rPr>
        <w:rFonts w:hint="eastAsia"/>
      </w:rPr>
    </w:lvl>
  </w:abstractNum>
  <w:abstractNum w:abstractNumId="1">
    <w:nsid w:val="8156EA5F"/>
    <w:multiLevelType w:val="singleLevel"/>
    <w:tmpl w:val="8156EA5F"/>
    <w:lvl w:ilvl="0" w:tentative="0">
      <w:start w:val="1"/>
      <w:numFmt w:val="decimal"/>
      <w:suff w:val="nothing"/>
      <w:lvlText w:val="%1．"/>
      <w:lvlJc w:val="left"/>
      <w:pPr>
        <w:ind w:left="0" w:firstLine="400"/>
      </w:pPr>
      <w:rPr>
        <w:rFonts w:hint="default"/>
      </w:rPr>
    </w:lvl>
  </w:abstractNum>
  <w:abstractNum w:abstractNumId="2">
    <w:nsid w:val="83097CD9"/>
    <w:multiLevelType w:val="singleLevel"/>
    <w:tmpl w:val="83097CD9"/>
    <w:lvl w:ilvl="0" w:tentative="0">
      <w:start w:val="1"/>
      <w:numFmt w:val="decimal"/>
      <w:suff w:val="nothing"/>
      <w:lvlText w:val="%1．"/>
      <w:lvlJc w:val="left"/>
      <w:pPr>
        <w:ind w:left="0" w:firstLine="400"/>
      </w:pPr>
      <w:rPr>
        <w:rFonts w:hint="default"/>
      </w:rPr>
    </w:lvl>
  </w:abstractNum>
  <w:abstractNum w:abstractNumId="3">
    <w:nsid w:val="83A81F14"/>
    <w:multiLevelType w:val="singleLevel"/>
    <w:tmpl w:val="83A81F14"/>
    <w:lvl w:ilvl="0" w:tentative="0">
      <w:start w:val="1"/>
      <w:numFmt w:val="decimal"/>
      <w:lvlText w:val="%1."/>
      <w:lvlJc w:val="left"/>
      <w:pPr>
        <w:ind w:left="425" w:hanging="425"/>
      </w:pPr>
      <w:rPr>
        <w:rFonts w:hint="default"/>
      </w:rPr>
    </w:lvl>
  </w:abstractNum>
  <w:abstractNum w:abstractNumId="4">
    <w:nsid w:val="8B856794"/>
    <w:multiLevelType w:val="singleLevel"/>
    <w:tmpl w:val="8B856794"/>
    <w:lvl w:ilvl="0" w:tentative="0">
      <w:start w:val="1"/>
      <w:numFmt w:val="decimal"/>
      <w:suff w:val="nothing"/>
      <w:lvlText w:val="%1．"/>
      <w:lvlJc w:val="left"/>
      <w:pPr>
        <w:ind w:left="0" w:firstLine="400"/>
      </w:pPr>
      <w:rPr>
        <w:rFonts w:hint="default"/>
      </w:rPr>
    </w:lvl>
  </w:abstractNum>
  <w:abstractNum w:abstractNumId="5">
    <w:nsid w:val="99791493"/>
    <w:multiLevelType w:val="singleLevel"/>
    <w:tmpl w:val="99791493"/>
    <w:lvl w:ilvl="0" w:tentative="0">
      <w:start w:val="1"/>
      <w:numFmt w:val="decimalEnclosedCircleChinese"/>
      <w:suff w:val="nothing"/>
      <w:lvlText w:val="%1　"/>
      <w:lvlJc w:val="left"/>
      <w:pPr>
        <w:ind w:left="0" w:firstLine="400"/>
      </w:pPr>
      <w:rPr>
        <w:rFonts w:hint="eastAsia"/>
      </w:rPr>
    </w:lvl>
  </w:abstractNum>
  <w:abstractNum w:abstractNumId="6">
    <w:nsid w:val="9B10C4D2"/>
    <w:multiLevelType w:val="singleLevel"/>
    <w:tmpl w:val="9B10C4D2"/>
    <w:lvl w:ilvl="0" w:tentative="0">
      <w:start w:val="1"/>
      <w:numFmt w:val="chineseCounting"/>
      <w:suff w:val="nothing"/>
      <w:lvlText w:val="%1、"/>
      <w:lvlJc w:val="left"/>
      <w:pPr>
        <w:ind w:left="0" w:firstLine="420"/>
      </w:pPr>
      <w:rPr>
        <w:rFonts w:hint="eastAsia"/>
      </w:rPr>
    </w:lvl>
  </w:abstractNum>
  <w:abstractNum w:abstractNumId="7">
    <w:nsid w:val="9F28A127"/>
    <w:multiLevelType w:val="singleLevel"/>
    <w:tmpl w:val="9F28A127"/>
    <w:lvl w:ilvl="0" w:tentative="0">
      <w:start w:val="1"/>
      <w:numFmt w:val="chineseCounting"/>
      <w:suff w:val="nothing"/>
      <w:lvlText w:val="%1、"/>
      <w:lvlJc w:val="left"/>
      <w:pPr>
        <w:ind w:left="0" w:firstLine="420"/>
      </w:pPr>
      <w:rPr>
        <w:rFonts w:hint="eastAsia"/>
      </w:rPr>
    </w:lvl>
  </w:abstractNum>
  <w:abstractNum w:abstractNumId="8">
    <w:nsid w:val="9FE2EFA3"/>
    <w:multiLevelType w:val="singleLevel"/>
    <w:tmpl w:val="9FE2EFA3"/>
    <w:lvl w:ilvl="0" w:tentative="0">
      <w:start w:val="1"/>
      <w:numFmt w:val="chineseCounting"/>
      <w:suff w:val="nothing"/>
      <w:lvlText w:val="（%1）"/>
      <w:lvlJc w:val="left"/>
      <w:pPr>
        <w:ind w:left="0" w:firstLine="420"/>
      </w:pPr>
      <w:rPr>
        <w:rFonts w:hint="eastAsia"/>
      </w:rPr>
    </w:lvl>
  </w:abstractNum>
  <w:abstractNum w:abstractNumId="9">
    <w:nsid w:val="A1E1820A"/>
    <w:multiLevelType w:val="singleLevel"/>
    <w:tmpl w:val="A1E1820A"/>
    <w:lvl w:ilvl="0" w:tentative="0">
      <w:start w:val="1"/>
      <w:numFmt w:val="decimal"/>
      <w:lvlText w:val="%1)"/>
      <w:lvlJc w:val="left"/>
      <w:pPr>
        <w:ind w:left="425" w:hanging="425"/>
      </w:pPr>
      <w:rPr>
        <w:rFonts w:hint="default"/>
      </w:rPr>
    </w:lvl>
  </w:abstractNum>
  <w:abstractNum w:abstractNumId="10">
    <w:nsid w:val="A2B6AEA4"/>
    <w:multiLevelType w:val="singleLevel"/>
    <w:tmpl w:val="A2B6AEA4"/>
    <w:lvl w:ilvl="0" w:tentative="0">
      <w:start w:val="1"/>
      <w:numFmt w:val="decimal"/>
      <w:lvlText w:val="%1."/>
      <w:lvlJc w:val="left"/>
      <w:pPr>
        <w:ind w:left="425" w:hanging="425"/>
      </w:pPr>
      <w:rPr>
        <w:rFonts w:hint="default"/>
      </w:rPr>
    </w:lvl>
  </w:abstractNum>
  <w:abstractNum w:abstractNumId="11">
    <w:nsid w:val="A2F0DBCA"/>
    <w:multiLevelType w:val="singleLevel"/>
    <w:tmpl w:val="A2F0DBCA"/>
    <w:lvl w:ilvl="0" w:tentative="0">
      <w:start w:val="1"/>
      <w:numFmt w:val="decimal"/>
      <w:lvlText w:val="(%1)"/>
      <w:lvlJc w:val="left"/>
      <w:pPr>
        <w:ind w:left="850" w:hanging="425"/>
      </w:pPr>
      <w:rPr>
        <w:rFonts w:hint="default"/>
      </w:rPr>
    </w:lvl>
  </w:abstractNum>
  <w:abstractNum w:abstractNumId="12">
    <w:nsid w:val="A6F24E1C"/>
    <w:multiLevelType w:val="singleLevel"/>
    <w:tmpl w:val="A6F24E1C"/>
    <w:lvl w:ilvl="0" w:tentative="0">
      <w:start w:val="1"/>
      <w:numFmt w:val="decimal"/>
      <w:suff w:val="nothing"/>
      <w:lvlText w:val="%1．"/>
      <w:lvlJc w:val="left"/>
      <w:pPr>
        <w:ind w:left="0" w:firstLine="400"/>
      </w:pPr>
      <w:rPr>
        <w:rFonts w:hint="default"/>
      </w:rPr>
    </w:lvl>
  </w:abstractNum>
  <w:abstractNum w:abstractNumId="13">
    <w:nsid w:val="B2710AE9"/>
    <w:multiLevelType w:val="singleLevel"/>
    <w:tmpl w:val="B2710AE9"/>
    <w:lvl w:ilvl="0" w:tentative="0">
      <w:start w:val="1"/>
      <w:numFmt w:val="decimal"/>
      <w:lvlText w:val="(%1)"/>
      <w:lvlJc w:val="left"/>
      <w:pPr>
        <w:ind w:left="425" w:hanging="425"/>
      </w:pPr>
      <w:rPr>
        <w:rFonts w:hint="default"/>
      </w:rPr>
    </w:lvl>
  </w:abstractNum>
  <w:abstractNum w:abstractNumId="14">
    <w:nsid w:val="B4118C62"/>
    <w:multiLevelType w:val="singleLevel"/>
    <w:tmpl w:val="B4118C62"/>
    <w:lvl w:ilvl="0" w:tentative="0">
      <w:start w:val="1"/>
      <w:numFmt w:val="decimalEnclosedCircleChinese"/>
      <w:suff w:val="nothing"/>
      <w:lvlText w:val="%1　"/>
      <w:lvlJc w:val="left"/>
      <w:pPr>
        <w:ind w:left="0" w:firstLine="400"/>
      </w:pPr>
      <w:rPr>
        <w:rFonts w:hint="eastAsia"/>
      </w:rPr>
    </w:lvl>
  </w:abstractNum>
  <w:abstractNum w:abstractNumId="15">
    <w:nsid w:val="B689EA9C"/>
    <w:multiLevelType w:val="singleLevel"/>
    <w:tmpl w:val="B689EA9C"/>
    <w:lvl w:ilvl="0" w:tentative="0">
      <w:start w:val="1"/>
      <w:numFmt w:val="decimal"/>
      <w:suff w:val="nothing"/>
      <w:lvlText w:val="%1．"/>
      <w:lvlJc w:val="left"/>
      <w:pPr>
        <w:ind w:left="0" w:firstLine="400"/>
      </w:pPr>
      <w:rPr>
        <w:rFonts w:hint="default"/>
      </w:rPr>
    </w:lvl>
  </w:abstractNum>
  <w:abstractNum w:abstractNumId="16">
    <w:nsid w:val="B943A6B2"/>
    <w:multiLevelType w:val="singleLevel"/>
    <w:tmpl w:val="B943A6B2"/>
    <w:lvl w:ilvl="0" w:tentative="0">
      <w:start w:val="1"/>
      <w:numFmt w:val="decimal"/>
      <w:lvlText w:val="(%1)"/>
      <w:lvlJc w:val="left"/>
      <w:pPr>
        <w:ind w:left="425" w:hanging="425"/>
      </w:pPr>
      <w:rPr>
        <w:rFonts w:hint="default"/>
      </w:rPr>
    </w:lvl>
  </w:abstractNum>
  <w:abstractNum w:abstractNumId="17">
    <w:nsid w:val="B990775A"/>
    <w:multiLevelType w:val="singleLevel"/>
    <w:tmpl w:val="B990775A"/>
    <w:lvl w:ilvl="0" w:tentative="0">
      <w:start w:val="1"/>
      <w:numFmt w:val="decimal"/>
      <w:suff w:val="nothing"/>
      <w:lvlText w:val="%1．"/>
      <w:lvlJc w:val="left"/>
      <w:pPr>
        <w:ind w:left="0" w:firstLine="400"/>
      </w:pPr>
      <w:rPr>
        <w:rFonts w:hint="default"/>
      </w:rPr>
    </w:lvl>
  </w:abstractNum>
  <w:abstractNum w:abstractNumId="18">
    <w:nsid w:val="BD530FA3"/>
    <w:multiLevelType w:val="singleLevel"/>
    <w:tmpl w:val="BD530FA3"/>
    <w:lvl w:ilvl="0" w:tentative="0">
      <w:start w:val="1"/>
      <w:numFmt w:val="decimal"/>
      <w:suff w:val="nothing"/>
      <w:lvlText w:val="%1．"/>
      <w:lvlJc w:val="left"/>
      <w:pPr>
        <w:ind w:left="0" w:firstLine="400"/>
      </w:pPr>
      <w:rPr>
        <w:rFonts w:hint="default"/>
      </w:rPr>
    </w:lvl>
  </w:abstractNum>
  <w:abstractNum w:abstractNumId="19">
    <w:nsid w:val="C0B7ED7D"/>
    <w:multiLevelType w:val="singleLevel"/>
    <w:tmpl w:val="C0B7ED7D"/>
    <w:lvl w:ilvl="0" w:tentative="0">
      <w:start w:val="1"/>
      <w:numFmt w:val="decimal"/>
      <w:suff w:val="nothing"/>
      <w:lvlText w:val="%1．"/>
      <w:lvlJc w:val="left"/>
      <w:pPr>
        <w:ind w:left="0" w:firstLine="400"/>
      </w:pPr>
      <w:rPr>
        <w:rFonts w:hint="default"/>
      </w:rPr>
    </w:lvl>
  </w:abstractNum>
  <w:abstractNum w:abstractNumId="20">
    <w:nsid w:val="C2C9F447"/>
    <w:multiLevelType w:val="singleLevel"/>
    <w:tmpl w:val="C2C9F447"/>
    <w:lvl w:ilvl="0" w:tentative="0">
      <w:start w:val="1"/>
      <w:numFmt w:val="chineseCounting"/>
      <w:suff w:val="nothing"/>
      <w:lvlText w:val="（%1）"/>
      <w:lvlJc w:val="left"/>
      <w:pPr>
        <w:ind w:left="0" w:firstLine="420"/>
      </w:pPr>
      <w:rPr>
        <w:rFonts w:hint="eastAsia"/>
      </w:rPr>
    </w:lvl>
  </w:abstractNum>
  <w:abstractNum w:abstractNumId="21">
    <w:nsid w:val="C33CF3F4"/>
    <w:multiLevelType w:val="singleLevel"/>
    <w:tmpl w:val="C33CF3F4"/>
    <w:lvl w:ilvl="0" w:tentative="0">
      <w:start w:val="1"/>
      <w:numFmt w:val="decimalEnclosedCircleChinese"/>
      <w:suff w:val="nothing"/>
      <w:lvlText w:val="%1　"/>
      <w:lvlJc w:val="left"/>
      <w:pPr>
        <w:ind w:left="0" w:firstLine="400"/>
      </w:pPr>
      <w:rPr>
        <w:rFonts w:hint="eastAsia"/>
      </w:rPr>
    </w:lvl>
  </w:abstractNum>
  <w:abstractNum w:abstractNumId="22">
    <w:nsid w:val="C4FF0484"/>
    <w:multiLevelType w:val="singleLevel"/>
    <w:tmpl w:val="C4FF0484"/>
    <w:lvl w:ilvl="0" w:tentative="0">
      <w:start w:val="1"/>
      <w:numFmt w:val="decimal"/>
      <w:suff w:val="nothing"/>
      <w:lvlText w:val="%1．"/>
      <w:lvlJc w:val="left"/>
      <w:pPr>
        <w:ind w:left="0" w:firstLine="400"/>
      </w:pPr>
      <w:rPr>
        <w:rFonts w:hint="default"/>
      </w:rPr>
    </w:lvl>
  </w:abstractNum>
  <w:abstractNum w:abstractNumId="23">
    <w:nsid w:val="CC3AA195"/>
    <w:multiLevelType w:val="singleLevel"/>
    <w:tmpl w:val="CC3AA195"/>
    <w:lvl w:ilvl="0" w:tentative="0">
      <w:start w:val="1"/>
      <w:numFmt w:val="decimal"/>
      <w:lvlText w:val="%1."/>
      <w:lvlJc w:val="left"/>
      <w:pPr>
        <w:ind w:left="425" w:hanging="425"/>
      </w:pPr>
      <w:rPr>
        <w:rFonts w:hint="default"/>
      </w:rPr>
    </w:lvl>
  </w:abstractNum>
  <w:abstractNum w:abstractNumId="24">
    <w:nsid w:val="CD71EFE1"/>
    <w:multiLevelType w:val="singleLevel"/>
    <w:tmpl w:val="CD71EFE1"/>
    <w:lvl w:ilvl="0" w:tentative="0">
      <w:start w:val="1"/>
      <w:numFmt w:val="decimal"/>
      <w:suff w:val="nothing"/>
      <w:lvlText w:val="%1．"/>
      <w:lvlJc w:val="left"/>
      <w:pPr>
        <w:ind w:left="0" w:firstLine="400"/>
      </w:pPr>
      <w:rPr>
        <w:rFonts w:hint="default"/>
      </w:rPr>
    </w:lvl>
  </w:abstractNum>
  <w:abstractNum w:abstractNumId="25">
    <w:nsid w:val="CF45CE10"/>
    <w:multiLevelType w:val="singleLevel"/>
    <w:tmpl w:val="CF45CE10"/>
    <w:lvl w:ilvl="0" w:tentative="0">
      <w:start w:val="1"/>
      <w:numFmt w:val="decimal"/>
      <w:suff w:val="nothing"/>
      <w:lvlText w:val="%1．"/>
      <w:lvlJc w:val="left"/>
      <w:pPr>
        <w:ind w:left="0" w:firstLine="400"/>
      </w:pPr>
      <w:rPr>
        <w:rFonts w:hint="default"/>
      </w:rPr>
    </w:lvl>
  </w:abstractNum>
  <w:abstractNum w:abstractNumId="26">
    <w:nsid w:val="CFEA7D33"/>
    <w:multiLevelType w:val="singleLevel"/>
    <w:tmpl w:val="CFEA7D33"/>
    <w:lvl w:ilvl="0" w:tentative="0">
      <w:start w:val="1"/>
      <w:numFmt w:val="decimal"/>
      <w:suff w:val="nothing"/>
      <w:lvlText w:val="%1．"/>
      <w:lvlJc w:val="left"/>
      <w:pPr>
        <w:ind w:left="0" w:firstLine="400"/>
      </w:pPr>
      <w:rPr>
        <w:rFonts w:hint="default"/>
      </w:rPr>
    </w:lvl>
  </w:abstractNum>
  <w:abstractNum w:abstractNumId="27">
    <w:nsid w:val="D8FC750D"/>
    <w:multiLevelType w:val="singleLevel"/>
    <w:tmpl w:val="D8FC750D"/>
    <w:lvl w:ilvl="0" w:tentative="0">
      <w:start w:val="1"/>
      <w:numFmt w:val="decimal"/>
      <w:suff w:val="nothing"/>
      <w:lvlText w:val="%1．"/>
      <w:lvlJc w:val="left"/>
      <w:pPr>
        <w:ind w:left="0" w:firstLine="400"/>
      </w:pPr>
      <w:rPr>
        <w:rFonts w:hint="default"/>
      </w:rPr>
    </w:lvl>
  </w:abstractNum>
  <w:abstractNum w:abstractNumId="28">
    <w:nsid w:val="DB600202"/>
    <w:multiLevelType w:val="singleLevel"/>
    <w:tmpl w:val="DB600202"/>
    <w:lvl w:ilvl="0" w:tentative="0">
      <w:start w:val="1"/>
      <w:numFmt w:val="decimal"/>
      <w:suff w:val="nothing"/>
      <w:lvlText w:val="%1．"/>
      <w:lvlJc w:val="left"/>
      <w:pPr>
        <w:ind w:left="0" w:firstLine="400"/>
      </w:pPr>
      <w:rPr>
        <w:rFonts w:hint="default"/>
      </w:rPr>
    </w:lvl>
  </w:abstractNum>
  <w:abstractNum w:abstractNumId="29">
    <w:nsid w:val="DBBC788C"/>
    <w:multiLevelType w:val="singleLevel"/>
    <w:tmpl w:val="DBBC788C"/>
    <w:lvl w:ilvl="0" w:tentative="0">
      <w:start w:val="1"/>
      <w:numFmt w:val="decimal"/>
      <w:lvlText w:val="%1."/>
      <w:lvlJc w:val="left"/>
      <w:pPr>
        <w:ind w:left="425" w:hanging="425"/>
      </w:pPr>
      <w:rPr>
        <w:rFonts w:hint="default"/>
      </w:rPr>
    </w:lvl>
  </w:abstractNum>
  <w:abstractNum w:abstractNumId="30">
    <w:nsid w:val="DD32B90C"/>
    <w:multiLevelType w:val="singleLevel"/>
    <w:tmpl w:val="DD32B90C"/>
    <w:lvl w:ilvl="0" w:tentative="0">
      <w:start w:val="1"/>
      <w:numFmt w:val="chineseCounting"/>
      <w:suff w:val="nothing"/>
      <w:lvlText w:val="（%1）"/>
      <w:lvlJc w:val="left"/>
      <w:pPr>
        <w:ind w:left="0" w:firstLine="420"/>
      </w:pPr>
      <w:rPr>
        <w:rFonts w:hint="eastAsia"/>
      </w:rPr>
    </w:lvl>
  </w:abstractNum>
  <w:abstractNum w:abstractNumId="31">
    <w:nsid w:val="DD41A8D5"/>
    <w:multiLevelType w:val="singleLevel"/>
    <w:tmpl w:val="DD41A8D5"/>
    <w:lvl w:ilvl="0" w:tentative="0">
      <w:start w:val="1"/>
      <w:numFmt w:val="decimal"/>
      <w:suff w:val="nothing"/>
      <w:lvlText w:val="%1．"/>
      <w:lvlJc w:val="left"/>
      <w:pPr>
        <w:ind w:left="0" w:firstLine="400"/>
      </w:pPr>
      <w:rPr>
        <w:rFonts w:hint="default"/>
      </w:rPr>
    </w:lvl>
  </w:abstractNum>
  <w:abstractNum w:abstractNumId="32">
    <w:nsid w:val="DF48CB86"/>
    <w:multiLevelType w:val="singleLevel"/>
    <w:tmpl w:val="DF48CB86"/>
    <w:lvl w:ilvl="0" w:tentative="0">
      <w:start w:val="1"/>
      <w:numFmt w:val="chineseCounting"/>
      <w:suff w:val="nothing"/>
      <w:lvlText w:val="（%1）"/>
      <w:lvlJc w:val="left"/>
      <w:rPr>
        <w:rFonts w:hint="eastAsia"/>
      </w:rPr>
    </w:lvl>
  </w:abstractNum>
  <w:abstractNum w:abstractNumId="33">
    <w:nsid w:val="DF6C92A6"/>
    <w:multiLevelType w:val="singleLevel"/>
    <w:tmpl w:val="DF6C92A6"/>
    <w:lvl w:ilvl="0" w:tentative="0">
      <w:start w:val="1"/>
      <w:numFmt w:val="decimal"/>
      <w:suff w:val="nothing"/>
      <w:lvlText w:val="%1．"/>
      <w:lvlJc w:val="left"/>
      <w:pPr>
        <w:ind w:left="0" w:firstLine="400"/>
      </w:pPr>
      <w:rPr>
        <w:rFonts w:hint="default"/>
      </w:rPr>
    </w:lvl>
  </w:abstractNum>
  <w:abstractNum w:abstractNumId="34">
    <w:nsid w:val="E17D968C"/>
    <w:multiLevelType w:val="singleLevel"/>
    <w:tmpl w:val="E17D968C"/>
    <w:lvl w:ilvl="0" w:tentative="0">
      <w:start w:val="1"/>
      <w:numFmt w:val="decimal"/>
      <w:lvlText w:val="(%1)"/>
      <w:lvlJc w:val="left"/>
      <w:pPr>
        <w:ind w:left="425" w:hanging="425"/>
      </w:pPr>
      <w:rPr>
        <w:rFonts w:hint="default"/>
      </w:rPr>
    </w:lvl>
  </w:abstractNum>
  <w:abstractNum w:abstractNumId="35">
    <w:nsid w:val="E3A76FAA"/>
    <w:multiLevelType w:val="singleLevel"/>
    <w:tmpl w:val="E3A76FAA"/>
    <w:lvl w:ilvl="0" w:tentative="0">
      <w:start w:val="1"/>
      <w:numFmt w:val="chineseCounting"/>
      <w:suff w:val="nothing"/>
      <w:lvlText w:val="%1、"/>
      <w:lvlJc w:val="left"/>
      <w:pPr>
        <w:ind w:left="0" w:firstLine="420"/>
      </w:pPr>
      <w:rPr>
        <w:rFonts w:hint="eastAsia"/>
      </w:rPr>
    </w:lvl>
  </w:abstractNum>
  <w:abstractNum w:abstractNumId="36">
    <w:nsid w:val="E7D58534"/>
    <w:multiLevelType w:val="singleLevel"/>
    <w:tmpl w:val="E7D58534"/>
    <w:lvl w:ilvl="0" w:tentative="0">
      <w:start w:val="1"/>
      <w:numFmt w:val="decimal"/>
      <w:lvlText w:val="%1."/>
      <w:lvlJc w:val="left"/>
      <w:pPr>
        <w:ind w:left="425" w:hanging="425"/>
      </w:pPr>
      <w:rPr>
        <w:rFonts w:hint="default"/>
      </w:rPr>
    </w:lvl>
  </w:abstractNum>
  <w:abstractNum w:abstractNumId="37">
    <w:nsid w:val="E8533D84"/>
    <w:multiLevelType w:val="singleLevel"/>
    <w:tmpl w:val="E8533D84"/>
    <w:lvl w:ilvl="0" w:tentative="0">
      <w:start w:val="1"/>
      <w:numFmt w:val="decimal"/>
      <w:suff w:val="nothing"/>
      <w:lvlText w:val="%1．"/>
      <w:lvlJc w:val="left"/>
      <w:pPr>
        <w:ind w:left="0" w:firstLine="400"/>
      </w:pPr>
      <w:rPr>
        <w:rFonts w:hint="default"/>
      </w:rPr>
    </w:lvl>
  </w:abstractNum>
  <w:abstractNum w:abstractNumId="38">
    <w:nsid w:val="EA385B92"/>
    <w:multiLevelType w:val="singleLevel"/>
    <w:tmpl w:val="EA385B92"/>
    <w:lvl w:ilvl="0" w:tentative="0">
      <w:start w:val="1"/>
      <w:numFmt w:val="decimal"/>
      <w:lvlText w:val="%1)"/>
      <w:lvlJc w:val="left"/>
      <w:pPr>
        <w:ind w:left="425" w:hanging="425"/>
      </w:pPr>
      <w:rPr>
        <w:rFonts w:hint="default"/>
      </w:rPr>
    </w:lvl>
  </w:abstractNum>
  <w:abstractNum w:abstractNumId="39">
    <w:nsid w:val="EBC99D05"/>
    <w:multiLevelType w:val="singleLevel"/>
    <w:tmpl w:val="EBC99D05"/>
    <w:lvl w:ilvl="0" w:tentative="0">
      <w:start w:val="1"/>
      <w:numFmt w:val="decimal"/>
      <w:suff w:val="nothing"/>
      <w:lvlText w:val="%1．"/>
      <w:lvlJc w:val="left"/>
      <w:pPr>
        <w:ind w:left="0" w:firstLine="400"/>
      </w:pPr>
      <w:rPr>
        <w:rFonts w:hint="default"/>
      </w:rPr>
    </w:lvl>
  </w:abstractNum>
  <w:abstractNum w:abstractNumId="40">
    <w:nsid w:val="F14FDC63"/>
    <w:multiLevelType w:val="singleLevel"/>
    <w:tmpl w:val="F14FDC63"/>
    <w:lvl w:ilvl="0" w:tentative="0">
      <w:start w:val="1"/>
      <w:numFmt w:val="chineseCounting"/>
      <w:suff w:val="nothing"/>
      <w:lvlText w:val="（%1）"/>
      <w:lvlJc w:val="left"/>
      <w:pPr>
        <w:ind w:left="0" w:firstLine="420"/>
      </w:pPr>
      <w:rPr>
        <w:rFonts w:hint="eastAsia"/>
      </w:rPr>
    </w:lvl>
  </w:abstractNum>
  <w:abstractNum w:abstractNumId="41">
    <w:nsid w:val="F4F7063A"/>
    <w:multiLevelType w:val="singleLevel"/>
    <w:tmpl w:val="F4F7063A"/>
    <w:lvl w:ilvl="0" w:tentative="0">
      <w:start w:val="1"/>
      <w:numFmt w:val="decimal"/>
      <w:suff w:val="nothing"/>
      <w:lvlText w:val="%1．"/>
      <w:lvlJc w:val="left"/>
      <w:pPr>
        <w:ind w:left="0" w:firstLine="400"/>
      </w:pPr>
      <w:rPr>
        <w:rFonts w:hint="default"/>
      </w:rPr>
    </w:lvl>
  </w:abstractNum>
  <w:abstractNum w:abstractNumId="42">
    <w:nsid w:val="F512D0BC"/>
    <w:multiLevelType w:val="singleLevel"/>
    <w:tmpl w:val="F512D0BC"/>
    <w:lvl w:ilvl="0" w:tentative="0">
      <w:start w:val="1"/>
      <w:numFmt w:val="decimal"/>
      <w:suff w:val="nothing"/>
      <w:lvlText w:val="%1．"/>
      <w:lvlJc w:val="left"/>
      <w:pPr>
        <w:ind w:left="0" w:firstLine="400"/>
      </w:pPr>
      <w:rPr>
        <w:rFonts w:hint="default"/>
      </w:rPr>
    </w:lvl>
  </w:abstractNum>
  <w:abstractNum w:abstractNumId="43">
    <w:nsid w:val="F949DAC0"/>
    <w:multiLevelType w:val="singleLevel"/>
    <w:tmpl w:val="F949DAC0"/>
    <w:lvl w:ilvl="0" w:tentative="0">
      <w:start w:val="1"/>
      <w:numFmt w:val="chineseCounting"/>
      <w:suff w:val="nothing"/>
      <w:lvlText w:val="（%1）"/>
      <w:lvlJc w:val="left"/>
      <w:pPr>
        <w:ind w:left="0" w:firstLine="420"/>
      </w:pPr>
      <w:rPr>
        <w:rFonts w:hint="eastAsia"/>
      </w:rPr>
    </w:lvl>
  </w:abstractNum>
  <w:abstractNum w:abstractNumId="44">
    <w:nsid w:val="FA592984"/>
    <w:multiLevelType w:val="singleLevel"/>
    <w:tmpl w:val="FA592984"/>
    <w:lvl w:ilvl="0" w:tentative="0">
      <w:start w:val="1"/>
      <w:numFmt w:val="chineseCounting"/>
      <w:suff w:val="nothing"/>
      <w:lvlText w:val="（%1）"/>
      <w:lvlJc w:val="left"/>
      <w:pPr>
        <w:ind w:left="0" w:firstLine="420"/>
      </w:pPr>
      <w:rPr>
        <w:rFonts w:hint="eastAsia"/>
      </w:rPr>
    </w:lvl>
  </w:abstractNum>
  <w:abstractNum w:abstractNumId="45">
    <w:nsid w:val="FCDE0D1F"/>
    <w:multiLevelType w:val="singleLevel"/>
    <w:tmpl w:val="FCDE0D1F"/>
    <w:lvl w:ilvl="0" w:tentative="0">
      <w:start w:val="1"/>
      <w:numFmt w:val="decimal"/>
      <w:suff w:val="nothing"/>
      <w:lvlText w:val="%1．"/>
      <w:lvlJc w:val="left"/>
      <w:pPr>
        <w:ind w:left="0" w:firstLine="400"/>
      </w:pPr>
      <w:rPr>
        <w:rFonts w:hint="default"/>
      </w:rPr>
    </w:lvl>
  </w:abstractNum>
  <w:abstractNum w:abstractNumId="46">
    <w:nsid w:val="FD135F00"/>
    <w:multiLevelType w:val="singleLevel"/>
    <w:tmpl w:val="FD135F00"/>
    <w:lvl w:ilvl="0" w:tentative="0">
      <w:start w:val="1"/>
      <w:numFmt w:val="chineseCounting"/>
      <w:suff w:val="nothing"/>
      <w:lvlText w:val="（%1）"/>
      <w:lvlJc w:val="left"/>
      <w:pPr>
        <w:ind w:left="0" w:firstLine="420"/>
      </w:pPr>
      <w:rPr>
        <w:rFonts w:hint="eastAsia"/>
      </w:rPr>
    </w:lvl>
  </w:abstractNum>
  <w:abstractNum w:abstractNumId="47">
    <w:nsid w:val="FE771F54"/>
    <w:multiLevelType w:val="singleLevel"/>
    <w:tmpl w:val="FE771F54"/>
    <w:lvl w:ilvl="0" w:tentative="0">
      <w:start w:val="1"/>
      <w:numFmt w:val="decimal"/>
      <w:suff w:val="nothing"/>
      <w:lvlText w:val="%1．"/>
      <w:lvlJc w:val="left"/>
      <w:pPr>
        <w:ind w:left="0" w:firstLine="400"/>
      </w:pPr>
      <w:rPr>
        <w:rFonts w:hint="default"/>
      </w:rPr>
    </w:lvl>
  </w:abstractNum>
  <w:abstractNum w:abstractNumId="48">
    <w:nsid w:val="FF1887E8"/>
    <w:multiLevelType w:val="singleLevel"/>
    <w:tmpl w:val="FF1887E8"/>
    <w:lvl w:ilvl="0" w:tentative="0">
      <w:start w:val="1"/>
      <w:numFmt w:val="decimal"/>
      <w:suff w:val="nothing"/>
      <w:lvlText w:val="%1．"/>
      <w:lvlJc w:val="left"/>
      <w:pPr>
        <w:ind w:left="0" w:firstLine="400"/>
      </w:pPr>
      <w:rPr>
        <w:rFonts w:hint="default"/>
      </w:rPr>
    </w:lvl>
  </w:abstractNum>
  <w:abstractNum w:abstractNumId="49">
    <w:nsid w:val="058B63DD"/>
    <w:multiLevelType w:val="singleLevel"/>
    <w:tmpl w:val="058B63DD"/>
    <w:lvl w:ilvl="0" w:tentative="0">
      <w:start w:val="1"/>
      <w:numFmt w:val="decimal"/>
      <w:lvlText w:val="(%1)"/>
      <w:lvlJc w:val="left"/>
      <w:pPr>
        <w:ind w:left="425" w:hanging="425"/>
      </w:pPr>
      <w:rPr>
        <w:rFonts w:hint="default"/>
      </w:rPr>
    </w:lvl>
  </w:abstractNum>
  <w:abstractNum w:abstractNumId="50">
    <w:nsid w:val="05DBD440"/>
    <w:multiLevelType w:val="singleLevel"/>
    <w:tmpl w:val="05DBD440"/>
    <w:lvl w:ilvl="0" w:tentative="0">
      <w:start w:val="1"/>
      <w:numFmt w:val="chineseCounting"/>
      <w:suff w:val="nothing"/>
      <w:lvlText w:val="（%1）"/>
      <w:lvlJc w:val="left"/>
      <w:pPr>
        <w:ind w:left="0" w:firstLine="420"/>
      </w:pPr>
      <w:rPr>
        <w:rFonts w:hint="eastAsia"/>
      </w:rPr>
    </w:lvl>
  </w:abstractNum>
  <w:abstractNum w:abstractNumId="51">
    <w:nsid w:val="05E7F723"/>
    <w:multiLevelType w:val="singleLevel"/>
    <w:tmpl w:val="05E7F723"/>
    <w:lvl w:ilvl="0" w:tentative="0">
      <w:start w:val="1"/>
      <w:numFmt w:val="decimal"/>
      <w:lvlText w:val="%1."/>
      <w:lvlJc w:val="left"/>
      <w:pPr>
        <w:ind w:left="425" w:hanging="425"/>
      </w:pPr>
      <w:rPr>
        <w:rFonts w:hint="default"/>
      </w:rPr>
    </w:lvl>
  </w:abstractNum>
  <w:abstractNum w:abstractNumId="52">
    <w:nsid w:val="061F54E5"/>
    <w:multiLevelType w:val="singleLevel"/>
    <w:tmpl w:val="061F54E5"/>
    <w:lvl w:ilvl="0" w:tentative="0">
      <w:start w:val="1"/>
      <w:numFmt w:val="chineseCounting"/>
      <w:suff w:val="nothing"/>
      <w:lvlText w:val="（%1）"/>
      <w:lvlJc w:val="left"/>
      <w:pPr>
        <w:ind w:left="0" w:firstLine="420"/>
      </w:pPr>
      <w:rPr>
        <w:rFonts w:hint="eastAsia"/>
      </w:rPr>
    </w:lvl>
  </w:abstractNum>
  <w:abstractNum w:abstractNumId="53">
    <w:nsid w:val="07D2C488"/>
    <w:multiLevelType w:val="singleLevel"/>
    <w:tmpl w:val="07D2C488"/>
    <w:lvl w:ilvl="0" w:tentative="0">
      <w:start w:val="1"/>
      <w:numFmt w:val="chineseCounting"/>
      <w:suff w:val="nothing"/>
      <w:lvlText w:val="（%1）"/>
      <w:lvlJc w:val="left"/>
      <w:pPr>
        <w:ind w:left="0" w:firstLine="420"/>
      </w:pPr>
      <w:rPr>
        <w:rFonts w:hint="eastAsia"/>
      </w:rPr>
    </w:lvl>
  </w:abstractNum>
  <w:abstractNum w:abstractNumId="54">
    <w:nsid w:val="0B4A6617"/>
    <w:multiLevelType w:val="singleLevel"/>
    <w:tmpl w:val="0B4A6617"/>
    <w:lvl w:ilvl="0" w:tentative="0">
      <w:start w:val="1"/>
      <w:numFmt w:val="decimal"/>
      <w:lvlText w:val="%1."/>
      <w:lvlJc w:val="left"/>
      <w:pPr>
        <w:tabs>
          <w:tab w:val="left" w:pos="312"/>
        </w:tabs>
      </w:pPr>
    </w:lvl>
  </w:abstractNum>
  <w:abstractNum w:abstractNumId="55">
    <w:nsid w:val="0B63261E"/>
    <w:multiLevelType w:val="singleLevel"/>
    <w:tmpl w:val="0B63261E"/>
    <w:lvl w:ilvl="0" w:tentative="0">
      <w:start w:val="1"/>
      <w:numFmt w:val="decimal"/>
      <w:suff w:val="nothing"/>
      <w:lvlText w:val="%1．"/>
      <w:lvlJc w:val="left"/>
      <w:pPr>
        <w:ind w:left="0" w:firstLine="400"/>
      </w:pPr>
      <w:rPr>
        <w:rFonts w:hint="default"/>
      </w:rPr>
    </w:lvl>
  </w:abstractNum>
  <w:abstractNum w:abstractNumId="56">
    <w:nsid w:val="0DCA9B8E"/>
    <w:multiLevelType w:val="singleLevel"/>
    <w:tmpl w:val="0DCA9B8E"/>
    <w:lvl w:ilvl="0" w:tentative="0">
      <w:start w:val="1"/>
      <w:numFmt w:val="decimal"/>
      <w:suff w:val="nothing"/>
      <w:lvlText w:val="%1．"/>
      <w:lvlJc w:val="left"/>
      <w:pPr>
        <w:ind w:left="0" w:firstLine="400"/>
      </w:pPr>
      <w:rPr>
        <w:rFonts w:hint="default"/>
      </w:rPr>
    </w:lvl>
  </w:abstractNum>
  <w:abstractNum w:abstractNumId="57">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58">
    <w:nsid w:val="0F6FCFA7"/>
    <w:multiLevelType w:val="singleLevel"/>
    <w:tmpl w:val="0F6FCFA7"/>
    <w:lvl w:ilvl="0" w:tentative="0">
      <w:start w:val="1"/>
      <w:numFmt w:val="decimal"/>
      <w:suff w:val="nothing"/>
      <w:lvlText w:val="%1．"/>
      <w:lvlJc w:val="left"/>
      <w:pPr>
        <w:ind w:left="0" w:firstLine="400"/>
      </w:pPr>
      <w:rPr>
        <w:rFonts w:hint="default"/>
      </w:rPr>
    </w:lvl>
  </w:abstractNum>
  <w:abstractNum w:abstractNumId="59">
    <w:nsid w:val="119108E7"/>
    <w:multiLevelType w:val="singleLevel"/>
    <w:tmpl w:val="119108E7"/>
    <w:lvl w:ilvl="0" w:tentative="0">
      <w:start w:val="1"/>
      <w:numFmt w:val="chineseCounting"/>
      <w:suff w:val="nothing"/>
      <w:lvlText w:val="（%1）"/>
      <w:lvlJc w:val="left"/>
      <w:pPr>
        <w:ind w:left="0" w:firstLine="420"/>
      </w:pPr>
      <w:rPr>
        <w:rFonts w:hint="eastAsia"/>
      </w:rPr>
    </w:lvl>
  </w:abstractNum>
  <w:abstractNum w:abstractNumId="60">
    <w:nsid w:val="12A47626"/>
    <w:multiLevelType w:val="singleLevel"/>
    <w:tmpl w:val="12A47626"/>
    <w:lvl w:ilvl="0" w:tentative="0">
      <w:start w:val="1"/>
      <w:numFmt w:val="decimal"/>
      <w:lvlText w:val="(%1)"/>
      <w:lvlJc w:val="left"/>
      <w:pPr>
        <w:ind w:left="850" w:hanging="425"/>
      </w:pPr>
      <w:rPr>
        <w:rFonts w:hint="default"/>
      </w:rPr>
    </w:lvl>
  </w:abstractNum>
  <w:abstractNum w:abstractNumId="61">
    <w:nsid w:val="1306F50D"/>
    <w:multiLevelType w:val="singleLevel"/>
    <w:tmpl w:val="1306F50D"/>
    <w:lvl w:ilvl="0" w:tentative="0">
      <w:start w:val="1"/>
      <w:numFmt w:val="decimal"/>
      <w:lvlText w:val="%1."/>
      <w:lvlJc w:val="left"/>
      <w:pPr>
        <w:ind w:left="425" w:hanging="425"/>
      </w:pPr>
      <w:rPr>
        <w:rFonts w:hint="default"/>
      </w:rPr>
    </w:lvl>
  </w:abstractNum>
  <w:abstractNum w:abstractNumId="62">
    <w:nsid w:val="14AFF5A2"/>
    <w:multiLevelType w:val="singleLevel"/>
    <w:tmpl w:val="14AFF5A2"/>
    <w:lvl w:ilvl="0" w:tentative="0">
      <w:start w:val="1"/>
      <w:numFmt w:val="chineseCounting"/>
      <w:suff w:val="nothing"/>
      <w:lvlText w:val="（%1）"/>
      <w:lvlJc w:val="left"/>
      <w:pPr>
        <w:ind w:left="0" w:firstLine="420"/>
      </w:pPr>
      <w:rPr>
        <w:rFonts w:hint="eastAsia"/>
      </w:rPr>
    </w:lvl>
  </w:abstractNum>
  <w:abstractNum w:abstractNumId="63">
    <w:nsid w:val="16383232"/>
    <w:multiLevelType w:val="singleLevel"/>
    <w:tmpl w:val="16383232"/>
    <w:lvl w:ilvl="0" w:tentative="0">
      <w:start w:val="1"/>
      <w:numFmt w:val="chineseCounting"/>
      <w:suff w:val="nothing"/>
      <w:lvlText w:val="（%1）"/>
      <w:lvlJc w:val="left"/>
      <w:pPr>
        <w:ind w:left="0" w:firstLine="420"/>
      </w:pPr>
      <w:rPr>
        <w:rFonts w:hint="eastAsia"/>
      </w:rPr>
    </w:lvl>
  </w:abstractNum>
  <w:abstractNum w:abstractNumId="64">
    <w:nsid w:val="1778BF2B"/>
    <w:multiLevelType w:val="singleLevel"/>
    <w:tmpl w:val="1778BF2B"/>
    <w:lvl w:ilvl="0" w:tentative="0">
      <w:start w:val="1"/>
      <w:numFmt w:val="decimal"/>
      <w:lvlText w:val="(%1)"/>
      <w:lvlJc w:val="left"/>
      <w:pPr>
        <w:ind w:left="425" w:hanging="425"/>
      </w:pPr>
      <w:rPr>
        <w:rFonts w:hint="default"/>
      </w:rPr>
    </w:lvl>
  </w:abstractNum>
  <w:abstractNum w:abstractNumId="65">
    <w:nsid w:val="1D744F1C"/>
    <w:multiLevelType w:val="singleLevel"/>
    <w:tmpl w:val="1D744F1C"/>
    <w:lvl w:ilvl="0" w:tentative="0">
      <w:start w:val="1"/>
      <w:numFmt w:val="decimal"/>
      <w:suff w:val="nothing"/>
      <w:lvlText w:val="%1．"/>
      <w:lvlJc w:val="left"/>
      <w:pPr>
        <w:ind w:left="0" w:firstLine="400"/>
      </w:pPr>
      <w:rPr>
        <w:rFonts w:hint="default"/>
      </w:rPr>
    </w:lvl>
  </w:abstractNum>
  <w:abstractNum w:abstractNumId="66">
    <w:nsid w:val="1D9B7003"/>
    <w:multiLevelType w:val="singleLevel"/>
    <w:tmpl w:val="1D9B7003"/>
    <w:lvl w:ilvl="0" w:tentative="0">
      <w:start w:val="1"/>
      <w:numFmt w:val="decimal"/>
      <w:lvlText w:val="%1."/>
      <w:lvlJc w:val="left"/>
      <w:pPr>
        <w:ind w:left="425" w:hanging="425"/>
      </w:pPr>
      <w:rPr>
        <w:rFonts w:hint="default"/>
      </w:rPr>
    </w:lvl>
  </w:abstractNum>
  <w:abstractNum w:abstractNumId="67">
    <w:nsid w:val="1EB5D5BD"/>
    <w:multiLevelType w:val="singleLevel"/>
    <w:tmpl w:val="1EB5D5BD"/>
    <w:lvl w:ilvl="0" w:tentative="0">
      <w:start w:val="1"/>
      <w:numFmt w:val="chineseCounting"/>
      <w:suff w:val="nothing"/>
      <w:lvlText w:val="（%1）"/>
      <w:lvlJc w:val="left"/>
      <w:pPr>
        <w:ind w:left="0" w:firstLine="420"/>
      </w:pPr>
      <w:rPr>
        <w:rFonts w:hint="eastAsia"/>
      </w:rPr>
    </w:lvl>
  </w:abstractNum>
  <w:abstractNum w:abstractNumId="68">
    <w:nsid w:val="1F772266"/>
    <w:multiLevelType w:val="singleLevel"/>
    <w:tmpl w:val="1F772266"/>
    <w:lvl w:ilvl="0" w:tentative="0">
      <w:start w:val="1"/>
      <w:numFmt w:val="decimal"/>
      <w:lvlText w:val="(%1)"/>
      <w:lvlJc w:val="left"/>
      <w:pPr>
        <w:ind w:left="425" w:hanging="425"/>
      </w:pPr>
      <w:rPr>
        <w:rFonts w:hint="default"/>
      </w:rPr>
    </w:lvl>
  </w:abstractNum>
  <w:abstractNum w:abstractNumId="69">
    <w:nsid w:val="1F84A5FB"/>
    <w:multiLevelType w:val="singleLevel"/>
    <w:tmpl w:val="1F84A5FB"/>
    <w:lvl w:ilvl="0" w:tentative="0">
      <w:start w:val="1"/>
      <w:numFmt w:val="decimal"/>
      <w:lvlText w:val="(%1)"/>
      <w:lvlJc w:val="left"/>
      <w:pPr>
        <w:ind w:left="850" w:hanging="425"/>
      </w:pPr>
      <w:rPr>
        <w:rFonts w:hint="default"/>
      </w:rPr>
    </w:lvl>
  </w:abstractNum>
  <w:abstractNum w:abstractNumId="70">
    <w:nsid w:val="20B6206C"/>
    <w:multiLevelType w:val="singleLevel"/>
    <w:tmpl w:val="20B6206C"/>
    <w:lvl w:ilvl="0" w:tentative="0">
      <w:start w:val="1"/>
      <w:numFmt w:val="decimal"/>
      <w:suff w:val="nothing"/>
      <w:lvlText w:val="%1．"/>
      <w:lvlJc w:val="left"/>
      <w:pPr>
        <w:ind w:left="0" w:firstLine="400"/>
      </w:pPr>
      <w:rPr>
        <w:rFonts w:hint="default"/>
      </w:rPr>
    </w:lvl>
  </w:abstractNum>
  <w:abstractNum w:abstractNumId="71">
    <w:nsid w:val="225D25A7"/>
    <w:multiLevelType w:val="singleLevel"/>
    <w:tmpl w:val="225D25A7"/>
    <w:lvl w:ilvl="0" w:tentative="0">
      <w:start w:val="1"/>
      <w:numFmt w:val="chineseCounting"/>
      <w:suff w:val="nothing"/>
      <w:lvlText w:val="（%1）"/>
      <w:lvlJc w:val="left"/>
      <w:pPr>
        <w:ind w:left="0" w:firstLine="420"/>
      </w:pPr>
      <w:rPr>
        <w:rFonts w:hint="eastAsia"/>
      </w:rPr>
    </w:lvl>
  </w:abstractNum>
  <w:abstractNum w:abstractNumId="72">
    <w:nsid w:val="22FEE039"/>
    <w:multiLevelType w:val="singleLevel"/>
    <w:tmpl w:val="22FEE039"/>
    <w:lvl w:ilvl="0" w:tentative="0">
      <w:start w:val="1"/>
      <w:numFmt w:val="decimal"/>
      <w:lvlText w:val="%1."/>
      <w:lvlJc w:val="left"/>
      <w:pPr>
        <w:ind w:left="425" w:hanging="425"/>
      </w:pPr>
      <w:rPr>
        <w:rFonts w:hint="default"/>
      </w:rPr>
    </w:lvl>
  </w:abstractNum>
  <w:abstractNum w:abstractNumId="73">
    <w:nsid w:val="25D464AD"/>
    <w:multiLevelType w:val="singleLevel"/>
    <w:tmpl w:val="25D464AD"/>
    <w:lvl w:ilvl="0" w:tentative="0">
      <w:start w:val="1"/>
      <w:numFmt w:val="chineseCounting"/>
      <w:suff w:val="nothing"/>
      <w:lvlText w:val="（%1）"/>
      <w:lvlJc w:val="left"/>
      <w:pPr>
        <w:ind w:left="0" w:firstLine="420"/>
      </w:pPr>
      <w:rPr>
        <w:rFonts w:hint="eastAsia"/>
      </w:rPr>
    </w:lvl>
  </w:abstractNum>
  <w:abstractNum w:abstractNumId="74">
    <w:nsid w:val="2673C02F"/>
    <w:multiLevelType w:val="singleLevel"/>
    <w:tmpl w:val="2673C02F"/>
    <w:lvl w:ilvl="0" w:tentative="0">
      <w:start w:val="1"/>
      <w:numFmt w:val="decimal"/>
      <w:suff w:val="nothing"/>
      <w:lvlText w:val="%1．"/>
      <w:lvlJc w:val="left"/>
      <w:pPr>
        <w:ind w:left="0" w:firstLine="400"/>
      </w:pPr>
      <w:rPr>
        <w:rFonts w:hint="default"/>
      </w:rPr>
    </w:lvl>
  </w:abstractNum>
  <w:abstractNum w:abstractNumId="75">
    <w:nsid w:val="27EC527D"/>
    <w:multiLevelType w:val="singleLevel"/>
    <w:tmpl w:val="27EC527D"/>
    <w:lvl w:ilvl="0" w:tentative="0">
      <w:start w:val="1"/>
      <w:numFmt w:val="decimal"/>
      <w:lvlText w:val="%1."/>
      <w:lvlJc w:val="left"/>
      <w:pPr>
        <w:ind w:left="425" w:hanging="425"/>
      </w:pPr>
      <w:rPr>
        <w:rFonts w:hint="default"/>
      </w:rPr>
    </w:lvl>
  </w:abstractNum>
  <w:abstractNum w:abstractNumId="76">
    <w:nsid w:val="2C50B5E9"/>
    <w:multiLevelType w:val="singleLevel"/>
    <w:tmpl w:val="2C50B5E9"/>
    <w:lvl w:ilvl="0" w:tentative="0">
      <w:start w:val="1"/>
      <w:numFmt w:val="decimal"/>
      <w:lvlText w:val="%1."/>
      <w:lvlJc w:val="left"/>
      <w:pPr>
        <w:ind w:left="425" w:hanging="425"/>
      </w:pPr>
      <w:rPr>
        <w:rFonts w:hint="default"/>
      </w:rPr>
    </w:lvl>
  </w:abstractNum>
  <w:abstractNum w:abstractNumId="77">
    <w:nsid w:val="2E00FF58"/>
    <w:multiLevelType w:val="singleLevel"/>
    <w:tmpl w:val="2E00FF58"/>
    <w:lvl w:ilvl="0" w:tentative="0">
      <w:start w:val="1"/>
      <w:numFmt w:val="chineseCounting"/>
      <w:suff w:val="nothing"/>
      <w:lvlText w:val="（%1）"/>
      <w:lvlJc w:val="left"/>
      <w:pPr>
        <w:ind w:left="0" w:firstLine="420"/>
      </w:pPr>
      <w:rPr>
        <w:rFonts w:hint="eastAsia"/>
      </w:rPr>
    </w:lvl>
  </w:abstractNum>
  <w:abstractNum w:abstractNumId="78">
    <w:nsid w:val="2E59BD2B"/>
    <w:multiLevelType w:val="singleLevel"/>
    <w:tmpl w:val="2E59BD2B"/>
    <w:lvl w:ilvl="0" w:tentative="0">
      <w:start w:val="1"/>
      <w:numFmt w:val="decimal"/>
      <w:suff w:val="nothing"/>
      <w:lvlText w:val="%1．"/>
      <w:lvlJc w:val="left"/>
      <w:pPr>
        <w:ind w:left="0" w:firstLine="400"/>
      </w:pPr>
      <w:rPr>
        <w:rFonts w:hint="default"/>
      </w:rPr>
    </w:lvl>
  </w:abstractNum>
  <w:abstractNum w:abstractNumId="79">
    <w:nsid w:val="32CE54B8"/>
    <w:multiLevelType w:val="singleLevel"/>
    <w:tmpl w:val="32CE54B8"/>
    <w:lvl w:ilvl="0" w:tentative="0">
      <w:start w:val="1"/>
      <w:numFmt w:val="chineseCounting"/>
      <w:suff w:val="nothing"/>
      <w:lvlText w:val="（%1）"/>
      <w:lvlJc w:val="left"/>
      <w:pPr>
        <w:ind w:left="0" w:firstLine="420"/>
      </w:pPr>
      <w:rPr>
        <w:rFonts w:hint="eastAsia"/>
      </w:rPr>
    </w:lvl>
  </w:abstractNum>
  <w:abstractNum w:abstractNumId="80">
    <w:nsid w:val="32D033BB"/>
    <w:multiLevelType w:val="singleLevel"/>
    <w:tmpl w:val="32D033BB"/>
    <w:lvl w:ilvl="0" w:tentative="0">
      <w:start w:val="1"/>
      <w:numFmt w:val="chineseCounting"/>
      <w:suff w:val="nothing"/>
      <w:lvlText w:val="（%1）"/>
      <w:lvlJc w:val="left"/>
      <w:pPr>
        <w:ind w:left="0" w:firstLine="420"/>
      </w:pPr>
      <w:rPr>
        <w:rFonts w:hint="eastAsia"/>
      </w:rPr>
    </w:lvl>
  </w:abstractNum>
  <w:abstractNum w:abstractNumId="81">
    <w:nsid w:val="3466439D"/>
    <w:multiLevelType w:val="singleLevel"/>
    <w:tmpl w:val="3466439D"/>
    <w:lvl w:ilvl="0" w:tentative="0">
      <w:start w:val="1"/>
      <w:numFmt w:val="chineseCounting"/>
      <w:suff w:val="nothing"/>
      <w:lvlText w:val="（%1）"/>
      <w:lvlJc w:val="left"/>
      <w:pPr>
        <w:ind w:left="0" w:firstLine="420"/>
      </w:pPr>
      <w:rPr>
        <w:rFonts w:hint="eastAsia"/>
      </w:rPr>
    </w:lvl>
  </w:abstractNum>
  <w:abstractNum w:abstractNumId="82">
    <w:nsid w:val="34A45ACF"/>
    <w:multiLevelType w:val="singleLevel"/>
    <w:tmpl w:val="34A45ACF"/>
    <w:lvl w:ilvl="0" w:tentative="0">
      <w:start w:val="1"/>
      <w:numFmt w:val="decimalEnclosedCircleChinese"/>
      <w:suff w:val="nothing"/>
      <w:lvlText w:val="%1　"/>
      <w:lvlJc w:val="left"/>
      <w:pPr>
        <w:ind w:left="0" w:firstLine="400"/>
      </w:pPr>
      <w:rPr>
        <w:rFonts w:hint="eastAsia"/>
      </w:rPr>
    </w:lvl>
  </w:abstractNum>
  <w:abstractNum w:abstractNumId="83">
    <w:nsid w:val="35430AD5"/>
    <w:multiLevelType w:val="singleLevel"/>
    <w:tmpl w:val="35430AD5"/>
    <w:lvl w:ilvl="0" w:tentative="0">
      <w:start w:val="1"/>
      <w:numFmt w:val="chineseCounting"/>
      <w:suff w:val="nothing"/>
      <w:lvlText w:val="（%1）"/>
      <w:lvlJc w:val="left"/>
      <w:pPr>
        <w:ind w:left="0" w:firstLine="420"/>
      </w:pPr>
      <w:rPr>
        <w:rFonts w:hint="eastAsia"/>
      </w:rPr>
    </w:lvl>
  </w:abstractNum>
  <w:abstractNum w:abstractNumId="84">
    <w:nsid w:val="380CD4EA"/>
    <w:multiLevelType w:val="singleLevel"/>
    <w:tmpl w:val="380CD4EA"/>
    <w:lvl w:ilvl="0" w:tentative="0">
      <w:start w:val="1"/>
      <w:numFmt w:val="decimal"/>
      <w:suff w:val="nothing"/>
      <w:lvlText w:val="%1．"/>
      <w:lvlJc w:val="left"/>
      <w:pPr>
        <w:ind w:left="0" w:firstLine="400"/>
      </w:pPr>
      <w:rPr>
        <w:rFonts w:hint="default"/>
      </w:rPr>
    </w:lvl>
  </w:abstractNum>
  <w:abstractNum w:abstractNumId="85">
    <w:nsid w:val="3858CDF6"/>
    <w:multiLevelType w:val="singleLevel"/>
    <w:tmpl w:val="3858CDF6"/>
    <w:lvl w:ilvl="0" w:tentative="0">
      <w:start w:val="1"/>
      <w:numFmt w:val="decimal"/>
      <w:lvlText w:val="(%1)"/>
      <w:lvlJc w:val="left"/>
      <w:pPr>
        <w:ind w:left="425" w:hanging="425"/>
      </w:pPr>
      <w:rPr>
        <w:rFonts w:hint="default"/>
      </w:rPr>
    </w:lvl>
  </w:abstractNum>
  <w:abstractNum w:abstractNumId="86">
    <w:nsid w:val="390603E2"/>
    <w:multiLevelType w:val="singleLevel"/>
    <w:tmpl w:val="390603E2"/>
    <w:lvl w:ilvl="0" w:tentative="0">
      <w:start w:val="1"/>
      <w:numFmt w:val="chineseCounting"/>
      <w:suff w:val="nothing"/>
      <w:lvlText w:val="（%1）"/>
      <w:lvlJc w:val="left"/>
      <w:pPr>
        <w:ind w:left="0" w:firstLine="420"/>
      </w:pPr>
      <w:rPr>
        <w:rFonts w:hint="eastAsia"/>
      </w:rPr>
    </w:lvl>
  </w:abstractNum>
  <w:abstractNum w:abstractNumId="87">
    <w:nsid w:val="39A66405"/>
    <w:multiLevelType w:val="multilevel"/>
    <w:tmpl w:val="39A66405"/>
    <w:lvl w:ilvl="0" w:tentative="0">
      <w:start w:val="1"/>
      <w:numFmt w:val="decimal"/>
      <w:lvlText w:val="%1）"/>
      <w:lvlJc w:val="left"/>
      <w:pPr>
        <w:ind w:left="330" w:hanging="3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3C162563"/>
    <w:multiLevelType w:val="singleLevel"/>
    <w:tmpl w:val="3C162563"/>
    <w:lvl w:ilvl="0" w:tentative="0">
      <w:start w:val="1"/>
      <w:numFmt w:val="chineseCounting"/>
      <w:suff w:val="nothing"/>
      <w:lvlText w:val="%1、"/>
      <w:lvlJc w:val="left"/>
      <w:pPr>
        <w:ind w:left="0" w:firstLine="420"/>
      </w:pPr>
      <w:rPr>
        <w:rFonts w:hint="eastAsia"/>
      </w:rPr>
    </w:lvl>
  </w:abstractNum>
  <w:abstractNum w:abstractNumId="89">
    <w:nsid w:val="3F8537CA"/>
    <w:multiLevelType w:val="singleLevel"/>
    <w:tmpl w:val="3F8537CA"/>
    <w:lvl w:ilvl="0" w:tentative="0">
      <w:start w:val="1"/>
      <w:numFmt w:val="chineseCounting"/>
      <w:suff w:val="nothing"/>
      <w:lvlText w:val="（%1）"/>
      <w:lvlJc w:val="left"/>
      <w:pPr>
        <w:ind w:left="0" w:firstLine="420"/>
      </w:pPr>
      <w:rPr>
        <w:rFonts w:hint="eastAsia"/>
      </w:rPr>
    </w:lvl>
  </w:abstractNum>
  <w:abstractNum w:abstractNumId="90">
    <w:nsid w:val="3F8D0683"/>
    <w:multiLevelType w:val="singleLevel"/>
    <w:tmpl w:val="3F8D0683"/>
    <w:lvl w:ilvl="0" w:tentative="0">
      <w:start w:val="1"/>
      <w:numFmt w:val="decimal"/>
      <w:lvlText w:val="(%1)"/>
      <w:lvlJc w:val="left"/>
      <w:pPr>
        <w:ind w:left="425" w:hanging="425"/>
      </w:pPr>
      <w:rPr>
        <w:rFonts w:hint="default"/>
      </w:rPr>
    </w:lvl>
  </w:abstractNum>
  <w:abstractNum w:abstractNumId="91">
    <w:nsid w:val="423EA509"/>
    <w:multiLevelType w:val="singleLevel"/>
    <w:tmpl w:val="423EA509"/>
    <w:lvl w:ilvl="0" w:tentative="0">
      <w:start w:val="1"/>
      <w:numFmt w:val="decimal"/>
      <w:suff w:val="nothing"/>
      <w:lvlText w:val="%1．"/>
      <w:lvlJc w:val="left"/>
      <w:pPr>
        <w:ind w:left="0" w:firstLine="400"/>
      </w:pPr>
      <w:rPr>
        <w:rFonts w:hint="default"/>
      </w:rPr>
    </w:lvl>
  </w:abstractNum>
  <w:abstractNum w:abstractNumId="92">
    <w:nsid w:val="42E78192"/>
    <w:multiLevelType w:val="singleLevel"/>
    <w:tmpl w:val="42E78192"/>
    <w:lvl w:ilvl="0" w:tentative="0">
      <w:start w:val="1"/>
      <w:numFmt w:val="decimal"/>
      <w:suff w:val="nothing"/>
      <w:lvlText w:val="%1．"/>
      <w:lvlJc w:val="left"/>
      <w:pPr>
        <w:ind w:left="0" w:firstLine="400"/>
      </w:pPr>
      <w:rPr>
        <w:rFonts w:hint="default"/>
      </w:rPr>
    </w:lvl>
  </w:abstractNum>
  <w:abstractNum w:abstractNumId="93">
    <w:nsid w:val="4878DE39"/>
    <w:multiLevelType w:val="singleLevel"/>
    <w:tmpl w:val="4878DE39"/>
    <w:lvl w:ilvl="0" w:tentative="0">
      <w:start w:val="1"/>
      <w:numFmt w:val="decimal"/>
      <w:suff w:val="nothing"/>
      <w:lvlText w:val="%1．"/>
      <w:lvlJc w:val="left"/>
      <w:pPr>
        <w:ind w:left="0" w:firstLine="400"/>
      </w:pPr>
      <w:rPr>
        <w:rFonts w:hint="default"/>
      </w:rPr>
    </w:lvl>
  </w:abstractNum>
  <w:abstractNum w:abstractNumId="94">
    <w:nsid w:val="52967035"/>
    <w:multiLevelType w:val="singleLevel"/>
    <w:tmpl w:val="52967035"/>
    <w:lvl w:ilvl="0" w:tentative="0">
      <w:start w:val="1"/>
      <w:numFmt w:val="decimal"/>
      <w:suff w:val="nothing"/>
      <w:lvlText w:val="%1．"/>
      <w:lvlJc w:val="left"/>
      <w:pPr>
        <w:ind w:left="0" w:firstLine="400"/>
      </w:pPr>
      <w:rPr>
        <w:rFonts w:hint="default"/>
      </w:rPr>
    </w:lvl>
  </w:abstractNum>
  <w:abstractNum w:abstractNumId="95">
    <w:nsid w:val="5BE338C7"/>
    <w:multiLevelType w:val="singleLevel"/>
    <w:tmpl w:val="5BE338C7"/>
    <w:lvl w:ilvl="0" w:tentative="0">
      <w:start w:val="1"/>
      <w:numFmt w:val="decimal"/>
      <w:lvlText w:val="%1."/>
      <w:lvlJc w:val="left"/>
      <w:pPr>
        <w:ind w:left="425" w:hanging="425"/>
      </w:pPr>
      <w:rPr>
        <w:rFonts w:hint="default"/>
      </w:rPr>
    </w:lvl>
  </w:abstractNum>
  <w:abstractNum w:abstractNumId="96">
    <w:nsid w:val="5E106288"/>
    <w:multiLevelType w:val="singleLevel"/>
    <w:tmpl w:val="5E106288"/>
    <w:lvl w:ilvl="0" w:tentative="0">
      <w:start w:val="1"/>
      <w:numFmt w:val="decimal"/>
      <w:suff w:val="nothing"/>
      <w:lvlText w:val="%1．"/>
      <w:lvlJc w:val="left"/>
      <w:pPr>
        <w:ind w:left="0" w:firstLine="400"/>
      </w:pPr>
      <w:rPr>
        <w:rFonts w:hint="default"/>
      </w:rPr>
    </w:lvl>
  </w:abstractNum>
  <w:abstractNum w:abstractNumId="97">
    <w:nsid w:val="5EB2154B"/>
    <w:multiLevelType w:val="singleLevel"/>
    <w:tmpl w:val="5EB2154B"/>
    <w:lvl w:ilvl="0" w:tentative="0">
      <w:start w:val="1"/>
      <w:numFmt w:val="chineseCounting"/>
      <w:suff w:val="nothing"/>
      <w:lvlText w:val="（%1）"/>
      <w:lvlJc w:val="left"/>
      <w:pPr>
        <w:ind w:left="0" w:firstLine="420"/>
      </w:pPr>
      <w:rPr>
        <w:rFonts w:hint="eastAsia"/>
      </w:rPr>
    </w:lvl>
  </w:abstractNum>
  <w:abstractNum w:abstractNumId="98">
    <w:nsid w:val="62F01DE2"/>
    <w:multiLevelType w:val="singleLevel"/>
    <w:tmpl w:val="62F01DE2"/>
    <w:lvl w:ilvl="0" w:tentative="0">
      <w:start w:val="1"/>
      <w:numFmt w:val="decimal"/>
      <w:suff w:val="nothing"/>
      <w:lvlText w:val="%1．"/>
      <w:lvlJc w:val="left"/>
      <w:pPr>
        <w:ind w:left="0" w:firstLine="400"/>
      </w:pPr>
      <w:rPr>
        <w:rFonts w:hint="default"/>
      </w:rPr>
    </w:lvl>
  </w:abstractNum>
  <w:abstractNum w:abstractNumId="99">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00">
    <w:nsid w:val="643E49A9"/>
    <w:multiLevelType w:val="singleLevel"/>
    <w:tmpl w:val="643E49A9"/>
    <w:lvl w:ilvl="0" w:tentative="0">
      <w:start w:val="1"/>
      <w:numFmt w:val="decimal"/>
      <w:suff w:val="nothing"/>
      <w:lvlText w:val="%1．"/>
      <w:lvlJc w:val="left"/>
      <w:pPr>
        <w:ind w:left="0" w:firstLine="400"/>
      </w:pPr>
      <w:rPr>
        <w:rFonts w:hint="default"/>
      </w:rPr>
    </w:lvl>
  </w:abstractNum>
  <w:abstractNum w:abstractNumId="101">
    <w:nsid w:val="6611532F"/>
    <w:multiLevelType w:val="singleLevel"/>
    <w:tmpl w:val="6611532F"/>
    <w:lvl w:ilvl="0" w:tentative="0">
      <w:start w:val="1"/>
      <w:numFmt w:val="decimal"/>
      <w:lvlText w:val="(%1)"/>
      <w:lvlJc w:val="left"/>
      <w:pPr>
        <w:ind w:left="425" w:hanging="425"/>
      </w:pPr>
      <w:rPr>
        <w:rFonts w:hint="default"/>
      </w:rPr>
    </w:lvl>
  </w:abstractNum>
  <w:abstractNum w:abstractNumId="102">
    <w:nsid w:val="66DDD653"/>
    <w:multiLevelType w:val="singleLevel"/>
    <w:tmpl w:val="66DDD653"/>
    <w:lvl w:ilvl="0" w:tentative="0">
      <w:start w:val="1"/>
      <w:numFmt w:val="chineseCounting"/>
      <w:suff w:val="space"/>
      <w:lvlText w:val="第%1章"/>
      <w:lvlJc w:val="left"/>
      <w:rPr>
        <w:rFonts w:hint="eastAsia"/>
      </w:rPr>
    </w:lvl>
  </w:abstractNum>
  <w:abstractNum w:abstractNumId="103">
    <w:nsid w:val="6B9B7BFA"/>
    <w:multiLevelType w:val="singleLevel"/>
    <w:tmpl w:val="6B9B7BFA"/>
    <w:lvl w:ilvl="0" w:tentative="0">
      <w:start w:val="1"/>
      <w:numFmt w:val="decimalEnclosedCircleChinese"/>
      <w:suff w:val="nothing"/>
      <w:lvlText w:val="%1　"/>
      <w:lvlJc w:val="left"/>
      <w:pPr>
        <w:ind w:left="0" w:firstLine="400"/>
      </w:pPr>
      <w:rPr>
        <w:rFonts w:hint="eastAsia"/>
      </w:rPr>
    </w:lvl>
  </w:abstractNum>
  <w:abstractNum w:abstractNumId="104">
    <w:nsid w:val="6E230785"/>
    <w:multiLevelType w:val="multilevel"/>
    <w:tmpl w:val="6E230785"/>
    <w:lvl w:ilvl="0" w:tentative="0">
      <w:start w:val="1"/>
      <w:numFmt w:val="bullet"/>
      <w:pStyle w:val="88"/>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5">
    <w:nsid w:val="6F1DE3E4"/>
    <w:multiLevelType w:val="singleLevel"/>
    <w:tmpl w:val="6F1DE3E4"/>
    <w:lvl w:ilvl="0" w:tentative="0">
      <w:start w:val="1"/>
      <w:numFmt w:val="chineseCounting"/>
      <w:suff w:val="nothing"/>
      <w:lvlText w:val="%1、"/>
      <w:lvlJc w:val="left"/>
      <w:pPr>
        <w:ind w:left="0" w:firstLine="420"/>
      </w:pPr>
      <w:rPr>
        <w:rFonts w:hint="eastAsia"/>
      </w:rPr>
    </w:lvl>
  </w:abstractNum>
  <w:abstractNum w:abstractNumId="106">
    <w:nsid w:val="6F713F6F"/>
    <w:multiLevelType w:val="singleLevel"/>
    <w:tmpl w:val="6F713F6F"/>
    <w:lvl w:ilvl="0" w:tentative="0">
      <w:start w:val="1"/>
      <w:numFmt w:val="decimal"/>
      <w:lvlText w:val="%1)"/>
      <w:lvlJc w:val="left"/>
      <w:pPr>
        <w:ind w:left="425" w:hanging="425"/>
      </w:pPr>
      <w:rPr>
        <w:rFonts w:hint="default"/>
      </w:rPr>
    </w:lvl>
  </w:abstractNum>
  <w:abstractNum w:abstractNumId="107">
    <w:nsid w:val="70614453"/>
    <w:multiLevelType w:val="singleLevel"/>
    <w:tmpl w:val="70614453"/>
    <w:lvl w:ilvl="0" w:tentative="0">
      <w:start w:val="1"/>
      <w:numFmt w:val="decimal"/>
      <w:suff w:val="nothing"/>
      <w:lvlText w:val="%1．"/>
      <w:lvlJc w:val="left"/>
      <w:pPr>
        <w:ind w:left="0" w:firstLine="400"/>
      </w:pPr>
      <w:rPr>
        <w:rFonts w:hint="default"/>
      </w:rPr>
    </w:lvl>
  </w:abstractNum>
  <w:abstractNum w:abstractNumId="108">
    <w:nsid w:val="72D9D7A1"/>
    <w:multiLevelType w:val="singleLevel"/>
    <w:tmpl w:val="72D9D7A1"/>
    <w:lvl w:ilvl="0" w:tentative="0">
      <w:start w:val="1"/>
      <w:numFmt w:val="decimal"/>
      <w:lvlText w:val="(%1)"/>
      <w:lvlJc w:val="left"/>
      <w:pPr>
        <w:ind w:left="850" w:hanging="425"/>
      </w:pPr>
      <w:rPr>
        <w:rFonts w:hint="default"/>
      </w:rPr>
    </w:lvl>
  </w:abstractNum>
  <w:abstractNum w:abstractNumId="109">
    <w:nsid w:val="7361D99B"/>
    <w:multiLevelType w:val="singleLevel"/>
    <w:tmpl w:val="7361D99B"/>
    <w:lvl w:ilvl="0" w:tentative="0">
      <w:start w:val="1"/>
      <w:numFmt w:val="decimal"/>
      <w:suff w:val="nothing"/>
      <w:lvlText w:val="%1．"/>
      <w:lvlJc w:val="left"/>
      <w:pPr>
        <w:ind w:left="0" w:firstLine="400"/>
      </w:pPr>
      <w:rPr>
        <w:rFonts w:hint="default"/>
      </w:rPr>
    </w:lvl>
  </w:abstractNum>
  <w:abstractNum w:abstractNumId="110">
    <w:nsid w:val="75895E0D"/>
    <w:multiLevelType w:val="singleLevel"/>
    <w:tmpl w:val="75895E0D"/>
    <w:lvl w:ilvl="0" w:tentative="0">
      <w:start w:val="1"/>
      <w:numFmt w:val="decimal"/>
      <w:lvlText w:val="(%1)"/>
      <w:lvlJc w:val="left"/>
      <w:pPr>
        <w:ind w:left="850" w:hanging="425"/>
      </w:pPr>
      <w:rPr>
        <w:rFonts w:hint="default"/>
      </w:rPr>
    </w:lvl>
  </w:abstractNum>
  <w:abstractNum w:abstractNumId="111">
    <w:nsid w:val="75B32F3B"/>
    <w:multiLevelType w:val="singleLevel"/>
    <w:tmpl w:val="75B32F3B"/>
    <w:lvl w:ilvl="0" w:tentative="0">
      <w:start w:val="1"/>
      <w:numFmt w:val="chineseCounting"/>
      <w:suff w:val="nothing"/>
      <w:lvlText w:val="（%1）"/>
      <w:lvlJc w:val="left"/>
      <w:pPr>
        <w:ind w:left="0" w:firstLine="420"/>
      </w:pPr>
      <w:rPr>
        <w:rFonts w:hint="eastAsia"/>
      </w:rPr>
    </w:lvl>
  </w:abstractNum>
  <w:abstractNum w:abstractNumId="112">
    <w:nsid w:val="7B9BAC6E"/>
    <w:multiLevelType w:val="singleLevel"/>
    <w:tmpl w:val="7B9BAC6E"/>
    <w:lvl w:ilvl="0" w:tentative="0">
      <w:start w:val="1"/>
      <w:numFmt w:val="chineseCounting"/>
      <w:suff w:val="nothing"/>
      <w:lvlText w:val="（%1）"/>
      <w:lvlJc w:val="left"/>
      <w:pPr>
        <w:ind w:left="0" w:firstLine="420"/>
      </w:pPr>
      <w:rPr>
        <w:rFonts w:hint="eastAsia"/>
      </w:rPr>
    </w:lvl>
  </w:abstractNum>
  <w:abstractNum w:abstractNumId="113">
    <w:nsid w:val="7CE6F345"/>
    <w:multiLevelType w:val="singleLevel"/>
    <w:tmpl w:val="7CE6F345"/>
    <w:lvl w:ilvl="0" w:tentative="0">
      <w:start w:val="1"/>
      <w:numFmt w:val="decimal"/>
      <w:lvlText w:val="%1."/>
      <w:lvlJc w:val="left"/>
      <w:pPr>
        <w:ind w:left="425" w:hanging="425"/>
      </w:pPr>
      <w:rPr>
        <w:rFonts w:hint="default"/>
      </w:rPr>
    </w:lvl>
  </w:abstractNum>
  <w:abstractNum w:abstractNumId="114">
    <w:nsid w:val="7FC37635"/>
    <w:multiLevelType w:val="singleLevel"/>
    <w:tmpl w:val="7FC37635"/>
    <w:lvl w:ilvl="0" w:tentative="0">
      <w:start w:val="1"/>
      <w:numFmt w:val="decimal"/>
      <w:lvlText w:val="(%1)"/>
      <w:lvlJc w:val="left"/>
      <w:pPr>
        <w:ind w:left="850" w:hanging="425"/>
      </w:pPr>
      <w:rPr>
        <w:rFonts w:hint="default"/>
      </w:rPr>
    </w:lvl>
  </w:abstractNum>
  <w:num w:numId="1">
    <w:abstractNumId w:val="99"/>
  </w:num>
  <w:num w:numId="2">
    <w:abstractNumId w:val="57"/>
  </w:num>
  <w:num w:numId="3">
    <w:abstractNumId w:val="104"/>
  </w:num>
  <w:num w:numId="4">
    <w:abstractNumId w:val="102"/>
  </w:num>
  <w:num w:numId="5">
    <w:abstractNumId w:val="105"/>
  </w:num>
  <w:num w:numId="6">
    <w:abstractNumId w:val="22"/>
  </w:num>
  <w:num w:numId="7">
    <w:abstractNumId w:val="45"/>
  </w:num>
  <w:num w:numId="8">
    <w:abstractNumId w:val="90"/>
  </w:num>
  <w:num w:numId="9">
    <w:abstractNumId w:val="12"/>
  </w:num>
  <w:num w:numId="10">
    <w:abstractNumId w:val="35"/>
  </w:num>
  <w:num w:numId="11">
    <w:abstractNumId w:val="47"/>
  </w:num>
  <w:num w:numId="12">
    <w:abstractNumId w:val="55"/>
  </w:num>
  <w:num w:numId="13">
    <w:abstractNumId w:val="93"/>
  </w:num>
  <w:num w:numId="14">
    <w:abstractNumId w:val="74"/>
  </w:num>
  <w:num w:numId="15">
    <w:abstractNumId w:val="109"/>
  </w:num>
  <w:num w:numId="16">
    <w:abstractNumId w:val="18"/>
  </w:num>
  <w:num w:numId="17">
    <w:abstractNumId w:val="91"/>
  </w:num>
  <w:num w:numId="18">
    <w:abstractNumId w:val="32"/>
  </w:num>
  <w:num w:numId="19">
    <w:abstractNumId w:val="27"/>
  </w:num>
  <w:num w:numId="20">
    <w:abstractNumId w:val="58"/>
  </w:num>
  <w:num w:numId="21">
    <w:abstractNumId w:val="65"/>
  </w:num>
  <w:num w:numId="22">
    <w:abstractNumId w:val="19"/>
  </w:num>
  <w:num w:numId="23">
    <w:abstractNumId w:val="48"/>
  </w:num>
  <w:num w:numId="24">
    <w:abstractNumId w:val="62"/>
  </w:num>
  <w:num w:numId="25">
    <w:abstractNumId w:val="77"/>
  </w:num>
  <w:num w:numId="26">
    <w:abstractNumId w:val="11"/>
  </w:num>
  <w:num w:numId="27">
    <w:abstractNumId w:val="108"/>
  </w:num>
  <w:num w:numId="28">
    <w:abstractNumId w:val="114"/>
  </w:num>
  <w:num w:numId="29">
    <w:abstractNumId w:val="100"/>
  </w:num>
  <w:num w:numId="30">
    <w:abstractNumId w:val="56"/>
  </w:num>
  <w:num w:numId="31">
    <w:abstractNumId w:val="94"/>
  </w:num>
  <w:num w:numId="32">
    <w:abstractNumId w:val="52"/>
  </w:num>
  <w:num w:numId="33">
    <w:abstractNumId w:val="37"/>
  </w:num>
  <w:num w:numId="34">
    <w:abstractNumId w:val="43"/>
  </w:num>
  <w:num w:numId="35">
    <w:abstractNumId w:val="89"/>
  </w:num>
  <w:num w:numId="36">
    <w:abstractNumId w:val="2"/>
  </w:num>
  <w:num w:numId="37">
    <w:abstractNumId w:val="17"/>
  </w:num>
  <w:num w:numId="38">
    <w:abstractNumId w:val="8"/>
  </w:num>
  <w:num w:numId="39">
    <w:abstractNumId w:val="92"/>
  </w:num>
  <w:num w:numId="40">
    <w:abstractNumId w:val="68"/>
  </w:num>
  <w:num w:numId="41">
    <w:abstractNumId w:val="88"/>
  </w:num>
  <w:num w:numId="42">
    <w:abstractNumId w:val="39"/>
  </w:num>
  <w:num w:numId="43">
    <w:abstractNumId w:val="83"/>
  </w:num>
  <w:num w:numId="44">
    <w:abstractNumId w:val="51"/>
  </w:num>
  <w:num w:numId="45">
    <w:abstractNumId w:val="75"/>
  </w:num>
  <w:num w:numId="46">
    <w:abstractNumId w:val="10"/>
  </w:num>
  <w:num w:numId="47">
    <w:abstractNumId w:val="76"/>
  </w:num>
  <w:num w:numId="48">
    <w:abstractNumId w:val="72"/>
  </w:num>
  <w:num w:numId="49">
    <w:abstractNumId w:val="36"/>
  </w:num>
  <w:num w:numId="50">
    <w:abstractNumId w:val="23"/>
  </w:num>
  <w:num w:numId="51">
    <w:abstractNumId w:val="29"/>
  </w:num>
  <w:num w:numId="52">
    <w:abstractNumId w:val="61"/>
  </w:num>
  <w:num w:numId="53">
    <w:abstractNumId w:val="66"/>
  </w:num>
  <w:num w:numId="54">
    <w:abstractNumId w:val="113"/>
  </w:num>
  <w:num w:numId="55">
    <w:abstractNumId w:val="3"/>
  </w:num>
  <w:num w:numId="56">
    <w:abstractNumId w:val="78"/>
  </w:num>
  <w:num w:numId="57">
    <w:abstractNumId w:val="4"/>
  </w:num>
  <w:num w:numId="58">
    <w:abstractNumId w:val="1"/>
  </w:num>
  <w:num w:numId="59">
    <w:abstractNumId w:val="49"/>
  </w:num>
  <w:num w:numId="60">
    <w:abstractNumId w:val="64"/>
  </w:num>
  <w:num w:numId="61">
    <w:abstractNumId w:val="16"/>
  </w:num>
  <w:num w:numId="62">
    <w:abstractNumId w:val="103"/>
  </w:num>
  <w:num w:numId="63">
    <w:abstractNumId w:val="107"/>
  </w:num>
  <w:num w:numId="64">
    <w:abstractNumId w:val="21"/>
  </w:num>
  <w:num w:numId="65">
    <w:abstractNumId w:val="28"/>
  </w:num>
  <w:num w:numId="66">
    <w:abstractNumId w:val="6"/>
  </w:num>
  <w:num w:numId="67">
    <w:abstractNumId w:val="73"/>
  </w:num>
  <w:num w:numId="68">
    <w:abstractNumId w:val="79"/>
  </w:num>
  <w:num w:numId="69">
    <w:abstractNumId w:val="31"/>
  </w:num>
  <w:num w:numId="70">
    <w:abstractNumId w:val="70"/>
  </w:num>
  <w:num w:numId="71">
    <w:abstractNumId w:val="53"/>
  </w:num>
  <w:num w:numId="72">
    <w:abstractNumId w:val="84"/>
  </w:num>
  <w:num w:numId="73">
    <w:abstractNumId w:val="59"/>
  </w:num>
  <w:num w:numId="74">
    <w:abstractNumId w:val="30"/>
  </w:num>
  <w:num w:numId="75">
    <w:abstractNumId w:val="98"/>
  </w:num>
  <w:num w:numId="76">
    <w:abstractNumId w:val="63"/>
  </w:num>
  <w:num w:numId="77">
    <w:abstractNumId w:val="54"/>
  </w:num>
  <w:num w:numId="78">
    <w:abstractNumId w:val="87"/>
  </w:num>
  <w:num w:numId="79">
    <w:abstractNumId w:val="82"/>
  </w:num>
  <w:num w:numId="80">
    <w:abstractNumId w:val="38"/>
  </w:num>
  <w:num w:numId="81">
    <w:abstractNumId w:val="9"/>
  </w:num>
  <w:num w:numId="82">
    <w:abstractNumId w:val="106"/>
  </w:num>
  <w:num w:numId="83">
    <w:abstractNumId w:val="101"/>
  </w:num>
  <w:num w:numId="84">
    <w:abstractNumId w:val="5"/>
  </w:num>
  <w:num w:numId="85">
    <w:abstractNumId w:val="24"/>
  </w:num>
  <w:num w:numId="86">
    <w:abstractNumId w:val="7"/>
  </w:num>
  <w:num w:numId="87">
    <w:abstractNumId w:val="50"/>
  </w:num>
  <w:num w:numId="88">
    <w:abstractNumId w:val="71"/>
  </w:num>
  <w:num w:numId="89">
    <w:abstractNumId w:val="81"/>
  </w:num>
  <w:num w:numId="90">
    <w:abstractNumId w:val="112"/>
  </w:num>
  <w:num w:numId="91">
    <w:abstractNumId w:val="111"/>
  </w:num>
  <w:num w:numId="92">
    <w:abstractNumId w:val="85"/>
  </w:num>
  <w:num w:numId="93">
    <w:abstractNumId w:val="13"/>
  </w:num>
  <w:num w:numId="94">
    <w:abstractNumId w:val="46"/>
  </w:num>
  <w:num w:numId="95">
    <w:abstractNumId w:val="97"/>
  </w:num>
  <w:num w:numId="96">
    <w:abstractNumId w:val="44"/>
  </w:num>
  <w:num w:numId="97">
    <w:abstractNumId w:val="96"/>
  </w:num>
  <w:num w:numId="98">
    <w:abstractNumId w:val="0"/>
  </w:num>
  <w:num w:numId="99">
    <w:abstractNumId w:val="20"/>
  </w:num>
  <w:num w:numId="100">
    <w:abstractNumId w:val="80"/>
  </w:num>
  <w:num w:numId="101">
    <w:abstractNumId w:val="41"/>
  </w:num>
  <w:num w:numId="102">
    <w:abstractNumId w:val="34"/>
  </w:num>
  <w:num w:numId="103">
    <w:abstractNumId w:val="40"/>
  </w:num>
  <w:num w:numId="104">
    <w:abstractNumId w:val="67"/>
  </w:num>
  <w:num w:numId="105">
    <w:abstractNumId w:val="86"/>
  </w:num>
  <w:num w:numId="106">
    <w:abstractNumId w:val="60"/>
  </w:num>
  <w:num w:numId="107">
    <w:abstractNumId w:val="95"/>
  </w:num>
  <w:num w:numId="108">
    <w:abstractNumId w:val="33"/>
  </w:num>
  <w:num w:numId="109">
    <w:abstractNumId w:val="15"/>
  </w:num>
  <w:num w:numId="110">
    <w:abstractNumId w:val="69"/>
  </w:num>
  <w:num w:numId="111">
    <w:abstractNumId w:val="25"/>
  </w:num>
  <w:num w:numId="112">
    <w:abstractNumId w:val="26"/>
  </w:num>
  <w:num w:numId="113">
    <w:abstractNumId w:val="110"/>
  </w:num>
  <w:num w:numId="114">
    <w:abstractNumId w:val="42"/>
  </w:num>
  <w:num w:numId="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embedSystemFonts/>
  <w:bordersDoNotSurroundHeader w:val="1"/>
  <w:bordersDoNotSurroundFooter w:val="1"/>
  <w:hideSpellingErrors/>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2FmNjI5M2E1ZWVmMGYxZWM1Mzk5M2ZlOGY5YjMifQ=="/>
  </w:docVars>
  <w:rsids>
    <w:rsidRoot w:val="006B1B53"/>
    <w:rsid w:val="000722DA"/>
    <w:rsid w:val="000C032C"/>
    <w:rsid w:val="00107189"/>
    <w:rsid w:val="001155B3"/>
    <w:rsid w:val="001B5030"/>
    <w:rsid w:val="001D0C27"/>
    <w:rsid w:val="002B7952"/>
    <w:rsid w:val="002D1F65"/>
    <w:rsid w:val="003C1A7D"/>
    <w:rsid w:val="003D49AE"/>
    <w:rsid w:val="003E5E1B"/>
    <w:rsid w:val="0050765D"/>
    <w:rsid w:val="005A389C"/>
    <w:rsid w:val="005F65CD"/>
    <w:rsid w:val="005F73A6"/>
    <w:rsid w:val="00662D79"/>
    <w:rsid w:val="006A2523"/>
    <w:rsid w:val="006B1B53"/>
    <w:rsid w:val="006D1E0B"/>
    <w:rsid w:val="00770796"/>
    <w:rsid w:val="00783190"/>
    <w:rsid w:val="007C735D"/>
    <w:rsid w:val="00A1436C"/>
    <w:rsid w:val="00A74ED4"/>
    <w:rsid w:val="00AD40F8"/>
    <w:rsid w:val="00AE031B"/>
    <w:rsid w:val="00B00BD6"/>
    <w:rsid w:val="00B22BA0"/>
    <w:rsid w:val="00C54F8F"/>
    <w:rsid w:val="00CD79DA"/>
    <w:rsid w:val="00D14CEC"/>
    <w:rsid w:val="00D8346C"/>
    <w:rsid w:val="00DA36CA"/>
    <w:rsid w:val="00E2444D"/>
    <w:rsid w:val="00EF4853"/>
    <w:rsid w:val="00EF5BA2"/>
    <w:rsid w:val="00FB79D5"/>
    <w:rsid w:val="01396E1E"/>
    <w:rsid w:val="015772A4"/>
    <w:rsid w:val="01627B9E"/>
    <w:rsid w:val="01A37317"/>
    <w:rsid w:val="01A85D51"/>
    <w:rsid w:val="01AE15BA"/>
    <w:rsid w:val="01D134FA"/>
    <w:rsid w:val="02056D00"/>
    <w:rsid w:val="021B03FF"/>
    <w:rsid w:val="02354D60"/>
    <w:rsid w:val="029C58B6"/>
    <w:rsid w:val="03004097"/>
    <w:rsid w:val="03084CFA"/>
    <w:rsid w:val="031E62CB"/>
    <w:rsid w:val="03561459"/>
    <w:rsid w:val="036D3BE0"/>
    <w:rsid w:val="03B409DD"/>
    <w:rsid w:val="03BB6210"/>
    <w:rsid w:val="03BC7892"/>
    <w:rsid w:val="040C25C7"/>
    <w:rsid w:val="041B6CAE"/>
    <w:rsid w:val="04545D1C"/>
    <w:rsid w:val="049F343C"/>
    <w:rsid w:val="04E17520"/>
    <w:rsid w:val="04E62E18"/>
    <w:rsid w:val="04F55751"/>
    <w:rsid w:val="06112117"/>
    <w:rsid w:val="062E0F1B"/>
    <w:rsid w:val="0636604E"/>
    <w:rsid w:val="06604E4C"/>
    <w:rsid w:val="067D77AC"/>
    <w:rsid w:val="0696086E"/>
    <w:rsid w:val="070D0B30"/>
    <w:rsid w:val="07660241"/>
    <w:rsid w:val="07944DAE"/>
    <w:rsid w:val="07B57131"/>
    <w:rsid w:val="07E6312F"/>
    <w:rsid w:val="08006F3A"/>
    <w:rsid w:val="08606B5E"/>
    <w:rsid w:val="088354FC"/>
    <w:rsid w:val="088A7F5F"/>
    <w:rsid w:val="08A47272"/>
    <w:rsid w:val="08C711B3"/>
    <w:rsid w:val="09077801"/>
    <w:rsid w:val="09293C1C"/>
    <w:rsid w:val="09322AD0"/>
    <w:rsid w:val="095E1B17"/>
    <w:rsid w:val="09A8518E"/>
    <w:rsid w:val="09B142F6"/>
    <w:rsid w:val="09CB6A81"/>
    <w:rsid w:val="09E65669"/>
    <w:rsid w:val="0A0D5FF8"/>
    <w:rsid w:val="0A1977EC"/>
    <w:rsid w:val="0A1E6D5B"/>
    <w:rsid w:val="0A256191"/>
    <w:rsid w:val="0A287A2F"/>
    <w:rsid w:val="0A5D1DCF"/>
    <w:rsid w:val="0A92134D"/>
    <w:rsid w:val="0A943317"/>
    <w:rsid w:val="0AAE1824"/>
    <w:rsid w:val="0AB34DE9"/>
    <w:rsid w:val="0B057D70"/>
    <w:rsid w:val="0B2D01E1"/>
    <w:rsid w:val="0B4A682C"/>
    <w:rsid w:val="0B550CF8"/>
    <w:rsid w:val="0BAB6B6A"/>
    <w:rsid w:val="0BB53934"/>
    <w:rsid w:val="0C2D757F"/>
    <w:rsid w:val="0C8721C3"/>
    <w:rsid w:val="0CA05D40"/>
    <w:rsid w:val="0CB11F5E"/>
    <w:rsid w:val="0D3A63F7"/>
    <w:rsid w:val="0D613984"/>
    <w:rsid w:val="0D75742F"/>
    <w:rsid w:val="0DDF2AFB"/>
    <w:rsid w:val="0DE10795"/>
    <w:rsid w:val="0DEB14A0"/>
    <w:rsid w:val="0DF30354"/>
    <w:rsid w:val="0EA77ABC"/>
    <w:rsid w:val="0EC8358F"/>
    <w:rsid w:val="0EE2119F"/>
    <w:rsid w:val="0EF34AB0"/>
    <w:rsid w:val="0F6A3EB0"/>
    <w:rsid w:val="0FA43FFC"/>
    <w:rsid w:val="0FBC30F4"/>
    <w:rsid w:val="10036288"/>
    <w:rsid w:val="10045BDC"/>
    <w:rsid w:val="101A2510"/>
    <w:rsid w:val="1034712E"/>
    <w:rsid w:val="10F01DC4"/>
    <w:rsid w:val="10FD4716"/>
    <w:rsid w:val="11034D52"/>
    <w:rsid w:val="110C3C07"/>
    <w:rsid w:val="119105B0"/>
    <w:rsid w:val="120D5E88"/>
    <w:rsid w:val="1221744A"/>
    <w:rsid w:val="12331667"/>
    <w:rsid w:val="12386C7D"/>
    <w:rsid w:val="124A70DD"/>
    <w:rsid w:val="12C7072D"/>
    <w:rsid w:val="12F06155"/>
    <w:rsid w:val="139D4FEA"/>
    <w:rsid w:val="13B14F39"/>
    <w:rsid w:val="13C54541"/>
    <w:rsid w:val="13DF5603"/>
    <w:rsid w:val="13E96481"/>
    <w:rsid w:val="14045069"/>
    <w:rsid w:val="14270D58"/>
    <w:rsid w:val="144068BA"/>
    <w:rsid w:val="144E2788"/>
    <w:rsid w:val="144E4536"/>
    <w:rsid w:val="145E0C1D"/>
    <w:rsid w:val="14700951"/>
    <w:rsid w:val="147246C9"/>
    <w:rsid w:val="148D32B1"/>
    <w:rsid w:val="14904B4F"/>
    <w:rsid w:val="14AB3737"/>
    <w:rsid w:val="14B73491"/>
    <w:rsid w:val="14E32ED1"/>
    <w:rsid w:val="151632A6"/>
    <w:rsid w:val="15202377"/>
    <w:rsid w:val="154D2A40"/>
    <w:rsid w:val="156527D4"/>
    <w:rsid w:val="15E45152"/>
    <w:rsid w:val="16436688"/>
    <w:rsid w:val="164B3423"/>
    <w:rsid w:val="1658169C"/>
    <w:rsid w:val="16610551"/>
    <w:rsid w:val="169C3C7F"/>
    <w:rsid w:val="169D3553"/>
    <w:rsid w:val="16B014D8"/>
    <w:rsid w:val="16EA49EA"/>
    <w:rsid w:val="16FF7D6A"/>
    <w:rsid w:val="17312619"/>
    <w:rsid w:val="17571954"/>
    <w:rsid w:val="175956CC"/>
    <w:rsid w:val="1763479D"/>
    <w:rsid w:val="177E15D6"/>
    <w:rsid w:val="17810BC7"/>
    <w:rsid w:val="17AA23CB"/>
    <w:rsid w:val="17B15508"/>
    <w:rsid w:val="17B22C3C"/>
    <w:rsid w:val="17BB0135"/>
    <w:rsid w:val="17D76C94"/>
    <w:rsid w:val="17D834D4"/>
    <w:rsid w:val="17D905BB"/>
    <w:rsid w:val="1820443C"/>
    <w:rsid w:val="18441ED8"/>
    <w:rsid w:val="1868522B"/>
    <w:rsid w:val="18D25736"/>
    <w:rsid w:val="18F77CFC"/>
    <w:rsid w:val="191044B0"/>
    <w:rsid w:val="19257F5C"/>
    <w:rsid w:val="195E692B"/>
    <w:rsid w:val="196640D0"/>
    <w:rsid w:val="19BE3F0C"/>
    <w:rsid w:val="19D751A6"/>
    <w:rsid w:val="19F83806"/>
    <w:rsid w:val="1B1F4E7E"/>
    <w:rsid w:val="1B3E5305"/>
    <w:rsid w:val="1BE063BC"/>
    <w:rsid w:val="1C185B56"/>
    <w:rsid w:val="1C330BE1"/>
    <w:rsid w:val="1C8925AF"/>
    <w:rsid w:val="1C93375D"/>
    <w:rsid w:val="1CDC1E6B"/>
    <w:rsid w:val="1CDC3027"/>
    <w:rsid w:val="1D431D25"/>
    <w:rsid w:val="1D664516"/>
    <w:rsid w:val="1D750D86"/>
    <w:rsid w:val="1D970CFC"/>
    <w:rsid w:val="1DCC309C"/>
    <w:rsid w:val="1DD2442A"/>
    <w:rsid w:val="1E2307E2"/>
    <w:rsid w:val="1E3C6CC4"/>
    <w:rsid w:val="1E426EBA"/>
    <w:rsid w:val="1E6C2189"/>
    <w:rsid w:val="1E8E20FF"/>
    <w:rsid w:val="1E935967"/>
    <w:rsid w:val="1EFF2FFD"/>
    <w:rsid w:val="1F30765A"/>
    <w:rsid w:val="1F7312F5"/>
    <w:rsid w:val="1F813A12"/>
    <w:rsid w:val="1FA140B4"/>
    <w:rsid w:val="1FD9384E"/>
    <w:rsid w:val="1FD97BF3"/>
    <w:rsid w:val="202D1DEC"/>
    <w:rsid w:val="202D1F13"/>
    <w:rsid w:val="205B0707"/>
    <w:rsid w:val="20711CD8"/>
    <w:rsid w:val="20995866"/>
    <w:rsid w:val="20C444FE"/>
    <w:rsid w:val="210A7A37"/>
    <w:rsid w:val="212B00D9"/>
    <w:rsid w:val="216655B5"/>
    <w:rsid w:val="21935C7E"/>
    <w:rsid w:val="21C41326"/>
    <w:rsid w:val="223B434C"/>
    <w:rsid w:val="22736D96"/>
    <w:rsid w:val="22D16A5E"/>
    <w:rsid w:val="23052BAC"/>
    <w:rsid w:val="23563407"/>
    <w:rsid w:val="2375388E"/>
    <w:rsid w:val="238976C4"/>
    <w:rsid w:val="23AB3753"/>
    <w:rsid w:val="23ED3D6C"/>
    <w:rsid w:val="23F24CFD"/>
    <w:rsid w:val="23FD01D9"/>
    <w:rsid w:val="24305A06"/>
    <w:rsid w:val="24B91EA0"/>
    <w:rsid w:val="24F42ED8"/>
    <w:rsid w:val="254479BB"/>
    <w:rsid w:val="259D0E7A"/>
    <w:rsid w:val="259D70CC"/>
    <w:rsid w:val="25DB5C86"/>
    <w:rsid w:val="26256849"/>
    <w:rsid w:val="26393298"/>
    <w:rsid w:val="266F0A68"/>
    <w:rsid w:val="268A58A2"/>
    <w:rsid w:val="26B446CD"/>
    <w:rsid w:val="27455C6D"/>
    <w:rsid w:val="2762237B"/>
    <w:rsid w:val="278301EA"/>
    <w:rsid w:val="27C46B92"/>
    <w:rsid w:val="27DD5EA5"/>
    <w:rsid w:val="27F30823"/>
    <w:rsid w:val="282A2D36"/>
    <w:rsid w:val="28B52B84"/>
    <w:rsid w:val="28C11323"/>
    <w:rsid w:val="28CF57EE"/>
    <w:rsid w:val="28D667EF"/>
    <w:rsid w:val="28F45255"/>
    <w:rsid w:val="295A64BA"/>
    <w:rsid w:val="296028EA"/>
    <w:rsid w:val="29F23E8A"/>
    <w:rsid w:val="2A1D4C7F"/>
    <w:rsid w:val="2A2A52A9"/>
    <w:rsid w:val="2A3A138D"/>
    <w:rsid w:val="2A9C5486"/>
    <w:rsid w:val="2B033E75"/>
    <w:rsid w:val="2B0B2D29"/>
    <w:rsid w:val="2B0D6AA1"/>
    <w:rsid w:val="2B5C5333"/>
    <w:rsid w:val="2B634913"/>
    <w:rsid w:val="2B7663F5"/>
    <w:rsid w:val="2BD80E5D"/>
    <w:rsid w:val="2C025EDA"/>
    <w:rsid w:val="2C071743"/>
    <w:rsid w:val="2C7A0167"/>
    <w:rsid w:val="2C813B70"/>
    <w:rsid w:val="2C9668F4"/>
    <w:rsid w:val="2C9A366D"/>
    <w:rsid w:val="2CDA29B3"/>
    <w:rsid w:val="2CDD4252"/>
    <w:rsid w:val="2CDE06F5"/>
    <w:rsid w:val="2CF021D7"/>
    <w:rsid w:val="2CFF241A"/>
    <w:rsid w:val="2D1759B5"/>
    <w:rsid w:val="2D2105E2"/>
    <w:rsid w:val="2D613652"/>
    <w:rsid w:val="2DAF3E40"/>
    <w:rsid w:val="2DD438A6"/>
    <w:rsid w:val="2E1F2D74"/>
    <w:rsid w:val="2E334A71"/>
    <w:rsid w:val="2EA65243"/>
    <w:rsid w:val="2EBF00B3"/>
    <w:rsid w:val="2F0106CB"/>
    <w:rsid w:val="2F723377"/>
    <w:rsid w:val="2F994DA8"/>
    <w:rsid w:val="2FBA4D36"/>
    <w:rsid w:val="2FBB6ACC"/>
    <w:rsid w:val="2FC00586"/>
    <w:rsid w:val="30032221"/>
    <w:rsid w:val="30632C92"/>
    <w:rsid w:val="30640B10"/>
    <w:rsid w:val="30CC6AB7"/>
    <w:rsid w:val="30D1713D"/>
    <w:rsid w:val="30D20571"/>
    <w:rsid w:val="30EB33E1"/>
    <w:rsid w:val="310444A3"/>
    <w:rsid w:val="31532D34"/>
    <w:rsid w:val="315F16D9"/>
    <w:rsid w:val="31727460"/>
    <w:rsid w:val="31794E91"/>
    <w:rsid w:val="31B0705D"/>
    <w:rsid w:val="31BE4652"/>
    <w:rsid w:val="32075FF9"/>
    <w:rsid w:val="32135F41"/>
    <w:rsid w:val="321B1AA4"/>
    <w:rsid w:val="32672F3B"/>
    <w:rsid w:val="326855AE"/>
    <w:rsid w:val="3293788C"/>
    <w:rsid w:val="329543F6"/>
    <w:rsid w:val="32AA2E28"/>
    <w:rsid w:val="32B048E2"/>
    <w:rsid w:val="33022C64"/>
    <w:rsid w:val="33323549"/>
    <w:rsid w:val="33997124"/>
    <w:rsid w:val="33AC39F7"/>
    <w:rsid w:val="33EF4F96"/>
    <w:rsid w:val="342F7A89"/>
    <w:rsid w:val="34605E94"/>
    <w:rsid w:val="34BD6E42"/>
    <w:rsid w:val="35260E8C"/>
    <w:rsid w:val="352E5F92"/>
    <w:rsid w:val="353A41EB"/>
    <w:rsid w:val="35633E8E"/>
    <w:rsid w:val="35777939"/>
    <w:rsid w:val="35845BB2"/>
    <w:rsid w:val="35B71478"/>
    <w:rsid w:val="35E11256"/>
    <w:rsid w:val="35EF127D"/>
    <w:rsid w:val="362A675A"/>
    <w:rsid w:val="368F6941"/>
    <w:rsid w:val="36C26992"/>
    <w:rsid w:val="36F63923"/>
    <w:rsid w:val="372C6501"/>
    <w:rsid w:val="373A0C1E"/>
    <w:rsid w:val="37F92887"/>
    <w:rsid w:val="381D515F"/>
    <w:rsid w:val="38471845"/>
    <w:rsid w:val="388D2FD0"/>
    <w:rsid w:val="38A8605B"/>
    <w:rsid w:val="38D46E50"/>
    <w:rsid w:val="38D64977"/>
    <w:rsid w:val="38F943E3"/>
    <w:rsid w:val="3902751A"/>
    <w:rsid w:val="3911775D"/>
    <w:rsid w:val="39576DAA"/>
    <w:rsid w:val="397A79F8"/>
    <w:rsid w:val="39AD1B7B"/>
    <w:rsid w:val="3A2B484E"/>
    <w:rsid w:val="3ABE3914"/>
    <w:rsid w:val="3AF9494C"/>
    <w:rsid w:val="3B4C2CCE"/>
    <w:rsid w:val="3B893F22"/>
    <w:rsid w:val="3B9B5A04"/>
    <w:rsid w:val="3BA96372"/>
    <w:rsid w:val="3BE0528C"/>
    <w:rsid w:val="3BE52736"/>
    <w:rsid w:val="3BEB0739"/>
    <w:rsid w:val="3BF910A8"/>
    <w:rsid w:val="3BFA4E20"/>
    <w:rsid w:val="3C033CD5"/>
    <w:rsid w:val="3C326368"/>
    <w:rsid w:val="3C395948"/>
    <w:rsid w:val="3C6D55F2"/>
    <w:rsid w:val="3CA11242"/>
    <w:rsid w:val="3CD63197"/>
    <w:rsid w:val="3CD92C87"/>
    <w:rsid w:val="3CE533DA"/>
    <w:rsid w:val="3CF60458"/>
    <w:rsid w:val="3D0A4BEF"/>
    <w:rsid w:val="3D826E7B"/>
    <w:rsid w:val="3D8726E3"/>
    <w:rsid w:val="3DA212CB"/>
    <w:rsid w:val="3DBB5757"/>
    <w:rsid w:val="3E66679D"/>
    <w:rsid w:val="3E6A003B"/>
    <w:rsid w:val="3ECA13E6"/>
    <w:rsid w:val="3EF50E21"/>
    <w:rsid w:val="3F760C61"/>
    <w:rsid w:val="3FCA68B7"/>
    <w:rsid w:val="3FDE56EE"/>
    <w:rsid w:val="40CD2B03"/>
    <w:rsid w:val="412F0A52"/>
    <w:rsid w:val="41483F38"/>
    <w:rsid w:val="417B430D"/>
    <w:rsid w:val="41872CB2"/>
    <w:rsid w:val="419C2A9B"/>
    <w:rsid w:val="41A63C78"/>
    <w:rsid w:val="41C537DA"/>
    <w:rsid w:val="41C77552"/>
    <w:rsid w:val="421A4BD1"/>
    <w:rsid w:val="42383FAC"/>
    <w:rsid w:val="424C5376"/>
    <w:rsid w:val="42664FBD"/>
    <w:rsid w:val="427F607F"/>
    <w:rsid w:val="428471F1"/>
    <w:rsid w:val="42B63434"/>
    <w:rsid w:val="42CD2946"/>
    <w:rsid w:val="42D71A17"/>
    <w:rsid w:val="436F7EA2"/>
    <w:rsid w:val="43762FDE"/>
    <w:rsid w:val="438D20D6"/>
    <w:rsid w:val="43A55671"/>
    <w:rsid w:val="44784B34"/>
    <w:rsid w:val="44842052"/>
    <w:rsid w:val="449776B0"/>
    <w:rsid w:val="44BA339E"/>
    <w:rsid w:val="44EB79FC"/>
    <w:rsid w:val="45605CF4"/>
    <w:rsid w:val="45CE07A3"/>
    <w:rsid w:val="46004DE1"/>
    <w:rsid w:val="461A2B73"/>
    <w:rsid w:val="46380A1F"/>
    <w:rsid w:val="466C07A9"/>
    <w:rsid w:val="46713F31"/>
    <w:rsid w:val="469F3BB1"/>
    <w:rsid w:val="46BA1434"/>
    <w:rsid w:val="46BC4A78"/>
    <w:rsid w:val="46FD7572"/>
    <w:rsid w:val="4763458B"/>
    <w:rsid w:val="48117779"/>
    <w:rsid w:val="48335942"/>
    <w:rsid w:val="48693111"/>
    <w:rsid w:val="48BE198C"/>
    <w:rsid w:val="49417BEA"/>
    <w:rsid w:val="49507E2D"/>
    <w:rsid w:val="49DC3DB7"/>
    <w:rsid w:val="49E14F29"/>
    <w:rsid w:val="49E5731A"/>
    <w:rsid w:val="4A0B3C8C"/>
    <w:rsid w:val="4A174DEF"/>
    <w:rsid w:val="4A657908"/>
    <w:rsid w:val="4B5300A9"/>
    <w:rsid w:val="4B5736F5"/>
    <w:rsid w:val="4BA44460"/>
    <w:rsid w:val="4BCE3403"/>
    <w:rsid w:val="4BEB02E1"/>
    <w:rsid w:val="4C2F4672"/>
    <w:rsid w:val="4C3752D5"/>
    <w:rsid w:val="4C417F01"/>
    <w:rsid w:val="4C516396"/>
    <w:rsid w:val="4C5B0FC3"/>
    <w:rsid w:val="4C716E97"/>
    <w:rsid w:val="4C871CAA"/>
    <w:rsid w:val="4C87625C"/>
    <w:rsid w:val="4C9D15DC"/>
    <w:rsid w:val="4CB372A5"/>
    <w:rsid w:val="4CBC605F"/>
    <w:rsid w:val="4CC72AFC"/>
    <w:rsid w:val="4CE4545C"/>
    <w:rsid w:val="4CF51418"/>
    <w:rsid w:val="4D706CF0"/>
    <w:rsid w:val="4D7762D0"/>
    <w:rsid w:val="4DA662EA"/>
    <w:rsid w:val="4DBA440F"/>
    <w:rsid w:val="4DF74D1B"/>
    <w:rsid w:val="4E125FF9"/>
    <w:rsid w:val="4E323FA5"/>
    <w:rsid w:val="4E48737C"/>
    <w:rsid w:val="4E5C1022"/>
    <w:rsid w:val="4E65437B"/>
    <w:rsid w:val="4E6D3230"/>
    <w:rsid w:val="4ED908C5"/>
    <w:rsid w:val="4EFB714D"/>
    <w:rsid w:val="4F2C0EED"/>
    <w:rsid w:val="4F6F377E"/>
    <w:rsid w:val="4F7F76BE"/>
    <w:rsid w:val="4F8545A9"/>
    <w:rsid w:val="4F885325"/>
    <w:rsid w:val="4F91170B"/>
    <w:rsid w:val="4FAD4F9A"/>
    <w:rsid w:val="50461F8A"/>
    <w:rsid w:val="5054095A"/>
    <w:rsid w:val="505F4DFA"/>
    <w:rsid w:val="509E1DC6"/>
    <w:rsid w:val="50A849F3"/>
    <w:rsid w:val="50AF4E53"/>
    <w:rsid w:val="50C5353B"/>
    <w:rsid w:val="50F35D54"/>
    <w:rsid w:val="51532BB1"/>
    <w:rsid w:val="51AF590D"/>
    <w:rsid w:val="51BF1FF4"/>
    <w:rsid w:val="51EC0F1C"/>
    <w:rsid w:val="51F37EF0"/>
    <w:rsid w:val="51F577C4"/>
    <w:rsid w:val="520E6AD8"/>
    <w:rsid w:val="522B34DF"/>
    <w:rsid w:val="52696710"/>
    <w:rsid w:val="527E1EAF"/>
    <w:rsid w:val="52894FD0"/>
    <w:rsid w:val="52B14033"/>
    <w:rsid w:val="52D675F5"/>
    <w:rsid w:val="52ED2B91"/>
    <w:rsid w:val="52FC2DD4"/>
    <w:rsid w:val="53185E60"/>
    <w:rsid w:val="53603363"/>
    <w:rsid w:val="536A41E2"/>
    <w:rsid w:val="53762B86"/>
    <w:rsid w:val="538C4158"/>
    <w:rsid w:val="53CC09F8"/>
    <w:rsid w:val="53E56287"/>
    <w:rsid w:val="541A1764"/>
    <w:rsid w:val="54210D44"/>
    <w:rsid w:val="5440567D"/>
    <w:rsid w:val="54813E9E"/>
    <w:rsid w:val="5486504B"/>
    <w:rsid w:val="54A86D6F"/>
    <w:rsid w:val="54E104D3"/>
    <w:rsid w:val="54E56216"/>
    <w:rsid w:val="54EF2BF0"/>
    <w:rsid w:val="55400F96"/>
    <w:rsid w:val="55436A98"/>
    <w:rsid w:val="554F7B33"/>
    <w:rsid w:val="555D5DAC"/>
    <w:rsid w:val="557B7D1A"/>
    <w:rsid w:val="559B2D78"/>
    <w:rsid w:val="559D089E"/>
    <w:rsid w:val="55D419C9"/>
    <w:rsid w:val="55E97640"/>
    <w:rsid w:val="55EB160A"/>
    <w:rsid w:val="56085295"/>
    <w:rsid w:val="56116B96"/>
    <w:rsid w:val="562431B2"/>
    <w:rsid w:val="5647080A"/>
    <w:rsid w:val="565D5492"/>
    <w:rsid w:val="56705FB3"/>
    <w:rsid w:val="56731B2D"/>
    <w:rsid w:val="568630E0"/>
    <w:rsid w:val="568E01E7"/>
    <w:rsid w:val="56A47A0A"/>
    <w:rsid w:val="56E524FD"/>
    <w:rsid w:val="570A3D11"/>
    <w:rsid w:val="571046EE"/>
    <w:rsid w:val="57C32A58"/>
    <w:rsid w:val="58337298"/>
    <w:rsid w:val="584414A5"/>
    <w:rsid w:val="584E7A01"/>
    <w:rsid w:val="58562F86"/>
    <w:rsid w:val="585C51CE"/>
    <w:rsid w:val="586236D9"/>
    <w:rsid w:val="588C69A8"/>
    <w:rsid w:val="58922D56"/>
    <w:rsid w:val="58DF11CE"/>
    <w:rsid w:val="58EF72F8"/>
    <w:rsid w:val="59103135"/>
    <w:rsid w:val="59194821"/>
    <w:rsid w:val="591A3FB4"/>
    <w:rsid w:val="592D3CE7"/>
    <w:rsid w:val="5960230F"/>
    <w:rsid w:val="5963595B"/>
    <w:rsid w:val="5966544B"/>
    <w:rsid w:val="59790860"/>
    <w:rsid w:val="599B6EA3"/>
    <w:rsid w:val="5A032C9A"/>
    <w:rsid w:val="5A1153B7"/>
    <w:rsid w:val="5A241C82"/>
    <w:rsid w:val="5A3D543E"/>
    <w:rsid w:val="5A411F7D"/>
    <w:rsid w:val="5A41675C"/>
    <w:rsid w:val="5A495721"/>
    <w:rsid w:val="5A5B6D91"/>
    <w:rsid w:val="5A5E4C52"/>
    <w:rsid w:val="5A5F4296"/>
    <w:rsid w:val="5A737E20"/>
    <w:rsid w:val="5A767910"/>
    <w:rsid w:val="5A81253D"/>
    <w:rsid w:val="5ABA021C"/>
    <w:rsid w:val="5B7B51DE"/>
    <w:rsid w:val="5BCA4850"/>
    <w:rsid w:val="5C0D7E00"/>
    <w:rsid w:val="5C2D3FFE"/>
    <w:rsid w:val="5C2F7D76"/>
    <w:rsid w:val="5C480E38"/>
    <w:rsid w:val="5C975544"/>
    <w:rsid w:val="5D170F36"/>
    <w:rsid w:val="5D261179"/>
    <w:rsid w:val="5D3E4715"/>
    <w:rsid w:val="5D55380D"/>
    <w:rsid w:val="5D641CA2"/>
    <w:rsid w:val="5D6F2B20"/>
    <w:rsid w:val="5D804D2D"/>
    <w:rsid w:val="5D9F6069"/>
    <w:rsid w:val="5DB9023F"/>
    <w:rsid w:val="5DBB5D65"/>
    <w:rsid w:val="5DBC3340"/>
    <w:rsid w:val="5DC170F4"/>
    <w:rsid w:val="5DDB01B6"/>
    <w:rsid w:val="5DE03A1E"/>
    <w:rsid w:val="5DF571B0"/>
    <w:rsid w:val="5E39312E"/>
    <w:rsid w:val="5E394EDC"/>
    <w:rsid w:val="5E420235"/>
    <w:rsid w:val="5E4B06C0"/>
    <w:rsid w:val="5E5341F0"/>
    <w:rsid w:val="5E7D74BF"/>
    <w:rsid w:val="5E800D5D"/>
    <w:rsid w:val="5E9404F9"/>
    <w:rsid w:val="5EC24ED2"/>
    <w:rsid w:val="5EE50BC0"/>
    <w:rsid w:val="5EFA035E"/>
    <w:rsid w:val="5F2471FB"/>
    <w:rsid w:val="5F610B8F"/>
    <w:rsid w:val="5F9E3707"/>
    <w:rsid w:val="5FA84CDC"/>
    <w:rsid w:val="5FB15643"/>
    <w:rsid w:val="5FBE38EB"/>
    <w:rsid w:val="5FE80968"/>
    <w:rsid w:val="60186C7C"/>
    <w:rsid w:val="602A2D2E"/>
    <w:rsid w:val="602D65A6"/>
    <w:rsid w:val="60397415"/>
    <w:rsid w:val="6062696C"/>
    <w:rsid w:val="60910D64"/>
    <w:rsid w:val="60B13450"/>
    <w:rsid w:val="60E94998"/>
    <w:rsid w:val="613F6CAD"/>
    <w:rsid w:val="614C3178"/>
    <w:rsid w:val="6151253D"/>
    <w:rsid w:val="61587D6F"/>
    <w:rsid w:val="61A22D98"/>
    <w:rsid w:val="61AB60F1"/>
    <w:rsid w:val="61EA6C19"/>
    <w:rsid w:val="6208709F"/>
    <w:rsid w:val="62195750"/>
    <w:rsid w:val="62414951"/>
    <w:rsid w:val="624C7C85"/>
    <w:rsid w:val="626D15F8"/>
    <w:rsid w:val="627B3D15"/>
    <w:rsid w:val="628506F0"/>
    <w:rsid w:val="629B43B7"/>
    <w:rsid w:val="62A25746"/>
    <w:rsid w:val="62DD22DA"/>
    <w:rsid w:val="6324615B"/>
    <w:rsid w:val="635D78BF"/>
    <w:rsid w:val="63862972"/>
    <w:rsid w:val="645111D2"/>
    <w:rsid w:val="646A4041"/>
    <w:rsid w:val="649665D6"/>
    <w:rsid w:val="649966D5"/>
    <w:rsid w:val="64A31301"/>
    <w:rsid w:val="64AA6B34"/>
    <w:rsid w:val="64BB2CCB"/>
    <w:rsid w:val="64D54B0B"/>
    <w:rsid w:val="652B3FD1"/>
    <w:rsid w:val="653603C7"/>
    <w:rsid w:val="65484185"/>
    <w:rsid w:val="65491EA9"/>
    <w:rsid w:val="65882F94"/>
    <w:rsid w:val="659375C8"/>
    <w:rsid w:val="659B022A"/>
    <w:rsid w:val="65BD63F3"/>
    <w:rsid w:val="65C0767F"/>
    <w:rsid w:val="65E63B9C"/>
    <w:rsid w:val="65E94ABC"/>
    <w:rsid w:val="65E971E8"/>
    <w:rsid w:val="65FA2A89"/>
    <w:rsid w:val="66185540"/>
    <w:rsid w:val="664074C4"/>
    <w:rsid w:val="665E1984"/>
    <w:rsid w:val="66EA1469"/>
    <w:rsid w:val="66F00634"/>
    <w:rsid w:val="66F66060"/>
    <w:rsid w:val="67065B78"/>
    <w:rsid w:val="672901E4"/>
    <w:rsid w:val="673E5311"/>
    <w:rsid w:val="67A713CC"/>
    <w:rsid w:val="67B37AAD"/>
    <w:rsid w:val="67D51A1E"/>
    <w:rsid w:val="67F65BEC"/>
    <w:rsid w:val="67FD16DA"/>
    <w:rsid w:val="6809591F"/>
    <w:rsid w:val="681E586F"/>
    <w:rsid w:val="68B4324E"/>
    <w:rsid w:val="68C44151"/>
    <w:rsid w:val="68F4037D"/>
    <w:rsid w:val="691205EE"/>
    <w:rsid w:val="69313380"/>
    <w:rsid w:val="693F15B0"/>
    <w:rsid w:val="69894F6A"/>
    <w:rsid w:val="69B53FB1"/>
    <w:rsid w:val="6A9C0CCD"/>
    <w:rsid w:val="6B0802DE"/>
    <w:rsid w:val="6B0F149F"/>
    <w:rsid w:val="6B801CB9"/>
    <w:rsid w:val="6BAF4A30"/>
    <w:rsid w:val="6BC93D43"/>
    <w:rsid w:val="6C054650"/>
    <w:rsid w:val="6C066D46"/>
    <w:rsid w:val="6C1D5E3D"/>
    <w:rsid w:val="6C8E0AE9"/>
    <w:rsid w:val="6CA67BE1"/>
    <w:rsid w:val="6CB933A7"/>
    <w:rsid w:val="6CE150BD"/>
    <w:rsid w:val="6CE32BE3"/>
    <w:rsid w:val="6D17288C"/>
    <w:rsid w:val="6D2A0812"/>
    <w:rsid w:val="6D373E14"/>
    <w:rsid w:val="6D830EB2"/>
    <w:rsid w:val="6D855A48"/>
    <w:rsid w:val="6DB4632D"/>
    <w:rsid w:val="6DE704B1"/>
    <w:rsid w:val="6E272FA3"/>
    <w:rsid w:val="6E731D44"/>
    <w:rsid w:val="6EA840E4"/>
    <w:rsid w:val="6EC32F6A"/>
    <w:rsid w:val="6ECF78C3"/>
    <w:rsid w:val="6F103240"/>
    <w:rsid w:val="6F5837CB"/>
    <w:rsid w:val="6F741C1C"/>
    <w:rsid w:val="6F800F2B"/>
    <w:rsid w:val="6FE3114C"/>
    <w:rsid w:val="700A405F"/>
    <w:rsid w:val="701D640C"/>
    <w:rsid w:val="70394BAE"/>
    <w:rsid w:val="703A5210"/>
    <w:rsid w:val="704C0A9F"/>
    <w:rsid w:val="70732477"/>
    <w:rsid w:val="70AB541A"/>
    <w:rsid w:val="70D6480D"/>
    <w:rsid w:val="70D70CB1"/>
    <w:rsid w:val="70E92792"/>
    <w:rsid w:val="71791D68"/>
    <w:rsid w:val="71900E5F"/>
    <w:rsid w:val="71D15700"/>
    <w:rsid w:val="72021D5D"/>
    <w:rsid w:val="720930EC"/>
    <w:rsid w:val="721B4BCD"/>
    <w:rsid w:val="729F57FE"/>
    <w:rsid w:val="73005B71"/>
    <w:rsid w:val="732C72AD"/>
    <w:rsid w:val="735C36EF"/>
    <w:rsid w:val="73741EDA"/>
    <w:rsid w:val="7375501C"/>
    <w:rsid w:val="73865AA5"/>
    <w:rsid w:val="738E59B0"/>
    <w:rsid w:val="739A702B"/>
    <w:rsid w:val="73ED2641"/>
    <w:rsid w:val="74B03CF2"/>
    <w:rsid w:val="74C43681"/>
    <w:rsid w:val="74D55507"/>
    <w:rsid w:val="74D80B53"/>
    <w:rsid w:val="74F51705"/>
    <w:rsid w:val="75432CCF"/>
    <w:rsid w:val="757E170D"/>
    <w:rsid w:val="75846F2D"/>
    <w:rsid w:val="75F47C0F"/>
    <w:rsid w:val="7691545E"/>
    <w:rsid w:val="77BA4E88"/>
    <w:rsid w:val="78111AD0"/>
    <w:rsid w:val="78320EC2"/>
    <w:rsid w:val="78542BE7"/>
    <w:rsid w:val="786E41A0"/>
    <w:rsid w:val="787E7C64"/>
    <w:rsid w:val="78801BCD"/>
    <w:rsid w:val="788A03B6"/>
    <w:rsid w:val="788A485A"/>
    <w:rsid w:val="78F64A42"/>
    <w:rsid w:val="79110AD8"/>
    <w:rsid w:val="79472C05"/>
    <w:rsid w:val="796D2246"/>
    <w:rsid w:val="797F1EE5"/>
    <w:rsid w:val="7A4D2F1A"/>
    <w:rsid w:val="7A8B6668"/>
    <w:rsid w:val="7A9B2D4F"/>
    <w:rsid w:val="7AB23BF5"/>
    <w:rsid w:val="7AE973D5"/>
    <w:rsid w:val="7AEE3247"/>
    <w:rsid w:val="7B276391"/>
    <w:rsid w:val="7B2F16E9"/>
    <w:rsid w:val="7B4E6013"/>
    <w:rsid w:val="7B6969A9"/>
    <w:rsid w:val="7B711D02"/>
    <w:rsid w:val="7BA774D1"/>
    <w:rsid w:val="7BB73BB8"/>
    <w:rsid w:val="7BF73FB5"/>
    <w:rsid w:val="7BFF730D"/>
    <w:rsid w:val="7C254766"/>
    <w:rsid w:val="7C32323F"/>
    <w:rsid w:val="7C596A1E"/>
    <w:rsid w:val="7C9B5288"/>
    <w:rsid w:val="7CAB1049"/>
    <w:rsid w:val="7CAB4D9F"/>
    <w:rsid w:val="7CAF2AE1"/>
    <w:rsid w:val="7CBE4AD3"/>
    <w:rsid w:val="7CC75B6C"/>
    <w:rsid w:val="7D1868D9"/>
    <w:rsid w:val="7D2A2168"/>
    <w:rsid w:val="7D747887"/>
    <w:rsid w:val="7D7D04EA"/>
    <w:rsid w:val="7D866186"/>
    <w:rsid w:val="7DBF4FA6"/>
    <w:rsid w:val="7DC720AD"/>
    <w:rsid w:val="7DFD787D"/>
    <w:rsid w:val="7E0C2FDF"/>
    <w:rsid w:val="7E123328"/>
    <w:rsid w:val="7E413C0D"/>
    <w:rsid w:val="7E4E00D8"/>
    <w:rsid w:val="7E891395"/>
    <w:rsid w:val="7EA5419C"/>
    <w:rsid w:val="7ED05499"/>
    <w:rsid w:val="7EDB7BBE"/>
    <w:rsid w:val="7F2C21C7"/>
    <w:rsid w:val="7F3C729F"/>
    <w:rsid w:val="7F6851CA"/>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lang w:val="zh-CN"/>
    </w:rPr>
  </w:style>
  <w:style w:type="paragraph" w:styleId="6">
    <w:name w:val="heading 5"/>
    <w:basedOn w:val="1"/>
    <w:next w:val="1"/>
    <w:link w:val="77"/>
    <w:unhideWhenUsed/>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2"/>
      </w:numPr>
    </w:pPr>
  </w:style>
  <w:style w:type="paragraph" w:styleId="8">
    <w:name w:val="Normal Indent"/>
    <w:basedOn w:val="1"/>
    <w:next w:val="9"/>
    <w:link w:val="65"/>
    <w:qFormat/>
    <w:uiPriority w:val="0"/>
    <w:pPr>
      <w:ind w:firstLine="420"/>
    </w:pPr>
    <w:rPr>
      <w:szCs w:val="20"/>
    </w:rPr>
  </w:style>
  <w:style w:type="paragraph" w:styleId="9">
    <w:name w:val="Body Text Indent"/>
    <w:basedOn w:val="1"/>
    <w:link w:val="66"/>
    <w:qFormat/>
    <w:uiPriority w:val="0"/>
    <w:pPr>
      <w:spacing w:after="120"/>
      <w:ind w:left="420" w:leftChars="200"/>
    </w:pPr>
  </w:style>
  <w:style w:type="paragraph" w:styleId="10">
    <w:name w:val="annotation text"/>
    <w:basedOn w:val="1"/>
    <w:link w:val="91"/>
    <w:qFormat/>
    <w:uiPriority w:val="0"/>
    <w:pPr>
      <w:jc w:val="left"/>
    </w:pPr>
  </w:style>
  <w:style w:type="paragraph" w:styleId="11">
    <w:name w:val="Body Text"/>
    <w:basedOn w:val="1"/>
    <w:qFormat/>
    <w:uiPriority w:val="0"/>
    <w:pPr>
      <w:spacing w:line="360" w:lineRule="exact"/>
    </w:pPr>
    <w:rPr>
      <w:sz w:val="24"/>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61"/>
    <w:qFormat/>
    <w:uiPriority w:val="0"/>
    <w:rPr>
      <w:sz w:val="18"/>
      <w:szCs w:val="18"/>
    </w:rPr>
  </w:style>
  <w:style w:type="paragraph" w:styleId="15">
    <w:name w:val="footer"/>
    <w:basedOn w:val="1"/>
    <w:link w:val="70"/>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4"/>
    <w:basedOn w:val="1"/>
    <w:next w:val="1"/>
    <w:qFormat/>
    <w:uiPriority w:val="39"/>
    <w:pPr>
      <w:widowControl/>
      <w:ind w:left="600"/>
      <w:jc w:val="left"/>
    </w:pPr>
    <w:rPr>
      <w:kern w:val="0"/>
      <w:sz w:val="18"/>
      <w:szCs w:val="20"/>
    </w:rPr>
  </w:style>
  <w:style w:type="paragraph" w:styleId="19">
    <w:name w:val="toc 6"/>
    <w:basedOn w:val="1"/>
    <w:next w:val="1"/>
    <w:qFormat/>
    <w:uiPriority w:val="0"/>
    <w:pPr>
      <w:ind w:left="1050"/>
      <w:jc w:val="left"/>
    </w:pPr>
    <w:rPr>
      <w:rFonts w:ascii="Calibri" w:hAnsi="Calibri" w:cs="Calibri"/>
      <w:sz w:val="18"/>
      <w:szCs w:val="18"/>
    </w:rPr>
  </w:style>
  <w:style w:type="paragraph" w:styleId="20">
    <w:name w:val="Body Text Indent 3"/>
    <w:basedOn w:val="1"/>
    <w:link w:val="67"/>
    <w:qFormat/>
    <w:uiPriority w:val="0"/>
    <w:pPr>
      <w:spacing w:after="120"/>
      <w:ind w:left="420" w:leftChars="200"/>
    </w:pPr>
    <w:rPr>
      <w:sz w:val="16"/>
      <w:szCs w:val="16"/>
    </w:rPr>
  </w:style>
  <w:style w:type="paragraph" w:styleId="21">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22">
    <w:name w:val="HTML Preformatted"/>
    <w:basedOn w:val="1"/>
    <w:link w:val="7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annotation subject"/>
    <w:basedOn w:val="10"/>
    <w:next w:val="10"/>
    <w:link w:val="92"/>
    <w:qFormat/>
    <w:uiPriority w:val="0"/>
    <w:rPr>
      <w:b/>
      <w:bCs/>
    </w:rPr>
  </w:style>
  <w:style w:type="paragraph" w:styleId="25">
    <w:name w:val="Body Text First Indent"/>
    <w:basedOn w:val="11"/>
    <w:next w:val="1"/>
    <w:qFormat/>
    <w:uiPriority w:val="0"/>
    <w:pPr>
      <w:ind w:firstLine="200" w:firstLineChars="200"/>
    </w:pPr>
  </w:style>
  <w:style w:type="paragraph" w:styleId="26">
    <w:name w:val="Body Text First Indent 2"/>
    <w:basedOn w:val="9"/>
    <w:link w:val="73"/>
    <w:qFormat/>
    <w:uiPriority w:val="99"/>
    <w:pPr>
      <w:ind w:firstLine="420"/>
    </w:pPr>
  </w:style>
  <w:style w:type="table" w:styleId="28">
    <w:name w:val="Table Grid"/>
    <w:basedOn w:val="27"/>
    <w:qFormat/>
    <w:uiPriority w:val="5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0">
    <w:name w:val="Emphasis"/>
    <w:basedOn w:val="29"/>
    <w:qFormat/>
    <w:uiPriority w:val="0"/>
    <w:rPr>
      <w:i/>
    </w:rPr>
  </w:style>
  <w:style w:type="character" w:styleId="31">
    <w:name w:val="Hyperlink"/>
    <w:basedOn w:val="29"/>
    <w:qFormat/>
    <w:uiPriority w:val="99"/>
    <w:rPr>
      <w:color w:val="0000FF"/>
      <w:u w:val="single"/>
    </w:rPr>
  </w:style>
  <w:style w:type="character" w:styleId="32">
    <w:name w:val="annotation reference"/>
    <w:basedOn w:val="29"/>
    <w:qFormat/>
    <w:uiPriority w:val="0"/>
    <w:rPr>
      <w:sz w:val="21"/>
      <w:szCs w:val="21"/>
    </w:rPr>
  </w:style>
  <w:style w:type="paragraph" w:customStyle="1" w:styleId="33">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34">
    <w:name w:val="0正文"/>
    <w:basedOn w:val="1"/>
    <w:qFormat/>
    <w:uiPriority w:val="0"/>
    <w:pPr>
      <w:ind w:firstLine="549" w:firstLineChars="196"/>
    </w:pPr>
    <w:rPr>
      <w:rFonts w:ascii="宋体" w:hAnsi="宋体" w:cs="宋体"/>
      <w:szCs w:val="20"/>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7">
    <w:name w:val="my正文"/>
    <w:basedOn w:val="1"/>
    <w:qFormat/>
    <w:uiPriority w:val="0"/>
    <w:pPr>
      <w:spacing w:line="360" w:lineRule="auto"/>
      <w:ind w:firstLine="480" w:firstLineChars="200"/>
    </w:pPr>
    <w:rPr>
      <w:sz w:val="24"/>
    </w:rPr>
  </w:style>
  <w:style w:type="paragraph" w:customStyle="1" w:styleId="38">
    <w:name w:val="表格文字"/>
    <w:basedOn w:val="1"/>
    <w:next w:val="11"/>
    <w:qFormat/>
    <w:uiPriority w:val="0"/>
    <w:pPr>
      <w:spacing w:before="25" w:after="25"/>
      <w:jc w:val="left"/>
    </w:pPr>
    <w:rPr>
      <w:bCs/>
      <w:spacing w:val="10"/>
      <w:kern w:val="0"/>
      <w:sz w:val="24"/>
      <w:szCs w:val="20"/>
    </w:rPr>
  </w:style>
  <w:style w:type="paragraph" w:customStyle="1" w:styleId="39">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40">
    <w:name w:val="列出段落1"/>
    <w:basedOn w:val="1"/>
    <w:link w:val="78"/>
    <w:qFormat/>
    <w:uiPriority w:val="34"/>
    <w:pPr>
      <w:ind w:firstLine="420" w:firstLineChars="200"/>
    </w:pPr>
    <w:rPr>
      <w:rFonts w:ascii="Calibri" w:hAnsi="Calibri"/>
      <w:szCs w:val="22"/>
    </w:rPr>
  </w:style>
  <w:style w:type="paragraph" w:customStyle="1" w:styleId="4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qFormat/>
    <w:uiPriority w:val="0"/>
    <w:rPr>
      <w:rFonts w:ascii="Times New Roman" w:hAnsi="Times New Roman" w:eastAsia="宋体" w:cs="Times New Roman"/>
      <w:sz w:val="21"/>
      <w:szCs w:val="22"/>
      <w:lang w:val="en-US" w:eastAsia="zh-CN" w:bidi="ar-SA"/>
    </w:rPr>
  </w:style>
  <w:style w:type="paragraph" w:customStyle="1" w:styleId="4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qFormat/>
    <w:uiPriority w:val="0"/>
    <w:pPr>
      <w:widowControl/>
      <w:jc w:val="left"/>
    </w:pPr>
    <w:rPr>
      <w:rFonts w:ascii="宋体" w:hAnsi="Courier New" w:eastAsiaTheme="minorEastAsia" w:cstheme="minorBidi"/>
      <w:szCs w:val="21"/>
    </w:rPr>
  </w:style>
  <w:style w:type="paragraph" w:customStyle="1" w:styleId="50">
    <w:name w:val="纯文本_0_1"/>
    <w:basedOn w:val="1"/>
    <w:qFormat/>
    <w:uiPriority w:val="0"/>
    <w:pPr>
      <w:widowControl/>
      <w:jc w:val="left"/>
    </w:pPr>
    <w:rPr>
      <w:rFonts w:ascii="宋体" w:hAnsi="Courier New" w:eastAsiaTheme="minorEastAsia" w:cstheme="minorBidi"/>
      <w:szCs w:val="21"/>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font21"/>
    <w:basedOn w:val="29"/>
    <w:qFormat/>
    <w:uiPriority w:val="0"/>
    <w:rPr>
      <w:rFonts w:hint="default" w:ascii="Arial" w:hAnsi="Arial" w:cs="Arial"/>
      <w:color w:val="000000"/>
      <w:sz w:val="20"/>
      <w:szCs w:val="20"/>
      <w:u w:val="none"/>
    </w:rPr>
  </w:style>
  <w:style w:type="character" w:customStyle="1" w:styleId="56">
    <w:name w:val="font01"/>
    <w:basedOn w:val="29"/>
    <w:qFormat/>
    <w:uiPriority w:val="0"/>
    <w:rPr>
      <w:rFonts w:hint="eastAsia" w:ascii="宋体" w:hAnsi="宋体" w:eastAsia="宋体" w:cs="宋体"/>
      <w:color w:val="000000"/>
      <w:sz w:val="20"/>
      <w:szCs w:val="20"/>
      <w:u w:val="none"/>
    </w:rPr>
  </w:style>
  <w:style w:type="paragraph" w:customStyle="1" w:styleId="57">
    <w:name w:val="纯文本1"/>
    <w:basedOn w:val="58"/>
    <w:qFormat/>
    <w:uiPriority w:val="0"/>
    <w:pPr>
      <w:widowControl/>
      <w:jc w:val="left"/>
    </w:pPr>
    <w:rPr>
      <w:rFonts w:ascii="宋体" w:hAnsi="Courier New"/>
    </w:rPr>
  </w:style>
  <w:style w:type="paragraph" w:customStyle="1" w:styleId="5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
    <w:name w:val="Table Paragraph"/>
    <w:basedOn w:val="1"/>
    <w:qFormat/>
    <w:uiPriority w:val="1"/>
    <w:rPr>
      <w:rFonts w:ascii="宋体" w:hAnsi="宋体" w:cs="宋体"/>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character" w:customStyle="1" w:styleId="61">
    <w:name w:val="批注框文本 字符"/>
    <w:basedOn w:val="29"/>
    <w:link w:val="14"/>
    <w:qFormat/>
    <w:uiPriority w:val="0"/>
    <w:rPr>
      <w:kern w:val="2"/>
      <w:sz w:val="18"/>
      <w:szCs w:val="18"/>
    </w:rPr>
  </w:style>
  <w:style w:type="paragraph" w:customStyle="1" w:styleId="62">
    <w:name w:val="英文"/>
    <w:basedOn w:val="1"/>
    <w:link w:val="63"/>
    <w:qFormat/>
    <w:uiPriority w:val="0"/>
    <w:pPr>
      <w:adjustRightInd w:val="0"/>
      <w:snapToGrid w:val="0"/>
      <w:spacing w:line="360" w:lineRule="auto"/>
      <w:ind w:firstLine="480" w:firstLineChars="200"/>
    </w:pPr>
    <w:rPr>
      <w:rFonts w:ascii="Arial" w:hAnsi="Arial" w:cs="Arial"/>
      <w:sz w:val="24"/>
    </w:rPr>
  </w:style>
  <w:style w:type="character" w:customStyle="1" w:styleId="63">
    <w:name w:val="英文 Char"/>
    <w:link w:val="62"/>
    <w:qFormat/>
    <w:uiPriority w:val="0"/>
    <w:rPr>
      <w:rFonts w:ascii="Arial" w:hAnsi="Arial" w:cs="Arial"/>
      <w:sz w:val="24"/>
    </w:rPr>
  </w:style>
  <w:style w:type="paragraph" w:customStyle="1" w:styleId="6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5">
    <w:name w:val="正文缩进 字符"/>
    <w:link w:val="8"/>
    <w:qFormat/>
    <w:uiPriority w:val="0"/>
    <w:rPr>
      <w:kern w:val="2"/>
      <w:sz w:val="21"/>
    </w:rPr>
  </w:style>
  <w:style w:type="character" w:customStyle="1" w:styleId="66">
    <w:name w:val="正文文本缩进 字符"/>
    <w:basedOn w:val="29"/>
    <w:link w:val="9"/>
    <w:qFormat/>
    <w:uiPriority w:val="0"/>
    <w:rPr>
      <w:kern w:val="2"/>
      <w:sz w:val="21"/>
      <w:szCs w:val="24"/>
    </w:rPr>
  </w:style>
  <w:style w:type="character" w:customStyle="1" w:styleId="67">
    <w:name w:val="正文文本缩进 3 字符"/>
    <w:basedOn w:val="29"/>
    <w:link w:val="20"/>
    <w:qFormat/>
    <w:uiPriority w:val="0"/>
    <w:rPr>
      <w:kern w:val="2"/>
      <w:sz w:val="16"/>
      <w:szCs w:val="16"/>
    </w:rPr>
  </w:style>
  <w:style w:type="character" w:customStyle="1" w:styleId="68">
    <w:name w:val="正文文本缩进 3 Char2"/>
    <w:qFormat/>
    <w:uiPriority w:val="0"/>
    <w:rPr>
      <w:kern w:val="2"/>
      <w:sz w:val="16"/>
      <w:szCs w:val="16"/>
    </w:rPr>
  </w:style>
  <w:style w:type="character" w:customStyle="1" w:styleId="69">
    <w:name w:val="qowt-font4"/>
    <w:basedOn w:val="29"/>
    <w:qFormat/>
    <w:uiPriority w:val="0"/>
  </w:style>
  <w:style w:type="character" w:customStyle="1" w:styleId="70">
    <w:name w:val="页脚 字符"/>
    <w:link w:val="15"/>
    <w:qFormat/>
    <w:uiPriority w:val="0"/>
    <w:rPr>
      <w:kern w:val="2"/>
      <w:sz w:val="18"/>
      <w:szCs w:val="24"/>
    </w:rPr>
  </w:style>
  <w:style w:type="character" w:customStyle="1" w:styleId="71">
    <w:name w:val="HTML 预设格式 字符"/>
    <w:basedOn w:val="29"/>
    <w:link w:val="22"/>
    <w:qFormat/>
    <w:uiPriority w:val="0"/>
    <w:rPr>
      <w:rFonts w:ascii="宋体" w:hAnsi="宋体"/>
      <w:sz w:val="24"/>
      <w:szCs w:val="24"/>
    </w:rPr>
  </w:style>
  <w:style w:type="paragraph" w:customStyle="1" w:styleId="72">
    <w:name w:val="列出段落11"/>
    <w:basedOn w:val="1"/>
    <w:qFormat/>
    <w:uiPriority w:val="0"/>
    <w:pPr>
      <w:ind w:firstLine="420" w:firstLineChars="200"/>
    </w:pPr>
    <w:rPr>
      <w:rFonts w:ascii="Calibri" w:hAnsi="Calibri"/>
      <w:kern w:val="0"/>
      <w:szCs w:val="20"/>
    </w:rPr>
  </w:style>
  <w:style w:type="character" w:customStyle="1" w:styleId="73">
    <w:name w:val="正文首行缩进 2 字符"/>
    <w:basedOn w:val="66"/>
    <w:link w:val="26"/>
    <w:qFormat/>
    <w:uiPriority w:val="99"/>
    <w:rPr>
      <w:kern w:val="2"/>
      <w:sz w:val="21"/>
      <w:szCs w:val="24"/>
    </w:rPr>
  </w:style>
  <w:style w:type="paragraph" w:customStyle="1" w:styleId="74">
    <w:name w:val="标书-正文"/>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75">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76">
    <w:name w:val="签发人"/>
    <w:basedOn w:val="1"/>
    <w:qFormat/>
    <w:uiPriority w:val="0"/>
    <w:rPr>
      <w:rFonts w:eastAsia="楷体"/>
      <w:sz w:val="32"/>
    </w:rPr>
  </w:style>
  <w:style w:type="character" w:customStyle="1" w:styleId="77">
    <w:name w:val="标题 5 字符"/>
    <w:basedOn w:val="29"/>
    <w:link w:val="6"/>
    <w:semiHidden/>
    <w:qFormat/>
    <w:uiPriority w:val="0"/>
    <w:rPr>
      <w:b/>
      <w:bCs/>
      <w:kern w:val="2"/>
      <w:sz w:val="28"/>
      <w:szCs w:val="28"/>
    </w:rPr>
  </w:style>
  <w:style w:type="character" w:customStyle="1" w:styleId="78">
    <w:name w:val="列表段落 字符"/>
    <w:link w:val="40"/>
    <w:qFormat/>
    <w:uiPriority w:val="34"/>
    <w:rPr>
      <w:rFonts w:ascii="Calibri" w:hAnsi="Calibri"/>
      <w:kern w:val="2"/>
      <w:sz w:val="21"/>
      <w:szCs w:val="22"/>
    </w:rPr>
  </w:style>
  <w:style w:type="paragraph" w:customStyle="1" w:styleId="79">
    <w:name w:val="列表段落2"/>
    <w:basedOn w:val="1"/>
    <w:qFormat/>
    <w:uiPriority w:val="34"/>
    <w:pPr>
      <w:ind w:firstLine="420" w:firstLineChars="200"/>
    </w:pPr>
    <w:rPr>
      <w:rFonts w:ascii="Calibri" w:hAnsi="Calibri"/>
      <w:sz w:val="28"/>
    </w:rPr>
  </w:style>
  <w:style w:type="paragraph" w:customStyle="1" w:styleId="80">
    <w:name w:val="Table Text"/>
    <w:basedOn w:val="1"/>
    <w:hidden/>
    <w:qFormat/>
    <w:uiPriority w:val="0"/>
    <w:pPr>
      <w:kinsoku w:val="0"/>
      <w:autoSpaceDE w:val="0"/>
      <w:autoSpaceDN w:val="0"/>
      <w:adjustRightInd w:val="0"/>
      <w:snapToGrid w:val="0"/>
      <w:jc w:val="left"/>
      <w:textAlignment w:val="baseline"/>
    </w:pPr>
    <w:rPr>
      <w:rFonts w:hint="eastAsia" w:ascii="宋体" w:hAnsi="宋体"/>
      <w:color w:val="000000"/>
      <w:kern w:val="0"/>
      <w:sz w:val="24"/>
    </w:rPr>
  </w:style>
  <w:style w:type="paragraph" w:styleId="81">
    <w:name w:val="List Paragraph"/>
    <w:basedOn w:val="1"/>
    <w:qFormat/>
    <w:uiPriority w:val="34"/>
    <w:pPr>
      <w:ind w:firstLine="420" w:firstLineChars="200"/>
    </w:pPr>
    <w:rPr>
      <w:rFonts w:ascii="Calibri" w:hAnsi="Calibri"/>
      <w:szCs w:val="22"/>
    </w:rPr>
  </w:style>
  <w:style w:type="paragraph" w:customStyle="1" w:styleId="82">
    <w:name w:val="正文首行缩进 21"/>
    <w:basedOn w:val="1"/>
    <w:qFormat/>
    <w:uiPriority w:val="0"/>
    <w:pPr>
      <w:spacing w:after="120"/>
      <w:ind w:left="420" w:leftChars="200" w:firstLine="420"/>
    </w:pPr>
  </w:style>
  <w:style w:type="character" w:customStyle="1" w:styleId="83">
    <w:name w:val="font11"/>
    <w:basedOn w:val="29"/>
    <w:qFormat/>
    <w:uiPriority w:val="0"/>
    <w:rPr>
      <w:rFonts w:hint="eastAsia" w:ascii="宋体" w:hAnsi="宋体" w:eastAsia="宋体" w:cs="宋体"/>
      <w:b/>
      <w:bCs/>
      <w:color w:val="000000"/>
      <w:sz w:val="24"/>
      <w:szCs w:val="24"/>
      <w:u w:val="none"/>
    </w:rPr>
  </w:style>
  <w:style w:type="character" w:customStyle="1" w:styleId="84">
    <w:name w:val="font41"/>
    <w:basedOn w:val="29"/>
    <w:qFormat/>
    <w:uiPriority w:val="0"/>
    <w:rPr>
      <w:rFonts w:hint="eastAsia" w:ascii="宋体" w:hAnsi="宋体" w:eastAsia="宋体" w:cs="宋体"/>
      <w:color w:val="000000"/>
      <w:sz w:val="24"/>
      <w:szCs w:val="24"/>
      <w:u w:val="none"/>
    </w:rPr>
  </w:style>
  <w:style w:type="character" w:customStyle="1" w:styleId="85">
    <w:name w:val="font31"/>
    <w:basedOn w:val="29"/>
    <w:qFormat/>
    <w:uiPriority w:val="0"/>
    <w:rPr>
      <w:rFonts w:hint="default" w:ascii="Wingdings 2" w:hAnsi="Wingdings 2" w:eastAsia="Wingdings 2" w:cs="Wingdings 2"/>
      <w:color w:val="000000"/>
      <w:sz w:val="20"/>
      <w:szCs w:val="20"/>
      <w:u w:val="none"/>
    </w:rPr>
  </w:style>
  <w:style w:type="paragraph" w:customStyle="1" w:styleId="8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MY正文"/>
    <w:basedOn w:val="1"/>
    <w:qFormat/>
    <w:uiPriority w:val="0"/>
    <w:pPr>
      <w:spacing w:line="360" w:lineRule="auto"/>
      <w:ind w:firstLine="200" w:firstLineChars="200"/>
    </w:pPr>
    <w:rPr>
      <w:sz w:val="24"/>
    </w:rPr>
  </w:style>
  <w:style w:type="paragraph" w:customStyle="1" w:styleId="88">
    <w:name w:val="Item List in Table"/>
    <w:basedOn w:val="1"/>
    <w:qFormat/>
    <w:uiPriority w:val="0"/>
    <w:pPr>
      <w:widowControl/>
      <w:numPr>
        <w:ilvl w:val="0"/>
        <w:numId w:val="3"/>
      </w:numPr>
      <w:topLinePunct/>
      <w:adjustRightInd w:val="0"/>
      <w:snapToGrid w:val="0"/>
      <w:spacing w:before="80" w:after="80" w:line="240" w:lineRule="atLeast"/>
      <w:jc w:val="left"/>
    </w:pPr>
    <w:rPr>
      <w:rFonts w:hint="eastAsia" w:cs="Arial"/>
      <w:kern w:val="0"/>
      <w:szCs w:val="21"/>
    </w:rPr>
  </w:style>
  <w:style w:type="character" w:customStyle="1" w:styleId="89">
    <w:name w:val="NormalCharacter"/>
    <w:link w:val="90"/>
    <w:qFormat/>
    <w:uiPriority w:val="0"/>
    <w:rPr>
      <w:rFonts w:ascii="黑体" w:eastAsia="黑体"/>
      <w:kern w:val="0"/>
      <w:sz w:val="24"/>
      <w:szCs w:val="20"/>
    </w:rPr>
  </w:style>
  <w:style w:type="paragraph" w:customStyle="1" w:styleId="90">
    <w:name w:val="UserStyle_23"/>
    <w:basedOn w:val="1"/>
    <w:link w:val="89"/>
    <w:qFormat/>
    <w:uiPriority w:val="0"/>
    <w:pPr>
      <w:textAlignment w:val="baseline"/>
    </w:pPr>
    <w:rPr>
      <w:rFonts w:ascii="黑体" w:eastAsia="黑体"/>
      <w:kern w:val="0"/>
      <w:sz w:val="24"/>
      <w:szCs w:val="20"/>
    </w:rPr>
  </w:style>
  <w:style w:type="character" w:customStyle="1" w:styleId="91">
    <w:name w:val="批注文字 字符"/>
    <w:basedOn w:val="29"/>
    <w:link w:val="10"/>
    <w:qFormat/>
    <w:uiPriority w:val="0"/>
    <w:rPr>
      <w:kern w:val="2"/>
      <w:sz w:val="21"/>
      <w:szCs w:val="24"/>
    </w:rPr>
  </w:style>
  <w:style w:type="character" w:customStyle="1" w:styleId="92">
    <w:name w:val="批注主题 字符"/>
    <w:basedOn w:val="91"/>
    <w:link w:val="2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7932</Words>
  <Characters>8614</Characters>
  <Lines>306</Lines>
  <Paragraphs>86</Paragraphs>
  <TotalTime>0</TotalTime>
  <ScaleCrop>false</ScaleCrop>
  <LinksUpToDate>false</LinksUpToDate>
  <CharactersWithSpaces>8710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2025-01-16T15:34:00Z</dcterms:created>
  <dcterms:modified xsi:type="dcterms:W3CDTF">2025-02-20T01:46:18Z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eyJoZGlkIjoiNGMwN2FmNjI5M2E1ZWVmMGYxZWM1Mzk5M2ZlOGY5YjMiLCJ1c2VySWQiOiIzMzYwOTc0NzYifQ==</vt:lpwstr>
  </property>
  <property fmtid="{D5CDD505-2E9C-101B-9397-08002B2CF9AE}" pid="3" name="KSOProductBuildVer">
    <vt:lpwstr>2052-12.1.0.19770</vt:lpwstr>
  </property>
  <property fmtid="{D5CDD505-2E9C-101B-9397-08002B2CF9AE}" pid="4" name="ICV">
    <vt:lpwstr>110A5FD19EE64CCDBC2F9F190D1438CC_12</vt:lpwstr>
  </property>
</Properties>
</file>