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D5F6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305"/>
        <w:jc w:val="center"/>
        <w:rPr>
          <w:rFonts w:ascii="宋体"/>
          <w:b/>
          <w:color w:val="auto"/>
          <w:kern w:val="0"/>
          <w:sz w:val="52"/>
          <w:szCs w:val="52"/>
        </w:rPr>
      </w:pPr>
    </w:p>
    <w:p w14:paraId="626E359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305"/>
        <w:jc w:val="center"/>
        <w:rPr>
          <w:rFonts w:ascii="宋体"/>
          <w:b/>
          <w:color w:val="auto"/>
          <w:kern w:val="0"/>
          <w:sz w:val="52"/>
          <w:szCs w:val="52"/>
        </w:rPr>
      </w:pPr>
      <w:r>
        <w:rPr>
          <w:rFonts w:hint="eastAsia" w:ascii="宋体"/>
          <w:b/>
          <w:color w:val="auto"/>
          <w:kern w:val="0"/>
          <w:sz w:val="52"/>
        </w:rPr>
        <w:t>玉环市</w:t>
      </w:r>
      <w:r>
        <w:rPr>
          <w:rFonts w:hint="eastAsia" w:ascii="宋体"/>
          <w:b/>
          <w:color w:val="auto"/>
          <w:kern w:val="0"/>
          <w:sz w:val="52"/>
          <w:szCs w:val="52"/>
        </w:rPr>
        <w:t>政府采购招标文件</w:t>
      </w:r>
    </w:p>
    <w:p w14:paraId="109184CC">
      <w:pPr>
        <w:autoSpaceDE w:val="0"/>
        <w:autoSpaceDN w:val="0"/>
        <w:adjustRightInd w:val="0"/>
        <w:spacing w:line="360" w:lineRule="auto"/>
        <w:ind w:firstLine="700"/>
        <w:rPr>
          <w:rFonts w:ascii="宋体"/>
          <w:color w:val="auto"/>
          <w:kern w:val="0"/>
          <w:sz w:val="28"/>
        </w:rPr>
      </w:pPr>
    </w:p>
    <w:p w14:paraId="51BA93E5">
      <w:pPr>
        <w:spacing w:line="360" w:lineRule="auto"/>
        <w:ind w:firstLine="750"/>
        <w:jc w:val="center"/>
        <w:rPr>
          <w:rFonts w:ascii="宋体" w:hAnsi="宋体" w:cs="宋体"/>
          <w:color w:val="auto"/>
          <w:kern w:val="0"/>
          <w:sz w:val="30"/>
          <w:szCs w:val="30"/>
        </w:rPr>
      </w:pPr>
      <w:r>
        <w:rPr>
          <w:rFonts w:hint="eastAsia" w:ascii="宋体" w:hAnsi="宋体" w:cs="宋体"/>
          <w:color w:val="auto"/>
          <w:kern w:val="0"/>
          <w:sz w:val="30"/>
          <w:szCs w:val="30"/>
        </w:rPr>
        <w:t>TZZY-2024-123</w:t>
      </w:r>
    </w:p>
    <w:p w14:paraId="03AC3791">
      <w:pPr>
        <w:pStyle w:val="11"/>
        <w:ind w:firstLine="600"/>
        <w:rPr>
          <w:color w:val="auto"/>
        </w:rPr>
      </w:pPr>
    </w:p>
    <w:p w14:paraId="656C67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ascii="宋体" w:hAnsi="宋体" w:cs="宋体"/>
          <w:color w:val="auto"/>
          <w:kern w:val="0"/>
          <w:sz w:val="30"/>
          <w:szCs w:val="30"/>
        </w:rPr>
      </w:pPr>
    </w:p>
    <w:p w14:paraId="2B1C51A5">
      <w:pPr>
        <w:spacing w:line="360" w:lineRule="auto"/>
        <w:ind w:firstLine="250" w:firstLineChars="100"/>
        <w:jc w:val="left"/>
        <w:rPr>
          <w:rFonts w:ascii="宋体" w:hAnsi="宋体" w:cs="宋体"/>
          <w:color w:val="auto"/>
          <w:kern w:val="0"/>
          <w:sz w:val="28"/>
          <w:szCs w:val="28"/>
        </w:rPr>
      </w:pPr>
      <w:r>
        <w:rPr>
          <w:rFonts w:hint="eastAsia" w:ascii="宋体" w:hAnsi="宋体" w:cs="宋体"/>
          <w:color w:val="auto"/>
          <w:kern w:val="0"/>
          <w:sz w:val="25"/>
          <w:szCs w:val="25"/>
        </w:rPr>
        <w:t>采购项目：玉环市残疾人托养中心运行管理项目</w:t>
      </w:r>
    </w:p>
    <w:p w14:paraId="203C5418">
      <w:pPr>
        <w:spacing w:line="360" w:lineRule="auto"/>
        <w:ind w:firstLine="700"/>
        <w:jc w:val="left"/>
        <w:rPr>
          <w:rFonts w:ascii="宋体" w:hAnsi="宋体" w:cs="宋体"/>
          <w:color w:val="auto"/>
          <w:kern w:val="0"/>
          <w:sz w:val="28"/>
          <w:szCs w:val="28"/>
        </w:rPr>
      </w:pPr>
    </w:p>
    <w:p w14:paraId="3993F2E8">
      <w:pPr>
        <w:spacing w:line="360" w:lineRule="auto"/>
        <w:ind w:firstLine="250" w:firstLineChars="100"/>
        <w:jc w:val="left"/>
        <w:rPr>
          <w:rFonts w:ascii="宋体" w:hAnsi="宋体" w:cs="宋体"/>
          <w:color w:val="auto"/>
          <w:kern w:val="0"/>
          <w:sz w:val="25"/>
          <w:szCs w:val="25"/>
        </w:rPr>
      </w:pPr>
      <w:r>
        <w:rPr>
          <w:rFonts w:hint="eastAsia" w:ascii="宋体" w:hAnsi="宋体" w:cs="宋体"/>
          <w:color w:val="auto"/>
          <w:kern w:val="0"/>
          <w:sz w:val="25"/>
          <w:szCs w:val="25"/>
        </w:rPr>
        <w:t>采购人：玉环市残疾人联合会</w:t>
      </w:r>
    </w:p>
    <w:p w14:paraId="3EB2F05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rPr>
      </w:pPr>
    </w:p>
    <w:p w14:paraId="01DFA7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750"/>
        <w:jc w:val="left"/>
        <w:rPr>
          <w:rFonts w:ascii="宋体" w:hAnsi="宋体" w:cs="宋体"/>
          <w:color w:val="auto"/>
          <w:kern w:val="0"/>
          <w:sz w:val="30"/>
          <w:szCs w:val="30"/>
        </w:rPr>
      </w:pPr>
    </w:p>
    <w:p w14:paraId="5D288566">
      <w:pPr>
        <w:pStyle w:val="42"/>
        <w:ind w:firstLine="750"/>
        <w:rPr>
          <w:rFonts w:ascii="宋体" w:hAnsi="宋体" w:cs="宋体"/>
          <w:color w:val="auto"/>
          <w:sz w:val="30"/>
          <w:szCs w:val="30"/>
        </w:rPr>
      </w:pPr>
    </w:p>
    <w:p w14:paraId="4EFE5D89">
      <w:pPr>
        <w:pStyle w:val="3"/>
        <w:ind w:firstLine="750"/>
        <w:rPr>
          <w:rFonts w:ascii="宋体" w:hAnsi="宋体" w:cs="宋体"/>
          <w:color w:val="auto"/>
          <w:kern w:val="0"/>
          <w:sz w:val="30"/>
          <w:szCs w:val="30"/>
        </w:rPr>
      </w:pPr>
    </w:p>
    <w:p w14:paraId="0E4A5957">
      <w:pPr>
        <w:pStyle w:val="21"/>
        <w:ind w:left="0" w:firstLine="750"/>
        <w:rPr>
          <w:rFonts w:ascii="宋体" w:hAnsi="宋体" w:cs="宋体"/>
          <w:color w:val="auto"/>
          <w:sz w:val="30"/>
          <w:szCs w:val="30"/>
        </w:rPr>
      </w:pPr>
    </w:p>
    <w:p w14:paraId="5066B64C">
      <w:pPr>
        <w:pStyle w:val="41"/>
        <w:rPr>
          <w:rFonts w:eastAsiaTheme="minorEastAsia"/>
          <w:color w:val="auto"/>
        </w:rPr>
      </w:pPr>
    </w:p>
    <w:p w14:paraId="190999EB">
      <w:pPr>
        <w:ind w:firstLine="750"/>
        <w:rPr>
          <w:rFonts w:ascii="宋体" w:hAnsi="宋体" w:cs="宋体"/>
          <w:color w:val="auto"/>
          <w:kern w:val="0"/>
          <w:sz w:val="30"/>
          <w:szCs w:val="30"/>
        </w:rPr>
      </w:pPr>
    </w:p>
    <w:p w14:paraId="0F98C403">
      <w:pPr>
        <w:pStyle w:val="42"/>
        <w:ind w:firstLine="750"/>
        <w:rPr>
          <w:rFonts w:ascii="宋体" w:hAnsi="宋体" w:cs="宋体"/>
          <w:color w:val="auto"/>
          <w:sz w:val="30"/>
          <w:szCs w:val="30"/>
        </w:rPr>
      </w:pPr>
    </w:p>
    <w:p w14:paraId="13F52C2D">
      <w:pPr>
        <w:pStyle w:val="3"/>
        <w:rPr>
          <w:color w:val="auto"/>
        </w:rPr>
      </w:pPr>
    </w:p>
    <w:p w14:paraId="032CA242">
      <w:pPr>
        <w:spacing w:line="360" w:lineRule="auto"/>
        <w:ind w:firstLine="750"/>
        <w:jc w:val="center"/>
        <w:rPr>
          <w:rFonts w:ascii="宋体" w:hAnsi="宋体" w:cs="宋体"/>
          <w:color w:val="auto"/>
          <w:kern w:val="0"/>
          <w:sz w:val="30"/>
          <w:szCs w:val="30"/>
        </w:rPr>
      </w:pPr>
      <w:r>
        <w:rPr>
          <w:rFonts w:hint="eastAsia" w:ascii="宋体" w:hAnsi="宋体" w:cs="宋体"/>
          <w:color w:val="auto"/>
          <w:kern w:val="0"/>
          <w:sz w:val="30"/>
          <w:szCs w:val="30"/>
        </w:rPr>
        <w:t>台州中域工程咨询有限公司</w:t>
      </w:r>
    </w:p>
    <w:p w14:paraId="42F9C780">
      <w:pPr>
        <w:spacing w:line="360" w:lineRule="auto"/>
        <w:ind w:firstLine="750"/>
        <w:jc w:val="center"/>
        <w:rPr>
          <w:rFonts w:ascii="宋体" w:hAnsi="宋体" w:cs="宋体"/>
          <w:color w:val="auto"/>
          <w:kern w:val="0"/>
          <w:sz w:val="30"/>
          <w:szCs w:val="30"/>
        </w:rPr>
      </w:pPr>
      <w:r>
        <w:rPr>
          <w:rFonts w:hint="eastAsia" w:ascii="宋体" w:hAnsi="宋体" w:cs="宋体"/>
          <w:color w:val="auto"/>
          <w:kern w:val="0"/>
          <w:sz w:val="30"/>
          <w:szCs w:val="30"/>
        </w:rPr>
        <w:t>2024年10月</w:t>
      </w:r>
    </w:p>
    <w:p w14:paraId="0C0FF275">
      <w:pPr>
        <w:spacing w:line="360" w:lineRule="auto"/>
        <w:rPr>
          <w:color w:val="auto"/>
        </w:rPr>
      </w:pPr>
    </w:p>
    <w:p w14:paraId="0CB0E2AE">
      <w:pPr>
        <w:pStyle w:val="24"/>
        <w:ind w:firstLine="904"/>
        <w:rPr>
          <w:color w:val="auto"/>
        </w:rPr>
        <w:sectPr>
          <w:headerReference r:id="rId3" w:type="default"/>
          <w:pgSz w:w="11906" w:h="16838"/>
          <w:pgMar w:top="1440" w:right="1633" w:bottom="1440" w:left="1633" w:header="851" w:footer="992" w:gutter="0"/>
          <w:cols w:space="425" w:num="1"/>
          <w:docGrid w:type="lines" w:linePitch="312" w:charSpace="0"/>
        </w:sectPr>
      </w:pPr>
    </w:p>
    <w:p w14:paraId="3E5CC61C">
      <w:pPr>
        <w:rPr>
          <w:color w:val="auto"/>
        </w:rPr>
      </w:pPr>
    </w:p>
    <w:p w14:paraId="4FC2EDB6">
      <w:pPr>
        <w:ind w:firstLine="904"/>
        <w:jc w:val="center"/>
        <w:rPr>
          <w:rFonts w:ascii="宋体" w:hAnsi="宋体" w:cs="Arial"/>
          <w:b/>
          <w:bCs/>
          <w:color w:val="auto"/>
          <w:sz w:val="36"/>
          <w:szCs w:val="36"/>
        </w:rPr>
      </w:pPr>
      <w:r>
        <w:rPr>
          <w:rFonts w:hint="eastAsia" w:ascii="宋体" w:hAnsi="宋体" w:cs="Arial"/>
          <w:b/>
          <w:bCs/>
          <w:color w:val="auto"/>
          <w:sz w:val="36"/>
          <w:szCs w:val="36"/>
        </w:rPr>
        <w:t>目    录</w:t>
      </w:r>
    </w:p>
    <w:p w14:paraId="5D54185D">
      <w:pPr>
        <w:spacing w:line="360" w:lineRule="auto"/>
        <w:ind w:firstLine="700"/>
        <w:rPr>
          <w:rFonts w:ascii="新宋体" w:hAnsi="新宋体" w:eastAsia="新宋体"/>
          <w:color w:val="auto"/>
          <w:sz w:val="28"/>
          <w:szCs w:val="28"/>
        </w:rPr>
      </w:pPr>
    </w:p>
    <w:p w14:paraId="6E738F83">
      <w:pPr>
        <w:numPr>
          <w:ilvl w:val="0"/>
          <w:numId w:val="3"/>
        </w:numPr>
        <w:spacing w:line="360" w:lineRule="auto"/>
        <w:ind w:firstLine="703"/>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公开招标采购公告</w:t>
      </w:r>
    </w:p>
    <w:p w14:paraId="0C95B50F">
      <w:pPr>
        <w:numPr>
          <w:ilvl w:val="0"/>
          <w:numId w:val="3"/>
        </w:numPr>
        <w:spacing w:line="360" w:lineRule="auto"/>
        <w:ind w:firstLine="703"/>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投标人须知</w:t>
      </w:r>
    </w:p>
    <w:p w14:paraId="5D3A3FBC">
      <w:pPr>
        <w:numPr>
          <w:ilvl w:val="0"/>
          <w:numId w:val="3"/>
        </w:numPr>
        <w:spacing w:line="360" w:lineRule="auto"/>
        <w:ind w:firstLine="703"/>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评标办法及评分标准</w:t>
      </w:r>
    </w:p>
    <w:p w14:paraId="5EA1EFE2">
      <w:pPr>
        <w:numPr>
          <w:ilvl w:val="0"/>
          <w:numId w:val="3"/>
        </w:numPr>
        <w:spacing w:line="360" w:lineRule="auto"/>
        <w:ind w:firstLine="703"/>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公开招标需求</w:t>
      </w:r>
    </w:p>
    <w:p w14:paraId="43C0709F">
      <w:pPr>
        <w:numPr>
          <w:ilvl w:val="0"/>
          <w:numId w:val="3"/>
        </w:numPr>
        <w:spacing w:line="360" w:lineRule="auto"/>
        <w:ind w:firstLine="703"/>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政府采购合同主要条款指引</w:t>
      </w:r>
    </w:p>
    <w:p w14:paraId="12110873">
      <w:pPr>
        <w:numPr>
          <w:ilvl w:val="0"/>
          <w:numId w:val="3"/>
        </w:numPr>
        <w:spacing w:line="360" w:lineRule="auto"/>
        <w:ind w:firstLine="703"/>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投标文件格式附件</w:t>
      </w:r>
    </w:p>
    <w:p w14:paraId="5858ECF3">
      <w:pPr>
        <w:spacing w:line="360" w:lineRule="auto"/>
        <w:rPr>
          <w:color w:val="auto"/>
        </w:rPr>
      </w:pPr>
    </w:p>
    <w:p w14:paraId="1703EEC6">
      <w:pPr>
        <w:spacing w:line="360" w:lineRule="auto"/>
        <w:rPr>
          <w:color w:val="auto"/>
        </w:rPr>
      </w:pPr>
    </w:p>
    <w:p w14:paraId="36909C97">
      <w:pPr>
        <w:spacing w:line="360" w:lineRule="auto"/>
        <w:rPr>
          <w:color w:val="auto"/>
        </w:rPr>
      </w:pPr>
    </w:p>
    <w:p w14:paraId="08F2A066">
      <w:pPr>
        <w:spacing w:line="360" w:lineRule="auto"/>
        <w:rPr>
          <w:color w:val="auto"/>
        </w:rPr>
      </w:pPr>
    </w:p>
    <w:p w14:paraId="3215561B">
      <w:pPr>
        <w:spacing w:line="360" w:lineRule="auto"/>
        <w:rPr>
          <w:color w:val="auto"/>
        </w:rPr>
      </w:pPr>
    </w:p>
    <w:p w14:paraId="053BBACB">
      <w:pPr>
        <w:spacing w:line="360" w:lineRule="auto"/>
        <w:rPr>
          <w:color w:val="auto"/>
        </w:rPr>
      </w:pPr>
    </w:p>
    <w:p w14:paraId="4CF6D3C3">
      <w:pPr>
        <w:spacing w:line="360" w:lineRule="auto"/>
        <w:rPr>
          <w:color w:val="auto"/>
        </w:rPr>
      </w:pPr>
    </w:p>
    <w:p w14:paraId="1A86629D">
      <w:pPr>
        <w:spacing w:line="360" w:lineRule="auto"/>
        <w:rPr>
          <w:color w:val="auto"/>
        </w:rPr>
      </w:pPr>
    </w:p>
    <w:p w14:paraId="11DBB8C4">
      <w:pPr>
        <w:spacing w:line="360" w:lineRule="auto"/>
        <w:rPr>
          <w:color w:val="auto"/>
        </w:rPr>
      </w:pPr>
    </w:p>
    <w:p w14:paraId="79153C44">
      <w:pPr>
        <w:spacing w:line="360" w:lineRule="auto"/>
        <w:rPr>
          <w:color w:val="auto"/>
        </w:rPr>
      </w:pPr>
    </w:p>
    <w:p w14:paraId="68ABF400">
      <w:pPr>
        <w:spacing w:line="360" w:lineRule="auto"/>
        <w:rPr>
          <w:color w:val="auto"/>
        </w:rPr>
      </w:pPr>
    </w:p>
    <w:p w14:paraId="4A198F89">
      <w:pPr>
        <w:spacing w:line="360" w:lineRule="auto"/>
        <w:rPr>
          <w:color w:val="auto"/>
        </w:rPr>
      </w:pPr>
    </w:p>
    <w:p w14:paraId="77569BED">
      <w:pPr>
        <w:spacing w:line="360" w:lineRule="auto"/>
        <w:rPr>
          <w:color w:val="auto"/>
        </w:rPr>
      </w:pPr>
    </w:p>
    <w:p w14:paraId="53420F95">
      <w:pPr>
        <w:spacing w:line="360" w:lineRule="auto"/>
        <w:rPr>
          <w:color w:val="auto"/>
        </w:rPr>
      </w:pPr>
    </w:p>
    <w:p w14:paraId="3A905F15">
      <w:pPr>
        <w:spacing w:line="360" w:lineRule="auto"/>
        <w:rPr>
          <w:color w:val="auto"/>
        </w:rPr>
      </w:pPr>
    </w:p>
    <w:p w14:paraId="6312FA03">
      <w:pPr>
        <w:tabs>
          <w:tab w:val="left" w:pos="180"/>
          <w:tab w:val="left" w:pos="360"/>
          <w:tab w:val="left" w:pos="540"/>
          <w:tab w:val="left" w:pos="8280"/>
        </w:tabs>
        <w:autoSpaceDE w:val="0"/>
        <w:autoSpaceDN w:val="0"/>
        <w:adjustRightInd w:val="0"/>
        <w:spacing w:line="360" w:lineRule="auto"/>
        <w:ind w:right="23" w:firstLine="904"/>
        <w:jc w:val="center"/>
        <w:rPr>
          <w:rFonts w:asciiTheme="majorEastAsia" w:hAnsiTheme="majorEastAsia" w:eastAsiaTheme="majorEastAsia"/>
          <w:b/>
          <w:color w:val="auto"/>
          <w:kern w:val="0"/>
          <w:sz w:val="36"/>
          <w:szCs w:val="36"/>
        </w:rPr>
      </w:pPr>
    </w:p>
    <w:p w14:paraId="2F2C91A4">
      <w:pPr>
        <w:tabs>
          <w:tab w:val="left" w:pos="180"/>
          <w:tab w:val="left" w:pos="360"/>
          <w:tab w:val="left" w:pos="540"/>
          <w:tab w:val="left" w:pos="8280"/>
        </w:tabs>
        <w:autoSpaceDE w:val="0"/>
        <w:autoSpaceDN w:val="0"/>
        <w:adjustRightInd w:val="0"/>
        <w:spacing w:line="360" w:lineRule="auto"/>
        <w:ind w:right="23" w:firstLine="904"/>
        <w:jc w:val="center"/>
        <w:outlineLvl w:val="0"/>
        <w:rPr>
          <w:rFonts w:asciiTheme="majorEastAsia" w:hAnsiTheme="majorEastAsia" w:eastAsiaTheme="majorEastAsia"/>
          <w:b/>
          <w:color w:val="auto"/>
          <w:kern w:val="0"/>
          <w:sz w:val="36"/>
          <w:szCs w:val="36"/>
        </w:rPr>
        <w:sectPr>
          <w:footerReference r:id="rId4" w:type="default"/>
          <w:pgSz w:w="11906" w:h="16838"/>
          <w:pgMar w:top="1440" w:right="1633" w:bottom="1440" w:left="1633" w:header="851" w:footer="992" w:gutter="0"/>
          <w:pgNumType w:fmt="decimal" w:start="1"/>
          <w:cols w:space="425" w:num="1"/>
          <w:docGrid w:type="lines" w:linePitch="312" w:charSpace="0"/>
        </w:sectPr>
      </w:pPr>
    </w:p>
    <w:p w14:paraId="125E3892">
      <w:pPr>
        <w:tabs>
          <w:tab w:val="left" w:pos="180"/>
          <w:tab w:val="left" w:pos="360"/>
          <w:tab w:val="left" w:pos="540"/>
          <w:tab w:val="left" w:pos="8280"/>
        </w:tabs>
        <w:autoSpaceDE w:val="0"/>
        <w:autoSpaceDN w:val="0"/>
        <w:adjustRightInd w:val="0"/>
        <w:spacing w:line="360" w:lineRule="auto"/>
        <w:ind w:right="23" w:firstLine="904"/>
        <w:jc w:val="center"/>
        <w:outlineLvl w:val="0"/>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rPr>
        <w:t>第一章  公开</w:t>
      </w:r>
      <w:r>
        <w:rPr>
          <w:rFonts w:hint="eastAsia" w:asciiTheme="majorEastAsia" w:hAnsiTheme="majorEastAsia" w:eastAsiaTheme="majorEastAsia"/>
          <w:b/>
          <w:color w:val="auto"/>
          <w:sz w:val="36"/>
          <w:szCs w:val="36"/>
        </w:rPr>
        <w:t>招标采购公告</w:t>
      </w:r>
    </w:p>
    <w:p w14:paraId="36836530">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color w:val="auto"/>
          <w:sz w:val="24"/>
        </w:rPr>
      </w:pPr>
      <w:r>
        <w:rPr>
          <w:rFonts w:hint="eastAsia" w:ascii="宋体" w:hAnsi="宋体" w:cs="宋体"/>
          <w:color w:val="auto"/>
          <w:sz w:val="24"/>
        </w:rPr>
        <w:t>项目概况</w:t>
      </w:r>
    </w:p>
    <w:p w14:paraId="4B81AAE9">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color w:val="auto"/>
          <w:sz w:val="24"/>
        </w:rPr>
      </w:pPr>
      <w:r>
        <w:rPr>
          <w:rFonts w:hint="eastAsia" w:ascii="宋体" w:hAnsi="宋体" w:cs="宋体"/>
          <w:color w:val="auto"/>
          <w:sz w:val="24"/>
          <w:u w:val="single"/>
        </w:rPr>
        <w:t>玉环市残疾人托养中心运行管理项目</w:t>
      </w:r>
      <w:r>
        <w:rPr>
          <w:rFonts w:hint="eastAsia" w:ascii="宋体" w:hAnsi="宋体" w:cs="宋体"/>
          <w:color w:val="auto"/>
          <w:sz w:val="24"/>
        </w:rPr>
        <w:t>的潜在供应商在政府采购云平台（www.zcygov.cn）获取（下载）招标文件，并于2024年11月</w:t>
      </w:r>
      <w:r>
        <w:rPr>
          <w:rFonts w:hint="eastAsia" w:ascii="宋体" w:hAnsi="宋体" w:cs="宋体"/>
          <w:color w:val="auto"/>
          <w:sz w:val="24"/>
          <w:lang w:val="en-US" w:eastAsia="zh-CN"/>
        </w:rPr>
        <w:t>12</w:t>
      </w:r>
      <w:r>
        <w:rPr>
          <w:rFonts w:hint="eastAsia" w:ascii="宋体" w:hAnsi="宋体" w:cs="宋体"/>
          <w:color w:val="auto"/>
          <w:sz w:val="24"/>
        </w:rPr>
        <w:t>日09:30（北京时间）前提交（上传）投标文件。</w:t>
      </w:r>
    </w:p>
    <w:p w14:paraId="65C4C6A2">
      <w:pPr>
        <w:numPr>
          <w:ilvl w:val="0"/>
          <w:numId w:val="4"/>
        </w:numPr>
        <w:spacing w:line="460" w:lineRule="exact"/>
        <w:ind w:firstLine="602"/>
        <w:jc w:val="left"/>
        <w:rPr>
          <w:rFonts w:ascii="宋体" w:hAnsi="宋体" w:cs="宋体"/>
          <w:b/>
          <w:bCs/>
          <w:color w:val="auto"/>
          <w:sz w:val="24"/>
        </w:rPr>
      </w:pPr>
      <w:r>
        <w:rPr>
          <w:rFonts w:hint="eastAsia" w:ascii="宋体" w:hAnsi="宋体" w:cs="宋体"/>
          <w:b/>
          <w:bCs/>
          <w:color w:val="auto"/>
          <w:sz w:val="24"/>
        </w:rPr>
        <w:t>项目基本情况</w:t>
      </w:r>
    </w:p>
    <w:p w14:paraId="5A393EFA">
      <w:pPr>
        <w:spacing w:line="460" w:lineRule="exact"/>
        <w:jc w:val="left"/>
        <w:rPr>
          <w:rFonts w:ascii="宋体" w:hAnsi="宋体" w:cs="宋体"/>
          <w:color w:val="auto"/>
          <w:sz w:val="24"/>
        </w:rPr>
      </w:pPr>
      <w:r>
        <w:rPr>
          <w:rFonts w:hint="eastAsia" w:ascii="宋体" w:hAnsi="宋体" w:cs="宋体"/>
          <w:color w:val="auto"/>
          <w:sz w:val="24"/>
        </w:rPr>
        <w:t>   项目编号：TZZY-2024-123</w:t>
      </w:r>
    </w:p>
    <w:p w14:paraId="79F8FF97">
      <w:pPr>
        <w:spacing w:line="460" w:lineRule="exact"/>
        <w:jc w:val="left"/>
        <w:rPr>
          <w:rFonts w:ascii="宋体" w:hAnsi="宋体" w:cs="宋体"/>
          <w:color w:val="auto"/>
          <w:sz w:val="24"/>
        </w:rPr>
      </w:pPr>
      <w:r>
        <w:rPr>
          <w:rFonts w:hint="eastAsia" w:ascii="宋体" w:hAnsi="宋体" w:cs="宋体"/>
          <w:color w:val="auto"/>
          <w:sz w:val="24"/>
        </w:rPr>
        <w:t xml:space="preserve">    项目名称：玉环市残疾人托养中心运行管理项目</w:t>
      </w:r>
    </w:p>
    <w:p w14:paraId="23543705">
      <w:pPr>
        <w:spacing w:line="460" w:lineRule="exact"/>
        <w:jc w:val="left"/>
        <w:rPr>
          <w:rFonts w:ascii="宋体" w:hAnsi="宋体" w:cs="宋体"/>
          <w:color w:val="auto"/>
          <w:sz w:val="24"/>
        </w:rPr>
      </w:pPr>
      <w:r>
        <w:rPr>
          <w:rFonts w:hint="eastAsia" w:ascii="宋体" w:hAnsi="宋体" w:cs="宋体"/>
          <w:color w:val="auto"/>
          <w:sz w:val="24"/>
        </w:rPr>
        <w:t xml:space="preserve">    预算金额（元）：10855200元</w:t>
      </w:r>
    </w:p>
    <w:p w14:paraId="184009F4">
      <w:pPr>
        <w:spacing w:line="460" w:lineRule="exact"/>
        <w:jc w:val="left"/>
        <w:rPr>
          <w:rFonts w:ascii="宋体" w:hAnsi="宋体" w:cs="宋体"/>
          <w:color w:val="auto"/>
          <w:sz w:val="24"/>
        </w:rPr>
      </w:pPr>
      <w:r>
        <w:rPr>
          <w:rFonts w:hint="eastAsia" w:ascii="宋体" w:hAnsi="宋体" w:cs="宋体"/>
          <w:color w:val="auto"/>
          <w:sz w:val="24"/>
        </w:rPr>
        <w:t xml:space="preserve">    最高限价（元）：10855200元</w:t>
      </w:r>
    </w:p>
    <w:p w14:paraId="58AADA01">
      <w:pPr>
        <w:spacing w:line="460" w:lineRule="exact"/>
        <w:jc w:val="left"/>
        <w:rPr>
          <w:rFonts w:ascii="宋体" w:hAnsi="宋体" w:cs="宋体"/>
          <w:color w:val="auto"/>
          <w:sz w:val="24"/>
        </w:rPr>
      </w:pPr>
      <w:r>
        <w:rPr>
          <w:rFonts w:hint="eastAsia" w:ascii="宋体" w:hAnsi="宋体" w:cs="宋体"/>
          <w:color w:val="auto"/>
          <w:sz w:val="24"/>
        </w:rPr>
        <w:t xml:space="preserve">    采购需求：具体详见采购招标文件第四章公开招标需求</w:t>
      </w:r>
    </w:p>
    <w:p w14:paraId="03972728">
      <w:pPr>
        <w:spacing w:line="460" w:lineRule="exact"/>
        <w:ind w:firstLine="480" w:firstLineChars="200"/>
        <w:jc w:val="left"/>
        <w:rPr>
          <w:rFonts w:ascii="宋体" w:hAnsi="宋体" w:cs="宋体"/>
          <w:color w:val="auto"/>
          <w:sz w:val="24"/>
        </w:rPr>
      </w:pPr>
      <w:r>
        <w:rPr>
          <w:rFonts w:hint="eastAsia" w:ascii="宋体" w:hAnsi="宋体" w:cs="宋体"/>
          <w:color w:val="auto"/>
          <w:sz w:val="24"/>
        </w:rPr>
        <w:t>合同履约期限（进度要求）：本项目期限三年，合同一年一签。</w:t>
      </w:r>
    </w:p>
    <w:p w14:paraId="4EF5DD13">
      <w:pPr>
        <w:spacing w:line="460" w:lineRule="exact"/>
        <w:ind w:firstLine="602"/>
        <w:jc w:val="left"/>
        <w:rPr>
          <w:rFonts w:ascii="宋体" w:hAnsi="宋体" w:cs="宋体"/>
          <w:b/>
          <w:bCs/>
          <w:color w:val="auto"/>
          <w:sz w:val="24"/>
        </w:rPr>
      </w:pPr>
      <w:r>
        <w:rPr>
          <w:rFonts w:hint="eastAsia" w:ascii="宋体" w:hAnsi="宋体" w:cs="宋体"/>
          <w:b/>
          <w:bCs/>
          <w:color w:val="auto"/>
          <w:sz w:val="24"/>
        </w:rPr>
        <w:t>二、申请人的资格要求：</w:t>
      </w:r>
    </w:p>
    <w:p w14:paraId="54A7AD0D">
      <w:pPr>
        <w:spacing w:line="360" w:lineRule="auto"/>
        <w:ind w:firstLine="470" w:firstLineChars="196"/>
        <w:rPr>
          <w:rFonts w:ascii="宋体" w:hAnsi="宋体"/>
          <w:color w:val="auto"/>
          <w:sz w:val="24"/>
        </w:rPr>
      </w:pPr>
      <w:r>
        <w:rPr>
          <w:rFonts w:hint="eastAsia" w:ascii="宋体" w:hAnsi="宋体"/>
          <w:color w:val="auto"/>
          <w:sz w:val="24"/>
        </w:rPr>
        <w:t>（一）符合《中华人民共和国政府采购法》第二十二条供应商应当具备的条件。</w:t>
      </w:r>
    </w:p>
    <w:p w14:paraId="20637F45">
      <w:pPr>
        <w:spacing w:line="360" w:lineRule="auto"/>
        <w:ind w:firstLine="470" w:firstLineChars="196"/>
        <w:rPr>
          <w:rFonts w:ascii="宋体" w:hAnsi="宋体"/>
          <w:color w:val="auto"/>
          <w:sz w:val="24"/>
        </w:rPr>
      </w:pPr>
      <w:r>
        <w:rPr>
          <w:rFonts w:hint="eastAsia" w:ascii="宋体" w:hAnsi="宋体"/>
          <w:color w:val="auto"/>
          <w:sz w:val="24"/>
        </w:rPr>
        <w:t>（二）投标供应商的特定条件：无。</w:t>
      </w:r>
    </w:p>
    <w:p w14:paraId="3AD53B5B">
      <w:pPr>
        <w:spacing w:line="360" w:lineRule="auto"/>
        <w:ind w:firstLine="470" w:firstLineChars="196"/>
        <w:rPr>
          <w:rFonts w:ascii="宋体" w:hAnsi="宋体"/>
          <w:color w:val="auto"/>
          <w:sz w:val="24"/>
        </w:rPr>
      </w:pPr>
      <w:r>
        <w:rPr>
          <w:rFonts w:hint="eastAsia" w:ascii="宋体" w:hAnsi="宋体"/>
          <w:color w:val="auto"/>
          <w:sz w:val="24"/>
        </w:rPr>
        <w:t>（三）供应商为中小企业。</w:t>
      </w:r>
    </w:p>
    <w:p w14:paraId="6688E331">
      <w:pPr>
        <w:spacing w:line="360" w:lineRule="auto"/>
        <w:ind w:firstLine="470" w:firstLineChars="196"/>
        <w:rPr>
          <w:rFonts w:ascii="宋体" w:hAnsi="宋体"/>
          <w:color w:val="auto"/>
          <w:sz w:val="24"/>
        </w:rPr>
      </w:pPr>
      <w:r>
        <w:rPr>
          <w:rFonts w:hint="eastAsia" w:ascii="宋体" w:hAnsi="宋体"/>
          <w:color w:val="auto"/>
          <w:sz w:val="24"/>
        </w:rPr>
        <w:t>（四）本项目不接受联合体投标。</w:t>
      </w:r>
    </w:p>
    <w:p w14:paraId="19E54560">
      <w:pPr>
        <w:spacing w:line="460" w:lineRule="exact"/>
        <w:ind w:firstLine="602"/>
        <w:jc w:val="left"/>
        <w:rPr>
          <w:rFonts w:ascii="宋体" w:hAnsi="宋体" w:cs="宋体"/>
          <w:b/>
          <w:bCs/>
          <w:color w:val="auto"/>
          <w:sz w:val="24"/>
        </w:rPr>
      </w:pPr>
      <w:r>
        <w:rPr>
          <w:rFonts w:hint="eastAsia" w:ascii="宋体" w:hAnsi="宋体" w:cs="宋体"/>
          <w:b/>
          <w:bCs/>
          <w:color w:val="auto"/>
          <w:sz w:val="24"/>
        </w:rPr>
        <w:t xml:space="preserve">三、获取招标文件 </w:t>
      </w:r>
    </w:p>
    <w:p w14:paraId="5151B1EA">
      <w:pPr>
        <w:spacing w:line="460" w:lineRule="exact"/>
        <w:jc w:val="left"/>
        <w:rPr>
          <w:rFonts w:ascii="宋体" w:hAnsi="宋体" w:cs="宋体"/>
          <w:color w:val="auto"/>
          <w:sz w:val="24"/>
        </w:rPr>
      </w:pPr>
      <w:r>
        <w:rPr>
          <w:rFonts w:hint="eastAsia" w:ascii="宋体" w:hAnsi="宋体" w:cs="宋体"/>
          <w:color w:val="auto"/>
          <w:sz w:val="24"/>
        </w:rPr>
        <w:t xml:space="preserve">    时间：公告发布时间至投标截止时间</w:t>
      </w:r>
    </w:p>
    <w:p w14:paraId="7060A8FD">
      <w:pPr>
        <w:spacing w:line="460" w:lineRule="exact"/>
        <w:jc w:val="left"/>
        <w:rPr>
          <w:rFonts w:ascii="宋体" w:hAnsi="宋体" w:cs="宋体"/>
          <w:color w:val="auto"/>
          <w:sz w:val="24"/>
        </w:rPr>
      </w:pPr>
      <w:r>
        <w:rPr>
          <w:rFonts w:hint="eastAsia" w:ascii="宋体" w:hAnsi="宋体" w:cs="宋体"/>
          <w:color w:val="auto"/>
          <w:sz w:val="24"/>
        </w:rPr>
        <w:t xml:space="preserve">    地点（网址）：政府采购云平台（www.zcygov.cn） </w:t>
      </w:r>
    </w:p>
    <w:p w14:paraId="774C8C84">
      <w:pPr>
        <w:spacing w:line="460" w:lineRule="exact"/>
        <w:ind w:firstLine="480" w:firstLineChars="200"/>
        <w:rPr>
          <w:rFonts w:ascii="宋体" w:hAnsi="宋体" w:cs="宋体"/>
          <w:color w:val="auto"/>
          <w:sz w:val="24"/>
        </w:rPr>
      </w:pPr>
      <w:r>
        <w:rPr>
          <w:rFonts w:hint="eastAsia" w:ascii="宋体" w:hAnsi="宋体" w:cs="宋体"/>
          <w:color w:val="auto"/>
          <w:sz w:val="24"/>
        </w:rPr>
        <w:t>方式：供应商登录政采云平台https://www.zcygov.cn/在线申请获取招标文件（进入“项目采购”应用，在获取招标文件菜单中选择项目，申请获取招标文件）。 </w:t>
      </w:r>
    </w:p>
    <w:p w14:paraId="4EE518DA">
      <w:pPr>
        <w:spacing w:line="460" w:lineRule="exact"/>
        <w:ind w:firstLine="602"/>
        <w:rPr>
          <w:rFonts w:ascii="宋体" w:hAnsi="宋体" w:cs="宋体"/>
          <w:color w:val="auto"/>
          <w:sz w:val="24"/>
        </w:rPr>
      </w:pPr>
      <w:r>
        <w:rPr>
          <w:rFonts w:hint="eastAsia" w:ascii="宋体" w:hAnsi="宋体" w:cs="宋体"/>
          <w:b/>
          <w:bCs/>
          <w:color w:val="auto"/>
          <w:sz w:val="24"/>
        </w:rPr>
        <w:t>注：</w:t>
      </w:r>
      <w:r>
        <w:rPr>
          <w:rFonts w:hint="eastAsia" w:ascii="宋体" w:hAnsi="宋体" w:cs="宋体"/>
          <w:color w:val="auto"/>
          <w:sz w:val="24"/>
        </w:rPr>
        <w:t>（1）尚未注册浙江政府采购网正式供应商的应先进行注册申请；</w:t>
      </w:r>
    </w:p>
    <w:p w14:paraId="40104CE2">
      <w:pPr>
        <w:numPr>
          <w:ilvl w:val="0"/>
          <w:numId w:val="5"/>
        </w:numPr>
        <w:spacing w:line="460" w:lineRule="exact"/>
        <w:ind w:firstLine="480" w:firstLineChars="200"/>
        <w:rPr>
          <w:rFonts w:ascii="宋体" w:hAnsi="宋体" w:cs="宋体"/>
          <w:color w:val="auto"/>
          <w:sz w:val="24"/>
        </w:rPr>
      </w:pPr>
      <w:r>
        <w:rPr>
          <w:rFonts w:hint="eastAsia" w:ascii="宋体" w:hAnsi="宋体" w:cs="宋体"/>
          <w:color w:val="auto"/>
          <w:sz w:val="24"/>
        </w:rPr>
        <w:t>公开招标采购公告上附件里的招标文件仅供阅览使用，供应商应当在“政采云”平台注册登记后再获取招标文件，没有通过注册登记而获取招标文件的潜在供应商，对招标文件提起质疑投诉的，不予受理；</w:t>
      </w:r>
    </w:p>
    <w:p w14:paraId="769A3B50">
      <w:pPr>
        <w:spacing w:line="460" w:lineRule="exact"/>
        <w:ind w:firstLine="480" w:firstLineChars="200"/>
        <w:jc w:val="left"/>
        <w:rPr>
          <w:rFonts w:ascii="宋体" w:hAnsi="宋体" w:cs="宋体"/>
          <w:color w:val="auto"/>
          <w:sz w:val="24"/>
        </w:rPr>
      </w:pPr>
      <w:r>
        <w:rPr>
          <w:rFonts w:hint="eastAsia" w:ascii="宋体" w:hAnsi="宋体" w:cs="宋体"/>
          <w:color w:val="auto"/>
          <w:sz w:val="24"/>
        </w:rPr>
        <w:t xml:space="preserve">（3）采购代理机构将拒绝接受非通过以上方式获取招标文件的供应商投标文件。 </w:t>
      </w:r>
    </w:p>
    <w:p w14:paraId="0411A56F">
      <w:pPr>
        <w:spacing w:line="460" w:lineRule="exact"/>
        <w:jc w:val="left"/>
        <w:rPr>
          <w:rFonts w:ascii="宋体" w:hAnsi="宋体" w:cs="宋体"/>
          <w:color w:val="auto"/>
          <w:sz w:val="24"/>
        </w:rPr>
      </w:pPr>
      <w:r>
        <w:rPr>
          <w:rFonts w:hint="eastAsia" w:ascii="宋体" w:hAnsi="宋体" w:cs="宋体"/>
          <w:color w:val="auto"/>
          <w:sz w:val="24"/>
        </w:rPr>
        <w:t xml:space="preserve">    售价（元）：0 </w:t>
      </w:r>
    </w:p>
    <w:p w14:paraId="66B0E41F">
      <w:pPr>
        <w:spacing w:line="460" w:lineRule="exact"/>
        <w:ind w:firstLine="602"/>
        <w:jc w:val="left"/>
        <w:rPr>
          <w:rFonts w:ascii="宋体" w:hAnsi="宋体" w:cs="宋体"/>
          <w:b/>
          <w:bCs/>
          <w:color w:val="auto"/>
          <w:sz w:val="24"/>
        </w:rPr>
      </w:pPr>
      <w:r>
        <w:rPr>
          <w:rFonts w:hint="eastAsia" w:ascii="宋体" w:hAnsi="宋体" w:cs="宋体"/>
          <w:b/>
          <w:bCs/>
          <w:color w:val="auto"/>
          <w:sz w:val="24"/>
        </w:rPr>
        <w:t>四、提交投标文件截止时间、开标时间和地点</w:t>
      </w:r>
    </w:p>
    <w:p w14:paraId="27F19997">
      <w:pPr>
        <w:spacing w:line="460" w:lineRule="exact"/>
        <w:jc w:val="left"/>
        <w:rPr>
          <w:rFonts w:ascii="宋体" w:hAnsi="宋体" w:cs="宋体"/>
          <w:color w:val="auto"/>
          <w:sz w:val="24"/>
        </w:rPr>
      </w:pPr>
      <w:r>
        <w:rPr>
          <w:rFonts w:hint="eastAsia" w:ascii="宋体" w:hAnsi="宋体" w:cs="宋体"/>
          <w:color w:val="auto"/>
          <w:sz w:val="24"/>
        </w:rPr>
        <w:t xml:space="preserve">    提交投标文件截止时间：2024年11月</w:t>
      </w:r>
      <w:r>
        <w:rPr>
          <w:rFonts w:hint="eastAsia" w:ascii="宋体" w:hAnsi="宋体" w:cs="宋体"/>
          <w:color w:val="auto"/>
          <w:sz w:val="24"/>
          <w:lang w:val="en-US" w:eastAsia="zh-CN"/>
        </w:rPr>
        <w:t>12</w:t>
      </w:r>
      <w:r>
        <w:rPr>
          <w:rFonts w:hint="eastAsia" w:ascii="宋体" w:hAnsi="宋体" w:cs="宋体"/>
          <w:color w:val="auto"/>
          <w:sz w:val="24"/>
        </w:rPr>
        <w:t>日09:30（北京时间）</w:t>
      </w:r>
    </w:p>
    <w:p w14:paraId="4808D562">
      <w:pPr>
        <w:spacing w:line="460" w:lineRule="exact"/>
        <w:jc w:val="left"/>
        <w:rPr>
          <w:rFonts w:ascii="宋体" w:hAnsi="宋体" w:cs="宋体"/>
          <w:color w:val="auto"/>
          <w:sz w:val="24"/>
        </w:rPr>
      </w:pPr>
      <w:r>
        <w:rPr>
          <w:rFonts w:hint="eastAsia" w:ascii="宋体" w:hAnsi="宋体" w:cs="宋体"/>
          <w:color w:val="auto"/>
          <w:sz w:val="24"/>
        </w:rPr>
        <w:t xml:space="preserve">    投标地点（网址）：通过“政府采购云平台（www.zcygov.cn）”实行在线投标 </w:t>
      </w:r>
    </w:p>
    <w:p w14:paraId="5B92B224">
      <w:pPr>
        <w:spacing w:line="460" w:lineRule="exact"/>
        <w:jc w:val="left"/>
        <w:rPr>
          <w:rFonts w:ascii="宋体" w:hAnsi="宋体" w:cs="宋体"/>
          <w:color w:val="auto"/>
          <w:sz w:val="24"/>
        </w:rPr>
      </w:pPr>
      <w:r>
        <w:rPr>
          <w:rFonts w:hint="eastAsia" w:ascii="宋体" w:hAnsi="宋体" w:cs="宋体"/>
          <w:color w:val="auto"/>
          <w:sz w:val="24"/>
        </w:rPr>
        <w:t xml:space="preserve">    开标时间：2024年11月</w:t>
      </w:r>
      <w:r>
        <w:rPr>
          <w:rFonts w:hint="eastAsia" w:ascii="宋体" w:hAnsi="宋体" w:cs="宋体"/>
          <w:color w:val="auto"/>
          <w:sz w:val="24"/>
          <w:lang w:val="en-US" w:eastAsia="zh-CN"/>
        </w:rPr>
        <w:t>12</w:t>
      </w:r>
      <w:r>
        <w:rPr>
          <w:rFonts w:hint="eastAsia" w:ascii="宋体" w:hAnsi="宋体" w:cs="宋体"/>
          <w:color w:val="auto"/>
          <w:sz w:val="24"/>
        </w:rPr>
        <w:t xml:space="preserve">日09:30（北京时间） </w:t>
      </w:r>
    </w:p>
    <w:p w14:paraId="4FB34616">
      <w:pPr>
        <w:spacing w:line="460" w:lineRule="exact"/>
        <w:jc w:val="left"/>
        <w:rPr>
          <w:rFonts w:ascii="宋体" w:hAnsi="宋体" w:cs="宋体"/>
          <w:color w:val="auto"/>
          <w:sz w:val="24"/>
        </w:rPr>
      </w:pPr>
      <w:r>
        <w:rPr>
          <w:rFonts w:hint="eastAsia" w:ascii="宋体" w:hAnsi="宋体" w:cs="宋体"/>
          <w:color w:val="auto"/>
          <w:sz w:val="24"/>
        </w:rPr>
        <w:t xml:space="preserve">    开标地点（网址）：“政府采购云平台”线上开标  </w:t>
      </w:r>
    </w:p>
    <w:p w14:paraId="610BC1B2">
      <w:pPr>
        <w:spacing w:line="460" w:lineRule="exact"/>
        <w:ind w:firstLine="602"/>
        <w:jc w:val="left"/>
        <w:rPr>
          <w:rFonts w:ascii="宋体" w:hAnsi="宋体" w:cs="宋体"/>
          <w:b/>
          <w:bCs/>
          <w:color w:val="auto"/>
          <w:sz w:val="24"/>
        </w:rPr>
      </w:pPr>
      <w:r>
        <w:rPr>
          <w:rFonts w:hint="eastAsia" w:ascii="宋体" w:hAnsi="宋体" w:cs="宋体"/>
          <w:b/>
          <w:bCs/>
          <w:color w:val="auto"/>
          <w:sz w:val="24"/>
        </w:rPr>
        <w:t xml:space="preserve">五、公告期限 </w:t>
      </w:r>
    </w:p>
    <w:p w14:paraId="0EA5055C">
      <w:pPr>
        <w:spacing w:line="460" w:lineRule="exact"/>
        <w:jc w:val="left"/>
        <w:rPr>
          <w:rFonts w:ascii="宋体" w:hAnsi="宋体" w:cs="宋体"/>
          <w:color w:val="auto"/>
          <w:sz w:val="24"/>
        </w:rPr>
      </w:pPr>
      <w:r>
        <w:rPr>
          <w:rFonts w:hint="eastAsia" w:ascii="宋体" w:hAnsi="宋体" w:cs="宋体"/>
          <w:color w:val="auto"/>
          <w:sz w:val="24"/>
        </w:rPr>
        <w:t xml:space="preserve">    自本公告发布之日起5个工作日。</w:t>
      </w:r>
    </w:p>
    <w:p w14:paraId="0FD37783">
      <w:pPr>
        <w:spacing w:line="460" w:lineRule="exact"/>
        <w:ind w:firstLine="602"/>
        <w:jc w:val="left"/>
        <w:rPr>
          <w:rFonts w:ascii="宋体" w:hAnsi="宋体" w:cs="宋体"/>
          <w:b/>
          <w:bCs/>
          <w:color w:val="auto"/>
          <w:sz w:val="24"/>
        </w:rPr>
      </w:pPr>
      <w:r>
        <w:rPr>
          <w:rFonts w:hint="eastAsia" w:ascii="宋体" w:hAnsi="宋体" w:cs="宋体"/>
          <w:b/>
          <w:bCs/>
          <w:color w:val="auto"/>
          <w:sz w:val="24"/>
        </w:rPr>
        <w:t>六、其他补充事宜</w:t>
      </w:r>
    </w:p>
    <w:p w14:paraId="6C3CF0C0">
      <w:pPr>
        <w:spacing w:line="460" w:lineRule="exact"/>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313DF09">
      <w:pPr>
        <w:spacing w:line="460" w:lineRule="exact"/>
        <w:ind w:firstLine="480" w:firstLineChars="200"/>
        <w:rPr>
          <w:rFonts w:ascii="宋体" w:hAnsi="宋体" w:cs="宋体"/>
          <w:color w:val="auto"/>
          <w:sz w:val="24"/>
        </w:rPr>
      </w:pPr>
      <w:r>
        <w:rPr>
          <w:rFonts w:hint="eastAsia" w:ascii="宋体" w:hAnsi="宋体" w:cs="宋体"/>
          <w:color w:val="auto"/>
          <w:sz w:val="24"/>
        </w:rPr>
        <w:t>2.《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8F32377">
      <w:pPr>
        <w:spacing w:line="460" w:lineRule="exact"/>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D922A0">
      <w:pPr>
        <w:spacing w:line="460" w:lineRule="exact"/>
        <w:ind w:firstLine="480" w:firstLineChars="200"/>
        <w:rPr>
          <w:rFonts w:ascii="宋体" w:hAnsi="宋体" w:cs="宋体"/>
          <w:color w:val="auto"/>
          <w:sz w:val="24"/>
        </w:rPr>
      </w:pPr>
      <w:r>
        <w:rPr>
          <w:rFonts w:hint="eastAsia" w:ascii="宋体" w:hAnsi="宋体" w:cs="宋体"/>
          <w:color w:val="auto"/>
          <w:sz w:val="24"/>
        </w:rPr>
        <w:t>4.其他事项：本项目采用资格后审，请拟供应商自行核对供应商资格条件，如不符合资格条件者，在资格审查时导致投标被拒绝的，责任自负。</w:t>
      </w:r>
    </w:p>
    <w:p w14:paraId="7DD7C8CB">
      <w:pPr>
        <w:spacing w:line="460" w:lineRule="exact"/>
        <w:ind w:firstLine="480" w:firstLineChars="200"/>
        <w:rPr>
          <w:rFonts w:ascii="宋体" w:hAnsi="宋体" w:cs="宋体"/>
          <w:color w:val="auto"/>
          <w:sz w:val="24"/>
        </w:rPr>
      </w:pPr>
      <w:r>
        <w:rPr>
          <w:rFonts w:hint="eastAsia" w:ascii="宋体" w:hAnsi="宋体" w:cs="宋体"/>
          <w:color w:val="auto"/>
          <w:sz w:val="24"/>
        </w:rPr>
        <w:t>（1）本项目通过“政府采购云平台（www.zcygov.cn）”实行在线投标（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251C2662">
      <w:pPr>
        <w:spacing w:line="460" w:lineRule="exact"/>
        <w:ind w:firstLine="480" w:firstLineChars="200"/>
        <w:rPr>
          <w:rFonts w:ascii="宋体" w:hAnsi="宋体" w:cs="宋体"/>
          <w:color w:val="auto"/>
          <w:sz w:val="24"/>
        </w:rPr>
      </w:pPr>
      <w:r>
        <w:rPr>
          <w:rFonts w:hint="eastAsia" w:ascii="宋体" w:hAnsi="宋体" w:cs="宋体"/>
          <w:color w:val="auto"/>
          <w:sz w:val="24"/>
        </w:rPr>
        <w:t>（2）“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8013635">
      <w:pPr>
        <w:numPr>
          <w:ilvl w:val="0"/>
          <w:numId w:val="5"/>
        </w:numPr>
        <w:spacing w:line="460" w:lineRule="exact"/>
        <w:ind w:firstLine="480" w:firstLineChars="200"/>
        <w:rPr>
          <w:rFonts w:ascii="宋体" w:hAnsi="宋体" w:cs="宋体"/>
          <w:color w:val="auto"/>
          <w:sz w:val="24"/>
        </w:rPr>
      </w:pPr>
      <w:r>
        <w:rPr>
          <w:rFonts w:hint="eastAsia" w:ascii="宋体" w:hAnsi="宋体" w:cs="宋体"/>
          <w:color w:val="auto"/>
          <w:sz w:val="24"/>
        </w:rPr>
        <w:t>为确保网上操作合法、有效和安全，供应商应当在投标文件提交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rPr>
        <w:fldChar w:fldCharType="begin"/>
      </w:r>
      <w:r>
        <w:rPr>
          <w:color w:val="auto"/>
        </w:rPr>
        <w:instrText xml:space="preserve"> HYPERLINK "http://zfcg.czt.zj.gov.cn/bidClientTemplate/2019-05-27/12945.html" \t "http://zfcg.czt.zj.gov.cn/innerUsed_noticeDetails/_blank" \o "CA驱动和申领流程" </w:instrText>
      </w:r>
      <w:r>
        <w:rPr>
          <w:color w:val="auto"/>
        </w:rPr>
        <w:fldChar w:fldCharType="separate"/>
      </w:r>
      <w:r>
        <w:rPr>
          <w:rFonts w:hint="eastAsia" w:ascii="宋体" w:hAnsi="宋体" w:cs="宋体"/>
          <w:color w:val="auto"/>
          <w:sz w:val="24"/>
        </w:rPr>
        <w:t>CA驱动和申领流程</w:t>
      </w:r>
      <w:r>
        <w:rPr>
          <w:rFonts w:hint="eastAsia" w:ascii="宋体" w:hAnsi="宋体" w:cs="宋体"/>
          <w:color w:val="auto"/>
          <w:sz w:val="24"/>
        </w:rPr>
        <w:fldChar w:fldCharType="end"/>
      </w:r>
      <w:r>
        <w:rPr>
          <w:rFonts w:hint="eastAsia" w:ascii="宋体" w:hAnsi="宋体" w:cs="宋体"/>
          <w:color w:val="auto"/>
          <w:sz w:val="24"/>
        </w:rPr>
        <w:t>”进行查阅；</w:t>
      </w:r>
    </w:p>
    <w:p w14:paraId="79DE5786">
      <w:pPr>
        <w:numPr>
          <w:ilvl w:val="0"/>
          <w:numId w:val="5"/>
        </w:numPr>
        <w:spacing w:line="460" w:lineRule="exact"/>
        <w:ind w:firstLine="480" w:firstLineChars="200"/>
        <w:rPr>
          <w:rFonts w:ascii="宋体" w:hAnsi="宋体" w:cs="宋体"/>
          <w:color w:val="auto"/>
          <w:sz w:val="24"/>
        </w:rPr>
      </w:pPr>
      <w:r>
        <w:rPr>
          <w:rFonts w:hint="eastAsia" w:ascii="宋体" w:hAnsi="宋体" w:cs="宋体"/>
          <w:color w:val="auto"/>
          <w:sz w:val="24"/>
        </w:rPr>
        <w:t xml:space="preserve">供应商应当在投标文件提交截止时间前，将生成的“电子加密投标文件”上传递交至“政府采购云平台”。投标文件提交截止时间以后上传递交的投标文件将被“政府采购云平台”拒收。 </w:t>
      </w:r>
    </w:p>
    <w:p w14:paraId="69C8E338">
      <w:pPr>
        <w:numPr>
          <w:ilvl w:val="0"/>
          <w:numId w:val="5"/>
        </w:numPr>
        <w:spacing w:line="460" w:lineRule="exact"/>
        <w:ind w:firstLine="480" w:firstLineChars="200"/>
        <w:rPr>
          <w:rFonts w:ascii="宋体" w:hAnsi="宋体" w:cs="宋体"/>
          <w:color w:val="auto"/>
          <w:sz w:val="24"/>
        </w:rPr>
      </w:pPr>
      <w:r>
        <w:rPr>
          <w:rFonts w:hint="eastAsia" w:ascii="宋体" w:hAnsi="宋体" w:cs="宋体"/>
          <w:color w:val="auto"/>
          <w:sz w:val="24"/>
        </w:rPr>
        <w:t>通过“政府采购云平台”上传递交的“电子加密投标文件”无法按时解密，供应商递交了备份投标文件的，以备份投标文件为依据，否则视投标文件撤回。通过“政府采购云平台”上传递交的“电子加密投标文件”已按时解密的，“备份投标文件”自动失效。供应商仅递交了“备份投标文件”的，投标无效。</w:t>
      </w:r>
    </w:p>
    <w:p w14:paraId="5B0BC32C">
      <w:pPr>
        <w:spacing w:line="460" w:lineRule="exact"/>
        <w:ind w:firstLine="602"/>
        <w:jc w:val="left"/>
        <w:rPr>
          <w:rFonts w:ascii="宋体" w:hAnsi="宋体" w:cs="宋体"/>
          <w:color w:val="auto"/>
          <w:sz w:val="24"/>
        </w:rPr>
      </w:pPr>
      <w:r>
        <w:rPr>
          <w:rFonts w:hint="eastAsia" w:ascii="宋体" w:hAnsi="宋体" w:cs="宋体"/>
          <w:b/>
          <w:bCs/>
          <w:color w:val="auto"/>
          <w:sz w:val="24"/>
        </w:rPr>
        <w:t>七、对本次采购提出询问、质疑、投诉，请按以下方式联系</w:t>
      </w:r>
    </w:p>
    <w:p w14:paraId="3AAC4AE7">
      <w:pPr>
        <w:spacing w:line="46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14:paraId="7D555367">
      <w:pPr>
        <w:spacing w:line="460" w:lineRule="exact"/>
        <w:ind w:firstLine="600" w:firstLineChars="2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采购代理机构名称：台州中域工程咨询有限公司</w:t>
      </w:r>
    </w:p>
    <w:p w14:paraId="2AC427B1">
      <w:pPr>
        <w:spacing w:line="460" w:lineRule="exact"/>
        <w:ind w:firstLine="600" w:firstLineChars="2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项目联系人：施先生</w:t>
      </w:r>
    </w:p>
    <w:p w14:paraId="079ED204">
      <w:pPr>
        <w:spacing w:line="460" w:lineRule="exact"/>
        <w:ind w:firstLine="600" w:firstLineChars="2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联系电话：15967082890</w:t>
      </w:r>
    </w:p>
    <w:p w14:paraId="1727F265">
      <w:pPr>
        <w:spacing w:line="460" w:lineRule="exact"/>
        <w:ind w:firstLine="600" w:firstLineChars="250"/>
        <w:rPr>
          <w:rFonts w:cs="Arial" w:asciiTheme="minorEastAsia" w:hAnsiTheme="minorEastAsia" w:eastAsiaTheme="minorEastAsia"/>
          <w:color w:val="auto"/>
          <w:sz w:val="24"/>
        </w:rPr>
      </w:pPr>
      <w:r>
        <w:rPr>
          <w:rFonts w:hint="eastAsia" w:asciiTheme="minorEastAsia" w:hAnsiTheme="minorEastAsia" w:eastAsiaTheme="minorEastAsia"/>
          <w:color w:val="auto"/>
          <w:kern w:val="0"/>
          <w:sz w:val="24"/>
        </w:rPr>
        <w:t>地址：玉环市玉城街道广陵南路129号4楼</w:t>
      </w:r>
    </w:p>
    <w:p w14:paraId="5895BBAA">
      <w:pPr>
        <w:snapToGrid w:val="0"/>
        <w:spacing w:line="460" w:lineRule="exact"/>
        <w:ind w:firstLine="602" w:firstLineChars="25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14:paraId="4CD2ABC5">
      <w:pPr>
        <w:snapToGrid w:val="0"/>
        <w:spacing w:line="460" w:lineRule="exact"/>
        <w:ind w:firstLine="600" w:firstLineChars="250"/>
        <w:rPr>
          <w:rFonts w:cs="Arial" w:asciiTheme="minorEastAsia" w:hAnsiTheme="minorEastAsia" w:eastAsiaTheme="minorEastAsia"/>
          <w:color w:val="auto"/>
          <w:sz w:val="24"/>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名称：</w:t>
      </w:r>
      <w:r>
        <w:rPr>
          <w:rFonts w:hint="eastAsia" w:cs="Arial" w:asciiTheme="minorEastAsia" w:hAnsiTheme="minorEastAsia" w:eastAsiaTheme="minorEastAsia"/>
          <w:color w:val="auto"/>
          <w:sz w:val="24"/>
        </w:rPr>
        <w:t>玉环市残疾人联合会</w:t>
      </w:r>
    </w:p>
    <w:p w14:paraId="5A16F035">
      <w:pPr>
        <w:snapToGrid w:val="0"/>
        <w:spacing w:line="460" w:lineRule="exact"/>
        <w:ind w:firstLine="600" w:firstLineChars="250"/>
        <w:rPr>
          <w:rFonts w:cs="Arial" w:asciiTheme="minorEastAsia" w:hAnsiTheme="minorEastAsia" w:eastAsiaTheme="minorEastAsia"/>
          <w:color w:val="auto"/>
          <w:sz w:val="24"/>
        </w:rPr>
      </w:pPr>
      <w:r>
        <w:rPr>
          <w:rFonts w:cs="Arial" w:asciiTheme="minorEastAsia" w:hAnsiTheme="minorEastAsia" w:eastAsiaTheme="minorEastAsia"/>
          <w:color w:val="auto"/>
          <w:sz w:val="24"/>
        </w:rPr>
        <w:t>联系人：</w:t>
      </w:r>
      <w:r>
        <w:rPr>
          <w:rFonts w:hint="eastAsia" w:cs="Arial" w:asciiTheme="minorEastAsia" w:hAnsiTheme="minorEastAsia" w:eastAsiaTheme="minorEastAsia"/>
          <w:color w:val="auto"/>
          <w:sz w:val="24"/>
        </w:rPr>
        <w:t>龚老师</w:t>
      </w:r>
    </w:p>
    <w:p w14:paraId="0823FBFD">
      <w:pPr>
        <w:snapToGrid w:val="0"/>
        <w:spacing w:line="460" w:lineRule="exact"/>
        <w:ind w:firstLine="600" w:firstLineChars="25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联系电话：0576-87305551</w:t>
      </w:r>
    </w:p>
    <w:p w14:paraId="4A498C96">
      <w:pPr>
        <w:spacing w:line="46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（三）同级政府采购监督管理部门</w:t>
      </w:r>
    </w:p>
    <w:p w14:paraId="30ACACDD">
      <w:pPr>
        <w:widowControl/>
        <w:spacing w:before="60" w:after="60" w:line="460" w:lineRule="exact"/>
        <w:ind w:left="60" w:right="60" w:firstLine="600"/>
        <w:jc w:val="lef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名称：玉环市财政局政府采购监督管理科</w:t>
      </w:r>
    </w:p>
    <w:p w14:paraId="0FA30898">
      <w:pPr>
        <w:widowControl/>
        <w:spacing w:before="60" w:after="60" w:line="460" w:lineRule="exact"/>
        <w:ind w:left="60" w:right="60" w:firstLine="600"/>
        <w:jc w:val="lef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联系人：李科长</w:t>
      </w:r>
    </w:p>
    <w:p w14:paraId="71E41A6B">
      <w:pPr>
        <w:widowControl/>
        <w:spacing w:before="60" w:after="60" w:line="460" w:lineRule="exact"/>
        <w:ind w:left="60" w:right="60" w:firstLine="600"/>
        <w:jc w:val="lef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监督投诉电话：0576-87250185</w:t>
      </w:r>
    </w:p>
    <w:p w14:paraId="2F3E0463">
      <w:pPr>
        <w:widowControl/>
        <w:spacing w:before="60" w:after="60" w:line="460" w:lineRule="exact"/>
        <w:ind w:left="60" w:right="60" w:firstLine="600"/>
        <w:jc w:val="lef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地址：玉环市广陵路130号财政大楼5楼</w:t>
      </w:r>
    </w:p>
    <w:p w14:paraId="3F34590B">
      <w:pPr>
        <w:widowControl/>
        <w:spacing w:before="60" w:after="60" w:line="460" w:lineRule="exact"/>
        <w:ind w:left="60" w:right="60" w:firstLine="600"/>
        <w:jc w:val="left"/>
        <w:rPr>
          <w:rFonts w:ascii="宋体" w:hAnsi="宋体" w:cs="宋体"/>
          <w:color w:val="auto"/>
        </w:rPr>
      </w:pPr>
    </w:p>
    <w:p w14:paraId="55F1ED14">
      <w:pPr>
        <w:widowControl/>
        <w:spacing w:before="60" w:after="60" w:line="460" w:lineRule="exact"/>
        <w:ind w:left="60" w:right="60" w:firstLine="600"/>
        <w:jc w:val="lef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FEE2746">
      <w:pPr>
        <w:rPr>
          <w:rFonts w:asciiTheme="minorEastAsia" w:hAnsiTheme="minorEastAsia" w:eastAsiaTheme="minorEastAsia"/>
          <w:b/>
          <w:color w:val="auto"/>
          <w:sz w:val="36"/>
          <w:szCs w:val="36"/>
        </w:rPr>
      </w:pPr>
      <w:r>
        <w:rPr>
          <w:color w:val="auto"/>
        </w:rPr>
        <w:br w:type="page"/>
      </w:r>
    </w:p>
    <w:p w14:paraId="7B35ECFA">
      <w:pPr>
        <w:numPr>
          <w:ilvl w:val="0"/>
          <w:numId w:val="6"/>
        </w:numPr>
        <w:spacing w:line="360" w:lineRule="auto"/>
        <w:ind w:firstLine="904"/>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p>
    <w:p w14:paraId="215ACA4F">
      <w:pPr>
        <w:spacing w:line="360" w:lineRule="auto"/>
        <w:ind w:firstLine="60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6"/>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95"/>
        <w:gridCol w:w="6216"/>
      </w:tblGrid>
      <w:tr w14:paraId="1EAF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710BABA3">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895" w:type="dxa"/>
            <w:tcBorders>
              <w:top w:val="single" w:color="auto" w:sz="4" w:space="0"/>
              <w:left w:val="single" w:color="auto" w:sz="4" w:space="0"/>
              <w:bottom w:val="single" w:color="auto" w:sz="4" w:space="0"/>
              <w:right w:val="single" w:color="auto" w:sz="4" w:space="0"/>
            </w:tcBorders>
            <w:vAlign w:val="center"/>
          </w:tcPr>
          <w:p w14:paraId="695F82F9">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    目</w:t>
            </w:r>
          </w:p>
        </w:tc>
        <w:tc>
          <w:tcPr>
            <w:tcW w:w="6216" w:type="dxa"/>
            <w:tcBorders>
              <w:top w:val="single" w:color="auto" w:sz="4" w:space="0"/>
              <w:left w:val="single" w:color="auto" w:sz="4" w:space="0"/>
              <w:bottom w:val="single" w:color="auto" w:sz="4" w:space="0"/>
              <w:right w:val="single" w:color="auto" w:sz="4" w:space="0"/>
            </w:tcBorders>
            <w:vAlign w:val="center"/>
          </w:tcPr>
          <w:p w14:paraId="6CD351E5">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内                 容</w:t>
            </w:r>
          </w:p>
        </w:tc>
      </w:tr>
      <w:tr w14:paraId="5A8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119CE97">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895" w:type="dxa"/>
            <w:tcBorders>
              <w:top w:val="single" w:color="auto" w:sz="4" w:space="0"/>
              <w:left w:val="single" w:color="auto" w:sz="4" w:space="0"/>
              <w:bottom w:val="single" w:color="auto" w:sz="4" w:space="0"/>
              <w:right w:val="single" w:color="auto" w:sz="4" w:space="0"/>
            </w:tcBorders>
            <w:vAlign w:val="center"/>
          </w:tcPr>
          <w:p w14:paraId="48285128">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供应商特定资格要求</w:t>
            </w:r>
          </w:p>
        </w:tc>
        <w:tc>
          <w:tcPr>
            <w:tcW w:w="6216" w:type="dxa"/>
            <w:tcBorders>
              <w:top w:val="single" w:color="auto" w:sz="4" w:space="0"/>
              <w:left w:val="single" w:color="auto" w:sz="4" w:space="0"/>
              <w:bottom w:val="single" w:color="auto" w:sz="4" w:space="0"/>
              <w:right w:val="single" w:color="auto" w:sz="4" w:space="0"/>
            </w:tcBorders>
            <w:vAlign w:val="center"/>
          </w:tcPr>
          <w:p w14:paraId="15408CA3">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符合招标公告资格要求的供应商。</w:t>
            </w:r>
          </w:p>
        </w:tc>
      </w:tr>
      <w:tr w14:paraId="535F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E3EEA1">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895" w:type="dxa"/>
            <w:tcBorders>
              <w:top w:val="single" w:color="auto" w:sz="4" w:space="0"/>
              <w:left w:val="single" w:color="auto" w:sz="4" w:space="0"/>
              <w:bottom w:val="single" w:color="auto" w:sz="4" w:space="0"/>
              <w:right w:val="single" w:color="auto" w:sz="4" w:space="0"/>
            </w:tcBorders>
            <w:vAlign w:val="center"/>
          </w:tcPr>
          <w:p w14:paraId="3CE33D87">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答疑会或</w:t>
            </w:r>
            <w:r>
              <w:rPr>
                <w:rFonts w:hint="eastAsia" w:asciiTheme="minorEastAsia" w:hAnsiTheme="minorEastAsia" w:eastAsiaTheme="minorEastAsia" w:cstheme="minorEastAsia"/>
                <w:color w:val="auto"/>
                <w:sz w:val="24"/>
              </w:rPr>
              <w:t>现场踏勘</w:t>
            </w:r>
          </w:p>
        </w:tc>
        <w:tc>
          <w:tcPr>
            <w:tcW w:w="6216" w:type="dxa"/>
            <w:tcBorders>
              <w:top w:val="single" w:color="auto" w:sz="4" w:space="0"/>
              <w:left w:val="single" w:color="auto" w:sz="4" w:space="0"/>
              <w:bottom w:val="single" w:color="auto" w:sz="4" w:space="0"/>
              <w:right w:val="single" w:color="auto" w:sz="4" w:space="0"/>
            </w:tcBorders>
            <w:vAlign w:val="center"/>
          </w:tcPr>
          <w:p w14:paraId="573A762E">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各供应商请自行踏勘。</w:t>
            </w:r>
          </w:p>
        </w:tc>
      </w:tr>
      <w:tr w14:paraId="05F5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690EB94">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1895" w:type="dxa"/>
            <w:tcBorders>
              <w:top w:val="single" w:color="auto" w:sz="4" w:space="0"/>
              <w:left w:val="single" w:color="auto" w:sz="4" w:space="0"/>
              <w:bottom w:val="single" w:color="auto" w:sz="4" w:space="0"/>
              <w:right w:val="single" w:color="auto" w:sz="4" w:space="0"/>
            </w:tcBorders>
            <w:vAlign w:val="center"/>
          </w:tcPr>
          <w:p w14:paraId="5465B9D2">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投标文件组成</w:t>
            </w:r>
          </w:p>
        </w:tc>
        <w:tc>
          <w:tcPr>
            <w:tcW w:w="6216" w:type="dxa"/>
            <w:tcBorders>
              <w:top w:val="single" w:color="auto" w:sz="4" w:space="0"/>
              <w:left w:val="single" w:color="auto" w:sz="4" w:space="0"/>
              <w:bottom w:val="single" w:color="auto" w:sz="4" w:space="0"/>
              <w:right w:val="single" w:color="auto" w:sz="4" w:space="0"/>
            </w:tcBorders>
            <w:vAlign w:val="center"/>
          </w:tcPr>
          <w:p w14:paraId="5FD47A9E">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投标文件由</w:t>
            </w:r>
            <w:r>
              <w:rPr>
                <w:rFonts w:hint="eastAsia" w:asciiTheme="minorEastAsia" w:hAnsiTheme="minorEastAsia" w:eastAsiaTheme="minorEastAsia" w:cstheme="minorEastAsia"/>
                <w:b/>
                <w:bCs/>
                <w:color w:val="auto"/>
                <w:sz w:val="24"/>
              </w:rPr>
              <w:t>“资格证明文件”、“商务与技术文件”、“报价文件”</w:t>
            </w:r>
            <w:r>
              <w:rPr>
                <w:rFonts w:hint="eastAsia" w:asciiTheme="minorEastAsia" w:hAnsiTheme="minorEastAsia" w:eastAsiaTheme="minorEastAsia" w:cstheme="minorEastAsia"/>
                <w:color w:val="auto"/>
                <w:sz w:val="24"/>
              </w:rPr>
              <w:t>三部分组成。</w:t>
            </w:r>
          </w:p>
        </w:tc>
      </w:tr>
      <w:tr w14:paraId="0ECF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62BF41">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1895" w:type="dxa"/>
            <w:tcBorders>
              <w:top w:val="single" w:color="auto" w:sz="4" w:space="0"/>
              <w:left w:val="single" w:color="auto" w:sz="4" w:space="0"/>
              <w:bottom w:val="single" w:color="auto" w:sz="4" w:space="0"/>
              <w:right w:val="single" w:color="auto" w:sz="4" w:space="0"/>
            </w:tcBorders>
            <w:vAlign w:val="center"/>
          </w:tcPr>
          <w:p w14:paraId="581EF32E">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投标文件的编制</w:t>
            </w:r>
          </w:p>
        </w:tc>
        <w:tc>
          <w:tcPr>
            <w:tcW w:w="6216" w:type="dxa"/>
            <w:tcBorders>
              <w:top w:val="single" w:color="auto" w:sz="4" w:space="0"/>
              <w:left w:val="single" w:color="auto" w:sz="4" w:space="0"/>
              <w:bottom w:val="single" w:color="auto" w:sz="4" w:space="0"/>
              <w:right w:val="single" w:color="auto" w:sz="4" w:space="0"/>
            </w:tcBorders>
            <w:vAlign w:val="center"/>
          </w:tcPr>
          <w:p w14:paraId="2346BC1F">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先安装“政采云电子交易客户端”，并按照本招标文件和“政府采购云平台”的要求，通过“政采云电子交易客户端”编制并加密投标文件。（请自行前往“浙江政府采购网-下载专区-电子交易客户端”进行下载）</w:t>
            </w:r>
          </w:p>
        </w:tc>
      </w:tr>
      <w:tr w14:paraId="7334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40359D">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1895" w:type="dxa"/>
            <w:tcBorders>
              <w:top w:val="single" w:color="auto" w:sz="4" w:space="0"/>
              <w:left w:val="single" w:color="auto" w:sz="4" w:space="0"/>
              <w:bottom w:val="single" w:color="auto" w:sz="4" w:space="0"/>
              <w:right w:val="single" w:color="auto" w:sz="4" w:space="0"/>
            </w:tcBorders>
            <w:vAlign w:val="center"/>
          </w:tcPr>
          <w:p w14:paraId="3ED2FA19">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投标文件的形式</w:t>
            </w:r>
          </w:p>
        </w:tc>
        <w:tc>
          <w:tcPr>
            <w:tcW w:w="6216" w:type="dxa"/>
            <w:tcBorders>
              <w:top w:val="single" w:color="auto" w:sz="4" w:space="0"/>
              <w:left w:val="single" w:color="auto" w:sz="4" w:space="0"/>
              <w:bottom w:val="single" w:color="auto" w:sz="4" w:space="0"/>
              <w:right w:val="single" w:color="auto" w:sz="4" w:space="0"/>
            </w:tcBorders>
            <w:vAlign w:val="center"/>
          </w:tcPr>
          <w:p w14:paraId="3EABA40D">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电子投标文件（包括“电子加密投标文件”和“备份投标文件”， 在投标文件编制完成后同时生成）；</w:t>
            </w:r>
          </w:p>
          <w:p w14:paraId="7BA38B4F">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（1）“电子加密投标文件”是指通过“政采云电子交易客户端”完成投标文件编制后生成并加密的数据电文形式的投标文件。</w:t>
            </w:r>
          </w:p>
          <w:p w14:paraId="7E2CE7FC">
            <w:pPr>
              <w:spacing w:line="360" w:lineRule="auto"/>
              <w:rPr>
                <w:rFonts w:eastAsiaTheme="minorEastAsia"/>
                <w:color w:val="auto"/>
              </w:rPr>
            </w:pPr>
            <w:r>
              <w:rPr>
                <w:rFonts w:hint="eastAsia" w:asciiTheme="minorEastAsia" w:hAnsiTheme="minorEastAsia" w:eastAsiaTheme="minorEastAsia" w:cstheme="minorEastAsia"/>
                <w:color w:val="auto"/>
                <w:sz w:val="24"/>
              </w:rPr>
              <w:t>（2）“备份投标文件”是指与“电子加密投标文件”同时生成的数据电文形式的电子文件，其他方式编制的备份投标文件视为无效备份投标文件。</w:t>
            </w:r>
          </w:p>
        </w:tc>
      </w:tr>
      <w:tr w14:paraId="6FCE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C21FB5A">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1895" w:type="dxa"/>
            <w:tcBorders>
              <w:top w:val="single" w:color="auto" w:sz="4" w:space="0"/>
              <w:left w:val="single" w:color="auto" w:sz="4" w:space="0"/>
              <w:bottom w:val="single" w:color="auto" w:sz="4" w:space="0"/>
              <w:right w:val="single" w:color="auto" w:sz="4" w:space="0"/>
            </w:tcBorders>
            <w:vAlign w:val="center"/>
          </w:tcPr>
          <w:p w14:paraId="75DD2655">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投标文件份数</w:t>
            </w:r>
          </w:p>
        </w:tc>
        <w:tc>
          <w:tcPr>
            <w:tcW w:w="6216" w:type="dxa"/>
            <w:tcBorders>
              <w:top w:val="single" w:color="auto" w:sz="4" w:space="0"/>
              <w:left w:val="single" w:color="auto" w:sz="4" w:space="0"/>
              <w:bottom w:val="single" w:color="auto" w:sz="4" w:space="0"/>
              <w:right w:val="single" w:color="auto" w:sz="4" w:space="0"/>
            </w:tcBorders>
            <w:vAlign w:val="center"/>
          </w:tcPr>
          <w:p w14:paraId="78C49840">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（1）“电子加密投标文件”：“政府采购云平台”线上传递交；一份。</w:t>
            </w:r>
          </w:p>
          <w:p w14:paraId="10DE43BC">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（2）“备份投标文件”（若有）；一份：</w:t>
            </w:r>
          </w:p>
          <w:p w14:paraId="4211D3C3">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上述（2）内容（如有）请同时密封邮寄，请于投标截止时间前递交（EMS邮寄或顺丰邮寄形式），密封包装并在包装上注明投标项目名称、投标单位名称、“备份投标文件”、“开标时启封”字样并加盖公章（邮寄地址：玉环市玉城街道广陵南路129号4楼施先生收）。</w:t>
            </w:r>
          </w:p>
        </w:tc>
      </w:tr>
      <w:tr w14:paraId="5476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3106E6D">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1895" w:type="dxa"/>
            <w:tcBorders>
              <w:top w:val="single" w:color="auto" w:sz="4" w:space="0"/>
              <w:left w:val="single" w:color="auto" w:sz="4" w:space="0"/>
              <w:bottom w:val="single" w:color="auto" w:sz="4" w:space="0"/>
              <w:right w:val="single" w:color="auto" w:sz="4" w:space="0"/>
            </w:tcBorders>
            <w:vAlign w:val="center"/>
          </w:tcPr>
          <w:p w14:paraId="12C5DB36">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投标文件的上传和递交</w:t>
            </w:r>
          </w:p>
        </w:tc>
        <w:tc>
          <w:tcPr>
            <w:tcW w:w="6216" w:type="dxa"/>
            <w:tcBorders>
              <w:top w:val="single" w:color="auto" w:sz="4" w:space="0"/>
              <w:left w:val="single" w:color="auto" w:sz="4" w:space="0"/>
              <w:bottom w:val="single" w:color="auto" w:sz="4" w:space="0"/>
              <w:right w:val="single" w:color="auto" w:sz="4" w:space="0"/>
            </w:tcBorders>
            <w:vAlign w:val="center"/>
          </w:tcPr>
          <w:p w14:paraId="59AB7E9E">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（1）“电子加密投标文件”的上传、递交：</w:t>
            </w:r>
          </w:p>
          <w:p w14:paraId="20E6052C">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a.投标供应商应在投标截止时间前将“电子加密投标文件”成功上传递交至“政府采购云平台”，否则投标无效。</w:t>
            </w:r>
          </w:p>
          <w:p w14:paraId="31E48096">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b.“电子加密投标文件”成功上传递交后，供应商可自行打印投标文件接收回执。</w:t>
            </w:r>
          </w:p>
          <w:p w14:paraId="21419BAB">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（2）“备份投标文件”的密封包装、递交：</w:t>
            </w:r>
          </w:p>
          <w:p w14:paraId="257EB8D8">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未密封包装或者逾期邮寄送达的“备份投标文件”将不予接收；</w:t>
            </w:r>
          </w:p>
          <w:p w14:paraId="434F33F3">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通过“政府采购云平台”上传递交的“电子加密投标文件”已按时解密的，“备份投标文件”自动失效。若投标截止时间前，投标供应商仅递交了“备份投标文件”而未将“电子加密投标文件”成功上传至“政府采购云平台”的，其投标无效。</w:t>
            </w:r>
          </w:p>
        </w:tc>
      </w:tr>
      <w:tr w14:paraId="1897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191C616">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1895" w:type="dxa"/>
            <w:tcBorders>
              <w:top w:val="single" w:color="auto" w:sz="4" w:space="0"/>
              <w:left w:val="single" w:color="auto" w:sz="4" w:space="0"/>
              <w:bottom w:val="single" w:color="auto" w:sz="4" w:space="0"/>
              <w:right w:val="single" w:color="auto" w:sz="4" w:space="0"/>
            </w:tcBorders>
            <w:vAlign w:val="center"/>
          </w:tcPr>
          <w:p w14:paraId="03BCD1A9">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电子加密投标文件的解密和异常情况处理</w:t>
            </w:r>
          </w:p>
        </w:tc>
        <w:tc>
          <w:tcPr>
            <w:tcW w:w="6216" w:type="dxa"/>
            <w:tcBorders>
              <w:top w:val="single" w:color="auto" w:sz="4" w:space="0"/>
              <w:left w:val="single" w:color="auto" w:sz="4" w:space="0"/>
              <w:bottom w:val="single" w:color="auto" w:sz="4" w:space="0"/>
              <w:right w:val="single" w:color="auto" w:sz="4" w:space="0"/>
            </w:tcBorders>
            <w:vAlign w:val="center"/>
          </w:tcPr>
          <w:p w14:paraId="34C9262E">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开标时间到，采购组织机构将向各投标供应商发出“电子加密投标文件”的解密通知，各投标供应商代表应当在接到解密通知后30分钟内自行完成“电子加密投标文件”的在线解密（供应商须登录“政府采购云平台”，使用“项目采购——开标评标”功能解密）。</w:t>
            </w:r>
          </w:p>
          <w:p w14:paraId="489D7281">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（2）通过“政府采购云平台”成功上传递交的“电子加密投标文件”无法按时解密，若投标供应商按规定递交了“备份投标文件”的，则</w:t>
            </w:r>
            <w:r>
              <w:rPr>
                <w:rFonts w:hint="eastAsia" w:ascii="宋体" w:hAnsi="宋体" w:cs="宋体"/>
                <w:bCs/>
                <w:color w:val="auto"/>
                <w:sz w:val="24"/>
              </w:rPr>
              <w:t>启用</w:t>
            </w:r>
            <w:r>
              <w:rPr>
                <w:rFonts w:hint="eastAsia" w:asciiTheme="minorEastAsia" w:hAnsiTheme="minorEastAsia" w:eastAsiaTheme="minorEastAsia" w:cstheme="minorEastAsia"/>
                <w:color w:val="auto"/>
                <w:sz w:val="24"/>
              </w:rPr>
              <w:t>“备份投标文件”（由采购组织机构按“政府采购云平台”操作规范将“备份投标文件”上传至“政府采购云平台”，上传成功后，“电子加密投标文件”自动失效），否则视为投标文件撤回。</w:t>
            </w:r>
          </w:p>
          <w:p w14:paraId="3C434270">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（3）若投标截止时间前，投标供应商仅递交了“备份投标文件”而未将“电子加密投标文件”成功上传至“政府采购云平台”的，其投标无效。</w:t>
            </w:r>
          </w:p>
        </w:tc>
      </w:tr>
      <w:tr w14:paraId="17BE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24E677">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1895" w:type="dxa"/>
            <w:tcBorders>
              <w:top w:val="single" w:color="auto" w:sz="4" w:space="0"/>
              <w:left w:val="single" w:color="auto" w:sz="4" w:space="0"/>
              <w:bottom w:val="single" w:color="auto" w:sz="4" w:space="0"/>
              <w:right w:val="single" w:color="auto" w:sz="4" w:space="0"/>
            </w:tcBorders>
            <w:vAlign w:val="center"/>
          </w:tcPr>
          <w:p w14:paraId="2274853F">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投标有效期</w:t>
            </w:r>
          </w:p>
        </w:tc>
        <w:tc>
          <w:tcPr>
            <w:tcW w:w="6216" w:type="dxa"/>
            <w:tcBorders>
              <w:top w:val="single" w:color="auto" w:sz="4" w:space="0"/>
              <w:left w:val="single" w:color="auto" w:sz="4" w:space="0"/>
              <w:bottom w:val="single" w:color="auto" w:sz="4" w:space="0"/>
              <w:right w:val="single" w:color="auto" w:sz="4" w:space="0"/>
            </w:tcBorders>
            <w:vAlign w:val="center"/>
          </w:tcPr>
          <w:p w14:paraId="6A178F72">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投标有效期为开标后90天，</w:t>
            </w:r>
            <w:r>
              <w:rPr>
                <w:rFonts w:hint="eastAsia" w:asciiTheme="minorEastAsia" w:hAnsiTheme="minorEastAsia" w:eastAsiaTheme="minorEastAsia" w:cstheme="minorEastAsia"/>
                <w:color w:val="auto"/>
                <w:kern w:val="0"/>
                <w:sz w:val="24"/>
              </w:rPr>
              <w:t>投标有效期从提交投标文件的截止之日起算。</w:t>
            </w:r>
          </w:p>
        </w:tc>
      </w:tr>
      <w:tr w14:paraId="510A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899A5F6">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c>
          <w:tcPr>
            <w:tcW w:w="1895" w:type="dxa"/>
            <w:tcBorders>
              <w:top w:val="single" w:color="auto" w:sz="4" w:space="0"/>
              <w:left w:val="single" w:color="auto" w:sz="4" w:space="0"/>
              <w:bottom w:val="single" w:color="auto" w:sz="4" w:space="0"/>
              <w:right w:val="single" w:color="auto" w:sz="4" w:space="0"/>
            </w:tcBorders>
            <w:vAlign w:val="center"/>
          </w:tcPr>
          <w:p w14:paraId="38F6B919">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投标文件递交</w:t>
            </w:r>
          </w:p>
        </w:tc>
        <w:tc>
          <w:tcPr>
            <w:tcW w:w="6216" w:type="dxa"/>
            <w:tcBorders>
              <w:top w:val="single" w:color="auto" w:sz="4" w:space="0"/>
              <w:left w:val="single" w:color="auto" w:sz="4" w:space="0"/>
              <w:bottom w:val="single" w:color="auto" w:sz="4" w:space="0"/>
              <w:right w:val="single" w:color="auto" w:sz="4" w:space="0"/>
            </w:tcBorders>
            <w:vAlign w:val="center"/>
          </w:tcPr>
          <w:p w14:paraId="440458EF">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截止时间：</w:t>
            </w:r>
            <w:r>
              <w:rPr>
                <w:rFonts w:hint="eastAsia" w:ascii="宋体" w:hAnsi="宋体" w:cs="宋体"/>
                <w:color w:val="auto"/>
                <w:sz w:val="24"/>
              </w:rPr>
              <w:t>2024年11月</w:t>
            </w:r>
            <w:r>
              <w:rPr>
                <w:rFonts w:hint="eastAsia" w:ascii="宋体" w:hAnsi="宋体" w:cs="宋体"/>
                <w:color w:val="auto"/>
                <w:sz w:val="24"/>
                <w:lang w:val="en-US" w:eastAsia="zh-CN"/>
              </w:rPr>
              <w:t>12</w:t>
            </w:r>
            <w:r>
              <w:rPr>
                <w:rFonts w:hint="eastAsia" w:ascii="宋体" w:hAnsi="宋体" w:cs="宋体"/>
                <w:color w:val="auto"/>
                <w:sz w:val="24"/>
              </w:rPr>
              <w:t>日09:30（北京时间）</w:t>
            </w:r>
          </w:p>
          <w:p w14:paraId="5367D49D">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递交地点：通过“政府采购云平台（www.zcygov.cn）”实行在线投标响应。</w:t>
            </w:r>
          </w:p>
        </w:tc>
      </w:tr>
      <w:tr w14:paraId="0A16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C9D904">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p>
        </w:tc>
        <w:tc>
          <w:tcPr>
            <w:tcW w:w="1895" w:type="dxa"/>
            <w:tcBorders>
              <w:top w:val="single" w:color="auto" w:sz="4" w:space="0"/>
              <w:left w:val="single" w:color="auto" w:sz="4" w:space="0"/>
              <w:bottom w:val="single" w:color="auto" w:sz="4" w:space="0"/>
              <w:right w:val="single" w:color="auto" w:sz="4" w:space="0"/>
            </w:tcBorders>
            <w:vAlign w:val="center"/>
          </w:tcPr>
          <w:p w14:paraId="6C9E1443">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开标时间及地点</w:t>
            </w:r>
          </w:p>
        </w:tc>
        <w:tc>
          <w:tcPr>
            <w:tcW w:w="6216" w:type="dxa"/>
            <w:tcBorders>
              <w:top w:val="single" w:color="auto" w:sz="4" w:space="0"/>
              <w:left w:val="single" w:color="auto" w:sz="4" w:space="0"/>
              <w:bottom w:val="single" w:color="auto" w:sz="4" w:space="0"/>
              <w:right w:val="single" w:color="auto" w:sz="4" w:space="0"/>
            </w:tcBorders>
            <w:vAlign w:val="center"/>
          </w:tcPr>
          <w:p w14:paraId="60910C23">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同投标文件递交截止时间及递交地点</w:t>
            </w:r>
          </w:p>
        </w:tc>
      </w:tr>
      <w:tr w14:paraId="68FF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8C5ED7E">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1895" w:type="dxa"/>
            <w:tcBorders>
              <w:top w:val="single" w:color="auto" w:sz="4" w:space="0"/>
              <w:left w:val="single" w:color="auto" w:sz="4" w:space="0"/>
              <w:bottom w:val="single" w:color="auto" w:sz="4" w:space="0"/>
              <w:right w:val="single" w:color="auto" w:sz="4" w:space="0"/>
            </w:tcBorders>
            <w:vAlign w:val="center"/>
          </w:tcPr>
          <w:p w14:paraId="28315F2C">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投标保证金</w:t>
            </w:r>
          </w:p>
        </w:tc>
        <w:tc>
          <w:tcPr>
            <w:tcW w:w="6216" w:type="dxa"/>
            <w:tcBorders>
              <w:top w:val="single" w:color="auto" w:sz="4" w:space="0"/>
              <w:left w:val="single" w:color="auto" w:sz="4" w:space="0"/>
              <w:bottom w:val="single" w:color="auto" w:sz="4" w:space="0"/>
              <w:right w:val="single" w:color="auto" w:sz="4" w:space="0"/>
            </w:tcBorders>
            <w:vAlign w:val="center"/>
          </w:tcPr>
          <w:p w14:paraId="17F0E061">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本项目不设投标保证金</w:t>
            </w:r>
          </w:p>
        </w:tc>
      </w:tr>
      <w:tr w14:paraId="5D5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B7D2D2">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1895" w:type="dxa"/>
            <w:tcBorders>
              <w:top w:val="single" w:color="auto" w:sz="4" w:space="0"/>
              <w:left w:val="single" w:color="auto" w:sz="4" w:space="0"/>
              <w:bottom w:val="single" w:color="auto" w:sz="4" w:space="0"/>
              <w:right w:val="single" w:color="auto" w:sz="4" w:space="0"/>
            </w:tcBorders>
            <w:vAlign w:val="center"/>
          </w:tcPr>
          <w:p w14:paraId="77F4E756">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履约保证金</w:t>
            </w:r>
          </w:p>
        </w:tc>
        <w:tc>
          <w:tcPr>
            <w:tcW w:w="6216" w:type="dxa"/>
            <w:tcBorders>
              <w:top w:val="single" w:color="auto" w:sz="4" w:space="0"/>
              <w:left w:val="single" w:color="auto" w:sz="4" w:space="0"/>
              <w:bottom w:val="single" w:color="auto" w:sz="4" w:space="0"/>
              <w:right w:val="single" w:color="auto" w:sz="4" w:space="0"/>
            </w:tcBorders>
            <w:vAlign w:val="center"/>
          </w:tcPr>
          <w:p w14:paraId="560558C1">
            <w:pPr>
              <w:spacing w:line="360" w:lineRule="auto"/>
              <w:rPr>
                <w:rFonts w:asciiTheme="minorEastAsia" w:hAnsiTheme="minorEastAsia" w:eastAsiaTheme="minorEastAsia" w:cstheme="minorEastAsia"/>
                <w:color w:val="auto"/>
                <w:sz w:val="24"/>
              </w:rPr>
            </w:pPr>
            <w:r>
              <w:rPr>
                <w:rFonts w:hint="eastAsia" w:ascii="宋体" w:hAnsi="宋体"/>
                <w:color w:val="auto"/>
                <w:sz w:val="24"/>
              </w:rPr>
              <w:t>在合同签订前中标人应缴纳履约保证金10万元，在服务期间结束后依约退还履约保证金。若在合同执行期间因中标人违约导致履约保证金部分扣除的，中标人需在5个工作日内将扣除的履约保证金补齐。若中标人在合同执行过程中单方面终止合同或因服务评估分两次在80分以下而被取消供应资格的，履约保证金不退还。其他详见合同内容。</w:t>
            </w:r>
          </w:p>
        </w:tc>
      </w:tr>
      <w:tr w14:paraId="6E0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1F77876">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1895" w:type="dxa"/>
            <w:tcBorders>
              <w:top w:val="single" w:color="auto" w:sz="4" w:space="0"/>
              <w:left w:val="single" w:color="auto" w:sz="4" w:space="0"/>
              <w:bottom w:val="single" w:color="auto" w:sz="4" w:space="0"/>
              <w:right w:val="single" w:color="auto" w:sz="4" w:space="0"/>
            </w:tcBorders>
            <w:vAlign w:val="center"/>
          </w:tcPr>
          <w:p w14:paraId="3A16633F">
            <w:pPr>
              <w:spacing w:line="360" w:lineRule="auto"/>
              <w:jc w:val="center"/>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投标文件备案</w:t>
            </w:r>
          </w:p>
        </w:tc>
        <w:tc>
          <w:tcPr>
            <w:tcW w:w="6216" w:type="dxa"/>
            <w:tcBorders>
              <w:top w:val="single" w:color="auto" w:sz="4" w:space="0"/>
              <w:left w:val="single" w:color="auto" w:sz="4" w:space="0"/>
              <w:bottom w:val="single" w:color="auto" w:sz="4" w:space="0"/>
              <w:right w:val="single" w:color="auto" w:sz="4" w:space="0"/>
            </w:tcBorders>
            <w:vAlign w:val="center"/>
          </w:tcPr>
          <w:p w14:paraId="121E353D">
            <w:pPr>
              <w:spacing w:line="360" w:lineRule="auto"/>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中标单位需在中标确认后7个工作日内，邮寄</w:t>
            </w:r>
            <w:r>
              <w:rPr>
                <w:rFonts w:hint="eastAsia" w:asciiTheme="minorEastAsia" w:hAnsiTheme="minorEastAsia" w:eastAsiaTheme="minorEastAsia" w:cstheme="minorEastAsia"/>
                <w:b/>
                <w:bCs/>
                <w:color w:val="auto"/>
                <w:sz w:val="24"/>
              </w:rPr>
              <w:t>1套纸质投标文件（盖公章，与“电子加密投标文件”保持一致）</w:t>
            </w:r>
            <w:r>
              <w:rPr>
                <w:rFonts w:hint="eastAsia" w:asciiTheme="minorEastAsia" w:hAnsiTheme="minorEastAsia" w:eastAsiaTheme="minorEastAsia" w:cstheme="minorEastAsia"/>
                <w:color w:val="auto"/>
                <w:sz w:val="24"/>
              </w:rPr>
              <w:t>至招标代理机构。</w:t>
            </w:r>
          </w:p>
        </w:tc>
      </w:tr>
      <w:tr w14:paraId="3438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F46905C">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1895" w:type="dxa"/>
            <w:tcBorders>
              <w:top w:val="single" w:color="auto" w:sz="4" w:space="0"/>
              <w:left w:val="single" w:color="auto" w:sz="4" w:space="0"/>
              <w:bottom w:val="single" w:color="auto" w:sz="4" w:space="0"/>
              <w:right w:val="single" w:color="auto" w:sz="4" w:space="0"/>
            </w:tcBorders>
            <w:vAlign w:val="center"/>
          </w:tcPr>
          <w:p w14:paraId="0EFFCC44">
            <w:pPr>
              <w:autoSpaceDE w:val="0"/>
              <w:autoSpaceDN w:val="0"/>
              <w:adjustRightInd w:val="0"/>
              <w:spacing w:line="360" w:lineRule="auto"/>
              <w:jc w:val="center"/>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实质性条款</w:t>
            </w:r>
          </w:p>
        </w:tc>
        <w:tc>
          <w:tcPr>
            <w:tcW w:w="6216" w:type="dxa"/>
            <w:tcBorders>
              <w:top w:val="single" w:color="auto" w:sz="4" w:space="0"/>
              <w:left w:val="single" w:color="auto" w:sz="4" w:space="0"/>
              <w:bottom w:val="single" w:color="auto" w:sz="4" w:space="0"/>
              <w:right w:val="single" w:color="auto" w:sz="4" w:space="0"/>
            </w:tcBorders>
            <w:vAlign w:val="center"/>
          </w:tcPr>
          <w:p w14:paraId="2E478B23">
            <w:pPr>
              <w:autoSpaceDE w:val="0"/>
              <w:autoSpaceDN w:val="0"/>
              <w:adjustRightInd w:val="0"/>
              <w:spacing w:line="360" w:lineRule="auto"/>
              <w:jc w:val="left"/>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带“</w:t>
            </w:r>
            <w:r>
              <w:rPr>
                <w:rFonts w:hint="eastAsia" w:asciiTheme="minorEastAsia" w:hAnsiTheme="minorEastAsia" w:eastAsiaTheme="minorEastAsia" w:cstheme="minorEastAsia"/>
                <w:bCs/>
                <w:color w:val="auto"/>
                <w:sz w:val="24"/>
              </w:rPr>
              <w:t>▲”的条款是实质性条款，投标文件须作出实质性响</w:t>
            </w:r>
            <w:r>
              <w:rPr>
                <w:rFonts w:hint="eastAsia" w:asciiTheme="minorEastAsia" w:hAnsiTheme="minorEastAsia" w:eastAsiaTheme="minorEastAsia" w:cstheme="minorEastAsia"/>
                <w:color w:val="auto"/>
                <w:kern w:val="0"/>
                <w:sz w:val="24"/>
                <w:lang w:val="zh-CN"/>
              </w:rPr>
              <w:t>应，否则作无效投标处理。</w:t>
            </w:r>
          </w:p>
        </w:tc>
      </w:tr>
      <w:tr w14:paraId="7646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6DFAEDA">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w:t>
            </w:r>
          </w:p>
        </w:tc>
        <w:tc>
          <w:tcPr>
            <w:tcW w:w="1895" w:type="dxa"/>
            <w:tcBorders>
              <w:top w:val="single" w:color="auto" w:sz="4" w:space="0"/>
              <w:left w:val="single" w:color="auto" w:sz="4" w:space="0"/>
              <w:bottom w:val="single" w:color="auto" w:sz="4" w:space="0"/>
              <w:right w:val="single" w:color="auto" w:sz="4" w:space="0"/>
            </w:tcBorders>
            <w:vAlign w:val="center"/>
          </w:tcPr>
          <w:p w14:paraId="13199746">
            <w:pPr>
              <w:autoSpaceDE w:val="0"/>
              <w:autoSpaceDN w:val="0"/>
              <w:adjustRightInd w:val="0"/>
              <w:spacing w:line="340" w:lineRule="exact"/>
              <w:ind w:firstLine="602"/>
              <w:jc w:val="center"/>
              <w:rPr>
                <w:rFonts w:ascii="宋体" w:hAnsi="宋体" w:cs="宋体"/>
                <w:color w:val="auto"/>
                <w:sz w:val="24"/>
                <w:lang w:val="zh-CN"/>
              </w:rPr>
            </w:pPr>
            <w:r>
              <w:rPr>
                <w:rFonts w:hint="eastAsia" w:ascii="宋体" w:hAnsi="宋体" w:cs="宋体"/>
                <w:b/>
                <w:bCs/>
                <w:color w:val="auto"/>
                <w:sz w:val="24"/>
              </w:rPr>
              <w:t>注意事项</w:t>
            </w:r>
          </w:p>
        </w:tc>
        <w:tc>
          <w:tcPr>
            <w:tcW w:w="6216" w:type="dxa"/>
            <w:tcBorders>
              <w:top w:val="single" w:color="auto" w:sz="4" w:space="0"/>
              <w:left w:val="single" w:color="auto" w:sz="4" w:space="0"/>
              <w:bottom w:val="single" w:color="auto" w:sz="4" w:space="0"/>
              <w:right w:val="single" w:color="auto" w:sz="4" w:space="0"/>
            </w:tcBorders>
            <w:vAlign w:val="center"/>
          </w:tcPr>
          <w:p w14:paraId="034A807D">
            <w:pPr>
              <w:spacing w:line="340" w:lineRule="exact"/>
              <w:ind w:left="19" w:right="199" w:rightChars="95" w:hanging="19" w:hangingChars="8"/>
              <w:rPr>
                <w:rFonts w:ascii="宋体" w:hAnsi="宋体" w:cs="宋体"/>
                <w:color w:val="auto"/>
                <w:sz w:val="24"/>
              </w:rPr>
            </w:pPr>
            <w:r>
              <w:rPr>
                <w:rFonts w:hint="eastAsia" w:ascii="宋体" w:hAnsi="宋体" w:cs="宋体"/>
                <w:color w:val="auto"/>
                <w:sz w:val="24"/>
              </w:rPr>
              <w:t>1.请务必确保投标文件制作客户端为最新版本，旧版本可能导致投标文件解密失败。</w:t>
            </w:r>
          </w:p>
          <w:p w14:paraId="70E2C660">
            <w:pPr>
              <w:spacing w:line="340" w:lineRule="exact"/>
              <w:ind w:left="19" w:right="199" w:rightChars="95" w:hanging="19" w:hangingChars="8"/>
              <w:rPr>
                <w:rFonts w:ascii="宋体" w:hAnsi="宋体" w:cs="宋体"/>
                <w:color w:val="auto"/>
                <w:sz w:val="24"/>
              </w:rPr>
            </w:pPr>
            <w:r>
              <w:rPr>
                <w:rFonts w:hint="eastAsia" w:ascii="宋体" w:hAnsi="宋体" w:cs="宋体"/>
                <w:color w:val="auto"/>
                <w:sz w:val="24"/>
              </w:rPr>
              <w:t>2.请务必确保投标文件制作时所用的 CA 锁与投标文件解密时的 CA 锁为同一把，否则可能导致投标文件解密失败。</w:t>
            </w:r>
          </w:p>
          <w:p w14:paraId="6DF76881">
            <w:pPr>
              <w:spacing w:line="340" w:lineRule="exact"/>
              <w:ind w:left="19" w:right="199" w:rightChars="95" w:hanging="19" w:hangingChars="8"/>
              <w:rPr>
                <w:rFonts w:ascii="宋体" w:hAnsi="宋体" w:cs="宋体"/>
                <w:color w:val="auto"/>
                <w:sz w:val="24"/>
              </w:rPr>
            </w:pPr>
            <w:r>
              <w:rPr>
                <w:rFonts w:hint="eastAsia" w:ascii="宋体" w:hAnsi="宋体" w:cs="宋体"/>
                <w:b/>
                <w:bCs/>
                <w:color w:val="auto"/>
                <w:sz w:val="24"/>
              </w:rPr>
              <w:t>3.解密成功后将附件17政府采购活动现场确认声明书（按要求填写并加盖公章）的原件扫描件发送至邮箱545776142@qq.com。</w:t>
            </w:r>
          </w:p>
        </w:tc>
      </w:tr>
      <w:tr w14:paraId="69BE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A36F9EB">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w:t>
            </w:r>
          </w:p>
        </w:tc>
        <w:tc>
          <w:tcPr>
            <w:tcW w:w="1895" w:type="dxa"/>
            <w:tcBorders>
              <w:top w:val="single" w:color="auto" w:sz="4" w:space="0"/>
              <w:left w:val="single" w:color="auto" w:sz="4" w:space="0"/>
              <w:bottom w:val="single" w:color="auto" w:sz="4" w:space="0"/>
              <w:right w:val="single" w:color="auto" w:sz="4" w:space="0"/>
            </w:tcBorders>
            <w:vAlign w:val="center"/>
          </w:tcPr>
          <w:p w14:paraId="4C1FBD52">
            <w:pPr>
              <w:autoSpaceDE w:val="0"/>
              <w:autoSpaceDN w:val="0"/>
              <w:adjustRightInd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解释权</w:t>
            </w:r>
          </w:p>
        </w:tc>
        <w:tc>
          <w:tcPr>
            <w:tcW w:w="6216" w:type="dxa"/>
            <w:tcBorders>
              <w:top w:val="single" w:color="auto" w:sz="4" w:space="0"/>
              <w:left w:val="single" w:color="auto" w:sz="4" w:space="0"/>
              <w:bottom w:val="single" w:color="auto" w:sz="4" w:space="0"/>
              <w:right w:val="single" w:color="auto" w:sz="4" w:space="0"/>
            </w:tcBorders>
            <w:vAlign w:val="center"/>
          </w:tcPr>
          <w:p w14:paraId="7B8B01FC">
            <w:pPr>
              <w:autoSpaceDE w:val="0"/>
              <w:autoSpaceDN w:val="0"/>
              <w:adjustRightInd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本招标文件解释权属于采购人和采购代理机构。</w:t>
            </w:r>
          </w:p>
        </w:tc>
      </w:tr>
    </w:tbl>
    <w:p w14:paraId="74EEF6C2">
      <w:pPr>
        <w:ind w:firstLine="602"/>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说明：为优化政府采购营商环境，缓解供应商资金难题，政府采购已推广应用“政采贷”、“政采保”等服务，供应商可以银行保函、保险公司保单、融资担保公司保函、银行转账（或电汇）等方式缴纳至采购人指定账户。”</w:t>
      </w:r>
      <w:r>
        <w:rPr>
          <w:rFonts w:hint="eastAsia" w:asciiTheme="minorEastAsia" w:hAnsiTheme="minorEastAsia" w:eastAsiaTheme="minorEastAsia"/>
          <w:b/>
          <w:color w:val="auto"/>
          <w:sz w:val="24"/>
        </w:rPr>
        <w:br w:type="page"/>
      </w:r>
    </w:p>
    <w:p w14:paraId="69973EC9">
      <w:pPr>
        <w:pStyle w:val="15"/>
        <w:snapToGrid w:val="0"/>
        <w:spacing w:line="440" w:lineRule="exact"/>
        <w:ind w:firstLine="602"/>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一、总  则</w:t>
      </w:r>
    </w:p>
    <w:p w14:paraId="4E9DFA85">
      <w:pPr>
        <w:snapToGrid w:val="0"/>
        <w:spacing w:line="440" w:lineRule="exact"/>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 xml:space="preserve"> 适用范围</w:t>
      </w:r>
    </w:p>
    <w:p w14:paraId="23E782D0">
      <w:pPr>
        <w:snapToGrid w:val="0"/>
        <w:spacing w:line="44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51505C17">
      <w:pPr>
        <w:snapToGrid w:val="0"/>
        <w:spacing w:beforeLines="50" w:line="440" w:lineRule="exact"/>
        <w:ind w:firstLine="354" w:firstLineChars="147"/>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（二）定义</w:t>
      </w:r>
    </w:p>
    <w:p w14:paraId="684C54A4">
      <w:pPr>
        <w:snapToGrid w:val="0"/>
        <w:spacing w:line="440" w:lineRule="exact"/>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1、“采购组织机构”指采购人委托组织招标的采购代理机构。</w:t>
      </w:r>
    </w:p>
    <w:p w14:paraId="0B904EAA">
      <w:pPr>
        <w:snapToGrid w:val="0"/>
        <w:spacing w:line="440" w:lineRule="exact"/>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2、采购人：是指委托采购代理机构采购本次项目的国家机关、事业单位和团体组织。</w:t>
      </w:r>
    </w:p>
    <w:p w14:paraId="72DDC2BD">
      <w:pPr>
        <w:snapToGrid w:val="0"/>
        <w:spacing w:line="440" w:lineRule="exact"/>
        <w:ind w:left="424" w:leftChars="202" w:firstLine="141" w:firstLineChars="59"/>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（即投标供应商）：是</w:t>
      </w:r>
      <w:r>
        <w:rPr>
          <w:rFonts w:asciiTheme="minorEastAsia" w:hAnsiTheme="minorEastAsia" w:eastAsiaTheme="minorEastAsia"/>
          <w:color w:val="auto"/>
          <w:sz w:val="24"/>
        </w:rPr>
        <w:t>指向</w:t>
      </w:r>
      <w:r>
        <w:rPr>
          <w:rFonts w:hint="eastAsia" w:asciiTheme="minorEastAsia" w:hAnsiTheme="minorEastAsia" w:eastAsiaTheme="minorEastAsia"/>
          <w:color w:val="auto"/>
          <w:sz w:val="24"/>
        </w:rPr>
        <w:t>采购</w:t>
      </w:r>
      <w:r>
        <w:rPr>
          <w:rFonts w:hint="eastAsia" w:ascii="宋体" w:hAnsi="宋体"/>
          <w:color w:val="auto"/>
          <w:sz w:val="24"/>
          <w:lang w:val="zh-CN"/>
        </w:rPr>
        <w:t>组织</w:t>
      </w:r>
      <w:r>
        <w:rPr>
          <w:rFonts w:hint="eastAsia" w:asciiTheme="minorEastAsia" w:hAnsiTheme="minorEastAsia" w:eastAsiaTheme="minorEastAsia"/>
          <w:color w:val="auto"/>
          <w:sz w:val="24"/>
        </w:rPr>
        <w:t>机构</w:t>
      </w:r>
      <w:r>
        <w:rPr>
          <w:rFonts w:asciiTheme="minorEastAsia" w:hAnsiTheme="minorEastAsia" w:eastAsiaTheme="minorEastAsia"/>
          <w:color w:val="auto"/>
          <w:sz w:val="24"/>
        </w:rPr>
        <w:t>提交投标文件的单位或个人。</w:t>
      </w:r>
    </w:p>
    <w:p w14:paraId="0E908AAA">
      <w:pPr>
        <w:snapToGrid w:val="0"/>
        <w:spacing w:line="440" w:lineRule="exact"/>
        <w:ind w:left="424" w:leftChars="202" w:firstLine="6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货物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是指各种形态和种类的物品，包括原材料、燃料、设备、产品等。</w:t>
      </w:r>
    </w:p>
    <w:p w14:paraId="3121F92F">
      <w:pPr>
        <w:snapToGrid w:val="0"/>
        <w:spacing w:line="440" w:lineRule="exact"/>
        <w:ind w:firstLine="566" w:firstLineChars="236"/>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服务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是指除货物和工程以外的政府采购对象，包括各类专业服务、信息网络开发服务、金融保险服务、运输服务，以及维修与维护服务等。</w:t>
      </w:r>
    </w:p>
    <w:p w14:paraId="6F7282CC">
      <w:pPr>
        <w:snapToGrid w:val="0"/>
        <w:spacing w:line="440" w:lineRule="exact"/>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“书面形式”包括信函、传真等。</w:t>
      </w:r>
    </w:p>
    <w:p w14:paraId="1383E5E7">
      <w:pPr>
        <w:snapToGrid w:val="0"/>
        <w:spacing w:line="440" w:lineRule="exact"/>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bCs/>
          <w:color w:val="auto"/>
          <w:sz w:val="24"/>
        </w:rPr>
        <w:t>▲”</w:t>
      </w:r>
      <w:r>
        <w:rPr>
          <w:rFonts w:asciiTheme="minorEastAsia" w:hAnsiTheme="minorEastAsia" w:eastAsiaTheme="minorEastAsia"/>
          <w:color w:val="auto"/>
          <w:sz w:val="24"/>
        </w:rPr>
        <w:t>系指实质性要求条款</w:t>
      </w:r>
      <w:r>
        <w:rPr>
          <w:rFonts w:hint="eastAsia" w:asciiTheme="minorEastAsia" w:hAnsiTheme="minorEastAsia" w:eastAsiaTheme="minorEastAsia"/>
          <w:color w:val="auto"/>
          <w:sz w:val="24"/>
        </w:rPr>
        <w:t>。</w:t>
      </w:r>
    </w:p>
    <w:p w14:paraId="24160202">
      <w:pPr>
        <w:snapToGrid w:val="0"/>
        <w:spacing w:beforeLines="50" w:line="440" w:lineRule="exact"/>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（三）投标费用</w:t>
      </w:r>
    </w:p>
    <w:p w14:paraId="43C760AD">
      <w:pPr>
        <w:snapToGrid w:val="0"/>
        <w:spacing w:line="44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不论投标结果如何，投标人均应自行承担所有与投标有关的全部费用（招标文件有相关规定除外）。</w:t>
      </w:r>
    </w:p>
    <w:p w14:paraId="10EF77D4">
      <w:pPr>
        <w:snapToGrid w:val="0"/>
        <w:spacing w:beforeLines="50" w:line="440" w:lineRule="exact"/>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（四）特别说明</w:t>
      </w:r>
    </w:p>
    <w:p w14:paraId="258E141C">
      <w:pPr>
        <w:pStyle w:val="15"/>
        <w:snapToGrid w:val="0"/>
        <w:spacing w:line="440" w:lineRule="exact"/>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hAnsi="宋体" w:cs="宋体"/>
          <w:color w:val="auto"/>
          <w:sz w:val="24"/>
        </w:rPr>
        <w:t>投标人投标所使用的资格、信誉、荣誉、业绩与企业认证必须为本法人所拥有。投标人投标所使用的采购项目实施人员必须为本法人员工（指本法人或控股公司正式员工）</w:t>
      </w:r>
      <w:r>
        <w:rPr>
          <w:rFonts w:hint="eastAsia" w:asciiTheme="minorEastAsia" w:hAnsiTheme="minorEastAsia" w:eastAsiaTheme="minorEastAsia"/>
          <w:color w:val="auto"/>
          <w:sz w:val="24"/>
        </w:rPr>
        <w:t>。</w:t>
      </w:r>
    </w:p>
    <w:p w14:paraId="0D7A4B10">
      <w:pPr>
        <w:spacing w:line="440" w:lineRule="exact"/>
        <w:ind w:firstLine="480" w:firstLineChars="20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rPr>
        <w:tab/>
      </w:r>
    </w:p>
    <w:p w14:paraId="639AE1DA">
      <w:pPr>
        <w:pStyle w:val="44"/>
        <w:snapToGrid w:val="0"/>
        <w:spacing w:line="440" w:lineRule="exact"/>
        <w:ind w:firstLineChars="0"/>
        <w:rPr>
          <w:rFonts w:asciiTheme="minorEastAsia" w:hAnsiTheme="minorEastAsia" w:eastAsiaTheme="minorEastAsia" w:cstheme="minorBidi"/>
          <w:color w:val="auto"/>
          <w:sz w:val="24"/>
          <w:szCs w:val="24"/>
        </w:rPr>
      </w:pPr>
      <w:r>
        <w:rPr>
          <w:rFonts w:hint="eastAsia" w:asciiTheme="minorEastAsia" w:hAnsiTheme="minorEastAsia" w:eastAsiaTheme="minorEastAsia" w:cstheme="minorBidi"/>
          <w:color w:val="auto"/>
          <w:sz w:val="24"/>
          <w:szCs w:val="24"/>
        </w:rPr>
        <w:t>3、</w:t>
      </w:r>
      <w:r>
        <w:rPr>
          <w:rFonts w:asciiTheme="minorEastAsia" w:hAnsiTheme="minorEastAsia" w:eastAsiaTheme="minorEastAsia" w:cstheme="minorBidi"/>
          <w:color w:val="auto"/>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rPr>
        <w:t>，</w:t>
      </w:r>
      <w:r>
        <w:rPr>
          <w:rFonts w:asciiTheme="minorEastAsia" w:hAnsiTheme="minorEastAsia" w:eastAsiaTheme="minorEastAsia" w:cstheme="minorBidi"/>
          <w:color w:val="auto"/>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rPr>
        <w:t>。</w:t>
      </w:r>
    </w:p>
    <w:p w14:paraId="6208C122">
      <w:pPr>
        <w:pStyle w:val="15"/>
        <w:snapToGrid w:val="0"/>
        <w:spacing w:line="440" w:lineRule="exact"/>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4、投标人不得相互串通投标报价，不得妨碍其他投标人的公平竞争，不得损害采购人或其他投标人的合法权益，投标人不得以向采购人、评标委员会成员行贿或者采取其他不正当手段谋取中标。</w:t>
      </w:r>
    </w:p>
    <w:p w14:paraId="02B08FF0">
      <w:pPr>
        <w:pStyle w:val="15"/>
        <w:snapToGrid w:val="0"/>
        <w:spacing w:line="440" w:lineRule="exact"/>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5、为采购项目提供整体设计、规范编制或者项目管理、监理、检测等服务的供应商，不得再参加该采购项目的其他采购活动。</w:t>
      </w:r>
    </w:p>
    <w:p w14:paraId="6C0C876B">
      <w:pPr>
        <w:pStyle w:val="15"/>
        <w:snapToGrid w:val="0"/>
        <w:spacing w:line="440" w:lineRule="exact"/>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6、投标文件格式中的表格式样可以根据项目差别做适当调整,但应当保持表格样式基本形态不变。</w:t>
      </w:r>
    </w:p>
    <w:p w14:paraId="13D7BAA6">
      <w:pPr>
        <w:pStyle w:val="15"/>
        <w:snapToGrid w:val="0"/>
        <w:spacing w:line="440" w:lineRule="exact"/>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7、单位负责人为同一人或者存在直接控股、管理关系的不同供应商，不得参加同一合同项下的政府采购活动。</w:t>
      </w:r>
    </w:p>
    <w:p w14:paraId="59BB7C28">
      <w:pPr>
        <w:pStyle w:val="15"/>
        <w:snapToGrid w:val="0"/>
        <w:spacing w:line="440" w:lineRule="exact"/>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8、本项目不允许分包。</w:t>
      </w:r>
    </w:p>
    <w:p w14:paraId="5135B592">
      <w:pPr>
        <w:pStyle w:val="15"/>
        <w:snapToGrid w:val="0"/>
        <w:spacing w:line="440" w:lineRule="exact"/>
        <w:ind w:firstLine="602"/>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二、招标文件</w:t>
      </w:r>
    </w:p>
    <w:p w14:paraId="4A3B5CA3">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（一）招标文件由招标文件总目录所列内容组成。</w:t>
      </w:r>
    </w:p>
    <w:p w14:paraId="7BCAFA12">
      <w:pPr>
        <w:snapToGrid w:val="0"/>
        <w:spacing w:beforeLines="50" w:line="440" w:lineRule="exact"/>
        <w:ind w:firstLine="482" w:firstLineChars="200"/>
        <w:jc w:val="left"/>
        <w:outlineLvl w:val="1"/>
        <w:rPr>
          <w:rFonts w:asciiTheme="minorEastAsia" w:hAnsiTheme="minorEastAsia" w:eastAsiaTheme="minorEastAsia"/>
          <w:color w:val="auto"/>
          <w:kern w:val="0"/>
          <w:sz w:val="24"/>
        </w:rPr>
      </w:pPr>
      <w:r>
        <w:rPr>
          <w:rFonts w:hint="eastAsia" w:asciiTheme="minorEastAsia" w:hAnsiTheme="minorEastAsia" w:eastAsiaTheme="minorEastAsia"/>
          <w:b/>
          <w:color w:val="auto"/>
          <w:sz w:val="24"/>
        </w:rPr>
        <w:t>（二）招标文件的澄清或修改</w:t>
      </w:r>
    </w:p>
    <w:p w14:paraId="47A11826">
      <w:pPr>
        <w:autoSpaceDE w:val="0"/>
        <w:autoSpaceDN w:val="0"/>
        <w:adjustRightInd w:val="0"/>
        <w:spacing w:line="440" w:lineRule="exact"/>
        <w:ind w:firstLine="420" w:firstLineChars="175"/>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22E0BE4">
      <w:pPr>
        <w:autoSpaceDE w:val="0"/>
        <w:autoSpaceDN w:val="0"/>
        <w:adjustRightInd w:val="0"/>
        <w:spacing w:line="440" w:lineRule="exact"/>
        <w:ind w:firstLine="6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asciiTheme="minorEastAsia" w:hAnsiTheme="minorEastAsia" w:eastAsiaTheme="minorEastAsia"/>
          <w:color w:val="auto"/>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rPr>
        <w:t>。</w:t>
      </w:r>
    </w:p>
    <w:p w14:paraId="5AE2FCB4">
      <w:pPr>
        <w:pStyle w:val="15"/>
        <w:snapToGrid w:val="0"/>
        <w:spacing w:line="440" w:lineRule="exact"/>
        <w:ind w:firstLine="602"/>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三、投标文件</w:t>
      </w:r>
    </w:p>
    <w:p w14:paraId="6BCD4F61">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（一）投标文件的形式和效力</w:t>
      </w:r>
    </w:p>
    <w:p w14:paraId="4BF072C7">
      <w:pPr>
        <w:autoSpaceDE w:val="0"/>
        <w:autoSpaceDN w:val="0"/>
        <w:adjustRightInd w:val="0"/>
        <w:spacing w:line="420" w:lineRule="exact"/>
        <w:ind w:firstLine="420" w:firstLineChars="175"/>
        <w:rPr>
          <w:rFonts w:ascii="宋体" w:hAnsi="宋体"/>
          <w:color w:val="auto"/>
          <w:kern w:val="0"/>
          <w:sz w:val="24"/>
        </w:rPr>
      </w:pPr>
      <w:r>
        <w:rPr>
          <w:rFonts w:hint="eastAsia" w:ascii="宋体" w:hAnsi="宋体"/>
          <w:color w:val="auto"/>
          <w:kern w:val="0"/>
          <w:sz w:val="24"/>
        </w:rPr>
        <w:t>1、投标文件为电子投标文件。电子投标文件按政采云平台供应商项目采购-电子招投标操作指南（网址：https://help.zcygov.cn/web/site_2/2018/12-28/2573.html）及本招标文件要求制作、加密并递交；纸质投标文件系电子投标文件纸质版，按照“投标文件的组成及份数”要求制作。</w:t>
      </w:r>
    </w:p>
    <w:p w14:paraId="33FDF362">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（二）投标文件的组成</w:t>
      </w:r>
    </w:p>
    <w:p w14:paraId="028D50A0">
      <w:pPr>
        <w:snapToGrid w:val="0"/>
        <w:spacing w:line="360" w:lineRule="auto"/>
        <w:ind w:firstLine="480" w:firstLineChars="200"/>
        <w:rPr>
          <w:rFonts w:ascii="仿宋_GB2312" w:hAnsi="仿宋_GB2312" w:eastAsia="仿宋_GB2312" w:cs="仿宋_GB2312"/>
          <w:color w:val="auto"/>
          <w:sz w:val="24"/>
          <w:lang w:val="zh-CN"/>
        </w:rPr>
      </w:pPr>
      <w:r>
        <w:rPr>
          <w:rFonts w:hint="eastAsia" w:ascii="宋体" w:hAnsi="宋体"/>
          <w:color w:val="auto"/>
          <w:kern w:val="0"/>
          <w:sz w:val="24"/>
        </w:rPr>
        <w:t>投标人接到招标文件后，按照采购组织机构的要求提供：资格证明文件、商务与技术文件和报价文件。</w:t>
      </w:r>
    </w:p>
    <w:p w14:paraId="0CF0794F">
      <w:pPr>
        <w:snapToGrid w:val="0"/>
        <w:spacing w:line="440" w:lineRule="exact"/>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0315F516">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（1）投标声明书；</w:t>
      </w:r>
    </w:p>
    <w:p w14:paraId="452AEA3F">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（2）授权委托书（法定代表人亲自办理投标事宜的，则无需提交)；</w:t>
      </w:r>
    </w:p>
    <w:p w14:paraId="7EC635A1">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（3）法人或者其他组织的营业执照等证明文件，自然人的身份证明；</w:t>
      </w:r>
    </w:p>
    <w:p w14:paraId="5992768C">
      <w:pPr>
        <w:autoSpaceDE w:val="0"/>
        <w:autoSpaceDN w:val="0"/>
        <w:adjustRightInd w:val="0"/>
        <w:spacing w:line="440" w:lineRule="exact"/>
        <w:ind w:firstLine="480" w:firstLineChars="200"/>
        <w:rPr>
          <w:rFonts w:hint="eastAsia" w:asciiTheme="minorEastAsia" w:hAnsiTheme="minorEastAsia" w:eastAsiaTheme="minorEastAsia"/>
          <w:color w:val="auto"/>
          <w:kern w:val="0"/>
          <w:sz w:val="24"/>
          <w:lang w:val="en-US" w:eastAsia="zh-CN"/>
        </w:rPr>
      </w:pP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lang w:val="en-US" w:eastAsia="zh-CN"/>
        </w:rPr>
        <w:t>4</w:t>
      </w: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lang w:val="en-US" w:eastAsia="zh-CN"/>
        </w:rPr>
        <w:t>提供</w:t>
      </w:r>
      <w:r>
        <w:rPr>
          <w:rFonts w:hint="eastAsia" w:asciiTheme="minorEastAsia" w:hAnsiTheme="minorEastAsia" w:eastAsiaTheme="minorEastAsia"/>
          <w:color w:val="auto"/>
          <w:kern w:val="0"/>
          <w:sz w:val="24"/>
        </w:rPr>
        <w:t>符合参加政府采购活动应当具备的一般条件的承诺函</w:t>
      </w:r>
      <w:r>
        <w:rPr>
          <w:rFonts w:hint="eastAsia" w:asciiTheme="minorEastAsia" w:hAnsiTheme="minorEastAsia" w:eastAsiaTheme="minorEastAsia"/>
          <w:color w:val="auto"/>
          <w:kern w:val="0"/>
          <w:sz w:val="24"/>
          <w:lang w:val="en-US" w:eastAsia="zh-CN"/>
        </w:rPr>
        <w:t>或者同时提供以下四项相关材料</w:t>
      </w:r>
    </w:p>
    <w:p w14:paraId="74B1C528">
      <w:pPr>
        <w:numPr>
          <w:ilvl w:val="0"/>
          <w:numId w:val="7"/>
        </w:numPr>
        <w:autoSpaceDE w:val="0"/>
        <w:autoSpaceDN w:val="0"/>
        <w:adjustRightInd w:val="0"/>
        <w:spacing w:line="440" w:lineRule="exact"/>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财务状况报告</w:t>
      </w:r>
    </w:p>
    <w:p w14:paraId="2C0A3CA0">
      <w:pPr>
        <w:numPr>
          <w:ilvl w:val="0"/>
          <w:numId w:val="7"/>
        </w:num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依法缴纳税收</w:t>
      </w:r>
    </w:p>
    <w:p w14:paraId="6440FC95">
      <w:pPr>
        <w:numPr>
          <w:ilvl w:val="0"/>
          <w:numId w:val="7"/>
        </w:num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社会保障资金的相关材料；</w:t>
      </w:r>
    </w:p>
    <w:p w14:paraId="12CCE208">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lang w:val="en-US" w:eastAsia="zh-CN"/>
        </w:rPr>
        <w:t>4</w:t>
      </w:r>
      <w:r>
        <w:rPr>
          <w:rFonts w:hint="eastAsia" w:asciiTheme="minorEastAsia" w:hAnsiTheme="minorEastAsia" w:eastAsiaTheme="minorEastAsia"/>
          <w:color w:val="auto"/>
          <w:kern w:val="0"/>
          <w:sz w:val="24"/>
        </w:rPr>
        <w:t>）具备履行合同所必需的设备和专业技术能力的证明材料(根据项目性质提供)；</w:t>
      </w:r>
    </w:p>
    <w:p w14:paraId="60D1155C">
      <w:pPr>
        <w:autoSpaceDE w:val="0"/>
        <w:autoSpaceDN w:val="0"/>
        <w:adjustRightInd w:val="0"/>
        <w:spacing w:line="440" w:lineRule="exact"/>
        <w:ind w:firstLine="482" w:firstLineChars="200"/>
        <w:rPr>
          <w:rFonts w:asciiTheme="minorEastAsia" w:hAnsiTheme="minorEastAsia" w:eastAsiaTheme="minorEastAsia"/>
          <w:b/>
          <w:bCs/>
          <w:color w:val="auto"/>
          <w:kern w:val="0"/>
          <w:sz w:val="24"/>
        </w:rPr>
      </w:pPr>
      <w:r>
        <w:rPr>
          <w:rFonts w:hint="eastAsia" w:asciiTheme="minorEastAsia" w:hAnsiTheme="minorEastAsia" w:eastAsiaTheme="minorEastAsia"/>
          <w:b/>
          <w:bCs/>
          <w:color w:val="auto"/>
          <w:kern w:val="0"/>
          <w:sz w:val="24"/>
        </w:rPr>
        <w:t>（</w:t>
      </w:r>
      <w:r>
        <w:rPr>
          <w:rFonts w:hint="eastAsia" w:asciiTheme="minorEastAsia" w:hAnsiTheme="minorEastAsia" w:eastAsiaTheme="minorEastAsia"/>
          <w:b/>
          <w:bCs/>
          <w:color w:val="auto"/>
          <w:kern w:val="0"/>
          <w:sz w:val="24"/>
          <w:lang w:val="en-US" w:eastAsia="zh-CN"/>
        </w:rPr>
        <w:t>5</w:t>
      </w:r>
      <w:r>
        <w:rPr>
          <w:rFonts w:hint="eastAsia" w:asciiTheme="minorEastAsia" w:hAnsiTheme="minorEastAsia" w:eastAsiaTheme="minorEastAsia"/>
          <w:b/>
          <w:bCs/>
          <w:color w:val="auto"/>
          <w:kern w:val="0"/>
          <w:sz w:val="24"/>
        </w:rPr>
        <w:t>）中小企业声明函；</w:t>
      </w:r>
    </w:p>
    <w:p w14:paraId="38E7576A">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6</w:t>
      </w:r>
      <w:r>
        <w:rPr>
          <w:rFonts w:hint="eastAsia" w:asciiTheme="minorEastAsia" w:hAnsiTheme="minorEastAsia" w:eastAsiaTheme="minorEastAsia"/>
          <w:color w:val="auto"/>
          <w:kern w:val="0"/>
          <w:sz w:val="24"/>
        </w:rPr>
        <w:t>）提供采购公告中符合供应商特定条件的有效相关证书原件扫描件</w:t>
      </w:r>
      <w:r>
        <w:rPr>
          <w:rFonts w:hint="eastAsia" w:asciiTheme="minorEastAsia" w:hAnsiTheme="minorEastAsia" w:eastAsiaTheme="minorEastAsia"/>
          <w:b/>
          <w:bCs/>
          <w:color w:val="auto"/>
          <w:kern w:val="0"/>
          <w:sz w:val="24"/>
        </w:rPr>
        <w:t>（投标供应商特定条件中有要求的必须提供）</w:t>
      </w:r>
      <w:r>
        <w:rPr>
          <w:rFonts w:hint="eastAsia" w:asciiTheme="minorEastAsia" w:hAnsiTheme="minorEastAsia" w:eastAsiaTheme="minorEastAsia"/>
          <w:color w:val="auto"/>
          <w:kern w:val="0"/>
          <w:sz w:val="24"/>
        </w:rPr>
        <w:t>（若有），以及评标时需要说明的其他资料。</w:t>
      </w:r>
    </w:p>
    <w:p w14:paraId="455E8558">
      <w:pPr>
        <w:snapToGrid w:val="0"/>
        <w:spacing w:line="440" w:lineRule="exact"/>
        <w:ind w:firstLine="482" w:firstLineChars="200"/>
        <w:rPr>
          <w:rFonts w:ascii="宋体" w:hAnsi="宋体" w:cs="宋体"/>
          <w:color w:val="auto"/>
          <w:sz w:val="24"/>
          <w:u w:val="single"/>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7AE04E90">
      <w:pPr>
        <w:pStyle w:val="11"/>
        <w:widowControl/>
        <w:adjustRightInd w:val="0"/>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按照</w:t>
      </w:r>
      <w:r>
        <w:rPr>
          <w:rFonts w:hint="eastAsia" w:ascii="宋体"/>
          <w:color w:val="auto"/>
          <w:sz w:val="24"/>
          <w:lang w:val="zh-CN"/>
        </w:rPr>
        <w:t>商务与技术评分细则要求制作。</w:t>
      </w:r>
    </w:p>
    <w:p w14:paraId="17FF5B38">
      <w:pPr>
        <w:autoSpaceDE w:val="0"/>
        <w:autoSpaceDN w:val="0"/>
        <w:adjustRightInd w:val="0"/>
        <w:spacing w:line="440" w:lineRule="exact"/>
        <w:ind w:left="426" w:firstLine="65" w:firstLineChars="27"/>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3、报价文件的组成</w:t>
      </w:r>
    </w:p>
    <w:p w14:paraId="16CC5BFB">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w:t>
      </w:r>
      <w:r>
        <w:rPr>
          <w:rFonts w:hint="eastAsia" w:ascii="宋体" w:hAnsi="宋体"/>
          <w:color w:val="auto"/>
          <w:kern w:val="0"/>
          <w:sz w:val="24"/>
        </w:rPr>
        <w:t>报价文件由开标一览表、报价明细表以及投标人认为其他需要说明的内容组成。</w:t>
      </w:r>
    </w:p>
    <w:p w14:paraId="25F1262F">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（2）此报价为投标人一次性报出唯一的最终价格，包含其它一切所要涉及到的费用，有选择的报价将被拒绝。</w:t>
      </w:r>
    </w:p>
    <w:p w14:paraId="73605AE5">
      <w:pPr>
        <w:autoSpaceDE w:val="0"/>
        <w:autoSpaceDN w:val="0"/>
        <w:adjustRightInd w:val="0"/>
        <w:spacing w:line="440" w:lineRule="exact"/>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rPr>
        <w:t>3</w:t>
      </w:r>
      <w:r>
        <w:rPr>
          <w:rFonts w:hint="eastAsia" w:asciiTheme="minorEastAsia" w:hAnsiTheme="minorEastAsia" w:eastAsiaTheme="minorEastAsia"/>
          <w:color w:val="auto"/>
          <w:kern w:val="0"/>
          <w:sz w:val="24"/>
          <w:lang w:val="zh-CN"/>
        </w:rPr>
        <w:t>）投标报价是包括本项目服务款、货款、标准附件、备品备件、专用工具、包装、运输、装卸、保险、税金、货到就位以及安装、调试、培训、保修、合同包含的所有风险责任等各项费用及不可预见费等所需的全部费用，全部费用已包含在开标一览表的投标总报价中，是招标文件所确定的招标范围内全部工作内容的价格表现。</w:t>
      </w:r>
    </w:p>
    <w:p w14:paraId="184E498D">
      <w:pPr>
        <w:autoSpaceDE w:val="0"/>
        <w:autoSpaceDN w:val="0"/>
        <w:adjustRightInd w:val="0"/>
        <w:spacing w:line="440" w:lineRule="exact"/>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rPr>
        <w:t>4</w:t>
      </w: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rPr>
        <w:t>政府采购优惠政策相关资料、产品适用政府采购政策情况表（若有）。</w:t>
      </w:r>
    </w:p>
    <w:p w14:paraId="6779EA6D">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（5）相关报价单需打印或用不退色的墨水填写， 投标报价单不得涂改和增删，如有错漏必须修改，修改处须由同一签署人签字或盖章。由于字迹模糊或表达不清引起的后果由投标人负责。</w:t>
      </w:r>
    </w:p>
    <w:p w14:paraId="531F370C">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（6）投标报价应按招标文件中相关附表格式填写。</w:t>
      </w:r>
    </w:p>
    <w:p w14:paraId="41354DDE">
      <w:pPr>
        <w:snapToGrid w:val="0"/>
        <w:spacing w:beforeLines="50" w:line="440" w:lineRule="exact"/>
        <w:ind w:firstLine="482" w:firstLineChars="200"/>
        <w:jc w:val="left"/>
        <w:outlineLvl w:val="1"/>
        <w:rPr>
          <w:rFonts w:asciiTheme="minorEastAsia" w:hAnsiTheme="minorEastAsia" w:eastAsiaTheme="minorEastAsia"/>
          <w:b/>
          <w:bCs/>
          <w:color w:val="auto"/>
          <w:kern w:val="0"/>
          <w:sz w:val="24"/>
        </w:rPr>
      </w:pPr>
      <w:r>
        <w:rPr>
          <w:rFonts w:hint="eastAsia" w:asciiTheme="minorEastAsia" w:hAnsiTheme="minorEastAsia" w:eastAsiaTheme="minorEastAsia"/>
          <w:b/>
          <w:color w:val="auto"/>
          <w:sz w:val="24"/>
        </w:rPr>
        <w:t>（二）投标文件的制作、封装及递交要求</w:t>
      </w:r>
    </w:p>
    <w:p w14:paraId="5D78C996">
      <w:pPr>
        <w:autoSpaceDE w:val="0"/>
        <w:autoSpaceDN w:val="0"/>
        <w:adjustRightInd w:val="0"/>
        <w:spacing w:line="440" w:lineRule="exact"/>
        <w:ind w:firstLine="602"/>
        <w:rPr>
          <w:rFonts w:asciiTheme="minorEastAsia" w:hAnsiTheme="minorEastAsia" w:eastAsiaTheme="minorEastAsia"/>
          <w:b/>
          <w:bCs/>
          <w:color w:val="auto"/>
          <w:sz w:val="24"/>
        </w:rPr>
      </w:pPr>
      <w:r>
        <w:rPr>
          <w:rFonts w:hint="eastAsia" w:asciiTheme="minorEastAsia" w:hAnsiTheme="minorEastAsia"/>
          <w:b/>
          <w:bCs/>
          <w:color w:val="auto"/>
          <w:sz w:val="24"/>
        </w:rPr>
        <w:t>1、投标文件的制作要求</w:t>
      </w:r>
    </w:p>
    <w:p w14:paraId="59EB98A7">
      <w:pPr>
        <w:autoSpaceDE w:val="0"/>
        <w:autoSpaceDN w:val="0"/>
        <w:adjustRightInd w:val="0"/>
        <w:spacing w:line="440" w:lineRule="exact"/>
        <w:ind w:firstLine="600"/>
        <w:rPr>
          <w:rFonts w:asciiTheme="minorEastAsia" w:hAnsiTheme="minorEastAsia" w:eastAsiaTheme="minorEastAsia"/>
          <w:color w:val="auto"/>
          <w:kern w:val="0"/>
          <w:sz w:val="24"/>
        </w:rPr>
      </w:pPr>
      <w:r>
        <w:rPr>
          <w:rFonts w:hint="eastAsia" w:asciiTheme="minorEastAsia" w:hAnsiTheme="minorEastAsia"/>
          <w:color w:val="auto"/>
          <w:sz w:val="24"/>
        </w:rPr>
        <w:t>（1）本项目通过“政府采购云平台（www.zcygov.cn）”实行在线投标响应（电子招投标），供应商应先安装“政采云电子交易客户端”，并按照本项目招标文件和“政府采购云平台”的要求编制、加密并递交投标文件。</w:t>
      </w:r>
    </w:p>
    <w:p w14:paraId="462673D0">
      <w:pPr>
        <w:autoSpaceDE w:val="0"/>
        <w:autoSpaceDN w:val="0"/>
        <w:adjustRightInd w:val="0"/>
        <w:spacing w:line="440" w:lineRule="exact"/>
        <w:ind w:firstLine="600"/>
        <w:rPr>
          <w:rFonts w:asciiTheme="minorEastAsia" w:hAnsiTheme="minorEastAsia" w:eastAsiaTheme="minorEastAsia"/>
          <w:color w:val="auto"/>
          <w:sz w:val="24"/>
        </w:rPr>
      </w:pPr>
      <w:r>
        <w:rPr>
          <w:rFonts w:hint="eastAsia" w:ascii="宋体" w:hAnsi="宋体"/>
          <w:color w:val="auto"/>
          <w:sz w:val="24"/>
        </w:rPr>
        <w:t>（2）</w:t>
      </w:r>
      <w:r>
        <w:rPr>
          <w:rFonts w:hint="eastAsia" w:asciiTheme="minorEastAsia" w:hAnsiTheme="minorEastAsia"/>
          <w:color w:val="auto"/>
          <w:sz w:val="24"/>
        </w:rPr>
        <w:t>投标人</w:t>
      </w:r>
      <w:r>
        <w:rPr>
          <w:rFonts w:hint="eastAsia" w:ascii="宋体" w:hAnsi="宋体"/>
          <w:color w:val="auto"/>
          <w:sz w:val="24"/>
        </w:rPr>
        <w:t>应当按照“投标文件的组成”规定的内容及顺序在“政采云电子交易客户端”编制投标文件。其中“资格证明文件”和“商务与技术文件”中不得出现投标报价，如因投标人原因提前泄露投标报价的，</w:t>
      </w:r>
      <w:r>
        <w:rPr>
          <w:rFonts w:hint="eastAsia" w:asciiTheme="minorEastAsia" w:hAnsiTheme="minorEastAsia" w:eastAsiaTheme="minorEastAsia"/>
          <w:color w:val="auto"/>
          <w:sz w:val="24"/>
        </w:rPr>
        <w:t>责任</w:t>
      </w:r>
      <w:r>
        <w:rPr>
          <w:rFonts w:asciiTheme="minorEastAsia" w:hAnsiTheme="minorEastAsia" w:eastAsiaTheme="minorEastAsia"/>
          <w:color w:val="auto"/>
          <w:sz w:val="24"/>
        </w:rPr>
        <w:t>由投标人承担。</w:t>
      </w:r>
    </w:p>
    <w:p w14:paraId="119A92E0">
      <w:pPr>
        <w:autoSpaceDE w:val="0"/>
        <w:autoSpaceDN w:val="0"/>
        <w:adjustRightInd w:val="0"/>
        <w:spacing w:line="440" w:lineRule="exact"/>
        <w:ind w:firstLine="600"/>
        <w:rPr>
          <w:color w:val="auto"/>
        </w:rPr>
      </w:pPr>
      <w:r>
        <w:rPr>
          <w:rFonts w:hint="eastAsia" w:asciiTheme="minorEastAsia" w:hAnsiTheme="minorEastAsia"/>
          <w:color w:val="auto"/>
          <w:kern w:val="0"/>
          <w:sz w:val="24"/>
        </w:rPr>
        <w:t>（3）招标文件中有提供格式的，投标人应参照格式进行编制</w:t>
      </w:r>
      <w:r>
        <w:rPr>
          <w:rFonts w:hint="eastAsia" w:asciiTheme="minorEastAsia" w:hAnsiTheme="minorEastAsia"/>
          <w:b/>
          <w:bCs/>
          <w:color w:val="auto"/>
          <w:kern w:val="0"/>
          <w:sz w:val="24"/>
        </w:rPr>
        <w:t>（格式中要求提供相关证明材料的应后附相关证明材料）</w:t>
      </w:r>
      <w:r>
        <w:rPr>
          <w:rFonts w:hint="eastAsia" w:asciiTheme="minorEastAsia" w:hAnsiTheme="minorEastAsia"/>
          <w:color w:val="auto"/>
          <w:kern w:val="0"/>
          <w:sz w:val="24"/>
        </w:rPr>
        <w:t>，并按要求在指定位置进行签章，否则视为未提供；招标文件中未提供格式的，请各投标人自行拟定格式，加盖单位公章并由法定代表人或其授权代表签署（签字或盖章），否则视为未提供</w:t>
      </w:r>
      <w:r>
        <w:rPr>
          <w:rFonts w:hint="eastAsia" w:asciiTheme="minorEastAsia" w:hAnsiTheme="minorEastAsia" w:eastAsiaTheme="minorEastAsia"/>
          <w:color w:val="auto"/>
          <w:sz w:val="24"/>
        </w:rPr>
        <w:t>。</w:t>
      </w:r>
    </w:p>
    <w:p w14:paraId="760AE436">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lang w:val="zh-CN"/>
        </w:rPr>
        <w:t>（</w:t>
      </w:r>
      <w:r>
        <w:rPr>
          <w:rFonts w:hint="eastAsia" w:asciiTheme="minorEastAsia" w:hAnsiTheme="minorEastAsia"/>
          <w:color w:val="auto"/>
          <w:sz w:val="24"/>
        </w:rPr>
        <w:t>4</w:t>
      </w:r>
      <w:r>
        <w:rPr>
          <w:rFonts w:hint="eastAsia" w:asciiTheme="minorEastAsia" w:hAnsiTheme="minorEastAsia"/>
          <w:color w:val="auto"/>
          <w:sz w:val="24"/>
          <w:lang w:val="zh-CN"/>
        </w:rPr>
        <w:t>）</w:t>
      </w:r>
      <w:r>
        <w:rPr>
          <w:rFonts w:hint="eastAsia" w:asciiTheme="minorEastAsia" w:hAnsiTheme="minorEastAsia"/>
          <w:color w:val="auto"/>
          <w:sz w:val="24"/>
        </w:rPr>
        <w:t>投标文件内容不完整、编排混乱导致投标文件被误读、漏读或者查找不到相关内容的，是投标人的责任。</w:t>
      </w:r>
    </w:p>
    <w:p w14:paraId="2C87593C">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（5）投标文件因字迹潦草或表达不清所引起的后果由投标人负责。</w:t>
      </w:r>
    </w:p>
    <w:p w14:paraId="251C4104">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（6）投标人未按照“投标文件组成”要求提供全部资料，或者没有仔细阅读招标文件，或者没有对招标文件在各方面的要求作出实质性响应，由此造成的一切后果由投标人自行承担。</w:t>
      </w:r>
    </w:p>
    <w:p w14:paraId="480726A3">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lang w:val="zh-CN"/>
        </w:rPr>
        <w:t>（</w:t>
      </w:r>
      <w:r>
        <w:rPr>
          <w:rFonts w:hint="eastAsia" w:asciiTheme="minorEastAsia" w:hAnsiTheme="minorEastAsia"/>
          <w:color w:val="auto"/>
          <w:sz w:val="24"/>
        </w:rPr>
        <w:t>7</w:t>
      </w:r>
      <w:r>
        <w:rPr>
          <w:rFonts w:hint="eastAsia" w:asciiTheme="minorEastAsia" w:hAnsiTheme="minorEastAsia"/>
          <w:color w:val="auto"/>
          <w:sz w:val="24"/>
          <w:lang w:val="zh-CN"/>
        </w:rPr>
        <w:t>）</w:t>
      </w:r>
      <w:r>
        <w:rPr>
          <w:rFonts w:hint="eastAsia" w:asciiTheme="minorEastAsia" w:hAnsiTheme="minorEastAsia"/>
          <w:color w:val="auto"/>
          <w:sz w:val="24"/>
        </w:rPr>
        <w:t>投标文件以及投标人与采购组织机构就有关投标事宜的所有来往函电，均应以中文汉语书写。除签字、盖章、专用名称等特殊情形外，以中文汉语以外的文字表述的投标文件视同未提供。</w:t>
      </w:r>
    </w:p>
    <w:p w14:paraId="446845F3">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（8）投标计量单位，招标文件已有明确规定的，使用招标文件规定的计量单位；招标文件没有规定的，应采用中华人民共和国法定计量单位（货币单位：人民币元）。</w:t>
      </w:r>
    </w:p>
    <w:p w14:paraId="5D5A05D3">
      <w:pPr>
        <w:autoSpaceDE w:val="0"/>
        <w:autoSpaceDN w:val="0"/>
        <w:adjustRightInd w:val="0"/>
        <w:spacing w:line="440" w:lineRule="exact"/>
        <w:ind w:firstLine="602"/>
        <w:rPr>
          <w:rFonts w:asciiTheme="minorEastAsia" w:hAnsiTheme="minorEastAsia"/>
          <w:b/>
          <w:bCs/>
          <w:color w:val="auto"/>
          <w:sz w:val="24"/>
        </w:rPr>
      </w:pPr>
      <w:r>
        <w:rPr>
          <w:rFonts w:hint="eastAsia" w:asciiTheme="minorEastAsia" w:hAnsiTheme="minorEastAsia"/>
          <w:b/>
          <w:bCs/>
          <w:color w:val="auto"/>
          <w:sz w:val="24"/>
        </w:rPr>
        <w:t>2、投标文件的签章</w:t>
      </w:r>
    </w:p>
    <w:p w14:paraId="66B2B005">
      <w:pPr>
        <w:autoSpaceDE w:val="0"/>
        <w:autoSpaceDN w:val="0"/>
        <w:adjustRightIn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（1）投标文件的签章：见《前附表》；</w:t>
      </w:r>
    </w:p>
    <w:p w14:paraId="4E024DA4">
      <w:pPr>
        <w:autoSpaceDE w:val="0"/>
        <w:autoSpaceDN w:val="0"/>
        <w:adjustRightIn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（2）投标文件应由投标供应商法定代表人或其授权代表签字（或盖章），并时加盖投标供应商公章。</w:t>
      </w:r>
    </w:p>
    <w:p w14:paraId="11FD8A65">
      <w:pPr>
        <w:autoSpaceDE w:val="0"/>
        <w:autoSpaceDN w:val="0"/>
        <w:adjustRightIn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rPr>
        <w:t>电子签章操作指南详见《供应商项目采购-电子招投标操作指南》。</w:t>
      </w:r>
    </w:p>
    <w:p w14:paraId="2F6CC0F6">
      <w:pPr>
        <w:autoSpaceDE w:val="0"/>
        <w:autoSpaceDN w:val="0"/>
        <w:adjustRightInd w:val="0"/>
        <w:spacing w:line="440" w:lineRule="exact"/>
        <w:ind w:firstLine="602"/>
        <w:rPr>
          <w:rFonts w:asciiTheme="minorEastAsia" w:hAnsiTheme="minorEastAsia"/>
          <w:b/>
          <w:bCs/>
          <w:color w:val="auto"/>
          <w:sz w:val="24"/>
        </w:rPr>
      </w:pPr>
      <w:r>
        <w:rPr>
          <w:rFonts w:hint="eastAsia" w:asciiTheme="minorEastAsia" w:hAnsiTheme="minorEastAsia"/>
          <w:b/>
          <w:bCs/>
          <w:color w:val="auto"/>
          <w:sz w:val="24"/>
        </w:rPr>
        <w:t>3、投标文件的形式</w:t>
      </w:r>
    </w:p>
    <w:p w14:paraId="398B8D0D">
      <w:pPr>
        <w:autoSpaceDE w:val="0"/>
        <w:autoSpaceDN w:val="0"/>
        <w:adjustRightIn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（1）投标文件的形式：见《前附表》；</w:t>
      </w:r>
    </w:p>
    <w:p w14:paraId="039A72E6">
      <w:pPr>
        <w:autoSpaceDE w:val="0"/>
        <w:autoSpaceDN w:val="0"/>
        <w:adjustRightIn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（2）“电子加密投标文件”是指通过“政采云电子交易客户端”完成投标文件编制后生成并加密的数据电文形式的投标文件。</w:t>
      </w:r>
    </w:p>
    <w:p w14:paraId="4756ABC4">
      <w:pPr>
        <w:autoSpaceDE w:val="0"/>
        <w:autoSpaceDN w:val="0"/>
        <w:adjustRightIn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（3）“备份投标文件”是指与“电子加密投标文件”同时生成的数据电文形式的电子文件，其他方式编制的备份投标文件视为无效备份投标文件。</w:t>
      </w:r>
    </w:p>
    <w:p w14:paraId="19A740DA">
      <w:pPr>
        <w:autoSpaceDE w:val="0"/>
        <w:autoSpaceDN w:val="0"/>
        <w:adjustRightInd w:val="0"/>
        <w:spacing w:line="440" w:lineRule="exact"/>
        <w:ind w:firstLine="602"/>
        <w:rPr>
          <w:rFonts w:asciiTheme="minorEastAsia" w:hAnsiTheme="minorEastAsia"/>
          <w:b/>
          <w:bCs/>
          <w:color w:val="auto"/>
          <w:sz w:val="24"/>
        </w:rPr>
      </w:pPr>
      <w:r>
        <w:rPr>
          <w:rFonts w:hint="eastAsia" w:asciiTheme="minorEastAsia" w:hAnsiTheme="minorEastAsia"/>
          <w:b/>
          <w:bCs/>
          <w:color w:val="auto"/>
          <w:sz w:val="24"/>
        </w:rPr>
        <w:t>4、投标文件份数</w:t>
      </w:r>
      <w:r>
        <w:rPr>
          <w:rFonts w:hint="eastAsia" w:asciiTheme="minorEastAsia" w:hAnsiTheme="minorEastAsia"/>
          <w:b/>
          <w:bCs/>
          <w:color w:val="auto"/>
          <w:sz w:val="24"/>
        </w:rPr>
        <w:tab/>
      </w:r>
    </w:p>
    <w:p w14:paraId="071E0CAA">
      <w:pPr>
        <w:autoSpaceDE w:val="0"/>
        <w:autoSpaceDN w:val="0"/>
        <w:adjustRightIn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（1）投标文件份数：详见《前附表》。</w:t>
      </w:r>
    </w:p>
    <w:p w14:paraId="67EA0653">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（三）投标文件的有效期</w:t>
      </w:r>
    </w:p>
    <w:p w14:paraId="7C3024B6">
      <w:pPr>
        <w:pStyle w:val="10"/>
        <w:tabs>
          <w:tab w:val="left" w:pos="454"/>
          <w:tab w:val="left" w:pos="720"/>
          <w:tab w:val="left" w:pos="1200"/>
        </w:tabs>
        <w:snapToGrid w:val="0"/>
        <w:spacing w:line="440" w:lineRule="exact"/>
        <w:ind w:left="0" w:firstLine="480" w:firstLineChars="200"/>
        <w:rPr>
          <w:rFonts w:ascii="宋体" w:hAnsi="宋体"/>
          <w:color w:val="auto"/>
          <w:sz w:val="24"/>
          <w:lang w:val="en-GB"/>
        </w:rPr>
      </w:pPr>
      <w:r>
        <w:rPr>
          <w:rFonts w:hint="eastAsia" w:ascii="宋体" w:hAnsi="宋体"/>
          <w:color w:val="auto"/>
          <w:sz w:val="24"/>
          <w:lang w:val="en-GB"/>
        </w:rPr>
        <w:t>自投标截止日起90天投标文件应保持有效。有效期不足的投标文件将被拒绝。</w:t>
      </w:r>
    </w:p>
    <w:p w14:paraId="4F8004EE">
      <w:pPr>
        <w:pStyle w:val="10"/>
        <w:tabs>
          <w:tab w:val="left" w:pos="454"/>
          <w:tab w:val="left" w:pos="720"/>
          <w:tab w:val="left" w:pos="1200"/>
        </w:tabs>
        <w:snapToGrid w:val="0"/>
        <w:spacing w:line="440" w:lineRule="exact"/>
        <w:ind w:left="0" w:firstLine="480" w:firstLineChars="200"/>
        <w:rPr>
          <w:rFonts w:ascii="宋体" w:hAnsi="宋体"/>
          <w:color w:val="auto"/>
          <w:sz w:val="24"/>
          <w:lang w:val="en-GB"/>
        </w:rPr>
      </w:pPr>
      <w:r>
        <w:rPr>
          <w:rFonts w:hint="eastAsia" w:ascii="宋体" w:hAnsi="宋体"/>
          <w:color w:val="auto"/>
          <w:sz w:val="24"/>
          <w:lang w:val="en-GB"/>
        </w:rPr>
        <w:t>在特殊情况下，采购人可与投标人协商延长投标文件的有效期，这种要求和答复均以书面形式进行。</w:t>
      </w:r>
    </w:p>
    <w:p w14:paraId="55BBC002">
      <w:pPr>
        <w:pStyle w:val="10"/>
        <w:tabs>
          <w:tab w:val="left" w:pos="454"/>
          <w:tab w:val="left" w:pos="720"/>
          <w:tab w:val="left" w:pos="1200"/>
        </w:tabs>
        <w:snapToGrid w:val="0"/>
        <w:spacing w:line="440" w:lineRule="exact"/>
        <w:ind w:left="0" w:firstLine="480" w:firstLineChars="200"/>
        <w:rPr>
          <w:rFonts w:ascii="宋体" w:hAnsi="宋体"/>
          <w:color w:val="auto"/>
          <w:sz w:val="24"/>
          <w:lang w:val="en-GB"/>
        </w:rPr>
      </w:pPr>
      <w:r>
        <w:rPr>
          <w:rFonts w:hint="eastAsia" w:ascii="宋体" w:hAnsi="宋体"/>
          <w:color w:val="auto"/>
          <w:sz w:val="24"/>
          <w:lang w:val="en-GB"/>
        </w:rPr>
        <w:t>中标人的投标文件自开标之日起至合同履行完毕均应保持有效。</w:t>
      </w:r>
    </w:p>
    <w:p w14:paraId="6495288F">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（四）投标</w:t>
      </w:r>
    </w:p>
    <w:p w14:paraId="461DA2BE">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1、投标文件的上传和递交：见《前附表》</w:t>
      </w:r>
    </w:p>
    <w:p w14:paraId="0951B906">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2、“电子加密投标文件”解密和异常情况处理：见《前附表》</w:t>
      </w:r>
    </w:p>
    <w:p w14:paraId="7BA7C381">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3、投标文件的补充、修改或撤回</w:t>
      </w:r>
    </w:p>
    <w:p w14:paraId="5207BB98">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p>
    <w:p w14:paraId="2B0D0E6C">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（2）投标截止时间后，投标供应商不得撤回、修改投标文件。</w:t>
      </w:r>
    </w:p>
    <w:p w14:paraId="4A94E1B7">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4、投标文件的备选方案</w:t>
      </w:r>
    </w:p>
    <w:p w14:paraId="14DCE02B">
      <w:pPr>
        <w:autoSpaceDE w:val="0"/>
        <w:autoSpaceDN w:val="0"/>
        <w:adjustRightInd w:val="0"/>
        <w:spacing w:line="440" w:lineRule="exact"/>
        <w:ind w:firstLine="600"/>
        <w:rPr>
          <w:rFonts w:asciiTheme="minorEastAsia" w:hAnsiTheme="minorEastAsia"/>
          <w:color w:val="auto"/>
          <w:sz w:val="24"/>
        </w:rPr>
      </w:pPr>
      <w:r>
        <w:rPr>
          <w:rFonts w:hint="eastAsia" w:asciiTheme="minorEastAsia" w:hAnsiTheme="minorEastAsia"/>
          <w:color w:val="auto"/>
          <w:sz w:val="24"/>
        </w:rPr>
        <w:t>（1）投标供应商不得递交任何的投标备选（替代）方案，否则其投标文件将作无效标处理。与“电子加密投标文件”同时生成的“备份投标文件”不是投标备选（替代）方案。</w:t>
      </w:r>
    </w:p>
    <w:p w14:paraId="000E0369">
      <w:pPr>
        <w:pStyle w:val="15"/>
        <w:snapToGrid w:val="0"/>
        <w:spacing w:line="440" w:lineRule="exact"/>
        <w:ind w:firstLine="602"/>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四、开标</w:t>
      </w:r>
    </w:p>
    <w:p w14:paraId="1C5027E0">
      <w:pPr>
        <w:snapToGrid w:val="0"/>
        <w:spacing w:beforeLines="50" w:line="440" w:lineRule="exact"/>
        <w:ind w:firstLine="482" w:firstLineChars="200"/>
        <w:jc w:val="left"/>
        <w:outlineLvl w:val="1"/>
        <w:rPr>
          <w:rFonts w:asciiTheme="minorEastAsia" w:hAnsiTheme="minorEastAsia" w:eastAsiaTheme="minorEastAsia"/>
          <w:color w:val="auto"/>
          <w:kern w:val="0"/>
          <w:sz w:val="24"/>
        </w:rPr>
      </w:pPr>
      <w:r>
        <w:rPr>
          <w:rFonts w:hint="eastAsia" w:asciiTheme="minorEastAsia" w:hAnsiTheme="minorEastAsia" w:eastAsiaTheme="minorEastAsia"/>
          <w:b/>
          <w:color w:val="auto"/>
          <w:sz w:val="24"/>
        </w:rPr>
        <w:t>（一）开标形式</w:t>
      </w:r>
    </w:p>
    <w:p w14:paraId="74DE6EAA">
      <w:pPr>
        <w:autoSpaceDE w:val="0"/>
        <w:autoSpaceDN w:val="0"/>
        <w:adjustRightInd w:val="0"/>
        <w:spacing w:line="44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color w:val="auto"/>
          <w:kern w:val="0"/>
          <w:sz w:val="24"/>
        </w:rPr>
        <w:t>采购组织机构将按照“招标公告”规定的时间通过“政府采购云平台”组织开标活动、开启投标文件，所有供应商均应当准时在线参加。</w:t>
      </w:r>
    </w:p>
    <w:p w14:paraId="6D36BA0D">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二）开标准备</w:t>
      </w:r>
    </w:p>
    <w:p w14:paraId="5A629A58">
      <w:pPr>
        <w:autoSpaceDE w:val="0"/>
        <w:autoSpaceDN w:val="0"/>
        <w:adjustRightInd w:val="0"/>
        <w:spacing w:line="440" w:lineRule="exact"/>
        <w:ind w:firstLine="480" w:firstLineChars="200"/>
        <w:rPr>
          <w:rFonts w:asciiTheme="minorEastAsia" w:hAnsiTheme="minorEastAsia" w:eastAsiaTheme="minorEastAsia"/>
          <w:bCs/>
          <w:color w:val="auto"/>
          <w:sz w:val="24"/>
        </w:rPr>
      </w:pPr>
      <w:r>
        <w:rPr>
          <w:rFonts w:hint="eastAsia" w:asciiTheme="minorEastAsia" w:hAnsiTheme="minorEastAsia"/>
          <w:color w:val="auto"/>
          <w:sz w:val="24"/>
        </w:rPr>
        <w:t>1、</w:t>
      </w:r>
      <w:r>
        <w:rPr>
          <w:rFonts w:hint="eastAsia" w:asciiTheme="minorEastAsia" w:hAnsiTheme="minorEastAsia" w:eastAsiaTheme="minorEastAsia"/>
          <w:bCs/>
          <w:color w:val="auto"/>
          <w:sz w:val="24"/>
        </w:rPr>
        <w:t>开标的准备工作由采购组织机构负责落实；</w:t>
      </w:r>
    </w:p>
    <w:p w14:paraId="35728092">
      <w:pPr>
        <w:autoSpaceDE w:val="0"/>
        <w:autoSpaceDN w:val="0"/>
        <w:adjustRightInd w:val="0"/>
        <w:spacing w:line="44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r>
        <w:rPr>
          <w:rFonts w:hint="eastAsia" w:asciiTheme="minorEastAsia" w:hAnsiTheme="minorEastAsia"/>
          <w:color w:val="auto"/>
          <w:sz w:val="24"/>
        </w:rPr>
        <w:t>、</w:t>
      </w:r>
      <w:r>
        <w:rPr>
          <w:rFonts w:hint="eastAsia" w:asciiTheme="minorEastAsia" w:hAnsiTheme="minorEastAsia" w:eastAsiaTheme="minorEastAsia"/>
          <w:bCs/>
          <w:color w:val="auto"/>
          <w:sz w:val="24"/>
        </w:rPr>
        <w:t>采购组织机构将按照招标文件规定的时间通过“政府采购云平台”组织开标活动、开启投标文件，所有供应商均应当准时在线参加。投标人</w:t>
      </w:r>
      <w:r>
        <w:rPr>
          <w:rFonts w:asciiTheme="minorEastAsia" w:hAnsiTheme="minorEastAsia" w:eastAsiaTheme="minorEastAsia"/>
          <w:bCs/>
          <w:color w:val="auto"/>
          <w:sz w:val="24"/>
        </w:rPr>
        <w:t>如不</w:t>
      </w:r>
      <w:r>
        <w:rPr>
          <w:rFonts w:hint="eastAsia" w:asciiTheme="minorEastAsia" w:hAnsiTheme="minorEastAsia" w:eastAsiaTheme="minorEastAsia"/>
          <w:bCs/>
          <w:color w:val="auto"/>
          <w:sz w:val="24"/>
        </w:rPr>
        <w:t>参加</w:t>
      </w:r>
      <w:r>
        <w:rPr>
          <w:rFonts w:asciiTheme="minorEastAsia" w:hAnsiTheme="minorEastAsia" w:eastAsiaTheme="minorEastAsia"/>
          <w:bCs/>
          <w:color w:val="auto"/>
          <w:sz w:val="24"/>
        </w:rPr>
        <w:t>开标大会的，</w:t>
      </w:r>
      <w:r>
        <w:rPr>
          <w:rFonts w:hint="eastAsia" w:asciiTheme="minorEastAsia" w:hAnsiTheme="minorEastAsia" w:eastAsiaTheme="minorEastAsia"/>
          <w:bCs/>
          <w:color w:val="auto"/>
          <w:sz w:val="24"/>
        </w:rPr>
        <w:t>视同认可开标结果，</w:t>
      </w:r>
      <w:r>
        <w:rPr>
          <w:rFonts w:asciiTheme="minorEastAsia" w:hAnsiTheme="minorEastAsia" w:eastAsiaTheme="minorEastAsia"/>
          <w:bCs/>
          <w:color w:val="auto"/>
          <w:sz w:val="24"/>
        </w:rPr>
        <w:t>事后不得对采购相关人员、开标过程和开标结果提出异议</w:t>
      </w:r>
      <w:r>
        <w:rPr>
          <w:rFonts w:hint="eastAsia" w:asciiTheme="minorEastAsia" w:hAnsiTheme="minorEastAsia" w:eastAsiaTheme="minorEastAsia"/>
          <w:bCs/>
          <w:color w:val="auto"/>
          <w:sz w:val="24"/>
        </w:rPr>
        <w:t>，同时投标人因未在线参加开标而导致投标文件无法按时解密等一切后果由投标人自己承担。</w:t>
      </w:r>
    </w:p>
    <w:p w14:paraId="0BB4304A">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45844CD3">
      <w:pPr>
        <w:pStyle w:val="15"/>
        <w:snapToGrid w:val="0"/>
        <w:spacing w:line="440" w:lineRule="exact"/>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开标第一阶段</w:t>
      </w:r>
    </w:p>
    <w:p w14:paraId="23C06560">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B33224A">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b/>
          <w:bCs/>
          <w:color w:val="auto"/>
          <w:sz w:val="24"/>
        </w:rPr>
        <w:t>投标文件解密结束，各投标人签署《政府采购活动现场确认声明书》后通过邮件形式发送至招标代理机构指定邮箱</w:t>
      </w:r>
      <w:r>
        <w:rPr>
          <w:rFonts w:hint="eastAsia" w:asciiTheme="minorEastAsia" w:hAnsiTheme="minorEastAsia" w:eastAsiaTheme="minorEastAsia"/>
          <w:color w:val="auto"/>
          <w:sz w:val="24"/>
        </w:rPr>
        <w:t>；</w:t>
      </w:r>
    </w:p>
    <w:p w14:paraId="77754978">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3、开启投标文件，进入资格审查；</w:t>
      </w:r>
    </w:p>
    <w:p w14:paraId="7DD1F71A">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4、开启资格审查通过的投标人的商务技术文件进入符合性审查、商务技术评审；</w:t>
      </w:r>
    </w:p>
    <w:p w14:paraId="6AA7A77E">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5、第一阶段开标结束。</w:t>
      </w:r>
    </w:p>
    <w:p w14:paraId="186729A1">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备注：开标大会的第一阶段结束后，采购人或采购代理机构将对依法对投标人的资格进行审查，资格审查结束后进入符合性审查和商务技术的评审工作。</w:t>
      </w:r>
    </w:p>
    <w:p w14:paraId="59162299">
      <w:pPr>
        <w:pStyle w:val="15"/>
        <w:snapToGrid w:val="0"/>
        <w:spacing w:line="440" w:lineRule="exact"/>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开标大会第二阶段</w:t>
      </w:r>
    </w:p>
    <w:p w14:paraId="52BD8947">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1、符合性审查、商务技术评审结束后，举行开标大会第二阶段会议。首先公布符合性审查、商务技术评审无效供应商名称及理由</w:t>
      </w:r>
      <w:r>
        <w:rPr>
          <w:rFonts w:asciiTheme="minorEastAsia" w:hAnsiTheme="minorEastAsia" w:eastAsiaTheme="minorEastAsia"/>
          <w:color w:val="auto"/>
          <w:sz w:val="24"/>
        </w:rPr>
        <w:t>；公布经商务技术评审</w:t>
      </w:r>
      <w:r>
        <w:rPr>
          <w:rFonts w:hint="eastAsia" w:asciiTheme="minorEastAsia" w:hAnsiTheme="minorEastAsia" w:eastAsiaTheme="minorEastAsia"/>
          <w:color w:val="auto"/>
          <w:sz w:val="24"/>
        </w:rPr>
        <w:t>后有效投标</w:t>
      </w:r>
      <w:r>
        <w:rPr>
          <w:rFonts w:asciiTheme="minorEastAsia" w:hAnsiTheme="minorEastAsia" w:eastAsiaTheme="minorEastAsia"/>
          <w:color w:val="auto"/>
          <w:sz w:val="24"/>
        </w:rPr>
        <w:t>供应商</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名单，同时公布</w:t>
      </w:r>
      <w:r>
        <w:rPr>
          <w:rFonts w:hint="eastAsia" w:asciiTheme="minorEastAsia" w:hAnsiTheme="minorEastAsia" w:eastAsiaTheme="minorEastAsia"/>
          <w:color w:val="auto"/>
          <w:sz w:val="24"/>
        </w:rPr>
        <w:t>其</w:t>
      </w:r>
      <w:r>
        <w:rPr>
          <w:rFonts w:asciiTheme="minorEastAsia" w:hAnsiTheme="minorEastAsia" w:eastAsiaTheme="minorEastAsia"/>
          <w:color w:val="auto"/>
          <w:sz w:val="24"/>
        </w:rPr>
        <w:t>商务技术</w:t>
      </w:r>
      <w:r>
        <w:rPr>
          <w:rFonts w:hint="eastAsia" w:asciiTheme="minorEastAsia" w:hAnsiTheme="minorEastAsia" w:eastAsiaTheme="minorEastAsia"/>
          <w:color w:val="auto"/>
          <w:sz w:val="24"/>
        </w:rPr>
        <w:t>部分</w:t>
      </w:r>
      <w:r>
        <w:rPr>
          <w:rFonts w:asciiTheme="minorEastAsia" w:hAnsiTheme="minorEastAsia" w:eastAsiaTheme="minorEastAsia"/>
          <w:color w:val="auto"/>
          <w:sz w:val="24"/>
        </w:rPr>
        <w:t>得分情况</w:t>
      </w:r>
      <w:r>
        <w:rPr>
          <w:rFonts w:hint="eastAsia" w:asciiTheme="minorEastAsia" w:hAnsiTheme="minorEastAsia" w:eastAsiaTheme="minorEastAsia"/>
          <w:color w:val="auto"/>
          <w:sz w:val="24"/>
        </w:rPr>
        <w:t>。</w:t>
      </w:r>
    </w:p>
    <w:p w14:paraId="32A756DC">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2、开启符合性审查、商务技术评审有效投标供应商的报价文件，公布开标一览表有关内容，同时当场制作开标记录表，投标人通过电子形式</w:t>
      </w:r>
      <w:r>
        <w:rPr>
          <w:rFonts w:asciiTheme="minorEastAsia" w:hAnsiTheme="minorEastAsia" w:eastAsiaTheme="minorEastAsia"/>
          <w:color w:val="auto"/>
          <w:sz w:val="24"/>
        </w:rPr>
        <w:t>签字确认（不予确认的应说明理由，否则视为无异议）。唱标结束后，由评标委员会对报价的合理性、准确性等进行审查核实</w:t>
      </w:r>
      <w:r>
        <w:rPr>
          <w:rFonts w:hint="eastAsia" w:asciiTheme="minorEastAsia" w:hAnsiTheme="minorEastAsia" w:eastAsiaTheme="minorEastAsia"/>
          <w:color w:val="auto"/>
          <w:sz w:val="24"/>
        </w:rPr>
        <w:t>。</w:t>
      </w:r>
    </w:p>
    <w:p w14:paraId="3DB4C07B">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3、评审结束后，通公布中标（成交）候选供应商名单，及采购人最终确定中标或成交供应商名单的时间和公告方式等。</w:t>
      </w:r>
    </w:p>
    <w:p w14:paraId="525CC623">
      <w:pPr>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4、完成评标后，开标会议结束。</w:t>
      </w:r>
    </w:p>
    <w:p w14:paraId="7FC2E805">
      <w:pPr>
        <w:pStyle w:val="15"/>
        <w:snapToGrid w:val="0"/>
        <w:spacing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bCs/>
          <w:color w:val="auto"/>
          <w:sz w:val="24"/>
        </w:rPr>
        <w:t>特别说明：</w:t>
      </w:r>
      <w:r>
        <w:rPr>
          <w:rFonts w:hint="eastAsia" w:asciiTheme="minorEastAsia" w:hAnsiTheme="minorEastAsia" w:eastAsiaTheme="minorEastAsia"/>
          <w:color w:val="auto"/>
          <w:sz w:val="24"/>
        </w:rPr>
        <w:t>如遇“政府采购云平台”电子化开标或评审程序调整的，按调整后执行。</w:t>
      </w:r>
    </w:p>
    <w:p w14:paraId="4672E7BA">
      <w:pPr>
        <w:pStyle w:val="15"/>
        <w:snapToGrid w:val="0"/>
        <w:spacing w:line="440" w:lineRule="exact"/>
        <w:ind w:firstLine="602"/>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五、评标</w:t>
      </w:r>
    </w:p>
    <w:p w14:paraId="540EA2FA">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（一）组建评标委员会</w:t>
      </w:r>
    </w:p>
    <w:p w14:paraId="75F8B17F">
      <w:pPr>
        <w:pStyle w:val="15"/>
        <w:snapToGrid w:val="0"/>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本项目评标委员会由政府采购评审专家</w:t>
      </w:r>
      <w:r>
        <w:rPr>
          <w:rFonts w:hint="eastAsia" w:asciiTheme="minorEastAsia" w:hAnsiTheme="minorEastAsia" w:eastAsiaTheme="minorEastAsia"/>
          <w:color w:val="auto"/>
          <w:sz w:val="24"/>
        </w:rPr>
        <w:t>和采购单位评审代表（若有）</w:t>
      </w:r>
      <w:r>
        <w:rPr>
          <w:rFonts w:asciiTheme="minorEastAsia" w:hAnsiTheme="minorEastAsia" w:eastAsiaTheme="minorEastAsia"/>
          <w:color w:val="auto"/>
          <w:sz w:val="24"/>
        </w:rPr>
        <w:t>组成。</w:t>
      </w:r>
    </w:p>
    <w:p w14:paraId="23C48D0E">
      <w:pPr>
        <w:pStyle w:val="15"/>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采购组织机构将组织评标委员会，对投标人的投标文件进行综合评审。</w:t>
      </w:r>
    </w:p>
    <w:p w14:paraId="550A9BDA">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）评标程序</w:t>
      </w:r>
    </w:p>
    <w:p w14:paraId="718F8A7E">
      <w:pPr>
        <w:snapToGrid w:val="0"/>
        <w:spacing w:line="440" w:lineRule="exact"/>
        <w:ind w:firstLine="472" w:firstLineChars="196"/>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1、资格</w:t>
      </w:r>
      <w:r>
        <w:rPr>
          <w:rFonts w:asciiTheme="minorEastAsia" w:hAnsiTheme="minorEastAsia" w:eastAsiaTheme="minorEastAsia"/>
          <w:b/>
          <w:bCs/>
          <w:color w:val="auto"/>
          <w:sz w:val="24"/>
        </w:rPr>
        <w:t>审查</w:t>
      </w:r>
    </w:p>
    <w:p w14:paraId="75D8D84E">
      <w:pPr>
        <w:pStyle w:val="23"/>
        <w:spacing w:before="0" w:beforeAutospacing="0" w:after="0" w:afterAutospacing="0" w:line="44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公开招标采购项目开标结束后，采购人或者采购组织机构应当依法对投标人的资格进行审查，对审查发现无效的进行必要的询标，结束后公布无效投标的投标人名单、投标无效的原因。</w:t>
      </w:r>
    </w:p>
    <w:p w14:paraId="687B6F9B">
      <w:pPr>
        <w:pStyle w:val="23"/>
        <w:spacing w:before="0" w:beforeAutospacing="0" w:after="0" w:afterAutospacing="0" w:line="440" w:lineRule="exact"/>
        <w:ind w:firstLine="472" w:firstLineChars="196"/>
        <w:jc w:val="both"/>
        <w:rPr>
          <w:rFonts w:hint="default" w:asciiTheme="minorEastAsia" w:hAnsiTheme="minorEastAsia" w:eastAsiaTheme="minorEastAsia"/>
          <w:b/>
          <w:bCs/>
          <w:color w:val="auto"/>
        </w:rPr>
      </w:pPr>
      <w:r>
        <w:rPr>
          <w:rFonts w:asciiTheme="minorEastAsia" w:hAnsiTheme="minorEastAsia" w:eastAsiaTheme="minorEastAsia"/>
          <w:b/>
          <w:bCs/>
          <w:color w:val="auto"/>
        </w:rPr>
        <w:t>2、符合性审查</w:t>
      </w:r>
    </w:p>
    <w:p w14:paraId="3292D8E8">
      <w:pPr>
        <w:pStyle w:val="23"/>
        <w:spacing w:before="0" w:beforeAutospacing="0" w:after="0" w:afterAutospacing="0" w:line="44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评标委员会应当对符合资格的投标人的投标文件进行符合性审查，以确定其是否满足招标文件的实质性要求，对审查发现无效的进行必要的询标，结束后公布无效投标的投标人名单、投标无效的原因。</w:t>
      </w:r>
    </w:p>
    <w:p w14:paraId="363FC74E">
      <w:pPr>
        <w:pStyle w:val="23"/>
        <w:spacing w:before="0" w:beforeAutospacing="0" w:after="0" w:afterAutospacing="0" w:line="440" w:lineRule="exact"/>
        <w:ind w:firstLine="482" w:firstLineChars="200"/>
        <w:jc w:val="both"/>
        <w:rPr>
          <w:rFonts w:hint="default" w:asciiTheme="minorEastAsia" w:hAnsiTheme="minorEastAsia" w:eastAsiaTheme="minorEastAsia"/>
          <w:color w:val="auto"/>
        </w:rPr>
      </w:pPr>
      <w:r>
        <w:rPr>
          <w:rFonts w:asciiTheme="minorEastAsia" w:hAnsiTheme="minorEastAsia" w:eastAsiaTheme="minorEastAsia"/>
          <w:b/>
          <w:bCs/>
          <w:color w:val="auto"/>
        </w:rPr>
        <w:t>3、</w:t>
      </w:r>
      <w:r>
        <w:rPr>
          <w:rFonts w:hint="default" w:ascii="Arial" w:hAnsi="Arial" w:cs="Arial"/>
          <w:b/>
          <w:bCs/>
          <w:color w:val="auto"/>
        </w:rPr>
        <w:t>综合比较与评价</w:t>
      </w:r>
    </w:p>
    <w:p w14:paraId="01527F13">
      <w:pPr>
        <w:pStyle w:val="23"/>
        <w:spacing w:before="0" w:beforeAutospacing="0" w:after="0" w:afterAutospacing="0" w:line="440" w:lineRule="exact"/>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（1）对于投标文件中含义不明确、同类问题表述不一致或者有明显文字和计算错误的内容，评标委员会应当以书面形式要求投标人作出必要的澄清、说明或者补正。</w:t>
      </w:r>
    </w:p>
    <w:p w14:paraId="2439B70E">
      <w:pPr>
        <w:pStyle w:val="23"/>
        <w:spacing w:before="0" w:beforeAutospacing="0" w:after="0" w:afterAutospacing="0" w:line="440" w:lineRule="exact"/>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（2）评标委员会应当按照招标文件中规定的评标方法和标准，对符合性审查合格的投标文件进行商务和技术评估，综合比较与评价。</w:t>
      </w:r>
    </w:p>
    <w:p w14:paraId="645B76D9">
      <w:pPr>
        <w:snapToGrid w:val="0"/>
        <w:spacing w:line="440" w:lineRule="exact"/>
        <w:ind w:firstLine="360" w:firstLineChars="1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（3）评标时，评标委员会各成员应当独立对每个投标人的投标文件进行评价，并汇总每个投标人的得分。</w:t>
      </w:r>
    </w:p>
    <w:p w14:paraId="75F93458">
      <w:pPr>
        <w:numPr>
          <w:ilvl w:val="255"/>
          <w:numId w:val="0"/>
        </w:numPr>
        <w:snapToGrid w:val="0"/>
        <w:spacing w:line="440" w:lineRule="exact"/>
        <w:ind w:firstLine="482" w:firstLineChars="200"/>
        <w:rPr>
          <w:rFonts w:ascii="Arial" w:hAnsi="Arial" w:cs="Arial"/>
          <w:b/>
          <w:bCs/>
          <w:color w:val="auto"/>
          <w:sz w:val="24"/>
        </w:rPr>
      </w:pPr>
      <w:r>
        <w:rPr>
          <w:rFonts w:hint="eastAsia" w:ascii="Arial" w:hAnsi="Arial" w:cs="Arial"/>
          <w:b/>
          <w:bCs/>
          <w:color w:val="auto"/>
          <w:sz w:val="24"/>
        </w:rPr>
        <w:t>4、得分确认及评审报告编写</w:t>
      </w:r>
    </w:p>
    <w:p w14:paraId="5F5DFA41">
      <w:pPr>
        <w:pStyle w:val="15"/>
        <w:snapToGrid w:val="0"/>
        <w:spacing w:line="440" w:lineRule="exact"/>
        <w:ind w:firstLine="420" w:firstLineChars="175"/>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评标委员会对报价文件进行复核，对于系统计算出的价格分及总得分进行确认；</w:t>
      </w:r>
    </w:p>
    <w:p w14:paraId="2503FFD8">
      <w:pPr>
        <w:pStyle w:val="23"/>
        <w:spacing w:before="0" w:beforeAutospacing="0" w:after="0" w:afterAutospacing="0" w:line="440" w:lineRule="exact"/>
        <w:ind w:firstLine="420" w:firstLineChars="175"/>
        <w:jc w:val="both"/>
        <w:rPr>
          <w:rFonts w:hint="default" w:asciiTheme="minorEastAsia" w:hAnsiTheme="minorEastAsia" w:eastAsiaTheme="minorEastAsia"/>
          <w:color w:val="auto"/>
        </w:rPr>
      </w:pPr>
      <w:r>
        <w:rPr>
          <w:rFonts w:asciiTheme="minorEastAsia" w:hAnsiTheme="minorEastAsia" w:eastAsiaTheme="minorEastAsia"/>
          <w:color w:val="auto"/>
        </w:rPr>
        <w:t>（2）评标委员会应当按照招标文件中规定的评标方法和标准，对符合性审查合格的投标文件进行商务和技术评估，综合比较与评价。</w:t>
      </w:r>
    </w:p>
    <w:p w14:paraId="00A97357">
      <w:pPr>
        <w:snapToGrid w:val="0"/>
        <w:spacing w:line="440" w:lineRule="exact"/>
        <w:ind w:firstLine="480" w:firstLineChars="200"/>
        <w:rPr>
          <w:rFonts w:ascii="Arial" w:hAnsi="Arial" w:cs="Arial"/>
          <w:b/>
          <w:bCs/>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kern w:val="0"/>
          <w:sz w:val="24"/>
        </w:rPr>
        <w:t>评标委员会</w:t>
      </w:r>
      <w:r>
        <w:rPr>
          <w:rFonts w:asciiTheme="minorEastAsia" w:hAnsiTheme="minorEastAsia" w:eastAsiaTheme="minorEastAsia"/>
          <w:color w:val="auto"/>
          <w:sz w:val="24"/>
        </w:rPr>
        <w:t>按评标原则</w:t>
      </w:r>
      <w:r>
        <w:rPr>
          <w:rFonts w:hint="eastAsia" w:asciiTheme="minorEastAsia" w:hAnsiTheme="minorEastAsia" w:eastAsiaTheme="minorEastAsia"/>
          <w:color w:val="auto"/>
          <w:sz w:val="24"/>
        </w:rPr>
        <w:t>及得分情况编写评审报告。</w:t>
      </w:r>
    </w:p>
    <w:p w14:paraId="53303FF7">
      <w:pPr>
        <w:numPr>
          <w:ilvl w:val="255"/>
          <w:numId w:val="0"/>
        </w:numPr>
        <w:snapToGrid w:val="0"/>
        <w:spacing w:line="440" w:lineRule="exact"/>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5、评价</w:t>
      </w:r>
    </w:p>
    <w:p w14:paraId="6DEE071A">
      <w:pPr>
        <w:snapToGrid w:val="0"/>
        <w:spacing w:line="440" w:lineRule="exact"/>
        <w:ind w:firstLine="480" w:firstLineChars="200"/>
        <w:rPr>
          <w:rFonts w:asciiTheme="minorEastAsia" w:hAnsiTheme="minorEastAsia" w:eastAsiaTheme="minorEastAsia"/>
          <w:b/>
          <w:color w:val="auto"/>
          <w:kern w:val="0"/>
          <w:sz w:val="24"/>
        </w:rPr>
      </w:pPr>
      <w:r>
        <w:rPr>
          <w:rFonts w:hint="eastAsia" w:asciiTheme="minorEastAsia" w:hAnsiTheme="minorEastAsia" w:eastAsiaTheme="minorEastAsia"/>
          <w:color w:val="auto"/>
          <w:sz w:val="24"/>
        </w:rPr>
        <w:t>采购组织机构对评标委员会评审专家进行评价。</w:t>
      </w:r>
    </w:p>
    <w:p w14:paraId="68E43CD6">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（三）澄清问题的形式</w:t>
      </w:r>
    </w:p>
    <w:p w14:paraId="492AE50F">
      <w:pPr>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color w:val="auto"/>
          <w:sz w:val="24"/>
        </w:rPr>
        <w:t>投标人的澄清、说明或者补正应当采用书面形式，并加盖公章，或者由法定代理人或其授权的代表签字，并不得超出投标文件的范围或者改变投标文件的实质性内容。</w:t>
      </w:r>
    </w:p>
    <w:p w14:paraId="72BE2D04">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（四）错误修正</w:t>
      </w:r>
    </w:p>
    <w:p w14:paraId="6B479952">
      <w:pPr>
        <w:pStyle w:val="23"/>
        <w:spacing w:before="0" w:beforeAutospacing="0" w:after="0" w:afterAutospacing="0" w:line="44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投标文件报价出现前后不一致的，除招标文件另有规定外，按照下列规定修正：</w:t>
      </w:r>
    </w:p>
    <w:p w14:paraId="235477FB">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1、投标文件中开标一览表（报价表）内容与投标文件中相应内容不一致的，以开标一览表（报价表）为准；</w:t>
      </w:r>
    </w:p>
    <w:p w14:paraId="07D7B5D8">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2、大写金额和小写金额不一致的，以大写金额为准；</w:t>
      </w:r>
    </w:p>
    <w:p w14:paraId="24FDDDA5">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3、单价金额小数点或者百分比有明显错位的，以开标一览表的总价为准，并修改单价；</w:t>
      </w:r>
    </w:p>
    <w:p w14:paraId="32B1DEFD">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4、总价金额与按单价汇总金额不一致的，以单价金额计算结果为准。</w:t>
      </w:r>
    </w:p>
    <w:p w14:paraId="584C12CD">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同时出现两种以上不一致的，按照前款规定的顺序修正。修正应当采用书面形式，并加盖公章，或者由法定代表人或其授权的代表签字。修正后的报价经投标人确认后产生约束力，投标人不确认的，其投标无效。</w:t>
      </w:r>
    </w:p>
    <w:p w14:paraId="3EA014D9">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（五）投标人存在下列情况之一的，投标无效</w:t>
      </w:r>
    </w:p>
    <w:p w14:paraId="6EA13083">
      <w:pPr>
        <w:adjustRightInd w:val="0"/>
        <w:snapToGrid w:val="0"/>
        <w:spacing w:line="440" w:lineRule="exact"/>
        <w:ind w:left="4" w:firstLine="470" w:firstLineChars="196"/>
        <w:jc w:val="left"/>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14:paraId="6766C78A">
      <w:pPr>
        <w:pStyle w:val="23"/>
        <w:tabs>
          <w:tab w:val="left" w:pos="7380"/>
        </w:tabs>
        <w:adjustRightInd w:val="0"/>
        <w:snapToGrid w:val="0"/>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2、不具备招标文件中规定的资格要求的。</w:t>
      </w:r>
      <w:r>
        <w:rPr>
          <w:rFonts w:hint="default" w:asciiTheme="minorEastAsia" w:hAnsiTheme="minorEastAsia" w:eastAsiaTheme="minorEastAsia"/>
          <w:color w:val="auto"/>
        </w:rPr>
        <w:tab/>
      </w:r>
    </w:p>
    <w:p w14:paraId="38350982">
      <w:pPr>
        <w:pStyle w:val="23"/>
        <w:adjustRightInd w:val="0"/>
        <w:snapToGrid w:val="0"/>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3、投标文件含有采购人不能接受的附加条件的。</w:t>
      </w:r>
    </w:p>
    <w:p w14:paraId="217677BC">
      <w:pPr>
        <w:adjustRightInd w:val="0"/>
        <w:snapToGrid w:val="0"/>
        <w:spacing w:line="440" w:lineRule="exact"/>
        <w:ind w:firstLine="470" w:firstLineChars="196"/>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4</w:t>
      </w:r>
      <w:r>
        <w:rPr>
          <w:rFonts w:hint="eastAsia" w:asciiTheme="minorEastAsia" w:hAnsiTheme="minorEastAsia" w:eastAsiaTheme="minorEastAsia"/>
          <w:color w:val="auto"/>
          <w:sz w:val="24"/>
        </w:rPr>
        <w:t>、投标代表人未能出具身份证明或与法定代表人授权委托人身份不符的；</w:t>
      </w:r>
    </w:p>
    <w:p w14:paraId="2FBD6705">
      <w:pPr>
        <w:pStyle w:val="23"/>
        <w:adjustRightInd w:val="0"/>
        <w:snapToGrid w:val="0"/>
        <w:spacing w:before="0" w:beforeAutospacing="0" w:after="0" w:afterAutospacing="0" w:line="44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C886CA">
      <w:pPr>
        <w:pStyle w:val="23"/>
        <w:adjustRightInd w:val="0"/>
        <w:snapToGrid w:val="0"/>
        <w:spacing w:before="0" w:beforeAutospacing="0" w:after="0" w:afterAutospacing="0" w:line="44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6、报价超过招标文件中规定的最高限价。 </w:t>
      </w:r>
    </w:p>
    <w:p w14:paraId="74B93D5F">
      <w:pPr>
        <w:tabs>
          <w:tab w:val="left" w:pos="1898"/>
        </w:tabs>
        <w:autoSpaceDE w:val="0"/>
        <w:autoSpaceDN w:val="0"/>
        <w:adjustRightInd w:val="0"/>
        <w:snapToGrid w:val="0"/>
        <w:spacing w:line="440" w:lineRule="exact"/>
        <w:ind w:firstLine="6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7、投标参数未如实填写，完全复制粘贴招标参数的。</w:t>
      </w:r>
    </w:p>
    <w:p w14:paraId="127725C7">
      <w:pPr>
        <w:tabs>
          <w:tab w:val="left" w:pos="1898"/>
        </w:tabs>
        <w:autoSpaceDE w:val="0"/>
        <w:autoSpaceDN w:val="0"/>
        <w:adjustRightInd w:val="0"/>
        <w:snapToGrid w:val="0"/>
        <w:spacing w:line="440" w:lineRule="exact"/>
        <w:ind w:firstLine="6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8、投标文件提供虚假材料的。 </w:t>
      </w:r>
    </w:p>
    <w:p w14:paraId="543C01A8">
      <w:pPr>
        <w:tabs>
          <w:tab w:val="left" w:pos="1898"/>
        </w:tabs>
        <w:autoSpaceDE w:val="0"/>
        <w:autoSpaceDN w:val="0"/>
        <w:adjustRightInd w:val="0"/>
        <w:snapToGrid w:val="0"/>
        <w:spacing w:line="440" w:lineRule="exact"/>
        <w:ind w:firstLine="6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9</w:t>
      </w:r>
      <w:r>
        <w:rPr>
          <w:rFonts w:asciiTheme="minorEastAsia" w:hAnsiTheme="minorEastAsia" w:eastAsiaTheme="minorEastAsia"/>
          <w:color w:val="auto"/>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0B775E04">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（1）不同投标人的投标文件由同一单位或者个人编制；</w:t>
      </w:r>
    </w:p>
    <w:p w14:paraId="0005CC0B">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（2）不同投标人委托同一单位或者个人办理投标事宜；</w:t>
      </w:r>
    </w:p>
    <w:p w14:paraId="6DAB8E7C">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（3）不同投标人的投标文件载明的项目管理成员或者联系人员为同一人；</w:t>
      </w:r>
    </w:p>
    <w:p w14:paraId="0CD1EF73">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（4）不同投标人的投标文件异常一致或者投标报价呈规律性差异；</w:t>
      </w:r>
    </w:p>
    <w:p w14:paraId="6B6AEA6C">
      <w:pPr>
        <w:pStyle w:val="23"/>
        <w:spacing w:before="0" w:beforeAutospacing="0" w:after="0" w:afterAutospacing="0" w:line="440" w:lineRule="exact"/>
        <w:jc w:val="both"/>
        <w:rPr>
          <w:rFonts w:hint="default" w:asciiTheme="minorEastAsia" w:hAnsiTheme="minorEastAsia" w:eastAsiaTheme="minorEastAsia"/>
          <w:color w:val="auto"/>
        </w:rPr>
      </w:pPr>
      <w:r>
        <w:rPr>
          <w:rFonts w:asciiTheme="minorEastAsia" w:hAnsiTheme="minorEastAsia" w:eastAsiaTheme="minorEastAsia"/>
          <w:color w:val="auto"/>
        </w:rPr>
        <w:t>　 （5）不同投标人的投标文件相互混装。</w:t>
      </w:r>
    </w:p>
    <w:p w14:paraId="343A8DDE">
      <w:pPr>
        <w:autoSpaceDE w:val="0"/>
        <w:autoSpaceDN w:val="0"/>
        <w:adjustRightInd w:val="0"/>
        <w:spacing w:line="440" w:lineRule="exact"/>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10、不符合法律、法规和招标文件中规定的其他实质性要求的（招标文件</w:t>
      </w:r>
    </w:p>
    <w:p w14:paraId="4C2309EA">
      <w:pPr>
        <w:tabs>
          <w:tab w:val="right" w:pos="8306"/>
        </w:tabs>
        <w:autoSpaceDE w:val="0"/>
        <w:autoSpaceDN w:val="0"/>
        <w:adjustRightInd w:val="0"/>
        <w:spacing w:line="440" w:lineRule="exac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中打</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olor w:val="auto"/>
          <w:kern w:val="0"/>
          <w:sz w:val="24"/>
        </w:rPr>
        <w:t>内容及被拒绝的条款）。</w:t>
      </w:r>
    </w:p>
    <w:p w14:paraId="36A87F1C">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（六）有下列情况之一的，本次招标作为废标处理</w:t>
      </w:r>
    </w:p>
    <w:p w14:paraId="780F3FDC">
      <w:pPr>
        <w:pStyle w:val="23"/>
        <w:spacing w:before="0" w:beforeAutospacing="0" w:after="0" w:afterAutospacing="0" w:line="440" w:lineRule="exact"/>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1、出现影响采购公正的违法、违规行为的；</w:t>
      </w:r>
    </w:p>
    <w:p w14:paraId="373B2400">
      <w:pPr>
        <w:pStyle w:val="23"/>
        <w:spacing w:before="0" w:beforeAutospacing="0" w:after="0" w:afterAutospacing="0" w:line="440" w:lineRule="exact"/>
        <w:ind w:firstLine="600" w:firstLineChars="250"/>
        <w:jc w:val="both"/>
        <w:rPr>
          <w:rFonts w:hint="default" w:asciiTheme="minorEastAsia" w:hAnsiTheme="minorEastAsia" w:eastAsiaTheme="minorEastAsia"/>
          <w:b/>
          <w:bCs/>
          <w:color w:val="auto"/>
        </w:rPr>
      </w:pPr>
      <w:r>
        <w:rPr>
          <w:rFonts w:asciiTheme="minorEastAsia" w:hAnsiTheme="minorEastAsia" w:eastAsiaTheme="minorEastAsia"/>
          <w:color w:val="auto"/>
        </w:rPr>
        <w:t xml:space="preserve">2、评标委员会发现招标文件存在歧义、重大缺陷导致评标工作无法进行，或者招标文件内容违反国家有关强制性规定的； </w:t>
      </w:r>
    </w:p>
    <w:p w14:paraId="116C37C2">
      <w:pPr>
        <w:pStyle w:val="23"/>
        <w:spacing w:before="0" w:beforeAutospacing="0" w:after="0" w:afterAutospacing="0" w:line="440" w:lineRule="exact"/>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3、因重大变故，采购任务取消的；</w:t>
      </w:r>
    </w:p>
    <w:p w14:paraId="6422C594">
      <w:pPr>
        <w:pStyle w:val="23"/>
        <w:spacing w:before="0" w:beforeAutospacing="0" w:after="0" w:afterAutospacing="0" w:line="440" w:lineRule="exact"/>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4、法律、法规和招标文件规定的其他导致评标结果无效的。</w:t>
      </w:r>
    </w:p>
    <w:p w14:paraId="635BCCB7">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）评标原则和评标办法</w:t>
      </w:r>
    </w:p>
    <w:p w14:paraId="0B443126">
      <w:pPr>
        <w:pStyle w:val="15"/>
        <w:snapToGrid w:val="0"/>
        <w:spacing w:line="440" w:lineRule="exact"/>
        <w:ind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E0AA4F6">
      <w:pPr>
        <w:pStyle w:val="15"/>
        <w:snapToGrid w:val="0"/>
        <w:spacing w:line="440" w:lineRule="exact"/>
        <w:ind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评标办法。具体评标内容及评分标准等详见《第</w:t>
      </w:r>
      <w:r>
        <w:rPr>
          <w:rFonts w:hint="eastAsia" w:asciiTheme="minorEastAsia" w:hAnsiTheme="minorEastAsia" w:eastAsiaTheme="minorEastAsia"/>
          <w:color w:val="auto"/>
          <w:sz w:val="24"/>
        </w:rPr>
        <w:t>三章</w:t>
      </w:r>
      <w:r>
        <w:rPr>
          <w:rFonts w:asciiTheme="minorEastAsia" w:hAnsiTheme="minorEastAsia" w:eastAsiaTheme="minorEastAsia"/>
          <w:color w:val="auto"/>
          <w:sz w:val="24"/>
        </w:rPr>
        <w:t>：评标</w:t>
      </w:r>
      <w:r>
        <w:rPr>
          <w:rFonts w:hint="eastAsia" w:asciiTheme="minorEastAsia" w:hAnsiTheme="minorEastAsia" w:eastAsiaTheme="minorEastAsia"/>
          <w:color w:val="auto"/>
          <w:sz w:val="24"/>
        </w:rPr>
        <w:t>方</w:t>
      </w:r>
      <w:r>
        <w:rPr>
          <w:rFonts w:asciiTheme="minorEastAsia" w:hAnsiTheme="minorEastAsia" w:eastAsiaTheme="minorEastAsia"/>
          <w:color w:val="auto"/>
          <w:sz w:val="24"/>
        </w:rPr>
        <w:t>法及评分标准》。</w:t>
      </w:r>
    </w:p>
    <w:p w14:paraId="71655B30">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）评标过程的监控</w:t>
      </w:r>
    </w:p>
    <w:p w14:paraId="469B8445">
      <w:pPr>
        <w:pStyle w:val="23"/>
        <w:spacing w:before="0" w:beforeAutospacing="0" w:after="0" w:afterAutospacing="0" w:line="44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本项目评标过程实行全程录音、录像监控，政府采购监管部门视情进行现场监督，投标人在评标过程中所进行的试图影响评标结果的不公正活动，可能导致其投标被拒绝。</w:t>
      </w:r>
    </w:p>
    <w:p w14:paraId="59A7E8E0">
      <w:pPr>
        <w:pStyle w:val="15"/>
        <w:snapToGrid w:val="0"/>
        <w:spacing w:line="440" w:lineRule="exact"/>
        <w:ind w:firstLine="602"/>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六、定标</w:t>
      </w:r>
    </w:p>
    <w:p w14:paraId="686B4999">
      <w:pPr>
        <w:pStyle w:val="23"/>
        <w:spacing w:before="0" w:beforeAutospacing="0" w:after="0" w:afterAutospacing="0" w:line="44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1、</w:t>
      </w:r>
      <w:r>
        <w:rPr>
          <w:color w:val="auto"/>
        </w:rPr>
        <w:t>确定中标供应商。</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2412F38">
      <w:pPr>
        <w:spacing w:line="440" w:lineRule="exact"/>
        <w:ind w:firstLine="480" w:firstLineChars="200"/>
        <w:rPr>
          <w:rFonts w:ascii="宋体" w:hAnsi="宋体"/>
          <w:color w:val="auto"/>
          <w:kern w:val="0"/>
          <w:sz w:val="24"/>
        </w:rPr>
      </w:pPr>
      <w:r>
        <w:rPr>
          <w:rFonts w:asciiTheme="minorEastAsia" w:hAnsiTheme="minorEastAsia" w:eastAsiaTheme="minorEastAsia"/>
          <w:color w:val="auto"/>
          <w:sz w:val="24"/>
        </w:rPr>
        <w:t>2、</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结果公告。采购组织机构应当自中标人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在省级以上财政部门指定的媒体及相关网站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kern w:val="0"/>
          <w:sz w:val="24"/>
        </w:rPr>
        <w:t>中标结果，招标文件应当随中标结果同时公告。</w:t>
      </w:r>
    </w:p>
    <w:p w14:paraId="1EF70BF4">
      <w:pPr>
        <w:spacing w:line="440" w:lineRule="exact"/>
        <w:ind w:firstLine="480" w:firstLineChars="200"/>
        <w:rPr>
          <w:rFonts w:ascii="宋体" w:hAnsi="宋体"/>
          <w:color w:val="auto"/>
          <w:kern w:val="0"/>
          <w:sz w:val="24"/>
        </w:rPr>
      </w:pPr>
      <w:r>
        <w:rPr>
          <w:rFonts w:hint="eastAsia" w:ascii="宋体" w:hAnsi="宋体"/>
          <w:color w:val="auto"/>
          <w:kern w:val="0"/>
          <w:sz w:val="24"/>
        </w:rPr>
        <w:t>3、发出中标通知书。采购组织机构在发布中标结果的同时，向中标人发出中标通知书。</w:t>
      </w:r>
    </w:p>
    <w:p w14:paraId="0563A866">
      <w:pPr>
        <w:pStyle w:val="15"/>
        <w:snapToGrid w:val="0"/>
        <w:spacing w:line="440" w:lineRule="exact"/>
        <w:ind w:firstLine="602"/>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合同签订及公告</w:t>
      </w:r>
    </w:p>
    <w:p w14:paraId="0B9CDFCC">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（一）签订合同</w:t>
      </w:r>
    </w:p>
    <w:p w14:paraId="7823270D">
      <w:pPr>
        <w:pStyle w:val="23"/>
        <w:spacing w:before="0" w:beforeAutospacing="0" w:after="0" w:afterAutospacing="0" w:line="440" w:lineRule="exact"/>
        <w:ind w:firstLine="424" w:firstLineChars="177"/>
        <w:jc w:val="both"/>
        <w:rPr>
          <w:rFonts w:hint="default"/>
          <w:color w:val="auto"/>
        </w:rPr>
      </w:pPr>
      <w:r>
        <w:rPr>
          <w:color w:val="auto"/>
        </w:rPr>
        <w:t>1、采购人应当自中标通知书发出之日起30个工作日内，按照招标文件和中标人投标文件的规定，与中标人签订书面合同。所签订的合同不得对招标文件确定的事项和中标人投标文件作实质性修改。</w:t>
      </w:r>
    </w:p>
    <w:p w14:paraId="6977AA05">
      <w:pPr>
        <w:pStyle w:val="23"/>
        <w:spacing w:before="0" w:beforeAutospacing="0" w:after="0" w:afterAutospacing="0" w:line="440" w:lineRule="exact"/>
        <w:ind w:firstLine="480" w:firstLineChars="200"/>
        <w:jc w:val="both"/>
        <w:rPr>
          <w:rFonts w:hint="default"/>
          <w:color w:val="auto"/>
        </w:rPr>
      </w:pPr>
      <w:r>
        <w:rPr>
          <w:color w:val="auto"/>
        </w:rPr>
        <w:t>2、采购人不得向中标人提出任何不合理的要求作为签订合同的条件。</w:t>
      </w:r>
    </w:p>
    <w:p w14:paraId="5BF864D2">
      <w:pPr>
        <w:pStyle w:val="23"/>
        <w:spacing w:before="0" w:beforeAutospacing="0" w:after="0" w:afterAutospacing="0" w:line="440" w:lineRule="exact"/>
        <w:ind w:firstLine="480" w:firstLineChars="200"/>
        <w:jc w:val="both"/>
        <w:rPr>
          <w:rFonts w:hint="default"/>
          <w:color w:val="auto"/>
        </w:rPr>
      </w:pPr>
      <w:r>
        <w:rPr>
          <w:color w:val="auto"/>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0B3D297">
      <w:pPr>
        <w:pStyle w:val="23"/>
        <w:spacing w:before="0" w:beforeAutospacing="0" w:after="0" w:afterAutospacing="0" w:line="440" w:lineRule="exact"/>
        <w:ind w:firstLine="480" w:firstLineChars="200"/>
        <w:jc w:val="both"/>
        <w:rPr>
          <w:rFonts w:hint="default"/>
          <w:color w:val="auto"/>
        </w:rPr>
      </w:pPr>
      <w:r>
        <w:rPr>
          <w:color w:val="auto"/>
        </w:rPr>
        <w:t>4、询问或者质疑事项可能影响中标结果的，采购人应当暂停签订合同，已经签订合同的，应当中止履行合同（中标结果的质疑期为中标结果公告期限届满之日起七个工作日）。</w:t>
      </w:r>
    </w:p>
    <w:p w14:paraId="68BE96B2">
      <w:pPr>
        <w:snapToGrid w:val="0"/>
        <w:spacing w:beforeLines="50" w:line="440" w:lineRule="exact"/>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（二）合同公告及备案</w:t>
      </w:r>
    </w:p>
    <w:p w14:paraId="618FC841">
      <w:pPr>
        <w:pStyle w:val="13"/>
        <w:spacing w:line="440" w:lineRule="exact"/>
        <w:ind w:left="0" w:leftChars="0" w:firstLine="480" w:firstLineChars="200"/>
        <w:jc w:val="left"/>
        <w:rPr>
          <w:rFonts w:ascii="宋体" w:hAnsi="宋体"/>
          <w:color w:val="auto"/>
          <w:sz w:val="24"/>
        </w:rPr>
      </w:pPr>
      <w:r>
        <w:rPr>
          <w:rFonts w:hint="eastAsia" w:ascii="宋体" w:hAnsi="宋体"/>
          <w:color w:val="auto"/>
          <w:sz w:val="24"/>
        </w:rPr>
        <w:t>1、采购人应当自政府采购合同签订之日起2个工作日内，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7B46288E">
      <w:pPr>
        <w:pStyle w:val="13"/>
        <w:spacing w:line="440" w:lineRule="exact"/>
        <w:ind w:left="0" w:leftChars="0" w:firstLine="480" w:firstLineChars="200"/>
        <w:jc w:val="left"/>
        <w:rPr>
          <w:rFonts w:ascii="宋体" w:hAnsi="宋体"/>
          <w:color w:val="auto"/>
          <w:sz w:val="24"/>
        </w:rPr>
      </w:pPr>
      <w:r>
        <w:rPr>
          <w:rFonts w:hint="eastAsia" w:ascii="宋体" w:hAnsi="宋体"/>
          <w:color w:val="auto"/>
          <w:sz w:val="24"/>
        </w:rPr>
        <w:t>2、采购人应当自政府采购合同签订之日起7个工作日内，将政府采购合同副本报同级人民政府财政部门备案以及采购组织机构存档。</w:t>
      </w:r>
    </w:p>
    <w:p w14:paraId="19CAFB60">
      <w:pPr>
        <w:pStyle w:val="15"/>
        <w:snapToGrid w:val="0"/>
        <w:spacing w:line="440" w:lineRule="exact"/>
        <w:ind w:firstLine="602"/>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八、采购代理服务费</w:t>
      </w:r>
    </w:p>
    <w:p w14:paraId="14FAEF54">
      <w:pPr>
        <w:snapToGrid w:val="0"/>
        <w:spacing w:line="440" w:lineRule="exact"/>
        <w:ind w:firstLine="566" w:firstLineChars="236"/>
        <w:rPr>
          <w:rFonts w:ascii="宋体" w:hAnsi="宋体"/>
          <w:color w:val="auto"/>
          <w:sz w:val="24"/>
        </w:rPr>
      </w:pPr>
      <w:r>
        <w:rPr>
          <w:rFonts w:hint="eastAsia" w:ascii="宋体" w:hAnsi="宋体"/>
          <w:color w:val="auto"/>
          <w:sz w:val="24"/>
        </w:rPr>
        <w:t xml:space="preserve">招标代理费：根据国家发改委发改办价格[2003]857号通知和国家计委计价格[2002]1980号文件规定的招标费率标准，按照中标通知书确定的中标金额，向成交单位收取代理服务费。该费用成交单位须在领取中标通知书时一次性付清。 </w:t>
      </w:r>
    </w:p>
    <w:p w14:paraId="1576FB42">
      <w:pPr>
        <w:spacing w:line="440" w:lineRule="exact"/>
        <w:ind w:firstLine="480" w:firstLineChars="200"/>
        <w:rPr>
          <w:rFonts w:ascii="宋体" w:hAnsi="宋体"/>
          <w:color w:val="auto"/>
          <w:sz w:val="24"/>
        </w:rPr>
      </w:pPr>
      <w:r>
        <w:rPr>
          <w:rFonts w:hint="eastAsia" w:ascii="宋体" w:hAnsi="宋体"/>
          <w:color w:val="auto"/>
          <w:sz w:val="24"/>
        </w:rPr>
        <w:t>本项费用由投标人自行考虑，分摊在各项投标报价中，结算时不再另行计取。</w:t>
      </w:r>
    </w:p>
    <w:tbl>
      <w:tblPr>
        <w:tblStyle w:val="26"/>
        <w:tblpPr w:leftFromText="180" w:rightFromText="180" w:vertAnchor="text" w:horzAnchor="page" w:tblpX="1569" w:tblpY="105"/>
        <w:tblOverlap w:val="never"/>
        <w:tblW w:w="87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2067"/>
        <w:gridCol w:w="2067"/>
        <w:gridCol w:w="2067"/>
      </w:tblGrid>
      <w:tr w14:paraId="1A62E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56" w:type="dxa"/>
          </w:tcPr>
          <w:p w14:paraId="2859AE34">
            <w:pPr>
              <w:pStyle w:val="142"/>
              <w:spacing w:before="26"/>
              <w:ind w:left="1578"/>
              <w:rPr>
                <w:rFonts w:ascii="仿宋" w:hAnsi="仿宋" w:eastAsia="仿宋" w:cs="仿宋"/>
                <w:b/>
                <w:color w:val="auto"/>
                <w:highlight w:val="none"/>
                <w:lang w:eastAsia="zh-CN"/>
              </w:rPr>
            </w:pPr>
            <w:r>
              <w:rPr>
                <w:rFonts w:ascii="仿宋" w:hAnsi="仿宋" w:eastAsia="仿宋" w:cs="仿宋"/>
                <w:color w:val="auto"/>
                <w:highlight w:val="none"/>
              </w:rPr>
              <w:pict>
                <v:shape id="_x0000_s2056" o:spid="_x0000_s2056" o:spt="100" style="position:absolute;left:0pt;margin-left:2.1pt;margin-top:-0.5pt;height:71pt;width:125.35pt;mso-position-horizontal-relative:page;z-index:-251655168;mso-width-relative:page;mso-height-relative:page;" fillcolor="#000000" filled="t" stroked="f" coordorigin="1708,437" coordsize="2569,1189" path="m4264,1612l1714,470,1708,484,4258,1626,4264,1612m4277,1602l2824,437,2814,449,4267,1614,4277,1602e">
                  <v:path arrowok="t" o:connecttype="segments"/>
                  <v:fill on="t" focussize="0,0"/>
                  <v:stroke on="f" joinstyle="round"/>
                  <v:imagedata o:title=""/>
                  <o:lock v:ext="edit"/>
                </v:shape>
              </w:pict>
            </w:r>
            <w:r>
              <w:rPr>
                <w:rFonts w:hint="eastAsia" w:ascii="仿宋" w:hAnsi="仿宋" w:eastAsia="仿宋" w:cs="仿宋"/>
                <w:b/>
                <w:color w:val="auto"/>
                <w:highlight w:val="none"/>
                <w:lang w:eastAsia="zh-CN"/>
              </w:rPr>
              <w:t>服务</w:t>
            </w:r>
          </w:p>
          <w:p w14:paraId="1E8FAC66">
            <w:pPr>
              <w:pStyle w:val="142"/>
              <w:tabs>
                <w:tab w:val="left" w:pos="1789"/>
              </w:tabs>
              <w:spacing w:before="55" w:line="290" w:lineRule="auto"/>
              <w:ind w:left="1578" w:right="334" w:hanging="42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费</w:t>
            </w:r>
            <w:r>
              <w:rPr>
                <w:rFonts w:hint="eastAsia" w:ascii="仿宋" w:hAnsi="仿宋" w:eastAsia="仿宋" w:cs="仿宋"/>
                <w:b/>
                <w:color w:val="auto"/>
                <w:highlight w:val="none"/>
                <w:lang w:eastAsia="zh-CN"/>
              </w:rPr>
              <w:tab/>
            </w:r>
            <w:r>
              <w:rPr>
                <w:rFonts w:hint="eastAsia" w:ascii="仿宋" w:hAnsi="仿宋" w:eastAsia="仿宋" w:cs="仿宋"/>
                <w:b/>
                <w:color w:val="auto"/>
                <w:highlight w:val="none"/>
                <w:lang w:eastAsia="zh-CN"/>
              </w:rPr>
              <w:tab/>
            </w:r>
            <w:r>
              <w:rPr>
                <w:rFonts w:hint="eastAsia" w:ascii="仿宋" w:hAnsi="仿宋" w:eastAsia="仿宋" w:cs="仿宋"/>
                <w:b/>
                <w:color w:val="auto"/>
                <w:highlight w:val="none"/>
                <w:lang w:eastAsia="zh-CN"/>
              </w:rPr>
              <w:t>类</w:t>
            </w:r>
            <w:r>
              <w:rPr>
                <w:rFonts w:hint="eastAsia" w:ascii="仿宋" w:hAnsi="仿宋" w:eastAsia="仿宋" w:cs="仿宋"/>
                <w:b/>
                <w:color w:val="auto"/>
                <w:spacing w:val="-17"/>
                <w:highlight w:val="none"/>
                <w:lang w:eastAsia="zh-CN"/>
              </w:rPr>
              <w:t>型</w:t>
            </w:r>
            <w:r>
              <w:rPr>
                <w:rFonts w:hint="eastAsia" w:ascii="仿宋" w:hAnsi="仿宋" w:eastAsia="仿宋" w:cs="仿宋"/>
                <w:b/>
                <w:color w:val="auto"/>
                <w:highlight w:val="none"/>
                <w:lang w:eastAsia="zh-CN"/>
              </w:rPr>
              <w:t>率</w:t>
            </w:r>
          </w:p>
          <w:p w14:paraId="34C98A7E">
            <w:pPr>
              <w:pStyle w:val="142"/>
              <w:spacing w:line="268" w:lineRule="exact"/>
              <w:ind w:left="107"/>
              <w:rPr>
                <w:rFonts w:ascii="仿宋" w:hAnsi="仿宋" w:eastAsia="仿宋" w:cs="仿宋"/>
                <w:b/>
                <w:color w:val="auto"/>
                <w:highlight w:val="none"/>
                <w:lang w:eastAsia="zh-CN"/>
              </w:rPr>
            </w:pPr>
            <w:r>
              <w:rPr>
                <w:rFonts w:hint="eastAsia" w:ascii="仿宋" w:hAnsi="仿宋" w:eastAsia="仿宋" w:cs="仿宋"/>
                <w:b/>
                <w:color w:val="auto"/>
                <w:w w:val="95"/>
                <w:highlight w:val="none"/>
                <w:lang w:eastAsia="zh-CN"/>
              </w:rPr>
              <w:t>中标金额（万元）</w:t>
            </w:r>
          </w:p>
        </w:tc>
        <w:tc>
          <w:tcPr>
            <w:tcW w:w="2067" w:type="dxa"/>
          </w:tcPr>
          <w:p w14:paraId="6A95D624">
            <w:pPr>
              <w:pStyle w:val="142"/>
              <w:rPr>
                <w:rFonts w:ascii="仿宋" w:hAnsi="仿宋" w:eastAsia="仿宋" w:cs="仿宋"/>
                <w:b/>
                <w:color w:val="auto"/>
                <w:sz w:val="20"/>
                <w:highlight w:val="none"/>
                <w:lang w:eastAsia="zh-CN"/>
              </w:rPr>
            </w:pPr>
          </w:p>
          <w:p w14:paraId="2315FDA0">
            <w:pPr>
              <w:pStyle w:val="142"/>
              <w:rPr>
                <w:rFonts w:ascii="仿宋" w:hAnsi="仿宋" w:eastAsia="仿宋" w:cs="仿宋"/>
                <w:b/>
                <w:color w:val="auto"/>
                <w:sz w:val="20"/>
                <w:highlight w:val="none"/>
                <w:lang w:eastAsia="zh-CN"/>
              </w:rPr>
            </w:pPr>
          </w:p>
          <w:p w14:paraId="2A44E8D8">
            <w:pPr>
              <w:pStyle w:val="142"/>
              <w:ind w:left="591" w:right="579"/>
              <w:jc w:val="center"/>
              <w:rPr>
                <w:rFonts w:ascii="仿宋" w:hAnsi="仿宋" w:eastAsia="仿宋" w:cs="仿宋"/>
                <w:b/>
                <w:color w:val="auto"/>
                <w:highlight w:val="none"/>
              </w:rPr>
            </w:pPr>
            <w:r>
              <w:rPr>
                <w:rFonts w:hint="eastAsia" w:ascii="仿宋" w:hAnsi="仿宋" w:eastAsia="仿宋" w:cs="仿宋"/>
                <w:b/>
                <w:color w:val="auto"/>
                <w:highlight w:val="none"/>
              </w:rPr>
              <w:t>货物招标</w:t>
            </w:r>
          </w:p>
        </w:tc>
        <w:tc>
          <w:tcPr>
            <w:tcW w:w="2067" w:type="dxa"/>
          </w:tcPr>
          <w:p w14:paraId="5A1FC986">
            <w:pPr>
              <w:pStyle w:val="142"/>
              <w:rPr>
                <w:rFonts w:ascii="仿宋" w:hAnsi="仿宋" w:eastAsia="仿宋" w:cs="仿宋"/>
                <w:b/>
                <w:color w:val="auto"/>
                <w:sz w:val="20"/>
                <w:highlight w:val="none"/>
              </w:rPr>
            </w:pPr>
          </w:p>
          <w:p w14:paraId="646A2BE0">
            <w:pPr>
              <w:pStyle w:val="142"/>
              <w:rPr>
                <w:rFonts w:ascii="仿宋" w:hAnsi="仿宋" w:eastAsia="仿宋" w:cs="仿宋"/>
                <w:b/>
                <w:color w:val="auto"/>
                <w:sz w:val="20"/>
                <w:highlight w:val="none"/>
              </w:rPr>
            </w:pPr>
          </w:p>
          <w:p w14:paraId="1B779DF1">
            <w:pPr>
              <w:pStyle w:val="142"/>
              <w:ind w:left="591" w:right="580"/>
              <w:jc w:val="center"/>
              <w:rPr>
                <w:rFonts w:ascii="仿宋" w:hAnsi="仿宋" w:eastAsia="仿宋" w:cs="仿宋"/>
                <w:b/>
                <w:color w:val="auto"/>
                <w:highlight w:val="none"/>
              </w:rPr>
            </w:pPr>
            <w:r>
              <w:rPr>
                <w:rFonts w:hint="eastAsia" w:ascii="仿宋" w:hAnsi="仿宋" w:eastAsia="仿宋" w:cs="仿宋"/>
                <w:b/>
                <w:color w:val="auto"/>
                <w:highlight w:val="none"/>
              </w:rPr>
              <w:t>服务招标</w:t>
            </w:r>
          </w:p>
        </w:tc>
        <w:tc>
          <w:tcPr>
            <w:tcW w:w="2067" w:type="dxa"/>
          </w:tcPr>
          <w:p w14:paraId="32A43CD1">
            <w:pPr>
              <w:pStyle w:val="142"/>
              <w:rPr>
                <w:rFonts w:ascii="仿宋" w:hAnsi="仿宋" w:eastAsia="仿宋" w:cs="仿宋"/>
                <w:b/>
                <w:color w:val="auto"/>
                <w:sz w:val="20"/>
                <w:highlight w:val="none"/>
              </w:rPr>
            </w:pPr>
          </w:p>
          <w:p w14:paraId="1C455CF9">
            <w:pPr>
              <w:pStyle w:val="142"/>
              <w:rPr>
                <w:rFonts w:ascii="仿宋" w:hAnsi="仿宋" w:eastAsia="仿宋" w:cs="仿宋"/>
                <w:b/>
                <w:color w:val="auto"/>
                <w:sz w:val="20"/>
                <w:highlight w:val="none"/>
              </w:rPr>
            </w:pPr>
          </w:p>
          <w:p w14:paraId="5AA865F5">
            <w:pPr>
              <w:pStyle w:val="142"/>
              <w:ind w:left="590" w:right="580"/>
              <w:jc w:val="center"/>
              <w:rPr>
                <w:rFonts w:ascii="仿宋" w:hAnsi="仿宋" w:eastAsia="仿宋" w:cs="仿宋"/>
                <w:b/>
                <w:color w:val="auto"/>
                <w:highlight w:val="none"/>
              </w:rPr>
            </w:pPr>
            <w:r>
              <w:rPr>
                <w:rFonts w:hint="eastAsia" w:ascii="仿宋" w:hAnsi="仿宋" w:eastAsia="仿宋" w:cs="仿宋"/>
                <w:b/>
                <w:color w:val="auto"/>
                <w:highlight w:val="none"/>
              </w:rPr>
              <w:t>工程招标</w:t>
            </w:r>
          </w:p>
        </w:tc>
      </w:tr>
      <w:tr w14:paraId="77810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56" w:type="dxa"/>
          </w:tcPr>
          <w:p w14:paraId="72A570B5">
            <w:pPr>
              <w:pStyle w:val="142"/>
              <w:spacing w:before="26"/>
              <w:ind w:left="624" w:right="618"/>
              <w:jc w:val="center"/>
              <w:rPr>
                <w:rFonts w:ascii="仿宋" w:hAnsi="仿宋" w:eastAsia="仿宋" w:cs="仿宋"/>
                <w:color w:val="auto"/>
                <w:highlight w:val="none"/>
              </w:rPr>
            </w:pPr>
            <w:r>
              <w:rPr>
                <w:rFonts w:hint="eastAsia" w:ascii="仿宋" w:hAnsi="仿宋" w:eastAsia="仿宋" w:cs="仿宋"/>
                <w:color w:val="auto"/>
                <w:highlight w:val="none"/>
              </w:rPr>
              <w:t>100 以下</w:t>
            </w:r>
          </w:p>
        </w:tc>
        <w:tc>
          <w:tcPr>
            <w:tcW w:w="2067" w:type="dxa"/>
          </w:tcPr>
          <w:p w14:paraId="40A168A9">
            <w:pPr>
              <w:pStyle w:val="142"/>
              <w:spacing w:before="26"/>
              <w:ind w:left="589" w:right="580"/>
              <w:jc w:val="center"/>
              <w:rPr>
                <w:rFonts w:ascii="仿宋" w:hAnsi="仿宋" w:eastAsia="仿宋" w:cs="仿宋"/>
                <w:color w:val="auto"/>
                <w:highlight w:val="none"/>
              </w:rPr>
            </w:pPr>
            <w:r>
              <w:rPr>
                <w:rFonts w:hint="eastAsia" w:ascii="仿宋" w:hAnsi="仿宋" w:eastAsia="仿宋" w:cs="仿宋"/>
                <w:color w:val="auto"/>
                <w:highlight w:val="none"/>
              </w:rPr>
              <w:t>1.5%</w:t>
            </w:r>
          </w:p>
        </w:tc>
        <w:tc>
          <w:tcPr>
            <w:tcW w:w="2067" w:type="dxa"/>
          </w:tcPr>
          <w:p w14:paraId="4CEA069D">
            <w:pPr>
              <w:pStyle w:val="142"/>
              <w:spacing w:before="26"/>
              <w:ind w:left="587" w:right="580"/>
              <w:jc w:val="center"/>
              <w:rPr>
                <w:rFonts w:ascii="仿宋" w:hAnsi="仿宋" w:eastAsia="仿宋" w:cs="仿宋"/>
                <w:color w:val="auto"/>
                <w:highlight w:val="none"/>
              </w:rPr>
            </w:pPr>
            <w:r>
              <w:rPr>
                <w:rFonts w:hint="eastAsia" w:ascii="仿宋" w:hAnsi="仿宋" w:eastAsia="仿宋" w:cs="仿宋"/>
                <w:color w:val="auto"/>
                <w:highlight w:val="none"/>
              </w:rPr>
              <w:t>1.5%</w:t>
            </w:r>
          </w:p>
        </w:tc>
        <w:tc>
          <w:tcPr>
            <w:tcW w:w="2067" w:type="dxa"/>
          </w:tcPr>
          <w:p w14:paraId="37CF5C28">
            <w:pPr>
              <w:pStyle w:val="142"/>
              <w:spacing w:before="26"/>
              <w:ind w:left="589" w:right="580"/>
              <w:jc w:val="center"/>
              <w:rPr>
                <w:rFonts w:ascii="仿宋" w:hAnsi="仿宋" w:eastAsia="仿宋" w:cs="仿宋"/>
                <w:color w:val="auto"/>
                <w:highlight w:val="none"/>
              </w:rPr>
            </w:pPr>
            <w:r>
              <w:rPr>
                <w:rFonts w:hint="eastAsia" w:ascii="仿宋" w:hAnsi="仿宋" w:eastAsia="仿宋" w:cs="仿宋"/>
                <w:color w:val="auto"/>
                <w:highlight w:val="none"/>
              </w:rPr>
              <w:t>1.0%</w:t>
            </w:r>
          </w:p>
        </w:tc>
      </w:tr>
      <w:tr w14:paraId="6EFEC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tcPr>
          <w:p w14:paraId="08EC485B">
            <w:pPr>
              <w:pStyle w:val="142"/>
              <w:spacing w:before="25"/>
              <w:ind w:left="625" w:right="618"/>
              <w:jc w:val="center"/>
              <w:rPr>
                <w:rFonts w:ascii="仿宋" w:hAnsi="仿宋" w:eastAsia="仿宋" w:cs="仿宋"/>
                <w:color w:val="auto"/>
                <w:highlight w:val="none"/>
              </w:rPr>
            </w:pPr>
            <w:r>
              <w:rPr>
                <w:rFonts w:hint="eastAsia" w:ascii="仿宋" w:hAnsi="仿宋" w:eastAsia="仿宋" w:cs="仿宋"/>
                <w:color w:val="auto"/>
                <w:highlight w:val="none"/>
              </w:rPr>
              <w:t>100-500</w:t>
            </w:r>
          </w:p>
        </w:tc>
        <w:tc>
          <w:tcPr>
            <w:tcW w:w="2067" w:type="dxa"/>
          </w:tcPr>
          <w:p w14:paraId="4030A22A">
            <w:pPr>
              <w:pStyle w:val="142"/>
              <w:spacing w:before="25"/>
              <w:ind w:left="589" w:right="580"/>
              <w:jc w:val="center"/>
              <w:rPr>
                <w:rFonts w:ascii="仿宋" w:hAnsi="仿宋" w:eastAsia="仿宋" w:cs="仿宋"/>
                <w:color w:val="auto"/>
                <w:highlight w:val="none"/>
              </w:rPr>
            </w:pPr>
            <w:r>
              <w:rPr>
                <w:rFonts w:hint="eastAsia" w:ascii="仿宋" w:hAnsi="仿宋" w:eastAsia="仿宋" w:cs="仿宋"/>
                <w:color w:val="auto"/>
                <w:highlight w:val="none"/>
              </w:rPr>
              <w:t>1.1%</w:t>
            </w:r>
          </w:p>
        </w:tc>
        <w:tc>
          <w:tcPr>
            <w:tcW w:w="2067" w:type="dxa"/>
          </w:tcPr>
          <w:p w14:paraId="47C82481">
            <w:pPr>
              <w:pStyle w:val="142"/>
              <w:spacing w:before="25"/>
              <w:ind w:left="587" w:right="580"/>
              <w:jc w:val="center"/>
              <w:rPr>
                <w:rFonts w:ascii="仿宋" w:hAnsi="仿宋" w:eastAsia="仿宋" w:cs="仿宋"/>
                <w:color w:val="auto"/>
                <w:highlight w:val="none"/>
              </w:rPr>
            </w:pPr>
            <w:r>
              <w:rPr>
                <w:rFonts w:hint="eastAsia" w:ascii="仿宋" w:hAnsi="仿宋" w:eastAsia="仿宋" w:cs="仿宋"/>
                <w:color w:val="auto"/>
                <w:highlight w:val="none"/>
              </w:rPr>
              <w:t>0.8%</w:t>
            </w:r>
          </w:p>
        </w:tc>
        <w:tc>
          <w:tcPr>
            <w:tcW w:w="2067" w:type="dxa"/>
          </w:tcPr>
          <w:p w14:paraId="2D23223D">
            <w:pPr>
              <w:pStyle w:val="142"/>
              <w:spacing w:before="25"/>
              <w:ind w:left="589" w:right="580"/>
              <w:jc w:val="center"/>
              <w:rPr>
                <w:rFonts w:ascii="仿宋" w:hAnsi="仿宋" w:eastAsia="仿宋" w:cs="仿宋"/>
                <w:color w:val="auto"/>
                <w:highlight w:val="none"/>
              </w:rPr>
            </w:pPr>
            <w:r>
              <w:rPr>
                <w:rFonts w:hint="eastAsia" w:ascii="仿宋" w:hAnsi="仿宋" w:eastAsia="仿宋" w:cs="仿宋"/>
                <w:color w:val="auto"/>
                <w:highlight w:val="none"/>
              </w:rPr>
              <w:t>0.7%</w:t>
            </w:r>
          </w:p>
        </w:tc>
      </w:tr>
      <w:tr w14:paraId="4769B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556" w:type="dxa"/>
          </w:tcPr>
          <w:p w14:paraId="570DEAE8">
            <w:pPr>
              <w:pStyle w:val="142"/>
              <w:spacing w:before="26"/>
              <w:ind w:left="627" w:right="618"/>
              <w:jc w:val="center"/>
              <w:rPr>
                <w:rFonts w:ascii="仿宋" w:hAnsi="仿宋" w:eastAsia="仿宋" w:cs="仿宋"/>
                <w:color w:val="auto"/>
                <w:highlight w:val="none"/>
              </w:rPr>
            </w:pPr>
            <w:r>
              <w:rPr>
                <w:rFonts w:hint="eastAsia" w:ascii="仿宋" w:hAnsi="仿宋" w:eastAsia="仿宋" w:cs="仿宋"/>
                <w:color w:val="auto"/>
                <w:highlight w:val="none"/>
              </w:rPr>
              <w:t>500-1000</w:t>
            </w:r>
          </w:p>
        </w:tc>
        <w:tc>
          <w:tcPr>
            <w:tcW w:w="2067" w:type="dxa"/>
          </w:tcPr>
          <w:p w14:paraId="70BDD734">
            <w:pPr>
              <w:pStyle w:val="142"/>
              <w:spacing w:before="26"/>
              <w:ind w:left="589" w:right="580"/>
              <w:jc w:val="center"/>
              <w:rPr>
                <w:rFonts w:ascii="仿宋" w:hAnsi="仿宋" w:eastAsia="仿宋" w:cs="仿宋"/>
                <w:color w:val="auto"/>
                <w:highlight w:val="none"/>
              </w:rPr>
            </w:pPr>
            <w:r>
              <w:rPr>
                <w:rFonts w:hint="eastAsia" w:ascii="仿宋" w:hAnsi="仿宋" w:eastAsia="仿宋" w:cs="仿宋"/>
                <w:color w:val="auto"/>
                <w:highlight w:val="none"/>
              </w:rPr>
              <w:t>0.8%</w:t>
            </w:r>
          </w:p>
        </w:tc>
        <w:tc>
          <w:tcPr>
            <w:tcW w:w="2067" w:type="dxa"/>
          </w:tcPr>
          <w:p w14:paraId="57BEEA8D">
            <w:pPr>
              <w:pStyle w:val="142"/>
              <w:spacing w:before="26"/>
              <w:ind w:left="590" w:right="580"/>
              <w:jc w:val="center"/>
              <w:rPr>
                <w:rFonts w:ascii="仿宋" w:hAnsi="仿宋" w:eastAsia="仿宋" w:cs="仿宋"/>
                <w:color w:val="auto"/>
                <w:highlight w:val="none"/>
              </w:rPr>
            </w:pPr>
            <w:r>
              <w:rPr>
                <w:rFonts w:hint="eastAsia" w:ascii="仿宋" w:hAnsi="仿宋" w:eastAsia="仿宋" w:cs="仿宋"/>
                <w:color w:val="auto"/>
                <w:highlight w:val="none"/>
              </w:rPr>
              <w:t>0.45%</w:t>
            </w:r>
          </w:p>
        </w:tc>
        <w:tc>
          <w:tcPr>
            <w:tcW w:w="2067" w:type="dxa"/>
          </w:tcPr>
          <w:p w14:paraId="04BEE1CC">
            <w:pPr>
              <w:pStyle w:val="142"/>
              <w:spacing w:before="26"/>
              <w:ind w:left="589" w:right="580"/>
              <w:jc w:val="center"/>
              <w:rPr>
                <w:rFonts w:ascii="仿宋" w:hAnsi="仿宋" w:eastAsia="仿宋" w:cs="仿宋"/>
                <w:color w:val="auto"/>
                <w:highlight w:val="none"/>
              </w:rPr>
            </w:pPr>
            <w:r>
              <w:rPr>
                <w:rFonts w:hint="eastAsia" w:ascii="仿宋" w:hAnsi="仿宋" w:eastAsia="仿宋" w:cs="仿宋"/>
                <w:color w:val="auto"/>
                <w:highlight w:val="none"/>
              </w:rPr>
              <w:t>0.55%</w:t>
            </w:r>
          </w:p>
        </w:tc>
      </w:tr>
      <w:tr w14:paraId="23FB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2556" w:type="dxa"/>
          </w:tcPr>
          <w:p w14:paraId="1C97E448">
            <w:pPr>
              <w:pStyle w:val="142"/>
              <w:spacing w:before="27"/>
              <w:ind w:left="627" w:right="618"/>
              <w:jc w:val="center"/>
              <w:rPr>
                <w:rFonts w:ascii="仿宋" w:hAnsi="仿宋" w:eastAsia="仿宋" w:cs="仿宋"/>
                <w:color w:val="auto"/>
                <w:highlight w:val="none"/>
              </w:rPr>
            </w:pPr>
            <w:r>
              <w:rPr>
                <w:rFonts w:hint="eastAsia" w:ascii="仿宋" w:hAnsi="仿宋" w:eastAsia="仿宋" w:cs="仿宋"/>
                <w:color w:val="auto"/>
                <w:highlight w:val="none"/>
              </w:rPr>
              <w:t>1000-5000</w:t>
            </w:r>
          </w:p>
        </w:tc>
        <w:tc>
          <w:tcPr>
            <w:tcW w:w="2067" w:type="dxa"/>
          </w:tcPr>
          <w:p w14:paraId="27094D88">
            <w:pPr>
              <w:pStyle w:val="142"/>
              <w:spacing w:before="27"/>
              <w:ind w:left="589" w:right="580"/>
              <w:jc w:val="center"/>
              <w:rPr>
                <w:rFonts w:ascii="仿宋" w:hAnsi="仿宋" w:eastAsia="仿宋" w:cs="仿宋"/>
                <w:color w:val="auto"/>
                <w:highlight w:val="none"/>
              </w:rPr>
            </w:pPr>
            <w:r>
              <w:rPr>
                <w:rFonts w:hint="eastAsia" w:ascii="仿宋" w:hAnsi="仿宋" w:eastAsia="仿宋" w:cs="仿宋"/>
                <w:color w:val="auto"/>
                <w:highlight w:val="none"/>
              </w:rPr>
              <w:t>0.5%</w:t>
            </w:r>
          </w:p>
        </w:tc>
        <w:tc>
          <w:tcPr>
            <w:tcW w:w="2067" w:type="dxa"/>
          </w:tcPr>
          <w:p w14:paraId="748AEF08">
            <w:pPr>
              <w:pStyle w:val="142"/>
              <w:spacing w:before="27"/>
              <w:ind w:left="590" w:right="580"/>
              <w:jc w:val="center"/>
              <w:rPr>
                <w:rFonts w:ascii="仿宋" w:hAnsi="仿宋" w:eastAsia="仿宋" w:cs="仿宋"/>
                <w:color w:val="auto"/>
                <w:highlight w:val="none"/>
              </w:rPr>
            </w:pPr>
            <w:r>
              <w:rPr>
                <w:rFonts w:hint="eastAsia" w:ascii="仿宋" w:hAnsi="仿宋" w:eastAsia="仿宋" w:cs="仿宋"/>
                <w:color w:val="auto"/>
                <w:highlight w:val="none"/>
              </w:rPr>
              <w:t>0.25%</w:t>
            </w:r>
          </w:p>
        </w:tc>
        <w:tc>
          <w:tcPr>
            <w:tcW w:w="2067" w:type="dxa"/>
          </w:tcPr>
          <w:p w14:paraId="72005962">
            <w:pPr>
              <w:pStyle w:val="142"/>
              <w:spacing w:before="27"/>
              <w:ind w:left="589" w:right="580"/>
              <w:jc w:val="center"/>
              <w:rPr>
                <w:rFonts w:ascii="仿宋" w:hAnsi="仿宋" w:eastAsia="仿宋" w:cs="仿宋"/>
                <w:color w:val="auto"/>
                <w:highlight w:val="none"/>
              </w:rPr>
            </w:pPr>
            <w:r>
              <w:rPr>
                <w:rFonts w:hint="eastAsia" w:ascii="仿宋" w:hAnsi="仿宋" w:eastAsia="仿宋" w:cs="仿宋"/>
                <w:color w:val="auto"/>
                <w:highlight w:val="none"/>
              </w:rPr>
              <w:t>0.35%</w:t>
            </w:r>
          </w:p>
        </w:tc>
      </w:tr>
      <w:tr w14:paraId="078C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2556" w:type="dxa"/>
          </w:tcPr>
          <w:p w14:paraId="75D6C74C">
            <w:pPr>
              <w:pStyle w:val="142"/>
              <w:spacing w:before="25"/>
              <w:ind w:left="627" w:right="618"/>
              <w:jc w:val="center"/>
              <w:rPr>
                <w:rFonts w:ascii="仿宋" w:hAnsi="仿宋" w:eastAsia="仿宋" w:cs="仿宋"/>
                <w:color w:val="auto"/>
                <w:highlight w:val="none"/>
              </w:rPr>
            </w:pPr>
            <w:r>
              <w:rPr>
                <w:rFonts w:hint="eastAsia" w:ascii="仿宋" w:hAnsi="仿宋" w:eastAsia="仿宋" w:cs="仿宋"/>
                <w:color w:val="auto"/>
                <w:highlight w:val="none"/>
              </w:rPr>
              <w:t>5000-10000</w:t>
            </w:r>
          </w:p>
        </w:tc>
        <w:tc>
          <w:tcPr>
            <w:tcW w:w="2067" w:type="dxa"/>
          </w:tcPr>
          <w:p w14:paraId="28F41343">
            <w:pPr>
              <w:pStyle w:val="142"/>
              <w:spacing w:before="25"/>
              <w:ind w:left="586" w:right="580"/>
              <w:jc w:val="center"/>
              <w:rPr>
                <w:rFonts w:ascii="仿宋" w:hAnsi="仿宋" w:eastAsia="仿宋" w:cs="仿宋"/>
                <w:color w:val="auto"/>
                <w:highlight w:val="none"/>
              </w:rPr>
            </w:pPr>
            <w:r>
              <w:rPr>
                <w:rFonts w:hint="eastAsia" w:ascii="仿宋" w:hAnsi="仿宋" w:eastAsia="仿宋" w:cs="仿宋"/>
                <w:color w:val="auto"/>
                <w:highlight w:val="none"/>
              </w:rPr>
              <w:t>0.25%</w:t>
            </w:r>
          </w:p>
        </w:tc>
        <w:tc>
          <w:tcPr>
            <w:tcW w:w="2067" w:type="dxa"/>
          </w:tcPr>
          <w:p w14:paraId="540228E6">
            <w:pPr>
              <w:pStyle w:val="142"/>
              <w:spacing w:before="25"/>
              <w:ind w:left="587" w:right="580"/>
              <w:jc w:val="center"/>
              <w:rPr>
                <w:rFonts w:ascii="仿宋" w:hAnsi="仿宋" w:eastAsia="仿宋" w:cs="仿宋"/>
                <w:color w:val="auto"/>
                <w:highlight w:val="none"/>
              </w:rPr>
            </w:pPr>
            <w:r>
              <w:rPr>
                <w:rFonts w:hint="eastAsia" w:ascii="仿宋" w:hAnsi="仿宋" w:eastAsia="仿宋" w:cs="仿宋"/>
                <w:color w:val="auto"/>
                <w:highlight w:val="none"/>
              </w:rPr>
              <w:t>0.1%</w:t>
            </w:r>
          </w:p>
        </w:tc>
        <w:tc>
          <w:tcPr>
            <w:tcW w:w="2067" w:type="dxa"/>
          </w:tcPr>
          <w:p w14:paraId="1983E9D4">
            <w:pPr>
              <w:pStyle w:val="142"/>
              <w:spacing w:before="25"/>
              <w:ind w:left="589" w:right="580"/>
              <w:jc w:val="center"/>
              <w:rPr>
                <w:rFonts w:ascii="仿宋" w:hAnsi="仿宋" w:eastAsia="仿宋" w:cs="仿宋"/>
                <w:color w:val="auto"/>
                <w:highlight w:val="none"/>
              </w:rPr>
            </w:pPr>
            <w:r>
              <w:rPr>
                <w:rFonts w:hint="eastAsia" w:ascii="仿宋" w:hAnsi="仿宋" w:eastAsia="仿宋" w:cs="仿宋"/>
                <w:color w:val="auto"/>
                <w:highlight w:val="none"/>
              </w:rPr>
              <w:t>0.2%</w:t>
            </w:r>
          </w:p>
        </w:tc>
      </w:tr>
      <w:tr w14:paraId="73E1E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556" w:type="dxa"/>
          </w:tcPr>
          <w:p w14:paraId="3BDA4389">
            <w:pPr>
              <w:pStyle w:val="142"/>
              <w:spacing w:before="26"/>
              <w:ind w:left="627" w:right="618"/>
              <w:jc w:val="center"/>
              <w:rPr>
                <w:rFonts w:ascii="仿宋" w:hAnsi="仿宋" w:eastAsia="仿宋" w:cs="仿宋"/>
                <w:color w:val="auto"/>
                <w:highlight w:val="none"/>
              </w:rPr>
            </w:pPr>
            <w:r>
              <w:rPr>
                <w:rFonts w:hint="eastAsia" w:ascii="仿宋" w:hAnsi="仿宋" w:eastAsia="仿宋" w:cs="仿宋"/>
                <w:color w:val="auto"/>
                <w:highlight w:val="none"/>
              </w:rPr>
              <w:t>10000-100000</w:t>
            </w:r>
          </w:p>
        </w:tc>
        <w:tc>
          <w:tcPr>
            <w:tcW w:w="2067" w:type="dxa"/>
          </w:tcPr>
          <w:p w14:paraId="331EB038">
            <w:pPr>
              <w:pStyle w:val="142"/>
              <w:spacing w:before="26"/>
              <w:ind w:left="586" w:right="580"/>
              <w:jc w:val="center"/>
              <w:rPr>
                <w:rFonts w:ascii="仿宋" w:hAnsi="仿宋" w:eastAsia="仿宋" w:cs="仿宋"/>
                <w:color w:val="auto"/>
                <w:highlight w:val="none"/>
              </w:rPr>
            </w:pPr>
            <w:r>
              <w:rPr>
                <w:rFonts w:hint="eastAsia" w:ascii="仿宋" w:hAnsi="仿宋" w:eastAsia="仿宋" w:cs="仿宋"/>
                <w:color w:val="auto"/>
                <w:highlight w:val="none"/>
              </w:rPr>
              <w:t>0.05%</w:t>
            </w:r>
          </w:p>
        </w:tc>
        <w:tc>
          <w:tcPr>
            <w:tcW w:w="2067" w:type="dxa"/>
          </w:tcPr>
          <w:p w14:paraId="30FEF7B8">
            <w:pPr>
              <w:pStyle w:val="142"/>
              <w:spacing w:before="26"/>
              <w:ind w:left="590" w:right="580"/>
              <w:jc w:val="center"/>
              <w:rPr>
                <w:rFonts w:ascii="仿宋" w:hAnsi="仿宋" w:eastAsia="仿宋" w:cs="仿宋"/>
                <w:color w:val="auto"/>
                <w:highlight w:val="none"/>
              </w:rPr>
            </w:pPr>
            <w:r>
              <w:rPr>
                <w:rFonts w:hint="eastAsia" w:ascii="仿宋" w:hAnsi="仿宋" w:eastAsia="仿宋" w:cs="仿宋"/>
                <w:color w:val="auto"/>
                <w:highlight w:val="none"/>
              </w:rPr>
              <w:t>0.05%</w:t>
            </w:r>
          </w:p>
        </w:tc>
        <w:tc>
          <w:tcPr>
            <w:tcW w:w="2067" w:type="dxa"/>
          </w:tcPr>
          <w:p w14:paraId="3E28AA20">
            <w:pPr>
              <w:pStyle w:val="142"/>
              <w:spacing w:before="26"/>
              <w:ind w:left="589" w:right="580"/>
              <w:jc w:val="center"/>
              <w:rPr>
                <w:rFonts w:ascii="仿宋" w:hAnsi="仿宋" w:eastAsia="仿宋" w:cs="仿宋"/>
                <w:color w:val="auto"/>
                <w:highlight w:val="none"/>
              </w:rPr>
            </w:pPr>
            <w:r>
              <w:rPr>
                <w:rFonts w:hint="eastAsia" w:ascii="仿宋" w:hAnsi="仿宋" w:eastAsia="仿宋" w:cs="仿宋"/>
                <w:color w:val="auto"/>
                <w:highlight w:val="none"/>
              </w:rPr>
              <w:t>0.05%</w:t>
            </w:r>
          </w:p>
        </w:tc>
      </w:tr>
    </w:tbl>
    <w:p w14:paraId="7E8D2837">
      <w:pPr>
        <w:adjustRightInd w:val="0"/>
        <w:snapToGrid w:val="0"/>
        <w:spacing w:line="440" w:lineRule="exact"/>
        <w:ind w:firstLine="482" w:firstLineChars="200"/>
        <w:rPr>
          <w:rFonts w:asciiTheme="minorEastAsia" w:hAnsiTheme="minorEastAsia" w:eastAsiaTheme="minorEastAsia"/>
          <w:b/>
          <w:color w:val="auto"/>
          <w:sz w:val="24"/>
        </w:rPr>
      </w:pPr>
    </w:p>
    <w:p w14:paraId="2F97E165">
      <w:pPr>
        <w:ind w:firstLine="904"/>
        <w:rPr>
          <w:color w:val="auto"/>
        </w:rPr>
      </w:pPr>
      <w:r>
        <w:rPr>
          <w:rFonts w:asciiTheme="minorEastAsia" w:hAnsiTheme="minorEastAsia" w:eastAsiaTheme="minorEastAsia"/>
          <w:b/>
          <w:color w:val="auto"/>
          <w:sz w:val="36"/>
          <w:szCs w:val="36"/>
        </w:rPr>
        <w:br w:type="page"/>
      </w:r>
    </w:p>
    <w:p w14:paraId="1C894C55">
      <w:pPr>
        <w:numPr>
          <w:ilvl w:val="0"/>
          <w:numId w:val="6"/>
        </w:numPr>
        <w:spacing w:line="420" w:lineRule="exact"/>
        <w:ind w:firstLine="904"/>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评标办法及评分标准</w:t>
      </w:r>
    </w:p>
    <w:p w14:paraId="03B9DF9E">
      <w:pPr>
        <w:autoSpaceDE w:val="0"/>
        <w:autoSpaceDN w:val="0"/>
        <w:spacing w:line="360" w:lineRule="exact"/>
        <w:ind w:firstLine="480" w:firstLineChars="200"/>
        <w:rPr>
          <w:rStyle w:val="151"/>
          <w:rFonts w:ascii="宋体" w:hAnsi="宋体"/>
          <w:b/>
          <w:i/>
          <w:color w:val="auto"/>
          <w:kern w:val="0"/>
          <w:sz w:val="24"/>
        </w:rPr>
      </w:pPr>
      <w:r>
        <w:rPr>
          <w:rFonts w:hint="eastAsia" w:ascii="宋体" w:hAnsi="宋体"/>
          <w:color w:val="auto"/>
          <w:kern w:val="0"/>
          <w:sz w:val="24"/>
        </w:rPr>
        <w:t>一、</w:t>
      </w:r>
      <w:r>
        <w:rPr>
          <w:rStyle w:val="151"/>
          <w:rFonts w:ascii="宋体" w:hAnsi="宋体"/>
          <w:color w:val="auto"/>
          <w:kern w:val="0"/>
          <w:sz w:val="24"/>
        </w:rPr>
        <w:t>采购组织机构将组织评标委员会</w:t>
      </w:r>
      <w:r>
        <w:rPr>
          <w:rStyle w:val="151"/>
          <w:rFonts w:hint="eastAsia" w:ascii="宋体" w:hAnsi="宋体"/>
          <w:color w:val="auto"/>
          <w:kern w:val="0"/>
          <w:sz w:val="24"/>
        </w:rPr>
        <w:t>，</w:t>
      </w:r>
      <w:r>
        <w:rPr>
          <w:rStyle w:val="151"/>
          <w:rFonts w:ascii="宋体" w:hAnsi="宋体"/>
          <w:color w:val="auto"/>
          <w:kern w:val="0"/>
          <w:sz w:val="24"/>
        </w:rPr>
        <w:t>对投标人提供的投标文件进行综合评审</w:t>
      </w:r>
      <w:r>
        <w:rPr>
          <w:rFonts w:hint="eastAsia" w:ascii="宋体" w:hAnsi="宋体"/>
          <w:color w:val="auto"/>
          <w:kern w:val="0"/>
          <w:sz w:val="24"/>
        </w:rPr>
        <w:t>。</w:t>
      </w:r>
    </w:p>
    <w:p w14:paraId="027558A8">
      <w:pPr>
        <w:autoSpaceDE w:val="0"/>
        <w:autoSpaceDN w:val="0"/>
        <w:spacing w:line="360" w:lineRule="exact"/>
        <w:ind w:firstLine="480" w:firstLineChars="200"/>
        <w:rPr>
          <w:rFonts w:ascii="宋体" w:hAnsi="宋体"/>
          <w:color w:val="auto"/>
          <w:kern w:val="0"/>
          <w:sz w:val="24"/>
        </w:rPr>
      </w:pPr>
      <w:r>
        <w:rPr>
          <w:rFonts w:hint="eastAsia" w:ascii="宋体" w:hAnsi="宋体"/>
          <w:color w:val="auto"/>
          <w:kern w:val="0"/>
          <w:sz w:val="24"/>
        </w:rPr>
        <w:t>二、本次招标项目的评标方法为综合评分法，总计100分。评标标准按以下3项内容及分值进行评审。</w:t>
      </w:r>
    </w:p>
    <w:tbl>
      <w:tblPr>
        <w:tblStyle w:val="26"/>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7"/>
        <w:gridCol w:w="3045"/>
      </w:tblGrid>
      <w:tr w14:paraId="7233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617" w:type="dxa"/>
            <w:tcBorders>
              <w:tl2br w:val="single" w:color="auto" w:sz="4" w:space="0"/>
            </w:tcBorders>
            <w:noWrap/>
          </w:tcPr>
          <w:p w14:paraId="64F12864">
            <w:pPr>
              <w:autoSpaceDE w:val="0"/>
              <w:autoSpaceDN w:val="0"/>
              <w:adjustRightInd w:val="0"/>
              <w:spacing w:line="440" w:lineRule="exact"/>
              <w:jc w:val="left"/>
              <w:rPr>
                <w:rFonts w:ascii="宋体" w:hAnsi="宋体" w:cs="Arial"/>
                <w:color w:val="auto"/>
                <w:sz w:val="24"/>
              </w:rPr>
            </w:pPr>
            <w:r>
              <w:rPr>
                <w:rFonts w:hint="eastAsia" w:ascii="宋体" w:hAnsi="宋体" w:cs="Arial"/>
                <w:color w:val="auto"/>
                <w:sz w:val="24"/>
              </w:rPr>
              <w:t xml:space="preserve">                     标段</w:t>
            </w:r>
          </w:p>
          <w:p w14:paraId="775E0240">
            <w:pPr>
              <w:autoSpaceDE w:val="0"/>
              <w:autoSpaceDN w:val="0"/>
              <w:adjustRightInd w:val="0"/>
              <w:spacing w:line="440" w:lineRule="exact"/>
              <w:jc w:val="left"/>
              <w:rPr>
                <w:rFonts w:ascii="宋体" w:hAnsi="宋体" w:cs="Arial"/>
                <w:color w:val="auto"/>
                <w:sz w:val="24"/>
              </w:rPr>
            </w:pPr>
            <w:r>
              <w:rPr>
                <w:rFonts w:hint="eastAsia" w:ascii="宋体" w:hAnsi="宋体" w:cs="Arial"/>
                <w:color w:val="auto"/>
                <w:sz w:val="24"/>
              </w:rPr>
              <w:t>类别</w:t>
            </w:r>
          </w:p>
        </w:tc>
        <w:tc>
          <w:tcPr>
            <w:tcW w:w="3045" w:type="dxa"/>
            <w:noWrap/>
            <w:vAlign w:val="center"/>
          </w:tcPr>
          <w:p w14:paraId="010D3D2B">
            <w:pPr>
              <w:autoSpaceDE w:val="0"/>
              <w:autoSpaceDN w:val="0"/>
              <w:adjustRightInd w:val="0"/>
              <w:spacing w:line="440" w:lineRule="exact"/>
              <w:jc w:val="center"/>
              <w:rPr>
                <w:rFonts w:ascii="宋体" w:hAnsi="宋体" w:cs="Arial"/>
                <w:color w:val="auto"/>
                <w:sz w:val="24"/>
              </w:rPr>
            </w:pPr>
            <w:r>
              <w:rPr>
                <w:rFonts w:ascii="宋体" w:hAnsi="宋体" w:cs="Arial"/>
                <w:color w:val="auto"/>
                <w:sz w:val="24"/>
              </w:rPr>
              <w:fldChar w:fldCharType="begin"/>
            </w:r>
            <w:r>
              <w:rPr>
                <w:rFonts w:hint="eastAsia" w:ascii="宋体" w:hAnsi="宋体" w:cs="Arial"/>
                <w:color w:val="auto"/>
                <w:sz w:val="24"/>
              </w:rPr>
              <w:instrText xml:space="preserve">= 1 \* CHINESENUM3</w:instrText>
            </w:r>
            <w:r>
              <w:rPr>
                <w:rFonts w:ascii="宋体" w:hAnsi="宋体" w:cs="Arial"/>
                <w:color w:val="auto"/>
                <w:sz w:val="24"/>
              </w:rPr>
              <w:fldChar w:fldCharType="separate"/>
            </w:r>
            <w:r>
              <w:rPr>
                <w:rFonts w:hint="eastAsia" w:ascii="宋体" w:hAnsi="宋体" w:cs="Arial"/>
                <w:color w:val="auto"/>
                <w:sz w:val="24"/>
              </w:rPr>
              <w:t>一</w:t>
            </w:r>
            <w:r>
              <w:rPr>
                <w:rFonts w:ascii="宋体" w:hAnsi="宋体" w:cs="Arial"/>
                <w:color w:val="auto"/>
                <w:sz w:val="24"/>
              </w:rPr>
              <w:fldChar w:fldCharType="end"/>
            </w:r>
          </w:p>
        </w:tc>
      </w:tr>
      <w:tr w14:paraId="7EE4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617" w:type="dxa"/>
            <w:noWrap/>
            <w:vAlign w:val="center"/>
          </w:tcPr>
          <w:p w14:paraId="2B1F67F9">
            <w:pPr>
              <w:autoSpaceDE w:val="0"/>
              <w:autoSpaceDN w:val="0"/>
              <w:adjustRightInd w:val="0"/>
              <w:spacing w:line="440" w:lineRule="exact"/>
              <w:jc w:val="center"/>
              <w:rPr>
                <w:rFonts w:ascii="宋体" w:hAnsi="宋体"/>
                <w:bCs/>
                <w:color w:val="auto"/>
                <w:sz w:val="24"/>
              </w:rPr>
            </w:pPr>
            <w:r>
              <w:rPr>
                <w:rFonts w:hint="eastAsia" w:ascii="宋体" w:hAnsi="宋体"/>
                <w:bCs/>
                <w:color w:val="auto"/>
                <w:sz w:val="24"/>
              </w:rPr>
              <w:t>技术</w:t>
            </w:r>
          </w:p>
        </w:tc>
        <w:tc>
          <w:tcPr>
            <w:tcW w:w="3045" w:type="dxa"/>
            <w:noWrap/>
            <w:vAlign w:val="center"/>
          </w:tcPr>
          <w:p w14:paraId="03F75C49">
            <w:pPr>
              <w:autoSpaceDE w:val="0"/>
              <w:autoSpaceDN w:val="0"/>
              <w:adjustRightInd w:val="0"/>
              <w:spacing w:line="440" w:lineRule="exact"/>
              <w:jc w:val="center"/>
              <w:rPr>
                <w:rFonts w:ascii="宋体" w:hAnsi="宋体"/>
                <w:bCs/>
                <w:color w:val="auto"/>
                <w:sz w:val="24"/>
              </w:rPr>
            </w:pPr>
            <w:r>
              <w:rPr>
                <w:rFonts w:hint="eastAsia" w:ascii="宋体" w:hAnsi="宋体"/>
                <w:bCs/>
                <w:color w:val="auto"/>
                <w:sz w:val="24"/>
              </w:rPr>
              <w:t>65分</w:t>
            </w:r>
          </w:p>
        </w:tc>
      </w:tr>
      <w:tr w14:paraId="4FA4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617" w:type="dxa"/>
            <w:noWrap/>
            <w:vAlign w:val="center"/>
          </w:tcPr>
          <w:p w14:paraId="0E511788">
            <w:pPr>
              <w:autoSpaceDE w:val="0"/>
              <w:autoSpaceDN w:val="0"/>
              <w:adjustRightInd w:val="0"/>
              <w:spacing w:line="440" w:lineRule="exact"/>
              <w:jc w:val="center"/>
              <w:rPr>
                <w:rFonts w:ascii="宋体" w:hAnsi="宋体"/>
                <w:bCs/>
                <w:color w:val="auto"/>
                <w:sz w:val="24"/>
              </w:rPr>
            </w:pPr>
            <w:r>
              <w:rPr>
                <w:rFonts w:hint="eastAsia" w:ascii="宋体" w:hAnsi="宋体"/>
                <w:bCs/>
                <w:color w:val="auto"/>
                <w:sz w:val="24"/>
              </w:rPr>
              <w:t>商务</w:t>
            </w:r>
          </w:p>
        </w:tc>
        <w:tc>
          <w:tcPr>
            <w:tcW w:w="3045" w:type="dxa"/>
            <w:noWrap/>
            <w:vAlign w:val="center"/>
          </w:tcPr>
          <w:p w14:paraId="0A097AB0">
            <w:pPr>
              <w:autoSpaceDE w:val="0"/>
              <w:autoSpaceDN w:val="0"/>
              <w:adjustRightInd w:val="0"/>
              <w:spacing w:line="440" w:lineRule="exact"/>
              <w:jc w:val="center"/>
              <w:rPr>
                <w:rFonts w:ascii="宋体" w:hAnsi="宋体"/>
                <w:bCs/>
                <w:color w:val="auto"/>
                <w:sz w:val="24"/>
              </w:rPr>
            </w:pPr>
            <w:r>
              <w:rPr>
                <w:rFonts w:hint="eastAsia" w:ascii="宋体" w:hAnsi="宋体"/>
                <w:bCs/>
                <w:color w:val="auto"/>
                <w:sz w:val="24"/>
              </w:rPr>
              <w:t>25分</w:t>
            </w:r>
          </w:p>
        </w:tc>
      </w:tr>
      <w:tr w14:paraId="28FA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617" w:type="dxa"/>
            <w:noWrap/>
            <w:vAlign w:val="center"/>
          </w:tcPr>
          <w:p w14:paraId="6C866FBF">
            <w:pPr>
              <w:autoSpaceDE w:val="0"/>
              <w:autoSpaceDN w:val="0"/>
              <w:adjustRightInd w:val="0"/>
              <w:spacing w:line="440" w:lineRule="exact"/>
              <w:jc w:val="center"/>
              <w:rPr>
                <w:rFonts w:ascii="宋体" w:hAnsi="宋体"/>
                <w:bCs/>
                <w:color w:val="auto"/>
                <w:sz w:val="24"/>
              </w:rPr>
            </w:pPr>
            <w:r>
              <w:rPr>
                <w:rFonts w:hint="eastAsia" w:ascii="宋体" w:hAnsi="宋体"/>
                <w:bCs/>
                <w:color w:val="auto"/>
                <w:sz w:val="24"/>
              </w:rPr>
              <w:t>价格</w:t>
            </w:r>
          </w:p>
        </w:tc>
        <w:tc>
          <w:tcPr>
            <w:tcW w:w="3045" w:type="dxa"/>
            <w:noWrap/>
            <w:vAlign w:val="center"/>
          </w:tcPr>
          <w:p w14:paraId="0272A741">
            <w:pPr>
              <w:autoSpaceDE w:val="0"/>
              <w:autoSpaceDN w:val="0"/>
              <w:adjustRightInd w:val="0"/>
              <w:spacing w:line="440" w:lineRule="exact"/>
              <w:jc w:val="center"/>
              <w:rPr>
                <w:rFonts w:ascii="宋体" w:hAnsi="宋体"/>
                <w:bCs/>
                <w:color w:val="auto"/>
                <w:sz w:val="24"/>
              </w:rPr>
            </w:pPr>
            <w:r>
              <w:rPr>
                <w:rFonts w:hint="eastAsia" w:ascii="宋体" w:hAnsi="宋体"/>
                <w:bCs/>
                <w:color w:val="auto"/>
                <w:sz w:val="24"/>
              </w:rPr>
              <w:t>10分</w:t>
            </w:r>
          </w:p>
        </w:tc>
      </w:tr>
    </w:tbl>
    <w:p w14:paraId="032292EF">
      <w:pPr>
        <w:autoSpaceDE w:val="0"/>
        <w:autoSpaceDN w:val="0"/>
        <w:adjustRightInd w:val="0"/>
        <w:spacing w:line="380" w:lineRule="exact"/>
        <w:ind w:right="84" w:firstLine="600"/>
        <w:rPr>
          <w:rFonts w:ascii="宋体"/>
          <w:bCs/>
          <w:color w:val="auto"/>
          <w:sz w:val="24"/>
          <w:lang w:val="zh-CN"/>
        </w:rPr>
      </w:pPr>
    </w:p>
    <w:p w14:paraId="3DD1BD33">
      <w:pPr>
        <w:autoSpaceDE w:val="0"/>
        <w:autoSpaceDN w:val="0"/>
        <w:adjustRightInd w:val="0"/>
        <w:spacing w:line="380" w:lineRule="exact"/>
        <w:ind w:right="84" w:firstLine="600"/>
        <w:rPr>
          <w:rFonts w:ascii="宋体"/>
          <w:bCs/>
          <w:color w:val="auto"/>
          <w:sz w:val="24"/>
          <w:lang w:val="zh-CN"/>
        </w:rPr>
      </w:pPr>
      <w:r>
        <w:rPr>
          <w:rFonts w:hint="eastAsia" w:ascii="宋体"/>
          <w:bCs/>
          <w:color w:val="auto"/>
          <w:sz w:val="24"/>
          <w:lang w:val="zh-CN"/>
        </w:rPr>
        <w:t>（一）商务与技术文件中的客观分由评标委员会讨论后统一打分；其余在规定的分值内单独评定打分。</w:t>
      </w:r>
    </w:p>
    <w:p w14:paraId="17F66D45">
      <w:pPr>
        <w:autoSpaceDE w:val="0"/>
        <w:autoSpaceDN w:val="0"/>
        <w:adjustRightInd w:val="0"/>
        <w:spacing w:line="380" w:lineRule="exact"/>
        <w:ind w:right="84" w:firstLine="600"/>
        <w:rPr>
          <w:rFonts w:ascii="宋体"/>
          <w:bCs/>
          <w:color w:val="auto"/>
          <w:sz w:val="24"/>
          <w:shd w:val="clear" w:color="FFFFFF" w:fill="D9D9D9"/>
          <w:lang w:val="zh-CN"/>
        </w:rPr>
      </w:pPr>
      <w:r>
        <w:rPr>
          <w:rFonts w:hint="eastAsia" w:ascii="宋体"/>
          <w:bCs/>
          <w:color w:val="auto"/>
          <w:sz w:val="24"/>
          <w:lang w:val="zh-CN"/>
        </w:rPr>
        <w:t>（二）各投标人商务与技术文件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员的独立评分结果汇总后的算术平均分计算，计算公式为：</w:t>
      </w:r>
    </w:p>
    <w:p w14:paraId="381FA221">
      <w:pPr>
        <w:autoSpaceDE w:val="0"/>
        <w:autoSpaceDN w:val="0"/>
        <w:adjustRightInd w:val="0"/>
        <w:spacing w:line="380" w:lineRule="exact"/>
        <w:ind w:right="84" w:firstLine="600"/>
        <w:rPr>
          <w:rFonts w:ascii="宋体"/>
          <w:bCs/>
          <w:color w:val="auto"/>
          <w:sz w:val="24"/>
          <w:shd w:val="clear" w:color="FFFFFF" w:fill="D9D9D9"/>
          <w:lang w:val="zh-CN"/>
        </w:rPr>
      </w:pPr>
      <w:r>
        <w:rPr>
          <w:rFonts w:hint="eastAsia" w:ascii="宋体" w:hAnsi="宋体"/>
          <w:color w:val="auto"/>
          <w:sz w:val="24"/>
        </w:rPr>
        <w:t>商务与技术文件得分</w:t>
      </w:r>
      <w:r>
        <w:rPr>
          <w:rFonts w:hint="eastAsia" w:ascii="宋体"/>
          <w:bCs/>
          <w:color w:val="auto"/>
          <w:sz w:val="24"/>
          <w:lang w:val="zh-CN"/>
        </w:rPr>
        <w:t>=评标委员会所有成员评分合计数/评标委员会组成人员数。</w:t>
      </w:r>
    </w:p>
    <w:p w14:paraId="1FC8A1A9">
      <w:pPr>
        <w:autoSpaceDE w:val="0"/>
        <w:autoSpaceDN w:val="0"/>
        <w:adjustRightInd w:val="0"/>
        <w:spacing w:line="380" w:lineRule="exact"/>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投标报价得分采用低价优先法计算，即满足招标文件要求且投标价格最低的投标报价为评标基准价，其报价得满分。其他投标人的投标报价得分按下列公式计算：</w:t>
      </w:r>
    </w:p>
    <w:p w14:paraId="6173CD66">
      <w:pPr>
        <w:autoSpaceDE w:val="0"/>
        <w:autoSpaceDN w:val="0"/>
        <w:adjustRightInd w:val="0"/>
        <w:spacing w:line="400" w:lineRule="exact"/>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分=(评标基准价／投</w:t>
      </w:r>
      <w:r>
        <w:rPr>
          <w:rFonts w:ascii="宋体" w:hAnsi="宋体"/>
          <w:color w:val="auto"/>
          <w:sz w:val="24"/>
          <w:u w:val="single"/>
        </w:rPr>
        <w:t>标报价)×</w:t>
      </w:r>
      <w:r>
        <w:rPr>
          <w:rFonts w:hint="eastAsia" w:ascii="宋体" w:hAnsi="宋体"/>
          <w:color w:val="auto"/>
          <w:sz w:val="24"/>
          <w:u w:val="single"/>
        </w:rPr>
        <w:t>10%</w:t>
      </w:r>
      <w:r>
        <w:rPr>
          <w:rFonts w:ascii="宋体" w:hAnsi="宋体"/>
          <w:color w:val="auto"/>
          <w:sz w:val="24"/>
          <w:u w:val="single"/>
        </w:rPr>
        <w:t>×100</w:t>
      </w:r>
      <w:r>
        <w:rPr>
          <w:rFonts w:hint="eastAsia" w:ascii="宋体" w:hAnsi="宋体"/>
          <w:color w:val="auto"/>
          <w:sz w:val="24"/>
          <w:u w:val="single"/>
        </w:rPr>
        <w:t>。</w:t>
      </w:r>
    </w:p>
    <w:p w14:paraId="4B9E8EA4">
      <w:pPr>
        <w:autoSpaceDE w:val="0"/>
        <w:autoSpaceDN w:val="0"/>
        <w:adjustRightInd w:val="0"/>
        <w:spacing w:line="360" w:lineRule="exact"/>
        <w:ind w:right="84" w:firstLine="600"/>
        <w:rPr>
          <w:rFonts w:ascii="宋体"/>
          <w:bCs/>
          <w:color w:val="auto"/>
          <w:sz w:val="24"/>
          <w:shd w:val="clear" w:color="FFFFFF" w:fill="D9D9D9"/>
          <w:lang w:val="zh-CN"/>
        </w:rPr>
      </w:pPr>
      <w:r>
        <w:rPr>
          <w:rFonts w:hint="eastAsia" w:ascii="宋体"/>
          <w:color w:val="auto"/>
          <w:sz w:val="24"/>
          <w:lang w:val="zh-CN"/>
        </w:rPr>
        <w:t>注：得分以系统计算为准，保留2位小数。</w:t>
      </w:r>
    </w:p>
    <w:p w14:paraId="08C0E4B7">
      <w:pPr>
        <w:autoSpaceDE w:val="0"/>
        <w:autoSpaceDN w:val="0"/>
        <w:adjustRightInd w:val="0"/>
        <w:spacing w:line="360" w:lineRule="exact"/>
        <w:ind w:right="85" w:firstLine="480" w:firstLineChars="200"/>
        <w:rPr>
          <w:rFonts w:ascii="宋体"/>
          <w:color w:val="auto"/>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三、在最大限度地满足招标文件实质性要求前提下，评标委员会按照招标文件中规定的各项因素进行综合评审后，以评标总得分最高的投标人为中标候选人。</w:t>
      </w:r>
    </w:p>
    <w:p w14:paraId="77374F1B">
      <w:pPr>
        <w:autoSpaceDE w:val="0"/>
        <w:autoSpaceDN w:val="0"/>
        <w:adjustRightInd w:val="0"/>
        <w:spacing w:line="380" w:lineRule="exact"/>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四、如综合得分相同，投标报价低者为先；如综合得分且投标报价相同的，货物类采购项目以技术性能得分较高者为先，服务类采购项目以实力信誉及业绩得分较高者为先。</w:t>
      </w:r>
    </w:p>
    <w:p w14:paraId="1F3FF74A">
      <w:pPr>
        <w:autoSpaceDE w:val="0"/>
        <w:autoSpaceDN w:val="0"/>
        <w:adjustRightInd w:val="0"/>
        <w:spacing w:line="400" w:lineRule="exact"/>
        <w:ind w:right="85" w:firstLine="480" w:firstLineChars="200"/>
        <w:rPr>
          <w:rFonts w:ascii="宋体"/>
          <w:color w:val="auto"/>
          <w:sz w:val="24"/>
          <w:lang w:val="zh-CN"/>
        </w:rPr>
      </w:pPr>
      <w:r>
        <w:rPr>
          <w:rFonts w:hint="eastAsia" w:ascii="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207AAE8">
      <w:pPr>
        <w:autoSpaceDE w:val="0"/>
        <w:autoSpaceDN w:val="0"/>
        <w:adjustRightInd w:val="0"/>
        <w:spacing w:line="380" w:lineRule="exact"/>
        <w:ind w:right="85" w:firstLine="480" w:firstLineChars="200"/>
        <w:rPr>
          <w:rFonts w:ascii="宋体"/>
          <w:color w:val="auto"/>
          <w:sz w:val="24"/>
          <w:lang w:val="zh-CN"/>
        </w:rPr>
      </w:pPr>
      <w:r>
        <w:rPr>
          <w:rFonts w:hint="eastAsia" w:ascii="宋体"/>
          <w:color w:val="auto"/>
          <w:sz w:val="24"/>
          <w:lang w:val="zh-CN"/>
        </w:rPr>
        <w:t>六、评标委员会不向未中标单位解释落标具体原因，不退还投标文件。</w:t>
      </w:r>
    </w:p>
    <w:p w14:paraId="14D7ECB7">
      <w:pPr>
        <w:autoSpaceDE w:val="0"/>
        <w:autoSpaceDN w:val="0"/>
        <w:adjustRightInd w:val="0"/>
        <w:spacing w:line="380" w:lineRule="exact"/>
        <w:ind w:right="85" w:firstLine="480" w:firstLineChars="200"/>
        <w:rPr>
          <w:rFonts w:ascii="宋体"/>
          <w:color w:val="auto"/>
          <w:sz w:val="24"/>
          <w:lang w:val="zh-CN"/>
        </w:rPr>
      </w:pPr>
      <w:r>
        <w:rPr>
          <w:rFonts w:hint="eastAsia" w:ascii="宋体"/>
          <w:color w:val="auto"/>
          <w:sz w:val="24"/>
          <w:lang w:val="zh-CN"/>
        </w:rPr>
        <w:t>七、本次评分具体分值细化条款如下表：</w:t>
      </w:r>
    </w:p>
    <w:tbl>
      <w:tblPr>
        <w:tblStyle w:val="26"/>
        <w:tblpPr w:leftFromText="180" w:rightFromText="180" w:vertAnchor="text" w:horzAnchor="page" w:tblpX="1310" w:tblpY="582"/>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25"/>
        <w:gridCol w:w="1317"/>
        <w:gridCol w:w="6338"/>
        <w:gridCol w:w="775"/>
      </w:tblGrid>
      <w:tr w14:paraId="1B33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64" w:hRule="atLeast"/>
        </w:trPr>
        <w:tc>
          <w:tcPr>
            <w:tcW w:w="9255" w:type="dxa"/>
            <w:gridSpan w:val="4"/>
            <w:shd w:val="clear" w:color="auto" w:fill="FFFFFF"/>
            <w:noWrap/>
            <w:tcMar>
              <w:top w:w="0" w:type="dxa"/>
              <w:left w:w="108" w:type="dxa"/>
              <w:bottom w:w="0" w:type="dxa"/>
              <w:right w:w="108" w:type="dxa"/>
            </w:tcMar>
            <w:vAlign w:val="center"/>
          </w:tcPr>
          <w:p w14:paraId="519117A5">
            <w:pPr>
              <w:widowControl/>
              <w:spacing w:before="100" w:beforeAutospacing="1" w:after="100" w:afterAutospacing="1" w:line="306" w:lineRule="atLeast"/>
              <w:ind w:firstLine="602"/>
              <w:jc w:val="center"/>
              <w:rPr>
                <w:rFonts w:ascii="宋体" w:hAnsi="宋体" w:cs="宋体"/>
                <w:color w:val="auto"/>
                <w:kern w:val="0"/>
                <w:sz w:val="24"/>
              </w:rPr>
            </w:pPr>
            <w:r>
              <w:rPr>
                <w:rFonts w:ascii="宋体" w:hAnsi="宋体" w:cs="宋体"/>
                <w:b/>
                <w:bCs/>
                <w:color w:val="auto"/>
                <w:kern w:val="0"/>
                <w:sz w:val="24"/>
              </w:rPr>
              <w:t>评分标准、评价内容</w:t>
            </w:r>
          </w:p>
        </w:tc>
      </w:tr>
      <w:tr w14:paraId="4717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96" w:hRule="atLeast"/>
        </w:trPr>
        <w:tc>
          <w:tcPr>
            <w:tcW w:w="825" w:type="dxa"/>
            <w:vMerge w:val="restart"/>
            <w:shd w:val="clear" w:color="auto" w:fill="FFFFFF"/>
            <w:noWrap/>
            <w:tcMar>
              <w:top w:w="0" w:type="dxa"/>
              <w:left w:w="108" w:type="dxa"/>
              <w:bottom w:w="0" w:type="dxa"/>
              <w:right w:w="108" w:type="dxa"/>
            </w:tcMar>
            <w:vAlign w:val="center"/>
          </w:tcPr>
          <w:p w14:paraId="735E12ED">
            <w:pPr>
              <w:widowControl/>
              <w:spacing w:before="100" w:beforeAutospacing="1" w:after="100" w:afterAutospacing="1" w:line="306" w:lineRule="atLeast"/>
              <w:jc w:val="left"/>
              <w:rPr>
                <w:rFonts w:ascii="宋体" w:hAnsi="宋体" w:cs="宋体"/>
                <w:b/>
                <w:bCs/>
                <w:color w:val="auto"/>
                <w:kern w:val="0"/>
                <w:sz w:val="24"/>
              </w:rPr>
            </w:pPr>
            <w:r>
              <w:rPr>
                <w:rFonts w:hint="eastAsia" w:ascii="宋体" w:hAnsi="宋体" w:cs="宋体"/>
                <w:b/>
                <w:bCs/>
                <w:color w:val="auto"/>
                <w:kern w:val="0"/>
                <w:sz w:val="24"/>
                <w:lang w:val="en-US" w:eastAsia="zh-CN"/>
              </w:rPr>
              <w:t>商</w:t>
            </w:r>
            <w:r>
              <w:rPr>
                <w:rFonts w:ascii="宋体" w:hAnsi="宋体" w:cs="宋体"/>
                <w:b/>
                <w:bCs/>
                <w:color w:val="auto"/>
                <w:kern w:val="0"/>
                <w:sz w:val="24"/>
              </w:rPr>
              <w:t>务</w:t>
            </w:r>
          </w:p>
          <w:p w14:paraId="0F41668F">
            <w:pPr>
              <w:widowControl/>
              <w:spacing w:before="100" w:beforeAutospacing="1" w:after="100" w:afterAutospacing="1" w:line="306" w:lineRule="atLeast"/>
              <w:jc w:val="left"/>
              <w:rPr>
                <w:rFonts w:ascii="宋体" w:hAnsi="宋体" w:cs="宋体"/>
                <w:color w:val="auto"/>
                <w:kern w:val="0"/>
                <w:sz w:val="24"/>
              </w:rPr>
            </w:pPr>
            <w:r>
              <w:rPr>
                <w:rFonts w:hint="eastAsia" w:ascii="宋体" w:hAnsi="宋体" w:cs="宋体"/>
                <w:b/>
                <w:bCs/>
                <w:color w:val="auto"/>
                <w:kern w:val="0"/>
                <w:sz w:val="24"/>
              </w:rPr>
              <w:t>25</w:t>
            </w:r>
            <w:r>
              <w:rPr>
                <w:rFonts w:ascii="宋体" w:hAnsi="宋体" w:cs="宋体"/>
                <w:b/>
                <w:bCs/>
                <w:color w:val="auto"/>
                <w:kern w:val="0"/>
                <w:sz w:val="24"/>
              </w:rPr>
              <w:t>分</w:t>
            </w:r>
          </w:p>
        </w:tc>
        <w:tc>
          <w:tcPr>
            <w:tcW w:w="1317" w:type="dxa"/>
            <w:shd w:val="clear" w:color="auto" w:fill="FFFFFF"/>
            <w:noWrap/>
            <w:tcMar>
              <w:top w:w="0" w:type="dxa"/>
              <w:left w:w="108" w:type="dxa"/>
              <w:bottom w:w="0" w:type="dxa"/>
              <w:right w:w="108" w:type="dxa"/>
            </w:tcMar>
            <w:vAlign w:val="center"/>
          </w:tcPr>
          <w:p w14:paraId="1E94198F">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olor w:val="auto"/>
                <w:sz w:val="24"/>
              </w:rPr>
              <w:t>公司荣誉情况</w:t>
            </w:r>
          </w:p>
        </w:tc>
        <w:tc>
          <w:tcPr>
            <w:tcW w:w="6338" w:type="dxa"/>
            <w:shd w:val="clear" w:color="auto" w:fill="FFFFFF"/>
            <w:noWrap/>
            <w:tcMar>
              <w:top w:w="0" w:type="dxa"/>
              <w:left w:w="108" w:type="dxa"/>
              <w:bottom w:w="0" w:type="dxa"/>
              <w:right w:w="108" w:type="dxa"/>
            </w:tcMar>
            <w:vAlign w:val="center"/>
          </w:tcPr>
          <w:p w14:paraId="4BBD1E30">
            <w:pPr>
              <w:widowControl/>
              <w:spacing w:before="100" w:beforeAutospacing="1" w:after="100" w:afterAutospacing="1" w:line="306" w:lineRule="atLeast"/>
              <w:jc w:val="left"/>
              <w:rPr>
                <w:rFonts w:ascii="宋体" w:hAnsi="宋体" w:cs="宋体"/>
                <w:color w:val="auto"/>
                <w:kern w:val="0"/>
                <w:sz w:val="24"/>
              </w:rPr>
            </w:pPr>
            <w:r>
              <w:rPr>
                <w:rFonts w:hint="eastAsia" w:ascii="宋体" w:hAnsi="宋体"/>
                <w:color w:val="auto"/>
                <w:sz w:val="24"/>
              </w:rPr>
              <w:t>投标人自2021年1月1日以来获得行业主管部门颁发荣誉，得到省级部门荣誉得3分，市级部门荣誉得2分，区（县）级部门荣誉得1分，取最高等级不累计得分，本项最高得3分。（提供相关证明文件复印件加盖公章）</w:t>
            </w:r>
          </w:p>
        </w:tc>
        <w:tc>
          <w:tcPr>
            <w:tcW w:w="775" w:type="dxa"/>
            <w:shd w:val="clear" w:color="auto" w:fill="FFFFFF"/>
            <w:noWrap/>
            <w:tcMar>
              <w:top w:w="0" w:type="dxa"/>
              <w:left w:w="108" w:type="dxa"/>
              <w:bottom w:w="0" w:type="dxa"/>
              <w:right w:w="108" w:type="dxa"/>
            </w:tcMar>
            <w:vAlign w:val="center"/>
          </w:tcPr>
          <w:p w14:paraId="5A9F8EF5">
            <w:pPr>
              <w:widowControl/>
              <w:spacing w:before="100" w:beforeAutospacing="1" w:after="100" w:afterAutospacing="1" w:line="306" w:lineRule="atLeast"/>
              <w:jc w:val="center"/>
              <w:rPr>
                <w:rFonts w:ascii="宋体" w:hAnsi="宋体"/>
                <w:color w:val="auto"/>
                <w:sz w:val="24"/>
              </w:rPr>
            </w:pPr>
            <w:r>
              <w:rPr>
                <w:rFonts w:hint="eastAsia" w:ascii="宋体" w:hAnsi="宋体" w:cs="宋体"/>
                <w:color w:val="auto"/>
                <w:kern w:val="0"/>
                <w:sz w:val="24"/>
              </w:rPr>
              <w:t>3分</w:t>
            </w:r>
          </w:p>
        </w:tc>
      </w:tr>
      <w:tr w14:paraId="77C1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2" w:hRule="atLeast"/>
        </w:trPr>
        <w:tc>
          <w:tcPr>
            <w:tcW w:w="825" w:type="dxa"/>
            <w:vMerge w:val="continue"/>
            <w:shd w:val="clear" w:color="auto" w:fill="FFFFFF"/>
            <w:noWrap/>
            <w:vAlign w:val="center"/>
          </w:tcPr>
          <w:p w14:paraId="62AD1698">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372A6E0D">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体系认证</w:t>
            </w:r>
          </w:p>
        </w:tc>
        <w:tc>
          <w:tcPr>
            <w:tcW w:w="6338" w:type="dxa"/>
            <w:shd w:val="clear" w:color="auto" w:fill="FFFFFF"/>
            <w:noWrap/>
            <w:tcMar>
              <w:top w:w="0" w:type="dxa"/>
              <w:left w:w="108" w:type="dxa"/>
              <w:bottom w:w="0" w:type="dxa"/>
              <w:right w:w="108" w:type="dxa"/>
            </w:tcMar>
            <w:vAlign w:val="center"/>
          </w:tcPr>
          <w:p w14:paraId="48A5C3C9">
            <w:pPr>
              <w:pStyle w:val="4"/>
              <w:ind w:left="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投标人具有质量管理体系认证书（ISO 9001）、职业健康安全管理体系认证证书（ISO 45001）、环境管理体系认证证书（ISO 14001）且在有效期内的，得1分。</w:t>
            </w:r>
          </w:p>
          <w:p w14:paraId="755F7A0D">
            <w:pPr>
              <w:pStyle w:val="4"/>
              <w:ind w:left="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具有养老服务认证5A证书（GB/T37276、RB/T303）的，得1分。</w:t>
            </w:r>
          </w:p>
          <w:p w14:paraId="51DB2514">
            <w:pPr>
              <w:pStyle w:val="4"/>
              <w:ind w:left="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具有居家养老、托管养护、养护服务所涉及的相关人员的培训管理活动认证（GB/T19025）的得1分。</w:t>
            </w:r>
          </w:p>
          <w:p w14:paraId="3B917E0D">
            <w:pPr>
              <w:pStyle w:val="4"/>
              <w:ind w:left="0"/>
              <w:rPr>
                <w:rFonts w:ascii="宋体" w:hAnsi="宋体"/>
                <w:color w:val="auto"/>
                <w:sz w:val="24"/>
                <w:szCs w:val="24"/>
              </w:rPr>
            </w:pPr>
            <w:r>
              <w:rPr>
                <w:rFonts w:hint="eastAsia" w:ascii="宋体" w:hAnsi="宋体"/>
                <w:color w:val="auto"/>
                <w:sz w:val="24"/>
                <w:szCs w:val="24"/>
              </w:rPr>
              <w:t>本项满分3分。</w:t>
            </w:r>
          </w:p>
          <w:p w14:paraId="517F12A5">
            <w:pPr>
              <w:pStyle w:val="4"/>
              <w:ind w:left="0"/>
              <w:rPr>
                <w:rFonts w:ascii="宋体" w:hAnsi="宋体"/>
                <w:color w:val="auto"/>
                <w:sz w:val="24"/>
              </w:rPr>
            </w:pPr>
            <w:r>
              <w:rPr>
                <w:rFonts w:hint="eastAsia" w:ascii="宋体" w:hAnsi="宋体"/>
                <w:color w:val="auto"/>
                <w:sz w:val="24"/>
                <w:szCs w:val="24"/>
              </w:rPr>
              <w:t>（提供有效证书扫描件并加盖公章，不提供的不得分）</w:t>
            </w:r>
          </w:p>
        </w:tc>
        <w:tc>
          <w:tcPr>
            <w:tcW w:w="775" w:type="dxa"/>
            <w:shd w:val="clear" w:color="auto" w:fill="FFFFFF"/>
            <w:noWrap/>
            <w:tcMar>
              <w:top w:w="0" w:type="dxa"/>
              <w:left w:w="108" w:type="dxa"/>
              <w:bottom w:w="0" w:type="dxa"/>
              <w:right w:w="108" w:type="dxa"/>
            </w:tcMar>
            <w:vAlign w:val="center"/>
          </w:tcPr>
          <w:p w14:paraId="5838F09F">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3分</w:t>
            </w:r>
          </w:p>
        </w:tc>
      </w:tr>
      <w:tr w14:paraId="49E0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04" w:hRule="atLeast"/>
        </w:trPr>
        <w:tc>
          <w:tcPr>
            <w:tcW w:w="825" w:type="dxa"/>
            <w:vMerge w:val="continue"/>
            <w:shd w:val="clear" w:color="auto" w:fill="FFFFFF"/>
            <w:noWrap/>
            <w:vAlign w:val="center"/>
          </w:tcPr>
          <w:p w14:paraId="712FD324">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2BC4D48F">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投标人业绩</w:t>
            </w:r>
          </w:p>
        </w:tc>
        <w:tc>
          <w:tcPr>
            <w:tcW w:w="6338" w:type="dxa"/>
            <w:shd w:val="clear" w:color="auto" w:fill="FFFFFF"/>
            <w:noWrap/>
            <w:tcMar>
              <w:top w:w="0" w:type="dxa"/>
              <w:left w:w="108" w:type="dxa"/>
              <w:bottom w:w="0" w:type="dxa"/>
              <w:right w:w="108" w:type="dxa"/>
            </w:tcMar>
            <w:vAlign w:val="center"/>
          </w:tcPr>
          <w:p w14:paraId="25CCA32D">
            <w:pPr>
              <w:widowControl/>
              <w:spacing w:before="100" w:beforeAutospacing="1" w:after="100" w:afterAutospacing="1" w:line="306" w:lineRule="atLeast"/>
              <w:jc w:val="left"/>
              <w:rPr>
                <w:rFonts w:ascii="宋体" w:hAnsi="宋体"/>
                <w:color w:val="auto"/>
                <w:sz w:val="24"/>
              </w:rPr>
            </w:pPr>
            <w:r>
              <w:rPr>
                <w:rFonts w:hint="eastAsia" w:ascii="宋体" w:hAnsi="宋体"/>
                <w:color w:val="auto"/>
                <w:sz w:val="24"/>
              </w:rPr>
              <w:t>投标人自2021年1月1日（以合同签订日期为准）至今，承接过类似残疾人护理外包服务项目业绩的每个得0.5分，最高得1分。须提供合同复印件并加盖投标人公章。</w:t>
            </w:r>
          </w:p>
        </w:tc>
        <w:tc>
          <w:tcPr>
            <w:tcW w:w="775" w:type="dxa"/>
            <w:shd w:val="clear" w:color="auto" w:fill="FFFFFF"/>
            <w:noWrap/>
            <w:tcMar>
              <w:top w:w="0" w:type="dxa"/>
              <w:left w:w="108" w:type="dxa"/>
              <w:bottom w:w="0" w:type="dxa"/>
              <w:right w:w="108" w:type="dxa"/>
            </w:tcMar>
            <w:vAlign w:val="center"/>
          </w:tcPr>
          <w:p w14:paraId="5232F031">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olor w:val="auto"/>
                <w:sz w:val="24"/>
              </w:rPr>
              <w:t>1分</w:t>
            </w:r>
          </w:p>
        </w:tc>
      </w:tr>
      <w:tr w14:paraId="3ED0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9" w:hRule="atLeast"/>
        </w:trPr>
        <w:tc>
          <w:tcPr>
            <w:tcW w:w="825" w:type="dxa"/>
            <w:vMerge w:val="continue"/>
            <w:shd w:val="clear" w:color="auto" w:fill="FFFFFF"/>
            <w:noWrap/>
            <w:vAlign w:val="center"/>
          </w:tcPr>
          <w:p w14:paraId="2F1F1A15">
            <w:pPr>
              <w:widowControl/>
              <w:jc w:val="left"/>
              <w:rPr>
                <w:rFonts w:ascii="宋体" w:hAnsi="宋体" w:cs="宋体"/>
                <w:color w:val="auto"/>
                <w:kern w:val="0"/>
                <w:sz w:val="24"/>
              </w:rPr>
            </w:pPr>
          </w:p>
        </w:tc>
        <w:tc>
          <w:tcPr>
            <w:tcW w:w="1317" w:type="dxa"/>
            <w:vMerge w:val="restart"/>
            <w:shd w:val="clear" w:color="auto" w:fill="FFFFFF"/>
            <w:noWrap/>
            <w:tcMar>
              <w:top w:w="0" w:type="dxa"/>
              <w:left w:w="108" w:type="dxa"/>
              <w:bottom w:w="0" w:type="dxa"/>
              <w:right w:w="108" w:type="dxa"/>
            </w:tcMar>
            <w:vAlign w:val="center"/>
          </w:tcPr>
          <w:p w14:paraId="5B0B792E">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人员证书</w:t>
            </w:r>
          </w:p>
        </w:tc>
        <w:tc>
          <w:tcPr>
            <w:tcW w:w="6338" w:type="dxa"/>
            <w:shd w:val="clear" w:color="auto" w:fill="FFFFFF"/>
            <w:noWrap/>
            <w:tcMar>
              <w:top w:w="0" w:type="dxa"/>
              <w:left w:w="108" w:type="dxa"/>
              <w:bottom w:w="0" w:type="dxa"/>
              <w:right w:w="108" w:type="dxa"/>
            </w:tcMar>
            <w:vAlign w:val="center"/>
          </w:tcPr>
          <w:p w14:paraId="5DAE73FB">
            <w:pPr>
              <w:widowControl/>
              <w:spacing w:before="100" w:beforeAutospacing="1" w:after="100" w:afterAutospacing="1" w:line="306" w:lineRule="atLeast"/>
              <w:jc w:val="left"/>
              <w:rPr>
                <w:rFonts w:ascii="宋体" w:hAnsi="宋体"/>
                <w:color w:val="auto"/>
                <w:kern w:val="0"/>
                <w:sz w:val="24"/>
              </w:rPr>
            </w:pPr>
            <w:r>
              <w:rPr>
                <w:rFonts w:hint="eastAsia" w:ascii="宋体" w:hAnsi="宋体"/>
                <w:color w:val="auto"/>
                <w:kern w:val="0"/>
                <w:sz w:val="24"/>
              </w:rPr>
              <w:t>拟担任本项目负责人资质能力及是否具有类似项目实施经验；</w:t>
            </w:r>
          </w:p>
          <w:p w14:paraId="10B7EA5D">
            <w:pPr>
              <w:widowControl/>
              <w:spacing w:before="100" w:beforeAutospacing="1" w:after="100" w:afterAutospacing="1" w:line="306" w:lineRule="atLeast"/>
              <w:jc w:val="left"/>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具有医学类相关专业本科及以上学历，（需同时提供学历证书，学信网查询证明或其他证明材料），得1分；</w:t>
            </w:r>
          </w:p>
          <w:p w14:paraId="2200457A">
            <w:pPr>
              <w:widowControl/>
              <w:spacing w:before="100" w:beforeAutospacing="1" w:after="100" w:afterAutospacing="1" w:line="306" w:lineRule="atLeast"/>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持有《助理社会工作师》及以上证书，得1分；</w:t>
            </w:r>
          </w:p>
          <w:p w14:paraId="6A9AF13A">
            <w:pPr>
              <w:widowControl/>
              <w:spacing w:before="100" w:beforeAutospacing="1" w:after="100" w:afterAutospacing="1" w:line="306" w:lineRule="atLeast"/>
              <w:jc w:val="left"/>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具有人力资源及社会保障局颁发</w:t>
            </w:r>
            <w:r>
              <w:rPr>
                <w:rFonts w:hint="eastAsia" w:ascii="宋体" w:hAnsi="宋体"/>
                <w:b/>
                <w:bCs/>
                <w:color w:val="auto"/>
                <w:kern w:val="0"/>
                <w:sz w:val="24"/>
              </w:rPr>
              <w:t>（人社部认证的第三方评价机构颁发）</w:t>
            </w:r>
            <w:r>
              <w:rPr>
                <w:rFonts w:hint="eastAsia" w:ascii="宋体" w:hAnsi="宋体"/>
                <w:color w:val="auto"/>
                <w:kern w:val="0"/>
                <w:sz w:val="24"/>
              </w:rPr>
              <w:t>的高级（三级）《养老护理员》资格证书，得1分；</w:t>
            </w:r>
          </w:p>
          <w:p w14:paraId="4236A465">
            <w:pPr>
              <w:widowControl/>
              <w:spacing w:before="100" w:beforeAutospacing="1" w:after="100" w:afterAutospacing="1" w:line="306" w:lineRule="atLeast"/>
              <w:jc w:val="left"/>
              <w:rPr>
                <w:rFonts w:ascii="宋体" w:hAnsi="宋体"/>
                <w:color w:val="auto"/>
                <w:sz w:val="24"/>
              </w:rPr>
            </w:pPr>
            <w:r>
              <w:rPr>
                <w:rFonts w:ascii="宋体" w:hAnsi="宋体"/>
                <w:color w:val="auto"/>
                <w:sz w:val="24"/>
              </w:rPr>
              <w:t>4、</w:t>
            </w:r>
            <w:r>
              <w:rPr>
                <w:rFonts w:hint="eastAsia" w:ascii="宋体" w:hAnsi="宋体"/>
                <w:color w:val="auto"/>
                <w:kern w:val="0"/>
                <w:sz w:val="24"/>
              </w:rPr>
              <w:t>具有人力资源及社会保障局颁发</w:t>
            </w:r>
            <w:r>
              <w:rPr>
                <w:rFonts w:hint="eastAsia" w:ascii="宋体" w:hAnsi="宋体"/>
                <w:b/>
                <w:bCs/>
                <w:color w:val="auto"/>
                <w:kern w:val="0"/>
                <w:sz w:val="24"/>
              </w:rPr>
              <w:t>（人社部认证的第三方评价机构颁发）</w:t>
            </w:r>
            <w:r>
              <w:rPr>
                <w:rFonts w:hint="eastAsia" w:ascii="宋体" w:hAnsi="宋体"/>
                <w:color w:val="auto"/>
                <w:kern w:val="0"/>
                <w:sz w:val="24"/>
              </w:rPr>
              <w:t>的高级（三级）《健康照护师》资格证书，得1分；</w:t>
            </w:r>
          </w:p>
          <w:p w14:paraId="7206D172">
            <w:pPr>
              <w:widowControl/>
              <w:spacing w:before="100" w:beforeAutospacing="1" w:after="100" w:afterAutospacing="1" w:line="306" w:lineRule="atLeast"/>
              <w:jc w:val="left"/>
              <w:rPr>
                <w:rFonts w:ascii="宋体" w:hAnsi="宋体"/>
                <w:color w:val="auto"/>
                <w:sz w:val="24"/>
              </w:rPr>
            </w:pPr>
            <w:r>
              <w:rPr>
                <w:rFonts w:ascii="宋体" w:hAnsi="宋体"/>
                <w:color w:val="auto"/>
                <w:sz w:val="24"/>
              </w:rPr>
              <w:t>5、</w:t>
            </w:r>
            <w:r>
              <w:rPr>
                <w:rFonts w:hint="eastAsia" w:ascii="宋体" w:hAnsi="宋体"/>
                <w:color w:val="auto"/>
                <w:kern w:val="0"/>
                <w:sz w:val="24"/>
              </w:rPr>
              <w:t>具有3年以上相关工作经验，得1分。(需提供3个月及以上社保证明，不提供不得分)</w:t>
            </w:r>
          </w:p>
        </w:tc>
        <w:tc>
          <w:tcPr>
            <w:tcW w:w="775" w:type="dxa"/>
            <w:shd w:val="clear" w:color="auto" w:fill="FFFFFF"/>
            <w:noWrap/>
            <w:tcMar>
              <w:top w:w="0" w:type="dxa"/>
              <w:left w:w="108" w:type="dxa"/>
              <w:bottom w:w="0" w:type="dxa"/>
              <w:right w:w="108" w:type="dxa"/>
            </w:tcMar>
            <w:vAlign w:val="center"/>
          </w:tcPr>
          <w:p w14:paraId="1A02F8DF">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5分</w:t>
            </w:r>
          </w:p>
        </w:tc>
      </w:tr>
      <w:tr w14:paraId="1C18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59" w:hRule="atLeast"/>
        </w:trPr>
        <w:tc>
          <w:tcPr>
            <w:tcW w:w="825" w:type="dxa"/>
            <w:vMerge w:val="continue"/>
            <w:shd w:val="clear" w:color="auto" w:fill="FFFFFF"/>
            <w:noWrap/>
            <w:vAlign w:val="center"/>
          </w:tcPr>
          <w:p w14:paraId="4BCA4CA6">
            <w:pPr>
              <w:widowControl/>
              <w:jc w:val="left"/>
              <w:rPr>
                <w:rFonts w:ascii="宋体" w:hAnsi="宋体" w:cs="宋体"/>
                <w:color w:val="auto"/>
                <w:kern w:val="0"/>
                <w:sz w:val="24"/>
              </w:rPr>
            </w:pPr>
          </w:p>
        </w:tc>
        <w:tc>
          <w:tcPr>
            <w:tcW w:w="1317" w:type="dxa"/>
            <w:vMerge w:val="continue"/>
            <w:shd w:val="clear" w:color="auto" w:fill="FFFFFF"/>
            <w:noWrap/>
            <w:tcMar>
              <w:top w:w="0" w:type="dxa"/>
              <w:left w:w="108" w:type="dxa"/>
              <w:bottom w:w="0" w:type="dxa"/>
              <w:right w:w="108" w:type="dxa"/>
            </w:tcMar>
            <w:vAlign w:val="center"/>
          </w:tcPr>
          <w:p w14:paraId="68358AD4">
            <w:pPr>
              <w:widowControl/>
              <w:spacing w:before="100" w:beforeAutospacing="1" w:after="100" w:afterAutospacing="1" w:line="306" w:lineRule="atLeast"/>
              <w:jc w:val="left"/>
              <w:rPr>
                <w:rFonts w:ascii="宋体" w:hAnsi="宋体"/>
                <w:color w:val="auto"/>
                <w:sz w:val="24"/>
              </w:rPr>
            </w:pPr>
          </w:p>
        </w:tc>
        <w:tc>
          <w:tcPr>
            <w:tcW w:w="6338" w:type="dxa"/>
            <w:shd w:val="clear" w:color="auto" w:fill="FFFFFF"/>
            <w:noWrap/>
            <w:tcMar>
              <w:top w:w="0" w:type="dxa"/>
              <w:left w:w="108" w:type="dxa"/>
              <w:bottom w:w="0" w:type="dxa"/>
              <w:right w:w="108" w:type="dxa"/>
            </w:tcMar>
            <w:vAlign w:val="center"/>
          </w:tcPr>
          <w:p w14:paraId="398D07A6">
            <w:pPr>
              <w:spacing w:line="240" w:lineRule="atLeast"/>
              <w:jc w:val="left"/>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护理人员持证上岗情况（除项目负责人）。</w:t>
            </w:r>
            <w:r>
              <w:rPr>
                <w:rFonts w:hint="eastAsia" w:ascii="宋体" w:hAnsi="宋体"/>
                <w:b/>
                <w:bCs/>
                <w:color w:val="auto"/>
                <w:kern w:val="0"/>
                <w:sz w:val="24"/>
              </w:rPr>
              <w:t>提供人力资源和社会保障局颁发（人社部认证的第三方评价机构颁发）的养老护理员证件复印件(加盖公章)作为评审依据</w:t>
            </w:r>
            <w:r>
              <w:rPr>
                <w:rFonts w:hint="eastAsia" w:ascii="宋体" w:hAnsi="宋体"/>
                <w:color w:val="auto"/>
                <w:kern w:val="0"/>
                <w:sz w:val="24"/>
              </w:rPr>
              <w:t>，人员与证件复印件须一一对应，只提供人员名单而无证件复印件评审时不予认可。持证护理人员人数15人(含)以上的，得4分；10人至14人的，得3分；5人至9人的，得1分；5人以下（不含5人）的，不得分。(需提供3个月及以上社保缴纳证明，不提供不得分) ；</w:t>
            </w:r>
          </w:p>
          <w:p w14:paraId="1020AAF8">
            <w:pPr>
              <w:spacing w:line="240" w:lineRule="atLeast"/>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拟派团队中具有高级养老护理员证书的，每有一本得1分，最高得3分(需提供3个月及以上社保缴纳证明，不提供不得分)；</w:t>
            </w:r>
          </w:p>
          <w:p w14:paraId="65872ECC">
            <w:pPr>
              <w:spacing w:line="240" w:lineRule="atLeast"/>
              <w:jc w:val="left"/>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拟派团队中具有《助理社会工作师》及以上证书,每有一本得1分，最高得2分(需提供3个月及以上社保缴纳证明，不提供不得分)；</w:t>
            </w:r>
          </w:p>
          <w:p w14:paraId="64E06641">
            <w:pPr>
              <w:pStyle w:val="2"/>
              <w:ind w:firstLine="0" w:firstLineChars="0"/>
              <w:rPr>
                <w:color w:val="auto"/>
              </w:rPr>
            </w:pPr>
            <w:r>
              <w:rPr>
                <w:color w:val="auto"/>
              </w:rPr>
              <w:t>4、</w:t>
            </w:r>
            <w:r>
              <w:rPr>
                <w:rFonts w:hint="eastAsia"/>
                <w:color w:val="auto"/>
              </w:rPr>
              <w:t>项目服务团队成员持护士资格证书的，每有一本得1分，最高得2分；</w:t>
            </w:r>
          </w:p>
          <w:p w14:paraId="4AC9D331">
            <w:pPr>
              <w:pStyle w:val="4"/>
              <w:ind w:left="0"/>
              <w:rPr>
                <w:color w:val="auto"/>
              </w:rPr>
            </w:pPr>
            <w:r>
              <w:rPr>
                <w:rFonts w:hint="eastAsia" w:ascii="宋体" w:hAnsi="宋体"/>
                <w:color w:val="auto"/>
                <w:sz w:val="24"/>
                <w:szCs w:val="24"/>
              </w:rPr>
              <w:t>5、项目服务团队成员持四级（中级工）消防设施操作员，得2分。</w:t>
            </w:r>
          </w:p>
        </w:tc>
        <w:tc>
          <w:tcPr>
            <w:tcW w:w="775" w:type="dxa"/>
            <w:shd w:val="clear" w:color="auto" w:fill="FFFFFF"/>
            <w:noWrap/>
            <w:tcMar>
              <w:top w:w="0" w:type="dxa"/>
              <w:left w:w="108" w:type="dxa"/>
              <w:bottom w:w="0" w:type="dxa"/>
              <w:right w:w="108" w:type="dxa"/>
            </w:tcMar>
            <w:vAlign w:val="center"/>
          </w:tcPr>
          <w:p w14:paraId="362AF364">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rPr>
              <w:t>13分</w:t>
            </w:r>
          </w:p>
        </w:tc>
      </w:tr>
      <w:tr w14:paraId="07F8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60" w:hRule="atLeast"/>
        </w:trPr>
        <w:tc>
          <w:tcPr>
            <w:tcW w:w="825" w:type="dxa"/>
            <w:vMerge w:val="restart"/>
            <w:shd w:val="clear" w:color="auto" w:fill="FFFFFF"/>
            <w:noWrap/>
            <w:tcMar>
              <w:top w:w="0" w:type="dxa"/>
              <w:left w:w="108" w:type="dxa"/>
              <w:bottom w:w="0" w:type="dxa"/>
              <w:right w:w="108" w:type="dxa"/>
            </w:tcMar>
            <w:vAlign w:val="center"/>
          </w:tcPr>
          <w:p w14:paraId="762C7054">
            <w:pPr>
              <w:widowControl/>
              <w:spacing w:before="100" w:beforeAutospacing="1" w:after="100" w:afterAutospacing="1" w:line="306" w:lineRule="atLeast"/>
              <w:jc w:val="both"/>
              <w:rPr>
                <w:rFonts w:ascii="宋体" w:hAnsi="宋体" w:cs="宋体"/>
                <w:color w:val="auto"/>
                <w:kern w:val="0"/>
                <w:sz w:val="24"/>
              </w:rPr>
            </w:pPr>
            <w:r>
              <w:rPr>
                <w:rFonts w:ascii="宋体" w:hAnsi="宋体" w:cs="宋体"/>
                <w:b/>
                <w:bCs/>
                <w:color w:val="auto"/>
                <w:kern w:val="0"/>
                <w:sz w:val="24"/>
              </w:rPr>
              <w:t>技术</w:t>
            </w:r>
          </w:p>
          <w:p w14:paraId="48739E21">
            <w:pPr>
              <w:widowControl/>
              <w:spacing w:before="100" w:beforeAutospacing="1" w:after="100" w:afterAutospacing="1" w:line="306" w:lineRule="atLeast"/>
              <w:jc w:val="both"/>
              <w:rPr>
                <w:rFonts w:ascii="宋体" w:hAnsi="宋体" w:cs="宋体"/>
                <w:color w:val="auto"/>
                <w:kern w:val="0"/>
                <w:sz w:val="24"/>
              </w:rPr>
            </w:pPr>
            <w:r>
              <w:rPr>
                <w:rFonts w:hint="eastAsia" w:ascii="宋体" w:hAnsi="宋体" w:cs="宋体"/>
                <w:b/>
                <w:bCs/>
                <w:color w:val="auto"/>
                <w:kern w:val="0"/>
                <w:sz w:val="24"/>
              </w:rPr>
              <w:t>65</w:t>
            </w:r>
            <w:r>
              <w:rPr>
                <w:rFonts w:ascii="宋体" w:hAnsi="宋体" w:cs="宋体"/>
                <w:b/>
                <w:bCs/>
                <w:color w:val="auto"/>
                <w:kern w:val="0"/>
                <w:sz w:val="24"/>
              </w:rPr>
              <w:t>分</w:t>
            </w:r>
          </w:p>
        </w:tc>
        <w:tc>
          <w:tcPr>
            <w:tcW w:w="1317" w:type="dxa"/>
            <w:vMerge w:val="restart"/>
            <w:shd w:val="clear" w:color="auto" w:fill="FFFFFF"/>
            <w:noWrap/>
            <w:tcMar>
              <w:top w:w="0" w:type="dxa"/>
              <w:left w:w="108" w:type="dxa"/>
              <w:bottom w:w="0" w:type="dxa"/>
              <w:right w:w="108" w:type="dxa"/>
            </w:tcMar>
            <w:vAlign w:val="center"/>
          </w:tcPr>
          <w:p w14:paraId="2E7F28E8">
            <w:pPr>
              <w:spacing w:before="100" w:beforeAutospacing="1" w:after="100" w:afterAutospacing="1" w:line="306" w:lineRule="atLeast"/>
              <w:jc w:val="center"/>
              <w:rPr>
                <w:rFonts w:ascii="宋体" w:hAnsi="宋体" w:cs="宋体"/>
                <w:color w:val="auto"/>
                <w:kern w:val="0"/>
                <w:sz w:val="24"/>
              </w:rPr>
            </w:pPr>
            <w:r>
              <w:rPr>
                <w:rFonts w:hint="eastAsia" w:ascii="宋体" w:hAnsi="宋体"/>
                <w:color w:val="auto"/>
                <w:sz w:val="24"/>
              </w:rPr>
              <w:t>项目实施方案</w:t>
            </w:r>
          </w:p>
        </w:tc>
        <w:tc>
          <w:tcPr>
            <w:tcW w:w="6338" w:type="dxa"/>
            <w:shd w:val="clear" w:color="auto" w:fill="FFFFFF"/>
            <w:noWrap/>
            <w:tcMar>
              <w:top w:w="0" w:type="dxa"/>
              <w:left w:w="108" w:type="dxa"/>
              <w:bottom w:w="0" w:type="dxa"/>
              <w:right w:w="108" w:type="dxa"/>
            </w:tcMar>
            <w:vAlign w:val="center"/>
          </w:tcPr>
          <w:p w14:paraId="5BBF9DC6">
            <w:pPr>
              <w:spacing w:line="240" w:lineRule="atLeast"/>
              <w:rPr>
                <w:rFonts w:ascii="宋体" w:hAnsi="宋体"/>
                <w:color w:val="auto"/>
                <w:sz w:val="24"/>
              </w:rPr>
            </w:pPr>
            <w:r>
              <w:rPr>
                <w:rFonts w:hint="eastAsia" w:ascii="宋体" w:hAnsi="宋体"/>
                <w:color w:val="auto"/>
                <w:sz w:val="24"/>
              </w:rPr>
              <w:t>项目投标方案的全面性、完整性。根据投标人对本项目保洁、勤务、保安、陪护、维修、食堂运行制定项目投标方案的全面性、完整性等情况进行综合评分。方案内容全面完整、合理可行，质量保证措施得力、针对性强，能够完全满足采购文件的要求得5-7 分；方案内容较全面，质量保证措施合理可行，有较好的针对性，能够较好的满足采购文件的要求得3-4.9分；方案内容有所遗漏，措施合理性、可行性及针对性较弱，能够满足采购文件的部分要求得：1-2.9 分；未提供具体方案的不得分。</w:t>
            </w:r>
          </w:p>
        </w:tc>
        <w:tc>
          <w:tcPr>
            <w:tcW w:w="775" w:type="dxa"/>
            <w:shd w:val="clear" w:color="auto" w:fill="FFFFFF"/>
            <w:noWrap/>
            <w:tcMar>
              <w:top w:w="0" w:type="dxa"/>
              <w:left w:w="108" w:type="dxa"/>
              <w:bottom w:w="0" w:type="dxa"/>
              <w:right w:w="108" w:type="dxa"/>
            </w:tcMar>
            <w:vAlign w:val="center"/>
          </w:tcPr>
          <w:p w14:paraId="6AF959C4">
            <w:pPr>
              <w:widowControl/>
              <w:spacing w:before="100" w:beforeAutospacing="1" w:after="100" w:afterAutospacing="1" w:line="306" w:lineRule="atLeast"/>
              <w:jc w:val="center"/>
              <w:rPr>
                <w:rFonts w:ascii="宋体" w:hAnsi="宋体"/>
                <w:color w:val="auto"/>
                <w:sz w:val="24"/>
              </w:rPr>
            </w:pPr>
            <w:r>
              <w:rPr>
                <w:rFonts w:hint="eastAsia" w:ascii="宋体" w:hAnsi="宋体" w:cs="宋体"/>
                <w:color w:val="auto"/>
                <w:kern w:val="0"/>
                <w:sz w:val="24"/>
              </w:rPr>
              <w:t>7</w:t>
            </w:r>
            <w:r>
              <w:rPr>
                <w:rFonts w:ascii="宋体" w:hAnsi="宋体" w:cs="宋体"/>
                <w:color w:val="auto"/>
                <w:kern w:val="0"/>
                <w:sz w:val="24"/>
              </w:rPr>
              <w:t>分</w:t>
            </w:r>
          </w:p>
        </w:tc>
      </w:tr>
      <w:tr w14:paraId="0B84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13" w:hRule="atLeast"/>
        </w:trPr>
        <w:tc>
          <w:tcPr>
            <w:tcW w:w="825" w:type="dxa"/>
            <w:vMerge w:val="continue"/>
            <w:shd w:val="clear" w:color="auto" w:fill="FFFFFF"/>
            <w:noWrap/>
            <w:vAlign w:val="center"/>
          </w:tcPr>
          <w:p w14:paraId="0F769662">
            <w:pPr>
              <w:widowControl/>
              <w:jc w:val="left"/>
              <w:rPr>
                <w:rFonts w:ascii="宋体" w:hAnsi="宋体" w:cs="宋体"/>
                <w:color w:val="auto"/>
                <w:kern w:val="0"/>
                <w:sz w:val="24"/>
              </w:rPr>
            </w:pPr>
          </w:p>
        </w:tc>
        <w:tc>
          <w:tcPr>
            <w:tcW w:w="1317" w:type="dxa"/>
            <w:vMerge w:val="continue"/>
            <w:shd w:val="clear" w:color="auto" w:fill="FFFFFF"/>
            <w:noWrap/>
            <w:tcMar>
              <w:top w:w="0" w:type="dxa"/>
              <w:left w:w="108" w:type="dxa"/>
              <w:bottom w:w="0" w:type="dxa"/>
              <w:right w:w="108" w:type="dxa"/>
            </w:tcMar>
            <w:vAlign w:val="center"/>
          </w:tcPr>
          <w:p w14:paraId="1E65A3CA">
            <w:pPr>
              <w:widowControl/>
              <w:spacing w:before="100" w:beforeAutospacing="1" w:after="100" w:afterAutospacing="1" w:line="306" w:lineRule="atLeast"/>
              <w:jc w:val="center"/>
              <w:rPr>
                <w:rFonts w:ascii="宋体" w:hAnsi="宋体" w:cs="宋体"/>
                <w:color w:val="auto"/>
                <w:kern w:val="0"/>
                <w:sz w:val="24"/>
              </w:rPr>
            </w:pPr>
          </w:p>
        </w:tc>
        <w:tc>
          <w:tcPr>
            <w:tcW w:w="6338" w:type="dxa"/>
            <w:shd w:val="clear" w:color="auto" w:fill="FFFFFF"/>
            <w:noWrap/>
            <w:tcMar>
              <w:top w:w="0" w:type="dxa"/>
              <w:left w:w="108" w:type="dxa"/>
              <w:bottom w:w="0" w:type="dxa"/>
              <w:right w:w="108" w:type="dxa"/>
            </w:tcMar>
            <w:vAlign w:val="center"/>
          </w:tcPr>
          <w:p w14:paraId="12E30670">
            <w:pPr>
              <w:spacing w:line="240" w:lineRule="atLeast"/>
              <w:rPr>
                <w:color w:val="auto"/>
              </w:rPr>
            </w:pPr>
            <w:r>
              <w:rPr>
                <w:rFonts w:hint="eastAsia" w:ascii="宋体" w:hAnsi="宋体" w:cs="宋体"/>
                <w:color w:val="auto"/>
                <w:sz w:val="24"/>
              </w:rPr>
              <w:t>残疾人服务业发展现状及残疾人服务需求的理解。根据投标人对残疾服务业发展现状调查、玉环市残疾人服务需求的理解程度，有无相关服务经验等情况进行综合评分。需求理解全面完整，有状况调查，分析准确，对项目开展的重难点理解到位，措施明确，切实可行的得</w:t>
            </w:r>
            <w:r>
              <w:rPr>
                <w:rFonts w:hint="eastAsia" w:ascii="宋体" w:hAnsi="宋体"/>
                <w:color w:val="auto"/>
                <w:sz w:val="24"/>
              </w:rPr>
              <w:t>5-7</w:t>
            </w:r>
            <w:r>
              <w:rPr>
                <w:rFonts w:hint="eastAsia" w:ascii="宋体" w:hAnsi="宋体" w:cs="宋体"/>
                <w:color w:val="auto"/>
                <w:sz w:val="24"/>
              </w:rPr>
              <w:t>分；需求理解全面完整，有状况调查，分析较准确，对项目开展的重难点理解比较到位，措施较明确，切实可行的得</w:t>
            </w:r>
            <w:r>
              <w:rPr>
                <w:rFonts w:hint="eastAsia" w:ascii="宋体" w:hAnsi="宋体"/>
                <w:color w:val="auto"/>
                <w:sz w:val="24"/>
              </w:rPr>
              <w:t>3-4.9</w:t>
            </w:r>
            <w:r>
              <w:rPr>
                <w:rFonts w:hint="eastAsia" w:ascii="宋体" w:hAnsi="宋体" w:cs="宋体"/>
                <w:color w:val="auto"/>
                <w:sz w:val="24"/>
              </w:rPr>
              <w:t>分；缺少状况调查，分析不够准确，对项目开展的重难点理解不够到位，措施不够明确的得</w:t>
            </w:r>
            <w:r>
              <w:rPr>
                <w:rFonts w:hint="eastAsia" w:ascii="宋体" w:hAnsi="宋体"/>
                <w:color w:val="auto"/>
                <w:sz w:val="24"/>
              </w:rPr>
              <w:t>1-2.9</w:t>
            </w:r>
            <w:r>
              <w:rPr>
                <w:rFonts w:hint="eastAsia" w:ascii="宋体" w:hAnsi="宋体" w:cs="宋体"/>
                <w:color w:val="auto"/>
                <w:sz w:val="24"/>
              </w:rPr>
              <w:t xml:space="preserve"> 分；未提供具体方案的不得分。</w:t>
            </w:r>
          </w:p>
        </w:tc>
        <w:tc>
          <w:tcPr>
            <w:tcW w:w="775" w:type="dxa"/>
            <w:shd w:val="clear" w:color="auto" w:fill="FFFFFF"/>
            <w:noWrap/>
            <w:tcMar>
              <w:top w:w="0" w:type="dxa"/>
              <w:left w:w="108" w:type="dxa"/>
              <w:bottom w:w="0" w:type="dxa"/>
              <w:right w:w="108" w:type="dxa"/>
            </w:tcMar>
            <w:vAlign w:val="center"/>
          </w:tcPr>
          <w:p w14:paraId="72FA0DD2">
            <w:pPr>
              <w:widowControl/>
              <w:spacing w:before="100" w:beforeAutospacing="1" w:after="100" w:afterAutospacing="1" w:line="306" w:lineRule="atLeast"/>
              <w:jc w:val="center"/>
              <w:rPr>
                <w:rFonts w:ascii="宋体" w:hAnsi="宋体"/>
                <w:color w:val="auto"/>
                <w:sz w:val="24"/>
              </w:rPr>
            </w:pPr>
            <w:r>
              <w:rPr>
                <w:rFonts w:hint="eastAsia" w:ascii="宋体" w:hAnsi="宋体" w:cs="宋体"/>
                <w:color w:val="auto"/>
                <w:kern w:val="0"/>
                <w:sz w:val="24"/>
              </w:rPr>
              <w:t>7</w:t>
            </w:r>
            <w:r>
              <w:rPr>
                <w:rFonts w:ascii="宋体" w:hAnsi="宋体" w:cs="宋体"/>
                <w:color w:val="auto"/>
                <w:kern w:val="0"/>
                <w:sz w:val="24"/>
              </w:rPr>
              <w:t>分</w:t>
            </w:r>
          </w:p>
        </w:tc>
      </w:tr>
      <w:tr w14:paraId="78CC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rPr>
        <w:tc>
          <w:tcPr>
            <w:tcW w:w="825" w:type="dxa"/>
            <w:vMerge w:val="continue"/>
            <w:shd w:val="clear" w:color="auto" w:fill="FFFFFF"/>
            <w:noWrap/>
            <w:vAlign w:val="center"/>
          </w:tcPr>
          <w:p w14:paraId="218A5C49">
            <w:pPr>
              <w:widowControl/>
              <w:jc w:val="left"/>
              <w:rPr>
                <w:rFonts w:ascii="宋体" w:hAnsi="宋体" w:cs="宋体"/>
                <w:color w:val="auto"/>
                <w:kern w:val="0"/>
                <w:sz w:val="24"/>
              </w:rPr>
            </w:pPr>
          </w:p>
        </w:tc>
        <w:tc>
          <w:tcPr>
            <w:tcW w:w="1317" w:type="dxa"/>
            <w:vMerge w:val="continue"/>
            <w:shd w:val="clear" w:color="auto" w:fill="FFFFFF"/>
            <w:noWrap/>
            <w:vAlign w:val="center"/>
          </w:tcPr>
          <w:p w14:paraId="559844D3">
            <w:pPr>
              <w:widowControl/>
              <w:jc w:val="left"/>
              <w:rPr>
                <w:rFonts w:ascii="宋体" w:hAnsi="宋体" w:cs="宋体"/>
                <w:color w:val="auto"/>
                <w:kern w:val="0"/>
                <w:sz w:val="24"/>
              </w:rPr>
            </w:pPr>
          </w:p>
        </w:tc>
        <w:tc>
          <w:tcPr>
            <w:tcW w:w="6338" w:type="dxa"/>
            <w:shd w:val="clear" w:color="auto" w:fill="FFFFFF"/>
            <w:noWrap/>
            <w:tcMar>
              <w:top w:w="0" w:type="dxa"/>
              <w:left w:w="108" w:type="dxa"/>
              <w:bottom w:w="0" w:type="dxa"/>
              <w:right w:w="108" w:type="dxa"/>
            </w:tcMar>
          </w:tcPr>
          <w:p w14:paraId="18BF1922">
            <w:pPr>
              <w:rPr>
                <w:rFonts w:ascii="宋体" w:hAnsi="宋体"/>
                <w:color w:val="auto"/>
                <w:sz w:val="24"/>
              </w:rPr>
            </w:pPr>
            <w:r>
              <w:rPr>
                <w:rFonts w:hint="eastAsia" w:ascii="宋体" w:hAnsi="宋体"/>
                <w:color w:val="auto"/>
                <w:sz w:val="24"/>
              </w:rPr>
              <w:t>项目熟悉程度和总体需求的理解。根据投标人对本项目的熟悉程度，以及对项目需求、目标和服务内容的理解程度等情况进行综合评分。</w:t>
            </w:r>
            <w:r>
              <w:rPr>
                <w:rFonts w:hint="eastAsia" w:ascii="宋体" w:hAnsi="宋体" w:cs="宋体"/>
                <w:color w:val="auto"/>
                <w:sz w:val="24"/>
              </w:rPr>
              <w:t>对项目</w:t>
            </w:r>
            <w:r>
              <w:rPr>
                <w:rFonts w:hint="eastAsia" w:ascii="宋体" w:hAnsi="宋体"/>
                <w:color w:val="auto"/>
                <w:sz w:val="24"/>
              </w:rPr>
              <w:t>熟悉程度和总体需求</w:t>
            </w:r>
            <w:r>
              <w:rPr>
                <w:rFonts w:hint="eastAsia" w:ascii="宋体" w:hAnsi="宋体" w:cs="宋体"/>
                <w:color w:val="auto"/>
                <w:sz w:val="24"/>
              </w:rPr>
              <w:t>理解到位，措施明确，切实可行的得</w:t>
            </w:r>
            <w:r>
              <w:rPr>
                <w:rFonts w:hint="eastAsia" w:ascii="宋体" w:hAnsi="宋体"/>
                <w:color w:val="auto"/>
                <w:sz w:val="24"/>
              </w:rPr>
              <w:t>5-7</w:t>
            </w:r>
            <w:r>
              <w:rPr>
                <w:rFonts w:hint="eastAsia" w:ascii="宋体" w:hAnsi="宋体" w:cs="宋体"/>
                <w:color w:val="auto"/>
                <w:sz w:val="24"/>
              </w:rPr>
              <w:t>分；需求理解全面完整，有状况调查，分析较准确，对项目总体需求的理解比较到位，措施较明确，切实可行的得</w:t>
            </w:r>
            <w:r>
              <w:rPr>
                <w:rFonts w:hint="eastAsia" w:ascii="宋体" w:hAnsi="宋体"/>
                <w:color w:val="auto"/>
                <w:sz w:val="24"/>
              </w:rPr>
              <w:t>3-4.9</w:t>
            </w:r>
            <w:r>
              <w:rPr>
                <w:rFonts w:hint="eastAsia" w:ascii="宋体" w:hAnsi="宋体" w:cs="宋体"/>
                <w:color w:val="auto"/>
                <w:sz w:val="24"/>
              </w:rPr>
              <w:t>分；缺少状况调查，分析不够准确，对总体需求理解不够到位，措施不够明确的得</w:t>
            </w:r>
            <w:r>
              <w:rPr>
                <w:rFonts w:hint="eastAsia" w:ascii="宋体" w:hAnsi="宋体"/>
                <w:color w:val="auto"/>
                <w:sz w:val="24"/>
              </w:rPr>
              <w:t>1-2.9</w:t>
            </w:r>
            <w:r>
              <w:rPr>
                <w:rFonts w:hint="eastAsia" w:ascii="宋体" w:hAnsi="宋体" w:cs="宋体"/>
                <w:color w:val="auto"/>
                <w:sz w:val="24"/>
              </w:rPr>
              <w:t xml:space="preserve"> 分；未提供具体方案的不得分。</w:t>
            </w:r>
          </w:p>
        </w:tc>
        <w:tc>
          <w:tcPr>
            <w:tcW w:w="775" w:type="dxa"/>
            <w:shd w:val="clear" w:color="auto" w:fill="FFFFFF"/>
            <w:noWrap/>
            <w:tcMar>
              <w:top w:w="0" w:type="dxa"/>
              <w:left w:w="108" w:type="dxa"/>
              <w:bottom w:w="0" w:type="dxa"/>
              <w:right w:w="108" w:type="dxa"/>
            </w:tcMar>
            <w:vAlign w:val="center"/>
          </w:tcPr>
          <w:p w14:paraId="18DB08E9">
            <w:pPr>
              <w:jc w:val="center"/>
              <w:rPr>
                <w:rFonts w:ascii="宋体" w:hAnsi="宋体" w:cs="宋体"/>
                <w:color w:val="auto"/>
                <w:kern w:val="0"/>
                <w:sz w:val="24"/>
              </w:rPr>
            </w:pPr>
            <w:r>
              <w:rPr>
                <w:rFonts w:hint="eastAsia" w:ascii="宋体" w:hAnsi="宋体" w:cs="宋体"/>
                <w:color w:val="auto"/>
                <w:kern w:val="0"/>
                <w:sz w:val="24"/>
              </w:rPr>
              <w:t>7</w:t>
            </w:r>
            <w:r>
              <w:rPr>
                <w:rFonts w:ascii="宋体" w:hAnsi="宋体" w:cs="宋体"/>
                <w:color w:val="auto"/>
                <w:kern w:val="0"/>
                <w:sz w:val="24"/>
              </w:rPr>
              <w:t>分</w:t>
            </w:r>
          </w:p>
        </w:tc>
      </w:tr>
      <w:tr w14:paraId="669D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64" w:hRule="atLeast"/>
        </w:trPr>
        <w:tc>
          <w:tcPr>
            <w:tcW w:w="825" w:type="dxa"/>
            <w:vMerge w:val="continue"/>
            <w:shd w:val="clear" w:color="auto" w:fill="FFFFFF"/>
            <w:noWrap/>
            <w:vAlign w:val="center"/>
          </w:tcPr>
          <w:p w14:paraId="4ADD7783">
            <w:pPr>
              <w:widowControl/>
              <w:jc w:val="left"/>
              <w:rPr>
                <w:rFonts w:ascii="宋体" w:hAnsi="宋体" w:cs="宋体"/>
                <w:color w:val="auto"/>
                <w:kern w:val="0"/>
                <w:sz w:val="24"/>
              </w:rPr>
            </w:pPr>
          </w:p>
        </w:tc>
        <w:tc>
          <w:tcPr>
            <w:tcW w:w="1317" w:type="dxa"/>
            <w:vMerge w:val="continue"/>
            <w:shd w:val="clear" w:color="auto" w:fill="FFFFFF"/>
            <w:noWrap/>
            <w:vAlign w:val="center"/>
          </w:tcPr>
          <w:p w14:paraId="43AF689D">
            <w:pPr>
              <w:widowControl/>
              <w:jc w:val="left"/>
              <w:rPr>
                <w:rFonts w:ascii="宋体" w:hAnsi="宋体" w:cs="宋体"/>
                <w:color w:val="auto"/>
                <w:kern w:val="0"/>
                <w:sz w:val="24"/>
              </w:rPr>
            </w:pPr>
          </w:p>
        </w:tc>
        <w:tc>
          <w:tcPr>
            <w:tcW w:w="6338" w:type="dxa"/>
            <w:shd w:val="clear" w:color="auto" w:fill="FFFFFF"/>
            <w:noWrap/>
            <w:tcMar>
              <w:top w:w="0" w:type="dxa"/>
              <w:left w:w="108" w:type="dxa"/>
              <w:bottom w:w="0" w:type="dxa"/>
              <w:right w:w="108" w:type="dxa"/>
            </w:tcMar>
          </w:tcPr>
          <w:p w14:paraId="46462804">
            <w:pPr>
              <w:rPr>
                <w:rFonts w:hint="eastAsia" w:ascii="宋体" w:hAnsi="宋体" w:eastAsia="宋体"/>
                <w:color w:val="auto"/>
                <w:sz w:val="24"/>
                <w:lang w:eastAsia="zh-CN"/>
              </w:rPr>
            </w:pPr>
            <w:r>
              <w:rPr>
                <w:rFonts w:hint="eastAsia" w:ascii="宋体" w:hAnsi="宋体"/>
                <w:color w:val="auto"/>
                <w:sz w:val="24"/>
              </w:rPr>
              <w:t>运营方基本义务需求的承诺及响应。根据投标人对运营方基本义务需求的承诺及响应等情况进行综合评分。承诺科学合理、细致全面、内容详尽切实可行，完全满足甚至优于招标文件需求的得5-7分；内容简单满足招标需求的得3-4.9分；内容简略仅有提及的得1-2.9分；未提供的不得分</w:t>
            </w:r>
            <w:r>
              <w:rPr>
                <w:rFonts w:hint="eastAsia" w:ascii="宋体" w:hAnsi="宋体"/>
                <w:color w:val="auto"/>
                <w:sz w:val="24"/>
                <w:lang w:eastAsia="zh-CN"/>
              </w:rPr>
              <w:t>。</w:t>
            </w:r>
          </w:p>
        </w:tc>
        <w:tc>
          <w:tcPr>
            <w:tcW w:w="775" w:type="dxa"/>
            <w:shd w:val="clear" w:color="auto" w:fill="FFFFFF"/>
            <w:noWrap/>
            <w:tcMar>
              <w:top w:w="0" w:type="dxa"/>
              <w:left w:w="108" w:type="dxa"/>
              <w:bottom w:w="0" w:type="dxa"/>
              <w:right w:w="108" w:type="dxa"/>
            </w:tcMar>
            <w:vAlign w:val="center"/>
          </w:tcPr>
          <w:p w14:paraId="3A0F286F">
            <w:pPr>
              <w:jc w:val="center"/>
              <w:rPr>
                <w:rFonts w:ascii="宋体" w:hAnsi="宋体" w:cs="宋体"/>
                <w:color w:val="auto"/>
                <w:kern w:val="0"/>
                <w:sz w:val="24"/>
              </w:rPr>
            </w:pPr>
            <w:r>
              <w:rPr>
                <w:rFonts w:hint="eastAsia" w:ascii="宋体" w:hAnsi="宋体" w:cs="宋体"/>
                <w:color w:val="auto"/>
                <w:kern w:val="0"/>
                <w:sz w:val="24"/>
              </w:rPr>
              <w:t>7</w:t>
            </w:r>
            <w:r>
              <w:rPr>
                <w:rFonts w:ascii="宋体" w:hAnsi="宋体" w:cs="宋体"/>
                <w:color w:val="auto"/>
                <w:kern w:val="0"/>
                <w:sz w:val="24"/>
              </w:rPr>
              <w:t>分</w:t>
            </w:r>
          </w:p>
        </w:tc>
      </w:tr>
      <w:tr w14:paraId="5505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3" w:hRule="atLeast"/>
        </w:trPr>
        <w:tc>
          <w:tcPr>
            <w:tcW w:w="825" w:type="dxa"/>
            <w:vMerge w:val="continue"/>
            <w:shd w:val="clear" w:color="auto" w:fill="FFFFFF"/>
            <w:noWrap/>
            <w:vAlign w:val="center"/>
          </w:tcPr>
          <w:p w14:paraId="65FB90AA">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2BF1A41B">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rPr>
              <w:t>管理制度</w:t>
            </w:r>
          </w:p>
        </w:tc>
        <w:tc>
          <w:tcPr>
            <w:tcW w:w="6338" w:type="dxa"/>
            <w:shd w:val="clear" w:color="auto" w:fill="FFFFFF"/>
            <w:noWrap/>
            <w:tcMar>
              <w:top w:w="0" w:type="dxa"/>
              <w:left w:w="108" w:type="dxa"/>
              <w:bottom w:w="0" w:type="dxa"/>
              <w:right w:w="108" w:type="dxa"/>
            </w:tcMar>
            <w:vAlign w:val="center"/>
          </w:tcPr>
          <w:p w14:paraId="65C3D0F8">
            <w:pPr>
              <w:widowControl/>
              <w:spacing w:before="100" w:beforeAutospacing="1" w:after="100" w:afterAutospacing="1" w:line="306" w:lineRule="atLeast"/>
              <w:jc w:val="left"/>
              <w:rPr>
                <w:rFonts w:ascii="宋体" w:hAnsi="宋体"/>
                <w:color w:val="auto"/>
                <w:sz w:val="24"/>
              </w:rPr>
            </w:pPr>
            <w:r>
              <w:rPr>
                <w:rFonts w:hint="eastAsia" w:ascii="宋体" w:hAnsi="宋体"/>
                <w:color w:val="auto"/>
                <w:sz w:val="24"/>
              </w:rPr>
              <w:t>各项管理规章制度全面性、完整性。根据投标人对项目运营日常管理、活动质量控制、活动质量监督、人员考核奖惩、资产管理、财务管理、活动规范、培训、值班、卫生、安全、消防安全、食品卫生、突发事件应急预案、责任人及责任追究等制度情况进行综合评分。</w:t>
            </w:r>
            <w:r>
              <w:rPr>
                <w:rFonts w:hint="eastAsia" w:ascii="宋体" w:hAnsi="宋体" w:cs="宋体"/>
                <w:color w:val="auto"/>
                <w:sz w:val="24"/>
              </w:rPr>
              <w:t>规章制度健全，体系完善，内容详细明确的得</w:t>
            </w:r>
            <w:r>
              <w:rPr>
                <w:rFonts w:hint="eastAsia" w:ascii="宋体" w:hAnsi="宋体"/>
                <w:color w:val="auto"/>
                <w:sz w:val="24"/>
              </w:rPr>
              <w:t>5-8分，</w:t>
            </w:r>
            <w:r>
              <w:rPr>
                <w:rFonts w:hint="eastAsia" w:ascii="宋体" w:hAnsi="宋体" w:cs="宋体"/>
                <w:color w:val="auto"/>
                <w:sz w:val="24"/>
              </w:rPr>
              <w:t>规章制度合理，体系较完善，内容明确但欠佳的得</w:t>
            </w:r>
            <w:r>
              <w:rPr>
                <w:rFonts w:hint="eastAsia" w:ascii="宋体" w:hAnsi="宋体"/>
                <w:color w:val="auto"/>
                <w:sz w:val="24"/>
              </w:rPr>
              <w:t>2-4.9分，</w:t>
            </w:r>
            <w:r>
              <w:rPr>
                <w:rFonts w:hint="eastAsia" w:ascii="宋体" w:hAnsi="宋体" w:cs="宋体"/>
                <w:color w:val="auto"/>
                <w:sz w:val="24"/>
              </w:rPr>
              <w:t>规章制度合理，体系不够完善，缺少实质内容的得</w:t>
            </w:r>
            <w:r>
              <w:rPr>
                <w:rFonts w:hint="eastAsia" w:ascii="宋体" w:hAnsi="宋体"/>
                <w:color w:val="auto"/>
                <w:sz w:val="24"/>
              </w:rPr>
              <w:t>0.1-1.9分。未提供不得分。</w:t>
            </w:r>
          </w:p>
        </w:tc>
        <w:tc>
          <w:tcPr>
            <w:tcW w:w="775" w:type="dxa"/>
            <w:shd w:val="clear" w:color="auto" w:fill="FFFFFF"/>
            <w:noWrap/>
            <w:tcMar>
              <w:top w:w="0" w:type="dxa"/>
              <w:left w:w="108" w:type="dxa"/>
              <w:bottom w:w="0" w:type="dxa"/>
              <w:right w:w="108" w:type="dxa"/>
            </w:tcMar>
            <w:vAlign w:val="center"/>
          </w:tcPr>
          <w:p w14:paraId="46426CB1">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rPr>
              <w:t>8</w:t>
            </w:r>
            <w:r>
              <w:rPr>
                <w:rFonts w:ascii="宋体" w:hAnsi="宋体" w:cs="宋体"/>
                <w:color w:val="auto"/>
                <w:kern w:val="0"/>
                <w:sz w:val="24"/>
              </w:rPr>
              <w:t>分</w:t>
            </w:r>
          </w:p>
        </w:tc>
      </w:tr>
      <w:tr w14:paraId="549F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74" w:hRule="atLeast"/>
        </w:trPr>
        <w:tc>
          <w:tcPr>
            <w:tcW w:w="825" w:type="dxa"/>
            <w:vMerge w:val="continue"/>
            <w:shd w:val="clear" w:color="auto" w:fill="FFFFFF"/>
            <w:noWrap/>
            <w:vAlign w:val="center"/>
          </w:tcPr>
          <w:p w14:paraId="6C7B943B">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6AB85E4B">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质量保障措施</w:t>
            </w:r>
          </w:p>
        </w:tc>
        <w:tc>
          <w:tcPr>
            <w:tcW w:w="6338" w:type="dxa"/>
            <w:shd w:val="clear" w:color="auto" w:fill="FFFFFF"/>
            <w:noWrap/>
            <w:tcMar>
              <w:top w:w="0" w:type="dxa"/>
              <w:left w:w="108" w:type="dxa"/>
              <w:bottom w:w="0" w:type="dxa"/>
              <w:right w:w="108" w:type="dxa"/>
            </w:tcMar>
            <w:vAlign w:val="center"/>
          </w:tcPr>
          <w:p w14:paraId="0FE775E6">
            <w:pPr>
              <w:widowControl/>
              <w:spacing w:before="100" w:beforeAutospacing="1" w:after="100" w:afterAutospacing="1" w:line="306" w:lineRule="atLeast"/>
              <w:jc w:val="left"/>
              <w:rPr>
                <w:rFonts w:ascii="宋体" w:hAnsi="宋体"/>
                <w:color w:val="auto"/>
                <w:sz w:val="24"/>
              </w:rPr>
            </w:pPr>
            <w:r>
              <w:rPr>
                <w:rFonts w:hint="eastAsia" w:ascii="宋体" w:hAnsi="宋体"/>
                <w:color w:val="auto"/>
                <w:sz w:val="24"/>
              </w:rPr>
              <w:t>项目实施管理和质量保障措施。根据投标人提出的项目实施质量保障管理、质量控制体系、文档管理体系、内部评估体系等托养康复行业标准和质量控制及监督措施，以及各项活动质量规范化建设等情况进行综合评分。</w:t>
            </w:r>
            <w:r>
              <w:rPr>
                <w:rFonts w:hint="eastAsia" w:ascii="宋体" w:hAnsi="宋体" w:cs="宋体"/>
                <w:color w:val="auto"/>
                <w:spacing w:val="11"/>
                <w:sz w:val="24"/>
              </w:rPr>
              <w:t>服务指标优于招标要求，质量控制要点准确，措施明确、可行的得</w:t>
            </w:r>
            <w:r>
              <w:rPr>
                <w:rFonts w:hint="eastAsia" w:ascii="宋体" w:hAnsi="宋体"/>
                <w:color w:val="auto"/>
                <w:sz w:val="24"/>
              </w:rPr>
              <w:t>5-7分，</w:t>
            </w:r>
            <w:r>
              <w:rPr>
                <w:rFonts w:hint="eastAsia" w:ascii="宋体" w:hAnsi="宋体" w:cs="宋体"/>
                <w:color w:val="auto"/>
                <w:spacing w:val="11"/>
                <w:sz w:val="24"/>
              </w:rPr>
              <w:t>服务指标符合招标要求，质量控制要点较准确，措施较明确、可行的得</w:t>
            </w:r>
            <w:r>
              <w:rPr>
                <w:rFonts w:hint="eastAsia" w:ascii="宋体" w:hAnsi="宋体"/>
                <w:color w:val="auto"/>
                <w:sz w:val="24"/>
              </w:rPr>
              <w:t>3-4.9分，</w:t>
            </w:r>
            <w:r>
              <w:rPr>
                <w:rFonts w:hint="eastAsia" w:ascii="宋体" w:hAnsi="宋体" w:cs="宋体"/>
                <w:color w:val="auto"/>
                <w:spacing w:val="11"/>
                <w:sz w:val="24"/>
              </w:rPr>
              <w:t>服务指标基本符合招标要求，质量控制要点不够准确，措施不够明确的得</w:t>
            </w:r>
            <w:r>
              <w:rPr>
                <w:rFonts w:hint="eastAsia" w:ascii="宋体" w:hAnsi="宋体"/>
                <w:color w:val="auto"/>
                <w:sz w:val="24"/>
              </w:rPr>
              <w:t>1-2.9分。未提供不得分。</w:t>
            </w:r>
          </w:p>
        </w:tc>
        <w:tc>
          <w:tcPr>
            <w:tcW w:w="775" w:type="dxa"/>
            <w:shd w:val="clear" w:color="auto" w:fill="FFFFFF"/>
            <w:noWrap/>
            <w:tcMar>
              <w:top w:w="0" w:type="dxa"/>
              <w:left w:w="108" w:type="dxa"/>
              <w:bottom w:w="0" w:type="dxa"/>
              <w:right w:w="108" w:type="dxa"/>
            </w:tcMar>
            <w:vAlign w:val="center"/>
          </w:tcPr>
          <w:p w14:paraId="6467639D">
            <w:pPr>
              <w:widowControl/>
              <w:spacing w:before="100" w:beforeAutospacing="1" w:after="100" w:afterAutospacing="1" w:line="306" w:lineRule="atLeast"/>
              <w:jc w:val="center"/>
              <w:rPr>
                <w:rFonts w:ascii="宋体" w:hAnsi="宋体"/>
                <w:color w:val="auto"/>
                <w:sz w:val="24"/>
              </w:rPr>
            </w:pPr>
            <w:r>
              <w:rPr>
                <w:rFonts w:hint="eastAsia" w:ascii="宋体" w:hAnsi="宋体" w:cs="宋体"/>
                <w:color w:val="auto"/>
                <w:kern w:val="0"/>
                <w:sz w:val="24"/>
              </w:rPr>
              <w:t>7</w:t>
            </w:r>
            <w:r>
              <w:rPr>
                <w:rFonts w:ascii="宋体" w:hAnsi="宋体" w:cs="宋体"/>
                <w:color w:val="auto"/>
                <w:kern w:val="0"/>
                <w:sz w:val="24"/>
              </w:rPr>
              <w:t>分</w:t>
            </w:r>
          </w:p>
        </w:tc>
      </w:tr>
      <w:tr w14:paraId="17EB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825" w:type="dxa"/>
            <w:vMerge w:val="continue"/>
            <w:shd w:val="clear" w:color="auto" w:fill="FFFFFF"/>
            <w:noWrap/>
            <w:vAlign w:val="center"/>
          </w:tcPr>
          <w:p w14:paraId="5239DAF2">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218EF127">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突发事故的应急措施和解决方案</w:t>
            </w:r>
          </w:p>
        </w:tc>
        <w:tc>
          <w:tcPr>
            <w:tcW w:w="6338" w:type="dxa"/>
            <w:shd w:val="clear" w:color="auto" w:fill="FFFFFF"/>
            <w:noWrap/>
            <w:tcMar>
              <w:top w:w="0" w:type="dxa"/>
              <w:left w:w="108" w:type="dxa"/>
              <w:bottom w:w="0" w:type="dxa"/>
              <w:right w:w="108" w:type="dxa"/>
            </w:tcMar>
            <w:vAlign w:val="center"/>
          </w:tcPr>
          <w:p w14:paraId="3DE4DEEB">
            <w:pPr>
              <w:widowControl/>
              <w:spacing w:before="100" w:beforeAutospacing="1" w:after="100" w:afterAutospacing="1" w:line="306" w:lineRule="atLeast"/>
              <w:jc w:val="left"/>
              <w:rPr>
                <w:rFonts w:ascii="宋体" w:hAnsi="宋体"/>
                <w:color w:val="auto"/>
                <w:sz w:val="24"/>
              </w:rPr>
            </w:pPr>
            <w:r>
              <w:rPr>
                <w:rFonts w:hint="eastAsia" w:ascii="宋体" w:hAnsi="宋体"/>
                <w:color w:val="auto"/>
                <w:sz w:val="24"/>
              </w:rPr>
              <w:t>对服务中的突发事件（包括各类检查、突发性、意外伤害事件、服务对象走失等）时的应急预案及相应的解决补救措施。</w:t>
            </w:r>
            <w:r>
              <w:rPr>
                <w:rFonts w:hint="eastAsia" w:ascii="宋体" w:hAnsi="宋体" w:cs="宋体"/>
                <w:color w:val="auto"/>
                <w:sz w:val="24"/>
              </w:rPr>
              <w:t>根据服务对象的特殊性，制定的安全保障及突发事件的措施详细，内容全面，条理清晰，切实可行的得</w:t>
            </w:r>
            <w:r>
              <w:rPr>
                <w:rFonts w:hint="eastAsia" w:ascii="宋体" w:hAnsi="宋体"/>
                <w:color w:val="auto"/>
                <w:sz w:val="24"/>
              </w:rPr>
              <w:t>5-7分，</w:t>
            </w:r>
            <w:r>
              <w:rPr>
                <w:rFonts w:hint="eastAsia" w:ascii="宋体" w:hAnsi="宋体" w:cs="宋体"/>
                <w:color w:val="auto"/>
                <w:sz w:val="24"/>
              </w:rPr>
              <w:t>制定的安全保障及突发事件的措施较详细，内容较全面，条理较清晰，有可行性的得</w:t>
            </w:r>
            <w:r>
              <w:rPr>
                <w:rFonts w:hint="eastAsia" w:ascii="宋体" w:hAnsi="宋体"/>
                <w:color w:val="auto"/>
                <w:sz w:val="24"/>
              </w:rPr>
              <w:t>3-4.9分，</w:t>
            </w:r>
            <w:r>
              <w:rPr>
                <w:rFonts w:hint="eastAsia" w:ascii="宋体" w:hAnsi="宋体" w:cs="宋体"/>
                <w:color w:val="auto"/>
                <w:sz w:val="24"/>
              </w:rPr>
              <w:t>制定的安全保障及突发事件的措施简单，内容欠佳，需要完善的得</w:t>
            </w:r>
            <w:r>
              <w:rPr>
                <w:rFonts w:hint="eastAsia" w:ascii="宋体" w:hAnsi="宋体"/>
                <w:color w:val="auto"/>
                <w:sz w:val="24"/>
              </w:rPr>
              <w:t>1-2.9分。未提供不得分。</w:t>
            </w:r>
          </w:p>
        </w:tc>
        <w:tc>
          <w:tcPr>
            <w:tcW w:w="775" w:type="dxa"/>
            <w:shd w:val="clear" w:color="auto" w:fill="FFFFFF"/>
            <w:noWrap/>
            <w:tcMar>
              <w:top w:w="0" w:type="dxa"/>
              <w:left w:w="108" w:type="dxa"/>
              <w:bottom w:w="0" w:type="dxa"/>
              <w:right w:w="108" w:type="dxa"/>
            </w:tcMar>
            <w:vAlign w:val="center"/>
          </w:tcPr>
          <w:p w14:paraId="0861C1AB">
            <w:pPr>
              <w:widowControl/>
              <w:spacing w:before="100" w:beforeAutospacing="1" w:after="100" w:afterAutospacing="1" w:line="306" w:lineRule="atLeast"/>
              <w:jc w:val="center"/>
              <w:rPr>
                <w:rFonts w:ascii="宋体" w:hAnsi="宋体"/>
                <w:color w:val="auto"/>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分</w:t>
            </w:r>
          </w:p>
        </w:tc>
      </w:tr>
      <w:tr w14:paraId="6FAB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7" w:hRule="atLeast"/>
        </w:trPr>
        <w:tc>
          <w:tcPr>
            <w:tcW w:w="825" w:type="dxa"/>
            <w:vMerge w:val="continue"/>
            <w:shd w:val="clear" w:color="auto" w:fill="FFFFFF"/>
            <w:noWrap/>
            <w:vAlign w:val="center"/>
          </w:tcPr>
          <w:p w14:paraId="65FCCC29">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4971B1C5">
            <w:pPr>
              <w:widowControl/>
              <w:spacing w:before="100" w:beforeAutospacing="1" w:after="100" w:afterAutospacing="1" w:line="306" w:lineRule="atLeast"/>
              <w:jc w:val="center"/>
              <w:rPr>
                <w:rFonts w:ascii="宋体" w:hAnsi="宋体" w:cs="宋体"/>
                <w:color w:val="auto"/>
                <w:sz w:val="24"/>
              </w:rPr>
            </w:pPr>
            <w:r>
              <w:rPr>
                <w:rFonts w:hint="eastAsia" w:ascii="宋体" w:hAnsi="宋体" w:cs="宋体"/>
                <w:color w:val="auto"/>
                <w:sz w:val="24"/>
              </w:rPr>
              <w:t>专业技术能力</w:t>
            </w:r>
          </w:p>
        </w:tc>
        <w:tc>
          <w:tcPr>
            <w:tcW w:w="6338" w:type="dxa"/>
            <w:shd w:val="clear" w:color="auto" w:fill="FFFFFF"/>
            <w:noWrap/>
            <w:tcMar>
              <w:top w:w="0" w:type="dxa"/>
              <w:left w:w="108" w:type="dxa"/>
              <w:bottom w:w="0" w:type="dxa"/>
              <w:right w:w="108" w:type="dxa"/>
            </w:tcMar>
            <w:vAlign w:val="center"/>
          </w:tcPr>
          <w:p w14:paraId="60116F33">
            <w:pPr>
              <w:widowControl/>
              <w:spacing w:before="100" w:beforeAutospacing="1" w:after="100" w:afterAutospacing="1" w:line="306" w:lineRule="atLeast"/>
              <w:jc w:val="left"/>
              <w:rPr>
                <w:rFonts w:ascii="宋体" w:hAnsi="宋体" w:cs="宋体"/>
                <w:color w:val="auto"/>
                <w:sz w:val="24"/>
              </w:rPr>
            </w:pPr>
            <w:r>
              <w:rPr>
                <w:rFonts w:hint="eastAsia" w:ascii="宋体" w:hAnsi="宋体" w:cs="宋体"/>
                <w:color w:val="auto"/>
                <w:sz w:val="24"/>
              </w:rPr>
              <w:t>投标单位的专业技术能力：自2021年1月1日以来，投标单位员工参与市级及以上残疾人护理技能赛事并取得团体荣誉，获得一等奖的，得</w:t>
            </w:r>
            <w:r>
              <w:rPr>
                <w:rFonts w:hint="eastAsia" w:ascii="宋体" w:hAnsi="宋体" w:cs="宋体"/>
                <w:color w:val="auto"/>
                <w:sz w:val="24"/>
                <w:lang w:val="en-US" w:eastAsia="zh-CN"/>
              </w:rPr>
              <w:t>3</w:t>
            </w:r>
            <w:r>
              <w:rPr>
                <w:rFonts w:hint="eastAsia" w:ascii="宋体" w:hAnsi="宋体" w:cs="宋体"/>
                <w:color w:val="auto"/>
                <w:sz w:val="24"/>
              </w:rPr>
              <w:t>分。获得二等奖的，得</w:t>
            </w:r>
            <w:r>
              <w:rPr>
                <w:rFonts w:hint="eastAsia" w:ascii="宋体" w:hAnsi="宋体" w:cs="宋体"/>
                <w:color w:val="auto"/>
                <w:sz w:val="24"/>
                <w:lang w:val="en-US" w:eastAsia="zh-CN"/>
              </w:rPr>
              <w:t>2</w:t>
            </w:r>
            <w:r>
              <w:rPr>
                <w:rFonts w:hint="eastAsia" w:ascii="宋体" w:hAnsi="宋体" w:cs="宋体"/>
                <w:color w:val="auto"/>
                <w:sz w:val="24"/>
              </w:rPr>
              <w:t>分，获得三等奖的，得</w:t>
            </w:r>
            <w:r>
              <w:rPr>
                <w:rFonts w:hint="eastAsia" w:ascii="宋体" w:hAnsi="宋体" w:cs="宋体"/>
                <w:color w:val="auto"/>
                <w:sz w:val="24"/>
                <w:lang w:val="en-US" w:eastAsia="zh-CN"/>
              </w:rPr>
              <w:t>1</w:t>
            </w:r>
            <w:r>
              <w:rPr>
                <w:rFonts w:hint="eastAsia" w:ascii="宋体" w:hAnsi="宋体" w:cs="宋体"/>
                <w:color w:val="auto"/>
                <w:sz w:val="24"/>
              </w:rPr>
              <w:t>分，取最高荣誉等级得分，不累计得分。（需提供荣誉证书或相关证明，否则不得分）</w:t>
            </w:r>
          </w:p>
        </w:tc>
        <w:tc>
          <w:tcPr>
            <w:tcW w:w="775" w:type="dxa"/>
            <w:shd w:val="clear" w:color="auto" w:fill="FFFFFF"/>
            <w:noWrap/>
            <w:tcMar>
              <w:top w:w="0" w:type="dxa"/>
              <w:left w:w="108" w:type="dxa"/>
              <w:bottom w:w="0" w:type="dxa"/>
              <w:right w:w="108" w:type="dxa"/>
            </w:tcMar>
            <w:vAlign w:val="center"/>
          </w:tcPr>
          <w:p w14:paraId="3015E535">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分</w:t>
            </w:r>
          </w:p>
        </w:tc>
      </w:tr>
      <w:tr w14:paraId="73C4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4" w:hRule="atLeast"/>
        </w:trPr>
        <w:tc>
          <w:tcPr>
            <w:tcW w:w="825" w:type="dxa"/>
            <w:vMerge w:val="continue"/>
            <w:shd w:val="clear" w:color="auto" w:fill="FFFFFF"/>
            <w:noWrap/>
            <w:vAlign w:val="center"/>
          </w:tcPr>
          <w:p w14:paraId="72B45B51">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7989E89C">
            <w:pPr>
              <w:widowControl/>
              <w:spacing w:before="100" w:beforeAutospacing="1" w:after="100" w:afterAutospacing="1" w:line="306" w:lineRule="atLeast"/>
              <w:jc w:val="center"/>
              <w:rPr>
                <w:rFonts w:ascii="宋体" w:hAnsi="宋体" w:cs="宋体"/>
                <w:color w:val="auto"/>
                <w:sz w:val="24"/>
              </w:rPr>
            </w:pPr>
            <w:r>
              <w:rPr>
                <w:rFonts w:hint="eastAsia" w:ascii="宋体" w:hAnsi="宋体" w:cs="宋体"/>
                <w:color w:val="auto"/>
                <w:sz w:val="24"/>
              </w:rPr>
              <w:t>护理差错事故的解决方案</w:t>
            </w:r>
          </w:p>
        </w:tc>
        <w:tc>
          <w:tcPr>
            <w:tcW w:w="6338" w:type="dxa"/>
            <w:shd w:val="clear" w:color="auto" w:fill="FFFFFF"/>
            <w:noWrap/>
            <w:tcMar>
              <w:top w:w="0" w:type="dxa"/>
              <w:left w:w="108" w:type="dxa"/>
              <w:bottom w:w="0" w:type="dxa"/>
              <w:right w:w="108" w:type="dxa"/>
            </w:tcMar>
            <w:vAlign w:val="center"/>
          </w:tcPr>
          <w:p w14:paraId="61D4CE72">
            <w:pPr>
              <w:widowControl/>
              <w:spacing w:before="100" w:beforeAutospacing="1" w:after="100" w:afterAutospacing="1" w:line="306" w:lineRule="atLeast"/>
              <w:jc w:val="left"/>
              <w:rPr>
                <w:rFonts w:ascii="宋体" w:hAnsi="宋体" w:cs="宋体"/>
                <w:color w:val="auto"/>
                <w:sz w:val="24"/>
              </w:rPr>
            </w:pPr>
            <w:r>
              <w:rPr>
                <w:rFonts w:hint="eastAsia" w:ascii="宋体" w:hAnsi="宋体" w:cs="宋体"/>
                <w:color w:val="auto"/>
                <w:sz w:val="24"/>
              </w:rPr>
              <w:t>护理差错事故的解决方案。包括对护理人员失职后的补救措施等。补救措施完善，内容详细明确得2.6-4分，补救措施针对性强，内容明确得1.6-2.5分，补救措施合理可行得0.1-1.5分。</w:t>
            </w:r>
            <w:r>
              <w:rPr>
                <w:rFonts w:hint="eastAsia" w:ascii="宋体" w:hAnsi="宋体"/>
                <w:color w:val="auto"/>
                <w:sz w:val="24"/>
              </w:rPr>
              <w:t>未提供不得分。</w:t>
            </w:r>
          </w:p>
        </w:tc>
        <w:tc>
          <w:tcPr>
            <w:tcW w:w="775" w:type="dxa"/>
            <w:shd w:val="clear" w:color="auto" w:fill="FFFFFF"/>
            <w:noWrap/>
            <w:tcMar>
              <w:top w:w="0" w:type="dxa"/>
              <w:left w:w="108" w:type="dxa"/>
              <w:bottom w:w="0" w:type="dxa"/>
              <w:right w:w="108" w:type="dxa"/>
            </w:tcMar>
            <w:vAlign w:val="center"/>
          </w:tcPr>
          <w:p w14:paraId="140E1039">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rPr>
              <w:t>4分</w:t>
            </w:r>
          </w:p>
        </w:tc>
      </w:tr>
      <w:tr w14:paraId="3022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trPr>
        <w:tc>
          <w:tcPr>
            <w:tcW w:w="825" w:type="dxa"/>
            <w:vMerge w:val="continue"/>
            <w:shd w:val="clear" w:color="auto" w:fill="FFFFFF"/>
            <w:noWrap/>
            <w:vAlign w:val="center"/>
          </w:tcPr>
          <w:p w14:paraId="286104CC">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25E45EF1">
            <w:pPr>
              <w:widowControl/>
              <w:spacing w:before="100" w:beforeAutospacing="1" w:after="100" w:afterAutospacing="1" w:line="306" w:lineRule="atLeast"/>
              <w:jc w:val="center"/>
              <w:rPr>
                <w:rFonts w:ascii="宋体" w:hAnsi="宋体" w:cs="宋体"/>
                <w:color w:val="auto"/>
                <w:sz w:val="24"/>
              </w:rPr>
            </w:pPr>
            <w:r>
              <w:rPr>
                <w:rFonts w:hint="eastAsia" w:ascii="宋体" w:hAnsi="宋体" w:cs="宋体"/>
                <w:color w:val="auto"/>
                <w:sz w:val="24"/>
              </w:rPr>
              <w:t>履约保障措施</w:t>
            </w:r>
          </w:p>
        </w:tc>
        <w:tc>
          <w:tcPr>
            <w:tcW w:w="6338" w:type="dxa"/>
            <w:shd w:val="clear" w:color="auto" w:fill="FFFFFF"/>
            <w:noWrap/>
            <w:tcMar>
              <w:top w:w="0" w:type="dxa"/>
              <w:left w:w="108" w:type="dxa"/>
              <w:bottom w:w="0" w:type="dxa"/>
              <w:right w:w="108" w:type="dxa"/>
            </w:tcMar>
            <w:vAlign w:val="center"/>
          </w:tcPr>
          <w:p w14:paraId="751FDECB">
            <w:pPr>
              <w:widowControl/>
              <w:spacing w:before="100" w:beforeAutospacing="1" w:after="100" w:afterAutospacing="1" w:line="306" w:lineRule="atLeast"/>
              <w:jc w:val="left"/>
              <w:rPr>
                <w:rFonts w:ascii="宋体" w:hAnsi="宋体" w:cs="宋体"/>
                <w:color w:val="auto"/>
                <w:sz w:val="24"/>
              </w:rPr>
            </w:pPr>
            <w:r>
              <w:rPr>
                <w:rFonts w:hint="eastAsia" w:ascii="宋体" w:hAnsi="宋体" w:cs="宋体"/>
                <w:color w:val="auto"/>
                <w:sz w:val="24"/>
              </w:rPr>
              <w:t>项目履约保证和内容控制响应。根据投标人对本项目响应的 履约保证程度得,对招投人提出的运营工作质量评估办法、按评估结果等级扣除委托运营总价办法,以及响应的内部控制措施情况进行综合评分。</w:t>
            </w:r>
            <w:r>
              <w:rPr>
                <w:rFonts w:hint="eastAsia" w:ascii="宋体" w:hAnsi="宋体"/>
                <w:color w:val="auto"/>
                <w:sz w:val="24"/>
              </w:rPr>
              <w:t>方案内容全面完整、合理可行，质量评估办法得力、针对性强，能够完全满足采购文件的要求得4-5 分；方案内容较全面，质量评估办法合理可行，有较好的针对性，能够较好的满足采购文件的要求得2-3.9 分；方案内容有所遗漏，措施合理性、可行性及针对性较弱，能够满足采购文件的部分要求得：0.1-1.9 分；未提供具体方案的不得分。</w:t>
            </w:r>
          </w:p>
        </w:tc>
        <w:tc>
          <w:tcPr>
            <w:tcW w:w="775" w:type="dxa"/>
            <w:shd w:val="clear" w:color="auto" w:fill="FFFFFF"/>
            <w:noWrap/>
            <w:tcMar>
              <w:top w:w="0" w:type="dxa"/>
              <w:left w:w="108" w:type="dxa"/>
              <w:bottom w:w="0" w:type="dxa"/>
              <w:right w:w="108" w:type="dxa"/>
            </w:tcMar>
            <w:vAlign w:val="center"/>
          </w:tcPr>
          <w:p w14:paraId="16AC7DFC">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rPr>
              <w:t>5分</w:t>
            </w:r>
          </w:p>
        </w:tc>
      </w:tr>
      <w:tr w14:paraId="0F24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814" w:hRule="atLeast"/>
        </w:trPr>
        <w:tc>
          <w:tcPr>
            <w:tcW w:w="825" w:type="dxa"/>
            <w:vMerge w:val="continue"/>
            <w:shd w:val="clear" w:color="auto" w:fill="FFFFFF"/>
            <w:noWrap/>
            <w:vAlign w:val="center"/>
          </w:tcPr>
          <w:p w14:paraId="67E8D916">
            <w:pPr>
              <w:widowControl/>
              <w:jc w:val="left"/>
              <w:rPr>
                <w:rFonts w:ascii="宋体" w:hAnsi="宋体" w:cs="宋体"/>
                <w:color w:val="auto"/>
                <w:kern w:val="0"/>
                <w:sz w:val="24"/>
              </w:rPr>
            </w:pPr>
          </w:p>
        </w:tc>
        <w:tc>
          <w:tcPr>
            <w:tcW w:w="1317" w:type="dxa"/>
            <w:shd w:val="clear" w:color="auto" w:fill="FFFFFF"/>
            <w:noWrap/>
            <w:tcMar>
              <w:top w:w="0" w:type="dxa"/>
              <w:left w:w="108" w:type="dxa"/>
              <w:bottom w:w="0" w:type="dxa"/>
              <w:right w:w="108" w:type="dxa"/>
            </w:tcMar>
            <w:vAlign w:val="center"/>
          </w:tcPr>
          <w:p w14:paraId="43D8315F">
            <w:pPr>
              <w:widowControl/>
              <w:spacing w:before="100" w:beforeAutospacing="1" w:after="100" w:afterAutospacing="1" w:line="306" w:lineRule="atLeast"/>
              <w:jc w:val="center"/>
              <w:rPr>
                <w:rFonts w:ascii="宋体" w:hAnsi="宋体" w:cs="宋体"/>
                <w:color w:val="auto"/>
                <w:sz w:val="24"/>
              </w:rPr>
            </w:pPr>
            <w:r>
              <w:rPr>
                <w:rFonts w:hint="eastAsia" w:ascii="宋体" w:hAnsi="宋体" w:cs="宋体"/>
                <w:color w:val="auto"/>
                <w:sz w:val="24"/>
              </w:rPr>
              <w:t>增值服务</w:t>
            </w:r>
          </w:p>
        </w:tc>
        <w:tc>
          <w:tcPr>
            <w:tcW w:w="6338" w:type="dxa"/>
            <w:shd w:val="clear" w:color="auto" w:fill="FFFFFF"/>
            <w:noWrap/>
            <w:tcMar>
              <w:top w:w="0" w:type="dxa"/>
              <w:left w:w="108" w:type="dxa"/>
              <w:bottom w:w="0" w:type="dxa"/>
              <w:right w:w="108" w:type="dxa"/>
            </w:tcMar>
            <w:vAlign w:val="center"/>
          </w:tcPr>
          <w:p w14:paraId="28A98ED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根据投标人所提供的</w:t>
            </w:r>
            <w:r>
              <w:rPr>
                <w:rFonts w:hint="eastAsia" w:ascii="宋体" w:hAnsi="宋体" w:eastAsia="宋体" w:cs="宋体"/>
                <w:bCs/>
                <w:color w:val="auto"/>
                <w:sz w:val="24"/>
                <w:szCs w:val="24"/>
                <w:highlight w:val="none"/>
                <w:lang w:val="en-US" w:eastAsia="zh-CN"/>
              </w:rPr>
              <w:t>增值</w:t>
            </w:r>
            <w:r>
              <w:rPr>
                <w:rFonts w:hint="eastAsia" w:ascii="宋体" w:hAnsi="宋体" w:eastAsia="宋体" w:cs="宋体"/>
                <w:bCs/>
                <w:color w:val="auto"/>
                <w:sz w:val="24"/>
                <w:szCs w:val="24"/>
                <w:highlight w:val="none"/>
              </w:rPr>
              <w:t>服务进行评分：</w:t>
            </w:r>
          </w:p>
          <w:p w14:paraId="0DCFCE0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根据服务团队的特色，提供的其他个性化、专业化和优化服务内容，根据服务内容的特色、亮点进行综合评议。</w:t>
            </w:r>
          </w:p>
          <w:p w14:paraId="771B77B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增值服务</w:t>
            </w:r>
            <w:r>
              <w:rPr>
                <w:rFonts w:hint="eastAsia" w:ascii="宋体" w:hAnsi="宋体" w:eastAsia="宋体" w:cs="宋体"/>
                <w:color w:val="auto"/>
                <w:sz w:val="24"/>
                <w:highlight w:val="none"/>
                <w:lang w:val="zh-CN"/>
              </w:rPr>
              <w:t>有</w:t>
            </w:r>
            <w:r>
              <w:rPr>
                <w:rFonts w:hint="eastAsia" w:ascii="宋体" w:hAnsi="宋体" w:eastAsia="宋体" w:cs="宋体"/>
                <w:color w:val="auto"/>
                <w:sz w:val="24"/>
                <w:highlight w:val="none"/>
              </w:rPr>
              <w:t>特色、专业、有针对性，贴切</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需求的</w:t>
            </w:r>
            <w:r>
              <w:rPr>
                <w:rFonts w:hint="eastAsia" w:ascii="宋体" w:hAnsi="宋体" w:eastAsia="宋体" w:cs="宋体"/>
                <w:color w:val="auto"/>
                <w:sz w:val="24"/>
                <w:highlight w:val="none"/>
                <w:lang w:val="zh-CN"/>
              </w:rPr>
              <w:t>得</w:t>
            </w:r>
            <w:r>
              <w:rPr>
                <w:rFonts w:hint="eastAsia" w:ascii="宋体" w:hAnsi="宋体" w:eastAsia="宋体" w:cs="宋体"/>
                <w:color w:val="auto"/>
                <w:sz w:val="24"/>
                <w:highlight w:val="none"/>
                <w:lang w:val="en-US" w:eastAsia="zh-CN"/>
              </w:rPr>
              <w:t>2</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highlight w:val="none"/>
              </w:rPr>
              <w:t>分，增值服务有一定亮点的得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分，增值服务缺乏特色有待改进的得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分。</w:t>
            </w:r>
          </w:p>
          <w:p w14:paraId="3C0B239A">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auto"/>
                <w:sz w:val="24"/>
              </w:rPr>
            </w:pPr>
            <w:r>
              <w:rPr>
                <w:rFonts w:hint="eastAsia" w:ascii="宋体" w:hAnsi="宋体" w:eastAsia="宋体" w:cs="宋体"/>
                <w:bCs/>
                <w:color w:val="auto"/>
                <w:sz w:val="24"/>
                <w:szCs w:val="24"/>
                <w:highlight w:val="none"/>
                <w:lang w:val="en-US" w:eastAsia="zh-CN"/>
              </w:rPr>
              <w:t>未提供不得分。</w:t>
            </w:r>
          </w:p>
        </w:tc>
        <w:tc>
          <w:tcPr>
            <w:tcW w:w="775" w:type="dxa"/>
            <w:shd w:val="clear" w:color="auto" w:fill="FFFFFF"/>
            <w:noWrap/>
            <w:tcMar>
              <w:top w:w="0" w:type="dxa"/>
              <w:left w:w="108" w:type="dxa"/>
              <w:bottom w:w="0" w:type="dxa"/>
              <w:right w:w="108" w:type="dxa"/>
            </w:tcMar>
            <w:vAlign w:val="center"/>
          </w:tcPr>
          <w:p w14:paraId="6745AE8A">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rPr>
              <w:t>3分</w:t>
            </w:r>
          </w:p>
        </w:tc>
      </w:tr>
      <w:tr w14:paraId="7B34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3" w:hRule="atLeast"/>
        </w:trPr>
        <w:tc>
          <w:tcPr>
            <w:tcW w:w="825" w:type="dxa"/>
            <w:shd w:val="clear" w:color="auto" w:fill="FFFFFF"/>
            <w:noWrap/>
            <w:tcMar>
              <w:top w:w="0" w:type="dxa"/>
              <w:left w:w="108" w:type="dxa"/>
              <w:bottom w:w="0" w:type="dxa"/>
              <w:right w:w="108" w:type="dxa"/>
            </w:tcMar>
            <w:vAlign w:val="center"/>
          </w:tcPr>
          <w:p w14:paraId="1BDDE9A4">
            <w:pPr>
              <w:widowControl/>
              <w:spacing w:before="100" w:beforeAutospacing="1" w:after="100" w:afterAutospacing="1" w:line="306" w:lineRule="atLeast"/>
              <w:jc w:val="both"/>
              <w:rPr>
                <w:rFonts w:ascii="宋体" w:hAnsi="宋体" w:cs="宋体"/>
                <w:color w:val="auto"/>
                <w:kern w:val="0"/>
                <w:sz w:val="24"/>
              </w:rPr>
            </w:pPr>
            <w:r>
              <w:rPr>
                <w:rFonts w:ascii="宋体" w:hAnsi="宋体" w:cs="宋体"/>
                <w:b/>
                <w:bCs/>
                <w:color w:val="auto"/>
                <w:kern w:val="0"/>
                <w:sz w:val="24"/>
              </w:rPr>
              <w:t>价格</w:t>
            </w:r>
          </w:p>
          <w:p w14:paraId="5CED231E">
            <w:pPr>
              <w:widowControl/>
              <w:spacing w:before="100" w:beforeAutospacing="1" w:after="100" w:afterAutospacing="1" w:line="306" w:lineRule="atLeast"/>
              <w:jc w:val="both"/>
              <w:rPr>
                <w:rFonts w:ascii="宋体" w:hAnsi="宋体" w:cs="宋体"/>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0分</w:t>
            </w:r>
          </w:p>
        </w:tc>
        <w:tc>
          <w:tcPr>
            <w:tcW w:w="8430" w:type="dxa"/>
            <w:gridSpan w:val="3"/>
            <w:shd w:val="clear" w:color="auto" w:fill="FFFFFF"/>
            <w:noWrap/>
            <w:tcMar>
              <w:top w:w="0" w:type="dxa"/>
              <w:left w:w="108" w:type="dxa"/>
              <w:bottom w:w="0" w:type="dxa"/>
              <w:right w:w="108" w:type="dxa"/>
            </w:tcMar>
            <w:vAlign w:val="center"/>
          </w:tcPr>
          <w:p w14:paraId="27BAA7AE">
            <w:pPr>
              <w:widowControl/>
              <w:spacing w:before="100" w:beforeAutospacing="1" w:after="100" w:afterAutospacing="1" w:line="306" w:lineRule="atLeast"/>
              <w:jc w:val="left"/>
              <w:rPr>
                <w:rFonts w:ascii="宋体" w:hAnsi="宋体" w:cs="宋体"/>
                <w:color w:val="auto"/>
                <w:kern w:val="0"/>
                <w:sz w:val="24"/>
              </w:rPr>
            </w:pPr>
            <w:r>
              <w:rPr>
                <w:rFonts w:ascii="宋体" w:hAnsi="宋体" w:cs="宋体"/>
                <w:color w:val="auto"/>
                <w:kern w:val="0"/>
                <w:sz w:val="24"/>
              </w:rPr>
              <w:t>以合格供应商的最低报价为基准价，基准价为</w:t>
            </w:r>
            <w:r>
              <w:rPr>
                <w:rFonts w:hint="eastAsia" w:ascii="宋体" w:hAnsi="宋体" w:cs="宋体"/>
                <w:color w:val="auto"/>
                <w:kern w:val="0"/>
                <w:sz w:val="24"/>
              </w:rPr>
              <w:t>1</w:t>
            </w:r>
            <w:r>
              <w:rPr>
                <w:rFonts w:ascii="宋体" w:hAnsi="宋体" w:cs="宋体"/>
                <w:color w:val="auto"/>
                <w:kern w:val="0"/>
                <w:sz w:val="24"/>
              </w:rPr>
              <w:t>0分，其他供应商价格分计算为（基准价/该供应商报价）×</w:t>
            </w:r>
            <w:r>
              <w:rPr>
                <w:rFonts w:hint="eastAsia" w:ascii="宋体" w:hAnsi="宋体" w:cs="宋体"/>
                <w:color w:val="auto"/>
                <w:kern w:val="0"/>
                <w:sz w:val="24"/>
              </w:rPr>
              <w:t>1</w:t>
            </w:r>
            <w:r>
              <w:rPr>
                <w:rFonts w:ascii="宋体" w:hAnsi="宋体" w:cs="宋体"/>
                <w:color w:val="auto"/>
                <w:kern w:val="0"/>
                <w:sz w:val="24"/>
              </w:rPr>
              <w:t>0，超预算报价文件为无效。</w:t>
            </w:r>
          </w:p>
        </w:tc>
      </w:tr>
    </w:tbl>
    <w:p w14:paraId="607F4895">
      <w:pPr>
        <w:autoSpaceDE w:val="0"/>
        <w:autoSpaceDN w:val="0"/>
        <w:adjustRightInd w:val="0"/>
        <w:spacing w:line="380" w:lineRule="exact"/>
        <w:ind w:right="85"/>
        <w:rPr>
          <w:rFonts w:ascii="宋体"/>
          <w:color w:val="auto"/>
          <w:sz w:val="24"/>
          <w:lang w:val="zh-CN"/>
        </w:rPr>
      </w:pPr>
    </w:p>
    <w:p w14:paraId="5223339A">
      <w:pPr>
        <w:ind w:firstLine="904"/>
        <w:rPr>
          <w:rFonts w:asciiTheme="minorEastAsia" w:hAnsiTheme="minorEastAsia" w:eastAsiaTheme="minorEastAsia"/>
          <w:b/>
          <w:color w:val="auto"/>
          <w:sz w:val="36"/>
          <w:szCs w:val="36"/>
        </w:rPr>
        <w:sectPr>
          <w:headerReference r:id="rId5" w:type="default"/>
          <w:footerReference r:id="rId6" w:type="default"/>
          <w:pgSz w:w="11906" w:h="16838"/>
          <w:pgMar w:top="1440" w:right="1587" w:bottom="1440" w:left="1633" w:header="851" w:footer="992" w:gutter="0"/>
          <w:pgNumType w:fmt="decimal"/>
          <w:cols w:space="0" w:num="1"/>
          <w:docGrid w:type="lines" w:linePitch="312" w:charSpace="0"/>
        </w:sectPr>
      </w:pPr>
    </w:p>
    <w:p w14:paraId="79672F37">
      <w:pPr>
        <w:numPr>
          <w:ilvl w:val="0"/>
          <w:numId w:val="6"/>
        </w:numPr>
        <w:spacing w:line="420" w:lineRule="exact"/>
        <w:ind w:firstLine="904"/>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 xml:space="preserve"> 公开招标需求</w:t>
      </w:r>
    </w:p>
    <w:p w14:paraId="35A83FC0">
      <w:pPr>
        <w:tabs>
          <w:tab w:val="left" w:pos="8280"/>
        </w:tabs>
        <w:autoSpaceDE w:val="0"/>
        <w:autoSpaceDN w:val="0"/>
        <w:adjustRightInd w:val="0"/>
        <w:spacing w:line="360" w:lineRule="auto"/>
        <w:ind w:right="25" w:firstLine="482" w:firstLineChars="200"/>
        <w:rPr>
          <w:rFonts w:ascii="宋体" w:hAnsi="宋体"/>
          <w:color w:val="auto"/>
          <w:sz w:val="24"/>
        </w:rPr>
      </w:pPr>
      <w:bookmarkStart w:id="0" w:name="_bookmark20"/>
      <w:bookmarkEnd w:id="0"/>
      <w:r>
        <w:rPr>
          <w:rFonts w:hint="eastAsia" w:ascii="宋体" w:hAnsi="宋体"/>
          <w:b/>
          <w:color w:val="auto"/>
          <w:sz w:val="24"/>
        </w:rPr>
        <w:t>一、招标项目一览表</w:t>
      </w:r>
    </w:p>
    <w:p w14:paraId="587B842C">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本次招标共</w:t>
      </w:r>
      <w:r>
        <w:rPr>
          <w:rFonts w:hint="eastAsia" w:ascii="宋体" w:hAnsi="宋体"/>
          <w:color w:val="auto"/>
          <w:sz w:val="24"/>
          <w:u w:val="single"/>
        </w:rPr>
        <w:t>1</w:t>
      </w:r>
      <w:r>
        <w:rPr>
          <w:rFonts w:hint="eastAsia" w:ascii="宋体" w:hAnsi="宋体"/>
          <w:color w:val="auto"/>
          <w:sz w:val="24"/>
        </w:rPr>
        <w:t>个标段，具体内容如下表：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206"/>
        <w:gridCol w:w="720"/>
        <w:gridCol w:w="765"/>
        <w:gridCol w:w="1854"/>
        <w:gridCol w:w="2676"/>
      </w:tblGrid>
      <w:tr w14:paraId="0372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9" w:type="dxa"/>
            <w:noWrap/>
            <w:vAlign w:val="center"/>
          </w:tcPr>
          <w:p w14:paraId="2B12C91B">
            <w:pPr>
              <w:tabs>
                <w:tab w:val="left" w:pos="8280"/>
              </w:tabs>
              <w:autoSpaceDE w:val="0"/>
              <w:autoSpaceDN w:val="0"/>
              <w:adjustRightInd w:val="0"/>
              <w:spacing w:line="360" w:lineRule="auto"/>
              <w:ind w:right="-167"/>
              <w:jc w:val="both"/>
              <w:rPr>
                <w:rFonts w:ascii="宋体" w:hAnsi="宋体"/>
                <w:b/>
                <w:color w:val="auto"/>
                <w:sz w:val="24"/>
              </w:rPr>
            </w:pPr>
            <w:r>
              <w:rPr>
                <w:rFonts w:hint="eastAsia" w:ascii="宋体" w:hAnsi="宋体"/>
                <w:b/>
                <w:color w:val="auto"/>
                <w:sz w:val="24"/>
              </w:rPr>
              <w:t>标段号</w:t>
            </w:r>
          </w:p>
        </w:tc>
        <w:tc>
          <w:tcPr>
            <w:tcW w:w="2206" w:type="dxa"/>
            <w:noWrap/>
            <w:vAlign w:val="center"/>
          </w:tcPr>
          <w:p w14:paraId="12267FCD">
            <w:pPr>
              <w:spacing w:line="360" w:lineRule="auto"/>
              <w:ind w:firstLine="602"/>
              <w:jc w:val="both"/>
              <w:rPr>
                <w:rFonts w:ascii="宋体" w:hAnsi="宋体" w:cs="宋体"/>
                <w:b/>
                <w:color w:val="auto"/>
                <w:kern w:val="0"/>
                <w:sz w:val="24"/>
              </w:rPr>
            </w:pPr>
            <w:r>
              <w:rPr>
                <w:rFonts w:hint="eastAsia" w:ascii="宋体" w:hAnsi="宋体" w:cs="宋体"/>
                <w:b/>
                <w:color w:val="auto"/>
                <w:kern w:val="0"/>
                <w:sz w:val="24"/>
              </w:rPr>
              <w:t>项目内容</w:t>
            </w:r>
          </w:p>
        </w:tc>
        <w:tc>
          <w:tcPr>
            <w:tcW w:w="720" w:type="dxa"/>
            <w:noWrap/>
            <w:vAlign w:val="center"/>
          </w:tcPr>
          <w:p w14:paraId="09F20396">
            <w:pPr>
              <w:spacing w:line="360" w:lineRule="auto"/>
              <w:jc w:val="both"/>
              <w:rPr>
                <w:rFonts w:ascii="宋体" w:hAnsi="宋体" w:cs="宋体"/>
                <w:b/>
                <w:bCs/>
                <w:color w:val="auto"/>
                <w:sz w:val="24"/>
              </w:rPr>
            </w:pPr>
            <w:r>
              <w:rPr>
                <w:rFonts w:hint="eastAsia" w:ascii="宋体" w:hAnsi="宋体"/>
                <w:b/>
                <w:bCs/>
                <w:color w:val="auto"/>
                <w:sz w:val="24"/>
              </w:rPr>
              <w:t>数量</w:t>
            </w:r>
          </w:p>
        </w:tc>
        <w:tc>
          <w:tcPr>
            <w:tcW w:w="765" w:type="dxa"/>
            <w:noWrap/>
            <w:vAlign w:val="center"/>
          </w:tcPr>
          <w:p w14:paraId="211D1DFA">
            <w:pPr>
              <w:tabs>
                <w:tab w:val="left" w:pos="8280"/>
              </w:tabs>
              <w:autoSpaceDE w:val="0"/>
              <w:autoSpaceDN w:val="0"/>
              <w:adjustRightInd w:val="0"/>
              <w:spacing w:line="360" w:lineRule="auto"/>
              <w:ind w:right="25"/>
              <w:jc w:val="both"/>
              <w:rPr>
                <w:rFonts w:ascii="宋体" w:hAnsi="宋体"/>
                <w:b/>
                <w:color w:val="auto"/>
                <w:sz w:val="24"/>
              </w:rPr>
            </w:pPr>
            <w:r>
              <w:rPr>
                <w:rFonts w:hint="eastAsia" w:ascii="宋体" w:hAnsi="宋体"/>
                <w:b/>
                <w:color w:val="auto"/>
                <w:sz w:val="24"/>
              </w:rPr>
              <w:t>单位</w:t>
            </w:r>
          </w:p>
        </w:tc>
        <w:tc>
          <w:tcPr>
            <w:tcW w:w="1854" w:type="dxa"/>
            <w:noWrap/>
            <w:vAlign w:val="center"/>
          </w:tcPr>
          <w:p w14:paraId="3593A717">
            <w:pPr>
              <w:tabs>
                <w:tab w:val="left" w:pos="8280"/>
              </w:tabs>
              <w:autoSpaceDE w:val="0"/>
              <w:autoSpaceDN w:val="0"/>
              <w:adjustRightInd w:val="0"/>
              <w:spacing w:line="360" w:lineRule="auto"/>
              <w:ind w:right="25"/>
              <w:jc w:val="both"/>
              <w:rPr>
                <w:rFonts w:ascii="宋体" w:hAnsi="宋体"/>
                <w:b/>
                <w:color w:val="auto"/>
                <w:sz w:val="24"/>
              </w:rPr>
            </w:pPr>
            <w:r>
              <w:rPr>
                <w:rFonts w:hint="eastAsia" w:ascii="宋体" w:hAnsi="宋体"/>
                <w:b/>
                <w:color w:val="auto"/>
                <w:sz w:val="24"/>
              </w:rPr>
              <w:t>预算（万元）</w:t>
            </w:r>
          </w:p>
        </w:tc>
        <w:tc>
          <w:tcPr>
            <w:tcW w:w="2676" w:type="dxa"/>
            <w:noWrap/>
            <w:vAlign w:val="center"/>
          </w:tcPr>
          <w:p w14:paraId="2DB2E738">
            <w:pPr>
              <w:spacing w:line="360" w:lineRule="auto"/>
              <w:ind w:firstLine="602"/>
              <w:jc w:val="both"/>
              <w:rPr>
                <w:rFonts w:ascii="宋体" w:hAnsi="宋体"/>
                <w:b/>
                <w:color w:val="auto"/>
                <w:sz w:val="24"/>
              </w:rPr>
            </w:pPr>
            <w:r>
              <w:rPr>
                <w:rFonts w:hint="eastAsia" w:ascii="宋体" w:hAnsi="宋体"/>
                <w:b/>
                <w:color w:val="auto"/>
                <w:sz w:val="24"/>
              </w:rPr>
              <w:t>服务时间</w:t>
            </w:r>
          </w:p>
        </w:tc>
      </w:tr>
      <w:tr w14:paraId="1C3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9" w:type="dxa"/>
            <w:vMerge w:val="restart"/>
            <w:noWrap/>
            <w:vAlign w:val="center"/>
          </w:tcPr>
          <w:p w14:paraId="1C91B093">
            <w:pPr>
              <w:tabs>
                <w:tab w:val="left" w:pos="8280"/>
              </w:tabs>
              <w:autoSpaceDE w:val="0"/>
              <w:autoSpaceDN w:val="0"/>
              <w:adjustRightInd w:val="0"/>
              <w:spacing w:line="360" w:lineRule="auto"/>
              <w:ind w:right="25"/>
              <w:jc w:val="center"/>
              <w:rPr>
                <w:rFonts w:ascii="宋体" w:hAnsi="宋体"/>
                <w:color w:val="auto"/>
                <w:sz w:val="24"/>
              </w:rPr>
            </w:pPr>
            <w:r>
              <w:rPr>
                <w:rFonts w:hint="eastAsia" w:ascii="宋体" w:hAnsi="宋体"/>
                <w:color w:val="auto"/>
                <w:sz w:val="24"/>
              </w:rPr>
              <w:t>一</w:t>
            </w:r>
          </w:p>
        </w:tc>
        <w:tc>
          <w:tcPr>
            <w:tcW w:w="2206" w:type="dxa"/>
            <w:vMerge w:val="restart"/>
            <w:noWrap/>
            <w:vAlign w:val="center"/>
          </w:tcPr>
          <w:p w14:paraId="6C780C1B">
            <w:pPr>
              <w:widowControl/>
              <w:jc w:val="center"/>
              <w:rPr>
                <w:rFonts w:ascii="宋体" w:hAnsi="宋体" w:cs="宋体"/>
                <w:color w:val="auto"/>
                <w:kern w:val="0"/>
                <w:sz w:val="24"/>
              </w:rPr>
            </w:pPr>
            <w:r>
              <w:rPr>
                <w:rFonts w:hint="eastAsia" w:ascii="宋体" w:hAnsi="宋体"/>
                <w:color w:val="auto"/>
                <w:kern w:val="0"/>
                <w:sz w:val="24"/>
              </w:rPr>
              <w:t>玉环市残疾人托养中心运行管理项目</w:t>
            </w:r>
          </w:p>
        </w:tc>
        <w:tc>
          <w:tcPr>
            <w:tcW w:w="720" w:type="dxa"/>
            <w:vMerge w:val="restart"/>
            <w:noWrap/>
            <w:vAlign w:val="center"/>
          </w:tcPr>
          <w:p w14:paraId="13FEF336">
            <w:pPr>
              <w:widowControl/>
              <w:jc w:val="center"/>
              <w:rPr>
                <w:rFonts w:ascii="宋体" w:hAnsi="宋体"/>
                <w:bCs/>
                <w:color w:val="auto"/>
                <w:sz w:val="24"/>
              </w:rPr>
            </w:pPr>
            <w:r>
              <w:rPr>
                <w:rFonts w:hint="eastAsia" w:ascii="宋体" w:hAnsi="宋体"/>
                <w:color w:val="auto"/>
                <w:sz w:val="24"/>
              </w:rPr>
              <w:t>1</w:t>
            </w:r>
          </w:p>
        </w:tc>
        <w:tc>
          <w:tcPr>
            <w:tcW w:w="765" w:type="dxa"/>
            <w:vMerge w:val="restart"/>
            <w:noWrap/>
            <w:vAlign w:val="center"/>
          </w:tcPr>
          <w:p w14:paraId="4FF39A16">
            <w:pPr>
              <w:widowControl/>
              <w:jc w:val="center"/>
              <w:rPr>
                <w:rFonts w:ascii="宋体" w:hAnsi="宋体"/>
                <w:color w:val="auto"/>
                <w:sz w:val="24"/>
              </w:rPr>
            </w:pPr>
            <w:r>
              <w:rPr>
                <w:rFonts w:hint="eastAsia" w:ascii="宋体" w:hAnsi="宋体"/>
                <w:color w:val="auto"/>
                <w:sz w:val="24"/>
              </w:rPr>
              <w:t>项</w:t>
            </w:r>
          </w:p>
        </w:tc>
        <w:tc>
          <w:tcPr>
            <w:tcW w:w="1854" w:type="dxa"/>
            <w:noWrap/>
            <w:vAlign w:val="center"/>
          </w:tcPr>
          <w:p w14:paraId="4C5183F4">
            <w:pPr>
              <w:tabs>
                <w:tab w:val="left" w:pos="8280"/>
              </w:tabs>
              <w:autoSpaceDE w:val="0"/>
              <w:autoSpaceDN w:val="0"/>
              <w:adjustRightInd w:val="0"/>
              <w:ind w:right="25"/>
              <w:rPr>
                <w:rFonts w:ascii="宋体" w:hAnsi="宋体"/>
                <w:color w:val="auto"/>
                <w:sz w:val="24"/>
              </w:rPr>
            </w:pPr>
            <w:r>
              <w:rPr>
                <w:rFonts w:hint="eastAsia" w:ascii="宋体" w:hAnsi="宋体"/>
                <w:color w:val="auto"/>
                <w:sz w:val="24"/>
              </w:rPr>
              <w:t>2025年343.84</w:t>
            </w:r>
          </w:p>
        </w:tc>
        <w:tc>
          <w:tcPr>
            <w:tcW w:w="2676" w:type="dxa"/>
            <w:vMerge w:val="restart"/>
            <w:noWrap/>
            <w:vAlign w:val="center"/>
          </w:tcPr>
          <w:p w14:paraId="400957E2">
            <w:pPr>
              <w:widowControl/>
              <w:jc w:val="center"/>
              <w:rPr>
                <w:rFonts w:ascii="宋体" w:hAnsi="宋体"/>
                <w:color w:val="auto"/>
                <w:sz w:val="24"/>
              </w:rPr>
            </w:pPr>
            <w:r>
              <w:rPr>
                <w:rFonts w:hint="eastAsia" w:ascii="宋体" w:hAnsi="宋体"/>
                <w:bCs/>
                <w:color w:val="auto"/>
                <w:kern w:val="0"/>
                <w:sz w:val="24"/>
              </w:rPr>
              <w:t>本项目期限三年，合同一年一签，第一年按托养110人测算为343.84万元，第二年按托养120人测算为361.84万元，第三年按130人测算为379.84 万元</w:t>
            </w:r>
          </w:p>
        </w:tc>
      </w:tr>
      <w:tr w14:paraId="54AD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29" w:type="dxa"/>
            <w:vMerge w:val="continue"/>
            <w:noWrap/>
            <w:vAlign w:val="center"/>
          </w:tcPr>
          <w:p w14:paraId="04031F83">
            <w:pPr>
              <w:tabs>
                <w:tab w:val="left" w:pos="8280"/>
              </w:tabs>
              <w:autoSpaceDE w:val="0"/>
              <w:autoSpaceDN w:val="0"/>
              <w:adjustRightInd w:val="0"/>
              <w:spacing w:line="360" w:lineRule="auto"/>
              <w:ind w:right="25"/>
              <w:jc w:val="center"/>
              <w:rPr>
                <w:rFonts w:ascii="宋体" w:hAnsi="宋体"/>
                <w:color w:val="auto"/>
                <w:sz w:val="24"/>
              </w:rPr>
            </w:pPr>
          </w:p>
        </w:tc>
        <w:tc>
          <w:tcPr>
            <w:tcW w:w="2206" w:type="dxa"/>
            <w:vMerge w:val="continue"/>
            <w:noWrap/>
            <w:vAlign w:val="center"/>
          </w:tcPr>
          <w:p w14:paraId="7C72A15D">
            <w:pPr>
              <w:widowControl/>
              <w:jc w:val="center"/>
              <w:rPr>
                <w:rFonts w:ascii="宋体" w:hAnsi="宋体"/>
                <w:color w:val="auto"/>
                <w:kern w:val="0"/>
                <w:sz w:val="24"/>
              </w:rPr>
            </w:pPr>
          </w:p>
        </w:tc>
        <w:tc>
          <w:tcPr>
            <w:tcW w:w="720" w:type="dxa"/>
            <w:vMerge w:val="continue"/>
            <w:noWrap/>
            <w:vAlign w:val="center"/>
          </w:tcPr>
          <w:p w14:paraId="33958DC3">
            <w:pPr>
              <w:widowControl/>
              <w:jc w:val="center"/>
              <w:rPr>
                <w:rFonts w:ascii="宋体" w:hAnsi="宋体"/>
                <w:color w:val="auto"/>
                <w:sz w:val="24"/>
              </w:rPr>
            </w:pPr>
          </w:p>
        </w:tc>
        <w:tc>
          <w:tcPr>
            <w:tcW w:w="765" w:type="dxa"/>
            <w:vMerge w:val="continue"/>
            <w:noWrap/>
            <w:vAlign w:val="center"/>
          </w:tcPr>
          <w:p w14:paraId="7E3F23B3">
            <w:pPr>
              <w:widowControl/>
              <w:jc w:val="center"/>
              <w:rPr>
                <w:rFonts w:ascii="宋体" w:hAnsi="宋体"/>
                <w:color w:val="auto"/>
                <w:sz w:val="24"/>
              </w:rPr>
            </w:pPr>
          </w:p>
        </w:tc>
        <w:tc>
          <w:tcPr>
            <w:tcW w:w="1854" w:type="dxa"/>
            <w:noWrap/>
            <w:vAlign w:val="center"/>
          </w:tcPr>
          <w:p w14:paraId="6B73AD43">
            <w:pPr>
              <w:tabs>
                <w:tab w:val="left" w:pos="8280"/>
              </w:tabs>
              <w:autoSpaceDE w:val="0"/>
              <w:autoSpaceDN w:val="0"/>
              <w:adjustRightInd w:val="0"/>
              <w:ind w:right="25"/>
              <w:rPr>
                <w:rFonts w:ascii="宋体" w:hAnsi="宋体"/>
                <w:color w:val="auto"/>
                <w:sz w:val="24"/>
              </w:rPr>
            </w:pPr>
            <w:r>
              <w:rPr>
                <w:rFonts w:hint="eastAsia" w:ascii="宋体" w:hAnsi="宋体"/>
                <w:color w:val="auto"/>
                <w:sz w:val="24"/>
              </w:rPr>
              <w:t>2026年361.84</w:t>
            </w:r>
          </w:p>
        </w:tc>
        <w:tc>
          <w:tcPr>
            <w:tcW w:w="2676" w:type="dxa"/>
            <w:vMerge w:val="continue"/>
            <w:noWrap/>
            <w:vAlign w:val="center"/>
          </w:tcPr>
          <w:p w14:paraId="444B7A1F">
            <w:pPr>
              <w:widowControl/>
              <w:ind w:firstLine="602"/>
              <w:jc w:val="center"/>
              <w:rPr>
                <w:rFonts w:ascii="宋体" w:hAnsi="宋体"/>
                <w:b/>
                <w:color w:val="auto"/>
                <w:kern w:val="0"/>
                <w:sz w:val="24"/>
              </w:rPr>
            </w:pPr>
          </w:p>
        </w:tc>
      </w:tr>
      <w:tr w14:paraId="541A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9" w:type="dxa"/>
            <w:vMerge w:val="continue"/>
            <w:noWrap/>
            <w:vAlign w:val="center"/>
          </w:tcPr>
          <w:p w14:paraId="4F24329C">
            <w:pPr>
              <w:tabs>
                <w:tab w:val="left" w:pos="8280"/>
              </w:tabs>
              <w:autoSpaceDE w:val="0"/>
              <w:autoSpaceDN w:val="0"/>
              <w:adjustRightInd w:val="0"/>
              <w:spacing w:line="360" w:lineRule="auto"/>
              <w:ind w:right="25"/>
              <w:jc w:val="center"/>
              <w:rPr>
                <w:rFonts w:ascii="宋体" w:hAnsi="宋体"/>
                <w:color w:val="auto"/>
                <w:sz w:val="24"/>
              </w:rPr>
            </w:pPr>
          </w:p>
        </w:tc>
        <w:tc>
          <w:tcPr>
            <w:tcW w:w="2206" w:type="dxa"/>
            <w:vMerge w:val="continue"/>
            <w:noWrap/>
            <w:vAlign w:val="center"/>
          </w:tcPr>
          <w:p w14:paraId="3BB2C6F4">
            <w:pPr>
              <w:widowControl/>
              <w:jc w:val="center"/>
              <w:rPr>
                <w:rFonts w:ascii="宋体" w:hAnsi="宋体"/>
                <w:color w:val="auto"/>
                <w:kern w:val="0"/>
                <w:sz w:val="24"/>
              </w:rPr>
            </w:pPr>
          </w:p>
        </w:tc>
        <w:tc>
          <w:tcPr>
            <w:tcW w:w="720" w:type="dxa"/>
            <w:vMerge w:val="continue"/>
            <w:noWrap/>
            <w:vAlign w:val="center"/>
          </w:tcPr>
          <w:p w14:paraId="4A6E23E8">
            <w:pPr>
              <w:widowControl/>
              <w:jc w:val="center"/>
              <w:rPr>
                <w:rFonts w:ascii="宋体" w:hAnsi="宋体"/>
                <w:color w:val="auto"/>
                <w:sz w:val="24"/>
              </w:rPr>
            </w:pPr>
          </w:p>
        </w:tc>
        <w:tc>
          <w:tcPr>
            <w:tcW w:w="765" w:type="dxa"/>
            <w:vMerge w:val="continue"/>
            <w:noWrap/>
            <w:vAlign w:val="center"/>
          </w:tcPr>
          <w:p w14:paraId="6D735048">
            <w:pPr>
              <w:widowControl/>
              <w:jc w:val="center"/>
              <w:rPr>
                <w:rFonts w:ascii="宋体" w:hAnsi="宋体"/>
                <w:color w:val="auto"/>
                <w:sz w:val="24"/>
              </w:rPr>
            </w:pPr>
          </w:p>
        </w:tc>
        <w:tc>
          <w:tcPr>
            <w:tcW w:w="1854" w:type="dxa"/>
            <w:noWrap/>
            <w:vAlign w:val="center"/>
          </w:tcPr>
          <w:p w14:paraId="72E15B71">
            <w:pPr>
              <w:tabs>
                <w:tab w:val="left" w:pos="8280"/>
              </w:tabs>
              <w:autoSpaceDE w:val="0"/>
              <w:autoSpaceDN w:val="0"/>
              <w:adjustRightInd w:val="0"/>
              <w:ind w:right="25"/>
              <w:rPr>
                <w:rFonts w:ascii="宋体" w:hAnsi="宋体"/>
                <w:color w:val="auto"/>
                <w:sz w:val="24"/>
              </w:rPr>
            </w:pPr>
            <w:r>
              <w:rPr>
                <w:rFonts w:hint="eastAsia" w:ascii="宋体" w:hAnsi="宋体"/>
                <w:color w:val="auto"/>
                <w:sz w:val="24"/>
              </w:rPr>
              <w:t>2027年379.84</w:t>
            </w:r>
          </w:p>
        </w:tc>
        <w:tc>
          <w:tcPr>
            <w:tcW w:w="2676" w:type="dxa"/>
            <w:vMerge w:val="continue"/>
            <w:noWrap/>
            <w:vAlign w:val="center"/>
          </w:tcPr>
          <w:p w14:paraId="032B8C71">
            <w:pPr>
              <w:widowControl/>
              <w:ind w:firstLine="602"/>
              <w:jc w:val="center"/>
              <w:rPr>
                <w:rFonts w:ascii="宋体" w:hAnsi="宋体"/>
                <w:b/>
                <w:color w:val="auto"/>
                <w:kern w:val="0"/>
                <w:sz w:val="24"/>
              </w:rPr>
            </w:pPr>
          </w:p>
        </w:tc>
      </w:tr>
    </w:tbl>
    <w:p w14:paraId="51A54C47">
      <w:pPr>
        <w:tabs>
          <w:tab w:val="left" w:pos="8280"/>
        </w:tabs>
        <w:autoSpaceDE w:val="0"/>
        <w:autoSpaceDN w:val="0"/>
        <w:adjustRightInd w:val="0"/>
        <w:spacing w:line="360" w:lineRule="auto"/>
        <w:ind w:right="25" w:firstLine="482" w:firstLineChars="200"/>
        <w:rPr>
          <w:rFonts w:ascii="宋体" w:hAnsi="宋体"/>
          <w:b/>
          <w:color w:val="auto"/>
          <w:sz w:val="24"/>
        </w:rPr>
      </w:pPr>
      <w:r>
        <w:rPr>
          <w:rFonts w:hint="eastAsia" w:ascii="宋体" w:hAnsi="宋体"/>
          <w:b/>
          <w:color w:val="auto"/>
          <w:sz w:val="24"/>
        </w:rPr>
        <w:t>二、技术需求</w:t>
      </w:r>
    </w:p>
    <w:p w14:paraId="35C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00" w:firstLineChars="250"/>
        <w:rPr>
          <w:rFonts w:ascii="宋体" w:hAnsi="宋体" w:cs="Arial"/>
          <w:color w:val="auto"/>
          <w:kern w:val="0"/>
          <w:sz w:val="24"/>
        </w:rPr>
      </w:pPr>
      <w:r>
        <w:rPr>
          <w:rFonts w:hint="eastAsia" w:ascii="宋体" w:hAnsi="宋体" w:cs="Arial"/>
          <w:color w:val="auto"/>
          <w:kern w:val="0"/>
          <w:sz w:val="24"/>
        </w:rPr>
        <w:t>玉环市残疾人托养中心运行管理费项目是残疾人康复服务业综合改革试点，坚持项目所有权不变、公益性质不变、服务宗旨不变、业务范围不变，激发市场主体活力，创新服务供给方式，通过政府购买服务的方式，引进具备一定资质的企业或民办非企业单位，负责中心的日常运营管理，为全市残疾人提供文化、教育、社会组织培育、志愿者服务、社会工作、宣传等服务，以不断满足残疾人日益增长的服务需求。</w:t>
      </w:r>
    </w:p>
    <w:p w14:paraId="6277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02" w:firstLineChars="250"/>
        <w:rPr>
          <w:rFonts w:ascii="宋体" w:hAnsi="宋体" w:cs="Arial"/>
          <w:color w:val="auto"/>
          <w:kern w:val="0"/>
          <w:sz w:val="24"/>
        </w:rPr>
      </w:pPr>
      <w:r>
        <w:rPr>
          <w:rFonts w:hint="eastAsia" w:ascii="宋体" w:hAnsi="宋体" w:cs="Arial"/>
          <w:b/>
          <w:color w:val="auto"/>
          <w:kern w:val="0"/>
          <w:sz w:val="24"/>
        </w:rPr>
        <w:t>（一）运营方基本义务承诺需求</w:t>
      </w:r>
    </w:p>
    <w:p w14:paraId="48CCB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1.在合同运营宗旨、范围和期限内，依法自主运营，自负盈亏。</w:t>
      </w:r>
    </w:p>
    <w:p w14:paraId="4648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2.在合同运营期限内从事残疾人服务运营活动，必须符合相关法律法规的规定条件和要求。</w:t>
      </w:r>
    </w:p>
    <w:p w14:paraId="3FF48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3.在合同运营期限内承担中心运营活动的全部成本，包括人力成本（人员工资、福利、各项社会保险费、节假日加班费、服装、劳保用品、防护用品等）、办公耗成、能耗成本、活动经费（组织活动费、教学资料费、授课费等），以及其他各项税费等。</w:t>
      </w:r>
    </w:p>
    <w:p w14:paraId="52CDC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4.有完整的中心日常管理、活动质量控制、活动质量监督、人员考核奖惩、资产管理、财务管理、活动规范、培训、值班、卫生、安全、消防安全、食品卫生、突发事件应急预案、责任人及责任追究等制度，并上墙公布。</w:t>
      </w:r>
    </w:p>
    <w:p w14:paraId="45D2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5.严格按照劳动法律法规的要求，规范用工、签订劳动合同或聘用合同，并按法律法规要求缴纳各项社会保险等。</w:t>
      </w:r>
    </w:p>
    <w:p w14:paraId="654EF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6.对设施、设备后期维护、维修、更新等程序、资金承担做出规定。</w:t>
      </w:r>
    </w:p>
    <w:p w14:paraId="6EF4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7.对原由委托方提供的已登记造册各项设施、设备使用中出现损坏或报废等情况申报和理赔作出规定。</w:t>
      </w:r>
    </w:p>
    <w:p w14:paraId="0C2DA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8.自觉接受相关部门的行业管理和财政、公安消防、食品卫生、环保、安全等部门监管，并承担相应的法律责任。</w:t>
      </w:r>
    </w:p>
    <w:p w14:paraId="0055F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9.在委托运营期间，承担在中心内活动的残疾人日常管理以及相关的纠纷和安全管理，独立承担有关经济、民事及安全等各类责任(含全部的法律责任)。</w:t>
      </w:r>
    </w:p>
    <w:p w14:paraId="762AB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10.在委托运营期间，须购买公共安全责任保险。</w:t>
      </w:r>
    </w:p>
    <w:p w14:paraId="1D282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11.不得擅自改变建筑物结构。若因运营需要改变装修或改扩建的，应报委托方同意、备案，并明确经费承担。</w:t>
      </w:r>
    </w:p>
    <w:p w14:paraId="79D9D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12.不得从事与残疾人服务无关的经营活动，不得利用本项目场地从事生产、销售、经营国家规定的违禁品，不得从事任何违法活动。</w:t>
      </w:r>
    </w:p>
    <w:p w14:paraId="36DAB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13.不得以本项目的运营权向第三方进行转包、分包、担保、保证、抵押或其他有损害委托方权益的行为。</w:t>
      </w:r>
    </w:p>
    <w:p w14:paraId="6E01E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14.积极承担委托方有关社会福利事业发展任务，优先保障委托方委托的有关项目运营事宜。</w:t>
      </w:r>
    </w:p>
    <w:p w14:paraId="1486A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Arial"/>
          <w:b/>
          <w:color w:val="auto"/>
          <w:kern w:val="0"/>
          <w:sz w:val="24"/>
        </w:rPr>
      </w:pPr>
      <w:r>
        <w:rPr>
          <w:rFonts w:hint="eastAsia" w:ascii="宋体" w:hAnsi="宋体" w:cs="Arial"/>
          <w:b/>
          <w:color w:val="auto"/>
          <w:kern w:val="0"/>
          <w:sz w:val="24"/>
        </w:rPr>
        <w:t>15.承担如下运营风险</w:t>
      </w:r>
    </w:p>
    <w:p w14:paraId="3A7EA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15.1中标单位工作人员或聘用人员在岗履行工作职责期间，发生自身人身伤害、伤亡，由中标单位负责处理并承担全部的法律责任，委托方（采购单位）不承担任何责任。</w:t>
      </w:r>
    </w:p>
    <w:p w14:paraId="0B38A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15.2中标单位与其工作人员或聘用人员发生任何纠纷，均由中标单位负责调解与处理并承担全部的法律责任，委托方（采购单位）不承担任何责任。</w:t>
      </w:r>
    </w:p>
    <w:p w14:paraId="2187C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Arial"/>
          <w:color w:val="auto"/>
          <w:kern w:val="0"/>
          <w:sz w:val="24"/>
        </w:rPr>
      </w:pPr>
      <w:r>
        <w:rPr>
          <w:rFonts w:hint="eastAsia" w:ascii="宋体" w:hAnsi="宋体" w:cs="Arial"/>
          <w:color w:val="auto"/>
          <w:kern w:val="0"/>
          <w:sz w:val="24"/>
        </w:rPr>
        <w:t>15.3中标单位在运营期间，各类安全工作均由中标单位负责。如发生安全事故如消防安全事故、食品安全事故、服务对象的人身伤害或伤亡事故等，均由中标单位负责处理并承担全部的法律责任，委托方（采购单位）不承担任何责任。</w:t>
      </w:r>
    </w:p>
    <w:p w14:paraId="79994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Arial"/>
          <w:color w:val="auto"/>
          <w:kern w:val="0"/>
          <w:sz w:val="24"/>
        </w:rPr>
      </w:pPr>
      <w:r>
        <w:rPr>
          <w:rFonts w:hint="eastAsia" w:ascii="宋体" w:hAnsi="宋体" w:cs="Arial"/>
          <w:b/>
          <w:color w:val="auto"/>
          <w:kern w:val="0"/>
          <w:sz w:val="24"/>
        </w:rPr>
        <w:t>（二）人员配备需求</w:t>
      </w:r>
    </w:p>
    <w:p w14:paraId="056DF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1.承接中心运营的工作人员岗位配置要求：专职管理人员包括财务2名，该人员根据采购人要求安排，由中标单位依法与其签订劳动合同，其收入应不低于管理人员收入均值，由中标单位为其缴纳五险一金。其他人员中具有国家级社工职业资格证不少于1人，需提供2个月以上社保证明。管理人员排班最少须保证有1人全天驻中心。护理人员根据入托人员数量按1:5的比例配置，护理人员按1:6的比例排班，护理人员配备不足扣当月考核分数总分1分。厨房人员、物业（清洁）人员、保安人员按实际需求配置，各岗位人数不得超过采购人测算人数安排（如下表）。除财务人员外所有岗位人员配置必须合规合理，确保托养中心的正常运行。</w:t>
      </w:r>
    </w:p>
    <w:p w14:paraId="786AD5B0">
      <w:pPr>
        <w:pStyle w:val="2"/>
        <w:ind w:firstLine="240"/>
        <w:rPr>
          <w:color w:val="auto"/>
        </w:rPr>
      </w:pPr>
    </w:p>
    <w:tbl>
      <w:tblPr>
        <w:tblStyle w:val="26"/>
        <w:tblpPr w:leftFromText="180" w:rightFromText="180" w:vertAnchor="text" w:horzAnchor="page" w:tblpX="1921" w:tblpY="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999"/>
        <w:gridCol w:w="949"/>
        <w:gridCol w:w="1089"/>
        <w:gridCol w:w="1430"/>
        <w:gridCol w:w="1430"/>
        <w:gridCol w:w="1430"/>
      </w:tblGrid>
      <w:tr w14:paraId="6B38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29" w:type="dxa"/>
            <w:noWrap/>
            <w:vAlign w:val="center"/>
          </w:tcPr>
          <w:p w14:paraId="33ABB865">
            <w:pPr>
              <w:pStyle w:val="2"/>
              <w:ind w:firstLine="0" w:firstLineChars="0"/>
              <w:jc w:val="center"/>
              <w:rPr>
                <w:color w:val="auto"/>
              </w:rPr>
            </w:pPr>
            <w:r>
              <w:rPr>
                <w:rFonts w:hint="eastAsia"/>
                <w:color w:val="auto"/>
              </w:rPr>
              <w:t>计划实现时间</w:t>
            </w:r>
          </w:p>
        </w:tc>
        <w:tc>
          <w:tcPr>
            <w:tcW w:w="1145" w:type="dxa"/>
            <w:noWrap/>
            <w:vAlign w:val="center"/>
          </w:tcPr>
          <w:p w14:paraId="1EFCA322">
            <w:pPr>
              <w:pStyle w:val="2"/>
              <w:ind w:firstLine="0" w:firstLineChars="0"/>
              <w:jc w:val="center"/>
              <w:rPr>
                <w:color w:val="auto"/>
              </w:rPr>
            </w:pPr>
            <w:r>
              <w:rPr>
                <w:rFonts w:hint="eastAsia"/>
                <w:color w:val="auto"/>
              </w:rPr>
              <w:t>入托人员数量</w:t>
            </w:r>
          </w:p>
        </w:tc>
        <w:tc>
          <w:tcPr>
            <w:tcW w:w="1085" w:type="dxa"/>
            <w:noWrap/>
            <w:vAlign w:val="center"/>
          </w:tcPr>
          <w:p w14:paraId="6B7F6F8F">
            <w:pPr>
              <w:pStyle w:val="2"/>
              <w:ind w:firstLine="0" w:firstLineChars="0"/>
              <w:jc w:val="center"/>
              <w:rPr>
                <w:color w:val="auto"/>
              </w:rPr>
            </w:pPr>
            <w:r>
              <w:rPr>
                <w:rFonts w:hint="eastAsia"/>
                <w:color w:val="auto"/>
              </w:rPr>
              <w:t>管理岗位人数</w:t>
            </w:r>
          </w:p>
        </w:tc>
        <w:tc>
          <w:tcPr>
            <w:tcW w:w="1252" w:type="dxa"/>
            <w:noWrap/>
            <w:vAlign w:val="center"/>
          </w:tcPr>
          <w:p w14:paraId="0B179B16">
            <w:pPr>
              <w:pStyle w:val="2"/>
              <w:ind w:firstLine="0" w:firstLineChars="0"/>
              <w:jc w:val="center"/>
              <w:rPr>
                <w:color w:val="auto"/>
              </w:rPr>
            </w:pPr>
            <w:r>
              <w:rPr>
                <w:rFonts w:hint="eastAsia"/>
                <w:color w:val="auto"/>
              </w:rPr>
              <w:t>保洁岗位人数</w:t>
            </w:r>
          </w:p>
        </w:tc>
        <w:tc>
          <w:tcPr>
            <w:tcW w:w="0" w:type="auto"/>
            <w:noWrap/>
            <w:vAlign w:val="center"/>
          </w:tcPr>
          <w:p w14:paraId="6AFAF399">
            <w:pPr>
              <w:pStyle w:val="2"/>
              <w:ind w:firstLine="0" w:firstLineChars="0"/>
              <w:jc w:val="center"/>
              <w:rPr>
                <w:color w:val="auto"/>
              </w:rPr>
            </w:pPr>
            <w:r>
              <w:rPr>
                <w:rFonts w:hint="eastAsia"/>
                <w:color w:val="auto"/>
              </w:rPr>
              <w:t>厨房岗位人数</w:t>
            </w:r>
          </w:p>
        </w:tc>
        <w:tc>
          <w:tcPr>
            <w:tcW w:w="0" w:type="auto"/>
            <w:noWrap/>
            <w:vAlign w:val="center"/>
          </w:tcPr>
          <w:p w14:paraId="018BCCA5">
            <w:pPr>
              <w:pStyle w:val="2"/>
              <w:ind w:firstLine="0" w:firstLineChars="0"/>
              <w:jc w:val="center"/>
              <w:rPr>
                <w:color w:val="auto"/>
              </w:rPr>
            </w:pPr>
            <w:r>
              <w:rPr>
                <w:rFonts w:hint="eastAsia"/>
                <w:color w:val="auto"/>
              </w:rPr>
              <w:t>保安岗位人数</w:t>
            </w:r>
          </w:p>
        </w:tc>
        <w:tc>
          <w:tcPr>
            <w:tcW w:w="0" w:type="auto"/>
            <w:noWrap/>
            <w:vAlign w:val="center"/>
          </w:tcPr>
          <w:p w14:paraId="048975F3">
            <w:pPr>
              <w:pStyle w:val="2"/>
              <w:ind w:firstLine="0" w:firstLineChars="0"/>
              <w:jc w:val="center"/>
              <w:rPr>
                <w:color w:val="auto"/>
              </w:rPr>
            </w:pPr>
            <w:r>
              <w:rPr>
                <w:rFonts w:hint="eastAsia"/>
                <w:color w:val="auto"/>
              </w:rPr>
              <w:t>护理岗位人数</w:t>
            </w:r>
          </w:p>
        </w:tc>
      </w:tr>
      <w:tr w14:paraId="270B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9" w:type="dxa"/>
            <w:noWrap/>
            <w:vAlign w:val="center"/>
          </w:tcPr>
          <w:p w14:paraId="4F3EB3E2">
            <w:pPr>
              <w:pStyle w:val="2"/>
              <w:ind w:firstLine="0" w:firstLineChars="0"/>
              <w:jc w:val="center"/>
              <w:rPr>
                <w:color w:val="auto"/>
              </w:rPr>
            </w:pPr>
            <w:r>
              <w:rPr>
                <w:rFonts w:hint="eastAsia"/>
                <w:color w:val="auto"/>
              </w:rPr>
              <w:t>2025-2027年</w:t>
            </w:r>
          </w:p>
        </w:tc>
        <w:tc>
          <w:tcPr>
            <w:tcW w:w="1145" w:type="dxa"/>
            <w:noWrap/>
            <w:vAlign w:val="center"/>
          </w:tcPr>
          <w:p w14:paraId="2A4FF380">
            <w:pPr>
              <w:pStyle w:val="2"/>
              <w:ind w:firstLine="0" w:firstLineChars="0"/>
              <w:jc w:val="center"/>
              <w:rPr>
                <w:color w:val="auto"/>
              </w:rPr>
            </w:pPr>
            <w:r>
              <w:rPr>
                <w:rFonts w:hint="eastAsia"/>
                <w:color w:val="auto"/>
              </w:rPr>
              <w:t>101-130</w:t>
            </w:r>
          </w:p>
        </w:tc>
        <w:tc>
          <w:tcPr>
            <w:tcW w:w="1085" w:type="dxa"/>
            <w:noWrap/>
            <w:vAlign w:val="center"/>
          </w:tcPr>
          <w:p w14:paraId="0A7F777E">
            <w:pPr>
              <w:pStyle w:val="2"/>
              <w:ind w:firstLine="0" w:firstLineChars="0"/>
              <w:jc w:val="center"/>
              <w:rPr>
                <w:color w:val="auto"/>
              </w:rPr>
            </w:pPr>
            <w:r>
              <w:rPr>
                <w:rFonts w:hint="eastAsia"/>
                <w:color w:val="auto"/>
              </w:rPr>
              <w:t>8</w:t>
            </w:r>
          </w:p>
        </w:tc>
        <w:tc>
          <w:tcPr>
            <w:tcW w:w="1252" w:type="dxa"/>
            <w:noWrap/>
            <w:vAlign w:val="center"/>
          </w:tcPr>
          <w:p w14:paraId="7FD8C22E">
            <w:pPr>
              <w:pStyle w:val="2"/>
              <w:ind w:firstLine="0" w:firstLineChars="0"/>
              <w:jc w:val="center"/>
              <w:rPr>
                <w:color w:val="auto"/>
              </w:rPr>
            </w:pPr>
            <w:r>
              <w:rPr>
                <w:rFonts w:hint="eastAsia"/>
                <w:color w:val="auto"/>
              </w:rPr>
              <w:t>4</w:t>
            </w:r>
          </w:p>
        </w:tc>
        <w:tc>
          <w:tcPr>
            <w:tcW w:w="0" w:type="auto"/>
            <w:noWrap/>
            <w:vAlign w:val="center"/>
          </w:tcPr>
          <w:p w14:paraId="5C211C16">
            <w:pPr>
              <w:pStyle w:val="2"/>
              <w:ind w:firstLine="0" w:firstLineChars="0"/>
              <w:jc w:val="center"/>
              <w:rPr>
                <w:color w:val="auto"/>
              </w:rPr>
            </w:pPr>
            <w:r>
              <w:rPr>
                <w:rFonts w:hint="eastAsia"/>
                <w:color w:val="auto"/>
              </w:rPr>
              <w:t>4</w:t>
            </w:r>
          </w:p>
        </w:tc>
        <w:tc>
          <w:tcPr>
            <w:tcW w:w="0" w:type="auto"/>
            <w:noWrap/>
            <w:vAlign w:val="center"/>
          </w:tcPr>
          <w:p w14:paraId="1DE243F1">
            <w:pPr>
              <w:pStyle w:val="2"/>
              <w:ind w:firstLine="0" w:firstLineChars="0"/>
              <w:jc w:val="center"/>
              <w:rPr>
                <w:color w:val="auto"/>
              </w:rPr>
            </w:pPr>
            <w:r>
              <w:rPr>
                <w:rFonts w:hint="eastAsia"/>
                <w:color w:val="auto"/>
              </w:rPr>
              <w:t>6</w:t>
            </w:r>
          </w:p>
        </w:tc>
        <w:tc>
          <w:tcPr>
            <w:tcW w:w="0" w:type="auto"/>
            <w:noWrap/>
            <w:vAlign w:val="center"/>
          </w:tcPr>
          <w:p w14:paraId="20AA284A">
            <w:pPr>
              <w:pStyle w:val="2"/>
              <w:ind w:firstLine="0" w:firstLineChars="0"/>
              <w:jc w:val="center"/>
              <w:rPr>
                <w:color w:val="auto"/>
              </w:rPr>
            </w:pPr>
            <w:r>
              <w:rPr>
                <w:rFonts w:hint="eastAsia"/>
                <w:color w:val="auto"/>
              </w:rPr>
              <w:t>21-26</w:t>
            </w:r>
          </w:p>
        </w:tc>
      </w:tr>
    </w:tbl>
    <w:p w14:paraId="5006A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2.工作人员必须遵纪守法，无不良行为记录，热爱残疾人事业，工作责任心强，道德品质好，具备一定的专业知识特别是残疾人照护知识，且身体健康、相貌端正。</w:t>
      </w:r>
    </w:p>
    <w:p w14:paraId="3B36D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3.外聘人员按活动类、艺术类、学习类等需求来聘用有经验的讲师或教授授课。</w:t>
      </w:r>
    </w:p>
    <w:p w14:paraId="6BB4D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4.人员岗位具体要求：</w:t>
      </w:r>
    </w:p>
    <w:p w14:paraId="61E9A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4.1项目管理管理人员每日在岗1名。</w:t>
      </w:r>
    </w:p>
    <w:p w14:paraId="27FF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4.2活动指导师每日在岗1名。</w:t>
      </w:r>
    </w:p>
    <w:p w14:paraId="238CC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4.3护理团队平均每日在岗总人数与当月托养人员配备比例按照1:6的比例配备。在原有托养人员人数的基础上，托养人员每增1人，必须增加1名护理员；另外，在护理员和托养人员配备比例外白班另增设立机动护理员1名。</w:t>
      </w:r>
    </w:p>
    <w:p w14:paraId="443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4.4保洁团队每天白班保证在岗4名。</w:t>
      </w:r>
    </w:p>
    <w:p w14:paraId="06274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4.5以上人员的配置为最基本的人员配置要求，投标人的关于入托残疾人员服务人员的数量不得低于该要求，所有费用必须包含在投标报价内。</w:t>
      </w:r>
    </w:p>
    <w:p w14:paraId="7E329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4.6此外，采购人若新增托养人员数量，采购人将提前1个月通知中标服务商，中标服务商必须在一个月内将所需的护理员招募培训到岗。</w:t>
      </w:r>
    </w:p>
    <w:p w14:paraId="6534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ascii="宋体" w:hAnsi="宋体" w:cs="Arial"/>
          <w:color w:val="auto"/>
          <w:kern w:val="0"/>
          <w:sz w:val="24"/>
        </w:rPr>
      </w:pPr>
      <w:r>
        <w:rPr>
          <w:rFonts w:hint="eastAsia" w:ascii="宋体" w:hAnsi="宋体" w:cs="Arial"/>
          <w:b/>
          <w:color w:val="auto"/>
          <w:kern w:val="0"/>
          <w:sz w:val="24"/>
        </w:rPr>
        <w:t>（三）设施环境需求</w:t>
      </w:r>
    </w:p>
    <w:p w14:paraId="45C8D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1.设有服务基本内容公示牌或导向图，公开服务时间、服务项目和服务承诺。</w:t>
      </w:r>
    </w:p>
    <w:p w14:paraId="4499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2.台账（登记簿）整齐清楚。</w:t>
      </w:r>
    </w:p>
    <w:p w14:paraId="4F99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3.环境安静舒适，室内物品摆放整洁有序。</w:t>
      </w:r>
    </w:p>
    <w:p w14:paraId="090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4.室内禁烟并设有禁烟标志。</w:t>
      </w:r>
    </w:p>
    <w:p w14:paraId="5F2FE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5.环境卫生整洁干净，无痰迹、无烟头、无灰尘、无积水。</w:t>
      </w:r>
    </w:p>
    <w:p w14:paraId="6EF5C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6.室外绿化整洁有序，及时修剪、养护，做到草坪内无杂草、树木为枯枝。</w:t>
      </w:r>
    </w:p>
    <w:p w14:paraId="59DDB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7.水电畅通，保证正常供水供电。</w:t>
      </w:r>
    </w:p>
    <w:p w14:paraId="23B3D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8.卫生间无杂物、无异味。水龙头、洗手池、水池洁净。大小便器等卫生洁具洁净无黄渍。地面干净无烟头、纸屑、污渍、积水等。</w:t>
      </w:r>
    </w:p>
    <w:p w14:paraId="689BC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1" w:firstLineChars="100"/>
        <w:rPr>
          <w:rFonts w:ascii="宋体" w:hAnsi="宋体" w:cs="Arial"/>
          <w:b/>
          <w:color w:val="auto"/>
          <w:kern w:val="0"/>
          <w:sz w:val="24"/>
        </w:rPr>
      </w:pPr>
      <w:r>
        <w:rPr>
          <w:rFonts w:hint="eastAsia" w:ascii="宋体" w:hAnsi="宋体" w:cs="Arial"/>
          <w:b/>
          <w:color w:val="auto"/>
          <w:kern w:val="0"/>
          <w:sz w:val="24"/>
        </w:rPr>
        <w:t>（四）工作内容需求</w:t>
      </w:r>
    </w:p>
    <w:p w14:paraId="50209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ascii="宋体" w:hAnsi="宋体" w:cs="Arial"/>
          <w:b/>
          <w:color w:val="auto"/>
          <w:kern w:val="0"/>
          <w:sz w:val="24"/>
        </w:rPr>
      </w:pPr>
      <w:r>
        <w:rPr>
          <w:rFonts w:hint="eastAsia" w:ascii="宋体" w:hAnsi="宋体" w:cs="Arial"/>
          <w:b/>
          <w:color w:val="auto"/>
          <w:kern w:val="0"/>
          <w:sz w:val="24"/>
        </w:rPr>
        <w:t>1.基本要求</w:t>
      </w:r>
    </w:p>
    <w:p w14:paraId="49E1B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在合同期内从事托养服务经营活动，必须符合《残疾人康复机构建设标准：建标165-2013》、《残疾人托养服务机构建设标准(建标166-2013)》、《残疾人托养服务基本规范（试行）》(残联发[2013]20号)、《残疾人康复和托养设施建设指导意见》(2011年，试行)、GB/T 10001.1-2012公共信息图形符号 第1部分：通用符号、GB/50300-2013《建筑工程施工质量验收统一标准》、GB15630-1995《消防安全标志设置要求》、GB/T 27306-2008《食品安全管理体系：餐饮业要求》、GB 14881-2013《食品企业通用卫生规范》、GB/T26341-2010《残疾人残疾分类和分级》、GB 50763-2012《无障碍设计规范》以及其它相关法律法规的规定条件和要求。上述涉及内容有最新的规范及标准以最新或更高的规范及标准为准。</w:t>
      </w:r>
    </w:p>
    <w:p w14:paraId="336F9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ascii="宋体" w:hAnsi="宋体" w:cs="Arial"/>
          <w:b/>
          <w:color w:val="auto"/>
          <w:kern w:val="0"/>
          <w:sz w:val="24"/>
        </w:rPr>
      </w:pPr>
      <w:r>
        <w:rPr>
          <w:rFonts w:hint="eastAsia" w:ascii="宋体" w:hAnsi="宋体" w:cs="Arial"/>
          <w:b/>
          <w:color w:val="auto"/>
          <w:kern w:val="0"/>
          <w:sz w:val="24"/>
        </w:rPr>
        <w:t>2.主要岗位职责</w:t>
      </w:r>
    </w:p>
    <w:p w14:paraId="24F0F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2.1项目管理人员岗位职责及岗位能力要求</w:t>
      </w:r>
    </w:p>
    <w:p w14:paraId="484E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2.1.1项目管理人员工作职责</w:t>
      </w:r>
    </w:p>
    <w:p w14:paraId="468B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2.1.1.1组织和领导项目所属员工认真执行中心指令，贯彻落实质量方针、目标和各项规章制度，全面完成中心的生活、安全护理及保洁工作任务。项目管理人员不得兼职托养中心以外的工作。</w:t>
      </w:r>
    </w:p>
    <w:p w14:paraId="7F6E8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2.1.1.2负责处理中标项目的日常工作，切实做好护理质量的策划、实施，主动做好各方面的协调，保证该项目工作持续有序正常运行，全面实现质量标准。</w:t>
      </w:r>
    </w:p>
    <w:p w14:paraId="14C2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2.1.1.3围绕服务托养人员的目标开展各项服务工作，有计划地安排、组织托养人员的各种文娱活动、健身锻炼等，积极调动托养人员自主参与意识，活跃生活，增进身心健康。</w:t>
      </w:r>
    </w:p>
    <w:p w14:paraId="09D9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2.1.1.4定时查房，全面了解托养人员生活、思想、健康状况和饮食情况，进行综合分析，采取针对性措施，做好防患于未然，预防一切可能发生的差错和突发事件，协助医务人员做好重病托养人员的观察与护理，配合医务人员做好急危病的院前急救及120转院工作。</w:t>
      </w:r>
    </w:p>
    <w:p w14:paraId="2585B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2.1.1.5建立档案管理制度、亲属会面制度和亲属联系制度，加强与入托人员亲属的沟通联系，全面掌握入托人员的相关信息。</w:t>
      </w:r>
    </w:p>
    <w:p w14:paraId="5657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2.1.1.6广泛地听取托养人员及其亲属的意见和建议，接受托养人员及其亲属的民主监督，定期测评服务满意度，不断提高服务质量。</w:t>
      </w:r>
    </w:p>
    <w:p w14:paraId="755A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2.1.1.7加强护理员和保洁员的教育管理，每月召开全体员工大会一次，督促护理员和保洁员认真履行职责，恪守职业道德。</w:t>
      </w:r>
    </w:p>
    <w:p w14:paraId="0CD6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2.1.1.8每月至少组织一次护理员业务学习和考核，每年组织一次护理员岗位技能竞赛，使护理员不断提高为托养人员服务的能力。</w:t>
      </w:r>
    </w:p>
    <w:p w14:paraId="4BD01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2.1.1.9对护理差错及意外事件按规定及时上报，重大差错及意外事件组织讨论，提出整改方案，上报中心业务科室。</w:t>
      </w:r>
    </w:p>
    <w:p w14:paraId="32DDD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2.1.1.10定期汇报工作，按时完成中心交办其它任务，对中心提出的护理工作整改积极组织落实。</w:t>
      </w:r>
    </w:p>
    <w:p w14:paraId="7D6AB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2.1.1.11负责水电管理及设备的日常维护，做好供水供电系统运行情况记录，不少于1人需兼有电工证。</w:t>
      </w:r>
    </w:p>
    <w:p w14:paraId="6D7C6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2.1.2岗位能力要求</w:t>
      </w:r>
    </w:p>
    <w:p w14:paraId="2547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2.1.2.1具有医疗护理、养老服务等相关专业大专以上学历或中级以上职称。</w:t>
      </w:r>
    </w:p>
    <w:p w14:paraId="77722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2.1.2.2具有3年以上类似项目管理经验；</w:t>
      </w:r>
    </w:p>
    <w:p w14:paraId="628A7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2.1.2.3具有5年以上护理经验；</w:t>
      </w:r>
    </w:p>
    <w:p w14:paraId="6B40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2.1.2.4有一定的组织领导管理能力。</w:t>
      </w:r>
    </w:p>
    <w:p w14:paraId="4B5AD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2.2活动指导师岗位职责及岗位能力要求</w:t>
      </w:r>
    </w:p>
    <w:p w14:paraId="05598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2.2.1活动指导师岗位职责</w:t>
      </w:r>
    </w:p>
    <w:p w14:paraId="6AAA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2.2.1.1负责托养人员各项活动的组织开展。</w:t>
      </w:r>
    </w:p>
    <w:p w14:paraId="70DCD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2.2.1.2参加、组织和指导护理员了解托养人员的生活、思想和健康情况，采取针对性措施，做好托养人员心理护理。</w:t>
      </w:r>
    </w:p>
    <w:p w14:paraId="4978A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2.2.1.3组织托养人员开展各种有益健康的活动,如书法、绘画、下棋、娱乐活动、健身锻炼及养护员生活技能培训等，丰富托养人员精神生活。</w:t>
      </w:r>
    </w:p>
    <w:p w14:paraId="6DDEB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2.2.1.4每季度组织一次主题文娱活动。</w:t>
      </w:r>
    </w:p>
    <w:p w14:paraId="62208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2.2.1.5为各级护理人员提供心理疏导，进行团队心理疗愈，组织各种活动及护理员职业培训。</w:t>
      </w:r>
    </w:p>
    <w:p w14:paraId="366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2.2.2岗位能力要求</w:t>
      </w:r>
    </w:p>
    <w:p w14:paraId="210EE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2.2.2.1具有社会工作者等相关专业中专以上学历或中级以上职称。</w:t>
      </w:r>
    </w:p>
    <w:p w14:paraId="57E1A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2.2.2.2具有三年以上工作经验。</w:t>
      </w:r>
    </w:p>
    <w:p w14:paraId="70524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2.2.2.3有一定的组织领导管理能力。</w:t>
      </w:r>
    </w:p>
    <w:p w14:paraId="4385D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2.3护理部</w:t>
      </w:r>
    </w:p>
    <w:p w14:paraId="34D18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2.3.1护理部主任岗位职责</w:t>
      </w:r>
    </w:p>
    <w:p w14:paraId="09C5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2.3.1.1组织和领导护理部员工认真执行领导指令，贯彻落实质量方针、目标和各项规章制度，全面完成托养中心的护理的工作任务。</w:t>
      </w:r>
    </w:p>
    <w:p w14:paraId="792EB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2.3.1.2全面负责护理部《生活护理规程》、《护理操作技术规程》和《生活分级护理内容》、《护理质量考核标准》等的贯彻实施全过程的督促检查，不断总结提高，采取有效措施，确保护理质量。</w:t>
      </w:r>
    </w:p>
    <w:p w14:paraId="23F7F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2.3.1.3负责处理护理部的日常工作，包括行政管理、入托残疾人生活护理、安全护理、康复保健和，主动做好各方面的协调，保证护理工作持续有序正常运行，全面实现质量标准。</w:t>
      </w:r>
    </w:p>
    <w:p w14:paraId="1725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2.3.1.4围绕“以入托残疾人为中心”全方位开展各项服务工作，有计划地安排、组织残疾人的各种文娱活动、健身锻炼、康复训练等，积极调动残疾人自主参与意识，活跃生活，增进身心健康；认真执行《接待服务规范》、《代理项目服务规范》、落实《入托残疾人财产管理制度》，以一流的服务质量来满足托养人员的要求。</w:t>
      </w:r>
    </w:p>
    <w:p w14:paraId="619E9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2.3.1.5建立和实施《托养人员档案制度》和《托养人员突发事件、事故处理规程》，督促做好交接班工作，认真执行《护理文件书写制度》，做到每位托养人员护理状况有完整系统的记录，以便于查考。</w:t>
      </w:r>
    </w:p>
    <w:p w14:paraId="41ADB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2.3.1.6定时查房，全面了解残疾人生活、思想、健康状况和饮食情况，进行综合分析，采取针对性措施，做好防患于未然，预防一切可能发生的差错和突发事件，协助医务人员做好重病残疾人的观察与护理，以及配合医务人员做好残疾人急危病的院前急救及120转运工作。。</w:t>
      </w:r>
    </w:p>
    <w:p w14:paraId="1E9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2.3.1.7对护理差错及意外事件按规定及时上报，重大差错及意外事件组织讨论，提出整改方案，上报护理科。</w:t>
      </w:r>
    </w:p>
    <w:p w14:paraId="0E8D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2.3.1.8广泛地听取残疾人及其亲属的意见和建议，接受残疾人及其亲属的民主监督，定期测评服务满意度，不断提高服务质量。</w:t>
      </w:r>
    </w:p>
    <w:p w14:paraId="563B2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 xml:space="preserve">2.3.1.9加强护理人员的教育管理，每月召开全体护理员大会一次，督促护理人员认真履行职责，恪守职业道德。每月至少组织一次护理员业务学习和考核，每年组织一次护理员岗位技能竞赛，使护理员不断提高为残疾人服务的能力。 </w:t>
      </w:r>
    </w:p>
    <w:p w14:paraId="5710E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2.3.1.10定期向托养中心负责人汇报工作，按时完成托养中心交办其它任务.对托养中心提出的护理工作整改要求积极组织落实。</w:t>
      </w:r>
    </w:p>
    <w:p w14:paraId="371A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2.3.2护理部主任岗位能力要求</w:t>
      </w:r>
    </w:p>
    <w:p w14:paraId="124D8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2.3.2.1具有医疗护理相关专业大专以上学历或中级以上职称。</w:t>
      </w:r>
    </w:p>
    <w:p w14:paraId="583D5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2.3.2.2具有十年以上护理经验。</w:t>
      </w:r>
    </w:p>
    <w:p w14:paraId="0B1EB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2.3.2.3有较强的组织领导管理能力。</w:t>
      </w:r>
    </w:p>
    <w:p w14:paraId="34959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2.3.3护理科长（组长）岗位职责</w:t>
      </w:r>
    </w:p>
    <w:p w14:paraId="7122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2.3.3.1在护理部主任领导下，负责本养护区行政管理和残疾人的生活护理、安全护理、康乐活动组织、家属接待工作。</w:t>
      </w:r>
    </w:p>
    <w:p w14:paraId="155C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2.3.3.2熟悉分管区内残疾人的生活、思想和健康情况，做到六知道（床号、姓名、身体状况及用药、护理要点、饮食、心理）；采取针对性措施做好残疾人生活及心理护理。</w:t>
      </w:r>
    </w:p>
    <w:p w14:paraId="7B7C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2.3.3.3负责分管组内护理质量的督查；经常督促生活护理程序、安全护理落实和护理操作技术规程的执行，定期检查，保证护理质量。</w:t>
      </w:r>
    </w:p>
    <w:p w14:paraId="20E34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2.3.3.4组织入住残疾人进行各种有益健康的活动,如书法、绘画、下棋、娱乐活动、健身锻炼及养护员生活技能培训等。制定详细的活动计划表，并认真执行。</w:t>
      </w:r>
    </w:p>
    <w:p w14:paraId="3A9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2.3.3.5认真做好残疾人财物的委托保管工作及防盗、防火、防事故工作，意外事件按规定及时上报，并组织科（组）内护理员讨论，提出整改方案，上报护理科。</w:t>
      </w:r>
    </w:p>
    <w:p w14:paraId="5F5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2.3.3.6.负责家属的接待工作，主动听取残疾人家属对护理工作的意见，对家属提出的意见建议做好登记，并在自己的职责范围内努力满足他们的要求，必要时上报托养中心。对因病、因事请假的残疾人，按规定进行定期电话回访。</w:t>
      </w:r>
    </w:p>
    <w:p w14:paraId="110DD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2.3.3.7做好新入残疾人接待工作，带领残疾人及家属熟悉养护环境，做好各种护理评估及护理记录，高危风险的与家属当面讲清并做好记录。</w:t>
      </w:r>
    </w:p>
    <w:p w14:paraId="26DBD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2.3.3.8根据生活分级护理标准，合理、科学排班，并做好与其它班组的协调工作。</w:t>
      </w:r>
    </w:p>
    <w:p w14:paraId="20E5F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2.3.3.9关心护理人员的生活、思想和工作情况，努力帮助他们解决困难，带头严格执行各项规章制度，维护劳动纪律。</w:t>
      </w:r>
    </w:p>
    <w:p w14:paraId="41F39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2.3.3.10负责分管组内各项护理文书的书写工作，定期对残疾人情况进行评估，分析护理重点，指导护理员开展工作。</w:t>
      </w:r>
    </w:p>
    <w:p w14:paraId="08A3F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2.3.3.11准时主持分管组内晨会、讲评工作，提出工作重点。定期组织护理人员业务学习并进行考核</w:t>
      </w:r>
    </w:p>
    <w:p w14:paraId="66DB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2.3.3.12完成护理部主任交办的其它任务。</w:t>
      </w:r>
    </w:p>
    <w:p w14:paraId="0CF87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2.3.3.13工作及时汇报，对托养中心护理科提出的工作整改意见积极进行落实整改。</w:t>
      </w:r>
    </w:p>
    <w:p w14:paraId="493F9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2.3.4护理科长（组长）能力要求</w:t>
      </w:r>
    </w:p>
    <w:p w14:paraId="0DA0C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2.3.4.1具有医疗护理、社会工作者等相关专业中专以上学历或中级以上职称。</w:t>
      </w:r>
    </w:p>
    <w:p w14:paraId="03EC7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2.3.4.2具有三年以上护理经验。</w:t>
      </w:r>
    </w:p>
    <w:p w14:paraId="1D44E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2.3.4.3有较强的组织领导管理能力。</w:t>
      </w:r>
    </w:p>
    <w:p w14:paraId="5245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2.3.5护理员岗位职责</w:t>
      </w:r>
    </w:p>
    <w:p w14:paraId="4F8D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2.3.5.1在护理组长的领导下，负责残疾人的生活护理工作。</w:t>
      </w:r>
    </w:p>
    <w:p w14:paraId="7798B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2.3.5.2熟悉了解入住残疾人的生活、思想和健康情况，采取针对性措施，做好残疾人生活护理、心理护理、康复护理等工作，并协助医务人员做好残疾人保健工作。</w:t>
      </w:r>
    </w:p>
    <w:p w14:paraId="444D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2.3.5.3自觉严格遵守护理程序和护理技术操作规程、生活分级护理内容及个案护理内容，规范服务。定时巡视居室，认真观察残疾人情况，发现异常，及时报告、及时处理。杜绝差错事故发生。</w:t>
      </w:r>
    </w:p>
    <w:p w14:paraId="62A5E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2.3.5.4督促、协助做好生活区室内外卫生工作，保持生活环境的整洁、安静、安全、舒适。</w:t>
      </w:r>
    </w:p>
    <w:p w14:paraId="4107B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2.3.5.5尊重、关心残疾人，语言文明、礼貌，举止端庄大方，热情周到服务，耐心帮助解决心理问题，努力创造文明、健康、乐观、祥和的生活氛围。</w:t>
      </w:r>
    </w:p>
    <w:p w14:paraId="1C90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2.3.5.6帮助残疾人参与各种有益于身心健康的活动，如户外活动、健身锻炼、康复训练、生活自理能力训练等。</w:t>
      </w:r>
    </w:p>
    <w:p w14:paraId="1D20D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2.3.5.7自觉遵守各项规章制度，服从工作分配，坚守岗位。认真做好交接班工作，按规定作好各种护理记录。</w:t>
      </w:r>
    </w:p>
    <w:p w14:paraId="795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2.3.5.8认真做好卫生保健、饮食指导、健康长寿等知识宣教，指导残疾人养成良好的生活习惯及行为方式。</w:t>
      </w:r>
    </w:p>
    <w:p w14:paraId="4544F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2.3.5.9参加托养中心及养护部组织的培训、学习和考核及各项活动。</w:t>
      </w:r>
    </w:p>
    <w:p w14:paraId="25178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2.3.5.10做好定时消毒工作，防止交叉感染。</w:t>
      </w:r>
    </w:p>
    <w:p w14:paraId="6CBAA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2.3.5.11认真负责及时查看，确实掌握残疾人状况，杜绝休养残疾人对擅自外出情况的发生。</w:t>
      </w:r>
    </w:p>
    <w:p w14:paraId="0141A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2.3.5.12完成护理组长交办的其它任务，督促做好残疾人的腕带佩带工作。</w:t>
      </w:r>
    </w:p>
    <w:p w14:paraId="1A1B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2.3.6护理员岗位能力要求</w:t>
      </w:r>
    </w:p>
    <w:p w14:paraId="2703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2.3.6.1具有护理员上岗服务资格证和健康证。</w:t>
      </w:r>
    </w:p>
    <w:p w14:paraId="5616A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2.3.6.2具有爱心、耐心和吃苦耐劳的精神。</w:t>
      </w:r>
    </w:p>
    <w:p w14:paraId="7BE9C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2.3.6.3小学以上文化程度</w:t>
      </w:r>
    </w:p>
    <w:p w14:paraId="7922C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分级护理标准由投标人提供方案</w:t>
      </w:r>
    </w:p>
    <w:p w14:paraId="41E43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“对有精神病史的服务对象，还应提供专业医疗机构或康复机构出具的正式风险评估表，以确定其病情稳定并适宜从专业医疗机构转介至托养服务机构”。</w:t>
      </w:r>
    </w:p>
    <w:p w14:paraId="04B4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应根据协议和残疾人实际情况，在定期评估服务对象身心功能基础上，提供服务对象所需的转介服务，如转介至医院或转介至适宜的工作场所”，包括将精神残疾人转介至医院，如“定期评估服务对象身心功能”，即当发现精神残疾人托养服务对象有发病前兆时，应及时“提供服务对象所需的转介服务”。</w:t>
      </w:r>
    </w:p>
    <w:p w14:paraId="1178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2.4其他人员要求</w:t>
      </w:r>
    </w:p>
    <w:p w14:paraId="02E8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2.4.1严格遵守采购人的各项规章制度，熟悉采购人业务工作相关法律法规和政策条例。</w:t>
      </w:r>
    </w:p>
    <w:p w14:paraId="70ED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2.4.2尽职尽责、爱岗敬业、廉洁自律、奉公守法，热爱残疾人事业，有良好的职业道德。</w:t>
      </w:r>
    </w:p>
    <w:p w14:paraId="1B89A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2.4.3能够胜任本职工作，按时完成职责任务，保质保量，无投诉。</w:t>
      </w:r>
    </w:p>
    <w:p w14:paraId="6146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2.4.4遵守劳动纪律，按时上下班，不离岗、睡岗、串岗，严禁上班时间从事本职工作以外的工作；不私带外人进入托养区，不私下帮托养人员购物，遵守安全制度，牢固树立安全意识。</w:t>
      </w:r>
    </w:p>
    <w:p w14:paraId="176E5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2.4.5物品按要求使用和放置，爱护公物，节约水电。</w:t>
      </w:r>
    </w:p>
    <w:p w14:paraId="6637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2.4.6作风正派，组织性、纪律性、原则性强，要有较强的安全意识并按采购人要求做好保密工作。</w:t>
      </w:r>
    </w:p>
    <w:p w14:paraId="17EB9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color w:val="auto"/>
          <w:kern w:val="0"/>
          <w:sz w:val="24"/>
        </w:rPr>
      </w:pPr>
      <w:r>
        <w:rPr>
          <w:rFonts w:hint="eastAsia" w:ascii="宋体" w:hAnsi="宋体" w:cs="Arial"/>
          <w:color w:val="auto"/>
          <w:kern w:val="0"/>
          <w:sz w:val="24"/>
        </w:rPr>
        <w:t>2.4.7上岗时须统一着装，穿工作服、佩戴工作证、仪表端庄整洁；热情服务，文明礼貌、大方得体、态度和蔼可亲，尊重工作人员、托养人员和有关探视人员，严禁打骂托养人员。</w:t>
      </w:r>
    </w:p>
    <w:p w14:paraId="6EDFE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cs="Arial"/>
          <w:b/>
          <w:color w:val="auto"/>
          <w:kern w:val="0"/>
          <w:sz w:val="24"/>
        </w:rPr>
      </w:pPr>
      <w:r>
        <w:rPr>
          <w:rFonts w:hint="eastAsia" w:ascii="宋体" w:hAnsi="宋体" w:cs="Arial"/>
          <w:color w:val="auto"/>
          <w:kern w:val="0"/>
          <w:sz w:val="24"/>
        </w:rPr>
        <w:t>2.4.8服从管理，团结协作，不聚众聊天、不搬弄是非、不拉帮结派，不做与工作无关的事情。</w:t>
      </w:r>
    </w:p>
    <w:p w14:paraId="6A3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3.护理要求</w:t>
      </w:r>
    </w:p>
    <w:p w14:paraId="07B15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护理服务内容</w:t>
      </w:r>
    </w:p>
    <w:p w14:paraId="33DCF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在采购人工作人员的指导下，负责托养人员的生活护理、托养区及活动区环境清洁卫生工作；严格执行各项工作流程和卫生消毒制度，密切巡视观察托养人员，耐心细致地进行护理。</w:t>
      </w:r>
    </w:p>
    <w:p w14:paraId="4F1DD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普通托养人员服务内容：</w:t>
      </w:r>
    </w:p>
    <w:p w14:paraId="7701C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为托养人员提供全天候生活护理照料，包括穿脱衣服、洗漱、分餐、喂饭、分发点心、水果、饮水等；排泄护理、沐浴护理、身体护理、理发、更换被褥等；负责收送托养人员被服，并做好托养人员被服的清点和管理。</w:t>
      </w:r>
    </w:p>
    <w:p w14:paraId="2122B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3.2晨间护理、床铺整理、协助托养人员起床、坐轮椅、午间及晚间睡眠照料；防褥疮、皮肤护理；定时为长期卧床托养人员翻身；随时清理托养人员大小便、污染物。</w:t>
      </w:r>
    </w:p>
    <w:p w14:paraId="5F5E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3.3床单元与起居室的日常清洁、消毒、隔离工作（床单元消毒、空气消毒、台面消毒、床具擦拭消毒、各类便器清洗消毒、各种毛巾常规清洗消毒），起居室的开窗通风。</w:t>
      </w:r>
    </w:p>
    <w:p w14:paraId="4D80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3.4床单元与起居室卫生整理（包括橱柜、衣柜、餐桌、冰箱、微波炉、轮椅、助行器等家具用品定期擦洗，卫生间整理）；电风扇等季节性用品、衣服收纳保管等。</w:t>
      </w:r>
    </w:p>
    <w:p w14:paraId="415F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3.5常规巡查与安全防护、防走失、防摔跌、防烫伤、防窒息；协助做好托养人员的财产物品管理。</w:t>
      </w:r>
    </w:p>
    <w:p w14:paraId="064DC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3.6各类社工活动、功能康复及户外活动（游玩、晒太阳等）、医疗活动、门诊辅助检查、外诊等陪护、各类标本的送检。</w:t>
      </w:r>
    </w:p>
    <w:p w14:paraId="658CE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3.7协助为特殊或危重托养人员记录出入量，并协助采购人工作人员为托养人员留取检验标本和送检；协助采购人工作人员完成新入院或出院托养人员的相关工作；做好接收托养人员的准备和出院床单元终末消毒；对传染托养人员的衣服、床单元按相关规定处理。</w:t>
      </w:r>
    </w:p>
    <w:p w14:paraId="5407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3.8协助采购人工作人员做好与服务对象及家属的沟通等。</w:t>
      </w:r>
    </w:p>
    <w:p w14:paraId="55253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3.9做好死亡托养人员的尸体料理，并负责运至太平间。</w:t>
      </w:r>
    </w:p>
    <w:p w14:paraId="61FDB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3.10做好夜间值班的有关工作，完成采购人工作人员交办的临时护理工作任务。</w:t>
      </w:r>
    </w:p>
    <w:p w14:paraId="67AD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3.11协助处理托养人员相关的其它突发事件及其他与入住服务对象生活护理照料相关的工作。</w:t>
      </w:r>
    </w:p>
    <w:p w14:paraId="06F30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特殊托养人员服务内容</w:t>
      </w:r>
    </w:p>
    <w:p w14:paraId="37F7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3.12协助托养人员进行生活自理训练，协助做好托养人员晨晚间护理，协助托养人员如厕、洗漱、梳头、清洁口腔；按要求为托养人员修剪指甲、理发、洗头、洗澡、擦身、为男托养人员刮胡子，协助女托养人员经期护理等；协助为托养人员整理床单元，保持床铺整洁卫生；负责收送托养人员被服，并做好托养人员被服的清点和管理。</w:t>
      </w:r>
    </w:p>
    <w:p w14:paraId="0A5F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3.13负责早、中、晚餐的开餐及分派工作，餐后及时清洗和消毒餐具，协助托养人员洗手、进餐、喝水、服药（对不能进食者要给予喂食）；搞好配餐室、餐厅的清洁卫生。</w:t>
      </w:r>
    </w:p>
    <w:p w14:paraId="5A1C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3.14负责托养区、活动区（包括工疗区、康复区）的清洁卫生及绿化养护工作；每天对托养区、活动区进行卫生清洁工作，清倒所有生活垃圾；负责定期处理病区托养人员污物、生活污水；要随时做好保洁工作，按要求对托养区、活动区进行消毒，遇特殊情况须无条件随时增加清洁和消毒的次数。</w:t>
      </w:r>
    </w:p>
    <w:p w14:paraId="4B918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3.15对遵医嘱实施约束保护措施托养人员的巡视观察，防止血液循环受阻；保护带等物品的管理、清点、记录、交接班；密切巡视托养人员宿舍，并协助处理特殊情况；解决输液、约束或卧床托养人员的需求，有特殊情况及时通知医护人员。</w:t>
      </w:r>
    </w:p>
    <w:p w14:paraId="55153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3.16协助为特殊或危重托养人员记录出入量，并协助采购人工作人员为托养人员留取检验标本和送检；协助护送托养人员外出就诊检查；协助采购人工作人员完成新入院或出院托养人员的相关工作；做好接收托养人员的准备和出院床单元终末消毒；对传染托养人员的衣服、床单元按相关规定处理。</w:t>
      </w:r>
    </w:p>
    <w:p w14:paraId="5FED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3.17维护托养区、活动区安全，保持病区安静，指导托养人员自觉遵守各项规定，发现托养人员身上或托养区及活动区有危险物品及时清理并报告采购人工作人员；做好各类社工活动、功能康复及户外活动（游玩、晒太阳等）、医疗活动等托养人员相关活动。</w:t>
      </w:r>
    </w:p>
    <w:p w14:paraId="635C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3.18做好死亡托养人员的尸体料理，并负责运至太平间。</w:t>
      </w:r>
    </w:p>
    <w:p w14:paraId="38A76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3.19做好晚上值班的有关工作，完成采购人工作人员交办的临时护理工作任务。</w:t>
      </w:r>
    </w:p>
    <w:p w14:paraId="3405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3.20协助处理托养人员相关的其它突发事件及其他与入住服务对象生活护理照料相关的工作。</w:t>
      </w:r>
    </w:p>
    <w:p w14:paraId="2574A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另外，中标方要指定专人负责托养人员尸体料理、尸体运送和负责太平间清洁、消毒工作。</w:t>
      </w:r>
    </w:p>
    <w:p w14:paraId="3BAF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3.21护理服务应达到的各项指标：</w:t>
      </w:r>
    </w:p>
    <w:p w14:paraId="5ED7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a.  落实护理措施100%。</w:t>
      </w:r>
    </w:p>
    <w:p w14:paraId="400C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b.  特护、一级护理合格率≥90%。</w:t>
      </w:r>
    </w:p>
    <w:p w14:paraId="2E5AC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c.  护理安全100%。</w:t>
      </w:r>
    </w:p>
    <w:p w14:paraId="03E2B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d.  护理记录合格率≥90%。</w:t>
      </w:r>
    </w:p>
    <w:p w14:paraId="7BBF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e.  消毒隔离合格率100%。</w:t>
      </w:r>
    </w:p>
    <w:p w14:paraId="12DCA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f.  区域环境卫生合格率≥90%。</w:t>
      </w:r>
    </w:p>
    <w:p w14:paraId="0D34D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g.  托养人员家属对护理满意率≥90%。</w:t>
      </w:r>
    </w:p>
    <w:p w14:paraId="3401E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h.  夜间护理质量合格率≥90%。</w:t>
      </w:r>
    </w:p>
    <w:p w14:paraId="697B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i.  康复护理合格率≥90%。</w:t>
      </w:r>
    </w:p>
    <w:p w14:paraId="3178A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j.  护理管理合格率≥90%。</w:t>
      </w:r>
    </w:p>
    <w:p w14:paraId="6167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olor w:val="auto"/>
          <w:sz w:val="24"/>
        </w:rPr>
      </w:pPr>
      <w:r>
        <w:rPr>
          <w:rFonts w:hint="eastAsia" w:ascii="宋体" w:hAnsi="宋体"/>
          <w:color w:val="auto"/>
          <w:sz w:val="24"/>
        </w:rPr>
        <w:t>K.  褥疮发生率0。</w:t>
      </w:r>
    </w:p>
    <w:p w14:paraId="02D3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Arial"/>
          <w:b/>
          <w:color w:val="auto"/>
          <w:kern w:val="0"/>
          <w:sz w:val="24"/>
        </w:rPr>
      </w:pPr>
      <w:r>
        <w:rPr>
          <w:rFonts w:hint="eastAsia" w:ascii="宋体" w:hAnsi="宋体" w:cs="Arial"/>
          <w:b/>
          <w:color w:val="auto"/>
          <w:kern w:val="0"/>
          <w:sz w:val="24"/>
        </w:rPr>
        <w:t>4</w:t>
      </w:r>
      <w:r>
        <w:rPr>
          <w:rFonts w:hint="eastAsia" w:ascii="宋体" w:hAnsi="宋体"/>
          <w:b/>
          <w:color w:val="auto"/>
          <w:sz w:val="24"/>
        </w:rPr>
        <w:t>.</w:t>
      </w:r>
      <w:r>
        <w:rPr>
          <w:rFonts w:hint="eastAsia" w:ascii="宋体" w:hAnsi="宋体" w:cs="Arial"/>
          <w:b/>
          <w:color w:val="auto"/>
          <w:kern w:val="0"/>
          <w:sz w:val="24"/>
        </w:rPr>
        <w:t>食堂管理</w:t>
      </w:r>
    </w:p>
    <w:p w14:paraId="61568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olor w:val="auto"/>
          <w:sz w:val="24"/>
        </w:rPr>
        <w:t>4.1人员配置要求：工作人员年龄在60周岁以内并符合岗位健康要求。投标人在托养期内所聘工作人员须报采购人认可备案后方可上岗。如果所聘人员不符合采购人要求，必须及时调整，否则，采购人有权扣除相应费用，直至终止合同。</w:t>
      </w:r>
    </w:p>
    <w:p w14:paraId="40B94E00">
      <w:pPr>
        <w:spacing w:line="360" w:lineRule="auto"/>
        <w:ind w:firstLine="480" w:firstLineChars="200"/>
        <w:rPr>
          <w:rFonts w:ascii="宋体" w:hAnsi="宋体"/>
          <w:color w:val="auto"/>
          <w:sz w:val="24"/>
        </w:rPr>
      </w:pPr>
      <w:r>
        <w:rPr>
          <w:rFonts w:hint="eastAsia" w:ascii="宋体" w:hAnsi="宋体"/>
          <w:color w:val="auto"/>
          <w:sz w:val="24"/>
        </w:rPr>
        <w:t>4.2投标人要根据采购人的要求每周制定食谱一次，及时变更菜品，一天三餐供应。所订食谱须提前提供给配送公司，由配送公司每日按时配送新鲜食材。</w:t>
      </w:r>
    </w:p>
    <w:p w14:paraId="7ABFCE58">
      <w:pPr>
        <w:spacing w:line="360" w:lineRule="auto"/>
        <w:ind w:firstLine="480" w:firstLineChars="200"/>
        <w:rPr>
          <w:rFonts w:ascii="宋体" w:hAnsi="宋体"/>
          <w:color w:val="auto"/>
          <w:sz w:val="24"/>
        </w:rPr>
      </w:pPr>
      <w:r>
        <w:rPr>
          <w:rFonts w:hint="eastAsia" w:ascii="宋体" w:hAnsi="宋体"/>
          <w:color w:val="auto"/>
          <w:sz w:val="24"/>
        </w:rPr>
        <w:t>4.3按照收支平衡的原则进行运作。投标人须使用计算机收费刷卡系统，设备由采购人提供，就餐人员预交的费用由招标方统一收取，不得多扣磁卡存款，不得负数消费和提现业务，不得赊欠账款，未经采购人同意不得发放各种形式的就餐券，不得采用现金方式交易。若发现现金交易的，采购人有权无条件终止合同，并没收设备。</w:t>
      </w:r>
    </w:p>
    <w:p w14:paraId="38266599">
      <w:pPr>
        <w:spacing w:line="360" w:lineRule="auto"/>
        <w:ind w:firstLine="480" w:firstLineChars="200"/>
        <w:rPr>
          <w:rFonts w:ascii="宋体" w:hAnsi="宋体"/>
          <w:color w:val="auto"/>
          <w:sz w:val="24"/>
        </w:rPr>
      </w:pPr>
      <w:r>
        <w:rPr>
          <w:rFonts w:hint="eastAsia" w:ascii="宋体" w:hAnsi="宋体"/>
          <w:color w:val="auto"/>
          <w:sz w:val="24"/>
        </w:rPr>
        <w:t>4.4投标人要爱护采购人提供的房产和餐饮炊具设备等，履行租借手续，负责日常养护管理、遗失和人为损坏，照价赔偿。</w:t>
      </w:r>
    </w:p>
    <w:p w14:paraId="6DE2AB9F">
      <w:pPr>
        <w:spacing w:line="360" w:lineRule="auto"/>
        <w:ind w:firstLine="480" w:firstLineChars="200"/>
        <w:rPr>
          <w:rFonts w:ascii="宋体" w:hAnsi="宋体"/>
          <w:color w:val="auto"/>
          <w:sz w:val="24"/>
        </w:rPr>
      </w:pPr>
      <w:r>
        <w:rPr>
          <w:rFonts w:hint="eastAsia" w:ascii="宋体" w:hAnsi="宋体"/>
          <w:color w:val="auto"/>
          <w:sz w:val="24"/>
        </w:rPr>
        <w:t>4.5投标人负责食堂的饮食安全卫生，做好配送食物质量和数量的验收工作，验收无误后由双方人员签字确认，作为配送凭证。签约时还需与采购人签订饮食安全卫生责任书。不得储藏、加工、提供变质食品。</w:t>
      </w:r>
    </w:p>
    <w:p w14:paraId="5AE5CDC0">
      <w:pPr>
        <w:spacing w:line="360" w:lineRule="auto"/>
        <w:ind w:firstLine="480" w:firstLineChars="200"/>
        <w:rPr>
          <w:rFonts w:ascii="宋体" w:hAnsi="宋体"/>
          <w:color w:val="auto"/>
          <w:sz w:val="24"/>
        </w:rPr>
      </w:pPr>
      <w:r>
        <w:rPr>
          <w:rFonts w:hint="eastAsia" w:ascii="宋体" w:hAnsi="宋体"/>
          <w:color w:val="auto"/>
          <w:sz w:val="24"/>
        </w:rPr>
        <w:t>4.6投标人在制作过程中因使用变质、腐烂等食材引起食物中毒或因其他原因造成不良后果，损害职工身体健康的现象，投标人必须承担由此造成的一切责任和经济损失，采购人有权单方面终止合同，没收合同履约保证金。</w:t>
      </w:r>
    </w:p>
    <w:p w14:paraId="0346D609">
      <w:pPr>
        <w:spacing w:line="360" w:lineRule="auto"/>
        <w:ind w:firstLine="480" w:firstLineChars="200"/>
        <w:rPr>
          <w:rFonts w:ascii="宋体" w:hAnsi="宋体"/>
          <w:color w:val="auto"/>
          <w:sz w:val="24"/>
        </w:rPr>
      </w:pPr>
      <w:r>
        <w:rPr>
          <w:rFonts w:hint="eastAsia" w:ascii="宋体" w:hAnsi="宋体"/>
          <w:color w:val="auto"/>
          <w:sz w:val="24"/>
        </w:rPr>
        <w:t>4.7投标人应落实专人对餐厅、食堂、加工间等场所进行常态化的环境卫生打扫管理。</w:t>
      </w:r>
    </w:p>
    <w:p w14:paraId="4830942E">
      <w:pPr>
        <w:spacing w:line="360" w:lineRule="auto"/>
        <w:ind w:firstLine="480" w:firstLineChars="200"/>
        <w:rPr>
          <w:rFonts w:ascii="宋体" w:hAnsi="宋体"/>
          <w:color w:val="auto"/>
          <w:sz w:val="24"/>
        </w:rPr>
      </w:pPr>
      <w:r>
        <w:rPr>
          <w:rFonts w:hint="eastAsia" w:ascii="宋体" w:hAnsi="宋体"/>
          <w:color w:val="auto"/>
          <w:sz w:val="24"/>
        </w:rPr>
        <w:t>4.8投标人应每年组织所属员工进行健康检查（费用自理）及卫生教育，确保所属人员持有有效健康证、服务证，统一着装上岗。</w:t>
      </w:r>
    </w:p>
    <w:p w14:paraId="2F6D285E">
      <w:pPr>
        <w:spacing w:line="360" w:lineRule="auto"/>
        <w:ind w:firstLine="480" w:firstLineChars="200"/>
        <w:rPr>
          <w:rFonts w:ascii="宋体" w:hAnsi="宋体"/>
          <w:color w:val="auto"/>
          <w:sz w:val="24"/>
        </w:rPr>
      </w:pPr>
      <w:r>
        <w:rPr>
          <w:rFonts w:hint="eastAsia" w:ascii="宋体" w:hAnsi="宋体"/>
          <w:color w:val="auto"/>
          <w:sz w:val="24"/>
        </w:rPr>
        <w:t>4.9投标人自行按时发放所属工作人员的工资，福利、劳保用品和奖金等，并负责对工作人员进行遵纪守法和安全卫生教育，如发生意外伤残、伤亡事故，投标人承担全部责任和必要的经济补偿，采购人不承担任何经济损失和相关责任。投标人必须与所聘用的从业人员签订劳务用工合同或劳动合同，并依法办理相关社会保险。</w:t>
      </w:r>
    </w:p>
    <w:p w14:paraId="2AE9E813">
      <w:pPr>
        <w:spacing w:line="360" w:lineRule="auto"/>
        <w:ind w:firstLine="480" w:firstLineChars="200"/>
        <w:rPr>
          <w:rFonts w:ascii="宋体" w:hAnsi="宋体"/>
          <w:color w:val="auto"/>
          <w:sz w:val="24"/>
        </w:rPr>
      </w:pPr>
      <w:r>
        <w:rPr>
          <w:rFonts w:hint="eastAsia" w:ascii="宋体" w:hAnsi="宋体"/>
          <w:color w:val="auto"/>
          <w:sz w:val="24"/>
        </w:rPr>
        <w:t>4.10投标人不负责承担食堂在承包期内所有的水电费，但是，必须做到节约使用。</w:t>
      </w:r>
    </w:p>
    <w:p w14:paraId="15477CC5">
      <w:pPr>
        <w:spacing w:line="360" w:lineRule="auto"/>
        <w:ind w:firstLine="480" w:firstLineChars="200"/>
        <w:rPr>
          <w:rFonts w:ascii="宋体" w:hAnsi="宋体"/>
          <w:color w:val="auto"/>
          <w:sz w:val="24"/>
        </w:rPr>
      </w:pPr>
      <w:r>
        <w:rPr>
          <w:rFonts w:hint="eastAsia" w:ascii="宋体" w:hAnsi="宋体"/>
          <w:color w:val="auto"/>
          <w:sz w:val="24"/>
        </w:rPr>
        <w:t>4.11投标人在承包期间不得变更房产结构，不得变换基本设施，若因经营服务需要，对经营场所进行装修，需书面报告采购人同意后方可实施。</w:t>
      </w:r>
    </w:p>
    <w:p w14:paraId="2FCE456E">
      <w:pPr>
        <w:spacing w:line="360" w:lineRule="auto"/>
        <w:ind w:firstLine="480" w:firstLineChars="200"/>
        <w:rPr>
          <w:rFonts w:ascii="宋体" w:hAnsi="宋体"/>
          <w:color w:val="auto"/>
          <w:sz w:val="24"/>
        </w:rPr>
      </w:pPr>
      <w:r>
        <w:rPr>
          <w:rFonts w:hint="eastAsia" w:ascii="宋体" w:hAnsi="宋体"/>
          <w:color w:val="auto"/>
          <w:sz w:val="24"/>
        </w:rPr>
        <w:t>4.12投标人必须按期上报食堂运营的相关数据。</w:t>
      </w:r>
    </w:p>
    <w:p w14:paraId="3F194C2B">
      <w:pPr>
        <w:spacing w:line="360" w:lineRule="auto"/>
        <w:ind w:firstLine="480" w:firstLineChars="200"/>
        <w:rPr>
          <w:rFonts w:ascii="宋体" w:hAnsi="宋体"/>
          <w:color w:val="auto"/>
          <w:sz w:val="24"/>
        </w:rPr>
      </w:pPr>
      <w:r>
        <w:rPr>
          <w:rFonts w:hint="eastAsia" w:ascii="宋体" w:hAnsi="宋体"/>
          <w:color w:val="auto"/>
          <w:sz w:val="24"/>
        </w:rPr>
        <w:t>4.13投标人须根据采购人规定时间按时为职工提供优质服务，不得提前或延迟开饭时间（特殊情况如开会、接待、会餐及有特殊工作任务等要服从采购人指定的时间），坚持服务第一的宗旨，做到热情服务、文明待人。</w:t>
      </w:r>
    </w:p>
    <w:p w14:paraId="3639C4DC">
      <w:pPr>
        <w:spacing w:line="360" w:lineRule="auto"/>
        <w:ind w:firstLine="480" w:firstLineChars="200"/>
        <w:rPr>
          <w:rFonts w:ascii="宋体" w:hAnsi="宋体"/>
          <w:color w:val="auto"/>
          <w:sz w:val="24"/>
        </w:rPr>
      </w:pPr>
      <w:r>
        <w:rPr>
          <w:rFonts w:hint="eastAsia" w:ascii="宋体" w:hAnsi="宋体"/>
          <w:color w:val="auto"/>
          <w:sz w:val="24"/>
        </w:rPr>
        <w:t>4.14投标人需保障会议和接待用餐，产生的费用按实双方协商另行支付。</w:t>
      </w:r>
    </w:p>
    <w:p w14:paraId="04606319">
      <w:pPr>
        <w:spacing w:line="360" w:lineRule="auto"/>
        <w:ind w:firstLine="480" w:firstLineChars="200"/>
        <w:rPr>
          <w:rFonts w:ascii="宋体" w:hAnsi="宋体" w:cs="Arial"/>
          <w:b/>
          <w:color w:val="auto"/>
          <w:kern w:val="0"/>
          <w:sz w:val="24"/>
        </w:rPr>
      </w:pPr>
      <w:r>
        <w:rPr>
          <w:rFonts w:hint="eastAsia" w:ascii="宋体" w:hAnsi="宋体"/>
          <w:color w:val="auto"/>
          <w:sz w:val="24"/>
        </w:rPr>
        <w:t>4.15投标人须严格履行合同要求，不得转包给其他运营者，否则，采购人将单方面终止合同，由此产生的后果和损失均由投标人负责。</w:t>
      </w:r>
    </w:p>
    <w:p w14:paraId="2F71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Arial"/>
          <w:b/>
          <w:color w:val="auto"/>
          <w:kern w:val="0"/>
          <w:sz w:val="24"/>
        </w:rPr>
      </w:pPr>
      <w:r>
        <w:rPr>
          <w:rFonts w:hint="eastAsia" w:ascii="宋体" w:hAnsi="宋体" w:cs="Arial"/>
          <w:b/>
          <w:color w:val="auto"/>
          <w:kern w:val="0"/>
          <w:sz w:val="24"/>
        </w:rPr>
        <w:t>5</w:t>
      </w:r>
      <w:r>
        <w:rPr>
          <w:rFonts w:hint="eastAsia" w:ascii="宋体" w:hAnsi="宋体"/>
          <w:b/>
          <w:color w:val="auto"/>
          <w:sz w:val="24"/>
        </w:rPr>
        <w:t>.</w:t>
      </w:r>
      <w:r>
        <w:rPr>
          <w:rFonts w:hint="eastAsia" w:ascii="宋体" w:hAnsi="宋体" w:cs="Arial"/>
          <w:b/>
          <w:color w:val="auto"/>
          <w:kern w:val="0"/>
          <w:sz w:val="24"/>
        </w:rPr>
        <w:t>保安</w:t>
      </w:r>
    </w:p>
    <w:p w14:paraId="65221E79">
      <w:pPr>
        <w:spacing w:line="360" w:lineRule="auto"/>
        <w:ind w:firstLine="600"/>
        <w:rPr>
          <w:rFonts w:ascii="宋体" w:hAnsi="宋体"/>
          <w:color w:val="auto"/>
          <w:sz w:val="24"/>
        </w:rPr>
      </w:pPr>
      <w:r>
        <w:rPr>
          <w:rFonts w:hint="eastAsia" w:ascii="宋体" w:hAnsi="宋体"/>
          <w:color w:val="auto"/>
          <w:sz w:val="24"/>
        </w:rPr>
        <w:t>本项目保安配置人员6人，由中标人协调统一排班、管理，费用支出为32.40万元/年，由中标人支付。中标人协助采购人对保安进行考核管理，保安人员服从管理人员管理，每天定时巡逻，核实并登记出入人员，监控室24小时有人员在岗。</w:t>
      </w:r>
    </w:p>
    <w:p w14:paraId="5F3D9A37">
      <w:pPr>
        <w:pStyle w:val="2"/>
        <w:ind w:firstLine="240"/>
        <w:rPr>
          <w:color w:val="auto"/>
        </w:rPr>
      </w:pPr>
      <w:r>
        <w:rPr>
          <w:rFonts w:hint="eastAsia" w:ascii="宋体" w:hAnsi="宋体"/>
          <w:color w:val="auto"/>
        </w:rPr>
        <w:t>人员要求：实行2班轮岗制。每班在岗保安至少有一人须持有保安证或消控证。如果所聘人员不符合采购人要求，必须及时调整，否则，采购人有权扣除相应费用，直至终止合同。</w:t>
      </w:r>
    </w:p>
    <w:p w14:paraId="58EDC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Arial"/>
          <w:b/>
          <w:color w:val="auto"/>
          <w:kern w:val="0"/>
          <w:sz w:val="24"/>
        </w:rPr>
      </w:pPr>
      <w:r>
        <w:rPr>
          <w:rFonts w:hint="eastAsia" w:ascii="宋体" w:hAnsi="宋体" w:cs="Arial"/>
          <w:b/>
          <w:color w:val="auto"/>
          <w:kern w:val="0"/>
          <w:sz w:val="24"/>
        </w:rPr>
        <w:t>6</w:t>
      </w:r>
      <w:r>
        <w:rPr>
          <w:rFonts w:hint="eastAsia" w:ascii="宋体" w:hAnsi="宋体"/>
          <w:b/>
          <w:color w:val="auto"/>
          <w:sz w:val="24"/>
        </w:rPr>
        <w:t>.</w:t>
      </w:r>
      <w:r>
        <w:rPr>
          <w:rFonts w:hint="eastAsia" w:ascii="宋体" w:hAnsi="宋体" w:cs="Arial"/>
          <w:b/>
          <w:color w:val="auto"/>
          <w:kern w:val="0"/>
          <w:sz w:val="24"/>
        </w:rPr>
        <w:t>物业保洁</w:t>
      </w:r>
    </w:p>
    <w:p w14:paraId="767E7E40">
      <w:pPr>
        <w:spacing w:line="360" w:lineRule="auto"/>
        <w:ind w:firstLine="600"/>
        <w:rPr>
          <w:rFonts w:ascii="宋体" w:hAnsi="宋体"/>
          <w:color w:val="auto"/>
          <w:sz w:val="24"/>
        </w:rPr>
      </w:pPr>
      <w:r>
        <w:rPr>
          <w:rFonts w:hint="eastAsia" w:ascii="宋体" w:hAnsi="宋体"/>
          <w:color w:val="auto"/>
          <w:sz w:val="24"/>
        </w:rPr>
        <w:t>6.1人员要求：按需配备保洁人员，投标人在服务期内所聘工作人员须报采购人认可备案后方可上岗。如果所聘人员不符合采购人要求，必须及时调整，否则，采购人有权扣除相应费用，直至终止合同。</w:t>
      </w:r>
    </w:p>
    <w:p w14:paraId="7B624FDB">
      <w:pPr>
        <w:spacing w:line="360" w:lineRule="auto"/>
        <w:ind w:firstLine="600"/>
        <w:rPr>
          <w:rFonts w:ascii="宋体" w:hAnsi="宋体"/>
          <w:color w:val="auto"/>
          <w:sz w:val="24"/>
        </w:rPr>
      </w:pPr>
      <w:r>
        <w:rPr>
          <w:rFonts w:hint="eastAsia" w:ascii="宋体" w:hAnsi="宋体"/>
          <w:color w:val="auto"/>
          <w:sz w:val="24"/>
        </w:rPr>
        <w:t>6.2工作内容：办公楼、及其他配套楼房的全部（包括公共厕所、洗衣房、走廊打扫、厕所卫生、疏通以及垃圾清运等）、托养楼的公共区域、户外场地的卫生打扫；外墙3米以下墙面卫生；绿化带内垃圾清扫及绿化养护；路灯、指示牌、宣传牌和扶手等公共区域和设施设备工具的保洁；所有垃圾清运。</w:t>
      </w:r>
    </w:p>
    <w:p w14:paraId="4FCE1411">
      <w:pPr>
        <w:spacing w:line="360" w:lineRule="auto"/>
        <w:ind w:firstLine="600"/>
        <w:rPr>
          <w:rFonts w:ascii="宋体" w:hAnsi="宋体"/>
          <w:color w:val="auto"/>
          <w:sz w:val="24"/>
        </w:rPr>
      </w:pPr>
      <w:r>
        <w:rPr>
          <w:rFonts w:hint="eastAsia" w:ascii="宋体" w:hAnsi="宋体"/>
          <w:color w:val="auto"/>
          <w:sz w:val="24"/>
        </w:rPr>
        <w:t>6.3保洁标准：</w:t>
      </w:r>
    </w:p>
    <w:p w14:paraId="72040F3E">
      <w:pPr>
        <w:spacing w:line="360" w:lineRule="auto"/>
        <w:ind w:firstLine="480" w:firstLineChars="200"/>
        <w:rPr>
          <w:rFonts w:ascii="宋体" w:hAnsi="宋体"/>
          <w:color w:val="auto"/>
          <w:sz w:val="24"/>
        </w:rPr>
      </w:pPr>
      <w:r>
        <w:rPr>
          <w:rFonts w:hint="eastAsia" w:ascii="宋体" w:hAnsi="宋体"/>
          <w:color w:val="auto"/>
          <w:sz w:val="24"/>
        </w:rPr>
        <w:t>6.3.1大理石、花岗岩墙面、柱面</w:t>
      </w:r>
    </w:p>
    <w:p w14:paraId="3AF98C11">
      <w:pPr>
        <w:spacing w:line="360" w:lineRule="auto"/>
        <w:ind w:firstLine="480" w:firstLineChars="200"/>
        <w:rPr>
          <w:rFonts w:ascii="宋体" w:hAnsi="宋体"/>
          <w:color w:val="auto"/>
          <w:sz w:val="24"/>
        </w:rPr>
      </w:pPr>
      <w:r>
        <w:rPr>
          <w:rFonts w:hint="eastAsia" w:ascii="宋体" w:hAnsi="宋体"/>
          <w:color w:val="auto"/>
          <w:sz w:val="24"/>
        </w:rPr>
        <w:t>（1）直视表面无污垢、无污渍、无水迹、无手印等；</w:t>
      </w:r>
    </w:p>
    <w:p w14:paraId="2E9DD0FF">
      <w:pPr>
        <w:spacing w:line="360" w:lineRule="auto"/>
        <w:ind w:firstLine="480" w:firstLineChars="200"/>
        <w:rPr>
          <w:rFonts w:ascii="宋体" w:hAnsi="宋体"/>
          <w:color w:val="auto"/>
          <w:sz w:val="24"/>
        </w:rPr>
      </w:pPr>
      <w:r>
        <w:rPr>
          <w:rFonts w:hint="eastAsia" w:ascii="宋体" w:hAnsi="宋体"/>
          <w:color w:val="auto"/>
          <w:sz w:val="24"/>
        </w:rPr>
        <w:t>（2）用白色柔软纸巾或棉布擦拭表面、无灰尘；</w:t>
      </w:r>
    </w:p>
    <w:p w14:paraId="696CC9CA">
      <w:pPr>
        <w:spacing w:line="360" w:lineRule="auto"/>
        <w:ind w:firstLine="480" w:firstLineChars="200"/>
        <w:rPr>
          <w:rFonts w:ascii="宋体" w:hAnsi="宋体"/>
          <w:color w:val="auto"/>
          <w:sz w:val="24"/>
        </w:rPr>
      </w:pPr>
      <w:r>
        <w:rPr>
          <w:rFonts w:hint="eastAsia" w:ascii="宋体" w:hAnsi="宋体"/>
          <w:color w:val="auto"/>
          <w:sz w:val="24"/>
        </w:rPr>
        <w:t>（3）用白色柔软纸巾或棉布擦拭接缝，无结垢；</w:t>
      </w:r>
    </w:p>
    <w:p w14:paraId="5CE27F4E">
      <w:pPr>
        <w:spacing w:line="360" w:lineRule="auto"/>
        <w:ind w:firstLine="480" w:firstLineChars="200"/>
        <w:rPr>
          <w:rFonts w:ascii="宋体" w:hAnsi="宋体"/>
          <w:color w:val="auto"/>
          <w:sz w:val="24"/>
        </w:rPr>
      </w:pPr>
      <w:r>
        <w:rPr>
          <w:rFonts w:hint="eastAsia" w:ascii="宋体" w:hAnsi="宋体"/>
          <w:color w:val="auto"/>
          <w:sz w:val="24"/>
        </w:rPr>
        <w:t>（4）侧视表面光泽均匀，光亮一致。</w:t>
      </w:r>
    </w:p>
    <w:p w14:paraId="6C6A361E">
      <w:pPr>
        <w:spacing w:line="360" w:lineRule="auto"/>
        <w:ind w:firstLine="480" w:firstLineChars="200"/>
        <w:rPr>
          <w:rFonts w:ascii="宋体" w:hAnsi="宋体"/>
          <w:color w:val="auto"/>
          <w:sz w:val="24"/>
        </w:rPr>
      </w:pPr>
      <w:r>
        <w:rPr>
          <w:rFonts w:hint="eastAsia" w:ascii="宋体" w:hAnsi="宋体"/>
          <w:color w:val="auto"/>
          <w:sz w:val="24"/>
        </w:rPr>
        <w:t>6.3.2玻璃墙面及金属框架</w:t>
      </w:r>
    </w:p>
    <w:p w14:paraId="0010D42E">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直视玻璃表面无折光现象，无灰尘、无污垢、无污渍、无水渍、无手印等；</w:t>
      </w:r>
    </w:p>
    <w:p w14:paraId="1A2BDF98">
      <w:pPr>
        <w:spacing w:line="360" w:lineRule="auto"/>
        <w:ind w:firstLine="480" w:firstLineChars="200"/>
        <w:rPr>
          <w:rFonts w:ascii="宋体" w:hAnsi="宋体"/>
          <w:color w:val="auto"/>
          <w:sz w:val="24"/>
        </w:rPr>
      </w:pPr>
      <w:r>
        <w:rPr>
          <w:rFonts w:hint="eastAsia" w:ascii="宋体" w:hAnsi="宋体"/>
          <w:color w:val="auto"/>
          <w:sz w:val="24"/>
        </w:rPr>
        <w:t>（2）直视玻璃间周围的金属框架，应光泽明亮，表面无灰尘、无污垢、无污渍、无水渍、无手印等；</w:t>
      </w:r>
    </w:p>
    <w:p w14:paraId="4C67858D">
      <w:pPr>
        <w:spacing w:line="360" w:lineRule="auto"/>
        <w:ind w:firstLine="480" w:firstLineChars="200"/>
        <w:rPr>
          <w:rFonts w:ascii="宋体" w:hAnsi="宋体"/>
          <w:color w:val="auto"/>
          <w:sz w:val="24"/>
        </w:rPr>
      </w:pPr>
      <w:r>
        <w:rPr>
          <w:rFonts w:hint="eastAsia" w:ascii="宋体" w:hAnsi="宋体"/>
          <w:color w:val="auto"/>
          <w:sz w:val="24"/>
        </w:rPr>
        <w:t>（3）用白色柔软纸巾或棉布擦拭玻璃及金属框架的接缝，无污垢、无灰尘；</w:t>
      </w:r>
    </w:p>
    <w:p w14:paraId="024BEC76">
      <w:pPr>
        <w:spacing w:line="360" w:lineRule="auto"/>
        <w:ind w:firstLine="480" w:firstLineChars="200"/>
        <w:rPr>
          <w:rFonts w:ascii="宋体" w:hAnsi="宋体"/>
          <w:color w:val="auto"/>
          <w:sz w:val="24"/>
        </w:rPr>
      </w:pPr>
      <w:r>
        <w:rPr>
          <w:rFonts w:hint="eastAsia" w:ascii="宋体" w:hAnsi="宋体"/>
          <w:color w:val="auto"/>
          <w:sz w:val="24"/>
        </w:rPr>
        <w:t>（4）手摸玻璃及金属框架的接缝，无溢缝残留硅胶。</w:t>
      </w:r>
    </w:p>
    <w:p w14:paraId="1A880EE9">
      <w:pPr>
        <w:spacing w:line="360" w:lineRule="auto"/>
        <w:ind w:firstLine="480" w:firstLineChars="200"/>
        <w:rPr>
          <w:rFonts w:ascii="宋体" w:hAnsi="宋体"/>
          <w:color w:val="auto"/>
          <w:sz w:val="24"/>
        </w:rPr>
      </w:pPr>
      <w:r>
        <w:rPr>
          <w:rFonts w:hint="eastAsia" w:ascii="宋体" w:hAnsi="宋体"/>
          <w:color w:val="auto"/>
          <w:sz w:val="24"/>
        </w:rPr>
        <w:t>6.3.3金属墙面、柱面（含不锈钢、铝合金材料）</w:t>
      </w:r>
    </w:p>
    <w:p w14:paraId="337F1527">
      <w:pPr>
        <w:spacing w:line="360" w:lineRule="auto"/>
        <w:ind w:firstLine="480" w:firstLineChars="200"/>
        <w:rPr>
          <w:rFonts w:ascii="宋体" w:hAnsi="宋体"/>
          <w:color w:val="auto"/>
          <w:sz w:val="24"/>
        </w:rPr>
      </w:pPr>
      <w:r>
        <w:rPr>
          <w:rFonts w:hint="eastAsia" w:ascii="宋体" w:hAnsi="宋体"/>
          <w:color w:val="auto"/>
          <w:sz w:val="24"/>
        </w:rPr>
        <w:t>（1）直视表面无污渍、无污垢、无水渍、无手印等；</w:t>
      </w:r>
    </w:p>
    <w:p w14:paraId="6738E4CB">
      <w:pPr>
        <w:spacing w:line="360" w:lineRule="auto"/>
        <w:ind w:firstLine="480" w:firstLineChars="200"/>
        <w:rPr>
          <w:rFonts w:ascii="宋体" w:hAnsi="宋体"/>
          <w:color w:val="auto"/>
          <w:sz w:val="24"/>
        </w:rPr>
      </w:pPr>
      <w:r>
        <w:rPr>
          <w:rFonts w:hint="eastAsia" w:ascii="宋体" w:hAnsi="宋体"/>
          <w:color w:val="auto"/>
          <w:sz w:val="24"/>
        </w:rPr>
        <w:t>（2）用白色柔软纸巾或棉布擦拭表面，无灰尘；</w:t>
      </w:r>
    </w:p>
    <w:p w14:paraId="3E11F932">
      <w:pPr>
        <w:spacing w:line="360" w:lineRule="auto"/>
        <w:ind w:firstLine="480" w:firstLineChars="200"/>
        <w:rPr>
          <w:rFonts w:ascii="宋体" w:hAnsi="宋体"/>
          <w:color w:val="auto"/>
          <w:sz w:val="24"/>
        </w:rPr>
      </w:pPr>
      <w:r>
        <w:rPr>
          <w:rFonts w:hint="eastAsia" w:ascii="宋体" w:hAnsi="宋体"/>
          <w:color w:val="auto"/>
          <w:sz w:val="24"/>
        </w:rPr>
        <w:t>（3）用白色柔软纸巾或棉布擦拭接缝，无结垢。</w:t>
      </w:r>
    </w:p>
    <w:p w14:paraId="6A43B384">
      <w:pPr>
        <w:spacing w:line="360" w:lineRule="auto"/>
        <w:ind w:firstLine="480" w:firstLineChars="200"/>
        <w:rPr>
          <w:rFonts w:ascii="宋体" w:hAnsi="宋体"/>
          <w:color w:val="auto"/>
          <w:sz w:val="24"/>
        </w:rPr>
      </w:pPr>
      <w:r>
        <w:rPr>
          <w:rFonts w:hint="eastAsia" w:ascii="宋体" w:hAnsi="宋体"/>
          <w:color w:val="auto"/>
          <w:sz w:val="24"/>
        </w:rPr>
        <w:t>6.3.4地坪（含花岗岩、大理石、水磨石、地砖、PV、木地板等地坪）</w:t>
      </w:r>
    </w:p>
    <w:p w14:paraId="0227F5A5">
      <w:pPr>
        <w:spacing w:line="360" w:lineRule="auto"/>
        <w:ind w:firstLine="480" w:firstLineChars="200"/>
        <w:rPr>
          <w:rFonts w:ascii="宋体" w:hAnsi="宋体"/>
          <w:color w:val="auto"/>
          <w:sz w:val="24"/>
        </w:rPr>
      </w:pPr>
      <w:r>
        <w:rPr>
          <w:rFonts w:hint="eastAsia" w:ascii="宋体" w:hAnsi="宋体"/>
          <w:color w:val="auto"/>
          <w:sz w:val="24"/>
        </w:rPr>
        <w:t>（1）清洗后上蜡、抛光：</w:t>
      </w:r>
    </w:p>
    <w:p w14:paraId="315FC59B">
      <w:pPr>
        <w:spacing w:line="360" w:lineRule="auto"/>
        <w:ind w:firstLine="1080" w:firstLineChars="450"/>
        <w:rPr>
          <w:rFonts w:ascii="宋体" w:hAnsi="宋体"/>
          <w:color w:val="auto"/>
          <w:sz w:val="24"/>
        </w:rPr>
      </w:pPr>
      <w:r>
        <w:rPr>
          <w:rFonts w:hint="eastAsia" w:ascii="宋体" w:hAnsi="宋体"/>
          <w:color w:val="auto"/>
          <w:sz w:val="24"/>
        </w:rPr>
        <w:t>直视地坪表面平滑、光泽柔和、质感凝重，</w:t>
      </w:r>
    </w:p>
    <w:p w14:paraId="7B24C0BA">
      <w:pPr>
        <w:spacing w:line="360" w:lineRule="auto"/>
        <w:ind w:firstLine="1080" w:firstLineChars="450"/>
        <w:rPr>
          <w:rFonts w:ascii="宋体" w:hAnsi="宋体"/>
          <w:color w:val="auto"/>
          <w:sz w:val="24"/>
        </w:rPr>
      </w:pPr>
      <w:r>
        <w:rPr>
          <w:rFonts w:hint="eastAsia" w:ascii="宋体" w:hAnsi="宋体"/>
          <w:color w:val="auto"/>
          <w:sz w:val="24"/>
        </w:rPr>
        <w:t>侧视地坪表面无局部蜡层不匀、无气泡、无擦痕，</w:t>
      </w:r>
    </w:p>
    <w:p w14:paraId="3A209F32">
      <w:pPr>
        <w:spacing w:line="360" w:lineRule="auto"/>
        <w:ind w:firstLine="1080" w:firstLineChars="450"/>
        <w:rPr>
          <w:rFonts w:ascii="宋体" w:hAnsi="宋体"/>
          <w:color w:val="auto"/>
          <w:sz w:val="24"/>
        </w:rPr>
      </w:pPr>
      <w:r>
        <w:rPr>
          <w:rFonts w:hint="eastAsia" w:ascii="宋体" w:hAnsi="宋体"/>
          <w:color w:val="auto"/>
          <w:sz w:val="24"/>
        </w:rPr>
        <w:t>仔细观察蜡面下无隐现的污渍残存；</w:t>
      </w:r>
    </w:p>
    <w:p w14:paraId="2B341FA5">
      <w:pPr>
        <w:spacing w:line="360" w:lineRule="auto"/>
        <w:ind w:firstLine="480" w:firstLineChars="200"/>
        <w:rPr>
          <w:rFonts w:ascii="宋体" w:hAnsi="宋体"/>
          <w:color w:val="auto"/>
          <w:sz w:val="24"/>
        </w:rPr>
      </w:pPr>
      <w:r>
        <w:rPr>
          <w:rFonts w:hint="eastAsia" w:ascii="宋体" w:hAnsi="宋体"/>
          <w:color w:val="auto"/>
          <w:sz w:val="24"/>
        </w:rPr>
        <w:t>（2）清洗后不作上蜡处理：</w:t>
      </w:r>
    </w:p>
    <w:p w14:paraId="38CA7595">
      <w:pPr>
        <w:spacing w:line="360" w:lineRule="auto"/>
        <w:ind w:firstLine="1080" w:firstLineChars="450"/>
        <w:rPr>
          <w:rFonts w:ascii="宋体" w:hAnsi="宋体"/>
          <w:color w:val="auto"/>
          <w:sz w:val="24"/>
        </w:rPr>
      </w:pPr>
      <w:r>
        <w:rPr>
          <w:rFonts w:hint="eastAsia" w:ascii="宋体" w:hAnsi="宋体"/>
          <w:color w:val="auto"/>
          <w:sz w:val="24"/>
        </w:rPr>
        <w:t>仔细观察地坪无污渍、无污垢留存。</w:t>
      </w:r>
    </w:p>
    <w:p w14:paraId="7C03B052">
      <w:pPr>
        <w:spacing w:line="360" w:lineRule="auto"/>
        <w:ind w:firstLine="480" w:firstLineChars="200"/>
        <w:rPr>
          <w:rFonts w:ascii="宋体" w:hAnsi="宋体"/>
          <w:color w:val="auto"/>
          <w:sz w:val="24"/>
        </w:rPr>
      </w:pPr>
      <w:r>
        <w:rPr>
          <w:rFonts w:hint="eastAsia" w:ascii="宋体" w:hAnsi="宋体"/>
          <w:color w:val="auto"/>
          <w:sz w:val="24"/>
        </w:rPr>
        <w:t>6.3.5高空类（含通风口、灯具、饰物、网架、天花板、管道等）</w:t>
      </w:r>
    </w:p>
    <w:p w14:paraId="5E8F42E0">
      <w:pPr>
        <w:spacing w:line="360" w:lineRule="auto"/>
        <w:ind w:firstLine="480" w:firstLineChars="200"/>
        <w:rPr>
          <w:rFonts w:ascii="宋体" w:hAnsi="宋体"/>
          <w:color w:val="auto"/>
          <w:sz w:val="24"/>
        </w:rPr>
      </w:pPr>
      <w:r>
        <w:rPr>
          <w:rFonts w:hint="eastAsia" w:ascii="宋体" w:hAnsi="宋体"/>
          <w:color w:val="auto"/>
          <w:sz w:val="24"/>
        </w:rPr>
        <w:t>（1）用手抚摸天花板表面、通风口百叶窗、灯饰、网格等，无灰尘；</w:t>
      </w:r>
    </w:p>
    <w:p w14:paraId="68A5419A">
      <w:pPr>
        <w:spacing w:line="360" w:lineRule="auto"/>
        <w:ind w:firstLine="480" w:firstLineChars="200"/>
        <w:rPr>
          <w:rFonts w:ascii="宋体" w:hAnsi="宋体"/>
          <w:color w:val="auto"/>
          <w:sz w:val="24"/>
        </w:rPr>
      </w:pPr>
      <w:r>
        <w:rPr>
          <w:rFonts w:hint="eastAsia" w:ascii="宋体" w:hAnsi="宋体"/>
          <w:color w:val="auto"/>
          <w:sz w:val="24"/>
        </w:rPr>
        <w:t>（2）直视表面无污垢、蜘蛛网，无上次作业遗留的手印；</w:t>
      </w:r>
    </w:p>
    <w:p w14:paraId="6F39C5B9">
      <w:pPr>
        <w:spacing w:line="360" w:lineRule="auto"/>
        <w:ind w:firstLine="480" w:firstLineChars="200"/>
        <w:rPr>
          <w:rFonts w:ascii="宋体" w:hAnsi="宋体"/>
          <w:color w:val="auto"/>
          <w:sz w:val="24"/>
        </w:rPr>
      </w:pPr>
      <w:r>
        <w:rPr>
          <w:rFonts w:hint="eastAsia" w:ascii="宋体" w:hAnsi="宋体"/>
          <w:color w:val="auto"/>
          <w:sz w:val="24"/>
        </w:rPr>
        <w:t>（3）仔细观察表面无缺损、无色差；</w:t>
      </w:r>
    </w:p>
    <w:p w14:paraId="797611A8">
      <w:pPr>
        <w:spacing w:line="360" w:lineRule="auto"/>
        <w:ind w:firstLine="480" w:firstLineChars="200"/>
        <w:rPr>
          <w:rFonts w:ascii="宋体" w:hAnsi="宋体"/>
          <w:color w:val="auto"/>
          <w:sz w:val="24"/>
        </w:rPr>
      </w:pPr>
      <w:r>
        <w:rPr>
          <w:rFonts w:hint="eastAsia" w:ascii="宋体" w:hAnsi="宋体"/>
          <w:color w:val="auto"/>
          <w:sz w:val="24"/>
        </w:rPr>
        <w:t>（4）仔细观察表面的金属饰物表面有金属光泽感。</w:t>
      </w:r>
    </w:p>
    <w:p w14:paraId="7392E5D2">
      <w:pPr>
        <w:spacing w:line="360" w:lineRule="auto"/>
        <w:ind w:firstLine="480" w:firstLineChars="200"/>
        <w:rPr>
          <w:rFonts w:ascii="宋体" w:hAnsi="宋体"/>
          <w:color w:val="auto"/>
          <w:sz w:val="24"/>
        </w:rPr>
      </w:pPr>
      <w:r>
        <w:rPr>
          <w:rFonts w:hint="eastAsia" w:ascii="宋体" w:hAnsi="宋体"/>
          <w:color w:val="auto"/>
          <w:sz w:val="24"/>
        </w:rPr>
        <w:t>6.3.6卫生间：</w:t>
      </w:r>
    </w:p>
    <w:p w14:paraId="48B39CA8">
      <w:pPr>
        <w:spacing w:line="360" w:lineRule="auto"/>
        <w:ind w:firstLine="480" w:firstLineChars="200"/>
        <w:rPr>
          <w:rFonts w:ascii="宋体" w:hAnsi="宋体"/>
          <w:color w:val="auto"/>
          <w:sz w:val="24"/>
        </w:rPr>
      </w:pPr>
      <w:r>
        <w:rPr>
          <w:rFonts w:hint="eastAsia" w:ascii="宋体" w:hAnsi="宋体"/>
          <w:color w:val="auto"/>
          <w:sz w:val="24"/>
        </w:rPr>
        <w:t>6.3.6.1空间、洗脸盆、水龙头、化妆镜子、化妆台：</w:t>
      </w:r>
    </w:p>
    <w:p w14:paraId="17A77C02">
      <w:pPr>
        <w:spacing w:line="360" w:lineRule="auto"/>
        <w:ind w:firstLine="480" w:firstLineChars="200"/>
        <w:rPr>
          <w:rFonts w:ascii="宋体" w:hAnsi="宋体"/>
          <w:color w:val="auto"/>
          <w:sz w:val="24"/>
        </w:rPr>
      </w:pPr>
      <w:r>
        <w:rPr>
          <w:rFonts w:hint="eastAsia" w:ascii="宋体" w:hAnsi="宋体"/>
          <w:color w:val="auto"/>
          <w:sz w:val="24"/>
        </w:rPr>
        <w:t>（1）观察空间无灰尘飞扬、无异味；</w:t>
      </w:r>
    </w:p>
    <w:p w14:paraId="596E201E">
      <w:pPr>
        <w:spacing w:line="360" w:lineRule="auto"/>
        <w:ind w:firstLine="480" w:firstLineChars="200"/>
        <w:rPr>
          <w:rFonts w:ascii="宋体" w:hAnsi="宋体"/>
          <w:color w:val="auto"/>
          <w:sz w:val="24"/>
        </w:rPr>
      </w:pPr>
      <w:r>
        <w:rPr>
          <w:rFonts w:hint="eastAsia" w:ascii="宋体" w:hAnsi="宋体"/>
          <w:color w:val="auto"/>
          <w:sz w:val="24"/>
        </w:rPr>
        <w:t>（2）直视化妆镜子、化妆台无污渍、无污垢、无水渍；</w:t>
      </w:r>
    </w:p>
    <w:p w14:paraId="55B28425">
      <w:pPr>
        <w:spacing w:line="360" w:lineRule="auto"/>
        <w:ind w:firstLine="480" w:firstLineChars="200"/>
        <w:rPr>
          <w:rFonts w:ascii="宋体" w:hAnsi="宋体"/>
          <w:color w:val="auto"/>
          <w:sz w:val="24"/>
        </w:rPr>
      </w:pPr>
      <w:r>
        <w:rPr>
          <w:rFonts w:hint="eastAsia" w:ascii="宋体" w:hAnsi="宋体"/>
          <w:color w:val="auto"/>
          <w:sz w:val="24"/>
        </w:rPr>
        <w:t>（3）用白色柔软纸巾或棉布擦拭化妆镜子，化妆台表面及四周外围无灰尘、无污垢；</w:t>
      </w:r>
    </w:p>
    <w:p w14:paraId="0992686D">
      <w:pPr>
        <w:spacing w:line="360" w:lineRule="auto"/>
        <w:ind w:firstLine="480" w:firstLineChars="200"/>
        <w:rPr>
          <w:rFonts w:ascii="宋体" w:hAnsi="宋体"/>
          <w:color w:val="auto"/>
          <w:sz w:val="24"/>
        </w:rPr>
      </w:pPr>
      <w:r>
        <w:rPr>
          <w:rFonts w:hint="eastAsia" w:ascii="宋体" w:hAnsi="宋体"/>
          <w:color w:val="auto"/>
          <w:sz w:val="24"/>
        </w:rPr>
        <w:t>（4）用干净抹布擦拭洗脸盆、溢水孔无污渍、无污垢；</w:t>
      </w:r>
    </w:p>
    <w:p w14:paraId="4CC2231A">
      <w:pPr>
        <w:spacing w:line="360" w:lineRule="auto"/>
        <w:ind w:firstLine="480" w:firstLineChars="200"/>
        <w:rPr>
          <w:rFonts w:ascii="宋体" w:hAnsi="宋体"/>
          <w:color w:val="auto"/>
          <w:sz w:val="24"/>
        </w:rPr>
      </w:pPr>
      <w:r>
        <w:rPr>
          <w:rFonts w:hint="eastAsia" w:ascii="宋体" w:hAnsi="宋体"/>
          <w:color w:val="auto"/>
          <w:sz w:val="24"/>
        </w:rPr>
        <w:t>（5）仔细观察洗脸盆、水龙头上下水通畅、无障碍。洗脸盆釉面光泽均匀，水龙头金属光泽明亮、无水渍、污垢。</w:t>
      </w:r>
    </w:p>
    <w:p w14:paraId="055FB558">
      <w:pPr>
        <w:spacing w:line="360" w:lineRule="auto"/>
        <w:ind w:firstLine="480" w:firstLineChars="200"/>
        <w:rPr>
          <w:rFonts w:ascii="宋体" w:hAnsi="宋体"/>
          <w:color w:val="auto"/>
          <w:sz w:val="24"/>
        </w:rPr>
      </w:pPr>
      <w:r>
        <w:rPr>
          <w:rFonts w:hint="eastAsia" w:ascii="宋体" w:hAnsi="宋体"/>
          <w:color w:val="auto"/>
          <w:sz w:val="24"/>
        </w:rPr>
        <w:t>6.3.6.2座便器、小便池：</w:t>
      </w:r>
    </w:p>
    <w:p w14:paraId="04037933">
      <w:pPr>
        <w:spacing w:line="360" w:lineRule="auto"/>
        <w:ind w:firstLine="480" w:firstLineChars="200"/>
        <w:rPr>
          <w:rFonts w:ascii="宋体" w:hAnsi="宋体"/>
          <w:color w:val="auto"/>
          <w:sz w:val="24"/>
        </w:rPr>
      </w:pPr>
      <w:r>
        <w:rPr>
          <w:rFonts w:hint="eastAsia" w:ascii="宋体" w:hAnsi="宋体"/>
          <w:color w:val="auto"/>
          <w:sz w:val="24"/>
        </w:rPr>
        <w:t>（1）手摸座便器、小便池外部表面釉面无污垢、光滑；</w:t>
      </w:r>
    </w:p>
    <w:p w14:paraId="10C0EBAF">
      <w:pPr>
        <w:spacing w:line="360" w:lineRule="auto"/>
        <w:ind w:firstLine="480" w:firstLineChars="200"/>
        <w:rPr>
          <w:rFonts w:ascii="宋体" w:hAnsi="宋体"/>
          <w:color w:val="auto"/>
          <w:sz w:val="24"/>
        </w:rPr>
      </w:pPr>
      <w:r>
        <w:rPr>
          <w:rFonts w:hint="eastAsia" w:ascii="宋体" w:hAnsi="宋体"/>
          <w:color w:val="auto"/>
          <w:sz w:val="24"/>
        </w:rPr>
        <w:t>（2）用白色柔软纸巾或棉布擦拭边角无灰、无污垢；</w:t>
      </w:r>
    </w:p>
    <w:p w14:paraId="66CBEB02">
      <w:pPr>
        <w:spacing w:line="360" w:lineRule="auto"/>
        <w:ind w:firstLine="480" w:firstLineChars="200"/>
        <w:rPr>
          <w:rFonts w:ascii="宋体" w:hAnsi="宋体"/>
          <w:color w:val="auto"/>
          <w:sz w:val="24"/>
        </w:rPr>
      </w:pPr>
      <w:r>
        <w:rPr>
          <w:rFonts w:hint="eastAsia" w:ascii="宋体" w:hAnsi="宋体"/>
          <w:color w:val="auto"/>
          <w:sz w:val="24"/>
        </w:rPr>
        <w:t>（3）直视座便器、小便池内部无污渍、无污垢、无水锈渍，检查上下水通畅、无障碍，座便器、小便池外部釉面光泽均匀。</w:t>
      </w:r>
    </w:p>
    <w:p w14:paraId="42A6EB32">
      <w:pPr>
        <w:spacing w:line="360" w:lineRule="auto"/>
        <w:ind w:firstLine="480" w:firstLineChars="200"/>
        <w:rPr>
          <w:rFonts w:ascii="宋体" w:hAnsi="宋体"/>
          <w:color w:val="auto"/>
          <w:sz w:val="24"/>
        </w:rPr>
      </w:pPr>
      <w:r>
        <w:rPr>
          <w:rFonts w:hint="eastAsia" w:ascii="宋体" w:hAnsi="宋体"/>
          <w:color w:val="auto"/>
          <w:sz w:val="24"/>
        </w:rPr>
        <w:t>6.3.6.3墙面、隔断：</w:t>
      </w:r>
    </w:p>
    <w:p w14:paraId="1F4703DD">
      <w:pPr>
        <w:spacing w:line="360" w:lineRule="auto"/>
        <w:ind w:firstLine="480" w:firstLineChars="200"/>
        <w:rPr>
          <w:rFonts w:ascii="宋体" w:hAnsi="宋体"/>
          <w:color w:val="auto"/>
          <w:sz w:val="24"/>
        </w:rPr>
      </w:pPr>
      <w:r>
        <w:rPr>
          <w:rFonts w:hint="eastAsia" w:ascii="宋体" w:hAnsi="宋体"/>
          <w:color w:val="auto"/>
          <w:sz w:val="24"/>
        </w:rPr>
        <w:t>（1）用白色柔软纸巾或棉布擦拭表面无灰尘、无污垢；</w:t>
      </w:r>
    </w:p>
    <w:p w14:paraId="60D8FD87">
      <w:pPr>
        <w:spacing w:line="360" w:lineRule="auto"/>
        <w:ind w:firstLine="480" w:firstLineChars="200"/>
        <w:rPr>
          <w:rFonts w:ascii="宋体" w:hAnsi="宋体"/>
          <w:color w:val="auto"/>
          <w:sz w:val="24"/>
        </w:rPr>
      </w:pPr>
      <w:r>
        <w:rPr>
          <w:rFonts w:hint="eastAsia" w:ascii="宋体" w:hAnsi="宋体"/>
          <w:color w:val="auto"/>
          <w:sz w:val="24"/>
        </w:rPr>
        <w:t>（2）直视墙面、隔断表面色泽均匀、光亮；</w:t>
      </w:r>
    </w:p>
    <w:p w14:paraId="7D569CD9">
      <w:pPr>
        <w:spacing w:line="360" w:lineRule="auto"/>
        <w:ind w:firstLine="480" w:firstLineChars="200"/>
        <w:rPr>
          <w:rFonts w:ascii="宋体" w:hAnsi="宋体"/>
          <w:color w:val="auto"/>
          <w:sz w:val="24"/>
        </w:rPr>
      </w:pPr>
      <w:r>
        <w:rPr>
          <w:rFonts w:hint="eastAsia" w:ascii="宋体" w:hAnsi="宋体"/>
          <w:color w:val="auto"/>
          <w:sz w:val="24"/>
        </w:rPr>
        <w:t>（3）仔细观察墙面、隔断无粘贴物、无涂写。</w:t>
      </w:r>
    </w:p>
    <w:p w14:paraId="5488D8F5">
      <w:pPr>
        <w:spacing w:line="360" w:lineRule="auto"/>
        <w:ind w:firstLine="480" w:firstLineChars="200"/>
        <w:rPr>
          <w:rFonts w:ascii="宋体" w:hAnsi="宋体"/>
          <w:color w:val="auto"/>
          <w:sz w:val="24"/>
        </w:rPr>
      </w:pPr>
      <w:r>
        <w:rPr>
          <w:rFonts w:hint="eastAsia" w:ascii="宋体" w:hAnsi="宋体"/>
          <w:color w:val="auto"/>
          <w:sz w:val="24"/>
        </w:rPr>
        <w:t>6.3.6.4地面：</w:t>
      </w:r>
    </w:p>
    <w:p w14:paraId="0FCA6224">
      <w:pPr>
        <w:spacing w:line="360" w:lineRule="auto"/>
        <w:ind w:firstLine="480" w:firstLineChars="200"/>
        <w:rPr>
          <w:rFonts w:ascii="宋体" w:hAnsi="宋体"/>
          <w:color w:val="auto"/>
          <w:sz w:val="24"/>
        </w:rPr>
      </w:pPr>
      <w:r>
        <w:rPr>
          <w:rFonts w:hint="eastAsia" w:ascii="宋体" w:hAnsi="宋体"/>
          <w:color w:val="auto"/>
          <w:sz w:val="24"/>
        </w:rPr>
        <w:t>（1）直视座便器及小便池下，地面无尿渍；</w:t>
      </w:r>
    </w:p>
    <w:p w14:paraId="6B8AC58E">
      <w:pPr>
        <w:spacing w:line="360" w:lineRule="auto"/>
        <w:ind w:firstLine="480" w:firstLineChars="200"/>
        <w:rPr>
          <w:rFonts w:ascii="宋体" w:hAnsi="宋体"/>
          <w:color w:val="auto"/>
          <w:sz w:val="24"/>
        </w:rPr>
      </w:pPr>
      <w:r>
        <w:rPr>
          <w:rFonts w:hint="eastAsia" w:ascii="宋体" w:hAnsi="宋体"/>
          <w:color w:val="auto"/>
          <w:sz w:val="24"/>
        </w:rPr>
        <w:t>（2）仔细观察地面无灰尘、无纸屑、无污垢、无水渍。</w:t>
      </w:r>
    </w:p>
    <w:p w14:paraId="1D45BCFF">
      <w:pPr>
        <w:spacing w:line="360" w:lineRule="auto"/>
        <w:ind w:firstLine="480" w:firstLineChars="200"/>
        <w:rPr>
          <w:rFonts w:ascii="宋体" w:hAnsi="宋体"/>
          <w:color w:val="auto"/>
          <w:sz w:val="24"/>
        </w:rPr>
      </w:pPr>
      <w:r>
        <w:rPr>
          <w:rFonts w:hint="eastAsia" w:ascii="宋体" w:hAnsi="宋体"/>
          <w:color w:val="auto"/>
          <w:sz w:val="24"/>
        </w:rPr>
        <w:t>6.3.6.5废物箱：</w:t>
      </w:r>
    </w:p>
    <w:p w14:paraId="7BA07070">
      <w:pPr>
        <w:spacing w:line="360" w:lineRule="auto"/>
        <w:ind w:firstLine="480" w:firstLineChars="200"/>
        <w:rPr>
          <w:rFonts w:ascii="宋体" w:hAnsi="宋体"/>
          <w:color w:val="auto"/>
          <w:sz w:val="24"/>
        </w:rPr>
      </w:pPr>
      <w:r>
        <w:rPr>
          <w:rFonts w:hint="eastAsia" w:ascii="宋体" w:hAnsi="宋体"/>
          <w:color w:val="auto"/>
          <w:sz w:val="24"/>
        </w:rPr>
        <w:t>（1）直视废物箱外部表面无灰尘、无污渍、无水渍；</w:t>
      </w:r>
    </w:p>
    <w:p w14:paraId="796842CD">
      <w:pPr>
        <w:spacing w:line="360" w:lineRule="auto"/>
        <w:ind w:firstLine="480" w:firstLineChars="200"/>
        <w:rPr>
          <w:rFonts w:ascii="宋体" w:hAnsi="宋体"/>
          <w:color w:val="auto"/>
          <w:sz w:val="24"/>
        </w:rPr>
      </w:pPr>
      <w:r>
        <w:rPr>
          <w:rFonts w:hint="eastAsia" w:ascii="宋体" w:hAnsi="宋体"/>
          <w:color w:val="auto"/>
          <w:sz w:val="24"/>
        </w:rPr>
        <w:t>（2）仔细观察废物箱内垃圾袋桶夹层中无积水、潮湿、无污垢；</w:t>
      </w:r>
    </w:p>
    <w:p w14:paraId="6514A8DE">
      <w:pPr>
        <w:spacing w:line="360" w:lineRule="auto"/>
        <w:ind w:firstLine="480" w:firstLineChars="200"/>
        <w:rPr>
          <w:rFonts w:ascii="宋体" w:hAnsi="宋体"/>
          <w:color w:val="auto"/>
          <w:sz w:val="24"/>
        </w:rPr>
      </w:pPr>
      <w:r>
        <w:rPr>
          <w:rFonts w:hint="eastAsia" w:ascii="宋体" w:hAnsi="宋体"/>
          <w:color w:val="auto"/>
          <w:sz w:val="24"/>
        </w:rPr>
        <w:t>（3）仔细观察废物箱内垃圾袋容物不超过2/3。</w:t>
      </w:r>
    </w:p>
    <w:p w14:paraId="263EFDAB">
      <w:pPr>
        <w:spacing w:line="360" w:lineRule="auto"/>
        <w:ind w:firstLine="480" w:firstLineChars="200"/>
        <w:rPr>
          <w:rFonts w:ascii="宋体" w:hAnsi="宋体"/>
          <w:color w:val="auto"/>
          <w:sz w:val="24"/>
        </w:rPr>
      </w:pPr>
      <w:r>
        <w:rPr>
          <w:rFonts w:hint="eastAsia" w:ascii="宋体" w:hAnsi="宋体"/>
          <w:color w:val="auto"/>
          <w:sz w:val="24"/>
        </w:rPr>
        <w:t>6.3.7其他：</w:t>
      </w:r>
    </w:p>
    <w:p w14:paraId="7F06B4D2">
      <w:pPr>
        <w:spacing w:line="360" w:lineRule="auto"/>
        <w:ind w:firstLine="480" w:firstLineChars="200"/>
        <w:rPr>
          <w:rFonts w:ascii="宋体" w:hAnsi="宋体"/>
          <w:color w:val="auto"/>
          <w:sz w:val="24"/>
        </w:rPr>
      </w:pPr>
      <w:r>
        <w:rPr>
          <w:rFonts w:hint="eastAsia" w:ascii="宋体" w:hAnsi="宋体"/>
          <w:color w:val="auto"/>
          <w:sz w:val="24"/>
        </w:rPr>
        <w:t>6.3.7.1座椅：</w:t>
      </w:r>
    </w:p>
    <w:p w14:paraId="7B715F16">
      <w:pPr>
        <w:spacing w:line="360" w:lineRule="auto"/>
        <w:ind w:firstLine="480" w:firstLineChars="200"/>
        <w:rPr>
          <w:rFonts w:ascii="宋体" w:hAnsi="宋体"/>
          <w:color w:val="auto"/>
          <w:sz w:val="24"/>
        </w:rPr>
      </w:pPr>
      <w:r>
        <w:rPr>
          <w:rFonts w:hint="eastAsia" w:ascii="宋体" w:hAnsi="宋体"/>
          <w:color w:val="auto"/>
          <w:sz w:val="24"/>
        </w:rPr>
        <w:t>（1）直视座椅表面无灰尘、无污渍、无杂物、无水迹；</w:t>
      </w:r>
    </w:p>
    <w:p w14:paraId="76D5884A">
      <w:pPr>
        <w:spacing w:line="360" w:lineRule="auto"/>
        <w:ind w:firstLine="480" w:firstLineChars="200"/>
        <w:rPr>
          <w:rFonts w:ascii="宋体" w:hAnsi="宋体"/>
          <w:color w:val="auto"/>
          <w:sz w:val="24"/>
        </w:rPr>
      </w:pPr>
      <w:r>
        <w:rPr>
          <w:rFonts w:hint="eastAsia" w:ascii="宋体" w:hAnsi="宋体"/>
          <w:color w:val="auto"/>
          <w:sz w:val="24"/>
        </w:rPr>
        <w:t>（2）用白色柔软纸巾或棉布擦拭接缝点、背面、椅架处无积灰。</w:t>
      </w:r>
    </w:p>
    <w:p w14:paraId="2C6CBA5A">
      <w:pPr>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3</w:t>
      </w:r>
      <w:r>
        <w:rPr>
          <w:rFonts w:ascii="宋体" w:hAnsi="宋体"/>
          <w:color w:val="auto"/>
          <w:sz w:val="24"/>
        </w:rPr>
        <w:t>.</w:t>
      </w:r>
      <w:r>
        <w:rPr>
          <w:rFonts w:hint="eastAsia" w:ascii="宋体" w:hAnsi="宋体"/>
          <w:color w:val="auto"/>
          <w:sz w:val="24"/>
        </w:rPr>
        <w:t>7.2消防箱：</w:t>
      </w:r>
    </w:p>
    <w:p w14:paraId="32BE9E96">
      <w:pPr>
        <w:spacing w:line="360" w:lineRule="auto"/>
        <w:ind w:firstLine="480" w:firstLineChars="200"/>
        <w:rPr>
          <w:rFonts w:ascii="宋体" w:hAnsi="宋体"/>
          <w:color w:val="auto"/>
          <w:sz w:val="24"/>
        </w:rPr>
      </w:pPr>
      <w:r>
        <w:rPr>
          <w:rFonts w:hint="eastAsia" w:ascii="宋体" w:hAnsi="宋体"/>
          <w:color w:val="auto"/>
          <w:sz w:val="24"/>
        </w:rPr>
        <w:t>（1）直视消防柜、器、具表面无污渍，无积灰；</w:t>
      </w:r>
    </w:p>
    <w:p w14:paraId="045A2248">
      <w:pPr>
        <w:spacing w:line="360" w:lineRule="auto"/>
        <w:ind w:firstLine="480" w:firstLineChars="200"/>
        <w:rPr>
          <w:rFonts w:ascii="宋体" w:hAnsi="宋体"/>
          <w:color w:val="auto"/>
          <w:sz w:val="24"/>
        </w:rPr>
      </w:pPr>
      <w:r>
        <w:rPr>
          <w:rFonts w:hint="eastAsia" w:ascii="宋体" w:hAnsi="宋体"/>
          <w:color w:val="auto"/>
          <w:sz w:val="24"/>
        </w:rPr>
        <w:t>（2）用白色柔软纸巾或棉布擦拭，无灰尘、无污垢。</w:t>
      </w:r>
    </w:p>
    <w:p w14:paraId="70AE7471">
      <w:pPr>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3</w:t>
      </w:r>
      <w:r>
        <w:rPr>
          <w:rFonts w:ascii="宋体" w:hAnsi="宋体"/>
          <w:color w:val="auto"/>
          <w:sz w:val="24"/>
        </w:rPr>
        <w:t>.</w:t>
      </w:r>
      <w:r>
        <w:rPr>
          <w:rFonts w:hint="eastAsia" w:ascii="宋体" w:hAnsi="宋体"/>
          <w:color w:val="auto"/>
          <w:sz w:val="24"/>
        </w:rPr>
        <w:t>7.3电话机/亭，电脑显示牌及各类指示牌，公告栏：</w:t>
      </w:r>
    </w:p>
    <w:p w14:paraId="04EF8B97">
      <w:pPr>
        <w:spacing w:line="360" w:lineRule="auto"/>
        <w:ind w:firstLine="480" w:firstLineChars="200"/>
        <w:rPr>
          <w:rFonts w:ascii="宋体" w:hAnsi="宋体"/>
          <w:color w:val="auto"/>
          <w:sz w:val="24"/>
        </w:rPr>
      </w:pPr>
      <w:r>
        <w:rPr>
          <w:rFonts w:hint="eastAsia" w:ascii="宋体" w:hAnsi="宋体"/>
          <w:color w:val="auto"/>
          <w:sz w:val="24"/>
        </w:rPr>
        <w:t>（1）直视电话机/亭，电脑显示牌及各类指示牌、公告栏表面无积灰、无污渍；</w:t>
      </w:r>
    </w:p>
    <w:p w14:paraId="0CC792C5">
      <w:pPr>
        <w:spacing w:line="360" w:lineRule="auto"/>
        <w:ind w:firstLine="480" w:firstLineChars="200"/>
        <w:rPr>
          <w:rFonts w:ascii="宋体" w:hAnsi="宋体"/>
          <w:color w:val="auto"/>
          <w:sz w:val="24"/>
        </w:rPr>
      </w:pPr>
      <w:r>
        <w:rPr>
          <w:rFonts w:hint="eastAsia" w:ascii="宋体" w:hAnsi="宋体"/>
          <w:color w:val="auto"/>
          <w:sz w:val="24"/>
        </w:rPr>
        <w:t>（2）电话机/亭，电脑显示牌玻璃屏幕无折光；</w:t>
      </w:r>
    </w:p>
    <w:p w14:paraId="4293E33A">
      <w:pPr>
        <w:spacing w:line="360" w:lineRule="auto"/>
        <w:ind w:firstLine="480" w:firstLineChars="200"/>
        <w:rPr>
          <w:rFonts w:ascii="宋体" w:hAnsi="宋体"/>
          <w:color w:val="auto"/>
          <w:sz w:val="24"/>
        </w:rPr>
      </w:pPr>
      <w:r>
        <w:rPr>
          <w:rFonts w:hint="eastAsia" w:ascii="宋体" w:hAnsi="宋体"/>
          <w:color w:val="auto"/>
          <w:sz w:val="24"/>
        </w:rPr>
        <w:t>（3）用白色柔软纸巾或棉布擦拭表面无灰尘。</w:t>
      </w:r>
    </w:p>
    <w:p w14:paraId="50879A58">
      <w:pPr>
        <w:spacing w:line="360" w:lineRule="auto"/>
        <w:ind w:firstLine="360" w:firstLineChars="150"/>
        <w:rPr>
          <w:rFonts w:ascii="宋体" w:hAnsi="宋体"/>
          <w:color w:val="auto"/>
          <w:sz w:val="24"/>
        </w:rPr>
      </w:pPr>
      <w:r>
        <w:rPr>
          <w:rFonts w:ascii="宋体" w:hAnsi="宋体"/>
          <w:color w:val="auto"/>
          <w:sz w:val="24"/>
        </w:rPr>
        <w:t>6.</w:t>
      </w:r>
      <w:r>
        <w:rPr>
          <w:rFonts w:hint="eastAsia" w:ascii="宋体" w:hAnsi="宋体"/>
          <w:color w:val="auto"/>
          <w:sz w:val="24"/>
        </w:rPr>
        <w:t>3</w:t>
      </w:r>
      <w:r>
        <w:rPr>
          <w:rFonts w:ascii="宋体" w:hAnsi="宋体"/>
          <w:color w:val="auto"/>
          <w:sz w:val="24"/>
        </w:rPr>
        <w:t>.</w:t>
      </w:r>
      <w:r>
        <w:rPr>
          <w:rFonts w:hint="eastAsia" w:ascii="宋体" w:hAnsi="宋体"/>
          <w:color w:val="auto"/>
          <w:sz w:val="24"/>
        </w:rPr>
        <w:t>8各部位打扫周期：</w:t>
      </w:r>
    </w:p>
    <w:p w14:paraId="35FEF22E">
      <w:pPr>
        <w:spacing w:line="360" w:lineRule="auto"/>
        <w:ind w:firstLine="360" w:firstLineChars="150"/>
        <w:rPr>
          <w:rFonts w:ascii="宋体" w:hAnsi="宋体"/>
          <w:color w:val="auto"/>
          <w:sz w:val="24"/>
        </w:rPr>
      </w:pPr>
      <w:r>
        <w:rPr>
          <w:rFonts w:hint="eastAsia" w:ascii="宋体" w:hAnsi="宋体"/>
          <w:color w:val="auto"/>
          <w:sz w:val="24"/>
        </w:rPr>
        <w:t>（1）公共场所卫生每日打扫4次（每半天两次）；</w:t>
      </w:r>
    </w:p>
    <w:p w14:paraId="39E6E5EA">
      <w:pPr>
        <w:spacing w:line="360" w:lineRule="auto"/>
        <w:ind w:firstLine="360" w:firstLineChars="150"/>
        <w:rPr>
          <w:rFonts w:ascii="宋体" w:hAnsi="宋体"/>
          <w:color w:val="auto"/>
          <w:sz w:val="24"/>
        </w:rPr>
      </w:pPr>
      <w:r>
        <w:rPr>
          <w:rFonts w:hint="eastAsia" w:ascii="宋体" w:hAnsi="宋体"/>
          <w:color w:val="auto"/>
          <w:sz w:val="24"/>
        </w:rPr>
        <w:t>（2）办公室、会议室、活动室、宿舍每日打扫一次；</w:t>
      </w:r>
    </w:p>
    <w:p w14:paraId="059110FC">
      <w:pPr>
        <w:spacing w:line="360" w:lineRule="auto"/>
        <w:ind w:firstLine="360" w:firstLineChars="150"/>
        <w:rPr>
          <w:rFonts w:ascii="宋体" w:hAnsi="宋体"/>
          <w:color w:val="auto"/>
          <w:sz w:val="24"/>
        </w:rPr>
      </w:pPr>
      <w:r>
        <w:rPr>
          <w:rFonts w:hint="eastAsia" w:ascii="宋体" w:hAnsi="宋体"/>
          <w:color w:val="auto"/>
          <w:sz w:val="24"/>
        </w:rPr>
        <w:t>（3）楼梯过道（含楼梯下）、大厅每半天打扫一次；</w:t>
      </w:r>
    </w:p>
    <w:p w14:paraId="488B507E">
      <w:pPr>
        <w:spacing w:line="360" w:lineRule="auto"/>
        <w:ind w:firstLine="360" w:firstLineChars="150"/>
        <w:rPr>
          <w:rFonts w:ascii="宋体" w:hAnsi="宋体"/>
          <w:color w:val="auto"/>
          <w:sz w:val="24"/>
        </w:rPr>
      </w:pPr>
      <w:r>
        <w:rPr>
          <w:rFonts w:hint="eastAsia" w:ascii="宋体" w:hAnsi="宋体"/>
          <w:color w:val="auto"/>
          <w:sz w:val="24"/>
        </w:rPr>
        <w:t>（4）场地每周打扫3次；</w:t>
      </w:r>
    </w:p>
    <w:p w14:paraId="35038EF0">
      <w:pPr>
        <w:spacing w:line="360" w:lineRule="auto"/>
        <w:ind w:firstLine="360" w:firstLineChars="150"/>
        <w:rPr>
          <w:rFonts w:ascii="宋体" w:hAnsi="宋体"/>
          <w:color w:val="auto"/>
          <w:sz w:val="24"/>
        </w:rPr>
      </w:pPr>
      <w:r>
        <w:rPr>
          <w:rFonts w:hint="eastAsia" w:ascii="宋体" w:hAnsi="宋体"/>
          <w:color w:val="auto"/>
          <w:sz w:val="24"/>
        </w:rPr>
        <w:t>（5）遇到特殊情况时，听从采购方安排，随时增加清洁次数。</w:t>
      </w:r>
    </w:p>
    <w:p w14:paraId="1CDDDD95">
      <w:pPr>
        <w:spacing w:line="360" w:lineRule="auto"/>
        <w:ind w:firstLine="360" w:firstLineChars="150"/>
        <w:rPr>
          <w:rFonts w:ascii="宋体" w:hAnsi="宋体"/>
          <w:color w:val="auto"/>
          <w:sz w:val="24"/>
        </w:rPr>
      </w:pPr>
      <w:r>
        <w:rPr>
          <w:rFonts w:hint="eastAsia" w:ascii="宋体" w:hAnsi="宋体"/>
          <w:color w:val="auto"/>
          <w:sz w:val="24"/>
        </w:rPr>
        <w:t>6.4洗涤要求：负责中心托养人员衣服、被褥的清洗整理修补（中心配用大型洗衣机及烘干机、缝纫机）、消毒。</w:t>
      </w:r>
    </w:p>
    <w:p w14:paraId="0156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Arial"/>
          <w:b/>
          <w:color w:val="auto"/>
          <w:kern w:val="0"/>
          <w:sz w:val="24"/>
        </w:rPr>
      </w:pPr>
      <w:r>
        <w:rPr>
          <w:rFonts w:hint="eastAsia" w:ascii="宋体" w:hAnsi="宋体" w:cs="Arial"/>
          <w:b/>
          <w:color w:val="auto"/>
          <w:kern w:val="0"/>
          <w:sz w:val="24"/>
        </w:rPr>
        <w:t>7.康复活动安排</w:t>
      </w:r>
    </w:p>
    <w:p w14:paraId="725D0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7.1康复教育类：</w:t>
      </w:r>
    </w:p>
    <w:p w14:paraId="1986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1）设立运动训练室、作业治疗室、生活自理能力训练室、传统康复室、工疗室等，做好课程及训练项目安排，根据托养人员评估情况，开展运动训练、理疗、针灸推拿、作业治疗、认知训练等康复项目，每人每周不少于2次。</w:t>
      </w:r>
    </w:p>
    <w:p w14:paraId="4D392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指导托养人员进行基本生活自理活动训练，使其能够自行洗漱、如厕、穿衣、吃饭等。</w:t>
      </w:r>
    </w:p>
    <w:p w14:paraId="1684F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（3）开展健康知识等方面的讲座每季度不少于1次。</w:t>
      </w:r>
    </w:p>
    <w:p w14:paraId="0A06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（4）开展健康服务活动。配置相应的设施，定期免费为残疾人提供量身高、体重、血压等服务。</w:t>
      </w:r>
    </w:p>
    <w:p w14:paraId="63CA9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7.2文娱活动类：</w:t>
      </w:r>
    </w:p>
    <w:p w14:paraId="4955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（1）设立棋牌室、阅览室、球艺室、书画室、舞蹈室等文体活动区，保持干净整洁和设施完好，常年开放。</w:t>
      </w:r>
    </w:p>
    <w:p w14:paraId="04BF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（2）开展残疾人文娱活动，每人每周参与不少于3次。</w:t>
      </w:r>
    </w:p>
    <w:p w14:paraId="6DFA0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（3）开展节日体验活动。结合中国传统节日和残疾人重要节日，开展文体活动。活动内容契合节日主题和残疾人需求，有创新、有特色。</w:t>
      </w:r>
    </w:p>
    <w:p w14:paraId="5A809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（4）在天气条件允许的情况下，每天应开展户外活动（包括晒太阳、广播体操），每次不少于30分钟。</w:t>
      </w:r>
    </w:p>
    <w:p w14:paraId="307A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（5）开设残疾人兴趣班。</w:t>
      </w:r>
    </w:p>
    <w:p w14:paraId="47D5C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7.3劳动技能训练与辅助性就业</w:t>
      </w:r>
    </w:p>
    <w:p w14:paraId="4763B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开设工疗室，每天组织有需要的托养人员开展与其行为能力相适应的简单基本生产劳动，例如制作绢花、组配零件、串珠等。通过劳动帮助其活动肢体、锻炼大脑、集中注意力、协调手眼，使部分托养人员实现辅助性就业，获得一定的劳动收入。</w:t>
      </w:r>
    </w:p>
    <w:p w14:paraId="7513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（2）托养人员参与生产劳动之前，应根据个体实际情况对其进行必要的培训。</w:t>
      </w:r>
    </w:p>
    <w:p w14:paraId="34EA9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（3）根据实际情况开设专业的劳动技能培训课程，开发托养人员的职业能力。</w:t>
      </w:r>
    </w:p>
    <w:p w14:paraId="2F8AE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（4）合理处理劳动生产成果和可能获得的收入。处理方式和处理结果应记录并存档。</w:t>
      </w:r>
    </w:p>
    <w:p w14:paraId="2D88D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0" w:firstLineChars="292"/>
        <w:rPr>
          <w:rFonts w:ascii="宋体" w:hAnsi="宋体" w:cs="宋体"/>
          <w:color w:val="auto"/>
          <w:kern w:val="0"/>
          <w:sz w:val="24"/>
        </w:rPr>
      </w:pPr>
      <w:r>
        <w:rPr>
          <w:rFonts w:hint="eastAsia" w:ascii="宋体" w:hAnsi="宋体" w:cs="宋体"/>
          <w:color w:val="auto"/>
          <w:kern w:val="0"/>
          <w:sz w:val="24"/>
        </w:rPr>
        <w:t>（5）定期开展身体功能评估和劳动能力评估，适时对托养人员的职业适应性进行测评和评价，及时调整职业康复与劳动技能训练计划。</w:t>
      </w:r>
    </w:p>
    <w:p w14:paraId="04804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firstLineChars="294"/>
        <w:rPr>
          <w:rFonts w:ascii="宋体" w:hAnsi="宋体" w:cs="Arial"/>
          <w:b/>
          <w:color w:val="auto"/>
          <w:kern w:val="0"/>
          <w:sz w:val="24"/>
        </w:rPr>
      </w:pPr>
      <w:r>
        <w:rPr>
          <w:rFonts w:hint="eastAsia" w:ascii="宋体" w:hAnsi="宋体" w:cs="Arial"/>
          <w:b/>
          <w:color w:val="auto"/>
          <w:kern w:val="0"/>
          <w:sz w:val="24"/>
        </w:rPr>
        <w:t>7.4残疾人社会工作类</w:t>
      </w:r>
    </w:p>
    <w:p w14:paraId="2C9B9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Arial"/>
          <w:color w:val="auto"/>
          <w:kern w:val="0"/>
          <w:sz w:val="24"/>
        </w:rPr>
        <w:t>专业社工介入，以需求为导向开展个案服务。</w:t>
      </w:r>
    </w:p>
    <w:p w14:paraId="388AF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firstLineChars="294"/>
        <w:rPr>
          <w:rFonts w:ascii="宋体" w:hAnsi="宋体" w:cs="Arial"/>
          <w:b/>
          <w:color w:val="auto"/>
          <w:kern w:val="0"/>
          <w:sz w:val="24"/>
        </w:rPr>
      </w:pPr>
      <w:r>
        <w:rPr>
          <w:rFonts w:hint="eastAsia" w:ascii="宋体" w:hAnsi="宋体" w:cs="Arial"/>
          <w:b/>
          <w:color w:val="auto"/>
          <w:kern w:val="0"/>
          <w:sz w:val="24"/>
        </w:rPr>
        <w:t>7.5宣传类</w:t>
      </w:r>
    </w:p>
    <w:p w14:paraId="196AD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（1）</w:t>
      </w:r>
      <w:r>
        <w:rPr>
          <w:rFonts w:hint="eastAsia" w:ascii="宋体" w:hAnsi="宋体" w:cs="Arial"/>
          <w:color w:val="auto"/>
          <w:kern w:val="0"/>
          <w:sz w:val="24"/>
        </w:rPr>
        <w:t>开展社会主义核心价值观宣传教育，每年不少于2次，弘扬传统美德。</w:t>
      </w:r>
    </w:p>
    <w:p w14:paraId="5F2B5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（2）</w:t>
      </w:r>
      <w:r>
        <w:rPr>
          <w:rFonts w:hint="eastAsia" w:ascii="宋体" w:hAnsi="宋体" w:cs="Arial"/>
          <w:color w:val="auto"/>
          <w:kern w:val="0"/>
          <w:sz w:val="24"/>
        </w:rPr>
        <w:t>开展国情教育、政策法规教育，每年不少于2次，增强接纳、尊重、帮助、关爱残疾人的意识，提升残疾人自尊、自立、自强、自爱意识。</w:t>
      </w:r>
    </w:p>
    <w:p w14:paraId="1339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（3）</w:t>
      </w:r>
      <w:r>
        <w:rPr>
          <w:rFonts w:hint="eastAsia" w:ascii="宋体" w:hAnsi="宋体" w:cs="Arial"/>
          <w:color w:val="auto"/>
          <w:kern w:val="0"/>
          <w:sz w:val="24"/>
        </w:rPr>
        <w:t>通过媒体、网站、宣传资料、宣传栏等形式展示特色文化、团队、活动等，每年不少于2次，吸引残疾人参与。</w:t>
      </w:r>
    </w:p>
    <w:p w14:paraId="7D9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（4）</w:t>
      </w:r>
      <w:r>
        <w:rPr>
          <w:rFonts w:hint="eastAsia" w:ascii="宋体" w:hAnsi="宋体" w:cs="Arial"/>
          <w:color w:val="auto"/>
          <w:kern w:val="0"/>
          <w:sz w:val="24"/>
        </w:rPr>
        <w:t>年度组织各类对外交流活动不少于2次。</w:t>
      </w:r>
    </w:p>
    <w:p w14:paraId="41C3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firstLineChars="294"/>
        <w:rPr>
          <w:rFonts w:ascii="宋体" w:hAnsi="宋体" w:cs="Arial"/>
          <w:b/>
          <w:color w:val="auto"/>
          <w:kern w:val="0"/>
          <w:sz w:val="24"/>
        </w:rPr>
      </w:pPr>
      <w:r>
        <w:rPr>
          <w:rFonts w:hint="eastAsia" w:ascii="宋体" w:hAnsi="宋体" w:cs="Arial"/>
          <w:b/>
          <w:color w:val="auto"/>
          <w:kern w:val="0"/>
          <w:sz w:val="24"/>
        </w:rPr>
        <w:t>7.6志愿服务类</w:t>
      </w:r>
    </w:p>
    <w:p w14:paraId="0F49D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（1）</w:t>
      </w:r>
      <w:r>
        <w:rPr>
          <w:rFonts w:hint="eastAsia" w:ascii="宋体" w:hAnsi="宋体" w:cs="Arial"/>
          <w:color w:val="auto"/>
          <w:kern w:val="0"/>
          <w:sz w:val="24"/>
        </w:rPr>
        <w:t>建立为残疾人服务志愿者管理机制，明确招募、报名、审查、日常管理、服务监管、奖惩流程。建立专项为残疾人服务志愿团队至少1支。</w:t>
      </w:r>
    </w:p>
    <w:p w14:paraId="65E6E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（2）</w:t>
      </w:r>
      <w:r>
        <w:rPr>
          <w:rFonts w:hint="eastAsia" w:ascii="宋体" w:hAnsi="宋体" w:cs="Arial"/>
          <w:color w:val="auto"/>
          <w:kern w:val="0"/>
          <w:sz w:val="24"/>
        </w:rPr>
        <w:t>策划开展形式多样的志愿服务活动，做好志愿服务记录。每年联合社会力量开展志愿服务项目不少于2个。</w:t>
      </w:r>
    </w:p>
    <w:p w14:paraId="5AB39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（3）</w:t>
      </w:r>
      <w:r>
        <w:rPr>
          <w:rFonts w:hint="eastAsia" w:ascii="宋体" w:hAnsi="宋体" w:cs="Arial"/>
          <w:color w:val="auto"/>
          <w:kern w:val="0"/>
          <w:sz w:val="24"/>
        </w:rPr>
        <w:t>对为残疾人服务志愿者的服务质量、服务时数进行监管。</w:t>
      </w:r>
    </w:p>
    <w:p w14:paraId="4726E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（4）</w:t>
      </w:r>
      <w:r>
        <w:rPr>
          <w:rFonts w:hint="eastAsia" w:ascii="宋体" w:hAnsi="宋体" w:cs="Arial"/>
          <w:color w:val="auto"/>
          <w:kern w:val="0"/>
          <w:sz w:val="24"/>
        </w:rPr>
        <w:t>开展残疾人志愿者和残疾人志愿服务团队注册引导。</w:t>
      </w:r>
    </w:p>
    <w:p w14:paraId="26009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firstLineChars="294"/>
        <w:rPr>
          <w:rFonts w:ascii="宋体" w:hAnsi="宋体" w:cs="Arial"/>
          <w:b/>
          <w:color w:val="auto"/>
          <w:kern w:val="0"/>
          <w:sz w:val="24"/>
        </w:rPr>
      </w:pPr>
      <w:r>
        <w:rPr>
          <w:rFonts w:hint="eastAsia" w:ascii="宋体" w:hAnsi="宋体" w:cs="Arial"/>
          <w:b/>
          <w:color w:val="auto"/>
          <w:kern w:val="0"/>
          <w:sz w:val="24"/>
        </w:rPr>
        <w:t>7.7特色服务类</w:t>
      </w:r>
    </w:p>
    <w:p w14:paraId="6234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（1）</w:t>
      </w:r>
      <w:r>
        <w:rPr>
          <w:rFonts w:hint="eastAsia" w:ascii="宋体" w:hAnsi="宋体" w:cs="Arial"/>
          <w:color w:val="auto"/>
          <w:kern w:val="0"/>
          <w:sz w:val="24"/>
        </w:rPr>
        <w:t>开展非物质文化遗产传承或体现地域传统文化的项目推广活动，每年不少于2次。</w:t>
      </w:r>
    </w:p>
    <w:p w14:paraId="1618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（2）</w:t>
      </w:r>
      <w:r>
        <w:rPr>
          <w:rFonts w:hint="eastAsia" w:ascii="宋体" w:hAnsi="宋体" w:cs="Arial"/>
          <w:color w:val="auto"/>
          <w:kern w:val="0"/>
          <w:sz w:val="24"/>
        </w:rPr>
        <w:t>承办残疾人文化艺术周等大型活动。</w:t>
      </w:r>
    </w:p>
    <w:p w14:paraId="1B00E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firstLineChars="294"/>
        <w:rPr>
          <w:rFonts w:ascii="宋体" w:hAnsi="宋体" w:cs="Arial"/>
          <w:b/>
          <w:color w:val="auto"/>
          <w:kern w:val="0"/>
          <w:sz w:val="24"/>
        </w:rPr>
      </w:pPr>
      <w:r>
        <w:rPr>
          <w:rFonts w:hint="eastAsia" w:ascii="宋体" w:hAnsi="宋体" w:cs="Arial"/>
          <w:b/>
          <w:color w:val="auto"/>
          <w:kern w:val="0"/>
          <w:sz w:val="24"/>
        </w:rPr>
        <w:t>7.8社会组织培育类</w:t>
      </w:r>
    </w:p>
    <w:p w14:paraId="086E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（1）</w:t>
      </w:r>
      <w:r>
        <w:rPr>
          <w:rFonts w:hint="eastAsia" w:ascii="宋体" w:hAnsi="宋体" w:cs="Arial"/>
          <w:color w:val="auto"/>
          <w:kern w:val="0"/>
          <w:sz w:val="24"/>
        </w:rPr>
        <w:t>设有培训基地，开展残疾人社会团体业务引导，培育孵化新的残疾人社会团体。组织残疾人社会团体骨干培训交流，搭建残疾人社会团体展示平台，每年不少于2次。</w:t>
      </w:r>
    </w:p>
    <w:p w14:paraId="6FD79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firstLineChars="294"/>
        <w:rPr>
          <w:rFonts w:ascii="宋体" w:hAnsi="宋体" w:cs="Arial"/>
          <w:b/>
          <w:color w:val="auto"/>
          <w:kern w:val="0"/>
          <w:sz w:val="24"/>
        </w:rPr>
      </w:pPr>
      <w:r>
        <w:rPr>
          <w:rFonts w:hint="eastAsia" w:ascii="宋体" w:hAnsi="宋体" w:cs="Arial"/>
          <w:b/>
          <w:color w:val="auto"/>
          <w:kern w:val="0"/>
          <w:sz w:val="24"/>
        </w:rPr>
        <w:t>7.9服务质量评价与改进</w:t>
      </w:r>
    </w:p>
    <w:p w14:paraId="0752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（1）</w:t>
      </w:r>
      <w:r>
        <w:rPr>
          <w:rFonts w:hint="eastAsia" w:ascii="宋体" w:hAnsi="宋体" w:cs="Arial"/>
          <w:color w:val="auto"/>
          <w:kern w:val="0"/>
          <w:sz w:val="24"/>
        </w:rPr>
        <w:t>公开组织机构、服务内容及工作人员等基本信息并及时更新。</w:t>
      </w:r>
    </w:p>
    <w:p w14:paraId="61089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（2）</w:t>
      </w:r>
      <w:r>
        <w:rPr>
          <w:rFonts w:hint="eastAsia" w:ascii="宋体" w:hAnsi="宋体" w:cs="Arial"/>
          <w:color w:val="auto"/>
          <w:kern w:val="0"/>
          <w:sz w:val="24"/>
        </w:rPr>
        <w:t>制定全体员工的再教育培训计划，年度员工再教育及岗位培训达到48 学时的人数不少于员工总数 50%。每半年对服务人员考评 1 次。</w:t>
      </w:r>
    </w:p>
    <w:p w14:paraId="7CCF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5" w:firstLineChars="294"/>
        <w:rPr>
          <w:rFonts w:ascii="宋体" w:hAnsi="宋体" w:cs="Arial"/>
          <w:b/>
          <w:color w:val="auto"/>
          <w:kern w:val="0"/>
          <w:sz w:val="24"/>
        </w:rPr>
      </w:pPr>
      <w:r>
        <w:rPr>
          <w:rFonts w:hint="eastAsia" w:ascii="宋体" w:hAnsi="宋体" w:cs="宋体"/>
          <w:color w:val="auto"/>
          <w:kern w:val="0"/>
          <w:sz w:val="24"/>
        </w:rPr>
        <w:t>（3）</w:t>
      </w:r>
      <w:r>
        <w:rPr>
          <w:rFonts w:hint="eastAsia" w:ascii="宋体" w:hAnsi="宋体" w:cs="Arial"/>
          <w:color w:val="auto"/>
          <w:kern w:val="0"/>
          <w:sz w:val="24"/>
        </w:rPr>
        <w:t>建立服务质量跟踪与投诉渠道，开通咨询电话或设立意见本，广泛收集反馈信息。根据评价过程中发现的问题与建议，及时改进，不断提高服务质量，投诉解决率≥90%。</w:t>
      </w:r>
    </w:p>
    <w:p w14:paraId="7FC7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Arial"/>
          <w:b/>
          <w:color w:val="auto"/>
          <w:kern w:val="0"/>
          <w:sz w:val="24"/>
        </w:rPr>
      </w:pPr>
      <w:r>
        <w:rPr>
          <w:rFonts w:hint="eastAsia" w:ascii="宋体" w:hAnsi="宋体" w:cs="Arial"/>
          <w:b/>
          <w:color w:val="auto"/>
          <w:kern w:val="0"/>
          <w:sz w:val="24"/>
        </w:rPr>
        <w:t>（五）其他要求</w:t>
      </w:r>
    </w:p>
    <w:p w14:paraId="76E7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s="Arial"/>
          <w:color w:val="auto"/>
          <w:kern w:val="0"/>
          <w:sz w:val="24"/>
        </w:rPr>
        <w:t>1.安全要求</w:t>
      </w:r>
    </w:p>
    <w:p w14:paraId="7A4F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s="Arial"/>
          <w:color w:val="auto"/>
          <w:kern w:val="0"/>
          <w:sz w:val="24"/>
        </w:rPr>
        <w:t>1.1建立场地安全、活动安全、设施设备安全、人身财产安全管理等制度。</w:t>
      </w:r>
    </w:p>
    <w:p w14:paraId="665CB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s="Arial"/>
          <w:color w:val="auto"/>
          <w:kern w:val="0"/>
          <w:sz w:val="24"/>
        </w:rPr>
        <w:t>1.2有安全工作的明确分工和安全责任制度。</w:t>
      </w:r>
    </w:p>
    <w:p w14:paraId="28B7D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s="Arial"/>
          <w:color w:val="auto"/>
          <w:kern w:val="0"/>
          <w:sz w:val="24"/>
        </w:rPr>
        <w:t>1.3对服务全过程中的各种事故的防范、突发事件的处理建立应急预案，定期演练并保留记录。</w:t>
      </w:r>
    </w:p>
    <w:p w14:paraId="6144D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s="Arial"/>
          <w:color w:val="auto"/>
          <w:kern w:val="0"/>
          <w:sz w:val="24"/>
        </w:rPr>
        <w:t>1.4对各类消防设施，定期进行巡查和维护，且有完整记录。</w:t>
      </w:r>
    </w:p>
    <w:p w14:paraId="47F4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s="Arial"/>
          <w:color w:val="auto"/>
          <w:kern w:val="0"/>
          <w:sz w:val="24"/>
        </w:rPr>
        <w:t>1.5监控信息保存不少于1个月。</w:t>
      </w:r>
    </w:p>
    <w:p w14:paraId="1A0F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宋体" w:hAnsi="宋体" w:cs="Arial"/>
          <w:b/>
          <w:color w:val="auto"/>
          <w:kern w:val="0"/>
          <w:sz w:val="24"/>
        </w:rPr>
      </w:pPr>
      <w:r>
        <w:rPr>
          <w:rFonts w:hint="eastAsia" w:ascii="宋体" w:hAnsi="宋体"/>
          <w:b/>
          <w:color w:val="auto"/>
          <w:sz w:val="24"/>
        </w:rPr>
        <w:t>三、商务需求</w:t>
      </w:r>
    </w:p>
    <w:p w14:paraId="6F219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b/>
          <w:color w:val="auto"/>
          <w:kern w:val="0"/>
          <w:sz w:val="24"/>
        </w:rPr>
      </w:pPr>
      <w:r>
        <w:rPr>
          <w:rFonts w:hint="eastAsia" w:ascii="宋体" w:hAnsi="宋体"/>
          <w:color w:val="auto"/>
          <w:sz w:val="24"/>
        </w:rPr>
        <w:t>（一）</w:t>
      </w:r>
      <w:r>
        <w:rPr>
          <w:rFonts w:hint="eastAsia" w:ascii="宋体" w:hAnsi="宋体" w:cs="宋体"/>
          <w:color w:val="auto"/>
          <w:sz w:val="24"/>
        </w:rPr>
        <w:t>服务期限：3年（具体时限以合同签订为准）。</w:t>
      </w:r>
    </w:p>
    <w:p w14:paraId="4AE6A4A5">
      <w:pPr>
        <w:spacing w:line="360" w:lineRule="auto"/>
        <w:ind w:firstLine="480" w:firstLineChars="200"/>
        <w:rPr>
          <w:rFonts w:ascii="宋体" w:hAnsi="宋体"/>
          <w:color w:val="auto"/>
          <w:sz w:val="24"/>
        </w:rPr>
      </w:pPr>
      <w:r>
        <w:rPr>
          <w:rFonts w:hint="eastAsia" w:ascii="宋体" w:hAnsi="宋体"/>
          <w:color w:val="auto"/>
          <w:sz w:val="24"/>
        </w:rPr>
        <w:t>（二）签订合同时间：预中标人经公示有效后，持中标通知书30日内与招标人签订合同。</w:t>
      </w:r>
    </w:p>
    <w:p w14:paraId="6A1D8846">
      <w:pPr>
        <w:spacing w:line="360" w:lineRule="auto"/>
        <w:ind w:firstLine="480" w:firstLineChars="200"/>
        <w:rPr>
          <w:rFonts w:ascii="宋体" w:hAnsi="宋体"/>
          <w:color w:val="auto"/>
          <w:sz w:val="24"/>
        </w:rPr>
      </w:pPr>
      <w:r>
        <w:rPr>
          <w:rFonts w:hint="eastAsia" w:ascii="宋体" w:hAnsi="宋体"/>
          <w:color w:val="auto"/>
          <w:sz w:val="24"/>
        </w:rPr>
        <w:t>（三）人员到岗时间：在合同签定后，根据招标人工作进程安排确定具体时间</w:t>
      </w:r>
      <w:r>
        <w:rPr>
          <w:rFonts w:hint="eastAsia" w:ascii="宋体" w:hAnsi="宋体" w:cs="宋体"/>
          <w:color w:val="auto"/>
          <w:kern w:val="1"/>
          <w:sz w:val="24"/>
        </w:rPr>
        <w:t>15天内，中标人将人员配备完毕。</w:t>
      </w:r>
    </w:p>
    <w:p w14:paraId="5C25CAD5">
      <w:pPr>
        <w:spacing w:line="360" w:lineRule="auto"/>
        <w:ind w:firstLine="480" w:firstLineChars="200"/>
        <w:rPr>
          <w:rFonts w:ascii="宋体" w:hAnsi="宋体"/>
          <w:color w:val="auto"/>
          <w:sz w:val="24"/>
        </w:rPr>
      </w:pPr>
      <w:r>
        <w:rPr>
          <w:rFonts w:hint="eastAsia" w:ascii="宋体" w:hAnsi="宋体"/>
          <w:color w:val="auto"/>
          <w:sz w:val="24"/>
        </w:rPr>
        <w:t>（四）付款方式：根据当月月末服务对象人数，每月按实际支付费用（其中，护理服务费本次招标最高限价单价为1500元/月。）结算方式如下：</w:t>
      </w:r>
    </w:p>
    <w:p w14:paraId="02F434D8">
      <w:pPr>
        <w:spacing w:line="360" w:lineRule="auto"/>
        <w:ind w:firstLine="480" w:firstLineChars="200"/>
        <w:rPr>
          <w:rFonts w:ascii="宋体" w:hAnsi="宋体"/>
          <w:color w:val="auto"/>
          <w:sz w:val="24"/>
        </w:rPr>
      </w:pPr>
      <w:r>
        <w:rPr>
          <w:rFonts w:hint="eastAsia" w:ascii="宋体" w:hAnsi="宋体"/>
          <w:color w:val="auto"/>
          <w:sz w:val="24"/>
        </w:rPr>
        <w:t>1.护理月服务费：根据当月月末服务对象人数、护理服务单价按实结算，即：</w:t>
      </w:r>
    </w:p>
    <w:p w14:paraId="3603E8BA">
      <w:pPr>
        <w:spacing w:line="360" w:lineRule="auto"/>
        <w:ind w:firstLine="1080" w:firstLineChars="450"/>
        <w:rPr>
          <w:rFonts w:ascii="宋体" w:hAnsi="宋体"/>
          <w:color w:val="auto"/>
          <w:sz w:val="24"/>
        </w:rPr>
      </w:pPr>
      <w:r>
        <w:rPr>
          <w:rFonts w:hint="eastAsia" w:ascii="宋体" w:hAnsi="宋体"/>
          <w:color w:val="auto"/>
          <w:sz w:val="24"/>
        </w:rPr>
        <w:t>护理月服务费</w:t>
      </w:r>
      <w:r>
        <w:rPr>
          <w:rFonts w:ascii="宋体" w:hAnsi="宋体"/>
          <w:color w:val="auto"/>
          <w:sz w:val="24"/>
        </w:rPr>
        <w:t xml:space="preserve"> = </w:t>
      </w:r>
      <w:r>
        <w:rPr>
          <w:rFonts w:hint="eastAsia" w:ascii="宋体" w:hAnsi="宋体"/>
          <w:color w:val="auto"/>
          <w:sz w:val="24"/>
        </w:rPr>
        <w:t>月末服务对象人数</w:t>
      </w:r>
      <w:r>
        <w:rPr>
          <w:rFonts w:ascii="宋体" w:hAnsi="宋体"/>
          <w:color w:val="auto"/>
          <w:sz w:val="24"/>
        </w:rPr>
        <w:t xml:space="preserve"> × </w:t>
      </w:r>
      <w:r>
        <w:rPr>
          <w:rFonts w:hint="eastAsia" w:ascii="宋体" w:hAnsi="宋体"/>
          <w:color w:val="auto"/>
          <w:sz w:val="24"/>
        </w:rPr>
        <w:t>护理服务单价</w:t>
      </w:r>
    </w:p>
    <w:p w14:paraId="2FB4B141">
      <w:pPr>
        <w:spacing w:line="360" w:lineRule="auto"/>
        <w:ind w:firstLine="480" w:firstLineChars="200"/>
        <w:rPr>
          <w:rFonts w:ascii="宋体" w:hAnsi="宋体"/>
          <w:color w:val="auto"/>
          <w:sz w:val="24"/>
        </w:rPr>
      </w:pPr>
      <w:r>
        <w:rPr>
          <w:rFonts w:hint="eastAsia" w:ascii="宋体" w:hAnsi="宋体"/>
          <w:color w:val="auto"/>
          <w:sz w:val="24"/>
        </w:rPr>
        <w:t>2.综合后勤月服务费本次招标最高单价：管理6000元/月，保洁3700元/月，具体按中标人实际报价，按各岗位实际人数结算。财务人员（2名）由采购人指定安排，由中标人与其签订劳动合同，工资由中标人发放，工资不低于管理人员平均工资，并由中标人为其缴纳五险一金，厨房人员工资不得低于以下标准：厨师8000元/月，副厨7000元/月，帮厨2人每人4200元/月。各岗位人数不得超过采购方测算人数安排。</w:t>
      </w:r>
    </w:p>
    <w:p w14:paraId="4969DC55">
      <w:pPr>
        <w:spacing w:line="360" w:lineRule="auto"/>
        <w:ind w:firstLine="480" w:firstLineChars="200"/>
        <w:rPr>
          <w:rFonts w:ascii="宋体" w:hAnsi="宋体"/>
          <w:color w:val="auto"/>
          <w:sz w:val="24"/>
        </w:rPr>
      </w:pPr>
      <w:r>
        <w:rPr>
          <w:rFonts w:hint="eastAsia" w:ascii="宋体" w:hAnsi="宋体"/>
          <w:color w:val="auto"/>
          <w:sz w:val="24"/>
        </w:rPr>
        <w:t>3.全年总服务费不得超出当年合同总金额。</w:t>
      </w:r>
    </w:p>
    <w:p w14:paraId="0E216E9D">
      <w:pPr>
        <w:spacing w:line="360" w:lineRule="auto"/>
        <w:ind w:firstLine="480" w:firstLineChars="200"/>
        <w:rPr>
          <w:rFonts w:ascii="宋体" w:hAnsi="宋体"/>
          <w:color w:val="auto"/>
          <w:sz w:val="24"/>
        </w:rPr>
      </w:pPr>
      <w:r>
        <w:rPr>
          <w:rFonts w:hint="eastAsia" w:ascii="宋体" w:hAnsi="宋体"/>
          <w:color w:val="auto"/>
          <w:sz w:val="24"/>
        </w:rPr>
        <w:t>（五）履约保证金：在合同签订前中标人应缴纳履约保证金10万元，在服务期间结束后退还履约保证金。若在合同执行期间因中标人违约导致履约保证金部分扣除的，中标人需在5个工作日内将扣除的履约保证金补齐。若中标人在合同执行过程中单方面终止合同或因服务评估分两次在80分以下而被取消供应资格的，履约保证金不退还。</w:t>
      </w:r>
    </w:p>
    <w:p w14:paraId="2E02FA2C">
      <w:pPr>
        <w:spacing w:line="360" w:lineRule="auto"/>
        <w:ind w:firstLine="480" w:firstLineChars="200"/>
        <w:rPr>
          <w:rFonts w:ascii="宋体" w:hAnsi="宋体"/>
          <w:color w:val="auto"/>
          <w:sz w:val="24"/>
        </w:rPr>
      </w:pPr>
      <w:r>
        <w:rPr>
          <w:rFonts w:hint="eastAsia" w:ascii="宋体" w:hAnsi="宋体"/>
          <w:color w:val="auto"/>
          <w:sz w:val="24"/>
        </w:rPr>
        <w:t>（六）中标人的责任和义务：</w:t>
      </w:r>
    </w:p>
    <w:p w14:paraId="6B7EBA4A">
      <w:pPr>
        <w:spacing w:line="360" w:lineRule="auto"/>
        <w:ind w:firstLine="480" w:firstLineChars="200"/>
        <w:rPr>
          <w:rFonts w:ascii="宋体" w:hAnsi="宋体"/>
          <w:color w:val="auto"/>
          <w:sz w:val="24"/>
        </w:rPr>
      </w:pPr>
      <w:r>
        <w:rPr>
          <w:rFonts w:hint="eastAsia" w:ascii="宋体" w:hAnsi="宋体"/>
          <w:color w:val="auto"/>
          <w:sz w:val="24"/>
        </w:rPr>
        <w:t>1.如中标单位提供的工作人员不能胜任招标单位的工作，招标单位有权要求更换工作人员，中标单位应在接到招标单位通知的半个月内予以更换，中标单位主动更换工作人员需经招标单位同意；</w:t>
      </w:r>
    </w:p>
    <w:p w14:paraId="3C9218AE">
      <w:pPr>
        <w:spacing w:line="360" w:lineRule="auto"/>
        <w:ind w:firstLine="480" w:firstLineChars="200"/>
        <w:rPr>
          <w:rFonts w:ascii="宋体" w:hAnsi="宋体"/>
          <w:color w:val="auto"/>
          <w:sz w:val="24"/>
        </w:rPr>
      </w:pPr>
      <w:r>
        <w:rPr>
          <w:rFonts w:hint="eastAsia" w:ascii="宋体" w:hAnsi="宋体"/>
          <w:color w:val="auto"/>
          <w:sz w:val="24"/>
        </w:rPr>
        <w:t>2.中标单位在工作期间必须严格执行和遵守招标单位安全生产的各类规定，接受招标单位的督促、检查和指导。招标单位有协助中标单位搞好安全生产、防火管理以及督促定期检查的义务。对查出的隐患，中标单位必须限期整改。</w:t>
      </w:r>
    </w:p>
    <w:p w14:paraId="54E68408">
      <w:pPr>
        <w:spacing w:line="360" w:lineRule="auto"/>
        <w:ind w:firstLine="480" w:firstLineChars="200"/>
        <w:rPr>
          <w:rFonts w:ascii="宋体" w:hAnsi="宋体"/>
          <w:color w:val="auto"/>
          <w:sz w:val="24"/>
        </w:rPr>
      </w:pPr>
      <w:r>
        <w:rPr>
          <w:rFonts w:hint="eastAsia" w:ascii="宋体" w:hAnsi="宋体"/>
          <w:color w:val="auto"/>
          <w:sz w:val="24"/>
        </w:rPr>
        <w:t>3.中标单位必须按规定为工作人员依法办理社会保险、统一购买人身意外保险，工作人员在工作过程中，因公受伤，致残甚至牺牲，其医药费、抚恤金等费用与招标单位无关，由保险公司或中标单位按规定理赔。</w:t>
      </w:r>
    </w:p>
    <w:p w14:paraId="59063F19">
      <w:pPr>
        <w:spacing w:line="360" w:lineRule="auto"/>
        <w:ind w:firstLine="480" w:firstLineChars="200"/>
        <w:rPr>
          <w:rFonts w:ascii="宋体" w:hAnsi="宋体"/>
          <w:color w:val="auto"/>
          <w:sz w:val="24"/>
        </w:rPr>
      </w:pPr>
      <w:r>
        <w:rPr>
          <w:rFonts w:hint="eastAsia" w:ascii="宋体" w:hAnsi="宋体"/>
          <w:color w:val="auto"/>
          <w:sz w:val="24"/>
        </w:rPr>
        <w:t>4.用于入托残疾人员护理服务的操作实施时所需低值易耗品、清洁用品、用具、设备器材、关于入托残疾人员护理服务办公费和服务中损坏物赔偿费等由服务方自行承担；</w:t>
      </w:r>
    </w:p>
    <w:p w14:paraId="2DE02CBD">
      <w:pPr>
        <w:spacing w:line="360" w:lineRule="auto"/>
        <w:ind w:firstLine="480" w:firstLineChars="200"/>
        <w:rPr>
          <w:rFonts w:ascii="宋体" w:hAnsi="宋体"/>
          <w:color w:val="auto"/>
          <w:sz w:val="24"/>
        </w:rPr>
      </w:pPr>
      <w:r>
        <w:rPr>
          <w:rFonts w:hint="eastAsia" w:ascii="宋体" w:hAnsi="宋体"/>
          <w:color w:val="auto"/>
          <w:sz w:val="24"/>
        </w:rPr>
        <w:t>托养中心运行过程中产生的水电费、大型公共设备维修费用由招标人承担，小型公共设备维修费用及护理服务中所需的以下物品等由中标人承担：</w:t>
      </w:r>
    </w:p>
    <w:p w14:paraId="05EAF9A7">
      <w:pPr>
        <w:spacing w:line="360" w:lineRule="auto"/>
        <w:ind w:firstLine="480" w:firstLineChars="200"/>
        <w:rPr>
          <w:rFonts w:ascii="宋体" w:hAnsi="宋体"/>
          <w:color w:val="auto"/>
          <w:sz w:val="24"/>
        </w:rPr>
      </w:pPr>
      <w:r>
        <w:rPr>
          <w:rFonts w:hint="eastAsia" w:ascii="宋体" w:hAnsi="宋体"/>
          <w:color w:val="auto"/>
          <w:sz w:val="24"/>
        </w:rPr>
        <w:t>a低值易耗品：尿不湿、卫生纸、餐巾纸、卫生巾、洗衣粉、洗洁精、洁厕灵、施康等；</w:t>
      </w:r>
    </w:p>
    <w:p w14:paraId="04603B0C">
      <w:pPr>
        <w:spacing w:line="360" w:lineRule="auto"/>
        <w:ind w:firstLine="480" w:firstLineChars="200"/>
        <w:rPr>
          <w:rFonts w:ascii="宋体" w:hAnsi="宋体"/>
          <w:color w:val="auto"/>
          <w:sz w:val="24"/>
        </w:rPr>
      </w:pPr>
      <w:r>
        <w:rPr>
          <w:rFonts w:hint="eastAsia" w:ascii="宋体" w:hAnsi="宋体"/>
          <w:color w:val="auto"/>
          <w:sz w:val="24"/>
        </w:rPr>
        <w:t>b清洁用品：床刷、拖把、抹布、水桶等；</w:t>
      </w:r>
    </w:p>
    <w:p w14:paraId="2CD9A3A3">
      <w:pPr>
        <w:spacing w:line="360" w:lineRule="auto"/>
        <w:ind w:firstLine="480" w:firstLineChars="200"/>
        <w:rPr>
          <w:rFonts w:ascii="宋体" w:hAnsi="宋体"/>
          <w:color w:val="auto"/>
          <w:sz w:val="24"/>
        </w:rPr>
      </w:pPr>
      <w:r>
        <w:rPr>
          <w:rFonts w:hint="eastAsia" w:ascii="宋体" w:hAnsi="宋体"/>
          <w:color w:val="auto"/>
          <w:sz w:val="24"/>
        </w:rPr>
        <w:t>c日常用品：剪刀、针线、剃须刀、指甲剪等；</w:t>
      </w:r>
    </w:p>
    <w:p w14:paraId="26A0C169">
      <w:pPr>
        <w:spacing w:line="360" w:lineRule="auto"/>
        <w:ind w:firstLine="480" w:firstLineChars="200"/>
        <w:rPr>
          <w:rFonts w:ascii="宋体" w:hAnsi="宋体"/>
          <w:color w:val="auto"/>
          <w:sz w:val="24"/>
        </w:rPr>
      </w:pPr>
      <w:r>
        <w:rPr>
          <w:rFonts w:hint="eastAsia" w:ascii="宋体" w:hAnsi="宋体"/>
          <w:color w:val="auto"/>
          <w:sz w:val="24"/>
        </w:rPr>
        <w:t>d办公用品：各类记录单、纸张、笔、U盘等；</w:t>
      </w:r>
    </w:p>
    <w:p w14:paraId="781EB37C">
      <w:pPr>
        <w:spacing w:line="360" w:lineRule="auto"/>
        <w:ind w:firstLine="480" w:firstLineChars="200"/>
        <w:rPr>
          <w:rFonts w:ascii="宋体" w:hAnsi="宋体"/>
          <w:color w:val="auto"/>
          <w:sz w:val="24"/>
        </w:rPr>
      </w:pPr>
      <w:r>
        <w:rPr>
          <w:rFonts w:hint="eastAsia" w:ascii="宋体" w:hAnsi="宋体"/>
          <w:color w:val="auto"/>
          <w:sz w:val="24"/>
        </w:rPr>
        <w:t>e保护用具：约束带、防压疮辅具如三角垫、下肢垫、脚圈、防压疮敷贴等；</w:t>
      </w:r>
    </w:p>
    <w:p w14:paraId="0465DB26">
      <w:pPr>
        <w:spacing w:line="360" w:lineRule="auto"/>
        <w:ind w:firstLine="480" w:firstLineChars="200"/>
        <w:rPr>
          <w:rFonts w:ascii="宋体" w:hAnsi="宋体"/>
          <w:color w:val="auto"/>
          <w:sz w:val="24"/>
        </w:rPr>
      </w:pPr>
      <w:r>
        <w:rPr>
          <w:rFonts w:hint="eastAsia" w:ascii="宋体" w:hAnsi="宋体"/>
          <w:color w:val="auto"/>
          <w:sz w:val="24"/>
        </w:rPr>
        <w:t>f护理服务中的一次性手套、口罩、棉签棒等；</w:t>
      </w:r>
    </w:p>
    <w:p w14:paraId="5C89029A">
      <w:pPr>
        <w:spacing w:line="360" w:lineRule="auto"/>
        <w:ind w:firstLine="480" w:firstLineChars="200"/>
        <w:rPr>
          <w:rFonts w:ascii="宋体" w:hAnsi="宋体"/>
          <w:color w:val="auto"/>
          <w:sz w:val="24"/>
        </w:rPr>
      </w:pPr>
      <w:r>
        <w:rPr>
          <w:rFonts w:hint="eastAsia" w:ascii="宋体" w:hAnsi="宋体"/>
          <w:color w:val="auto"/>
          <w:sz w:val="24"/>
        </w:rPr>
        <w:t>g设备器材；</w:t>
      </w:r>
    </w:p>
    <w:p w14:paraId="7D75CBC0">
      <w:pPr>
        <w:spacing w:line="360" w:lineRule="auto"/>
        <w:ind w:firstLine="480" w:firstLineChars="200"/>
        <w:rPr>
          <w:rFonts w:ascii="宋体" w:hAnsi="宋体"/>
          <w:color w:val="auto"/>
          <w:sz w:val="24"/>
        </w:rPr>
      </w:pPr>
      <w:r>
        <w:rPr>
          <w:rFonts w:hint="eastAsia" w:ascii="宋体" w:hAnsi="宋体"/>
          <w:color w:val="auto"/>
          <w:sz w:val="24"/>
        </w:rPr>
        <w:t>h关于入托残疾人员护理服务办公费和服务中损坏物赔偿费等。</w:t>
      </w:r>
    </w:p>
    <w:p w14:paraId="752E0488">
      <w:pPr>
        <w:shd w:val="clear" w:color="auto" w:fill="FFFFFF"/>
        <w:snapToGrid w:val="0"/>
        <w:spacing w:line="360" w:lineRule="auto"/>
        <w:ind w:firstLine="480" w:firstLineChars="200"/>
        <w:rPr>
          <w:rFonts w:ascii="宋体" w:hAnsi="宋体"/>
          <w:color w:val="auto"/>
          <w:sz w:val="24"/>
        </w:rPr>
      </w:pPr>
      <w:r>
        <w:rPr>
          <w:rFonts w:hint="eastAsia" w:ascii="宋体" w:hAnsi="宋体"/>
          <w:color w:val="auto"/>
          <w:sz w:val="24"/>
        </w:rPr>
        <w:t>5.考核办法</w:t>
      </w:r>
    </w:p>
    <w:p w14:paraId="42839737">
      <w:pPr>
        <w:spacing w:line="360" w:lineRule="auto"/>
        <w:ind w:firstLine="480" w:firstLineChars="200"/>
        <w:rPr>
          <w:rFonts w:ascii="宋体" w:hAnsi="宋体"/>
          <w:color w:val="auto"/>
          <w:sz w:val="24"/>
        </w:rPr>
      </w:pPr>
      <w:r>
        <w:rPr>
          <w:rFonts w:hint="eastAsia" w:ascii="宋体" w:hAnsi="宋体"/>
          <w:color w:val="auto"/>
          <w:sz w:val="24"/>
        </w:rPr>
        <w:t>5.1中标人应根据相关文件规范以及招标人要求的托养护理和康复服务的相关标准制订相应的管理制度及服务标准，报请招标人批准后组织实施，如因质量未达到目标，招标人有权要求其整改，同时中标人应承担责任和经济赔偿（扣款或终止合同）。</w:t>
      </w:r>
    </w:p>
    <w:p w14:paraId="101AA174">
      <w:pPr>
        <w:spacing w:line="360" w:lineRule="auto"/>
        <w:ind w:firstLine="480" w:firstLineChars="200"/>
        <w:rPr>
          <w:rFonts w:ascii="宋体" w:hAnsi="宋体"/>
          <w:color w:val="auto"/>
          <w:sz w:val="24"/>
        </w:rPr>
      </w:pPr>
      <w:r>
        <w:rPr>
          <w:rFonts w:hint="eastAsia" w:ascii="宋体" w:hAnsi="宋体"/>
          <w:color w:val="auto"/>
          <w:sz w:val="24"/>
        </w:rPr>
        <w:t>5.2招标人对中标人的管理服务进行全程监管，对中标人进行定期和不定期检查，检查结果告知中标人，限期整改落实，并对检查结果和整改情况纳入考核。</w:t>
      </w:r>
    </w:p>
    <w:p w14:paraId="6DD4E451">
      <w:pPr>
        <w:overflowPunct w:val="0"/>
        <w:spacing w:line="360" w:lineRule="auto"/>
        <w:ind w:firstLine="480" w:firstLineChars="200"/>
        <w:rPr>
          <w:rFonts w:ascii="宋体" w:hAnsi="宋体"/>
          <w:color w:val="auto"/>
          <w:sz w:val="24"/>
        </w:rPr>
      </w:pPr>
      <w:r>
        <w:rPr>
          <w:rFonts w:hint="eastAsia" w:ascii="宋体" w:hAnsi="宋体"/>
          <w:color w:val="auto"/>
          <w:sz w:val="24"/>
        </w:rPr>
        <w:t>5.3中标人应严格按照招标人指定的护理标准执行，实行每月两次的考核制度。每月分别填写打分表，汇总平均后得到最后考核得分。对于采购人提出的问题未限时整改的加倍扣分。考核采用百分制，低于80分予以书面警告一次，每次每低1分扣1000元，从服务费中扣除。每年度出现累计两次警告采购方可以单方面解除合同，并没收全部履约保证金；85分奖励1万元/年，并在85分的基础上，每多1分多奖励1万元，最高10万元。年底综合考评按12个月平均得分计算。考核评分表：参见附件十六。</w:t>
      </w:r>
    </w:p>
    <w:p w14:paraId="7A855AB8">
      <w:pPr>
        <w:spacing w:line="360" w:lineRule="auto"/>
        <w:ind w:firstLine="480" w:firstLineChars="200"/>
        <w:rPr>
          <w:rFonts w:ascii="宋体" w:hAnsi="宋体"/>
          <w:color w:val="auto"/>
          <w:sz w:val="24"/>
        </w:rPr>
      </w:pPr>
      <w:r>
        <w:rPr>
          <w:rFonts w:hint="eastAsia" w:ascii="宋体" w:hAnsi="宋体"/>
          <w:color w:val="auto"/>
          <w:sz w:val="24"/>
        </w:rPr>
        <w:t>（七）报价要求</w:t>
      </w:r>
    </w:p>
    <w:p w14:paraId="4EA9F0CB">
      <w:pPr>
        <w:spacing w:line="360" w:lineRule="auto"/>
        <w:ind w:firstLine="480" w:firstLineChars="200"/>
        <w:rPr>
          <w:rFonts w:ascii="宋体" w:hAnsi="宋体"/>
          <w:color w:val="auto"/>
          <w:sz w:val="24"/>
        </w:rPr>
      </w:pPr>
      <w:r>
        <w:rPr>
          <w:rFonts w:hint="eastAsia" w:ascii="宋体" w:hAnsi="宋体"/>
          <w:color w:val="auto"/>
          <w:sz w:val="24"/>
        </w:rPr>
        <w:t>1.本招标文件中的技术要求不得被认为是详尽无遗的，无论规定与否，供应商都应提供所有采购人没有规定但供应商认为完成本项目操作和使用，必要或必须的服务内容，并在报价明细表中一一列明。投标供应商应对招标工作范围内容进行报价，不允许只对部分内容进行报价。</w:t>
      </w:r>
    </w:p>
    <w:p w14:paraId="12D22FC9">
      <w:pPr>
        <w:spacing w:line="360" w:lineRule="auto"/>
        <w:ind w:firstLine="480" w:firstLineChars="200"/>
        <w:rPr>
          <w:rFonts w:ascii="宋体" w:hAnsi="宋体"/>
          <w:color w:val="auto"/>
          <w:sz w:val="24"/>
        </w:rPr>
      </w:pPr>
      <w:r>
        <w:rPr>
          <w:rFonts w:hint="eastAsia" w:ascii="宋体" w:hAnsi="宋体"/>
          <w:color w:val="auto"/>
          <w:sz w:val="24"/>
        </w:rPr>
        <w:t>2.本项目为交钥匙工程。投标供应商的报价应为承包完成本次投标需完成全部工作所发生的所有费用，并承担一切风险责任。投标供应商应结合项目特点，市场行情及投标供应商自身的技术，管理水平，竞争能力，确定最终报价。</w:t>
      </w:r>
    </w:p>
    <w:p w14:paraId="6514076E">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olor w:val="auto"/>
          <w:sz w:val="24"/>
        </w:rPr>
        <w:t>3.</w:t>
      </w:r>
      <w:r>
        <w:rPr>
          <w:rFonts w:hint="eastAsia" w:ascii="宋体" w:hAnsi="宋体" w:cs="宋体"/>
          <w:color w:val="auto"/>
          <w:kern w:val="0"/>
          <w:sz w:val="24"/>
          <w:lang w:bidi="en-US"/>
        </w:rPr>
        <w:t>服务时间要求：合同签订每期一年，合计三期。服务项目每满一期后，必须经过采购方验收确认服务项目中等后，由采购方决定是否需要下一期服务项目。如果续签合同的，则服务标准不得降低，如服务人数不变，则服务价格按本次中标价执行；如服务人数调整，则服务总价格按本次各种类人员中标单价乘以相关人员数量合计执行。续签合同须经招标代理机构鉴证后方为有效。如果采购方验收服务项目不合格的，则采购方不再续订下一期服务项目合同。</w:t>
      </w:r>
    </w:p>
    <w:p w14:paraId="3688CA59">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（八）保险与责任</w:t>
      </w:r>
    </w:p>
    <w:p w14:paraId="3E9F2A88">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在整个合同期间，招标人须为“玉环市残疾人托养中心资产”投保财产险。“财产险”获赔款归“玉环市残疾人托养中心”所有。若发生的事件未作保险或虽在保险范围之内但保险获赔额不足以支付各种外来权利要求、索赔、诉讼、损失责任等支出时，该项损失或不足的部分由招标人承担。</w:t>
      </w:r>
    </w:p>
    <w:p w14:paraId="3BE83470">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中标人在经营费用中支付与业务相关的“第三者责任险”。此保险针对在玉环市残疾人托养中心内发生的事件或玉环市残疾人托养中心员工在进行业务时引致的人身损害、死亡或对第三者财产的损害而产生的一切索赔。</w:t>
      </w:r>
    </w:p>
    <w:p w14:paraId="53D43871">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招标人按照《关于加快推进残疾人意外伤害和残疾人服务机构综合保险的指导意见》（浙金融办〔２０１７〕５９号）文件要求对所有入托人员投保残疾人服务机构综合险，因中标人原因在运营期间发生在玉环市残疾人托养中心内入托人员的所有意外伤亡事件与招标人无关，由此产生的责任与费用均由中标人全权承担。</w:t>
      </w:r>
    </w:p>
    <w:p w14:paraId="002517C4">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（九）退出机制：运营期满或因中标人有下列情形的，招标人（业主方）可以单方解除或终止协议，中标人投资于本项目中的所有资产均无偿归招标人（业主方）所有。</w:t>
      </w:r>
    </w:p>
    <w:p w14:paraId="3A514CC9">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1．未经招标人（业主方）同意，擅自变更项目经营单位法人代表或中标人的；</w:t>
      </w:r>
    </w:p>
    <w:p w14:paraId="07DD1264">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2．存在严重违法经营和非法活动的；</w:t>
      </w:r>
    </w:p>
    <w:p w14:paraId="73262DFD">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3．中标人一次性投入承诺未达到投入要求的；</w:t>
      </w:r>
    </w:p>
    <w:p w14:paraId="256C6C9A">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4．连续二次考核不合格且整改后仍不合格的；</w:t>
      </w:r>
    </w:p>
    <w:p w14:paraId="48613861">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5．损毁设施或改变设施用途，无法保障本项目设施、设备正常运转的；</w:t>
      </w:r>
    </w:p>
    <w:p w14:paraId="15020245">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6．违反有关规定乱收费或违反医保政策的，造成严重不良影响的；</w:t>
      </w:r>
    </w:p>
    <w:p w14:paraId="223307C1">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7．发布虚假广告，造成严重不良影响的；</w:t>
      </w:r>
    </w:p>
    <w:p w14:paraId="1E5F3C19">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8．造成重大安全事故的；</w:t>
      </w:r>
    </w:p>
    <w:p w14:paraId="654A3CBE">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9．歧视、侮辱、虐待、侵害入住人员等行为，造成严重不良影响的；</w:t>
      </w:r>
    </w:p>
    <w:p w14:paraId="7684C93B">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10．入托人员家属满意度或社会印象较差的；</w:t>
      </w:r>
    </w:p>
    <w:p w14:paraId="4278E318">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11．运营中因环境污染造成严重影响或有严重消防安全隐患的；</w:t>
      </w:r>
    </w:p>
    <w:p w14:paraId="57F57348">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12．擅自改变经营范围，利用本项目场所进行其他活动经营与服务的；</w:t>
      </w:r>
    </w:p>
    <w:p w14:paraId="28723656">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13.严重违反协议约定或应解除的其他情形。</w:t>
      </w:r>
    </w:p>
    <w:p w14:paraId="03AD0D04">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如合同提前终止的，中标人投资于本项目中的所有资产均无偿归招标人业主所有。中标人无条件配合招标人做好项目移交、过渡期运营和对资产财务审计工作。</w:t>
      </w:r>
    </w:p>
    <w:p w14:paraId="06445AA8">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（十）其他约定</w:t>
      </w:r>
    </w:p>
    <w:p w14:paraId="6ACF1962">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1．医疗机构扶持政策按玉环市政府及卫计部门有关规定执行。</w:t>
      </w:r>
    </w:p>
    <w:p w14:paraId="6F97E7D1">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2．关于捐赠。本项目属国有资产，玉环市残疾人托养中心所收到的各种捐赠款物，所有权属项目业主方（国家所有），并严格按规定管理使用。</w:t>
      </w:r>
    </w:p>
    <w:p w14:paraId="7A1FE383">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3．所有入托人员由市残联提供，不得私自接收、转让他人。</w:t>
      </w:r>
    </w:p>
    <w:p w14:paraId="040C1FBB">
      <w:pPr>
        <w:shd w:val="clear" w:color="auto" w:fill="FFFFFF"/>
        <w:snapToGrid w:val="0"/>
        <w:spacing w:line="360" w:lineRule="auto"/>
        <w:ind w:firstLine="480" w:firstLineChars="200"/>
        <w:rPr>
          <w:rFonts w:ascii="宋体" w:hAnsi="宋体" w:cs="宋体"/>
          <w:color w:val="auto"/>
          <w:kern w:val="0"/>
          <w:sz w:val="24"/>
          <w:lang w:bidi="en-US"/>
        </w:rPr>
      </w:pPr>
      <w:r>
        <w:rPr>
          <w:rFonts w:hint="eastAsia" w:ascii="宋体" w:hAnsi="宋体" w:cs="宋体"/>
          <w:color w:val="auto"/>
          <w:kern w:val="0"/>
          <w:sz w:val="24"/>
          <w:lang w:bidi="en-US"/>
        </w:rPr>
        <w:t>4．如在实际运营中，床位用途需求发生变化的，可由中标人向市残联提出申请，经市残联同意后，可在规定期限内更改房屋的功能区域划分。</w:t>
      </w:r>
    </w:p>
    <w:p w14:paraId="0735DC59">
      <w:pPr>
        <w:widowControl/>
        <w:snapToGrid w:val="0"/>
        <w:spacing w:line="360" w:lineRule="auto"/>
        <w:ind w:firstLine="482" w:firstLineChars="200"/>
        <w:textAlignment w:val="baseline"/>
        <w:rPr>
          <w:rStyle w:val="151"/>
          <w:rFonts w:ascii="宋体" w:hAnsi="宋体"/>
          <w:b/>
          <w:color w:val="auto"/>
          <w:sz w:val="24"/>
        </w:rPr>
      </w:pPr>
      <w:r>
        <w:rPr>
          <w:rStyle w:val="151"/>
          <w:rFonts w:hint="eastAsia" w:ascii="宋体" w:hAnsi="宋体"/>
          <w:b/>
          <w:color w:val="auto"/>
          <w:sz w:val="24"/>
        </w:rPr>
        <w:t>四</w:t>
      </w:r>
      <w:r>
        <w:rPr>
          <w:rStyle w:val="151"/>
          <w:rFonts w:ascii="宋体" w:hAnsi="宋体"/>
          <w:b/>
          <w:color w:val="auto"/>
          <w:sz w:val="24"/>
        </w:rPr>
        <w:t>、相关说明</w:t>
      </w:r>
    </w:p>
    <w:p w14:paraId="2A52C990">
      <w:pPr>
        <w:pStyle w:val="152"/>
        <w:spacing w:line="360" w:lineRule="auto"/>
        <w:ind w:firstLine="480"/>
        <w:rPr>
          <w:rFonts w:ascii="宋体" w:hAnsi="宋体" w:cs="宋体"/>
          <w:color w:val="auto"/>
          <w:sz w:val="24"/>
        </w:rPr>
      </w:pPr>
      <w:r>
        <w:rPr>
          <w:rFonts w:hint="eastAsia" w:ascii="宋体" w:hAnsi="宋体" w:cs="宋体"/>
          <w:color w:val="auto"/>
          <w:sz w:val="24"/>
        </w:rPr>
        <w:t>1、现场勘察：供应商需自行到现场了解实际情况，产生费用由供应商自行负责。</w:t>
      </w:r>
    </w:p>
    <w:p w14:paraId="123A90FC">
      <w:pPr>
        <w:pStyle w:val="11"/>
        <w:ind w:firstLine="600"/>
        <w:rPr>
          <w:color w:val="auto"/>
        </w:rPr>
      </w:pPr>
    </w:p>
    <w:p w14:paraId="79F132C1">
      <w:pPr>
        <w:spacing w:line="360" w:lineRule="auto"/>
        <w:ind w:firstLine="904"/>
        <w:jc w:val="center"/>
        <w:rPr>
          <w:rStyle w:val="151"/>
          <w:rFonts w:ascii="宋体" w:hAnsi="宋体"/>
          <w:b/>
          <w:color w:val="auto"/>
          <w:sz w:val="36"/>
          <w:szCs w:val="36"/>
        </w:rPr>
      </w:pPr>
    </w:p>
    <w:p w14:paraId="623E6181">
      <w:pPr>
        <w:pStyle w:val="2"/>
        <w:ind w:firstLine="361"/>
        <w:rPr>
          <w:rStyle w:val="151"/>
          <w:rFonts w:ascii="宋体" w:hAnsi="宋体"/>
          <w:b/>
          <w:color w:val="auto"/>
          <w:sz w:val="36"/>
          <w:szCs w:val="36"/>
        </w:rPr>
      </w:pPr>
    </w:p>
    <w:p w14:paraId="1B210D37">
      <w:pPr>
        <w:pStyle w:val="2"/>
        <w:ind w:firstLine="361"/>
        <w:rPr>
          <w:rStyle w:val="151"/>
          <w:rFonts w:ascii="宋体" w:hAnsi="宋体"/>
          <w:b/>
          <w:color w:val="auto"/>
          <w:sz w:val="36"/>
          <w:szCs w:val="36"/>
        </w:rPr>
      </w:pPr>
    </w:p>
    <w:p w14:paraId="64745874">
      <w:pPr>
        <w:pStyle w:val="2"/>
        <w:ind w:firstLine="0" w:firstLineChars="0"/>
        <w:rPr>
          <w:rStyle w:val="151"/>
          <w:rFonts w:ascii="宋体" w:hAnsi="宋体"/>
          <w:b/>
          <w:color w:val="auto"/>
          <w:sz w:val="36"/>
          <w:szCs w:val="36"/>
        </w:rPr>
      </w:pPr>
    </w:p>
    <w:p w14:paraId="5256701F">
      <w:pPr>
        <w:spacing w:line="360" w:lineRule="auto"/>
        <w:ind w:firstLine="904"/>
        <w:jc w:val="center"/>
        <w:rPr>
          <w:rStyle w:val="151"/>
          <w:rFonts w:ascii="宋体" w:hAnsi="宋体"/>
          <w:b/>
          <w:color w:val="auto"/>
          <w:sz w:val="36"/>
          <w:szCs w:val="36"/>
        </w:rPr>
        <w:sectPr>
          <w:pgSz w:w="11906" w:h="16838"/>
          <w:pgMar w:top="1440" w:right="1587" w:bottom="1440" w:left="1633" w:header="851" w:footer="992" w:gutter="0"/>
          <w:pgNumType w:fmt="decimal"/>
          <w:cols w:space="0" w:num="1"/>
          <w:docGrid w:type="lines" w:linePitch="312" w:charSpace="0"/>
        </w:sectPr>
      </w:pPr>
    </w:p>
    <w:p w14:paraId="3E49BF7F">
      <w:pPr>
        <w:spacing w:line="360" w:lineRule="auto"/>
        <w:ind w:firstLine="904"/>
        <w:jc w:val="center"/>
        <w:rPr>
          <w:rStyle w:val="151"/>
          <w:rFonts w:ascii="宋体" w:hAnsi="宋体"/>
          <w:b/>
          <w:color w:val="auto"/>
          <w:sz w:val="36"/>
          <w:szCs w:val="36"/>
        </w:rPr>
      </w:pPr>
      <w:r>
        <w:rPr>
          <w:rStyle w:val="151"/>
          <w:rFonts w:hint="eastAsia" w:ascii="宋体" w:hAnsi="宋体"/>
          <w:b/>
          <w:color w:val="auto"/>
          <w:sz w:val="36"/>
          <w:szCs w:val="36"/>
        </w:rPr>
        <w:t xml:space="preserve">第五章 </w:t>
      </w:r>
      <w:r>
        <w:rPr>
          <w:rStyle w:val="151"/>
          <w:rFonts w:ascii="宋体" w:hAnsi="宋体"/>
          <w:b/>
          <w:color w:val="auto"/>
          <w:sz w:val="36"/>
          <w:szCs w:val="36"/>
        </w:rPr>
        <w:t>政府采购合同主要条款指引</w:t>
      </w:r>
    </w:p>
    <w:p w14:paraId="6D7DAC2A">
      <w:pPr>
        <w:widowControl/>
        <w:shd w:val="clear" w:color="auto" w:fill="FFFFFF"/>
        <w:snapToGrid w:val="0"/>
        <w:spacing w:after="150" w:line="360" w:lineRule="auto"/>
        <w:ind w:firstLine="600"/>
        <w:jc w:val="left"/>
        <w:rPr>
          <w:rFonts w:ascii="宋体" w:hAnsi="宋体" w:cs="宋体"/>
          <w:color w:val="auto"/>
          <w:sz w:val="24"/>
        </w:rPr>
      </w:pPr>
      <w:r>
        <w:rPr>
          <w:rFonts w:hint="eastAsia" w:ascii="宋体" w:hAnsi="宋体" w:cs="宋体"/>
          <w:color w:val="auto"/>
          <w:sz w:val="24"/>
        </w:rPr>
        <w:t>以下为中标后签定本项目合同的通用条款，中标供应商不得提出实质性的修改，关于专用条款将由采购人与中标供应商结合本项目具体情况协商后签订。</w:t>
      </w:r>
    </w:p>
    <w:p w14:paraId="424B0353">
      <w:pPr>
        <w:pStyle w:val="15"/>
        <w:snapToGrid w:val="0"/>
        <w:spacing w:before="120" w:after="120" w:line="360" w:lineRule="auto"/>
        <w:jc w:val="left"/>
        <w:rPr>
          <w:rFonts w:hAnsi="宋体" w:cs="宋体"/>
          <w:color w:val="auto"/>
          <w:sz w:val="24"/>
        </w:rPr>
      </w:pPr>
      <w:r>
        <w:rPr>
          <w:rFonts w:hint="eastAsia" w:hAnsi="宋体" w:cs="宋体"/>
          <w:color w:val="auto"/>
          <w:sz w:val="24"/>
        </w:rPr>
        <w:t>项目名称：                                   项目编号：</w:t>
      </w:r>
    </w:p>
    <w:p w14:paraId="71110D40">
      <w:pPr>
        <w:pStyle w:val="15"/>
        <w:snapToGrid w:val="0"/>
        <w:spacing w:before="120" w:after="120" w:line="360" w:lineRule="auto"/>
        <w:rPr>
          <w:rFonts w:hAnsi="宋体" w:cs="宋体"/>
          <w:color w:val="auto"/>
          <w:sz w:val="24"/>
        </w:rPr>
      </w:pPr>
      <w:r>
        <w:rPr>
          <w:rFonts w:hint="eastAsia" w:hAnsi="宋体" w:cs="宋体"/>
          <w:color w:val="auto"/>
          <w:sz w:val="24"/>
        </w:rPr>
        <w:t xml:space="preserve">甲方：（采购单位）                            所在地：                              </w:t>
      </w:r>
    </w:p>
    <w:p w14:paraId="052D5F23">
      <w:pPr>
        <w:pStyle w:val="15"/>
        <w:snapToGrid w:val="0"/>
        <w:spacing w:before="120" w:after="120" w:line="360" w:lineRule="auto"/>
        <w:rPr>
          <w:rFonts w:hAnsi="宋体" w:cs="宋体"/>
          <w:color w:val="auto"/>
          <w:sz w:val="24"/>
        </w:rPr>
      </w:pPr>
      <w:r>
        <w:rPr>
          <w:rFonts w:hint="eastAsia" w:hAnsi="宋体" w:cs="宋体"/>
          <w:color w:val="auto"/>
          <w:sz w:val="24"/>
        </w:rPr>
        <w:t>乙方：（中标供应商）                          所在地：</w:t>
      </w:r>
    </w:p>
    <w:p w14:paraId="766A37E8">
      <w:pPr>
        <w:pStyle w:val="15"/>
        <w:snapToGrid w:val="0"/>
        <w:spacing w:before="120" w:after="120" w:line="360" w:lineRule="auto"/>
        <w:rPr>
          <w:rFonts w:hAnsi="宋体" w:cs="宋体"/>
          <w:b/>
          <w:color w:val="auto"/>
          <w:sz w:val="24"/>
        </w:rPr>
      </w:pPr>
      <w:r>
        <w:rPr>
          <w:rFonts w:hint="eastAsia" w:hAnsi="宋体" w:cs="宋体"/>
          <w:color w:val="auto"/>
          <w:sz w:val="24"/>
        </w:rPr>
        <w:t>甲、乙双方</w:t>
      </w:r>
      <w:r>
        <w:rPr>
          <w:rFonts w:hint="eastAsia" w:hAnsi="宋体" w:cs="宋体"/>
          <w:color w:val="auto"/>
          <w:sz w:val="24"/>
          <w:szCs w:val="22"/>
        </w:rPr>
        <w:t>根据台州中域工程咨询有限公司</w:t>
      </w:r>
      <w:r>
        <w:rPr>
          <w:rFonts w:hint="eastAsia" w:hAnsi="宋体" w:cs="宋体"/>
          <w:color w:val="auto"/>
          <w:sz w:val="24"/>
        </w:rPr>
        <w:t>关于玉环市残疾人托养中心运行管理项目公开招标的结果，签署本合同。</w:t>
      </w:r>
    </w:p>
    <w:p w14:paraId="024FFA2F">
      <w:pPr>
        <w:snapToGrid w:val="0"/>
        <w:spacing w:line="360" w:lineRule="auto"/>
        <w:ind w:firstLine="482" w:firstLineChars="200"/>
        <w:rPr>
          <w:rFonts w:ascii="宋体" w:hAnsi="宋体" w:cs="宋体"/>
          <w:b/>
          <w:bCs/>
          <w:color w:val="auto"/>
          <w:sz w:val="24"/>
          <w:lang w:val="zh-CN"/>
        </w:rPr>
      </w:pPr>
      <w:r>
        <w:rPr>
          <w:rFonts w:hint="eastAsia" w:ascii="宋体" w:hAnsi="宋体"/>
          <w:b/>
          <w:bCs/>
          <w:color w:val="auto"/>
          <w:sz w:val="24"/>
        </w:rPr>
        <w:t>一、</w:t>
      </w:r>
      <w:r>
        <w:rPr>
          <w:rFonts w:hint="eastAsia" w:ascii="宋体" w:hAnsi="宋体" w:cs="宋体"/>
          <w:b/>
          <w:bCs/>
          <w:color w:val="auto"/>
          <w:sz w:val="24"/>
          <w:lang w:val="zh-CN"/>
        </w:rPr>
        <w:t xml:space="preserve">合同文件 </w:t>
      </w:r>
    </w:p>
    <w:p w14:paraId="4AF0103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1.合同条款。</w:t>
      </w:r>
    </w:p>
    <w:p w14:paraId="7C256C56">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.中标通知书。</w:t>
      </w:r>
    </w:p>
    <w:p w14:paraId="7F6B1D3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3.更正补充文件（若有）。</w:t>
      </w:r>
    </w:p>
    <w:p w14:paraId="60B712D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4.招标文件。</w:t>
      </w:r>
    </w:p>
    <w:p w14:paraId="783642D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5.中标供应商投标文件。</w:t>
      </w:r>
    </w:p>
    <w:p w14:paraId="6CDB25A6">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6.其他。</w:t>
      </w:r>
    </w:p>
    <w:p w14:paraId="607B1AEE">
      <w:pPr>
        <w:pStyle w:val="15"/>
        <w:snapToGrid w:val="0"/>
        <w:spacing w:line="360" w:lineRule="auto"/>
        <w:ind w:firstLine="480" w:firstLineChars="200"/>
        <w:rPr>
          <w:rFonts w:hAnsi="宋体" w:cs="宋体"/>
          <w:color w:val="auto"/>
          <w:sz w:val="24"/>
          <w:lang w:val="zh-CN"/>
        </w:rPr>
      </w:pPr>
      <w:r>
        <w:rPr>
          <w:rFonts w:hint="eastAsia" w:hAnsi="宋体" w:cs="宋体"/>
          <w:color w:val="auto"/>
          <w:sz w:val="24"/>
          <w:lang w:val="zh-CN"/>
        </w:rPr>
        <w:t>上述所指合同文件应认为是互相补充和解释的，但是有模棱两可或互相矛盾之处，以其所列内容顺序为准。</w:t>
      </w:r>
    </w:p>
    <w:p w14:paraId="672DDFF0">
      <w:pPr>
        <w:spacing w:line="360" w:lineRule="auto"/>
        <w:ind w:firstLine="602" w:firstLineChars="250"/>
        <w:rPr>
          <w:rFonts w:ascii="宋体" w:hAnsi="宋体"/>
          <w:b/>
          <w:bCs/>
          <w:color w:val="auto"/>
          <w:sz w:val="24"/>
        </w:rPr>
      </w:pPr>
      <w:r>
        <w:rPr>
          <w:rFonts w:hint="eastAsia" w:ascii="宋体" w:hAnsi="宋体"/>
          <w:b/>
          <w:bCs/>
          <w:color w:val="auto"/>
          <w:sz w:val="24"/>
        </w:rPr>
        <w:t>二、 护理基本情况</w:t>
      </w:r>
    </w:p>
    <w:p w14:paraId="54181E5D">
      <w:pPr>
        <w:spacing w:line="360" w:lineRule="auto"/>
        <w:ind w:firstLine="600" w:firstLineChars="250"/>
        <w:rPr>
          <w:rFonts w:ascii="宋体" w:hAnsi="宋体"/>
          <w:color w:val="auto"/>
          <w:sz w:val="24"/>
        </w:rPr>
      </w:pPr>
      <w:r>
        <w:rPr>
          <w:rFonts w:hint="eastAsia" w:ascii="宋体" w:hAnsi="宋体"/>
          <w:color w:val="auto"/>
          <w:sz w:val="24"/>
        </w:rPr>
        <w:t>1.  乙方的人员配置</w:t>
      </w:r>
    </w:p>
    <w:p w14:paraId="15CB0D1B">
      <w:pPr>
        <w:spacing w:line="360" w:lineRule="auto"/>
        <w:ind w:firstLine="600" w:firstLineChars="250"/>
        <w:rPr>
          <w:rFonts w:ascii="宋体" w:hAnsi="宋体"/>
          <w:color w:val="auto"/>
          <w:sz w:val="24"/>
        </w:rPr>
      </w:pPr>
      <w:r>
        <w:rPr>
          <w:rFonts w:hint="eastAsia" w:ascii="宋体" w:hAnsi="宋体"/>
          <w:color w:val="auto"/>
          <w:sz w:val="24"/>
        </w:rPr>
        <w:t xml:space="preserve">1.1乙方的项目总负责人             ，身份证号码：                     </w:t>
      </w:r>
    </w:p>
    <w:p w14:paraId="14F860BC">
      <w:pPr>
        <w:spacing w:line="360" w:lineRule="auto"/>
        <w:ind w:firstLine="600" w:firstLineChars="250"/>
        <w:rPr>
          <w:rFonts w:ascii="宋体" w:hAnsi="宋体"/>
          <w:color w:val="auto"/>
          <w:sz w:val="24"/>
        </w:rPr>
      </w:pPr>
      <w:r>
        <w:rPr>
          <w:rFonts w:hint="eastAsia" w:ascii="宋体" w:hAnsi="宋体"/>
          <w:color w:val="auto"/>
          <w:sz w:val="24"/>
        </w:rPr>
        <w:t>1.2乙方必须采取措施，确保乙方人员稳定，特别是骨干人员。骨干人员变动须经甲方同意，其他人员变动须甲方备案。</w:t>
      </w:r>
    </w:p>
    <w:p w14:paraId="17014941">
      <w:pPr>
        <w:spacing w:line="360" w:lineRule="auto"/>
        <w:ind w:firstLine="600" w:firstLineChars="250"/>
        <w:rPr>
          <w:rFonts w:ascii="宋体" w:hAnsi="宋体"/>
          <w:color w:val="auto"/>
          <w:sz w:val="24"/>
        </w:rPr>
      </w:pPr>
      <w:r>
        <w:rPr>
          <w:rFonts w:hint="eastAsia" w:ascii="宋体" w:hAnsi="宋体"/>
          <w:color w:val="auto"/>
          <w:sz w:val="24"/>
        </w:rPr>
        <w:t>1.3乙方项目总负责人及部门负责人须及时与甲方沟通，第一时间报告重大、紧急事件；每月须向甲方汇报上月工作情况，并提供相关报告。</w:t>
      </w:r>
    </w:p>
    <w:p w14:paraId="78E43E9B">
      <w:pPr>
        <w:spacing w:line="360" w:lineRule="auto"/>
        <w:ind w:firstLine="600" w:firstLineChars="250"/>
        <w:rPr>
          <w:rFonts w:ascii="宋体" w:hAnsi="宋体"/>
          <w:color w:val="auto"/>
          <w:sz w:val="24"/>
        </w:rPr>
      </w:pPr>
      <w:r>
        <w:rPr>
          <w:rFonts w:hint="eastAsia" w:ascii="宋体" w:hAnsi="宋体"/>
          <w:color w:val="auto"/>
          <w:sz w:val="24"/>
        </w:rPr>
        <w:t>1. 护理人员要求：</w:t>
      </w:r>
    </w:p>
    <w:p w14:paraId="2F6846E7">
      <w:pPr>
        <w:spacing w:line="360" w:lineRule="auto"/>
        <w:ind w:firstLine="600" w:firstLineChars="250"/>
        <w:rPr>
          <w:rFonts w:ascii="宋体" w:hAnsi="宋体"/>
          <w:color w:val="auto"/>
          <w:sz w:val="24"/>
        </w:rPr>
      </w:pPr>
      <w:r>
        <w:rPr>
          <w:rFonts w:hint="eastAsia" w:ascii="宋体" w:hAnsi="宋体"/>
          <w:color w:val="auto"/>
          <w:sz w:val="24"/>
        </w:rPr>
        <w:t>（1）所有相关人员的配备须获得相关主管部门认证的，须配证并持证上岗，且根据不同岗位统一着装。</w:t>
      </w:r>
    </w:p>
    <w:p w14:paraId="3D60E85B">
      <w:pPr>
        <w:spacing w:line="360" w:lineRule="auto"/>
        <w:ind w:firstLine="600" w:firstLineChars="250"/>
        <w:rPr>
          <w:rFonts w:ascii="宋体" w:hAnsi="宋体"/>
          <w:color w:val="auto"/>
          <w:sz w:val="24"/>
        </w:rPr>
      </w:pPr>
      <w:r>
        <w:rPr>
          <w:rFonts w:hint="eastAsia" w:ascii="宋体" w:hAnsi="宋体"/>
          <w:color w:val="auto"/>
          <w:sz w:val="24"/>
        </w:rPr>
        <w:t>（2）所有相关人员要求政治上可靠，身体素质好，无不良行为记录。</w:t>
      </w:r>
    </w:p>
    <w:p w14:paraId="529431BD">
      <w:pPr>
        <w:spacing w:line="360" w:lineRule="auto"/>
        <w:ind w:firstLine="600" w:firstLineChars="250"/>
        <w:rPr>
          <w:rFonts w:ascii="宋体" w:hAnsi="宋体"/>
          <w:color w:val="auto"/>
          <w:sz w:val="24"/>
        </w:rPr>
      </w:pPr>
      <w:r>
        <w:rPr>
          <w:rFonts w:hint="eastAsia" w:ascii="宋体" w:hAnsi="宋体"/>
          <w:color w:val="auto"/>
          <w:sz w:val="24"/>
        </w:rPr>
        <w:t>（3）重要岗位人员必须由甲方人事部门考核、政治审查通过方可录用。</w:t>
      </w:r>
    </w:p>
    <w:p w14:paraId="1F8A40CB">
      <w:pPr>
        <w:spacing w:line="360" w:lineRule="auto"/>
        <w:ind w:firstLine="600" w:firstLineChars="250"/>
        <w:rPr>
          <w:rFonts w:ascii="宋体" w:hAnsi="宋体"/>
          <w:color w:val="auto"/>
          <w:sz w:val="24"/>
        </w:rPr>
      </w:pPr>
      <w:r>
        <w:rPr>
          <w:rFonts w:hint="eastAsia" w:ascii="宋体" w:hAnsi="宋体"/>
          <w:color w:val="auto"/>
          <w:sz w:val="24"/>
        </w:rPr>
        <w:t>（4）为提高关于入托残疾人员护理服务水平，所有护理人员还需进行宾馆礼仪的培训。除乙方对服务人员的培训外，需接受甲方对服务人员的集中进行培训，培训费用由乙方承担。</w:t>
      </w:r>
    </w:p>
    <w:p w14:paraId="5CCFA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ascii="宋体" w:hAnsi="宋体" w:cs="Arial"/>
          <w:b/>
          <w:color w:val="auto"/>
          <w:kern w:val="0"/>
          <w:sz w:val="24"/>
        </w:rPr>
      </w:pPr>
      <w:r>
        <w:rPr>
          <w:rFonts w:hint="eastAsia" w:ascii="宋体" w:hAnsi="宋体" w:cs="Arial"/>
          <w:b/>
          <w:color w:val="auto"/>
          <w:kern w:val="0"/>
          <w:sz w:val="24"/>
        </w:rPr>
        <w:t>三、工作内容需求</w:t>
      </w:r>
    </w:p>
    <w:p w14:paraId="08996CB7">
      <w:pPr>
        <w:spacing w:line="360" w:lineRule="auto"/>
        <w:ind w:firstLine="600" w:firstLineChars="250"/>
        <w:rPr>
          <w:rFonts w:ascii="宋体" w:hAnsi="宋体"/>
          <w:color w:val="auto"/>
          <w:sz w:val="24"/>
        </w:rPr>
      </w:pPr>
      <w:r>
        <w:rPr>
          <w:rFonts w:hint="eastAsia" w:ascii="宋体" w:hAnsi="宋体"/>
          <w:color w:val="auto"/>
          <w:sz w:val="24"/>
        </w:rPr>
        <w:t>1.基本要求</w:t>
      </w:r>
    </w:p>
    <w:p w14:paraId="0DA98345">
      <w:pPr>
        <w:spacing w:line="360" w:lineRule="auto"/>
        <w:ind w:firstLine="482" w:firstLineChars="200"/>
        <w:rPr>
          <w:rFonts w:ascii="宋体" w:hAnsi="宋体"/>
          <w:b/>
          <w:bCs/>
          <w:color w:val="auto"/>
          <w:sz w:val="24"/>
        </w:rPr>
      </w:pPr>
      <w:r>
        <w:rPr>
          <w:rFonts w:hint="eastAsia" w:ascii="宋体" w:hAnsi="宋体"/>
          <w:b/>
          <w:bCs/>
          <w:color w:val="auto"/>
          <w:sz w:val="24"/>
        </w:rPr>
        <w:t>四、合同期限</w:t>
      </w:r>
    </w:p>
    <w:p w14:paraId="36F18E8D">
      <w:pPr>
        <w:spacing w:line="360" w:lineRule="auto"/>
        <w:ind w:firstLine="600" w:firstLineChars="250"/>
        <w:rPr>
          <w:rFonts w:hint="eastAsia" w:ascii="宋体" w:hAnsi="宋体"/>
          <w:color w:val="auto"/>
          <w:sz w:val="24"/>
          <w:lang w:val="en-US" w:eastAsia="zh-CN"/>
        </w:rPr>
      </w:pPr>
      <w:r>
        <w:rPr>
          <w:rFonts w:hint="eastAsia" w:ascii="宋体" w:hAnsi="宋体"/>
          <w:color w:val="auto"/>
          <w:sz w:val="24"/>
        </w:rPr>
        <w:t>本合同期限为</w:t>
      </w:r>
      <w:r>
        <w:rPr>
          <w:rFonts w:hint="eastAsia" w:ascii="宋体" w:hAnsi="宋体"/>
          <w:color w:val="auto"/>
          <w:sz w:val="24"/>
          <w:lang w:val="en-US" w:eastAsia="zh-CN"/>
        </w:rPr>
        <w:t>三</w:t>
      </w:r>
      <w:r>
        <w:rPr>
          <w:rFonts w:hint="eastAsia" w:ascii="宋体" w:hAnsi="宋体"/>
          <w:color w:val="auto"/>
          <w:sz w:val="24"/>
        </w:rPr>
        <w:t>年</w:t>
      </w:r>
      <w:r>
        <w:rPr>
          <w:rFonts w:hint="eastAsia" w:ascii="宋体" w:hAnsi="宋体"/>
          <w:color w:val="auto"/>
          <w:sz w:val="24"/>
          <w:lang w:eastAsia="zh-CN"/>
        </w:rPr>
        <w:t>，</w:t>
      </w:r>
      <w:r>
        <w:rPr>
          <w:rFonts w:hint="eastAsia" w:ascii="宋体" w:hAnsi="宋体"/>
          <w:color w:val="auto"/>
          <w:sz w:val="24"/>
          <w:lang w:val="en-US" w:eastAsia="zh-CN"/>
        </w:rPr>
        <w:t>合同采</w:t>
      </w:r>
      <w:bookmarkStart w:id="1" w:name="_GoBack"/>
      <w:bookmarkEnd w:id="1"/>
      <w:r>
        <w:rPr>
          <w:rFonts w:hint="eastAsia" w:ascii="宋体" w:hAnsi="宋体"/>
          <w:color w:val="auto"/>
          <w:sz w:val="24"/>
          <w:lang w:val="en-US" w:eastAsia="zh-CN"/>
        </w:rPr>
        <w:t>用一年一签模式（招标人对中标人服务满意的，续签下一年度合同，否则招标人有权不再续签合同）</w:t>
      </w:r>
    </w:p>
    <w:p w14:paraId="01FDC145">
      <w:pPr>
        <w:spacing w:line="360" w:lineRule="auto"/>
        <w:ind w:firstLine="600" w:firstLineChars="250"/>
        <w:rPr>
          <w:rFonts w:hint="eastAsia" w:ascii="宋体" w:hAnsi="宋体"/>
          <w:color w:val="auto"/>
          <w:sz w:val="24"/>
        </w:rPr>
      </w:pPr>
      <w:r>
        <w:rPr>
          <w:rFonts w:hint="eastAsia" w:ascii="宋体" w:hAnsi="宋体"/>
          <w:color w:val="auto"/>
          <w:sz w:val="24"/>
          <w:lang w:val="en-US" w:eastAsia="zh-CN"/>
        </w:rPr>
        <w:t>第一年：</w:t>
      </w:r>
      <w:r>
        <w:rPr>
          <w:rFonts w:hint="eastAsia" w:ascii="宋体" w:hAnsi="宋体"/>
          <w:color w:val="auto"/>
          <w:sz w:val="24"/>
        </w:rPr>
        <w:t>自202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日起至202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日止。</w:t>
      </w:r>
    </w:p>
    <w:p w14:paraId="451DCD46">
      <w:pPr>
        <w:spacing w:line="360" w:lineRule="auto"/>
        <w:ind w:firstLine="600" w:firstLineChars="250"/>
        <w:rPr>
          <w:rFonts w:ascii="宋体" w:hAnsi="宋体"/>
          <w:color w:val="auto"/>
          <w:sz w:val="24"/>
        </w:rPr>
      </w:pPr>
      <w:r>
        <w:rPr>
          <w:rFonts w:hint="eastAsia" w:ascii="宋体" w:hAnsi="宋体"/>
          <w:color w:val="auto"/>
          <w:sz w:val="24"/>
          <w:lang w:val="en-US" w:eastAsia="zh-CN"/>
        </w:rPr>
        <w:t>第二年：</w:t>
      </w:r>
      <w:r>
        <w:rPr>
          <w:rFonts w:hint="eastAsia" w:ascii="宋体" w:hAnsi="宋体"/>
          <w:color w:val="auto"/>
          <w:sz w:val="24"/>
        </w:rPr>
        <w:t>自202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日起至202</w:t>
      </w:r>
      <w:r>
        <w:rPr>
          <w:rFonts w:hint="eastAsia" w:ascii="宋体" w:hAnsi="宋体"/>
          <w:color w:val="auto"/>
          <w:sz w:val="24"/>
          <w:lang w:val="en-US" w:eastAsia="zh-CN"/>
        </w:rPr>
        <w:t>6</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日止。</w:t>
      </w:r>
    </w:p>
    <w:p w14:paraId="37E9A7CC">
      <w:pPr>
        <w:spacing w:line="360" w:lineRule="auto"/>
        <w:ind w:firstLine="600" w:firstLineChars="250"/>
        <w:rPr>
          <w:rFonts w:ascii="宋体" w:hAnsi="宋体"/>
          <w:color w:val="auto"/>
          <w:sz w:val="24"/>
        </w:rPr>
      </w:pPr>
      <w:r>
        <w:rPr>
          <w:rFonts w:hint="eastAsia" w:ascii="宋体" w:hAnsi="宋体"/>
          <w:color w:val="auto"/>
          <w:sz w:val="24"/>
          <w:lang w:val="en-US" w:eastAsia="zh-CN"/>
        </w:rPr>
        <w:t>第三年：</w:t>
      </w:r>
      <w:r>
        <w:rPr>
          <w:rFonts w:hint="eastAsia" w:ascii="宋体" w:hAnsi="宋体"/>
          <w:color w:val="auto"/>
          <w:sz w:val="24"/>
        </w:rPr>
        <w:t>自202</w:t>
      </w:r>
      <w:r>
        <w:rPr>
          <w:rFonts w:hint="eastAsia" w:ascii="宋体" w:hAnsi="宋体"/>
          <w:color w:val="auto"/>
          <w:sz w:val="24"/>
          <w:lang w:val="en-US" w:eastAsia="zh-CN"/>
        </w:rPr>
        <w:t>6</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日起至202</w:t>
      </w:r>
      <w:r>
        <w:rPr>
          <w:rFonts w:hint="eastAsia" w:ascii="宋体" w:hAnsi="宋体"/>
          <w:color w:val="auto"/>
          <w:sz w:val="24"/>
          <w:lang w:val="en-US" w:eastAsia="zh-CN"/>
        </w:rPr>
        <w:t>7</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日止。</w:t>
      </w:r>
    </w:p>
    <w:p w14:paraId="51EF8A2D">
      <w:pPr>
        <w:spacing w:line="360" w:lineRule="auto"/>
        <w:ind w:firstLine="482" w:firstLineChars="200"/>
        <w:rPr>
          <w:rFonts w:ascii="宋体" w:hAnsi="宋体"/>
          <w:b/>
          <w:bCs/>
          <w:color w:val="auto"/>
          <w:sz w:val="24"/>
        </w:rPr>
      </w:pPr>
      <w:r>
        <w:rPr>
          <w:rFonts w:hint="eastAsia" w:ascii="宋体" w:hAnsi="宋体"/>
          <w:b/>
          <w:bCs/>
          <w:color w:val="auto"/>
          <w:sz w:val="24"/>
        </w:rPr>
        <w:t>五、 双方权利义务</w:t>
      </w:r>
    </w:p>
    <w:p w14:paraId="405FC1F5">
      <w:pPr>
        <w:spacing w:line="360" w:lineRule="auto"/>
        <w:ind w:firstLine="600" w:firstLineChars="250"/>
        <w:rPr>
          <w:rFonts w:ascii="宋体" w:hAnsi="宋体"/>
          <w:color w:val="auto"/>
          <w:sz w:val="24"/>
        </w:rPr>
      </w:pPr>
      <w:r>
        <w:rPr>
          <w:rFonts w:hint="eastAsia" w:ascii="宋体" w:hAnsi="宋体"/>
          <w:color w:val="auto"/>
          <w:sz w:val="24"/>
        </w:rPr>
        <w:t>1. 甲方权利义务</w:t>
      </w:r>
    </w:p>
    <w:p w14:paraId="4156638B">
      <w:pPr>
        <w:spacing w:line="360" w:lineRule="auto"/>
        <w:ind w:firstLine="600" w:firstLineChars="250"/>
        <w:rPr>
          <w:rFonts w:ascii="宋体" w:hAnsi="宋体"/>
          <w:color w:val="auto"/>
          <w:sz w:val="24"/>
        </w:rPr>
      </w:pPr>
      <w:r>
        <w:rPr>
          <w:rFonts w:hint="eastAsia" w:ascii="宋体" w:hAnsi="宋体"/>
          <w:color w:val="auto"/>
          <w:sz w:val="24"/>
        </w:rPr>
        <w:t>1.1代表和维护产权人、使用人的合法权益；</w:t>
      </w:r>
    </w:p>
    <w:p w14:paraId="15E34B93">
      <w:pPr>
        <w:spacing w:line="360" w:lineRule="auto"/>
        <w:ind w:firstLine="600" w:firstLineChars="250"/>
        <w:rPr>
          <w:rFonts w:ascii="宋体" w:hAnsi="宋体"/>
          <w:color w:val="auto"/>
          <w:sz w:val="24"/>
        </w:rPr>
      </w:pPr>
      <w:r>
        <w:rPr>
          <w:rFonts w:hint="eastAsia" w:ascii="宋体" w:hAnsi="宋体"/>
          <w:color w:val="auto"/>
          <w:sz w:val="24"/>
        </w:rPr>
        <w:t>1.2审定乙方拟定的关于入托残疾人员护理服务制度；</w:t>
      </w:r>
    </w:p>
    <w:p w14:paraId="16C95FD9">
      <w:pPr>
        <w:spacing w:line="360" w:lineRule="auto"/>
        <w:ind w:firstLine="600" w:firstLineChars="250"/>
        <w:rPr>
          <w:rFonts w:ascii="宋体" w:hAnsi="宋体"/>
          <w:color w:val="auto"/>
          <w:sz w:val="24"/>
        </w:rPr>
      </w:pPr>
      <w:r>
        <w:rPr>
          <w:rFonts w:hint="eastAsia" w:ascii="宋体" w:hAnsi="宋体"/>
          <w:color w:val="auto"/>
          <w:sz w:val="24"/>
        </w:rPr>
        <w:t>1.3检查监督乙方管理工作的实施及制度的执行情况；</w:t>
      </w:r>
    </w:p>
    <w:p w14:paraId="56F83EAE">
      <w:pPr>
        <w:spacing w:line="360" w:lineRule="auto"/>
        <w:ind w:firstLine="600" w:firstLineChars="250"/>
        <w:rPr>
          <w:rFonts w:ascii="宋体" w:hAnsi="宋体"/>
          <w:color w:val="auto"/>
          <w:sz w:val="24"/>
        </w:rPr>
      </w:pPr>
      <w:r>
        <w:rPr>
          <w:rFonts w:hint="eastAsia" w:ascii="宋体" w:hAnsi="宋体"/>
          <w:color w:val="auto"/>
          <w:sz w:val="24"/>
        </w:rPr>
        <w:t>1.4审定乙方提出的关于入托残疾人员护理服务服务年度计划、财务预算及决算；</w:t>
      </w:r>
    </w:p>
    <w:p w14:paraId="41CF2BE7">
      <w:pPr>
        <w:spacing w:line="360" w:lineRule="auto"/>
        <w:ind w:firstLine="600" w:firstLineChars="250"/>
        <w:rPr>
          <w:rFonts w:ascii="宋体" w:hAnsi="宋体"/>
          <w:color w:val="auto"/>
          <w:sz w:val="24"/>
        </w:rPr>
      </w:pPr>
      <w:r>
        <w:rPr>
          <w:rFonts w:hint="eastAsia" w:ascii="宋体" w:hAnsi="宋体"/>
          <w:color w:val="auto"/>
          <w:sz w:val="24"/>
        </w:rPr>
        <w:t>1.5负责收集、整理关于入托残疾人员护理服务所需全部图纸、档案、资料，根据管理需要向乙方提供房屋相关资料和设备、设施的安装、使用和维护保养技术资料；</w:t>
      </w:r>
    </w:p>
    <w:p w14:paraId="2F0D77DE">
      <w:pPr>
        <w:spacing w:line="360" w:lineRule="auto"/>
        <w:ind w:firstLine="600" w:firstLineChars="250"/>
        <w:rPr>
          <w:rFonts w:ascii="宋体" w:hAnsi="宋体"/>
          <w:color w:val="auto"/>
          <w:sz w:val="24"/>
        </w:rPr>
      </w:pPr>
      <w:r>
        <w:rPr>
          <w:rFonts w:hint="eastAsia" w:ascii="宋体" w:hAnsi="宋体"/>
          <w:color w:val="auto"/>
          <w:sz w:val="24"/>
        </w:rPr>
        <w:t>1.6按期支付关于入托残疾人员护理服务费用；</w:t>
      </w:r>
    </w:p>
    <w:p w14:paraId="7E34A57A">
      <w:pPr>
        <w:spacing w:line="360" w:lineRule="auto"/>
        <w:ind w:firstLine="600" w:firstLineChars="250"/>
        <w:rPr>
          <w:rFonts w:ascii="宋体" w:hAnsi="宋体"/>
          <w:color w:val="auto"/>
          <w:sz w:val="24"/>
        </w:rPr>
      </w:pPr>
      <w:r>
        <w:rPr>
          <w:rFonts w:hint="eastAsia" w:ascii="宋体" w:hAnsi="宋体"/>
          <w:color w:val="auto"/>
          <w:sz w:val="24"/>
        </w:rPr>
        <w:t>1.7在不可预见的情况下，如发生煤气泄漏、漏电、火灾、救助人命、协助公安机关执行任务等突发事件的，甲方应积极配合乙方采取必要的紧急避险措施。</w:t>
      </w:r>
    </w:p>
    <w:p w14:paraId="300C0BFB">
      <w:pPr>
        <w:spacing w:line="360" w:lineRule="auto"/>
        <w:ind w:firstLine="600" w:firstLineChars="250"/>
        <w:rPr>
          <w:rFonts w:ascii="宋体" w:hAnsi="宋体"/>
          <w:color w:val="auto"/>
          <w:sz w:val="24"/>
        </w:rPr>
      </w:pPr>
      <w:r>
        <w:rPr>
          <w:rFonts w:hint="eastAsia" w:ascii="宋体" w:hAnsi="宋体"/>
          <w:color w:val="auto"/>
          <w:sz w:val="24"/>
        </w:rPr>
        <w:t>1.8提供乙方所需的办公用房。</w:t>
      </w:r>
    </w:p>
    <w:p w14:paraId="7BB06276">
      <w:pPr>
        <w:spacing w:line="360" w:lineRule="auto"/>
        <w:ind w:firstLine="600" w:firstLineChars="250"/>
        <w:rPr>
          <w:rFonts w:ascii="宋体" w:hAnsi="宋体"/>
          <w:color w:val="auto"/>
          <w:sz w:val="24"/>
        </w:rPr>
      </w:pPr>
      <w:r>
        <w:rPr>
          <w:rFonts w:hint="eastAsia" w:ascii="宋体" w:hAnsi="宋体"/>
          <w:color w:val="auto"/>
          <w:sz w:val="24"/>
        </w:rPr>
        <w:t>1.9甲方监督乙方依照本合同规定内容所进行的管理和服务活动，并有权提出意见、建议或整改要求，组织对乙方工作综合考评，如出现乙方管理不善造成甲方重大经济损失的情况，甲方有权终止合同并要求乙方给予赔偿。</w:t>
      </w:r>
    </w:p>
    <w:p w14:paraId="4FC3BD5B">
      <w:pPr>
        <w:spacing w:line="360" w:lineRule="auto"/>
        <w:ind w:firstLine="600" w:firstLineChars="250"/>
        <w:rPr>
          <w:rFonts w:ascii="宋体" w:hAnsi="宋体"/>
          <w:color w:val="auto"/>
          <w:sz w:val="24"/>
        </w:rPr>
      </w:pPr>
      <w:r>
        <w:rPr>
          <w:rFonts w:hint="eastAsia" w:ascii="宋体" w:hAnsi="宋体"/>
          <w:color w:val="auto"/>
          <w:sz w:val="24"/>
        </w:rPr>
        <w:t>2.  乙方权利义务</w:t>
      </w:r>
    </w:p>
    <w:p w14:paraId="7077472C">
      <w:pPr>
        <w:spacing w:line="360" w:lineRule="auto"/>
        <w:ind w:firstLine="600" w:firstLineChars="250"/>
        <w:rPr>
          <w:rFonts w:ascii="宋体" w:hAnsi="宋体"/>
          <w:color w:val="auto"/>
          <w:sz w:val="24"/>
        </w:rPr>
      </w:pPr>
      <w:r>
        <w:rPr>
          <w:rFonts w:hint="eastAsia" w:ascii="宋体" w:hAnsi="宋体"/>
          <w:color w:val="auto"/>
          <w:sz w:val="24"/>
        </w:rPr>
        <w:t>2.1根据有关法律法规及本合同的约定，制订关于入托残疾人员护理服务制度、方案，根据甲方核定的关于入托残疾人员护理服务制度、方案自主开展护理日常管理服务活动；</w:t>
      </w:r>
    </w:p>
    <w:p w14:paraId="50B63559">
      <w:pPr>
        <w:spacing w:line="360" w:lineRule="auto"/>
        <w:ind w:firstLine="600" w:firstLineChars="250"/>
        <w:rPr>
          <w:rFonts w:ascii="宋体" w:hAnsi="宋体"/>
          <w:color w:val="auto"/>
          <w:sz w:val="24"/>
        </w:rPr>
      </w:pPr>
      <w:r>
        <w:rPr>
          <w:rFonts w:hint="eastAsia" w:ascii="宋体" w:hAnsi="宋体"/>
          <w:color w:val="auto"/>
          <w:sz w:val="24"/>
        </w:rPr>
        <w:t>2.2按甲方要求及时如实向甲方报告关于入托残疾人员护理服务服务实施情况；</w:t>
      </w:r>
    </w:p>
    <w:p w14:paraId="027A2ACC">
      <w:pPr>
        <w:spacing w:line="360" w:lineRule="auto"/>
        <w:ind w:firstLine="600" w:firstLineChars="250"/>
        <w:rPr>
          <w:rFonts w:ascii="宋体" w:hAnsi="宋体"/>
          <w:color w:val="auto"/>
          <w:sz w:val="24"/>
        </w:rPr>
      </w:pPr>
      <w:r>
        <w:rPr>
          <w:rFonts w:hint="eastAsia" w:ascii="宋体" w:hAnsi="宋体"/>
          <w:color w:val="auto"/>
          <w:sz w:val="24"/>
        </w:rPr>
        <w:t>2.3征得甲方同意可选聘专营公司承担本护理的专项管理业务，但不得将本护理的管理责任转让给第三方；</w:t>
      </w:r>
    </w:p>
    <w:p w14:paraId="47A08850">
      <w:pPr>
        <w:spacing w:line="360" w:lineRule="auto"/>
        <w:ind w:firstLine="600" w:firstLineChars="250"/>
        <w:rPr>
          <w:rFonts w:ascii="宋体" w:hAnsi="宋体"/>
          <w:color w:val="auto"/>
          <w:sz w:val="24"/>
        </w:rPr>
      </w:pPr>
      <w:r>
        <w:rPr>
          <w:rFonts w:hint="eastAsia" w:ascii="宋体" w:hAnsi="宋体"/>
          <w:color w:val="auto"/>
          <w:sz w:val="24"/>
        </w:rPr>
        <w:t>2.4负责编制房屋、附属建筑物、构筑物、设施、设备、绿化等的年度维修养护计划和大中修方案，经双方议定后由乙方组织实施；</w:t>
      </w:r>
    </w:p>
    <w:p w14:paraId="1D39D165">
      <w:pPr>
        <w:spacing w:line="360" w:lineRule="auto"/>
        <w:ind w:firstLine="600" w:firstLineChars="250"/>
        <w:rPr>
          <w:rFonts w:ascii="宋体" w:hAnsi="宋体"/>
          <w:color w:val="auto"/>
          <w:sz w:val="24"/>
        </w:rPr>
      </w:pPr>
      <w:r>
        <w:rPr>
          <w:rFonts w:hint="eastAsia" w:ascii="宋体" w:hAnsi="宋体"/>
          <w:color w:val="auto"/>
          <w:sz w:val="24"/>
        </w:rPr>
        <w:t>2.5向甲方工作人员和其他使用人告知护理使用的有关规定，并负责监督；</w:t>
      </w:r>
    </w:p>
    <w:p w14:paraId="502D5F4C">
      <w:pPr>
        <w:spacing w:line="360" w:lineRule="auto"/>
        <w:ind w:firstLine="600" w:firstLineChars="250"/>
        <w:rPr>
          <w:rFonts w:ascii="宋体" w:hAnsi="宋体"/>
          <w:color w:val="auto"/>
          <w:sz w:val="24"/>
        </w:rPr>
      </w:pPr>
      <w:r>
        <w:rPr>
          <w:rFonts w:hint="eastAsia" w:ascii="宋体" w:hAnsi="宋体"/>
          <w:color w:val="auto"/>
          <w:sz w:val="24"/>
        </w:rPr>
        <w:t>2.6建立、妥善保管和正确使用本护理相关的管理档案，并负责及时记载有关变更情况；</w:t>
      </w:r>
    </w:p>
    <w:p w14:paraId="456513EF">
      <w:pPr>
        <w:spacing w:line="360" w:lineRule="auto"/>
        <w:ind w:firstLine="600" w:firstLineChars="250"/>
        <w:rPr>
          <w:rFonts w:ascii="宋体" w:hAnsi="宋体"/>
          <w:color w:val="auto"/>
          <w:sz w:val="24"/>
        </w:rPr>
      </w:pPr>
      <w:r>
        <w:rPr>
          <w:rFonts w:hint="eastAsia" w:ascii="宋体" w:hAnsi="宋体"/>
          <w:color w:val="auto"/>
          <w:sz w:val="24"/>
        </w:rPr>
        <w:t>2.7对本护理的公用设施不得擅自占用和改变使用功能；</w:t>
      </w:r>
    </w:p>
    <w:p w14:paraId="4E58BD28">
      <w:pPr>
        <w:spacing w:line="360" w:lineRule="auto"/>
        <w:ind w:firstLine="600" w:firstLineChars="250"/>
        <w:rPr>
          <w:rFonts w:ascii="宋体" w:hAnsi="宋体"/>
          <w:color w:val="auto"/>
          <w:sz w:val="24"/>
        </w:rPr>
      </w:pPr>
      <w:r>
        <w:rPr>
          <w:rFonts w:hint="eastAsia" w:ascii="宋体" w:hAnsi="宋体"/>
          <w:color w:val="auto"/>
          <w:sz w:val="24"/>
        </w:rPr>
        <w:t>2.8因乙方在管理中的过错或违反本合同的约定进行管理造成甲方或第三人损失的，乙方应依法承担赔偿责任；</w:t>
      </w:r>
    </w:p>
    <w:p w14:paraId="158DB2CE">
      <w:pPr>
        <w:spacing w:line="360" w:lineRule="auto"/>
        <w:ind w:firstLine="600" w:firstLineChars="250"/>
        <w:rPr>
          <w:rFonts w:ascii="宋体" w:hAnsi="宋体"/>
          <w:color w:val="auto"/>
          <w:sz w:val="24"/>
        </w:rPr>
      </w:pPr>
      <w:r>
        <w:rPr>
          <w:rFonts w:hint="eastAsia" w:ascii="宋体" w:hAnsi="宋体"/>
          <w:color w:val="auto"/>
          <w:sz w:val="24"/>
        </w:rPr>
        <w:t>2.9乙方自行承担办公桌、电脑、打印机、文件柜等自身使用的办公用品，自行承担所有人员服装费用，但服装样式需经过甲方认可。</w:t>
      </w:r>
    </w:p>
    <w:p w14:paraId="44BB20FC">
      <w:pPr>
        <w:spacing w:line="360" w:lineRule="auto"/>
        <w:ind w:firstLine="600" w:firstLineChars="250"/>
        <w:rPr>
          <w:rFonts w:ascii="宋体" w:hAnsi="宋体"/>
          <w:color w:val="auto"/>
          <w:sz w:val="24"/>
        </w:rPr>
      </w:pPr>
      <w:r>
        <w:rPr>
          <w:rFonts w:hint="eastAsia" w:ascii="宋体" w:hAnsi="宋体"/>
          <w:color w:val="auto"/>
          <w:sz w:val="24"/>
        </w:rPr>
        <w:t>2.10用于关于入托残疾人员护理服务服务的操作实施时所用水电费用以及大件维修费用等由业主承担；关于入托残疾人员护理服务服务中所需低值易耗品、清洁用品、用具、设备器材、关于入托残疾人员护理服务办公费（包括电话费）和服务中损坏物赔偿费等由服务方自行承担。</w:t>
      </w:r>
    </w:p>
    <w:p w14:paraId="2826D15B">
      <w:pPr>
        <w:spacing w:line="360" w:lineRule="auto"/>
        <w:ind w:firstLine="600" w:firstLineChars="250"/>
        <w:rPr>
          <w:rFonts w:ascii="宋体" w:hAnsi="宋体"/>
          <w:color w:val="auto"/>
          <w:sz w:val="24"/>
        </w:rPr>
      </w:pPr>
      <w:r>
        <w:rPr>
          <w:rFonts w:hint="eastAsia" w:ascii="宋体" w:hAnsi="宋体"/>
          <w:color w:val="auto"/>
          <w:sz w:val="24"/>
        </w:rPr>
        <w:t>2.11本合同终止时，乙方必须向甲方移交全部管理用房及关于入托残疾人员护理服务的全部档案资料，确保移交的资料和设备、设施完好无缺。</w:t>
      </w:r>
    </w:p>
    <w:p w14:paraId="4B14F7F9">
      <w:pPr>
        <w:spacing w:line="360" w:lineRule="auto"/>
        <w:ind w:firstLine="600" w:firstLineChars="250"/>
        <w:rPr>
          <w:rFonts w:ascii="宋体" w:hAnsi="宋体"/>
          <w:color w:val="auto"/>
          <w:sz w:val="24"/>
        </w:rPr>
      </w:pPr>
      <w:r>
        <w:rPr>
          <w:rFonts w:hint="eastAsia" w:ascii="宋体" w:hAnsi="宋体"/>
          <w:color w:val="auto"/>
          <w:sz w:val="24"/>
        </w:rPr>
        <w:t>2.12本合同终止时，乙方的主要技术骨干力量（护理科长，50%以上护理员），无条件移交给另中标方。</w:t>
      </w:r>
    </w:p>
    <w:p w14:paraId="3E6DB8C3">
      <w:pPr>
        <w:spacing w:line="360" w:lineRule="auto"/>
        <w:ind w:firstLine="600" w:firstLineChars="250"/>
        <w:rPr>
          <w:rFonts w:ascii="宋体" w:hAnsi="宋体"/>
          <w:color w:val="auto"/>
          <w:sz w:val="24"/>
        </w:rPr>
      </w:pPr>
      <w:r>
        <w:rPr>
          <w:rFonts w:hint="eastAsia" w:ascii="宋体" w:hAnsi="宋体"/>
          <w:color w:val="auto"/>
          <w:sz w:val="24"/>
        </w:rPr>
        <w:t>2.13 不得以任何理由自行实施对入托残疾人员的拒收、劝退等行为。</w:t>
      </w:r>
    </w:p>
    <w:p w14:paraId="5A0C0A4F">
      <w:pPr>
        <w:spacing w:line="360" w:lineRule="auto"/>
        <w:ind w:firstLine="600" w:firstLineChars="250"/>
        <w:rPr>
          <w:rFonts w:ascii="宋体" w:hAnsi="宋体"/>
          <w:color w:val="auto"/>
          <w:sz w:val="24"/>
        </w:rPr>
      </w:pPr>
      <w:r>
        <w:rPr>
          <w:rFonts w:hint="eastAsia" w:ascii="宋体" w:hAnsi="宋体"/>
          <w:color w:val="auto"/>
          <w:sz w:val="24"/>
        </w:rPr>
        <w:t>2.14 不得收取入托残疾人员及其家属或亲属的任何财务。</w:t>
      </w:r>
    </w:p>
    <w:p w14:paraId="44969513">
      <w:pPr>
        <w:spacing w:line="360" w:lineRule="auto"/>
        <w:ind w:firstLine="600" w:firstLineChars="250"/>
        <w:rPr>
          <w:rFonts w:ascii="宋体" w:hAnsi="宋体"/>
          <w:color w:val="auto"/>
          <w:sz w:val="24"/>
        </w:rPr>
      </w:pPr>
      <w:r>
        <w:rPr>
          <w:rFonts w:hint="eastAsia" w:ascii="宋体" w:hAnsi="宋体"/>
          <w:color w:val="auto"/>
          <w:sz w:val="24"/>
        </w:rPr>
        <w:t>2.15 应充分尊重甲方提出的意见、建议或整改要求，及时进行改正或整改，并向甲方反馈相关措施即结果。</w:t>
      </w:r>
    </w:p>
    <w:p w14:paraId="35B6B785">
      <w:pPr>
        <w:spacing w:line="360" w:lineRule="auto"/>
        <w:ind w:firstLine="602" w:firstLineChars="250"/>
        <w:rPr>
          <w:rFonts w:ascii="宋体" w:hAnsi="宋体"/>
          <w:b/>
          <w:bCs/>
          <w:color w:val="auto"/>
          <w:sz w:val="24"/>
        </w:rPr>
      </w:pPr>
      <w:r>
        <w:rPr>
          <w:rFonts w:hint="eastAsia" w:ascii="宋体" w:hAnsi="宋体"/>
          <w:b/>
          <w:bCs/>
          <w:color w:val="auto"/>
          <w:sz w:val="24"/>
        </w:rPr>
        <w:t>六、护理装备、耗材的使用</w:t>
      </w:r>
    </w:p>
    <w:p w14:paraId="1E77422D">
      <w:pPr>
        <w:spacing w:line="360" w:lineRule="auto"/>
        <w:ind w:firstLine="600" w:firstLineChars="250"/>
        <w:rPr>
          <w:rFonts w:ascii="宋体" w:hAnsi="宋体"/>
          <w:color w:val="auto"/>
          <w:sz w:val="24"/>
        </w:rPr>
      </w:pPr>
      <w:r>
        <w:rPr>
          <w:rFonts w:hint="eastAsia" w:ascii="宋体" w:hAnsi="宋体"/>
          <w:color w:val="auto"/>
          <w:sz w:val="24"/>
        </w:rPr>
        <w:t>用于入托残疾人员护理服务的操作实施时所需低值易耗品、清洁用品、用具、设备器材、关于入托残疾人员护理服务办公费（包括电话费等）和服务中损坏物赔偿费等由乙方自行承担；</w:t>
      </w:r>
    </w:p>
    <w:p w14:paraId="2939419F">
      <w:pPr>
        <w:spacing w:line="360" w:lineRule="auto"/>
        <w:ind w:firstLine="600" w:firstLineChars="250"/>
        <w:rPr>
          <w:rFonts w:ascii="宋体" w:hAnsi="宋体"/>
          <w:color w:val="auto"/>
          <w:sz w:val="24"/>
        </w:rPr>
      </w:pPr>
      <w:r>
        <w:rPr>
          <w:rFonts w:hint="eastAsia" w:ascii="宋体" w:hAnsi="宋体"/>
          <w:color w:val="auto"/>
          <w:sz w:val="24"/>
        </w:rPr>
        <w:t>托养中心运行过程中产生的水电费、大型公共设备维修费用由甲方承担，小型公共设备维修费用及护理服务中所需的以下物品等由乙方承担：</w:t>
      </w:r>
    </w:p>
    <w:p w14:paraId="545BF54F">
      <w:pPr>
        <w:spacing w:line="360" w:lineRule="auto"/>
        <w:ind w:firstLine="600" w:firstLineChars="250"/>
        <w:rPr>
          <w:rFonts w:ascii="宋体" w:hAnsi="宋体"/>
          <w:color w:val="auto"/>
          <w:sz w:val="24"/>
        </w:rPr>
      </w:pPr>
      <w:r>
        <w:rPr>
          <w:rFonts w:hint="eastAsia" w:ascii="宋体" w:hAnsi="宋体"/>
          <w:color w:val="auto"/>
          <w:sz w:val="24"/>
        </w:rPr>
        <w:t>a低值易耗品：尿不湿、卫生纸、餐巾纸、卫生巾、洗衣粉、洗洁精、洁厕灵、施康等；</w:t>
      </w:r>
    </w:p>
    <w:p w14:paraId="6F6BBFA9">
      <w:pPr>
        <w:spacing w:line="360" w:lineRule="auto"/>
        <w:ind w:firstLine="600" w:firstLineChars="250"/>
        <w:rPr>
          <w:rFonts w:ascii="宋体" w:hAnsi="宋体"/>
          <w:color w:val="auto"/>
          <w:sz w:val="24"/>
        </w:rPr>
      </w:pPr>
      <w:r>
        <w:rPr>
          <w:rFonts w:hint="eastAsia" w:ascii="宋体" w:hAnsi="宋体"/>
          <w:color w:val="auto"/>
          <w:sz w:val="24"/>
        </w:rPr>
        <w:t>b清洁用品：床刷、拖把、抹布、水桶等；</w:t>
      </w:r>
    </w:p>
    <w:p w14:paraId="3A53617C">
      <w:pPr>
        <w:spacing w:line="360" w:lineRule="auto"/>
        <w:ind w:firstLine="600" w:firstLineChars="250"/>
        <w:rPr>
          <w:rFonts w:ascii="宋体" w:hAnsi="宋体"/>
          <w:color w:val="auto"/>
          <w:sz w:val="24"/>
        </w:rPr>
      </w:pPr>
      <w:r>
        <w:rPr>
          <w:rFonts w:hint="eastAsia" w:ascii="宋体" w:hAnsi="宋体"/>
          <w:color w:val="auto"/>
          <w:sz w:val="24"/>
        </w:rPr>
        <w:t>c日常用品：剪刀、针线、剃须刀、指甲剪等；</w:t>
      </w:r>
    </w:p>
    <w:p w14:paraId="0753F4B3">
      <w:pPr>
        <w:spacing w:line="360" w:lineRule="auto"/>
        <w:ind w:firstLine="600" w:firstLineChars="250"/>
        <w:rPr>
          <w:rFonts w:ascii="宋体" w:hAnsi="宋体"/>
          <w:color w:val="auto"/>
          <w:sz w:val="24"/>
        </w:rPr>
      </w:pPr>
      <w:r>
        <w:rPr>
          <w:rFonts w:hint="eastAsia" w:ascii="宋体" w:hAnsi="宋体"/>
          <w:color w:val="auto"/>
          <w:sz w:val="24"/>
        </w:rPr>
        <w:t>d办公用品：笔、纸、各类记录单、U盘等；</w:t>
      </w:r>
    </w:p>
    <w:p w14:paraId="170587A7">
      <w:pPr>
        <w:spacing w:line="360" w:lineRule="auto"/>
        <w:ind w:firstLine="600" w:firstLineChars="250"/>
        <w:rPr>
          <w:rFonts w:ascii="宋体" w:hAnsi="宋体"/>
          <w:color w:val="auto"/>
          <w:sz w:val="24"/>
        </w:rPr>
      </w:pPr>
      <w:r>
        <w:rPr>
          <w:rFonts w:hint="eastAsia" w:ascii="宋体" w:hAnsi="宋体"/>
          <w:color w:val="auto"/>
          <w:sz w:val="24"/>
        </w:rPr>
        <w:t>e保护用具：约束带、防压疮辅具如三角垫、下肢垫、脚圈、防压疮敷贴等；</w:t>
      </w:r>
    </w:p>
    <w:p w14:paraId="29E8F10B">
      <w:pPr>
        <w:spacing w:line="360" w:lineRule="auto"/>
        <w:ind w:firstLine="600" w:firstLineChars="250"/>
        <w:rPr>
          <w:rFonts w:ascii="宋体" w:hAnsi="宋体"/>
          <w:color w:val="auto"/>
          <w:sz w:val="24"/>
        </w:rPr>
      </w:pPr>
      <w:r>
        <w:rPr>
          <w:rFonts w:hint="eastAsia" w:ascii="宋体" w:hAnsi="宋体"/>
          <w:color w:val="auto"/>
          <w:sz w:val="24"/>
        </w:rPr>
        <w:t>f护理服务中的一次性手套、棉签棒、口罩等；</w:t>
      </w:r>
    </w:p>
    <w:p w14:paraId="68615F11">
      <w:pPr>
        <w:spacing w:line="360" w:lineRule="auto"/>
        <w:ind w:firstLine="600" w:firstLineChars="250"/>
        <w:rPr>
          <w:rFonts w:ascii="宋体" w:hAnsi="宋体"/>
          <w:color w:val="auto"/>
          <w:sz w:val="24"/>
        </w:rPr>
      </w:pPr>
      <w:r>
        <w:rPr>
          <w:rFonts w:hint="eastAsia" w:ascii="宋体" w:hAnsi="宋体"/>
          <w:color w:val="auto"/>
          <w:sz w:val="24"/>
        </w:rPr>
        <w:t>g设备器材；</w:t>
      </w:r>
    </w:p>
    <w:p w14:paraId="740D5934">
      <w:pPr>
        <w:spacing w:line="360" w:lineRule="auto"/>
        <w:ind w:firstLine="600" w:firstLineChars="250"/>
        <w:rPr>
          <w:rFonts w:ascii="宋体" w:hAnsi="宋体"/>
          <w:color w:val="auto"/>
          <w:sz w:val="24"/>
        </w:rPr>
      </w:pPr>
      <w:r>
        <w:rPr>
          <w:rFonts w:hint="eastAsia" w:ascii="宋体" w:hAnsi="宋体"/>
          <w:color w:val="auto"/>
          <w:sz w:val="24"/>
        </w:rPr>
        <w:t>h关于入托残疾人员护理服务办公费（包括电话费）和服务中损坏物赔偿费等。</w:t>
      </w:r>
    </w:p>
    <w:p w14:paraId="5FFE6C73">
      <w:pPr>
        <w:spacing w:line="360" w:lineRule="auto"/>
        <w:ind w:firstLine="602" w:firstLineChars="250"/>
        <w:rPr>
          <w:rFonts w:ascii="宋体" w:hAnsi="宋体"/>
          <w:b/>
          <w:bCs/>
          <w:color w:val="auto"/>
          <w:sz w:val="24"/>
        </w:rPr>
      </w:pPr>
      <w:r>
        <w:rPr>
          <w:rFonts w:hint="eastAsia" w:ascii="宋体" w:hAnsi="宋体"/>
          <w:b/>
          <w:bCs/>
          <w:color w:val="auto"/>
          <w:sz w:val="24"/>
        </w:rPr>
        <w:t>七、关于入托残疾人员护理服务收费（管理服务收费）</w:t>
      </w:r>
    </w:p>
    <w:p w14:paraId="4D2C6F1B">
      <w:pPr>
        <w:spacing w:line="360" w:lineRule="auto"/>
        <w:ind w:firstLine="600" w:firstLineChars="250"/>
        <w:rPr>
          <w:rFonts w:ascii="宋体" w:hAnsi="宋体"/>
          <w:color w:val="auto"/>
          <w:sz w:val="24"/>
        </w:rPr>
      </w:pPr>
      <w:r>
        <w:rPr>
          <w:rFonts w:hint="eastAsia" w:ascii="宋体" w:hAnsi="宋体"/>
          <w:color w:val="auto"/>
          <w:sz w:val="24"/>
        </w:rPr>
        <w:t>a本合同期内关于入托残疾人员护理服务服务费 1500元/人•月，采用综合单价包干制，除本合同明确约定可以另行收取的费用外，所有关于入托残疾人员护理服务及服务费用均包括在内，乙方不得另行向甲方或使用人收取其他任何费用。</w:t>
      </w:r>
    </w:p>
    <w:p w14:paraId="35DAD307">
      <w:pPr>
        <w:spacing w:line="360" w:lineRule="auto"/>
        <w:ind w:firstLine="600" w:firstLineChars="250"/>
        <w:rPr>
          <w:rFonts w:ascii="宋体" w:hAnsi="宋体"/>
          <w:color w:val="auto"/>
          <w:sz w:val="24"/>
        </w:rPr>
      </w:pPr>
      <w:r>
        <w:rPr>
          <w:rFonts w:hint="eastAsia" w:ascii="宋体" w:hAnsi="宋体"/>
          <w:color w:val="auto"/>
          <w:sz w:val="24"/>
        </w:rPr>
        <w:t>b管理费用：管理人员按实际在岗人员计算，增加费用安排。</w:t>
      </w:r>
    </w:p>
    <w:p w14:paraId="0F2B592B">
      <w:pPr>
        <w:spacing w:line="360" w:lineRule="auto"/>
        <w:ind w:firstLine="602" w:firstLineChars="250"/>
        <w:rPr>
          <w:rFonts w:ascii="宋体" w:hAnsi="宋体"/>
          <w:b/>
          <w:bCs/>
          <w:color w:val="auto"/>
          <w:sz w:val="24"/>
        </w:rPr>
      </w:pPr>
      <w:r>
        <w:rPr>
          <w:rFonts w:hint="eastAsia" w:ascii="宋体" w:hAnsi="宋体"/>
          <w:b/>
          <w:bCs/>
          <w:color w:val="auto"/>
          <w:sz w:val="24"/>
        </w:rPr>
        <w:t>八、费用结算方式</w:t>
      </w:r>
    </w:p>
    <w:p w14:paraId="560BEFC9">
      <w:pPr>
        <w:spacing w:line="360" w:lineRule="auto"/>
        <w:ind w:firstLine="600" w:firstLineChars="250"/>
        <w:rPr>
          <w:rFonts w:ascii="宋体" w:hAnsi="宋体"/>
          <w:color w:val="auto"/>
          <w:sz w:val="24"/>
        </w:rPr>
      </w:pPr>
      <w:r>
        <w:rPr>
          <w:rFonts w:hint="eastAsia" w:ascii="宋体" w:hAnsi="宋体"/>
          <w:color w:val="auto"/>
          <w:sz w:val="24"/>
        </w:rPr>
        <w:t>根据当月月末服务对象人数，每月按实际支付费用（其中，护理服务费本次招标最高限价单价为1500元/月，具体按中标人实际报价）。结算方式如下：</w:t>
      </w:r>
    </w:p>
    <w:p w14:paraId="675A8F3B">
      <w:pPr>
        <w:spacing w:line="360" w:lineRule="auto"/>
        <w:ind w:firstLine="480" w:firstLineChars="200"/>
        <w:rPr>
          <w:rFonts w:ascii="宋体" w:hAnsi="宋体"/>
          <w:color w:val="auto"/>
          <w:sz w:val="24"/>
        </w:rPr>
      </w:pPr>
      <w:r>
        <w:rPr>
          <w:rFonts w:hint="eastAsia" w:ascii="宋体" w:hAnsi="宋体"/>
          <w:color w:val="auto"/>
          <w:sz w:val="24"/>
        </w:rPr>
        <w:t>1.护理月服务费：根据当月月末服务对象人数、护理服务单价按实结算，即：</w:t>
      </w:r>
    </w:p>
    <w:p w14:paraId="00F7DDDD">
      <w:pPr>
        <w:spacing w:line="360" w:lineRule="auto"/>
        <w:ind w:firstLine="1080" w:firstLineChars="450"/>
        <w:rPr>
          <w:rFonts w:ascii="宋体" w:hAnsi="宋体"/>
          <w:color w:val="auto"/>
          <w:sz w:val="24"/>
        </w:rPr>
      </w:pPr>
      <w:r>
        <w:rPr>
          <w:rFonts w:hint="eastAsia" w:ascii="宋体" w:hAnsi="宋体"/>
          <w:color w:val="auto"/>
          <w:sz w:val="24"/>
        </w:rPr>
        <w:t>护理月服务费</w:t>
      </w:r>
      <w:r>
        <w:rPr>
          <w:rFonts w:ascii="宋体" w:hAnsi="宋体"/>
          <w:color w:val="auto"/>
          <w:sz w:val="24"/>
        </w:rPr>
        <w:t xml:space="preserve"> = </w:t>
      </w:r>
      <w:r>
        <w:rPr>
          <w:rFonts w:hint="eastAsia" w:ascii="宋体" w:hAnsi="宋体"/>
          <w:color w:val="auto"/>
          <w:sz w:val="24"/>
        </w:rPr>
        <w:t>月末服务对象人数</w:t>
      </w:r>
      <w:r>
        <w:rPr>
          <w:rFonts w:ascii="宋体" w:hAnsi="宋体"/>
          <w:color w:val="auto"/>
          <w:sz w:val="24"/>
        </w:rPr>
        <w:t xml:space="preserve"> × </w:t>
      </w:r>
      <w:r>
        <w:rPr>
          <w:rFonts w:hint="eastAsia" w:ascii="宋体" w:hAnsi="宋体"/>
          <w:color w:val="auto"/>
          <w:sz w:val="24"/>
        </w:rPr>
        <w:t>护理服务单价</w:t>
      </w:r>
    </w:p>
    <w:p w14:paraId="0CB74218">
      <w:pPr>
        <w:spacing w:line="360" w:lineRule="auto"/>
        <w:ind w:firstLine="480" w:firstLineChars="200"/>
        <w:rPr>
          <w:rFonts w:ascii="宋体" w:hAnsi="宋体"/>
          <w:color w:val="auto"/>
          <w:sz w:val="24"/>
        </w:rPr>
      </w:pPr>
      <w:r>
        <w:rPr>
          <w:rFonts w:hint="eastAsia" w:ascii="宋体" w:hAnsi="宋体"/>
          <w:color w:val="auto"/>
          <w:sz w:val="24"/>
        </w:rPr>
        <w:t>2.综合后勤月服务费本次招标最高单价：管理6000元/月，保洁3700元/月，具体按乙方实际报价，按各岗位实际人数结算。财务人员（2名）由甲方指定安排，由乙方与其签订劳动合同，工资由乙方发放，工资不低于管理人员平均工资，并由乙方为其缴纳五险一金，厨房人员工资不得低于以下标准：厨师8000元/月，副厨7000元/月，帮厨2人每人4200元/月。各岗位人数不得超过采购方测算人数安排。</w:t>
      </w:r>
    </w:p>
    <w:p w14:paraId="58BE0359">
      <w:pPr>
        <w:spacing w:line="360" w:lineRule="auto"/>
        <w:ind w:firstLine="600" w:firstLineChars="250"/>
        <w:rPr>
          <w:rFonts w:ascii="宋体" w:hAnsi="宋体"/>
          <w:color w:val="auto"/>
          <w:sz w:val="24"/>
        </w:rPr>
      </w:pPr>
      <w:r>
        <w:rPr>
          <w:rFonts w:hint="eastAsia" w:ascii="宋体" w:hAnsi="宋体"/>
          <w:color w:val="auto"/>
          <w:sz w:val="24"/>
        </w:rPr>
        <w:t>3.全年总服务费不得超出当年合同总金额。</w:t>
      </w:r>
    </w:p>
    <w:p w14:paraId="55558C4F">
      <w:pPr>
        <w:spacing w:line="360" w:lineRule="auto"/>
        <w:ind w:firstLine="602" w:firstLineChars="250"/>
        <w:rPr>
          <w:rFonts w:ascii="宋体" w:hAnsi="宋体"/>
          <w:b/>
          <w:bCs/>
          <w:color w:val="auto"/>
          <w:sz w:val="24"/>
        </w:rPr>
      </w:pPr>
      <w:r>
        <w:rPr>
          <w:rFonts w:hint="eastAsia" w:ascii="宋体" w:hAnsi="宋体"/>
          <w:b/>
          <w:bCs/>
          <w:color w:val="auto"/>
          <w:sz w:val="24"/>
        </w:rPr>
        <w:t>九、履约保证金</w:t>
      </w:r>
    </w:p>
    <w:p w14:paraId="7F6EBDC0">
      <w:pPr>
        <w:spacing w:line="360" w:lineRule="auto"/>
        <w:ind w:firstLine="480" w:firstLineChars="200"/>
        <w:rPr>
          <w:rFonts w:ascii="宋体" w:hAnsi="宋体"/>
          <w:color w:val="auto"/>
          <w:sz w:val="24"/>
        </w:rPr>
      </w:pPr>
      <w:r>
        <w:rPr>
          <w:rFonts w:hint="eastAsia" w:ascii="宋体" w:hAnsi="宋体"/>
          <w:color w:val="auto"/>
          <w:sz w:val="24"/>
        </w:rPr>
        <w:t>1.在合同签订前乙方应缴纳履约保证金10万元，在合同期间结束后按约定无息退还履约保证金。若在合同期间因乙方违约导致履约保证金部分扣除的，乙方需在5个工作日内将扣除的履约保证金补齐。若乙方在合同执行过程中单方面终止合同或因每年度服务评估分累计两次在80分以下导致甲方解除本合同的，履约保证金不退还。</w:t>
      </w:r>
    </w:p>
    <w:p w14:paraId="487DCD24">
      <w:pPr>
        <w:spacing w:line="360" w:lineRule="auto"/>
        <w:ind w:firstLine="600" w:firstLineChars="250"/>
        <w:rPr>
          <w:rFonts w:ascii="宋体" w:hAnsi="宋体"/>
          <w:color w:val="auto"/>
          <w:sz w:val="24"/>
        </w:rPr>
      </w:pPr>
      <w:r>
        <w:rPr>
          <w:rFonts w:hint="eastAsia" w:ascii="宋体" w:hAnsi="宋体"/>
          <w:color w:val="auto"/>
          <w:sz w:val="24"/>
        </w:rPr>
        <w:t>2. 甲方有权从履约保证金中扣除用于修复乙方损坏甲方的设备、设施、场地或因乙方违约而导致损失的金额和违约金，且乙方应在接到扣除履约保证金通知后5个工作日内补足扣除差额，保证承包期间履约保证金的完整。</w:t>
      </w:r>
    </w:p>
    <w:p w14:paraId="36AF2AA7">
      <w:pPr>
        <w:spacing w:line="360" w:lineRule="auto"/>
        <w:ind w:firstLine="600" w:firstLineChars="250"/>
        <w:rPr>
          <w:rFonts w:ascii="宋体" w:hAnsi="宋体"/>
          <w:color w:val="auto"/>
          <w:sz w:val="24"/>
        </w:rPr>
      </w:pPr>
      <w:r>
        <w:rPr>
          <w:rFonts w:hint="eastAsia" w:ascii="宋体" w:hAnsi="宋体"/>
          <w:color w:val="auto"/>
          <w:sz w:val="24"/>
        </w:rPr>
        <w:t>3. 甲方认为乙方在合同期内没有涉及甲方的应付而未付金额或违约行为，甲方在合同期满后或提前终止承包后一个月内全额无息退还履约保证金，否则，甲方将在扣除乙方应付金额或违约金后无息退还保证金余额。</w:t>
      </w:r>
    </w:p>
    <w:p w14:paraId="0FCB3B82">
      <w:pPr>
        <w:spacing w:line="360" w:lineRule="auto"/>
        <w:ind w:firstLine="602" w:firstLineChars="250"/>
        <w:rPr>
          <w:rFonts w:ascii="宋体" w:hAnsi="宋体"/>
          <w:b/>
          <w:bCs/>
          <w:color w:val="auto"/>
          <w:sz w:val="24"/>
        </w:rPr>
      </w:pPr>
      <w:r>
        <w:rPr>
          <w:rFonts w:hint="eastAsia" w:ascii="宋体" w:hAnsi="宋体"/>
          <w:b/>
          <w:bCs/>
          <w:color w:val="auto"/>
          <w:sz w:val="24"/>
        </w:rPr>
        <w:t>十、 关于入托残疾人员护理服务质量要求</w:t>
      </w:r>
    </w:p>
    <w:p w14:paraId="44A6A7F0">
      <w:pPr>
        <w:spacing w:line="360" w:lineRule="auto"/>
        <w:ind w:firstLine="600" w:firstLineChars="250"/>
        <w:rPr>
          <w:rFonts w:ascii="宋体" w:hAnsi="宋体"/>
          <w:color w:val="auto"/>
          <w:sz w:val="24"/>
        </w:rPr>
      </w:pPr>
      <w:r>
        <w:rPr>
          <w:rFonts w:hint="eastAsia" w:ascii="宋体" w:hAnsi="宋体"/>
          <w:color w:val="auto"/>
          <w:sz w:val="24"/>
        </w:rPr>
        <w:t>1.服务方应制订具体的质量保证措施及质量保证和相关服务承诺。供应商所有的工作除应按供应商的内部流程实施外，还应接受采购单位或第三方的随时检查。如因质量未达到目标，采购单位有权要求其整改，同时服务方应承担责任和经济赔偿（扣款或终止合同）。</w:t>
      </w:r>
    </w:p>
    <w:p w14:paraId="4AE3E89B">
      <w:pPr>
        <w:spacing w:line="360" w:lineRule="auto"/>
        <w:ind w:firstLine="480" w:firstLineChars="200"/>
        <w:rPr>
          <w:rFonts w:ascii="宋体" w:hAnsi="宋体"/>
          <w:color w:val="auto"/>
          <w:sz w:val="24"/>
        </w:rPr>
      </w:pPr>
      <w:r>
        <w:rPr>
          <w:rFonts w:hint="eastAsia" w:ascii="宋体" w:hAnsi="宋体"/>
          <w:color w:val="auto"/>
          <w:sz w:val="24"/>
        </w:rPr>
        <w:t xml:space="preserve"> 2.采购单位定期和不定期地对供应商管理服务进行检查和抽查，检查记录和整改时限反馈服务方。并对护理服务的满意度等内容的检查结果进行考核。</w:t>
      </w:r>
    </w:p>
    <w:p w14:paraId="449BD9F5">
      <w:pPr>
        <w:spacing w:line="360" w:lineRule="auto"/>
        <w:ind w:firstLine="600" w:firstLineChars="250"/>
        <w:rPr>
          <w:rFonts w:ascii="宋体" w:hAnsi="宋体"/>
          <w:color w:val="auto"/>
          <w:sz w:val="24"/>
        </w:rPr>
      </w:pPr>
      <w:r>
        <w:rPr>
          <w:rFonts w:hint="eastAsia" w:ascii="宋体" w:hAnsi="宋体"/>
          <w:color w:val="auto"/>
          <w:sz w:val="24"/>
        </w:rPr>
        <w:t>2.1扣款支付</w:t>
      </w:r>
    </w:p>
    <w:p w14:paraId="0C734FC4">
      <w:pPr>
        <w:overflowPunct w:val="0"/>
        <w:spacing w:line="360" w:lineRule="auto"/>
        <w:ind w:firstLine="480" w:firstLineChars="200"/>
        <w:rPr>
          <w:rFonts w:ascii="宋体" w:hAnsi="宋体"/>
          <w:color w:val="auto"/>
          <w:sz w:val="24"/>
        </w:rPr>
      </w:pPr>
      <w:r>
        <w:rPr>
          <w:rFonts w:hint="eastAsia" w:ascii="宋体" w:hAnsi="宋体"/>
          <w:color w:val="auto"/>
          <w:sz w:val="24"/>
        </w:rPr>
        <w:t>乙方应严格按照招标人指定的护理标准执行，实行每月两次的考核制度。每月分别填写打分表，汇总平均后得到最后考核得分。对于甲方提出的问题未限时整改的加倍扣分。考核采用百分制，低于80分予以书面警告一次，每次每低1分扣1000元，从服务费中扣除。每年度累计出现两次警告甲方可以单方面解除本合同，并没收全部履约保证金；85分奖励1万元/年，并在85分的基础上，每多1分多奖励1万元，最高10万元。年底综合考评按12个月平均得分计算。考核评分表：参见附件十六。</w:t>
      </w:r>
    </w:p>
    <w:p w14:paraId="649F4580">
      <w:pPr>
        <w:spacing w:line="360" w:lineRule="auto"/>
        <w:ind w:firstLine="600" w:firstLineChars="250"/>
        <w:rPr>
          <w:rFonts w:ascii="宋体" w:hAnsi="宋体"/>
          <w:color w:val="auto"/>
          <w:sz w:val="24"/>
        </w:rPr>
      </w:pPr>
      <w:r>
        <w:rPr>
          <w:rFonts w:hint="eastAsia" w:ascii="宋体" w:hAnsi="宋体"/>
          <w:color w:val="auto"/>
          <w:sz w:val="24"/>
        </w:rPr>
        <w:t>如有因乙方服务不到位，或发生差错事故和意外事件，遭残疾人或家属投诉引起纠纷索赔者，由乙方自行负责，相关费用乙方自行承担，甲方在残疾人及家属索赔时不承担任何责任。</w:t>
      </w:r>
    </w:p>
    <w:p w14:paraId="35097147">
      <w:pPr>
        <w:spacing w:line="360" w:lineRule="auto"/>
        <w:ind w:firstLine="602" w:firstLineChars="250"/>
        <w:rPr>
          <w:rFonts w:ascii="宋体" w:hAnsi="宋体"/>
          <w:b/>
          <w:bCs/>
          <w:color w:val="auto"/>
          <w:sz w:val="24"/>
        </w:rPr>
      </w:pPr>
      <w:r>
        <w:rPr>
          <w:rFonts w:hint="eastAsia" w:ascii="宋体" w:hAnsi="宋体"/>
          <w:b/>
          <w:bCs/>
          <w:color w:val="auto"/>
          <w:sz w:val="24"/>
        </w:rPr>
        <w:t>十一、合同期内经营制约</w:t>
      </w:r>
    </w:p>
    <w:p w14:paraId="4F95C122">
      <w:pPr>
        <w:spacing w:line="360" w:lineRule="auto"/>
        <w:ind w:firstLine="600" w:firstLineChars="250"/>
        <w:rPr>
          <w:rFonts w:ascii="宋体" w:hAnsi="宋体"/>
          <w:color w:val="auto"/>
          <w:sz w:val="24"/>
        </w:rPr>
      </w:pPr>
      <w:r>
        <w:rPr>
          <w:rFonts w:hint="eastAsia" w:ascii="宋体" w:hAnsi="宋体"/>
          <w:color w:val="auto"/>
          <w:sz w:val="24"/>
        </w:rPr>
        <w:t>1. 未经甲方同意，乙方无权在承包区域中从事任何广告活动或类似宣传活动；</w:t>
      </w:r>
    </w:p>
    <w:p w14:paraId="2796A533">
      <w:pPr>
        <w:spacing w:line="360" w:lineRule="auto"/>
        <w:ind w:firstLine="600" w:firstLineChars="250"/>
        <w:rPr>
          <w:rFonts w:ascii="宋体" w:hAnsi="宋体"/>
          <w:color w:val="auto"/>
          <w:sz w:val="24"/>
        </w:rPr>
      </w:pPr>
      <w:r>
        <w:rPr>
          <w:rFonts w:hint="eastAsia" w:ascii="宋体" w:hAnsi="宋体"/>
          <w:color w:val="auto"/>
          <w:sz w:val="24"/>
        </w:rPr>
        <w:t>2. 乙方不得以甲方的名义从事任何经济活动，且由此发生的一切债权、债务与甲方无关。</w:t>
      </w:r>
    </w:p>
    <w:p w14:paraId="42B26C0D">
      <w:pPr>
        <w:spacing w:line="360" w:lineRule="auto"/>
        <w:ind w:firstLine="602" w:firstLineChars="250"/>
        <w:rPr>
          <w:rFonts w:ascii="宋体" w:hAnsi="宋体"/>
          <w:b/>
          <w:bCs/>
          <w:color w:val="auto"/>
          <w:sz w:val="24"/>
        </w:rPr>
      </w:pPr>
      <w:r>
        <w:rPr>
          <w:rFonts w:hint="eastAsia" w:ascii="宋体" w:hAnsi="宋体"/>
          <w:b/>
          <w:bCs/>
          <w:color w:val="auto"/>
          <w:sz w:val="24"/>
        </w:rPr>
        <w:t>十二、 乙方对甲方作出如下承诺</w:t>
      </w:r>
    </w:p>
    <w:p w14:paraId="0F3B2F17">
      <w:pPr>
        <w:spacing w:line="360" w:lineRule="auto"/>
        <w:ind w:firstLine="600" w:firstLineChars="250"/>
        <w:rPr>
          <w:rFonts w:ascii="宋体" w:hAnsi="宋体"/>
          <w:color w:val="auto"/>
          <w:sz w:val="24"/>
        </w:rPr>
      </w:pPr>
      <w:r>
        <w:rPr>
          <w:rFonts w:hint="eastAsia" w:ascii="宋体" w:hAnsi="宋体"/>
          <w:color w:val="auto"/>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49C237CB">
      <w:pPr>
        <w:spacing w:line="360" w:lineRule="auto"/>
        <w:ind w:firstLine="600" w:firstLineChars="250"/>
        <w:rPr>
          <w:rFonts w:ascii="宋体" w:hAnsi="宋体"/>
          <w:color w:val="auto"/>
          <w:sz w:val="24"/>
        </w:rPr>
      </w:pPr>
      <w:r>
        <w:rPr>
          <w:rFonts w:hint="eastAsia" w:ascii="宋体" w:hAnsi="宋体"/>
          <w:color w:val="auto"/>
          <w:sz w:val="24"/>
        </w:rPr>
        <w:t>2. 乙方应允许甲方或其授权的人员对承包区域内各项服务质量控制进行检查，有关费用由乙方承担。</w:t>
      </w:r>
    </w:p>
    <w:p w14:paraId="68D1055F">
      <w:pPr>
        <w:spacing w:line="360" w:lineRule="auto"/>
        <w:ind w:firstLine="600" w:firstLineChars="250"/>
        <w:rPr>
          <w:rFonts w:ascii="宋体" w:hAnsi="宋体"/>
          <w:color w:val="auto"/>
          <w:sz w:val="24"/>
        </w:rPr>
      </w:pPr>
      <w:r>
        <w:rPr>
          <w:rFonts w:hint="eastAsia" w:ascii="宋体" w:hAnsi="宋体"/>
          <w:color w:val="auto"/>
          <w:sz w:val="24"/>
        </w:rPr>
        <w:t>3. 在承包区域的各项服务，其工作时间必须满足甲方的工作要求，包括星期天及公众假期。工作时间为全天二十四小时工作。</w:t>
      </w:r>
    </w:p>
    <w:p w14:paraId="62F9FD00">
      <w:pPr>
        <w:spacing w:line="360" w:lineRule="auto"/>
        <w:ind w:firstLine="600" w:firstLineChars="250"/>
        <w:rPr>
          <w:rFonts w:ascii="宋体" w:hAnsi="宋体"/>
          <w:color w:val="auto"/>
          <w:sz w:val="24"/>
        </w:rPr>
      </w:pPr>
      <w:r>
        <w:rPr>
          <w:rFonts w:hint="eastAsia" w:ascii="宋体" w:hAnsi="宋体"/>
          <w:color w:val="auto"/>
          <w:sz w:val="24"/>
        </w:rPr>
        <w:t>4. 乙方必须聘请(或指定)一位经理(负责人)，全权代表乙方与甲方保持密切联系并保证承包区域服务工作。根据综合考评或工作情况，甲方有权要求乙方在一个星期内更换经理（负责人）、相关骨干人员。</w:t>
      </w:r>
    </w:p>
    <w:p w14:paraId="11644472">
      <w:pPr>
        <w:spacing w:line="360" w:lineRule="auto"/>
        <w:ind w:firstLine="600" w:firstLineChars="250"/>
        <w:rPr>
          <w:rFonts w:ascii="宋体" w:hAnsi="宋体"/>
          <w:color w:val="auto"/>
          <w:sz w:val="24"/>
        </w:rPr>
      </w:pPr>
      <w:r>
        <w:rPr>
          <w:rFonts w:hint="eastAsia" w:ascii="宋体" w:hAnsi="宋体"/>
          <w:color w:val="auto"/>
          <w:sz w:val="24"/>
        </w:rPr>
        <w:t>5. 为承包区域的服务工作配备承诺的人员及人员数量，甲方不定期抽查乙方投入的人员数量，如果抽查时发现乙方投入的人员数量少于合同约定的数量，甲方可以按缺少人数每人1000元/次累计扣除当季度合同款。乙方聘用的工作人员必须符合劳动部门有关用工规定，并经乙方相关专业考核合格后持证上岗，甲方有权进行审核，该类费用开支由乙方负担。</w:t>
      </w:r>
    </w:p>
    <w:p w14:paraId="0EF21925">
      <w:pPr>
        <w:spacing w:line="360" w:lineRule="auto"/>
        <w:ind w:firstLine="600" w:firstLineChars="250"/>
        <w:rPr>
          <w:rFonts w:ascii="宋体" w:hAnsi="宋体"/>
          <w:color w:val="auto"/>
          <w:sz w:val="24"/>
        </w:rPr>
      </w:pPr>
      <w:r>
        <w:rPr>
          <w:rFonts w:hint="eastAsia" w:ascii="宋体" w:hAnsi="宋体"/>
          <w:color w:val="auto"/>
          <w:sz w:val="24"/>
        </w:rPr>
        <w:t>6. 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1FFE0F02">
      <w:pPr>
        <w:spacing w:line="360" w:lineRule="auto"/>
        <w:ind w:firstLine="600" w:firstLineChars="250"/>
        <w:rPr>
          <w:rFonts w:ascii="宋体" w:hAnsi="宋体"/>
          <w:color w:val="auto"/>
          <w:sz w:val="24"/>
        </w:rPr>
      </w:pPr>
      <w:r>
        <w:rPr>
          <w:rFonts w:hint="eastAsia" w:ascii="宋体" w:hAnsi="宋体"/>
          <w:color w:val="auto"/>
          <w:sz w:val="24"/>
        </w:rPr>
        <w:t>7. 乙方工作人员上岗穿着由甲方确认的制服及甲方许可的装饰物品，费用和制作均由乙方负担。</w:t>
      </w:r>
    </w:p>
    <w:p w14:paraId="3D60D837">
      <w:pPr>
        <w:spacing w:line="360" w:lineRule="auto"/>
        <w:ind w:firstLine="600" w:firstLineChars="250"/>
        <w:rPr>
          <w:rFonts w:ascii="宋体" w:hAnsi="宋体"/>
          <w:color w:val="auto"/>
          <w:sz w:val="24"/>
        </w:rPr>
      </w:pPr>
      <w:r>
        <w:rPr>
          <w:rFonts w:hint="eastAsia" w:ascii="宋体" w:hAnsi="宋体"/>
          <w:color w:val="auto"/>
          <w:sz w:val="24"/>
        </w:rPr>
        <w:t>8. 乙方必须出具或办妥法律及甲方规定的与承包区域经营业务有关的执照和许可证，方可从事经营并在经营中遵守一切有关条例和规定。自行缴纳有关税、费。</w:t>
      </w:r>
    </w:p>
    <w:p w14:paraId="419E1B97">
      <w:pPr>
        <w:spacing w:line="360" w:lineRule="auto"/>
        <w:ind w:firstLine="600" w:firstLineChars="250"/>
        <w:rPr>
          <w:rFonts w:ascii="宋体" w:hAnsi="宋体"/>
          <w:color w:val="auto"/>
          <w:sz w:val="24"/>
        </w:rPr>
      </w:pPr>
      <w:r>
        <w:rPr>
          <w:rFonts w:hint="eastAsia" w:ascii="宋体" w:hAnsi="宋体"/>
          <w:color w:val="auto"/>
          <w:sz w:val="24"/>
        </w:rPr>
        <w:t>9. 乙方必须确保为甲方提供优质、高效的专业服务，并根据甲方要求改变不满意的服务状况。接受有关部门监督与检查。同时，乙方自觉参加甲方认为有助提高甲方形象的宣传活动。</w:t>
      </w:r>
    </w:p>
    <w:p w14:paraId="7102F7DD">
      <w:pPr>
        <w:spacing w:line="360" w:lineRule="auto"/>
        <w:ind w:firstLine="600" w:firstLineChars="250"/>
        <w:rPr>
          <w:rFonts w:ascii="宋体" w:hAnsi="宋体"/>
          <w:color w:val="auto"/>
          <w:sz w:val="24"/>
        </w:rPr>
      </w:pPr>
      <w:r>
        <w:rPr>
          <w:rFonts w:hint="eastAsia" w:ascii="宋体" w:hAnsi="宋体"/>
          <w:color w:val="auto"/>
          <w:sz w:val="24"/>
        </w:rPr>
        <w:t>10. 在合同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14:paraId="1B0B57DD">
      <w:pPr>
        <w:spacing w:line="360" w:lineRule="auto"/>
        <w:ind w:firstLine="600" w:firstLineChars="250"/>
        <w:rPr>
          <w:rFonts w:ascii="宋体" w:hAnsi="宋体"/>
          <w:color w:val="auto"/>
          <w:sz w:val="24"/>
        </w:rPr>
      </w:pPr>
      <w:r>
        <w:rPr>
          <w:rFonts w:hint="eastAsia" w:ascii="宋体" w:hAnsi="宋体"/>
          <w:color w:val="auto"/>
          <w:sz w:val="24"/>
        </w:rPr>
        <w:t>11. 乙方在承包区域因作业所需增加机械、电力设备及设施应征得甲方同意，并聘请有资格的承造商进行安装、保养并将施工安装保养记录手册和图，交由甲方备案。</w:t>
      </w:r>
    </w:p>
    <w:p w14:paraId="6DCA92DE">
      <w:pPr>
        <w:spacing w:line="360" w:lineRule="auto"/>
        <w:ind w:firstLine="600" w:firstLineChars="250"/>
        <w:rPr>
          <w:rFonts w:ascii="宋体" w:hAnsi="宋体"/>
          <w:color w:val="auto"/>
          <w:sz w:val="24"/>
        </w:rPr>
      </w:pPr>
      <w:r>
        <w:rPr>
          <w:rFonts w:hint="eastAsia" w:ascii="宋体" w:hAnsi="宋体"/>
          <w:color w:val="auto"/>
          <w:sz w:val="24"/>
        </w:rPr>
        <w:t>12. 禁止事项</w:t>
      </w:r>
    </w:p>
    <w:p w14:paraId="0654DDF1">
      <w:pPr>
        <w:spacing w:line="360" w:lineRule="auto"/>
        <w:ind w:firstLine="600" w:firstLineChars="250"/>
        <w:rPr>
          <w:rFonts w:ascii="宋体" w:hAnsi="宋体"/>
          <w:color w:val="auto"/>
          <w:sz w:val="24"/>
        </w:rPr>
      </w:pPr>
      <w:r>
        <w:rPr>
          <w:rFonts w:hint="eastAsia" w:ascii="宋体" w:hAnsi="宋体"/>
          <w:color w:val="auto"/>
          <w:sz w:val="24"/>
        </w:rPr>
        <w:t>12.1乙方不得以任何理由向甲方工作人员支付小费或赠送实物，违者将终止合同。乙方人员也不得以任何形式向行政大楼内相关人员索取小费或钱物等。</w:t>
      </w:r>
    </w:p>
    <w:p w14:paraId="78B7995E">
      <w:pPr>
        <w:spacing w:line="360" w:lineRule="auto"/>
        <w:ind w:firstLine="600" w:firstLineChars="250"/>
        <w:rPr>
          <w:rFonts w:ascii="宋体" w:hAnsi="宋体"/>
          <w:color w:val="auto"/>
          <w:sz w:val="24"/>
        </w:rPr>
      </w:pPr>
      <w:r>
        <w:rPr>
          <w:rFonts w:hint="eastAsia" w:ascii="宋体" w:hAnsi="宋体"/>
          <w:color w:val="auto"/>
          <w:sz w:val="24"/>
        </w:rPr>
        <w:t>12.2不得在承包区域住宿或从事非法活动，也不得从事有损甲方利益的活动，同时不允许在承包区域对甲方经营活动进行滋扰性的行为。</w:t>
      </w:r>
    </w:p>
    <w:p w14:paraId="4F8E0E08">
      <w:pPr>
        <w:spacing w:line="360" w:lineRule="auto"/>
        <w:ind w:firstLine="600" w:firstLineChars="250"/>
        <w:rPr>
          <w:rFonts w:ascii="宋体" w:hAnsi="宋体"/>
          <w:color w:val="auto"/>
          <w:sz w:val="24"/>
        </w:rPr>
      </w:pPr>
      <w:r>
        <w:rPr>
          <w:rFonts w:hint="eastAsia" w:ascii="宋体" w:hAnsi="宋体"/>
          <w:color w:val="auto"/>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14:paraId="7AA37077">
      <w:pPr>
        <w:spacing w:line="360" w:lineRule="auto"/>
        <w:ind w:firstLine="600" w:firstLineChars="250"/>
        <w:rPr>
          <w:rFonts w:ascii="宋体" w:hAnsi="宋体"/>
          <w:color w:val="auto"/>
          <w:sz w:val="24"/>
        </w:rPr>
      </w:pPr>
      <w:r>
        <w:rPr>
          <w:rFonts w:hint="eastAsia" w:ascii="宋体" w:hAnsi="宋体"/>
          <w:color w:val="auto"/>
          <w:sz w:val="24"/>
        </w:rPr>
        <w:t>12.4未获甲方书面同意，乙方任何时候都不能在承包区域存放易燃物品、挥发性大或气味浓烈的液体等。</w:t>
      </w:r>
    </w:p>
    <w:p w14:paraId="60429B7F">
      <w:pPr>
        <w:spacing w:line="360" w:lineRule="auto"/>
        <w:ind w:firstLine="600" w:firstLineChars="250"/>
        <w:rPr>
          <w:rFonts w:ascii="宋体" w:hAnsi="宋体"/>
          <w:color w:val="auto"/>
          <w:sz w:val="24"/>
        </w:rPr>
      </w:pPr>
      <w:r>
        <w:rPr>
          <w:rFonts w:hint="eastAsia" w:ascii="宋体" w:hAnsi="宋体"/>
          <w:color w:val="auto"/>
          <w:sz w:val="24"/>
        </w:rPr>
        <w:t>13. 保险</w:t>
      </w:r>
    </w:p>
    <w:p w14:paraId="33632D87">
      <w:pPr>
        <w:spacing w:line="360" w:lineRule="auto"/>
        <w:ind w:firstLine="600" w:firstLineChars="250"/>
        <w:rPr>
          <w:rFonts w:ascii="宋体" w:hAnsi="宋体"/>
          <w:color w:val="auto"/>
          <w:sz w:val="24"/>
        </w:rPr>
      </w:pPr>
      <w:r>
        <w:rPr>
          <w:rFonts w:hint="eastAsia" w:ascii="宋体" w:hAnsi="宋体"/>
          <w:color w:val="auto"/>
          <w:sz w:val="24"/>
        </w:rPr>
        <w:t>13.1第三者责任保险</w:t>
      </w:r>
    </w:p>
    <w:p w14:paraId="3CF94538">
      <w:pPr>
        <w:spacing w:line="360" w:lineRule="auto"/>
        <w:ind w:firstLine="600" w:firstLineChars="250"/>
        <w:rPr>
          <w:rFonts w:ascii="宋体" w:hAnsi="宋体"/>
          <w:color w:val="auto"/>
          <w:sz w:val="24"/>
        </w:rPr>
      </w:pPr>
      <w:r>
        <w:rPr>
          <w:rFonts w:hint="eastAsia" w:ascii="宋体" w:hAnsi="宋体"/>
          <w:color w:val="auto"/>
          <w:sz w:val="24"/>
        </w:rPr>
        <w:t>乙方应对乙方人员以及第三方全权负责(如乙方应投保第三责任险)，在乙方的责任区内由于乙方原因导致自己员工或第三方的事故由乙方负责，甲方不承担任何责任。</w:t>
      </w:r>
    </w:p>
    <w:p w14:paraId="6CE4CC21">
      <w:pPr>
        <w:spacing w:line="360" w:lineRule="auto"/>
        <w:ind w:firstLine="600" w:firstLineChars="250"/>
        <w:rPr>
          <w:rFonts w:ascii="宋体" w:hAnsi="宋体"/>
          <w:color w:val="auto"/>
          <w:sz w:val="24"/>
        </w:rPr>
      </w:pPr>
      <w:r>
        <w:rPr>
          <w:rFonts w:hint="eastAsia" w:ascii="宋体" w:hAnsi="宋体"/>
          <w:color w:val="auto"/>
          <w:sz w:val="24"/>
        </w:rPr>
        <w:t>13.2员工人身意外</w:t>
      </w:r>
    </w:p>
    <w:p w14:paraId="4D37AEED">
      <w:pPr>
        <w:spacing w:line="360" w:lineRule="auto"/>
        <w:ind w:firstLine="600" w:firstLineChars="250"/>
        <w:rPr>
          <w:rFonts w:ascii="宋体" w:hAnsi="宋体"/>
          <w:color w:val="auto"/>
          <w:sz w:val="24"/>
        </w:rPr>
      </w:pPr>
      <w:r>
        <w:rPr>
          <w:rFonts w:hint="eastAsia" w:ascii="宋体" w:hAnsi="宋体"/>
          <w:color w:val="auto"/>
          <w:sz w:val="24"/>
        </w:rPr>
        <w:t>在合同期内，乙方所有人员的事故由乙方自行全权负责(如乙方应对其员工投保人身意外险)，以保证甲方在乙方工作人员索赔时不受任何责任的约束。</w:t>
      </w:r>
    </w:p>
    <w:p w14:paraId="55C7CC0A">
      <w:pPr>
        <w:spacing w:line="360" w:lineRule="auto"/>
        <w:ind w:firstLine="600" w:firstLineChars="250"/>
        <w:rPr>
          <w:rFonts w:ascii="宋体" w:hAnsi="宋体"/>
          <w:color w:val="auto"/>
          <w:sz w:val="24"/>
        </w:rPr>
      </w:pPr>
      <w:r>
        <w:rPr>
          <w:rFonts w:hint="eastAsia" w:ascii="宋体" w:hAnsi="宋体"/>
          <w:color w:val="auto"/>
          <w:sz w:val="24"/>
        </w:rPr>
        <w:t>13.3其他保险及费用</w:t>
      </w:r>
    </w:p>
    <w:p w14:paraId="354E9F23">
      <w:pPr>
        <w:spacing w:line="360" w:lineRule="auto"/>
        <w:ind w:firstLine="600" w:firstLineChars="250"/>
        <w:rPr>
          <w:rFonts w:ascii="宋体" w:hAnsi="宋体"/>
          <w:color w:val="auto"/>
          <w:sz w:val="24"/>
        </w:rPr>
      </w:pPr>
      <w:r>
        <w:rPr>
          <w:rFonts w:hint="eastAsia" w:ascii="宋体" w:hAnsi="宋体"/>
          <w:color w:val="auto"/>
          <w:sz w:val="24"/>
        </w:rPr>
        <w:t>乙方须按《劳动法》、《劳动合同法》和政府有关各部门规定为全体服务人员交纳所有相关的社会保险及其他相关费用。乙方对此全权负责。</w:t>
      </w:r>
    </w:p>
    <w:p w14:paraId="78160B34">
      <w:pPr>
        <w:spacing w:line="360" w:lineRule="auto"/>
        <w:ind w:firstLine="600" w:firstLineChars="250"/>
        <w:rPr>
          <w:rFonts w:ascii="宋体" w:hAnsi="宋体"/>
          <w:color w:val="auto"/>
          <w:sz w:val="24"/>
        </w:rPr>
      </w:pPr>
      <w:r>
        <w:rPr>
          <w:rFonts w:hint="eastAsia" w:ascii="宋体" w:hAnsi="宋体"/>
          <w:color w:val="auto"/>
          <w:sz w:val="24"/>
        </w:rPr>
        <w:t>14. 乙方及其员工遵守行政大楼内的一切行政管理、消防安全等规定和制度，保证承包区域的消防设施能正常使用，消防通道畅通，同时承担违规责任。</w:t>
      </w:r>
    </w:p>
    <w:p w14:paraId="375FE732">
      <w:pPr>
        <w:spacing w:line="360" w:lineRule="auto"/>
        <w:ind w:firstLine="600" w:firstLineChars="250"/>
        <w:rPr>
          <w:rFonts w:ascii="宋体" w:hAnsi="宋体"/>
          <w:color w:val="auto"/>
          <w:sz w:val="24"/>
        </w:rPr>
      </w:pPr>
      <w:r>
        <w:rPr>
          <w:rFonts w:hint="eastAsia" w:ascii="宋体" w:hAnsi="宋体"/>
          <w:color w:val="auto"/>
          <w:sz w:val="24"/>
        </w:rPr>
        <w:t>15. 遇突发事件或安全检查时，乙方必须配合有关部门执行任务，并指定专职人员协助工作，直至完成。</w:t>
      </w:r>
    </w:p>
    <w:p w14:paraId="539FFFD6">
      <w:pPr>
        <w:spacing w:line="360" w:lineRule="auto"/>
        <w:ind w:firstLine="600" w:firstLineChars="250"/>
        <w:rPr>
          <w:rFonts w:ascii="宋体" w:hAnsi="宋体"/>
          <w:color w:val="auto"/>
          <w:sz w:val="24"/>
        </w:rPr>
      </w:pPr>
      <w:r>
        <w:rPr>
          <w:rFonts w:hint="eastAsia" w:ascii="宋体" w:hAnsi="宋体"/>
          <w:color w:val="auto"/>
          <w:sz w:val="24"/>
        </w:rPr>
        <w:t>16. 乙方保证在承包期满当天下午五时前进行工作移交并撤离现场，工作移交前的所有风险均由乙方承担。</w:t>
      </w:r>
    </w:p>
    <w:p w14:paraId="0EAC84A0">
      <w:pPr>
        <w:spacing w:line="360" w:lineRule="auto"/>
        <w:ind w:firstLine="600" w:firstLineChars="250"/>
        <w:rPr>
          <w:rFonts w:ascii="宋体" w:hAnsi="宋体"/>
          <w:color w:val="auto"/>
          <w:sz w:val="24"/>
        </w:rPr>
      </w:pPr>
      <w:r>
        <w:rPr>
          <w:rFonts w:hint="eastAsia" w:ascii="宋体" w:hAnsi="宋体"/>
          <w:color w:val="auto"/>
          <w:sz w:val="24"/>
        </w:rPr>
        <w:t>17. 乙方须积极配合甲方对其进行的护理服务综合考评。</w:t>
      </w:r>
    </w:p>
    <w:p w14:paraId="1CD60067">
      <w:pPr>
        <w:spacing w:line="360" w:lineRule="auto"/>
        <w:ind w:firstLine="602" w:firstLineChars="250"/>
        <w:rPr>
          <w:rFonts w:ascii="宋体" w:hAnsi="宋体"/>
          <w:b/>
          <w:bCs/>
          <w:color w:val="auto"/>
          <w:sz w:val="24"/>
        </w:rPr>
      </w:pPr>
      <w:r>
        <w:rPr>
          <w:rFonts w:hint="eastAsia" w:ascii="宋体" w:hAnsi="宋体"/>
          <w:b/>
          <w:bCs/>
          <w:color w:val="auto"/>
          <w:sz w:val="24"/>
        </w:rPr>
        <w:t>十三、甲方对乙方作出如下承诺</w:t>
      </w:r>
    </w:p>
    <w:p w14:paraId="45534962">
      <w:pPr>
        <w:spacing w:line="360" w:lineRule="auto"/>
        <w:ind w:firstLine="600" w:firstLineChars="250"/>
        <w:rPr>
          <w:rFonts w:ascii="宋体" w:hAnsi="宋体"/>
          <w:color w:val="auto"/>
          <w:sz w:val="24"/>
        </w:rPr>
      </w:pPr>
      <w:r>
        <w:rPr>
          <w:rFonts w:hint="eastAsia" w:ascii="宋体" w:hAnsi="宋体"/>
          <w:color w:val="auto"/>
          <w:sz w:val="24"/>
        </w:rPr>
        <w:t>1.甲方在职权范围内保证乙方的正常经营不受干扰。</w:t>
      </w:r>
    </w:p>
    <w:p w14:paraId="4FE68465">
      <w:pPr>
        <w:spacing w:line="360" w:lineRule="auto"/>
        <w:ind w:firstLine="600" w:firstLineChars="250"/>
        <w:rPr>
          <w:rFonts w:ascii="宋体" w:hAnsi="宋体"/>
          <w:color w:val="auto"/>
          <w:sz w:val="24"/>
        </w:rPr>
      </w:pPr>
      <w:r>
        <w:rPr>
          <w:rFonts w:hint="eastAsia" w:ascii="宋体" w:hAnsi="宋体"/>
          <w:color w:val="auto"/>
          <w:sz w:val="24"/>
        </w:rPr>
        <w:t>2.保证乙方的员工按规定正常进入承包区域开展服务工作。</w:t>
      </w:r>
    </w:p>
    <w:p w14:paraId="7ACB9089">
      <w:pPr>
        <w:spacing w:line="360" w:lineRule="auto"/>
        <w:ind w:firstLine="602" w:firstLineChars="250"/>
        <w:rPr>
          <w:rFonts w:ascii="宋体" w:hAnsi="宋体"/>
          <w:b/>
          <w:bCs/>
          <w:color w:val="auto"/>
          <w:sz w:val="24"/>
        </w:rPr>
      </w:pPr>
      <w:r>
        <w:rPr>
          <w:rFonts w:hint="eastAsia" w:ascii="宋体" w:hAnsi="宋体"/>
          <w:b/>
          <w:bCs/>
          <w:color w:val="auto"/>
          <w:sz w:val="24"/>
        </w:rPr>
        <w:t>十四、合同终止</w:t>
      </w:r>
    </w:p>
    <w:p w14:paraId="72A555C4">
      <w:pPr>
        <w:spacing w:line="360" w:lineRule="auto"/>
        <w:ind w:firstLine="600" w:firstLineChars="250"/>
        <w:rPr>
          <w:rFonts w:ascii="宋体" w:hAnsi="宋体"/>
          <w:color w:val="auto"/>
          <w:sz w:val="24"/>
        </w:rPr>
      </w:pPr>
      <w:r>
        <w:rPr>
          <w:rFonts w:hint="eastAsia" w:ascii="宋体" w:hAnsi="宋体"/>
          <w:color w:val="auto"/>
          <w:sz w:val="24"/>
        </w:rPr>
        <w:t>1. 终止</w:t>
      </w:r>
    </w:p>
    <w:p w14:paraId="67F2A639">
      <w:pPr>
        <w:spacing w:line="360" w:lineRule="auto"/>
        <w:ind w:firstLine="600" w:firstLineChars="250"/>
        <w:rPr>
          <w:rFonts w:ascii="宋体" w:hAnsi="宋体"/>
          <w:color w:val="auto"/>
          <w:sz w:val="24"/>
        </w:rPr>
      </w:pPr>
      <w:r>
        <w:rPr>
          <w:rFonts w:hint="eastAsia" w:ascii="宋体" w:hAnsi="宋体"/>
          <w:color w:val="auto"/>
          <w:sz w:val="24"/>
        </w:rPr>
        <w:t>1.1提前终止</w:t>
      </w:r>
    </w:p>
    <w:p w14:paraId="4CC084A0">
      <w:pPr>
        <w:spacing w:line="360" w:lineRule="auto"/>
        <w:ind w:firstLine="600" w:firstLineChars="250"/>
        <w:rPr>
          <w:rFonts w:ascii="宋体" w:hAnsi="宋体"/>
          <w:color w:val="auto"/>
          <w:sz w:val="24"/>
        </w:rPr>
      </w:pPr>
      <w:r>
        <w:rPr>
          <w:rFonts w:hint="eastAsia" w:ascii="宋体" w:hAnsi="宋体"/>
          <w:color w:val="auto"/>
          <w:sz w:val="24"/>
        </w:rPr>
        <w:t>1.1.1如果甲方在合同期内无理由终止合同，甲方须提前一个月向乙方发出书面通知终止承包。</w:t>
      </w:r>
    </w:p>
    <w:p w14:paraId="5549CA5B">
      <w:pPr>
        <w:spacing w:line="360" w:lineRule="auto"/>
        <w:ind w:firstLine="600" w:firstLineChars="250"/>
        <w:rPr>
          <w:rFonts w:ascii="宋体" w:hAnsi="宋体"/>
          <w:color w:val="auto"/>
          <w:sz w:val="24"/>
        </w:rPr>
      </w:pPr>
      <w:r>
        <w:rPr>
          <w:rFonts w:hint="eastAsia" w:ascii="宋体" w:hAnsi="宋体"/>
          <w:color w:val="auto"/>
          <w:sz w:val="24"/>
        </w:rPr>
        <w:t>1.1.2因乙方在合同期内超过两次护理服务综合考评未达标，甲方可以单方面终止（或解除）承包。</w:t>
      </w:r>
    </w:p>
    <w:p w14:paraId="5DA4494C">
      <w:pPr>
        <w:spacing w:line="360" w:lineRule="auto"/>
        <w:ind w:firstLine="600" w:firstLineChars="250"/>
        <w:rPr>
          <w:rFonts w:ascii="宋体" w:hAnsi="宋体"/>
          <w:color w:val="auto"/>
          <w:sz w:val="24"/>
        </w:rPr>
      </w:pPr>
      <w:r>
        <w:rPr>
          <w:rFonts w:hint="eastAsia" w:ascii="宋体" w:hAnsi="宋体"/>
          <w:color w:val="auto"/>
          <w:sz w:val="24"/>
        </w:rPr>
        <w:t>1.1.3如甲方发现乙方出现转租、转让、抵押承包等情况，甲方可以单方面终止（或解除）承包，且乙方须支付给甲方月度承包总服务款二倍金额的违约金。</w:t>
      </w:r>
    </w:p>
    <w:p w14:paraId="18F831C0">
      <w:pPr>
        <w:spacing w:line="360" w:lineRule="auto"/>
        <w:ind w:firstLine="600" w:firstLineChars="250"/>
        <w:rPr>
          <w:rFonts w:ascii="宋体" w:hAnsi="宋体"/>
          <w:color w:val="auto"/>
          <w:sz w:val="24"/>
        </w:rPr>
      </w:pPr>
      <w:r>
        <w:rPr>
          <w:rFonts w:hint="eastAsia" w:ascii="宋体" w:hAnsi="宋体"/>
          <w:color w:val="auto"/>
          <w:sz w:val="24"/>
        </w:rPr>
        <w:t>1.1.4如果乙方在合同期内无理由终止合同，乙方须提前三个月向甲方发出书面通知终止承包，乙方须支付给甲方月度承包总服务款二倍金额的违约金；如果乙方在合同期内突然无理由终止合同，未提前三个月向甲方发出书面通知终止承包，乙方须支付给甲方月度承包总服务款三倍金额的违约金。</w:t>
      </w:r>
    </w:p>
    <w:p w14:paraId="3C9D7160">
      <w:pPr>
        <w:spacing w:line="360" w:lineRule="auto"/>
        <w:ind w:firstLine="600" w:firstLineChars="250"/>
        <w:rPr>
          <w:rFonts w:ascii="宋体" w:hAnsi="宋体"/>
          <w:color w:val="auto"/>
          <w:sz w:val="24"/>
        </w:rPr>
      </w:pPr>
      <w:r>
        <w:rPr>
          <w:rFonts w:hint="eastAsia" w:ascii="宋体" w:hAnsi="宋体"/>
          <w:color w:val="auto"/>
          <w:sz w:val="24"/>
        </w:rPr>
        <w:t>1.1.5如果乙方在合同期内由于乙方原因造成重大责任事故或安全事故，甲方可以单方面终止（或解除）承包，且乙方须赔偿给甲方造成的经济损失，并须支付给甲方月度承包总服务款五倍金额的违约金。</w:t>
      </w:r>
    </w:p>
    <w:p w14:paraId="7C12FD99">
      <w:pPr>
        <w:spacing w:line="360" w:lineRule="auto"/>
        <w:ind w:firstLine="600" w:firstLineChars="250"/>
        <w:rPr>
          <w:rFonts w:ascii="宋体" w:hAnsi="宋体"/>
          <w:color w:val="auto"/>
          <w:sz w:val="24"/>
        </w:rPr>
      </w:pPr>
      <w:r>
        <w:rPr>
          <w:rFonts w:hint="eastAsia" w:ascii="宋体" w:hAnsi="宋体"/>
          <w:color w:val="auto"/>
          <w:sz w:val="24"/>
        </w:rPr>
        <w:t>1.1.6提前终止本合同期早于当月底最后一天，应视为月底最后一天期满，此条适用于上述1.1.1、1.1.2、1.1.3、1.1.4、1.1.5四条。</w:t>
      </w:r>
    </w:p>
    <w:p w14:paraId="68558083">
      <w:pPr>
        <w:spacing w:line="360" w:lineRule="auto"/>
        <w:ind w:firstLine="600" w:firstLineChars="250"/>
        <w:rPr>
          <w:rFonts w:ascii="宋体" w:hAnsi="宋体"/>
          <w:color w:val="auto"/>
          <w:sz w:val="24"/>
        </w:rPr>
      </w:pPr>
      <w:r>
        <w:rPr>
          <w:rFonts w:hint="eastAsia" w:ascii="宋体" w:hAnsi="宋体"/>
          <w:color w:val="auto"/>
          <w:sz w:val="24"/>
        </w:rPr>
        <w:t>1.1.7乙方未能履行合同和遵守有关规定，在甲方发出书面警告或整改要求或意见后一周内乙方仍无采取补救措施，不能按甲方要求进行有效整改，甲方可立即终止承包。</w:t>
      </w:r>
    </w:p>
    <w:p w14:paraId="10E04BF2">
      <w:pPr>
        <w:spacing w:line="360" w:lineRule="auto"/>
        <w:ind w:firstLine="600" w:firstLineChars="250"/>
        <w:rPr>
          <w:rFonts w:ascii="宋体" w:hAnsi="宋体"/>
          <w:color w:val="auto"/>
          <w:sz w:val="24"/>
        </w:rPr>
      </w:pPr>
      <w:r>
        <w:rPr>
          <w:rFonts w:hint="eastAsia" w:ascii="宋体" w:hAnsi="宋体"/>
          <w:color w:val="auto"/>
          <w:sz w:val="24"/>
        </w:rPr>
        <w:t>1.1.8乙方破产清算、重组及兼并等事实发生，或被债权人接管经营，甲方不必通知乙方即可终止承包。</w:t>
      </w:r>
    </w:p>
    <w:p w14:paraId="06D8ADA0">
      <w:pPr>
        <w:spacing w:line="360" w:lineRule="auto"/>
        <w:ind w:firstLine="600" w:firstLineChars="250"/>
        <w:rPr>
          <w:rFonts w:ascii="宋体" w:hAnsi="宋体"/>
          <w:color w:val="auto"/>
          <w:sz w:val="24"/>
        </w:rPr>
      </w:pPr>
      <w:r>
        <w:rPr>
          <w:rFonts w:hint="eastAsia" w:ascii="宋体" w:hAnsi="宋体"/>
          <w:color w:val="auto"/>
          <w:sz w:val="24"/>
        </w:rPr>
        <w:t>1.2协议终止</w:t>
      </w:r>
    </w:p>
    <w:p w14:paraId="2E910B8E">
      <w:pPr>
        <w:spacing w:line="360" w:lineRule="auto"/>
        <w:ind w:firstLine="600" w:firstLineChars="250"/>
        <w:rPr>
          <w:rFonts w:ascii="宋体" w:hAnsi="宋体"/>
          <w:color w:val="auto"/>
          <w:sz w:val="24"/>
        </w:rPr>
      </w:pPr>
      <w:r>
        <w:rPr>
          <w:rFonts w:hint="eastAsia" w:ascii="宋体" w:hAnsi="宋体"/>
          <w:color w:val="auto"/>
          <w:sz w:val="24"/>
        </w:rPr>
        <w:t>经双方协商同意，可在合同期内的任何时候终止承包。</w:t>
      </w:r>
    </w:p>
    <w:p w14:paraId="670AEB95">
      <w:pPr>
        <w:spacing w:line="360" w:lineRule="auto"/>
        <w:ind w:firstLine="600" w:firstLineChars="250"/>
        <w:rPr>
          <w:rFonts w:ascii="宋体" w:hAnsi="宋体"/>
          <w:color w:val="auto"/>
          <w:sz w:val="24"/>
        </w:rPr>
      </w:pPr>
      <w:r>
        <w:rPr>
          <w:rFonts w:hint="eastAsia" w:ascii="宋体" w:hAnsi="宋体"/>
          <w:color w:val="auto"/>
          <w:sz w:val="24"/>
        </w:rPr>
        <w:t>1.3 自然终止</w:t>
      </w:r>
    </w:p>
    <w:p w14:paraId="030B4BA1">
      <w:pPr>
        <w:spacing w:line="360" w:lineRule="auto"/>
        <w:ind w:firstLine="600" w:firstLineChars="250"/>
        <w:rPr>
          <w:rFonts w:ascii="宋体" w:hAnsi="宋体"/>
          <w:color w:val="auto"/>
          <w:sz w:val="24"/>
        </w:rPr>
      </w:pPr>
      <w:r>
        <w:rPr>
          <w:rFonts w:hint="eastAsia" w:ascii="宋体" w:hAnsi="宋体"/>
          <w:color w:val="auto"/>
          <w:sz w:val="24"/>
        </w:rPr>
        <w:t>合同规定的合同期满，承包自然终止。在合同期内乙方服务通过甲方有关评分标准并得到甲方认可，双方可协商在下一年度续约。</w:t>
      </w:r>
    </w:p>
    <w:p w14:paraId="00CA8B0E">
      <w:pPr>
        <w:spacing w:line="360" w:lineRule="auto"/>
        <w:ind w:firstLine="600" w:firstLineChars="250"/>
        <w:rPr>
          <w:rFonts w:ascii="宋体" w:hAnsi="宋体"/>
          <w:color w:val="auto"/>
          <w:sz w:val="24"/>
        </w:rPr>
      </w:pPr>
      <w:r>
        <w:rPr>
          <w:rFonts w:hint="eastAsia" w:ascii="宋体" w:hAnsi="宋体"/>
          <w:color w:val="auto"/>
          <w:sz w:val="24"/>
        </w:rPr>
        <w:t>2. 承包终止后果</w:t>
      </w:r>
    </w:p>
    <w:p w14:paraId="57473B64">
      <w:pPr>
        <w:spacing w:line="360" w:lineRule="auto"/>
        <w:ind w:firstLine="600" w:firstLineChars="250"/>
        <w:rPr>
          <w:rFonts w:ascii="宋体" w:hAnsi="宋体"/>
          <w:color w:val="auto"/>
          <w:sz w:val="24"/>
        </w:rPr>
      </w:pPr>
      <w:r>
        <w:rPr>
          <w:rFonts w:hint="eastAsia" w:ascii="宋体" w:hAnsi="宋体"/>
          <w:color w:val="auto"/>
          <w:sz w:val="24"/>
        </w:rPr>
        <w:t>2.1终止本合同，不影响根据合同规定进行的赔偿、补偿，也不影响履约保证金的效力。</w:t>
      </w:r>
    </w:p>
    <w:p w14:paraId="360B9531">
      <w:pPr>
        <w:spacing w:line="360" w:lineRule="auto"/>
        <w:ind w:firstLine="600" w:firstLineChars="250"/>
        <w:rPr>
          <w:rFonts w:ascii="宋体" w:hAnsi="宋体"/>
          <w:color w:val="auto"/>
          <w:sz w:val="24"/>
        </w:rPr>
      </w:pPr>
      <w:r>
        <w:rPr>
          <w:rFonts w:hint="eastAsia" w:ascii="宋体" w:hAnsi="宋体"/>
          <w:color w:val="auto"/>
          <w:sz w:val="24"/>
        </w:rPr>
        <w:t>2.2本合同因上述1.1.7、1.1.8二条的约定提前终止的，乙方的履约保证金作为违约金支付给甲方。</w:t>
      </w:r>
    </w:p>
    <w:p w14:paraId="01EF3AE5">
      <w:pPr>
        <w:spacing w:line="360" w:lineRule="auto"/>
        <w:ind w:firstLine="600" w:firstLineChars="250"/>
        <w:rPr>
          <w:rFonts w:ascii="宋体" w:hAnsi="宋体"/>
          <w:color w:val="auto"/>
          <w:sz w:val="24"/>
        </w:rPr>
      </w:pPr>
      <w:r>
        <w:rPr>
          <w:rFonts w:hint="eastAsia" w:ascii="宋体" w:hAnsi="宋体"/>
          <w:color w:val="auto"/>
          <w:sz w:val="24"/>
        </w:rPr>
        <w:t>2.3合同终止时，双方应进行结算，甲方同时进行乙方承包区域设施、设备状况检查并要求乙方三天内将乙方物品撤离承包区域，否则甲方将代理处理，乙方支付甲方代理费及10%的手续费。</w:t>
      </w:r>
    </w:p>
    <w:p w14:paraId="57F139FD">
      <w:pPr>
        <w:spacing w:line="360" w:lineRule="auto"/>
        <w:ind w:firstLine="600" w:firstLineChars="250"/>
        <w:rPr>
          <w:rFonts w:ascii="宋体" w:hAnsi="宋体"/>
          <w:color w:val="auto"/>
          <w:sz w:val="24"/>
        </w:rPr>
      </w:pPr>
      <w:r>
        <w:rPr>
          <w:rFonts w:hint="eastAsia" w:ascii="宋体" w:hAnsi="宋体"/>
          <w:color w:val="auto"/>
          <w:sz w:val="24"/>
        </w:rPr>
        <w:t>3. 不放弃权利</w:t>
      </w:r>
    </w:p>
    <w:p w14:paraId="50FAEF3D">
      <w:pPr>
        <w:spacing w:line="360" w:lineRule="auto"/>
        <w:ind w:firstLine="600" w:firstLineChars="250"/>
        <w:rPr>
          <w:rFonts w:ascii="宋体" w:hAnsi="宋体"/>
          <w:color w:val="auto"/>
          <w:sz w:val="24"/>
        </w:rPr>
      </w:pPr>
      <w:r>
        <w:rPr>
          <w:rFonts w:hint="eastAsia" w:ascii="宋体" w:hAnsi="宋体"/>
          <w:color w:val="auto"/>
          <w:sz w:val="24"/>
        </w:rPr>
        <w:t>甲方接受乙方的服务，但不放弃对乙方违约行为进行追究的权利；同时，若甲方对乙方某一违约行为放弃进行追究的权利，但不放弃对乙方其他违约行为进行追究的权利。</w:t>
      </w:r>
    </w:p>
    <w:p w14:paraId="750D37D2">
      <w:pPr>
        <w:spacing w:line="360" w:lineRule="auto"/>
        <w:ind w:firstLine="602" w:firstLineChars="250"/>
        <w:rPr>
          <w:rFonts w:ascii="宋体" w:hAnsi="宋体"/>
          <w:b/>
          <w:bCs/>
          <w:color w:val="auto"/>
          <w:sz w:val="24"/>
        </w:rPr>
      </w:pPr>
      <w:r>
        <w:rPr>
          <w:rFonts w:hint="eastAsia" w:ascii="宋体" w:hAnsi="宋体"/>
          <w:b/>
          <w:bCs/>
          <w:color w:val="auto"/>
          <w:sz w:val="24"/>
        </w:rPr>
        <w:t>十五、不可抗力事件处理</w:t>
      </w:r>
    </w:p>
    <w:p w14:paraId="568CACB7">
      <w:pPr>
        <w:spacing w:line="360" w:lineRule="auto"/>
        <w:ind w:firstLine="600" w:firstLineChars="250"/>
        <w:rPr>
          <w:rFonts w:ascii="宋体" w:hAnsi="宋体"/>
          <w:color w:val="auto"/>
          <w:sz w:val="24"/>
        </w:rPr>
      </w:pPr>
      <w:r>
        <w:rPr>
          <w:rFonts w:hint="eastAsia" w:ascii="宋体" w:hAnsi="宋体"/>
          <w:color w:val="auto"/>
          <w:sz w:val="24"/>
        </w:rPr>
        <w:t>1.在合同有效期内，任何一方因不可抗力事件导致不能履行合同，则合同履行期可延长，其延长期与不可抗力影响期相同。</w:t>
      </w:r>
    </w:p>
    <w:p w14:paraId="639E2A9A">
      <w:pPr>
        <w:spacing w:line="360" w:lineRule="auto"/>
        <w:ind w:firstLine="600" w:firstLineChars="250"/>
        <w:rPr>
          <w:rFonts w:ascii="宋体" w:hAnsi="宋体"/>
          <w:color w:val="auto"/>
          <w:sz w:val="24"/>
        </w:rPr>
      </w:pPr>
      <w:r>
        <w:rPr>
          <w:rFonts w:hint="eastAsia" w:ascii="宋体" w:hAnsi="宋体"/>
          <w:color w:val="auto"/>
          <w:sz w:val="24"/>
        </w:rPr>
        <w:t>2.不可抗力事件发生后，应立即通知对方，并寄送有关权威机构出具的证明。</w:t>
      </w:r>
    </w:p>
    <w:p w14:paraId="359CA7FD">
      <w:pPr>
        <w:spacing w:line="360" w:lineRule="auto"/>
        <w:ind w:firstLine="600" w:firstLineChars="250"/>
        <w:rPr>
          <w:rFonts w:ascii="宋体" w:hAnsi="宋体"/>
          <w:color w:val="auto"/>
          <w:sz w:val="24"/>
        </w:rPr>
      </w:pPr>
      <w:r>
        <w:rPr>
          <w:rFonts w:hint="eastAsia" w:ascii="宋体" w:hAnsi="宋体"/>
          <w:color w:val="auto"/>
          <w:sz w:val="24"/>
        </w:rPr>
        <w:t>3.不可抗力事件延续120天以上，双方应通过友好协商，确定是否继续履行合同。</w:t>
      </w:r>
    </w:p>
    <w:p w14:paraId="38A18C6D">
      <w:pPr>
        <w:spacing w:line="360" w:lineRule="auto"/>
        <w:ind w:firstLine="602" w:firstLineChars="250"/>
        <w:rPr>
          <w:rFonts w:ascii="宋体" w:hAnsi="宋体"/>
          <w:b/>
          <w:bCs/>
          <w:color w:val="auto"/>
          <w:sz w:val="24"/>
        </w:rPr>
      </w:pPr>
      <w:r>
        <w:rPr>
          <w:rFonts w:hint="eastAsia" w:ascii="宋体" w:hAnsi="宋体"/>
          <w:b/>
          <w:bCs/>
          <w:color w:val="auto"/>
          <w:sz w:val="24"/>
        </w:rPr>
        <w:t>十六、诉讼</w:t>
      </w:r>
    </w:p>
    <w:p w14:paraId="25A5A827">
      <w:pPr>
        <w:spacing w:line="360" w:lineRule="auto"/>
        <w:ind w:firstLine="600" w:firstLineChars="250"/>
        <w:rPr>
          <w:rFonts w:ascii="宋体" w:hAnsi="宋体"/>
          <w:color w:val="auto"/>
          <w:sz w:val="24"/>
        </w:rPr>
      </w:pPr>
      <w:r>
        <w:rPr>
          <w:rFonts w:hint="eastAsia" w:ascii="宋体" w:hAnsi="宋体"/>
          <w:color w:val="auto"/>
          <w:sz w:val="24"/>
        </w:rPr>
        <w:t>双方在执行合同中所发生的一切争议，应通过协商解决。如协商不成，可向甲方所在地人民法院提起诉讼。</w:t>
      </w:r>
    </w:p>
    <w:p w14:paraId="382CE7E3">
      <w:pPr>
        <w:spacing w:line="360" w:lineRule="auto"/>
        <w:ind w:firstLine="602" w:firstLineChars="250"/>
        <w:rPr>
          <w:rFonts w:ascii="宋体" w:hAnsi="宋体"/>
          <w:b/>
          <w:bCs/>
          <w:color w:val="auto"/>
          <w:sz w:val="24"/>
        </w:rPr>
      </w:pPr>
      <w:r>
        <w:rPr>
          <w:rFonts w:hint="eastAsia" w:ascii="宋体" w:hAnsi="宋体"/>
          <w:b/>
          <w:bCs/>
          <w:color w:val="auto"/>
          <w:sz w:val="24"/>
        </w:rPr>
        <w:t>十七、合同生效及其它</w:t>
      </w:r>
    </w:p>
    <w:p w14:paraId="2B512E15">
      <w:pPr>
        <w:spacing w:line="360" w:lineRule="auto"/>
        <w:ind w:firstLine="600" w:firstLineChars="250"/>
        <w:rPr>
          <w:rFonts w:ascii="宋体" w:hAnsi="宋体"/>
          <w:color w:val="auto"/>
          <w:sz w:val="24"/>
        </w:rPr>
      </w:pPr>
      <w:r>
        <w:rPr>
          <w:rFonts w:hint="eastAsia" w:ascii="宋体" w:hAnsi="宋体"/>
          <w:color w:val="auto"/>
          <w:sz w:val="24"/>
        </w:rPr>
        <w:t>1.合同经双方法定代表人或授权代表签字并加盖单位公章后生效。</w:t>
      </w:r>
    </w:p>
    <w:p w14:paraId="729A8BEE">
      <w:pPr>
        <w:spacing w:line="360" w:lineRule="auto"/>
        <w:ind w:firstLine="600" w:firstLineChars="250"/>
        <w:rPr>
          <w:rFonts w:ascii="宋体" w:hAnsi="宋体"/>
          <w:color w:val="auto"/>
          <w:sz w:val="24"/>
        </w:rPr>
      </w:pPr>
      <w:r>
        <w:rPr>
          <w:rFonts w:hint="eastAsia" w:ascii="宋体" w:hAnsi="宋体"/>
          <w:color w:val="auto"/>
          <w:sz w:val="24"/>
        </w:rPr>
        <w:t>2.本合同未尽事宜，以招标文件、投标文件及澄清文件等为准，无约定的遵照《中华人民共和国民法典》等有关规定执行。</w:t>
      </w:r>
    </w:p>
    <w:p w14:paraId="720A6A72">
      <w:pPr>
        <w:spacing w:line="360" w:lineRule="auto"/>
        <w:ind w:firstLine="600" w:firstLineChars="250"/>
        <w:rPr>
          <w:rFonts w:ascii="宋体" w:hAnsi="宋体" w:cs="宋体"/>
          <w:color w:val="auto"/>
          <w:kern w:val="0"/>
          <w:sz w:val="24"/>
        </w:rPr>
      </w:pPr>
      <w:r>
        <w:rPr>
          <w:rFonts w:hint="eastAsia" w:ascii="宋体" w:hAnsi="宋体"/>
          <w:color w:val="auto"/>
          <w:sz w:val="24"/>
        </w:rPr>
        <w:t>3.</w:t>
      </w:r>
      <w:r>
        <w:rPr>
          <w:rFonts w:hint="eastAsia" w:ascii="宋体" w:hAnsi="宋体" w:cs="宋体"/>
          <w:color w:val="auto"/>
          <w:kern w:val="0"/>
          <w:sz w:val="24"/>
        </w:rPr>
        <w:t>本合同一式四份。甲、乙双方各执一份，采购组织机构及同级人民政府财政部门各执一份。本项目未尽事宜以招标文件、投标文件及澄清文件等为准。</w:t>
      </w:r>
    </w:p>
    <w:p w14:paraId="36A688C9">
      <w:pPr>
        <w:pStyle w:val="11"/>
        <w:ind w:firstLine="600"/>
        <w:rPr>
          <w:color w:val="auto"/>
        </w:rPr>
      </w:pPr>
    </w:p>
    <w:p w14:paraId="18A9929E">
      <w:pPr>
        <w:spacing w:line="360" w:lineRule="auto"/>
        <w:rPr>
          <w:rFonts w:ascii="宋体" w:hAnsi="宋体"/>
          <w:color w:val="auto"/>
          <w:sz w:val="24"/>
        </w:rPr>
      </w:pPr>
      <w:r>
        <w:rPr>
          <w:rFonts w:hint="eastAsia" w:ascii="宋体" w:hAnsi="宋体"/>
          <w:color w:val="auto"/>
          <w:sz w:val="24"/>
        </w:rPr>
        <w:t>甲方（公章）                            乙方（公章）</w:t>
      </w:r>
    </w:p>
    <w:p w14:paraId="314D8658">
      <w:pPr>
        <w:spacing w:line="360" w:lineRule="auto"/>
        <w:rPr>
          <w:rFonts w:ascii="宋体" w:hAnsi="宋体"/>
          <w:color w:val="auto"/>
          <w:sz w:val="24"/>
        </w:rPr>
      </w:pPr>
      <w:r>
        <w:rPr>
          <w:rFonts w:hint="eastAsia" w:ascii="宋体" w:hAnsi="宋体"/>
          <w:color w:val="auto"/>
          <w:sz w:val="24"/>
        </w:rPr>
        <w:t>法定代表人：                            法定代表人：</w:t>
      </w:r>
    </w:p>
    <w:p w14:paraId="4E5DAD9D">
      <w:pPr>
        <w:spacing w:line="360" w:lineRule="auto"/>
        <w:rPr>
          <w:rFonts w:ascii="宋体" w:hAnsi="宋体"/>
          <w:color w:val="auto"/>
          <w:sz w:val="24"/>
        </w:rPr>
      </w:pPr>
      <w:r>
        <w:rPr>
          <w:rFonts w:hint="eastAsia" w:ascii="宋体" w:hAnsi="宋体"/>
          <w:color w:val="auto"/>
          <w:sz w:val="24"/>
        </w:rPr>
        <w:t>委托代理人：                            委托代理人：</w:t>
      </w:r>
    </w:p>
    <w:p w14:paraId="55428521">
      <w:pPr>
        <w:spacing w:line="360" w:lineRule="auto"/>
        <w:rPr>
          <w:rFonts w:ascii="宋体" w:hAnsi="宋体"/>
          <w:color w:val="auto"/>
          <w:sz w:val="24"/>
        </w:rPr>
      </w:pPr>
      <w:r>
        <w:rPr>
          <w:rFonts w:hint="eastAsia" w:ascii="宋体" w:hAnsi="宋体"/>
          <w:color w:val="auto"/>
          <w:sz w:val="24"/>
        </w:rPr>
        <w:t>联系电话：                              联系电话：</w:t>
      </w:r>
    </w:p>
    <w:p w14:paraId="56A57873">
      <w:pPr>
        <w:spacing w:line="360" w:lineRule="auto"/>
        <w:rPr>
          <w:rFonts w:ascii="宋体" w:hAnsi="宋体"/>
          <w:color w:val="auto"/>
          <w:sz w:val="24"/>
        </w:rPr>
      </w:pPr>
      <w:r>
        <w:rPr>
          <w:rFonts w:hint="eastAsia" w:ascii="宋体" w:hAnsi="宋体"/>
          <w:color w:val="auto"/>
          <w:sz w:val="24"/>
        </w:rPr>
        <w:t>开户银行：                              开户银行：</w:t>
      </w:r>
    </w:p>
    <w:p w14:paraId="34407E17">
      <w:pPr>
        <w:spacing w:line="360" w:lineRule="auto"/>
        <w:rPr>
          <w:rFonts w:ascii="宋体" w:hAnsi="宋体"/>
          <w:color w:val="auto"/>
          <w:sz w:val="24"/>
        </w:rPr>
      </w:pPr>
      <w:r>
        <w:rPr>
          <w:rFonts w:hint="eastAsia" w:ascii="宋体" w:hAnsi="宋体"/>
          <w:color w:val="auto"/>
          <w:sz w:val="24"/>
        </w:rPr>
        <w:t>帐号：                                  帐号：</w:t>
      </w:r>
    </w:p>
    <w:p w14:paraId="391DDCE0">
      <w:pPr>
        <w:spacing w:line="360" w:lineRule="auto"/>
        <w:rPr>
          <w:rFonts w:ascii="宋体" w:hAnsi="宋体"/>
          <w:color w:val="auto"/>
          <w:sz w:val="24"/>
        </w:rPr>
      </w:pPr>
      <w:r>
        <w:rPr>
          <w:rFonts w:hint="eastAsia" w:ascii="宋体" w:hAnsi="宋体"/>
          <w:color w:val="auto"/>
          <w:sz w:val="24"/>
        </w:rPr>
        <w:t>地址及邮编：                            地址及邮编：</w:t>
      </w:r>
    </w:p>
    <w:p w14:paraId="27178AC5">
      <w:pPr>
        <w:spacing w:line="360" w:lineRule="auto"/>
        <w:ind w:firstLine="960" w:firstLineChars="400"/>
        <w:rPr>
          <w:rFonts w:ascii="仿宋" w:hAnsi="仿宋" w:eastAsia="仿宋" w:cs="仿宋"/>
          <w:color w:val="auto"/>
        </w:rPr>
      </w:pPr>
      <w:r>
        <w:rPr>
          <w:rFonts w:hint="eastAsia" w:ascii="宋体" w:hAnsi="宋体"/>
          <w:color w:val="auto"/>
          <w:sz w:val="24"/>
        </w:rPr>
        <w:t>签订时间：    年   月    日</w:t>
      </w:r>
    </w:p>
    <w:p w14:paraId="7EE1ED8F">
      <w:pPr>
        <w:rPr>
          <w:rFonts w:ascii="宋体" w:hAnsi="宋体" w:cs="宋体"/>
          <w:color w:val="auto"/>
          <w:sz w:val="24"/>
        </w:rPr>
      </w:pPr>
      <w:r>
        <w:rPr>
          <w:rFonts w:ascii="宋体" w:hAnsi="宋体" w:cs="宋体"/>
          <w:color w:val="auto"/>
          <w:sz w:val="24"/>
        </w:rPr>
        <w:br w:type="page"/>
      </w:r>
    </w:p>
    <w:p w14:paraId="6B4B2529">
      <w:pPr>
        <w:pStyle w:val="11"/>
        <w:ind w:firstLine="600"/>
        <w:rPr>
          <w:color w:val="auto"/>
        </w:rPr>
      </w:pPr>
    </w:p>
    <w:p w14:paraId="5B86BAFE">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14:paraId="080FC00E">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706544F5">
      <w:pPr>
        <w:spacing w:line="360" w:lineRule="auto"/>
        <w:rPr>
          <w:rFonts w:asciiTheme="minorEastAsia" w:hAnsiTheme="minorEastAsia" w:eastAsiaTheme="minorEastAsia"/>
          <w:b/>
          <w:color w:val="auto"/>
          <w:sz w:val="30"/>
          <w:szCs w:val="30"/>
          <w:highlight w:val="none"/>
        </w:rPr>
      </w:pPr>
    </w:p>
    <w:p w14:paraId="75C1D082">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5F1FD7E">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280FD052">
      <w:pPr>
        <w:autoSpaceDE w:val="0"/>
        <w:autoSpaceDN w:val="0"/>
        <w:adjustRightInd w:val="0"/>
        <w:spacing w:line="360" w:lineRule="auto"/>
        <w:jc w:val="center"/>
        <w:rPr>
          <w:rFonts w:ascii="宋体" w:hAnsi="宋体" w:cs="宋体"/>
          <w:color w:val="auto"/>
          <w:sz w:val="84"/>
          <w:szCs w:val="84"/>
          <w:highlight w:val="none"/>
          <w:lang w:val="zh-CN"/>
        </w:rPr>
      </w:pPr>
    </w:p>
    <w:p w14:paraId="567E3571">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38A7F55">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05462F57">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63F6CB45">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7D73532E">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pacing w:val="40"/>
          <w:sz w:val="28"/>
          <w:szCs w:val="28"/>
          <w:highlight w:val="none"/>
        </w:rPr>
        <w:t>资格证明文件）</w:t>
      </w:r>
    </w:p>
    <w:p w14:paraId="119DFE1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6FE68C26">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1D342E69">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179CB24F">
      <w:pPr>
        <w:spacing w:line="360" w:lineRule="auto"/>
        <w:ind w:right="532" w:firstLine="720" w:firstLineChars="200"/>
        <w:rPr>
          <w:rFonts w:ascii="宋体" w:hAnsi="宋体"/>
          <w:color w:val="auto"/>
          <w:sz w:val="36"/>
          <w:szCs w:val="36"/>
        </w:rPr>
      </w:pPr>
    </w:p>
    <w:p w14:paraId="6BBCCDD2">
      <w:pPr>
        <w:snapToGrid w:val="0"/>
        <w:spacing w:before="50" w:after="50" w:line="360" w:lineRule="auto"/>
        <w:ind w:firstLine="904"/>
        <w:rPr>
          <w:rFonts w:ascii="仿宋_GB2312" w:hAnsi="宋体" w:eastAsia="仿宋_GB2312"/>
          <w:b/>
          <w:color w:val="auto"/>
          <w:sz w:val="36"/>
          <w:szCs w:val="36"/>
        </w:rPr>
      </w:pPr>
    </w:p>
    <w:p w14:paraId="4B6ED267">
      <w:pPr>
        <w:snapToGrid w:val="0"/>
        <w:spacing w:before="50" w:after="50" w:line="360" w:lineRule="auto"/>
        <w:ind w:firstLine="1104"/>
        <w:jc w:val="center"/>
        <w:rPr>
          <w:rFonts w:ascii="宋体" w:hAnsi="宋体"/>
          <w:b/>
          <w:bCs/>
          <w:color w:val="auto"/>
          <w:sz w:val="44"/>
          <w:szCs w:val="44"/>
        </w:rPr>
      </w:pPr>
      <w:r>
        <w:rPr>
          <w:rFonts w:hint="eastAsia" w:ascii="宋体" w:hAnsi="宋体"/>
          <w:b/>
          <w:bCs/>
          <w:color w:val="auto"/>
          <w:sz w:val="44"/>
          <w:szCs w:val="44"/>
        </w:rPr>
        <w:t>资格证明文件目录</w:t>
      </w:r>
    </w:p>
    <w:p w14:paraId="544B9C20">
      <w:pPr>
        <w:pStyle w:val="24"/>
        <w:ind w:firstLine="904"/>
        <w:rPr>
          <w:color w:val="auto"/>
        </w:rPr>
      </w:pPr>
      <w:r>
        <w:rPr>
          <w:rFonts w:hint="eastAsia" w:ascii="宋体" w:hAnsi="宋体"/>
          <w:color w:val="auto"/>
          <w:szCs w:val="36"/>
        </w:rPr>
        <w:t>（仅供参考）</w:t>
      </w:r>
    </w:p>
    <w:p w14:paraId="2973498A">
      <w:pPr>
        <w:snapToGrid w:val="0"/>
        <w:spacing w:before="50" w:after="50" w:line="360" w:lineRule="auto"/>
        <w:ind w:firstLine="904"/>
        <w:jc w:val="center"/>
        <w:rPr>
          <w:rFonts w:ascii="仿宋_GB2312" w:hAnsi="宋体" w:eastAsia="仿宋_GB2312"/>
          <w:b/>
          <w:bCs/>
          <w:color w:val="auto"/>
          <w:sz w:val="36"/>
          <w:szCs w:val="36"/>
        </w:rPr>
      </w:pPr>
    </w:p>
    <w:p w14:paraId="0A7D6240">
      <w:pPr>
        <w:numPr>
          <w:ilvl w:val="0"/>
          <w:numId w:val="8"/>
        </w:numPr>
        <w:snapToGrid w:val="0"/>
        <w:spacing w:line="360" w:lineRule="auto"/>
        <w:ind w:firstLine="509" w:firstLineChars="196"/>
        <w:rPr>
          <w:rFonts w:ascii="宋体" w:hAnsi="宋体"/>
          <w:color w:val="auto"/>
          <w:sz w:val="26"/>
          <w:szCs w:val="26"/>
        </w:rPr>
      </w:pPr>
      <w:r>
        <w:rPr>
          <w:rFonts w:hint="eastAsia" w:ascii="宋体" w:hAnsi="宋体"/>
          <w:color w:val="auto"/>
          <w:sz w:val="26"/>
          <w:szCs w:val="26"/>
        </w:rPr>
        <w:t>投标声明书（附件2）</w:t>
      </w:r>
    </w:p>
    <w:p w14:paraId="0CD427BD">
      <w:pPr>
        <w:numPr>
          <w:ilvl w:val="0"/>
          <w:numId w:val="8"/>
        </w:numPr>
        <w:snapToGrid w:val="0"/>
        <w:spacing w:line="360" w:lineRule="auto"/>
        <w:ind w:firstLine="509" w:firstLineChars="196"/>
        <w:rPr>
          <w:rFonts w:hint="eastAsia" w:ascii="宋体" w:hAnsi="宋体"/>
          <w:color w:val="auto"/>
          <w:kern w:val="0"/>
          <w:sz w:val="26"/>
          <w:szCs w:val="26"/>
        </w:rPr>
      </w:pPr>
      <w:r>
        <w:rPr>
          <w:bCs/>
          <w:color w:val="auto"/>
          <w:sz w:val="26"/>
          <w:szCs w:val="26"/>
        </w:rPr>
        <w:t>授权</w:t>
      </w:r>
      <w:r>
        <w:rPr>
          <w:rFonts w:hint="eastAsia"/>
          <w:bCs/>
          <w:color w:val="auto"/>
          <w:sz w:val="26"/>
          <w:szCs w:val="26"/>
        </w:rPr>
        <w:t>委托</w:t>
      </w:r>
      <w:r>
        <w:rPr>
          <w:bCs/>
          <w:color w:val="auto"/>
          <w:sz w:val="26"/>
          <w:szCs w:val="26"/>
        </w:rPr>
        <w:t>书</w:t>
      </w:r>
      <w:r>
        <w:rPr>
          <w:rFonts w:hint="eastAsia" w:ascii="宋体" w:hAnsi="宋体"/>
          <w:bCs/>
          <w:color w:val="auto"/>
          <w:sz w:val="26"/>
          <w:szCs w:val="26"/>
        </w:rPr>
        <w:t>（附件3）</w:t>
      </w:r>
    </w:p>
    <w:p w14:paraId="0D065490">
      <w:pPr>
        <w:numPr>
          <w:ilvl w:val="0"/>
          <w:numId w:val="8"/>
        </w:numPr>
        <w:snapToGrid w:val="0"/>
        <w:spacing w:line="360" w:lineRule="auto"/>
        <w:ind w:firstLine="509" w:firstLineChars="196"/>
        <w:rPr>
          <w:rFonts w:hint="eastAsia" w:ascii="宋体" w:hAnsi="宋体"/>
          <w:color w:val="auto"/>
          <w:kern w:val="0"/>
          <w:sz w:val="26"/>
          <w:szCs w:val="26"/>
        </w:rPr>
      </w:pPr>
      <w:r>
        <w:rPr>
          <w:rFonts w:hint="eastAsia" w:ascii="宋体" w:hAnsi="宋体"/>
          <w:color w:val="auto"/>
          <w:kern w:val="0"/>
          <w:sz w:val="26"/>
          <w:szCs w:val="26"/>
        </w:rPr>
        <w:t>提供符合参加政府采购活动应当具备的一般条件的承诺函</w:t>
      </w:r>
      <w:r>
        <w:rPr>
          <w:rFonts w:hint="eastAsia" w:ascii="宋体" w:hAnsi="宋体"/>
          <w:color w:val="auto"/>
          <w:sz w:val="26"/>
          <w:szCs w:val="26"/>
        </w:rPr>
        <w:t>（附件4）</w:t>
      </w:r>
      <w:r>
        <w:rPr>
          <w:rFonts w:hint="eastAsia" w:ascii="宋体" w:hAnsi="宋体"/>
          <w:color w:val="auto"/>
          <w:kern w:val="0"/>
          <w:sz w:val="26"/>
          <w:szCs w:val="26"/>
        </w:rPr>
        <w:t>或者同时提供以下四项相关材料</w:t>
      </w:r>
    </w:p>
    <w:p w14:paraId="44069CB6">
      <w:pPr>
        <w:numPr>
          <w:ilvl w:val="0"/>
          <w:numId w:val="0"/>
        </w:numPr>
        <w:snapToGrid w:val="0"/>
        <w:spacing w:line="360" w:lineRule="auto"/>
        <w:rPr>
          <w:rFonts w:hint="eastAsia" w:ascii="宋体" w:hAnsi="宋体"/>
          <w:color w:val="auto"/>
          <w:kern w:val="0"/>
          <w:sz w:val="26"/>
          <w:szCs w:val="26"/>
        </w:rPr>
      </w:pPr>
      <w:r>
        <w:rPr>
          <w:rFonts w:hint="eastAsia" w:ascii="宋体" w:hAnsi="宋体"/>
          <w:color w:val="auto"/>
          <w:kern w:val="0"/>
          <w:sz w:val="26"/>
          <w:szCs w:val="26"/>
        </w:rPr>
        <w:t>1）财务状况报告</w:t>
      </w:r>
    </w:p>
    <w:p w14:paraId="37397D78">
      <w:pPr>
        <w:numPr>
          <w:ilvl w:val="0"/>
          <w:numId w:val="0"/>
        </w:numPr>
        <w:snapToGrid w:val="0"/>
        <w:spacing w:line="360" w:lineRule="auto"/>
        <w:rPr>
          <w:rFonts w:hint="eastAsia" w:ascii="宋体" w:hAnsi="宋体"/>
          <w:color w:val="auto"/>
          <w:kern w:val="0"/>
          <w:sz w:val="26"/>
          <w:szCs w:val="26"/>
        </w:rPr>
      </w:pPr>
      <w:r>
        <w:rPr>
          <w:rFonts w:hint="eastAsia" w:ascii="宋体" w:hAnsi="宋体"/>
          <w:color w:val="auto"/>
          <w:kern w:val="0"/>
          <w:sz w:val="26"/>
          <w:szCs w:val="26"/>
        </w:rPr>
        <w:t>2）依法缴纳税收</w:t>
      </w:r>
    </w:p>
    <w:p w14:paraId="427A5A2B">
      <w:pPr>
        <w:numPr>
          <w:ilvl w:val="0"/>
          <w:numId w:val="0"/>
        </w:numPr>
        <w:snapToGrid w:val="0"/>
        <w:spacing w:line="360" w:lineRule="auto"/>
        <w:rPr>
          <w:rFonts w:hint="eastAsia" w:ascii="宋体" w:hAnsi="宋体"/>
          <w:color w:val="auto"/>
          <w:kern w:val="0"/>
          <w:sz w:val="26"/>
          <w:szCs w:val="26"/>
        </w:rPr>
      </w:pPr>
      <w:r>
        <w:rPr>
          <w:rFonts w:hint="eastAsia" w:ascii="宋体" w:hAnsi="宋体"/>
          <w:color w:val="auto"/>
          <w:kern w:val="0"/>
          <w:sz w:val="26"/>
          <w:szCs w:val="26"/>
        </w:rPr>
        <w:t>3）社会保障资金的相关材料；</w:t>
      </w:r>
    </w:p>
    <w:p w14:paraId="3022271B">
      <w:pPr>
        <w:numPr>
          <w:ilvl w:val="0"/>
          <w:numId w:val="0"/>
        </w:numPr>
        <w:snapToGrid w:val="0"/>
        <w:spacing w:line="360" w:lineRule="auto"/>
        <w:rPr>
          <w:rFonts w:ascii="宋体" w:hAnsi="宋体"/>
          <w:color w:val="auto"/>
          <w:kern w:val="0"/>
          <w:sz w:val="26"/>
          <w:szCs w:val="26"/>
        </w:rPr>
      </w:pPr>
      <w:r>
        <w:rPr>
          <w:rFonts w:hint="eastAsia" w:ascii="宋体" w:hAnsi="宋体"/>
          <w:color w:val="auto"/>
          <w:kern w:val="0"/>
          <w:sz w:val="26"/>
          <w:szCs w:val="26"/>
        </w:rPr>
        <w:t>4）具备履行合同所必需的设备和专业技术能力的证明材料(根据项目性质</w:t>
      </w:r>
      <w:r>
        <w:rPr>
          <w:rFonts w:hint="eastAsia" w:ascii="宋体" w:hAnsi="宋体"/>
          <w:color w:val="auto"/>
          <w:sz w:val="26"/>
          <w:szCs w:val="26"/>
        </w:rPr>
        <w:t>提供</w:t>
      </w:r>
      <w:r>
        <w:rPr>
          <w:rFonts w:hint="eastAsia" w:ascii="宋体" w:hAnsi="宋体"/>
          <w:color w:val="auto"/>
          <w:kern w:val="0"/>
          <w:sz w:val="26"/>
          <w:szCs w:val="26"/>
        </w:rPr>
        <w:t>)；</w:t>
      </w:r>
    </w:p>
    <w:p w14:paraId="657D5576">
      <w:pPr>
        <w:snapToGrid w:val="0"/>
        <w:spacing w:line="360" w:lineRule="auto"/>
        <w:ind w:firstLine="520" w:firstLineChars="200"/>
        <w:rPr>
          <w:rFonts w:ascii="宋体" w:hAnsi="宋体"/>
          <w:color w:val="auto"/>
          <w:kern w:val="0"/>
          <w:sz w:val="26"/>
          <w:szCs w:val="26"/>
        </w:rPr>
      </w:pPr>
      <w:r>
        <w:rPr>
          <w:rFonts w:hint="eastAsia" w:ascii="宋体" w:hAnsi="宋体"/>
          <w:color w:val="auto"/>
          <w:kern w:val="0"/>
          <w:sz w:val="26"/>
          <w:szCs w:val="26"/>
        </w:rPr>
        <w:t>4、</w:t>
      </w:r>
      <w:r>
        <w:rPr>
          <w:rFonts w:hint="eastAsia" w:ascii="宋体" w:hAnsi="宋体"/>
          <w:color w:val="auto"/>
          <w:sz w:val="26"/>
          <w:szCs w:val="26"/>
        </w:rPr>
        <w:t>中小企业声明函（附件15）</w:t>
      </w:r>
    </w:p>
    <w:p w14:paraId="58776487">
      <w:pPr>
        <w:snapToGrid w:val="0"/>
        <w:spacing w:line="360" w:lineRule="auto"/>
        <w:ind w:firstLine="520" w:firstLineChars="200"/>
        <w:rPr>
          <w:rFonts w:ascii="宋体" w:hAnsi="宋体" w:cs="宋体"/>
          <w:color w:val="auto"/>
          <w:sz w:val="26"/>
          <w:szCs w:val="26"/>
        </w:rPr>
      </w:pPr>
      <w:r>
        <w:rPr>
          <w:rFonts w:hint="eastAsia" w:ascii="宋体" w:hAnsi="宋体" w:cs="宋体"/>
          <w:color w:val="auto"/>
          <w:sz w:val="26"/>
          <w:szCs w:val="26"/>
        </w:rPr>
        <w:t>5、</w:t>
      </w:r>
      <w:r>
        <w:rPr>
          <w:color w:val="auto"/>
          <w:sz w:val="26"/>
          <w:szCs w:val="26"/>
        </w:rPr>
        <w:t>法人或者其他组织的营业执照等证明文件，自然人的身份证明</w:t>
      </w:r>
    </w:p>
    <w:p w14:paraId="1FFFD017">
      <w:pPr>
        <w:snapToGrid w:val="0"/>
        <w:spacing w:line="360" w:lineRule="auto"/>
        <w:ind w:firstLine="509" w:firstLineChars="196"/>
        <w:rPr>
          <w:rFonts w:ascii="宋体" w:hAnsi="宋体"/>
          <w:color w:val="auto"/>
          <w:kern w:val="0"/>
          <w:sz w:val="26"/>
          <w:szCs w:val="26"/>
        </w:rPr>
      </w:pPr>
      <w:r>
        <w:rPr>
          <w:rFonts w:hint="eastAsia" w:ascii="宋体" w:hAnsi="宋体"/>
          <w:color w:val="auto"/>
          <w:sz w:val="26"/>
          <w:szCs w:val="26"/>
          <w:lang w:val="en-US" w:eastAsia="zh-CN"/>
        </w:rPr>
        <w:t>6</w:t>
      </w:r>
      <w:r>
        <w:rPr>
          <w:rFonts w:hint="eastAsia" w:ascii="宋体" w:hAnsi="宋体"/>
          <w:color w:val="auto"/>
          <w:sz w:val="26"/>
          <w:szCs w:val="26"/>
        </w:rPr>
        <w:t>、</w:t>
      </w:r>
      <w:r>
        <w:rPr>
          <w:rFonts w:hint="eastAsia" w:ascii="宋体" w:hAnsi="宋体"/>
          <w:color w:val="auto"/>
          <w:kern w:val="0"/>
          <w:sz w:val="26"/>
          <w:szCs w:val="26"/>
        </w:rPr>
        <w:t>本项目要求的特定资质证书（若有）（</w:t>
      </w:r>
      <w:r>
        <w:rPr>
          <w:rFonts w:hint="eastAsia" w:ascii="宋体" w:hAnsi="宋体"/>
          <w:color w:val="auto"/>
          <w:kern w:val="0"/>
          <w:sz w:val="26"/>
          <w:szCs w:val="26"/>
          <w:u w:val="single"/>
        </w:rPr>
        <w:t>或评标时所需的其他证书材料</w:t>
      </w:r>
      <w:r>
        <w:rPr>
          <w:rFonts w:hint="eastAsia" w:ascii="宋体" w:hAnsi="宋体"/>
          <w:color w:val="auto"/>
          <w:kern w:val="0"/>
          <w:sz w:val="26"/>
          <w:szCs w:val="26"/>
        </w:rPr>
        <w:t>）</w:t>
      </w:r>
    </w:p>
    <w:p w14:paraId="707660AB">
      <w:pPr>
        <w:spacing w:line="360" w:lineRule="auto"/>
        <w:ind w:firstLine="703"/>
        <w:rPr>
          <w:rFonts w:ascii="宋体" w:hAnsi="宋体"/>
          <w:b/>
          <w:color w:val="auto"/>
          <w:sz w:val="28"/>
        </w:rPr>
      </w:pPr>
    </w:p>
    <w:p w14:paraId="52D8A78D">
      <w:pPr>
        <w:spacing w:line="360" w:lineRule="auto"/>
        <w:ind w:left="420" w:firstLine="703"/>
        <w:rPr>
          <w:rFonts w:ascii="宋体" w:hAnsi="宋体"/>
          <w:b/>
          <w:color w:val="auto"/>
          <w:sz w:val="28"/>
        </w:rPr>
      </w:pPr>
    </w:p>
    <w:p w14:paraId="4556A42B">
      <w:pPr>
        <w:spacing w:line="360" w:lineRule="auto"/>
        <w:ind w:left="420" w:firstLine="703"/>
        <w:rPr>
          <w:rFonts w:ascii="宋体" w:hAnsi="宋体"/>
          <w:b/>
          <w:color w:val="auto"/>
          <w:sz w:val="28"/>
        </w:rPr>
      </w:pPr>
    </w:p>
    <w:p w14:paraId="60BEF922">
      <w:pPr>
        <w:spacing w:line="360" w:lineRule="auto"/>
        <w:ind w:left="420" w:firstLine="703"/>
        <w:rPr>
          <w:rFonts w:ascii="宋体" w:hAnsi="宋体"/>
          <w:b/>
          <w:color w:val="auto"/>
          <w:sz w:val="28"/>
        </w:rPr>
      </w:pPr>
    </w:p>
    <w:p w14:paraId="263DD1C2">
      <w:pPr>
        <w:spacing w:line="360" w:lineRule="auto"/>
        <w:ind w:left="420" w:firstLine="703"/>
        <w:rPr>
          <w:rFonts w:ascii="宋体" w:hAnsi="宋体"/>
          <w:b/>
          <w:color w:val="auto"/>
          <w:sz w:val="28"/>
        </w:rPr>
      </w:pPr>
    </w:p>
    <w:p w14:paraId="54FBD795">
      <w:pPr>
        <w:spacing w:line="360" w:lineRule="auto"/>
        <w:ind w:left="420" w:firstLine="703"/>
        <w:rPr>
          <w:rFonts w:ascii="宋体" w:hAnsi="宋体"/>
          <w:b/>
          <w:color w:val="auto"/>
          <w:sz w:val="28"/>
        </w:rPr>
      </w:pPr>
    </w:p>
    <w:p w14:paraId="5BB2A53C">
      <w:pPr>
        <w:spacing w:line="360" w:lineRule="auto"/>
        <w:ind w:left="420" w:firstLine="703"/>
        <w:rPr>
          <w:rFonts w:ascii="宋体" w:hAnsi="宋体"/>
          <w:b/>
          <w:color w:val="auto"/>
          <w:sz w:val="28"/>
        </w:rPr>
      </w:pPr>
    </w:p>
    <w:p w14:paraId="204C87C1">
      <w:pPr>
        <w:ind w:firstLine="703"/>
        <w:rPr>
          <w:rFonts w:ascii="宋体" w:hAnsi="宋体"/>
          <w:b/>
          <w:color w:val="auto"/>
          <w:sz w:val="28"/>
        </w:rPr>
      </w:pPr>
      <w:r>
        <w:rPr>
          <w:rFonts w:hint="eastAsia" w:ascii="宋体" w:hAnsi="宋体"/>
          <w:b/>
          <w:color w:val="auto"/>
          <w:sz w:val="28"/>
        </w:rPr>
        <w:br w:type="page"/>
      </w:r>
    </w:p>
    <w:p w14:paraId="056C13DF">
      <w:pPr>
        <w:spacing w:line="360" w:lineRule="auto"/>
        <w:ind w:left="420" w:firstLine="703"/>
        <w:rPr>
          <w:rFonts w:ascii="宋体" w:hAnsi="宋体"/>
          <w:b/>
          <w:color w:val="auto"/>
          <w:sz w:val="28"/>
        </w:rPr>
      </w:pPr>
      <w:r>
        <w:rPr>
          <w:rFonts w:hint="eastAsia" w:ascii="宋体" w:hAnsi="宋体"/>
          <w:b/>
          <w:color w:val="auto"/>
          <w:sz w:val="28"/>
        </w:rPr>
        <w:t>附件2</w:t>
      </w:r>
    </w:p>
    <w:p w14:paraId="14B5413F">
      <w:pPr>
        <w:adjustRightInd w:val="0"/>
        <w:snapToGrid w:val="0"/>
        <w:spacing w:line="360" w:lineRule="auto"/>
        <w:ind w:right="480" w:firstLine="803"/>
        <w:jc w:val="center"/>
        <w:rPr>
          <w:rFonts w:ascii="宋体" w:hAnsi="宋体"/>
          <w:b/>
          <w:color w:val="auto"/>
          <w:kern w:val="0"/>
          <w:sz w:val="32"/>
          <w:szCs w:val="32"/>
          <w:lang w:val="zh-CN"/>
        </w:rPr>
      </w:pPr>
      <w:r>
        <w:rPr>
          <w:rFonts w:hint="eastAsia" w:ascii="宋体" w:hAnsi="宋体"/>
          <w:b/>
          <w:color w:val="auto"/>
          <w:kern w:val="0"/>
          <w:sz w:val="32"/>
          <w:szCs w:val="32"/>
          <w:lang w:val="zh-CN"/>
        </w:rPr>
        <w:t>投标声明书</w:t>
      </w:r>
    </w:p>
    <w:p w14:paraId="634C95CC">
      <w:pPr>
        <w:snapToGrid w:val="0"/>
        <w:spacing w:beforeLines="50" w:after="50" w:line="400" w:lineRule="exact"/>
        <w:rPr>
          <w:rFonts w:ascii="宋体" w:hAnsi="宋体" w:cs="宋体"/>
          <w:color w:val="auto"/>
          <w:kern w:val="0"/>
          <w:sz w:val="24"/>
        </w:rPr>
      </w:pPr>
      <w:r>
        <w:rPr>
          <w:rFonts w:hint="eastAsia" w:ascii="宋体" w:hAnsi="宋体" w:cs="宋体"/>
          <w:color w:val="auto"/>
          <w:kern w:val="0"/>
          <w:sz w:val="24"/>
        </w:rPr>
        <w:t>（采购代理机构名称）：</w:t>
      </w:r>
    </w:p>
    <w:p w14:paraId="20FFD7C2">
      <w:pPr>
        <w:snapToGrid w:val="0"/>
        <w:spacing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14:paraId="226170C8">
      <w:pPr>
        <w:snapToGrid w:val="0"/>
        <w:spacing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姓名 </w:t>
      </w:r>
      <w:r>
        <w:rPr>
          <w:rFonts w:hint="eastAsia" w:ascii="宋体" w:hAnsi="宋体" w:cs="宋体"/>
          <w:color w:val="auto"/>
          <w:kern w:val="0"/>
          <w:sz w:val="24"/>
        </w:rPr>
        <w:t>）系（</w:t>
      </w:r>
      <w:r>
        <w:rPr>
          <w:rFonts w:hint="eastAsia" w:ascii="宋体" w:hAnsi="宋体" w:cs="宋体"/>
          <w:color w:val="auto"/>
          <w:kern w:val="0"/>
          <w:sz w:val="24"/>
          <w:u w:val="single"/>
        </w:rPr>
        <w:t xml:space="preserve">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14:paraId="73DC2D29">
      <w:pPr>
        <w:snapToGrid w:val="0"/>
        <w:spacing w:beforeLines="50" w:after="50" w:line="400" w:lineRule="exact"/>
        <w:ind w:firstLine="480" w:firstLineChars="200"/>
        <w:rPr>
          <w:rFonts w:ascii="宋体" w:hAnsi="宋体" w:cs="宋体"/>
          <w:b/>
          <w:color w:val="auto"/>
          <w:kern w:val="0"/>
          <w:sz w:val="24"/>
        </w:rPr>
      </w:pPr>
      <w:r>
        <w:rPr>
          <w:rFonts w:hint="eastAsia" w:ascii="宋体" w:hAnsi="宋体" w:cs="宋体"/>
          <w:color w:val="auto"/>
          <w:kern w:val="0"/>
          <w:sz w:val="24"/>
        </w:rPr>
        <w:t>1、</w:t>
      </w:r>
      <w:r>
        <w:rPr>
          <w:rFonts w:hint="eastAsia" w:ascii="Arial" w:hAnsi="Arial" w:cs="Arial"/>
          <w:color w:val="auto"/>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5229364D">
      <w:pPr>
        <w:snapToGrid w:val="0"/>
        <w:spacing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2、我公司</w:t>
      </w:r>
      <w:r>
        <w:rPr>
          <w:rFonts w:ascii="宋体" w:hAnsi="宋体" w:cs="宋体"/>
          <w:color w:val="auto"/>
          <w:kern w:val="0"/>
          <w:sz w:val="24"/>
        </w:rPr>
        <w:t>在参与投标前已</w:t>
      </w:r>
      <w:r>
        <w:rPr>
          <w:rFonts w:hint="eastAsia" w:ascii="宋体" w:hAnsi="宋体" w:cs="宋体"/>
          <w:color w:val="auto"/>
          <w:kern w:val="0"/>
          <w:sz w:val="24"/>
        </w:rPr>
        <w:t>详细审查</w:t>
      </w:r>
      <w:r>
        <w:rPr>
          <w:rFonts w:ascii="宋体" w:hAnsi="宋体" w:cs="宋体"/>
          <w:color w:val="auto"/>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rPr>
        <w:t>利。</w:t>
      </w:r>
    </w:p>
    <w:p w14:paraId="62F37DAE">
      <w:pPr>
        <w:numPr>
          <w:ilvl w:val="255"/>
          <w:numId w:val="0"/>
        </w:numPr>
        <w:snapToGrid w:val="0"/>
        <w:spacing w:beforeLines="50" w:after="50" w:line="400" w:lineRule="exact"/>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14:paraId="11E08CFB">
      <w:pPr>
        <w:snapToGrid w:val="0"/>
        <w:spacing w:beforeLines="50" w:after="50" w:line="400" w:lineRule="exact"/>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269FA58C">
      <w:pPr>
        <w:snapToGrid w:val="0"/>
        <w:spacing w:beforeLines="50" w:after="50" w:line="400" w:lineRule="exact"/>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65ED3B1A">
      <w:pPr>
        <w:snapToGrid w:val="0"/>
        <w:spacing w:beforeLines="50" w:after="50" w:line="400" w:lineRule="exact"/>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6A8256A7">
      <w:pPr>
        <w:adjustRightInd w:val="0"/>
        <w:snapToGrid w:val="0"/>
        <w:spacing w:line="400" w:lineRule="exact"/>
        <w:ind w:firstLine="600"/>
        <w:rPr>
          <w:rFonts w:ascii="宋体" w:hAnsi="宋体" w:cs="仿宋_GB2312"/>
          <w:color w:val="auto"/>
          <w:kern w:val="0"/>
          <w:sz w:val="24"/>
        </w:rPr>
      </w:pPr>
    </w:p>
    <w:p w14:paraId="65AA910E">
      <w:pPr>
        <w:adjustRightInd w:val="0"/>
        <w:snapToGrid w:val="0"/>
        <w:spacing w:line="400" w:lineRule="exact"/>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1BDDB5BF">
      <w:pPr>
        <w:adjustRightInd w:val="0"/>
        <w:snapToGrid w:val="0"/>
        <w:spacing w:line="400" w:lineRule="exact"/>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14:paraId="451D1ECA">
      <w:pPr>
        <w:adjustRightInd w:val="0"/>
        <w:snapToGrid w:val="0"/>
        <w:spacing w:line="400" w:lineRule="exact"/>
        <w:ind w:right="480"/>
        <w:jc w:val="center"/>
        <w:rPr>
          <w:rFonts w:ascii="宋体" w:hAnsi="宋体"/>
          <w:b/>
          <w:color w:val="auto"/>
          <w:sz w:val="28"/>
        </w:rPr>
      </w:pPr>
      <w:r>
        <w:rPr>
          <w:rFonts w:hint="eastAsia" w:ascii="宋体" w:hAnsi="宋体" w:cs="仿宋_GB2312"/>
          <w:color w:val="auto"/>
          <w:kern w:val="0"/>
          <w:sz w:val="24"/>
          <w:lang w:val="zh-CN"/>
        </w:rPr>
        <w:t>日期：年 月 日</w:t>
      </w:r>
    </w:p>
    <w:p w14:paraId="27FCDED9">
      <w:pPr>
        <w:ind w:firstLine="703"/>
        <w:rPr>
          <w:rFonts w:ascii="宋体" w:hAnsi="宋体"/>
          <w:b/>
          <w:color w:val="auto"/>
          <w:sz w:val="28"/>
        </w:rPr>
      </w:pPr>
      <w:r>
        <w:rPr>
          <w:rFonts w:hint="eastAsia" w:ascii="宋体" w:hAnsi="宋体"/>
          <w:b/>
          <w:color w:val="auto"/>
          <w:sz w:val="28"/>
        </w:rPr>
        <w:br w:type="page"/>
      </w:r>
    </w:p>
    <w:p w14:paraId="23CBBD68">
      <w:pPr>
        <w:adjustRightInd w:val="0"/>
        <w:snapToGrid w:val="0"/>
        <w:spacing w:line="360" w:lineRule="auto"/>
        <w:ind w:right="480" w:firstLine="703"/>
        <w:rPr>
          <w:rFonts w:ascii="宋体"/>
          <w:b/>
          <w:color w:val="auto"/>
          <w:sz w:val="30"/>
          <w:szCs w:val="30"/>
        </w:rPr>
      </w:pPr>
      <w:r>
        <w:rPr>
          <w:rFonts w:hint="eastAsia" w:ascii="宋体" w:hAnsi="宋体"/>
          <w:b/>
          <w:color w:val="auto"/>
          <w:sz w:val="28"/>
        </w:rPr>
        <w:t>附件3</w:t>
      </w:r>
    </w:p>
    <w:p w14:paraId="5F122E18">
      <w:pPr>
        <w:spacing w:line="360" w:lineRule="auto"/>
        <w:ind w:firstLine="321" w:firstLineChars="100"/>
        <w:jc w:val="center"/>
        <w:rPr>
          <w:rFonts w:hAnsi="宋体"/>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14:paraId="12438126">
      <w:pPr>
        <w:snapToGrid w:val="0"/>
        <w:spacing w:beforeLines="50" w:after="50" w:line="360" w:lineRule="auto"/>
        <w:ind w:firstLine="240" w:firstLineChars="100"/>
        <w:rPr>
          <w:rFonts w:ascii="宋体" w:hAnsi="宋体" w:cs="宋体"/>
          <w:color w:val="auto"/>
          <w:kern w:val="0"/>
          <w:sz w:val="24"/>
        </w:rPr>
      </w:pPr>
      <w:r>
        <w:rPr>
          <w:rFonts w:hint="eastAsia" w:ascii="宋体" w:hAnsi="宋体" w:cs="宋体"/>
          <w:color w:val="auto"/>
          <w:kern w:val="0"/>
          <w:sz w:val="24"/>
        </w:rPr>
        <w:t>（采购代理机构名称）：</w:t>
      </w:r>
    </w:p>
    <w:p w14:paraId="4167831B">
      <w:pPr>
        <w:pStyle w:val="15"/>
        <w:spacing w:line="500" w:lineRule="exact"/>
        <w:ind w:left="240" w:hanging="240" w:hangingChars="100"/>
        <w:rPr>
          <w:rFonts w:hAnsi="宋体"/>
          <w:color w:val="auto"/>
          <w:sz w:val="24"/>
        </w:rPr>
      </w:pPr>
      <w:r>
        <w:rPr>
          <w:rFonts w:hAnsi="宋体"/>
          <w:color w:val="auto"/>
          <w:sz w:val="24"/>
          <w:u w:val="single"/>
        </w:rPr>
        <w:t xml:space="preserve">（投标人全称）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577E8315">
      <w:pPr>
        <w:pStyle w:val="15"/>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60B68DD2">
      <w:pPr>
        <w:pStyle w:val="15"/>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0D0B85C9">
      <w:pPr>
        <w:spacing w:line="360" w:lineRule="auto"/>
        <w:rPr>
          <w:color w:val="auto"/>
          <w:sz w:val="24"/>
        </w:rPr>
      </w:pPr>
    </w:p>
    <w:p w14:paraId="4DC90B44">
      <w:pPr>
        <w:spacing w:line="360" w:lineRule="auto"/>
        <w:rPr>
          <w:color w:val="auto"/>
          <w:sz w:val="24"/>
        </w:rPr>
      </w:pPr>
      <w:r>
        <w:rPr>
          <w:rFonts w:hint="eastAsia" w:ascii="宋体"/>
          <w:color w:val="auto"/>
          <w:sz w:val="24"/>
        </w:rPr>
        <w:t>法定代表人签字或盖章：</w:t>
      </w:r>
    </w:p>
    <w:p w14:paraId="266A1ABD">
      <w:pPr>
        <w:spacing w:line="360" w:lineRule="auto"/>
        <w:rPr>
          <w:color w:val="auto"/>
          <w:sz w:val="24"/>
        </w:rPr>
      </w:pPr>
    </w:p>
    <w:p w14:paraId="12FF5A63">
      <w:pPr>
        <w:spacing w:line="360" w:lineRule="auto"/>
        <w:rPr>
          <w:color w:val="auto"/>
          <w:sz w:val="24"/>
        </w:rPr>
      </w:pPr>
      <w:r>
        <w:rPr>
          <w:rFonts w:hint="eastAsia" w:ascii="宋体"/>
          <w:color w:val="auto"/>
          <w:sz w:val="24"/>
        </w:rPr>
        <w:t>投标人全称（公章）：                          日期：</w:t>
      </w:r>
      <w:r>
        <w:rPr>
          <w:rFonts w:hint="eastAsia" w:ascii="宋体" w:hAnsi="宋体" w:cs="仿宋_GB2312"/>
          <w:color w:val="auto"/>
          <w:kern w:val="0"/>
          <w:sz w:val="24"/>
          <w:lang w:val="zh-CN"/>
        </w:rPr>
        <w:t>年 月 日</w:t>
      </w:r>
    </w:p>
    <w:p w14:paraId="53785C49">
      <w:pPr>
        <w:spacing w:line="360" w:lineRule="auto"/>
        <w:ind w:firstLine="602"/>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30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C1DF622">
            <w:pPr>
              <w:spacing w:line="360" w:lineRule="auto"/>
              <w:ind w:firstLine="602"/>
              <w:rPr>
                <w:rFonts w:ascii="宋体"/>
                <w:b/>
                <w:color w:val="auto"/>
                <w:sz w:val="24"/>
              </w:rPr>
            </w:pPr>
          </w:p>
          <w:p w14:paraId="6BFF0D22">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14:paraId="3D55E53D">
      <w:pPr>
        <w:spacing w:line="360" w:lineRule="auto"/>
        <w:rPr>
          <w:color w:val="auto"/>
          <w:sz w:val="24"/>
        </w:rPr>
      </w:pPr>
      <w:r>
        <w:rPr>
          <w:rFonts w:hint="eastAsia" w:ascii="宋体"/>
          <w:color w:val="auto"/>
          <w:sz w:val="24"/>
        </w:rPr>
        <w:t xml:space="preserve">法定代表人姓名：                                 </w:t>
      </w:r>
    </w:p>
    <w:p w14:paraId="11F9AABB">
      <w:pPr>
        <w:spacing w:line="360" w:lineRule="auto"/>
        <w:rPr>
          <w:color w:val="auto"/>
          <w:sz w:val="24"/>
        </w:rPr>
      </w:pPr>
      <w:r>
        <w:rPr>
          <w:rFonts w:hint="eastAsia" w:ascii="宋体"/>
          <w:color w:val="auto"/>
          <w:sz w:val="24"/>
        </w:rPr>
        <w:t>传真：</w:t>
      </w:r>
    </w:p>
    <w:p w14:paraId="0C281BD1">
      <w:pPr>
        <w:spacing w:line="360" w:lineRule="auto"/>
        <w:rPr>
          <w:rFonts w:ascii="宋体"/>
          <w:color w:val="auto"/>
          <w:sz w:val="24"/>
        </w:rPr>
      </w:pPr>
      <w:r>
        <w:rPr>
          <w:rFonts w:hint="eastAsia" w:ascii="宋体"/>
          <w:color w:val="auto"/>
          <w:sz w:val="24"/>
        </w:rPr>
        <w:t>电话：</w:t>
      </w:r>
    </w:p>
    <w:p w14:paraId="698810F0">
      <w:pPr>
        <w:spacing w:line="360" w:lineRule="auto"/>
        <w:rPr>
          <w:color w:val="auto"/>
          <w:sz w:val="24"/>
        </w:rPr>
      </w:pPr>
      <w:r>
        <w:rPr>
          <w:rFonts w:hint="eastAsia" w:ascii="宋体"/>
          <w:color w:val="auto"/>
          <w:sz w:val="24"/>
        </w:rPr>
        <w:t>详细通讯地址：</w:t>
      </w:r>
    </w:p>
    <w:p w14:paraId="0863D06B">
      <w:pPr>
        <w:spacing w:line="360" w:lineRule="auto"/>
        <w:rPr>
          <w:rFonts w:ascii="宋体"/>
          <w:color w:val="auto"/>
          <w:sz w:val="24"/>
        </w:rPr>
      </w:pPr>
      <w:r>
        <w:rPr>
          <w:rFonts w:hint="eastAsia" w:ascii="宋体"/>
          <w:color w:val="auto"/>
          <w:sz w:val="24"/>
        </w:rPr>
        <w:t>邮政编码：</w:t>
      </w:r>
    </w:p>
    <w:p w14:paraId="7B06A048">
      <w:pPr>
        <w:spacing w:line="360" w:lineRule="auto"/>
        <w:ind w:firstLine="602"/>
        <w:rPr>
          <w:b/>
          <w:color w:val="auto"/>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2C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7A0C57F">
            <w:pPr>
              <w:spacing w:line="360" w:lineRule="auto"/>
              <w:ind w:firstLine="602"/>
              <w:rPr>
                <w:rFonts w:ascii="宋体"/>
                <w:b/>
                <w:color w:val="auto"/>
                <w:sz w:val="24"/>
              </w:rPr>
            </w:pPr>
          </w:p>
          <w:p w14:paraId="03206429">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14:paraId="5FC521AC">
      <w:pPr>
        <w:spacing w:line="360" w:lineRule="auto"/>
        <w:rPr>
          <w:rFonts w:ascii="宋体"/>
          <w:color w:val="auto"/>
          <w:sz w:val="24"/>
        </w:rPr>
      </w:pPr>
      <w:r>
        <w:rPr>
          <w:rFonts w:hint="eastAsia" w:ascii="宋体"/>
          <w:color w:val="auto"/>
          <w:sz w:val="24"/>
        </w:rPr>
        <w:t xml:space="preserve">全权代表姓名：       </w:t>
      </w:r>
    </w:p>
    <w:p w14:paraId="5714977B">
      <w:pPr>
        <w:spacing w:line="360" w:lineRule="auto"/>
        <w:rPr>
          <w:color w:val="auto"/>
          <w:sz w:val="24"/>
        </w:rPr>
      </w:pPr>
      <w:r>
        <w:rPr>
          <w:rFonts w:hint="eastAsia" w:ascii="宋体"/>
          <w:color w:val="auto"/>
          <w:sz w:val="24"/>
        </w:rPr>
        <w:t xml:space="preserve">职务：                           </w:t>
      </w:r>
    </w:p>
    <w:p w14:paraId="7EF959C4">
      <w:pPr>
        <w:spacing w:line="360" w:lineRule="auto"/>
        <w:rPr>
          <w:color w:val="auto"/>
          <w:sz w:val="24"/>
        </w:rPr>
      </w:pPr>
      <w:r>
        <w:rPr>
          <w:rFonts w:hint="eastAsia" w:ascii="宋体"/>
          <w:color w:val="auto"/>
          <w:sz w:val="24"/>
        </w:rPr>
        <w:t>传真：</w:t>
      </w:r>
    </w:p>
    <w:p w14:paraId="0DDFFAA3">
      <w:pPr>
        <w:spacing w:line="360" w:lineRule="auto"/>
        <w:rPr>
          <w:rFonts w:ascii="宋体"/>
          <w:color w:val="auto"/>
          <w:sz w:val="24"/>
        </w:rPr>
      </w:pPr>
      <w:r>
        <w:rPr>
          <w:rFonts w:hint="eastAsia" w:ascii="宋体"/>
          <w:color w:val="auto"/>
          <w:sz w:val="24"/>
        </w:rPr>
        <w:t>电话：</w:t>
      </w:r>
    </w:p>
    <w:p w14:paraId="5B69F0A5">
      <w:pPr>
        <w:spacing w:line="360" w:lineRule="auto"/>
        <w:rPr>
          <w:color w:val="auto"/>
          <w:sz w:val="24"/>
        </w:rPr>
      </w:pPr>
      <w:r>
        <w:rPr>
          <w:rFonts w:hint="eastAsia" w:ascii="宋体"/>
          <w:color w:val="auto"/>
          <w:sz w:val="24"/>
        </w:rPr>
        <w:t>详细通讯地址：</w:t>
      </w:r>
    </w:p>
    <w:p w14:paraId="5CCFAA56">
      <w:pPr>
        <w:spacing w:line="360" w:lineRule="auto"/>
        <w:rPr>
          <w:rFonts w:ascii="宋体"/>
          <w:color w:val="auto"/>
          <w:sz w:val="24"/>
        </w:rPr>
      </w:pPr>
      <w:r>
        <w:rPr>
          <w:rFonts w:hint="eastAsia" w:ascii="宋体"/>
          <w:color w:val="auto"/>
          <w:sz w:val="24"/>
        </w:rPr>
        <w:t>邮政编码：</w:t>
      </w:r>
    </w:p>
    <w:p w14:paraId="35E3CB21">
      <w:pPr>
        <w:ind w:firstLine="703"/>
        <w:rPr>
          <w:rFonts w:ascii="宋体" w:hAnsi="宋体"/>
          <w:b/>
          <w:color w:val="auto"/>
          <w:sz w:val="28"/>
        </w:rPr>
      </w:pPr>
      <w:r>
        <w:rPr>
          <w:rFonts w:hint="eastAsia" w:ascii="宋体" w:hAnsi="宋体"/>
          <w:b/>
          <w:color w:val="auto"/>
          <w:sz w:val="28"/>
        </w:rPr>
        <w:br w:type="page"/>
      </w:r>
    </w:p>
    <w:p w14:paraId="12A89245">
      <w:pPr>
        <w:adjustRightInd w:val="0"/>
        <w:snapToGrid w:val="0"/>
        <w:spacing w:line="360" w:lineRule="auto"/>
        <w:ind w:right="480" w:firstLine="703"/>
        <w:rPr>
          <w:rFonts w:ascii="宋体"/>
          <w:b/>
          <w:color w:val="auto"/>
          <w:sz w:val="30"/>
          <w:szCs w:val="30"/>
        </w:rPr>
      </w:pPr>
      <w:r>
        <w:rPr>
          <w:rFonts w:hint="eastAsia" w:ascii="宋体" w:hAnsi="宋体"/>
          <w:b/>
          <w:color w:val="auto"/>
          <w:sz w:val="28"/>
        </w:rPr>
        <w:t>附件4</w:t>
      </w:r>
    </w:p>
    <w:p w14:paraId="53B9C77F">
      <w:pPr>
        <w:spacing w:line="360" w:lineRule="auto"/>
        <w:ind w:firstLine="321" w:firstLineChars="100"/>
        <w:jc w:val="center"/>
        <w:rPr>
          <w:rFonts w:hAnsi="宋体"/>
          <w:b/>
          <w:color w:val="auto"/>
          <w:sz w:val="32"/>
          <w:szCs w:val="32"/>
          <w:u w:val="single"/>
        </w:rPr>
      </w:pPr>
      <w:r>
        <w:rPr>
          <w:rFonts w:hint="eastAsia" w:ascii="宋体" w:hAnsi="宋体" w:cs="宋体"/>
          <w:b/>
          <w:color w:val="auto"/>
          <w:sz w:val="32"/>
          <w:szCs w:val="32"/>
        </w:rPr>
        <w:t>符合参加政府采购活动应当具备的一般条件的承诺函</w:t>
      </w:r>
    </w:p>
    <w:p w14:paraId="1A0E2E83">
      <w:pPr>
        <w:spacing w:line="360" w:lineRule="auto"/>
        <w:ind w:left="420"/>
        <w:rPr>
          <w:rFonts w:ascii="宋体" w:hAnsi="宋体" w:cs="宋体"/>
          <w:bCs/>
          <w:color w:val="auto"/>
          <w:szCs w:val="21"/>
          <w:u w:val="single"/>
        </w:rPr>
      </w:pPr>
    </w:p>
    <w:p w14:paraId="63B7E32E">
      <w:pPr>
        <w:spacing w:line="360" w:lineRule="auto"/>
        <w:ind w:left="420"/>
        <w:rPr>
          <w:rFonts w:ascii="宋体" w:hAnsi="宋体" w:cs="宋体"/>
          <w:bCs/>
          <w:color w:val="auto"/>
          <w:sz w:val="24"/>
        </w:rPr>
      </w:pPr>
      <w:r>
        <w:rPr>
          <w:rFonts w:hint="eastAsia" w:ascii="宋体" w:hAnsi="宋体" w:cs="宋体"/>
          <w:color w:val="auto"/>
          <w:kern w:val="0"/>
          <w:sz w:val="24"/>
        </w:rPr>
        <w:t>（采购代理机构名称）</w:t>
      </w:r>
      <w:r>
        <w:rPr>
          <w:rFonts w:hint="eastAsia" w:ascii="宋体" w:hAnsi="宋体" w:cs="宋体"/>
          <w:bCs/>
          <w:color w:val="auto"/>
          <w:sz w:val="24"/>
        </w:rPr>
        <w:t>：</w:t>
      </w:r>
    </w:p>
    <w:p w14:paraId="057C82AF">
      <w:pPr>
        <w:spacing w:line="360" w:lineRule="auto"/>
        <w:ind w:left="420"/>
        <w:rPr>
          <w:rFonts w:ascii="宋体" w:hAnsi="宋体" w:cs="宋体"/>
          <w:color w:val="auto"/>
          <w:sz w:val="24"/>
        </w:rPr>
      </w:pPr>
      <w:r>
        <w:rPr>
          <w:rFonts w:hint="eastAsia" w:ascii="宋体" w:hAnsi="宋体" w:cs="宋体"/>
          <w:color w:val="auto"/>
          <w:sz w:val="24"/>
        </w:rPr>
        <w:t xml:space="preserve">    我公司参与</w:t>
      </w:r>
      <w:r>
        <w:rPr>
          <w:rFonts w:hint="eastAsia" w:ascii="宋体" w:hAnsi="宋体" w:cs="宋体"/>
          <w:color w:val="auto"/>
          <w:sz w:val="24"/>
          <w:u w:val="single"/>
        </w:rPr>
        <w:t>                       </w:t>
      </w:r>
      <w:r>
        <w:rPr>
          <w:rFonts w:hint="eastAsia" w:ascii="宋体" w:hAnsi="宋体" w:cs="宋体"/>
          <w:color w:val="auto"/>
          <w:sz w:val="24"/>
        </w:rPr>
        <w:t>（项目名称）（项目编号为：</w:t>
      </w:r>
      <w:r>
        <w:rPr>
          <w:rFonts w:hint="eastAsia" w:ascii="宋体" w:hAnsi="宋体" w:cs="宋体"/>
          <w:color w:val="auto"/>
          <w:sz w:val="24"/>
          <w:u w:val="single"/>
        </w:rPr>
        <w:t>         </w:t>
      </w:r>
      <w:r>
        <w:rPr>
          <w:rFonts w:hint="eastAsia" w:ascii="宋体" w:hAnsi="宋体" w:cs="宋体"/>
          <w:color w:val="auto"/>
          <w:sz w:val="24"/>
        </w:rPr>
        <w:t>）的政府采购活动，我公司郑重承诺：</w:t>
      </w:r>
    </w:p>
    <w:p w14:paraId="308A7BAE">
      <w:pPr>
        <w:spacing w:line="360" w:lineRule="auto"/>
        <w:ind w:left="420"/>
        <w:rPr>
          <w:rFonts w:ascii="宋体" w:hAnsi="宋体" w:cs="宋体"/>
          <w:color w:val="auto"/>
          <w:sz w:val="24"/>
        </w:rPr>
      </w:pPr>
      <w:r>
        <w:rPr>
          <w:rFonts w:hint="eastAsia" w:ascii="宋体" w:hAnsi="宋体" w:cs="宋体"/>
          <w:color w:val="auto"/>
          <w:sz w:val="24"/>
        </w:rPr>
        <w:t>（一）具备《中华人民共和国政府采购法》第二十二条规定的投标人资格条件：</w:t>
      </w:r>
    </w:p>
    <w:p w14:paraId="3237F7B0">
      <w:pPr>
        <w:spacing w:line="360" w:lineRule="auto"/>
        <w:ind w:left="420"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E56E49D">
      <w:pPr>
        <w:spacing w:line="360" w:lineRule="auto"/>
        <w:ind w:left="420" w:firstLine="480" w:firstLineChars="200"/>
        <w:rPr>
          <w:rFonts w:ascii="宋体" w:hAnsi="宋体" w:cs="宋体"/>
          <w:color w:val="auto"/>
          <w:sz w:val="24"/>
        </w:rPr>
      </w:pPr>
      <w:r>
        <w:rPr>
          <w:rFonts w:hint="eastAsia" w:ascii="宋体" w:hAnsi="宋体" w:cs="宋体"/>
          <w:color w:val="auto"/>
          <w:sz w:val="24"/>
        </w:rPr>
        <w:t>（2）具有良好的商业信誉和健全的财务会计制度；</w:t>
      </w:r>
    </w:p>
    <w:p w14:paraId="5A7EF32B">
      <w:pPr>
        <w:spacing w:line="360" w:lineRule="auto"/>
        <w:ind w:left="420"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A5A90BC">
      <w:pPr>
        <w:spacing w:line="360" w:lineRule="auto"/>
        <w:ind w:left="420"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7CAA92C">
      <w:pPr>
        <w:spacing w:line="360" w:lineRule="auto"/>
        <w:ind w:left="420"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B5E8052">
      <w:pPr>
        <w:spacing w:line="360" w:lineRule="auto"/>
        <w:ind w:left="420" w:firstLine="480" w:firstLineChars="200"/>
        <w:rPr>
          <w:rFonts w:ascii="宋体" w:hAnsi="宋体" w:cs="宋体"/>
          <w:color w:val="auto"/>
          <w:sz w:val="24"/>
        </w:rPr>
      </w:pPr>
      <w:r>
        <w:rPr>
          <w:rFonts w:hint="eastAsia" w:ascii="宋体" w:hAnsi="宋体" w:cs="宋体"/>
          <w:color w:val="auto"/>
          <w:sz w:val="24"/>
        </w:rPr>
        <w:t>（6）法律、行政法规规定的其他条件。</w:t>
      </w:r>
    </w:p>
    <w:p w14:paraId="558F74D9">
      <w:pPr>
        <w:spacing w:line="360" w:lineRule="auto"/>
        <w:ind w:left="42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456E952">
      <w:pPr>
        <w:pStyle w:val="143"/>
        <w:rPr>
          <w:color w:val="auto"/>
        </w:rPr>
      </w:pPr>
    </w:p>
    <w:p w14:paraId="4C94B182">
      <w:pPr>
        <w:pStyle w:val="143"/>
        <w:rPr>
          <w:color w:val="auto"/>
        </w:rPr>
      </w:pPr>
    </w:p>
    <w:p w14:paraId="0B687819">
      <w:pPr>
        <w:pStyle w:val="143"/>
        <w:rPr>
          <w:color w:val="auto"/>
        </w:rPr>
      </w:pPr>
    </w:p>
    <w:p w14:paraId="690A227D">
      <w:pPr>
        <w:pStyle w:val="143"/>
        <w:rPr>
          <w:color w:val="auto"/>
        </w:rPr>
      </w:pPr>
    </w:p>
    <w:p w14:paraId="3B1D566F">
      <w:pPr>
        <w:adjustRightInd w:val="0"/>
        <w:snapToGrid w:val="0"/>
        <w:spacing w:line="400" w:lineRule="exact"/>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46E462B8">
      <w:pPr>
        <w:adjustRightInd w:val="0"/>
        <w:snapToGrid w:val="0"/>
        <w:spacing w:line="400" w:lineRule="exact"/>
        <w:ind w:firstLine="480" w:firstLineChars="200"/>
        <w:rPr>
          <w:rFonts w:ascii="宋体" w:hAnsi="宋体" w:cs="仿宋_GB2312"/>
          <w:color w:val="auto"/>
          <w:kern w:val="0"/>
          <w:sz w:val="24"/>
          <w:lang w:val="zh-CN"/>
        </w:rPr>
      </w:pPr>
    </w:p>
    <w:p w14:paraId="00E28933">
      <w:pPr>
        <w:adjustRightInd w:val="0"/>
        <w:snapToGrid w:val="0"/>
        <w:spacing w:line="400" w:lineRule="exact"/>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法定代表人或授权委托人（签字或盖章）：</w:t>
      </w:r>
    </w:p>
    <w:p w14:paraId="0332489F">
      <w:pPr>
        <w:adjustRightInd w:val="0"/>
        <w:snapToGrid w:val="0"/>
        <w:spacing w:line="400" w:lineRule="exact"/>
        <w:ind w:firstLine="480" w:firstLineChars="200"/>
        <w:rPr>
          <w:rFonts w:ascii="宋体" w:hAnsi="宋体" w:cs="仿宋_GB2312"/>
          <w:color w:val="auto"/>
          <w:kern w:val="0"/>
          <w:sz w:val="24"/>
          <w:lang w:val="zh-CN"/>
        </w:rPr>
      </w:pPr>
    </w:p>
    <w:p w14:paraId="1B1D7CB4">
      <w:pPr>
        <w:adjustRightInd w:val="0"/>
        <w:snapToGrid w:val="0"/>
        <w:spacing w:line="400" w:lineRule="exact"/>
        <w:ind w:firstLine="480" w:firstLineChars="200"/>
        <w:rPr>
          <w:rFonts w:ascii="宋体" w:hAnsi="宋体"/>
          <w:b/>
          <w:color w:val="auto"/>
          <w:sz w:val="24"/>
        </w:rPr>
      </w:pPr>
      <w:r>
        <w:rPr>
          <w:rFonts w:hint="eastAsia" w:ascii="宋体" w:hAnsi="宋体" w:cs="仿宋_GB2312"/>
          <w:color w:val="auto"/>
          <w:kern w:val="0"/>
          <w:sz w:val="24"/>
          <w:lang w:val="zh-CN"/>
        </w:rPr>
        <w:t>日期：年 月 日</w:t>
      </w:r>
      <w:r>
        <w:rPr>
          <w:rFonts w:hint="eastAsia" w:ascii="宋体" w:hAnsi="宋体"/>
          <w:b/>
          <w:color w:val="auto"/>
          <w:sz w:val="24"/>
        </w:rPr>
        <w:br w:type="page"/>
      </w:r>
    </w:p>
    <w:p w14:paraId="048BBC9A">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附件5：</w:t>
      </w:r>
    </w:p>
    <w:p w14:paraId="1F95E1A6">
      <w:pPr>
        <w:snapToGrid w:val="0"/>
        <w:spacing w:before="156" w:beforeLines="50" w:after="50" w:line="360" w:lineRule="auto"/>
        <w:jc w:val="right"/>
        <w:rPr>
          <w:rFonts w:ascii="仿宋_GB2312" w:hAnsi="宋体" w:eastAsia="仿宋_GB2312"/>
          <w:bCs/>
          <w:color w:val="auto"/>
          <w:sz w:val="30"/>
          <w:szCs w:val="30"/>
          <w:highlight w:val="none"/>
        </w:rPr>
      </w:pPr>
    </w:p>
    <w:p w14:paraId="157E2A9B">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53890FF">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1E2E9CFF">
      <w:pPr>
        <w:autoSpaceDE w:val="0"/>
        <w:autoSpaceDN w:val="0"/>
        <w:adjustRightInd w:val="0"/>
        <w:spacing w:line="360" w:lineRule="auto"/>
        <w:jc w:val="center"/>
        <w:rPr>
          <w:rFonts w:ascii="宋体" w:hAnsi="宋体" w:cs="宋体"/>
          <w:color w:val="auto"/>
          <w:sz w:val="84"/>
          <w:szCs w:val="84"/>
          <w:highlight w:val="none"/>
          <w:lang w:val="zh-CN"/>
        </w:rPr>
      </w:pPr>
    </w:p>
    <w:p w14:paraId="7D2E5EB3">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099D912">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882EE19">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6AA6BA7C">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066738C">
      <w:pPr>
        <w:spacing w:after="100" w:afterAutospacing="1" w:line="360" w:lineRule="auto"/>
        <w:ind w:right="-108"/>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14:paraId="5000546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53E1092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5E781A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0773B70B">
      <w:pPr>
        <w:spacing w:line="360" w:lineRule="auto"/>
        <w:ind w:right="532" w:firstLine="720" w:firstLineChars="200"/>
        <w:rPr>
          <w:rFonts w:ascii="宋体" w:hAnsi="宋体"/>
          <w:color w:val="auto"/>
          <w:sz w:val="36"/>
          <w:szCs w:val="36"/>
          <w:highlight w:val="none"/>
        </w:rPr>
      </w:pPr>
    </w:p>
    <w:p w14:paraId="66DB2915">
      <w:pPr>
        <w:spacing w:line="360" w:lineRule="auto"/>
        <w:ind w:right="532" w:firstLine="720" w:firstLineChars="200"/>
        <w:rPr>
          <w:rFonts w:ascii="宋体" w:hAnsi="宋体"/>
          <w:color w:val="auto"/>
          <w:sz w:val="36"/>
          <w:szCs w:val="36"/>
        </w:rPr>
      </w:pPr>
    </w:p>
    <w:p w14:paraId="65CFD484">
      <w:pPr>
        <w:snapToGrid w:val="0"/>
        <w:spacing w:before="50" w:after="50" w:line="360" w:lineRule="auto"/>
        <w:ind w:firstLine="904"/>
        <w:rPr>
          <w:rFonts w:ascii="仿宋_GB2312" w:hAnsi="宋体" w:eastAsia="仿宋_GB2312"/>
          <w:b/>
          <w:color w:val="auto"/>
          <w:sz w:val="36"/>
          <w:szCs w:val="36"/>
        </w:rPr>
      </w:pPr>
    </w:p>
    <w:p w14:paraId="5D4E9CE6">
      <w:pPr>
        <w:snapToGrid w:val="0"/>
        <w:spacing w:before="50" w:after="50" w:line="360" w:lineRule="auto"/>
        <w:ind w:firstLine="803"/>
        <w:jc w:val="center"/>
        <w:rPr>
          <w:rFonts w:ascii="宋体" w:hAnsi="宋体"/>
          <w:b/>
          <w:bCs/>
          <w:color w:val="auto"/>
          <w:sz w:val="32"/>
          <w:szCs w:val="32"/>
          <w:lang w:val="zh-CN"/>
        </w:rPr>
      </w:pPr>
    </w:p>
    <w:p w14:paraId="7B36BDFE">
      <w:pPr>
        <w:snapToGrid w:val="0"/>
        <w:spacing w:before="50" w:after="50" w:line="360" w:lineRule="auto"/>
        <w:ind w:firstLine="1104"/>
        <w:jc w:val="center"/>
        <w:rPr>
          <w:rFonts w:ascii="宋体" w:hAnsi="宋体"/>
          <w:b/>
          <w:bCs/>
          <w:color w:val="auto"/>
          <w:sz w:val="44"/>
          <w:szCs w:val="44"/>
        </w:rPr>
      </w:pPr>
      <w:r>
        <w:rPr>
          <w:rFonts w:hint="eastAsia" w:ascii="宋体" w:hAnsi="宋体"/>
          <w:b/>
          <w:bCs/>
          <w:color w:val="auto"/>
          <w:sz w:val="44"/>
          <w:szCs w:val="44"/>
          <w:lang w:val="zh-CN"/>
        </w:rPr>
        <w:t>商务与技术文件</w:t>
      </w:r>
      <w:r>
        <w:rPr>
          <w:rFonts w:hint="eastAsia" w:ascii="宋体" w:hAnsi="宋体"/>
          <w:b/>
          <w:bCs/>
          <w:color w:val="auto"/>
          <w:sz w:val="44"/>
          <w:szCs w:val="44"/>
        </w:rPr>
        <w:t>目录</w:t>
      </w:r>
    </w:p>
    <w:p w14:paraId="557F535F">
      <w:pPr>
        <w:pStyle w:val="24"/>
        <w:ind w:firstLine="904"/>
        <w:rPr>
          <w:color w:val="auto"/>
        </w:rPr>
      </w:pPr>
      <w:r>
        <w:rPr>
          <w:rFonts w:hint="eastAsia" w:ascii="宋体" w:hAnsi="宋体"/>
          <w:color w:val="auto"/>
          <w:szCs w:val="36"/>
        </w:rPr>
        <w:t>（</w:t>
      </w:r>
      <w:r>
        <w:rPr>
          <w:rFonts w:hint="eastAsia" w:ascii="宋体" w:hAnsi="宋体"/>
          <w:color w:val="auto"/>
          <w:szCs w:val="36"/>
          <w:u w:val="single"/>
        </w:rPr>
        <w:t>仅供参考</w:t>
      </w:r>
      <w:r>
        <w:rPr>
          <w:rFonts w:hint="eastAsia" w:ascii="宋体" w:hAnsi="宋体"/>
          <w:color w:val="auto"/>
          <w:szCs w:val="36"/>
        </w:rPr>
        <w:t>）</w:t>
      </w:r>
    </w:p>
    <w:p w14:paraId="77787A57">
      <w:pPr>
        <w:snapToGrid w:val="0"/>
        <w:spacing w:line="360" w:lineRule="auto"/>
        <w:ind w:firstLine="560" w:firstLineChars="200"/>
        <w:rPr>
          <w:rFonts w:ascii="宋体" w:hAnsi="宋体"/>
          <w:color w:val="auto"/>
          <w:sz w:val="28"/>
          <w:szCs w:val="28"/>
        </w:rPr>
      </w:pPr>
    </w:p>
    <w:p w14:paraId="09A36CED">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1、得分自查表（</w:t>
      </w:r>
      <w:r>
        <w:rPr>
          <w:rFonts w:hint="eastAsia" w:ascii="宋体" w:hAnsi="宋体"/>
          <w:color w:val="auto"/>
          <w:sz w:val="28"/>
          <w:szCs w:val="28"/>
          <w:u w:val="single"/>
        </w:rPr>
        <w:t>附件16</w:t>
      </w:r>
      <w:r>
        <w:rPr>
          <w:rFonts w:hint="eastAsia" w:ascii="宋体" w:hAnsi="宋体"/>
          <w:color w:val="auto"/>
          <w:sz w:val="28"/>
          <w:szCs w:val="28"/>
        </w:rPr>
        <w:t>）</w:t>
      </w:r>
    </w:p>
    <w:p w14:paraId="63697415">
      <w:pPr>
        <w:snapToGrid w:val="0"/>
        <w:spacing w:line="360" w:lineRule="auto"/>
        <w:ind w:firstLine="548" w:firstLineChars="196"/>
        <w:rPr>
          <w:rFonts w:ascii="宋体" w:hAnsi="宋体"/>
          <w:color w:val="auto"/>
          <w:kern w:val="0"/>
          <w:sz w:val="28"/>
          <w:szCs w:val="28"/>
        </w:rPr>
      </w:pPr>
      <w:r>
        <w:rPr>
          <w:rFonts w:hint="eastAsia" w:ascii="宋体" w:hAnsi="宋体"/>
          <w:color w:val="auto"/>
          <w:kern w:val="0"/>
          <w:sz w:val="28"/>
          <w:szCs w:val="28"/>
        </w:rPr>
        <w:t>2、投标人基本情况表（附件6）</w:t>
      </w:r>
    </w:p>
    <w:p w14:paraId="5338BF9B">
      <w:pPr>
        <w:snapToGrid w:val="0"/>
        <w:spacing w:line="360" w:lineRule="auto"/>
        <w:ind w:firstLine="548" w:firstLineChars="196"/>
        <w:rPr>
          <w:rFonts w:ascii="宋体" w:hAnsi="宋体"/>
          <w:color w:val="auto"/>
          <w:kern w:val="0"/>
          <w:sz w:val="28"/>
          <w:szCs w:val="28"/>
        </w:rPr>
      </w:pPr>
      <w:r>
        <w:rPr>
          <w:rFonts w:hint="eastAsia" w:ascii="宋体" w:hAnsi="宋体"/>
          <w:color w:val="auto"/>
          <w:kern w:val="0"/>
          <w:sz w:val="28"/>
          <w:szCs w:val="28"/>
        </w:rPr>
        <w:t>3、项目实施人员一览表(附件7）</w:t>
      </w:r>
    </w:p>
    <w:p w14:paraId="2EC73441">
      <w:pPr>
        <w:snapToGrid w:val="0"/>
        <w:spacing w:line="360" w:lineRule="auto"/>
        <w:ind w:firstLine="548" w:firstLineChars="196"/>
        <w:rPr>
          <w:rFonts w:ascii="宋体" w:hAnsi="宋体"/>
          <w:color w:val="auto"/>
          <w:kern w:val="0"/>
          <w:sz w:val="28"/>
          <w:szCs w:val="28"/>
        </w:rPr>
      </w:pPr>
      <w:r>
        <w:rPr>
          <w:rFonts w:hint="eastAsia" w:ascii="宋体" w:hAnsi="宋体"/>
          <w:color w:val="auto"/>
          <w:kern w:val="0"/>
          <w:sz w:val="28"/>
          <w:szCs w:val="28"/>
        </w:rPr>
        <w:t>4、项目负责人资格情况表（附件8）</w:t>
      </w:r>
    </w:p>
    <w:p w14:paraId="1A3FF7A1">
      <w:pPr>
        <w:snapToGrid w:val="0"/>
        <w:spacing w:line="360" w:lineRule="auto"/>
        <w:ind w:firstLine="548" w:firstLineChars="196"/>
        <w:rPr>
          <w:rFonts w:ascii="宋体" w:hAnsi="宋体"/>
          <w:color w:val="auto"/>
          <w:kern w:val="0"/>
          <w:sz w:val="28"/>
          <w:szCs w:val="28"/>
        </w:rPr>
      </w:pPr>
      <w:r>
        <w:rPr>
          <w:rFonts w:hint="eastAsia" w:ascii="宋体" w:hAnsi="宋体"/>
          <w:color w:val="auto"/>
          <w:kern w:val="0"/>
          <w:sz w:val="28"/>
          <w:szCs w:val="28"/>
        </w:rPr>
        <w:t>5、技术及商务需求响应表（附件9）</w:t>
      </w:r>
    </w:p>
    <w:p w14:paraId="0075B115">
      <w:pPr>
        <w:snapToGrid w:val="0"/>
        <w:spacing w:line="360" w:lineRule="auto"/>
        <w:ind w:firstLine="548" w:firstLineChars="196"/>
        <w:rPr>
          <w:rFonts w:ascii="宋体" w:hAnsi="宋体"/>
          <w:color w:val="auto"/>
          <w:kern w:val="0"/>
          <w:sz w:val="28"/>
          <w:szCs w:val="28"/>
        </w:rPr>
      </w:pPr>
      <w:r>
        <w:rPr>
          <w:rFonts w:hint="eastAsia" w:ascii="宋体" w:hAnsi="宋体"/>
          <w:color w:val="auto"/>
          <w:kern w:val="0"/>
          <w:sz w:val="28"/>
          <w:szCs w:val="28"/>
        </w:rPr>
        <w:t>6、证书一览表（附件10）</w:t>
      </w:r>
    </w:p>
    <w:p w14:paraId="4373FFD1">
      <w:pPr>
        <w:snapToGrid w:val="0"/>
        <w:spacing w:line="360" w:lineRule="auto"/>
        <w:ind w:firstLine="548" w:firstLineChars="196"/>
        <w:rPr>
          <w:rFonts w:ascii="宋体" w:hAnsi="宋体"/>
          <w:color w:val="auto"/>
          <w:kern w:val="0"/>
          <w:sz w:val="28"/>
          <w:szCs w:val="28"/>
        </w:rPr>
      </w:pPr>
      <w:r>
        <w:rPr>
          <w:rFonts w:hint="eastAsia" w:ascii="宋体" w:hAnsi="宋体"/>
          <w:color w:val="auto"/>
          <w:kern w:val="0"/>
          <w:sz w:val="28"/>
          <w:szCs w:val="28"/>
        </w:rPr>
        <w:t>7、投标人类似项目业绩（附件11）</w:t>
      </w:r>
    </w:p>
    <w:p w14:paraId="51ED1900">
      <w:pPr>
        <w:snapToGrid w:val="0"/>
        <w:spacing w:line="360" w:lineRule="auto"/>
        <w:ind w:firstLine="551" w:firstLineChars="196"/>
        <w:rPr>
          <w:rFonts w:ascii="宋体" w:hAnsi="宋体"/>
          <w:b/>
          <w:bCs/>
          <w:color w:val="auto"/>
          <w:kern w:val="0"/>
          <w:sz w:val="28"/>
          <w:szCs w:val="28"/>
          <w:lang w:val="zh-CN"/>
        </w:rPr>
      </w:pPr>
      <w:r>
        <w:rPr>
          <w:rFonts w:hint="eastAsia" w:ascii="宋体" w:hAnsi="宋体"/>
          <w:b/>
          <w:bCs/>
          <w:color w:val="auto"/>
          <w:kern w:val="0"/>
          <w:sz w:val="28"/>
          <w:szCs w:val="28"/>
        </w:rPr>
        <w:t>8、技术方案：</w:t>
      </w:r>
      <w:r>
        <w:rPr>
          <w:rFonts w:hint="eastAsia" w:ascii="宋体" w:hAnsi="宋体"/>
          <w:b/>
          <w:bCs/>
          <w:color w:val="auto"/>
          <w:kern w:val="0"/>
          <w:sz w:val="28"/>
          <w:szCs w:val="28"/>
          <w:lang w:val="zh-CN"/>
        </w:rPr>
        <w:t>（自行编制，格式自拟）</w:t>
      </w:r>
    </w:p>
    <w:p w14:paraId="664F9BAF">
      <w:pPr>
        <w:snapToGrid w:val="0"/>
        <w:spacing w:line="360" w:lineRule="auto"/>
        <w:ind w:firstLine="548" w:firstLineChars="196"/>
        <w:rPr>
          <w:rFonts w:ascii="宋体" w:hAnsi="宋体"/>
          <w:color w:val="auto"/>
          <w:kern w:val="0"/>
          <w:sz w:val="28"/>
          <w:szCs w:val="28"/>
        </w:rPr>
      </w:pPr>
      <w:r>
        <w:rPr>
          <w:rFonts w:hint="eastAsia" w:ascii="宋体" w:hAnsi="宋体"/>
          <w:color w:val="auto"/>
          <w:kern w:val="0"/>
          <w:sz w:val="28"/>
          <w:szCs w:val="28"/>
        </w:rPr>
        <w:t>9、投标人</w:t>
      </w:r>
      <w:r>
        <w:rPr>
          <w:rFonts w:ascii="宋体" w:hAnsi="宋体"/>
          <w:color w:val="auto"/>
          <w:kern w:val="0"/>
          <w:sz w:val="28"/>
          <w:szCs w:val="28"/>
        </w:rPr>
        <w:t>需要说明的其他</w:t>
      </w:r>
      <w:r>
        <w:rPr>
          <w:rFonts w:hint="eastAsia" w:ascii="宋体" w:hAnsi="宋体"/>
          <w:color w:val="auto"/>
          <w:kern w:val="0"/>
          <w:sz w:val="28"/>
          <w:szCs w:val="28"/>
        </w:rPr>
        <w:t>内容（包括可能影响投标人企业实力、技术性能评分项的各类证明材料）</w:t>
      </w:r>
    </w:p>
    <w:p w14:paraId="6BD5C5FC">
      <w:pPr>
        <w:pStyle w:val="48"/>
        <w:shd w:val="clear" w:color="auto" w:fill="FFFFFF"/>
        <w:spacing w:before="0" w:beforeAutospacing="0" w:after="0" w:afterAutospacing="0" w:line="360" w:lineRule="auto"/>
        <w:ind w:firstLine="703"/>
        <w:rPr>
          <w:b/>
          <w:color w:val="auto"/>
          <w:sz w:val="28"/>
        </w:rPr>
      </w:pPr>
    </w:p>
    <w:p w14:paraId="2169F429">
      <w:pPr>
        <w:ind w:firstLine="703"/>
        <w:rPr>
          <w:b/>
          <w:color w:val="auto"/>
          <w:sz w:val="28"/>
        </w:rPr>
      </w:pPr>
      <w:r>
        <w:rPr>
          <w:rFonts w:hint="eastAsia"/>
          <w:b/>
          <w:color w:val="auto"/>
          <w:sz w:val="28"/>
        </w:rPr>
        <w:br w:type="page"/>
      </w:r>
    </w:p>
    <w:p w14:paraId="3098A206">
      <w:pPr>
        <w:pStyle w:val="48"/>
        <w:shd w:val="clear" w:color="auto" w:fill="FFFFFF"/>
        <w:spacing w:before="0" w:beforeAutospacing="0" w:after="0" w:afterAutospacing="0" w:line="400" w:lineRule="exact"/>
        <w:ind w:firstLine="703"/>
        <w:rPr>
          <w:b/>
          <w:color w:val="auto"/>
          <w:sz w:val="28"/>
        </w:rPr>
      </w:pPr>
      <w:r>
        <w:rPr>
          <w:rFonts w:hint="eastAsia"/>
          <w:b/>
          <w:color w:val="auto"/>
          <w:sz w:val="28"/>
        </w:rPr>
        <w:t>附件6</w:t>
      </w:r>
    </w:p>
    <w:p w14:paraId="612859FB">
      <w:pPr>
        <w:pStyle w:val="48"/>
        <w:shd w:val="clear" w:color="auto" w:fill="FFFFFF"/>
        <w:spacing w:before="0" w:beforeAutospacing="0" w:after="0" w:afterAutospacing="0" w:line="400" w:lineRule="exact"/>
        <w:ind w:firstLine="803"/>
        <w:jc w:val="center"/>
        <w:rPr>
          <w:b/>
          <w:bCs/>
          <w:color w:val="auto"/>
          <w:spacing w:val="21"/>
          <w:sz w:val="32"/>
          <w:szCs w:val="32"/>
        </w:rPr>
      </w:pPr>
      <w:r>
        <w:rPr>
          <w:rFonts w:hint="eastAsia"/>
          <w:b/>
          <w:color w:val="auto"/>
          <w:sz w:val="32"/>
          <w:szCs w:val="32"/>
        </w:rPr>
        <w:t xml:space="preserve">  投标</w:t>
      </w:r>
      <w:r>
        <w:rPr>
          <w:rFonts w:hint="eastAsia"/>
          <w:b/>
          <w:bCs/>
          <w:color w:val="auto"/>
          <w:spacing w:val="21"/>
          <w:sz w:val="32"/>
          <w:szCs w:val="32"/>
        </w:rPr>
        <w:t>人基本情况表</w:t>
      </w:r>
    </w:p>
    <w:tbl>
      <w:tblPr>
        <w:tblStyle w:val="26"/>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38"/>
        <w:gridCol w:w="648"/>
      </w:tblGrid>
      <w:tr w14:paraId="388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14:paraId="0A06795B">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企业名称</w:t>
            </w:r>
          </w:p>
        </w:tc>
        <w:tc>
          <w:tcPr>
            <w:tcW w:w="4462" w:type="dxa"/>
            <w:gridSpan w:val="6"/>
            <w:vAlign w:val="center"/>
          </w:tcPr>
          <w:p w14:paraId="46C3A25E">
            <w:pPr>
              <w:pStyle w:val="48"/>
              <w:shd w:val="clear" w:color="auto" w:fill="FFFFFF"/>
              <w:spacing w:before="0" w:beforeAutospacing="0" w:after="0" w:afterAutospacing="0" w:line="280" w:lineRule="exact"/>
              <w:jc w:val="center"/>
              <w:rPr>
                <w:bCs/>
                <w:color w:val="auto"/>
                <w:sz w:val="21"/>
                <w:szCs w:val="21"/>
                <w:highlight w:val="none"/>
              </w:rPr>
            </w:pPr>
          </w:p>
        </w:tc>
        <w:tc>
          <w:tcPr>
            <w:tcW w:w="1574" w:type="dxa"/>
            <w:gridSpan w:val="3"/>
            <w:vAlign w:val="center"/>
          </w:tcPr>
          <w:p w14:paraId="69EE8BFD">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法人代表</w:t>
            </w:r>
          </w:p>
        </w:tc>
        <w:tc>
          <w:tcPr>
            <w:tcW w:w="1786" w:type="dxa"/>
            <w:gridSpan w:val="2"/>
            <w:vAlign w:val="center"/>
          </w:tcPr>
          <w:p w14:paraId="02167207">
            <w:pPr>
              <w:pStyle w:val="48"/>
              <w:shd w:val="clear" w:color="auto" w:fill="FFFFFF"/>
              <w:spacing w:before="0" w:beforeAutospacing="0" w:after="0" w:afterAutospacing="0" w:line="280" w:lineRule="exact"/>
              <w:jc w:val="center"/>
              <w:rPr>
                <w:bCs/>
                <w:color w:val="auto"/>
                <w:sz w:val="21"/>
                <w:szCs w:val="21"/>
                <w:highlight w:val="none"/>
              </w:rPr>
            </w:pPr>
          </w:p>
        </w:tc>
      </w:tr>
      <w:tr w14:paraId="6DE9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14:paraId="0A5C5587">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27"/>
                <w:sz w:val="21"/>
                <w:szCs w:val="21"/>
                <w:highlight w:val="none"/>
              </w:rPr>
              <w:t>地址</w:t>
            </w:r>
          </w:p>
        </w:tc>
        <w:tc>
          <w:tcPr>
            <w:tcW w:w="4462" w:type="dxa"/>
            <w:gridSpan w:val="6"/>
            <w:tcBorders>
              <w:bottom w:val="single" w:color="auto" w:sz="4" w:space="0"/>
            </w:tcBorders>
            <w:vAlign w:val="center"/>
          </w:tcPr>
          <w:p w14:paraId="20ABAAAD">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Align w:val="center"/>
          </w:tcPr>
          <w:p w14:paraId="43EA73D3">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企业性质</w:t>
            </w:r>
          </w:p>
        </w:tc>
        <w:tc>
          <w:tcPr>
            <w:tcW w:w="1786" w:type="dxa"/>
            <w:gridSpan w:val="2"/>
            <w:vAlign w:val="center"/>
          </w:tcPr>
          <w:p w14:paraId="77582008">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23AD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14:paraId="708DB38A">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27"/>
                <w:sz w:val="21"/>
                <w:szCs w:val="21"/>
                <w:highlight w:val="none"/>
              </w:rPr>
              <w:t>股东姓名</w:t>
            </w:r>
          </w:p>
        </w:tc>
        <w:tc>
          <w:tcPr>
            <w:tcW w:w="818" w:type="dxa"/>
            <w:tcBorders>
              <w:bottom w:val="single" w:color="auto" w:sz="4" w:space="0"/>
            </w:tcBorders>
            <w:vAlign w:val="center"/>
          </w:tcPr>
          <w:p w14:paraId="63EE9E42">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867" w:type="dxa"/>
            <w:tcBorders>
              <w:bottom w:val="single" w:color="auto" w:sz="4" w:space="0"/>
            </w:tcBorders>
            <w:vAlign w:val="center"/>
          </w:tcPr>
          <w:p w14:paraId="4475EAD6">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股权结构（%）</w:t>
            </w:r>
          </w:p>
        </w:tc>
        <w:tc>
          <w:tcPr>
            <w:tcW w:w="2777" w:type="dxa"/>
            <w:gridSpan w:val="4"/>
            <w:tcBorders>
              <w:bottom w:val="single" w:color="auto" w:sz="4" w:space="0"/>
            </w:tcBorders>
            <w:vAlign w:val="center"/>
          </w:tcPr>
          <w:p w14:paraId="757B3478">
            <w:pPr>
              <w:widowControl/>
              <w:spacing w:line="280" w:lineRule="exact"/>
              <w:jc w:val="center"/>
              <w:rPr>
                <w:rFonts w:ascii="宋体" w:hAnsi="宋体" w:cs="宋体"/>
                <w:bCs/>
                <w:color w:val="auto"/>
                <w:spacing w:val="16"/>
                <w:kern w:val="0"/>
                <w:szCs w:val="21"/>
                <w:highlight w:val="none"/>
              </w:rPr>
            </w:pPr>
          </w:p>
          <w:p w14:paraId="4BC44C5D">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Align w:val="center"/>
          </w:tcPr>
          <w:p w14:paraId="06BE43E0">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股东关系</w:t>
            </w:r>
          </w:p>
        </w:tc>
        <w:tc>
          <w:tcPr>
            <w:tcW w:w="1786" w:type="dxa"/>
            <w:gridSpan w:val="2"/>
            <w:vAlign w:val="center"/>
          </w:tcPr>
          <w:p w14:paraId="594EDAED">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7EF0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14:paraId="28E5677D">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818" w:type="dxa"/>
            <w:vMerge w:val="restart"/>
            <w:tcBorders>
              <w:top w:val="nil"/>
            </w:tcBorders>
            <w:vAlign w:val="center"/>
          </w:tcPr>
          <w:p w14:paraId="624EF4F9">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867" w:type="dxa"/>
            <w:tcBorders>
              <w:top w:val="nil"/>
              <w:bottom w:val="single" w:color="auto" w:sz="4" w:space="0"/>
            </w:tcBorders>
            <w:vAlign w:val="center"/>
          </w:tcPr>
          <w:p w14:paraId="709859CD">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固定电话</w:t>
            </w:r>
          </w:p>
        </w:tc>
        <w:tc>
          <w:tcPr>
            <w:tcW w:w="2777" w:type="dxa"/>
            <w:gridSpan w:val="4"/>
            <w:tcBorders>
              <w:top w:val="nil"/>
              <w:bottom w:val="single" w:color="auto" w:sz="4" w:space="0"/>
            </w:tcBorders>
            <w:vAlign w:val="center"/>
          </w:tcPr>
          <w:p w14:paraId="0AF11C67">
            <w:pPr>
              <w:widowControl/>
              <w:spacing w:line="280" w:lineRule="exact"/>
              <w:jc w:val="center"/>
              <w:rPr>
                <w:rFonts w:ascii="宋体" w:hAnsi="宋体" w:cs="宋体"/>
                <w:bCs/>
                <w:color w:val="auto"/>
                <w:spacing w:val="16"/>
                <w:kern w:val="0"/>
                <w:szCs w:val="21"/>
                <w:highlight w:val="none"/>
              </w:rPr>
            </w:pPr>
          </w:p>
          <w:p w14:paraId="6438A457">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Merge w:val="restart"/>
            <w:vAlign w:val="center"/>
          </w:tcPr>
          <w:p w14:paraId="3D03DBF6">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传真</w:t>
            </w:r>
          </w:p>
        </w:tc>
        <w:tc>
          <w:tcPr>
            <w:tcW w:w="1786" w:type="dxa"/>
            <w:gridSpan w:val="2"/>
            <w:vMerge w:val="restart"/>
            <w:vAlign w:val="center"/>
          </w:tcPr>
          <w:p w14:paraId="399BBC53">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26DF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14:paraId="7CEFBA94">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Merge w:val="continue"/>
            <w:tcBorders>
              <w:bottom w:val="single" w:color="auto" w:sz="4" w:space="0"/>
            </w:tcBorders>
            <w:vAlign w:val="center"/>
          </w:tcPr>
          <w:p w14:paraId="7B0B3223">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867" w:type="dxa"/>
            <w:tcBorders>
              <w:bottom w:val="single" w:color="auto" w:sz="4" w:space="0"/>
            </w:tcBorders>
            <w:vAlign w:val="center"/>
          </w:tcPr>
          <w:p w14:paraId="665E40F3">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27"/>
                <w:sz w:val="21"/>
                <w:szCs w:val="21"/>
                <w:highlight w:val="none"/>
              </w:rPr>
              <w:t>手机</w:t>
            </w:r>
          </w:p>
        </w:tc>
        <w:tc>
          <w:tcPr>
            <w:tcW w:w="2777" w:type="dxa"/>
            <w:gridSpan w:val="4"/>
            <w:tcBorders>
              <w:bottom w:val="single" w:color="auto" w:sz="4" w:space="0"/>
            </w:tcBorders>
            <w:vAlign w:val="center"/>
          </w:tcPr>
          <w:p w14:paraId="5307E9FF">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Merge w:val="continue"/>
            <w:vAlign w:val="center"/>
          </w:tcPr>
          <w:p w14:paraId="67C179B1">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786" w:type="dxa"/>
            <w:gridSpan w:val="2"/>
            <w:vMerge w:val="continue"/>
            <w:vAlign w:val="center"/>
          </w:tcPr>
          <w:p w14:paraId="3EE06A18">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1661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14:paraId="06796591">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1.</w:t>
            </w:r>
          </w:p>
          <w:p w14:paraId="013D82D9">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企</w:t>
            </w:r>
          </w:p>
          <w:p w14:paraId="1531F60E">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业</w:t>
            </w:r>
          </w:p>
          <w:p w14:paraId="434B4391">
            <w:pPr>
              <w:pStyle w:val="48"/>
              <w:shd w:val="clear" w:color="auto" w:fill="FFFFFF"/>
              <w:spacing w:before="0" w:beforeAutospacing="0" w:after="0" w:afterAutospacing="0" w:line="280" w:lineRule="exact"/>
              <w:jc w:val="center"/>
              <w:rPr>
                <w:bCs/>
                <w:color w:val="auto"/>
                <w:spacing w:val="27"/>
                <w:sz w:val="21"/>
                <w:szCs w:val="21"/>
                <w:highlight w:val="none"/>
              </w:rPr>
            </w:pPr>
            <w:r>
              <w:rPr>
                <w:rFonts w:hint="eastAsia"/>
                <w:bCs/>
                <w:color w:val="auto"/>
                <w:spacing w:val="27"/>
                <w:sz w:val="21"/>
                <w:szCs w:val="21"/>
                <w:highlight w:val="none"/>
              </w:rPr>
              <w:t>概</w:t>
            </w:r>
          </w:p>
          <w:p w14:paraId="63530DB2">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况</w:t>
            </w:r>
          </w:p>
        </w:tc>
        <w:tc>
          <w:tcPr>
            <w:tcW w:w="818" w:type="dxa"/>
            <w:tcBorders>
              <w:top w:val="nil"/>
            </w:tcBorders>
            <w:vAlign w:val="center"/>
          </w:tcPr>
          <w:p w14:paraId="09623810">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职工人数</w:t>
            </w:r>
          </w:p>
        </w:tc>
        <w:tc>
          <w:tcPr>
            <w:tcW w:w="867" w:type="dxa"/>
            <w:tcBorders>
              <w:top w:val="nil"/>
            </w:tcBorders>
            <w:vAlign w:val="center"/>
          </w:tcPr>
          <w:p w14:paraId="0F34CDB6">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33" w:type="dxa"/>
            <w:gridSpan w:val="3"/>
            <w:tcBorders>
              <w:top w:val="nil"/>
            </w:tcBorders>
            <w:vAlign w:val="center"/>
          </w:tcPr>
          <w:p w14:paraId="4499829B">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44" w:type="dxa"/>
            <w:tcBorders>
              <w:top w:val="nil"/>
            </w:tcBorders>
            <w:vAlign w:val="center"/>
          </w:tcPr>
          <w:p w14:paraId="060851A2">
            <w:pPr>
              <w:widowControl/>
              <w:spacing w:line="280" w:lineRule="exact"/>
              <w:jc w:val="center"/>
              <w:rPr>
                <w:rFonts w:ascii="宋体" w:hAnsi="宋体" w:cs="宋体"/>
                <w:bCs/>
                <w:color w:val="auto"/>
                <w:spacing w:val="16"/>
                <w:kern w:val="0"/>
                <w:szCs w:val="21"/>
                <w:highlight w:val="none"/>
              </w:rPr>
            </w:pPr>
          </w:p>
          <w:p w14:paraId="3720D1B3">
            <w:pPr>
              <w:widowControl/>
              <w:spacing w:line="280" w:lineRule="exact"/>
              <w:jc w:val="center"/>
              <w:rPr>
                <w:rFonts w:ascii="宋体" w:hAnsi="宋体" w:cs="宋体"/>
                <w:bCs/>
                <w:color w:val="auto"/>
                <w:spacing w:val="16"/>
                <w:kern w:val="0"/>
                <w:szCs w:val="21"/>
                <w:highlight w:val="none"/>
              </w:rPr>
            </w:pPr>
          </w:p>
          <w:p w14:paraId="2FA53B12">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Align w:val="center"/>
          </w:tcPr>
          <w:p w14:paraId="30275615">
            <w:pPr>
              <w:pStyle w:val="48"/>
              <w:shd w:val="clear" w:color="auto" w:fill="FFFFFF"/>
              <w:spacing w:before="0" w:beforeAutospacing="0" w:after="0" w:afterAutospacing="0" w:line="280" w:lineRule="exact"/>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1786" w:type="dxa"/>
            <w:gridSpan w:val="2"/>
            <w:vAlign w:val="center"/>
          </w:tcPr>
          <w:p w14:paraId="45F4375A">
            <w:pPr>
              <w:widowControl/>
              <w:spacing w:line="280" w:lineRule="exact"/>
              <w:jc w:val="center"/>
              <w:rPr>
                <w:rFonts w:ascii="宋体" w:hAnsi="宋体" w:cs="宋体"/>
                <w:bCs/>
                <w:color w:val="auto"/>
                <w:spacing w:val="16"/>
                <w:kern w:val="0"/>
                <w:szCs w:val="21"/>
                <w:highlight w:val="none"/>
              </w:rPr>
            </w:pPr>
          </w:p>
          <w:p w14:paraId="79358C21">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4575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14:paraId="416A2CA0">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Align w:val="center"/>
          </w:tcPr>
          <w:p w14:paraId="57FDB945">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占地面积</w:t>
            </w:r>
          </w:p>
        </w:tc>
        <w:tc>
          <w:tcPr>
            <w:tcW w:w="867" w:type="dxa"/>
            <w:vAlign w:val="center"/>
          </w:tcPr>
          <w:p w14:paraId="62678E1F">
            <w:pPr>
              <w:pStyle w:val="48"/>
              <w:shd w:val="clear" w:color="auto" w:fill="FFFFFF"/>
              <w:spacing w:before="0" w:beforeAutospacing="0" w:after="0" w:afterAutospacing="0" w:line="280" w:lineRule="exact"/>
              <w:jc w:val="center"/>
              <w:rPr>
                <w:bCs/>
                <w:color w:val="auto"/>
                <w:sz w:val="21"/>
                <w:szCs w:val="21"/>
                <w:highlight w:val="none"/>
              </w:rPr>
            </w:pPr>
          </w:p>
        </w:tc>
        <w:tc>
          <w:tcPr>
            <w:tcW w:w="1426" w:type="dxa"/>
            <w:gridSpan w:val="2"/>
            <w:vAlign w:val="center"/>
          </w:tcPr>
          <w:p w14:paraId="707D73DD">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建筑面积</w:t>
            </w:r>
          </w:p>
        </w:tc>
        <w:tc>
          <w:tcPr>
            <w:tcW w:w="1351" w:type="dxa"/>
            <w:gridSpan w:val="2"/>
            <w:vAlign w:val="center"/>
          </w:tcPr>
          <w:p w14:paraId="1BDADBB0">
            <w:pPr>
              <w:pStyle w:val="48"/>
              <w:shd w:val="clear" w:color="auto" w:fill="FFFFFF"/>
              <w:spacing w:before="0" w:beforeAutospacing="0" w:after="0" w:afterAutospacing="0" w:line="280" w:lineRule="exact"/>
              <w:ind w:firstLine="210" w:firstLineChars="100"/>
              <w:jc w:val="both"/>
              <w:rPr>
                <w:bCs/>
                <w:color w:val="auto"/>
                <w:sz w:val="21"/>
                <w:szCs w:val="21"/>
                <w:highlight w:val="none"/>
              </w:rPr>
            </w:pPr>
            <w:r>
              <w:rPr>
                <w:rFonts w:hint="eastAsia"/>
                <w:bCs/>
                <w:color w:val="auto"/>
                <w:sz w:val="21"/>
                <w:szCs w:val="21"/>
                <w:highlight w:val="none"/>
              </w:rPr>
              <w:t>平方米</w:t>
            </w:r>
          </w:p>
          <w:p w14:paraId="3BCFBE10">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□自有</w:t>
            </w:r>
          </w:p>
          <w:p w14:paraId="4FEEEA9B">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□租賃</w:t>
            </w:r>
          </w:p>
        </w:tc>
        <w:tc>
          <w:tcPr>
            <w:tcW w:w="1574" w:type="dxa"/>
            <w:gridSpan w:val="3"/>
            <w:vAlign w:val="center"/>
          </w:tcPr>
          <w:p w14:paraId="77FE0D77">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生产经营场所及场所的设施与设备</w:t>
            </w:r>
          </w:p>
        </w:tc>
        <w:tc>
          <w:tcPr>
            <w:tcW w:w="1786" w:type="dxa"/>
            <w:gridSpan w:val="2"/>
            <w:vAlign w:val="center"/>
          </w:tcPr>
          <w:p w14:paraId="2F0F1576">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6A5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14:paraId="0EFD2414">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Align w:val="center"/>
          </w:tcPr>
          <w:p w14:paraId="3BBF8E53">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注册资金</w:t>
            </w:r>
          </w:p>
        </w:tc>
        <w:tc>
          <w:tcPr>
            <w:tcW w:w="867" w:type="dxa"/>
            <w:vAlign w:val="center"/>
          </w:tcPr>
          <w:p w14:paraId="46C5043B">
            <w:pPr>
              <w:pStyle w:val="48"/>
              <w:shd w:val="clear" w:color="auto" w:fill="FFFFFF"/>
              <w:spacing w:before="0" w:beforeAutospacing="0" w:after="0" w:afterAutospacing="0" w:line="280" w:lineRule="exact"/>
              <w:jc w:val="center"/>
              <w:rPr>
                <w:bCs/>
                <w:color w:val="auto"/>
                <w:sz w:val="21"/>
                <w:szCs w:val="21"/>
                <w:highlight w:val="none"/>
              </w:rPr>
            </w:pPr>
          </w:p>
        </w:tc>
        <w:tc>
          <w:tcPr>
            <w:tcW w:w="1426" w:type="dxa"/>
            <w:gridSpan w:val="2"/>
            <w:vAlign w:val="center"/>
          </w:tcPr>
          <w:p w14:paraId="7043A1BB">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2925" w:type="dxa"/>
            <w:gridSpan w:val="5"/>
            <w:vAlign w:val="center"/>
          </w:tcPr>
          <w:p w14:paraId="6D7A3D7E">
            <w:pPr>
              <w:widowControl/>
              <w:spacing w:line="280" w:lineRule="exact"/>
              <w:jc w:val="center"/>
              <w:rPr>
                <w:rFonts w:ascii="宋体" w:hAnsi="宋体" w:cs="宋体"/>
                <w:bCs/>
                <w:color w:val="auto"/>
                <w:kern w:val="0"/>
                <w:szCs w:val="21"/>
                <w:highlight w:val="none"/>
              </w:rPr>
            </w:pPr>
          </w:p>
          <w:p w14:paraId="03A3A557">
            <w:pPr>
              <w:pStyle w:val="48"/>
              <w:shd w:val="clear" w:color="auto" w:fill="FFFFFF"/>
              <w:spacing w:before="0" w:beforeAutospacing="0" w:after="0" w:afterAutospacing="0" w:line="280" w:lineRule="exact"/>
              <w:jc w:val="center"/>
              <w:rPr>
                <w:bCs/>
                <w:color w:val="auto"/>
                <w:sz w:val="21"/>
                <w:szCs w:val="21"/>
                <w:highlight w:val="none"/>
              </w:rPr>
            </w:pPr>
          </w:p>
        </w:tc>
        <w:tc>
          <w:tcPr>
            <w:tcW w:w="1138" w:type="dxa"/>
            <w:vAlign w:val="center"/>
          </w:tcPr>
          <w:p w14:paraId="48369B79">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648" w:type="dxa"/>
            <w:vAlign w:val="center"/>
          </w:tcPr>
          <w:p w14:paraId="6011E605">
            <w:pPr>
              <w:pStyle w:val="48"/>
              <w:shd w:val="clear" w:color="auto" w:fill="FFFFFF"/>
              <w:spacing w:before="0" w:beforeAutospacing="0" w:after="0" w:afterAutospacing="0" w:line="280" w:lineRule="exact"/>
              <w:jc w:val="center"/>
              <w:rPr>
                <w:bCs/>
                <w:color w:val="auto"/>
                <w:sz w:val="21"/>
                <w:szCs w:val="21"/>
                <w:highlight w:val="none"/>
              </w:rPr>
            </w:pPr>
          </w:p>
        </w:tc>
      </w:tr>
      <w:tr w14:paraId="64C4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14:paraId="5565C9BD">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Align w:val="center"/>
          </w:tcPr>
          <w:p w14:paraId="1A094482">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核准经营范围</w:t>
            </w:r>
          </w:p>
        </w:tc>
        <w:tc>
          <w:tcPr>
            <w:tcW w:w="7004" w:type="dxa"/>
            <w:gridSpan w:val="10"/>
            <w:vAlign w:val="center"/>
          </w:tcPr>
          <w:p w14:paraId="68A0F3E9">
            <w:pPr>
              <w:pStyle w:val="48"/>
              <w:shd w:val="clear" w:color="auto" w:fill="FFFFFF"/>
              <w:spacing w:before="0" w:beforeAutospacing="0" w:after="0" w:afterAutospacing="0" w:line="280" w:lineRule="exact"/>
              <w:jc w:val="center"/>
              <w:rPr>
                <w:bCs/>
                <w:color w:val="auto"/>
                <w:sz w:val="21"/>
                <w:szCs w:val="21"/>
                <w:highlight w:val="none"/>
              </w:rPr>
            </w:pPr>
          </w:p>
        </w:tc>
      </w:tr>
      <w:tr w14:paraId="20BA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14:paraId="06C1BB6F">
            <w:pPr>
              <w:pStyle w:val="48"/>
              <w:shd w:val="clear" w:color="auto" w:fill="FFFFFF"/>
              <w:spacing w:before="0" w:beforeAutospacing="0" w:after="0" w:afterAutospacing="0" w:line="280" w:lineRule="exact"/>
              <w:jc w:val="center"/>
              <w:rPr>
                <w:bCs/>
                <w:color w:val="auto"/>
                <w:sz w:val="21"/>
                <w:szCs w:val="21"/>
                <w:highlight w:val="none"/>
              </w:rPr>
            </w:pPr>
          </w:p>
        </w:tc>
        <w:tc>
          <w:tcPr>
            <w:tcW w:w="7822" w:type="dxa"/>
            <w:gridSpan w:val="11"/>
            <w:vAlign w:val="center"/>
          </w:tcPr>
          <w:p w14:paraId="53E45068">
            <w:pPr>
              <w:pStyle w:val="48"/>
              <w:shd w:val="clear" w:color="auto" w:fill="FFFFFF"/>
              <w:spacing w:before="0" w:beforeAutospacing="0" w:after="0" w:afterAutospacing="0" w:line="280" w:lineRule="exact"/>
              <w:jc w:val="center"/>
              <w:rPr>
                <w:bCs/>
                <w:color w:val="auto"/>
                <w:spacing w:val="13"/>
                <w:sz w:val="21"/>
                <w:szCs w:val="21"/>
                <w:highlight w:val="none"/>
              </w:rPr>
            </w:pPr>
            <w:r>
              <w:rPr>
                <w:rFonts w:hint="eastAsia"/>
                <w:bCs/>
                <w:color w:val="auto"/>
                <w:spacing w:val="13"/>
                <w:sz w:val="21"/>
                <w:szCs w:val="21"/>
                <w:highlight w:val="none"/>
              </w:rPr>
              <w:t>发展历程及主要荣誉：</w:t>
            </w:r>
          </w:p>
        </w:tc>
      </w:tr>
      <w:tr w14:paraId="0EDA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14:paraId="5AAA7986">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z w:val="21"/>
                <w:szCs w:val="21"/>
                <w:highlight w:val="none"/>
              </w:rPr>
              <w:t>2．企</w:t>
            </w:r>
            <w:r>
              <w:rPr>
                <w:rFonts w:hint="eastAsia"/>
                <w:bCs/>
                <w:color w:val="auto"/>
                <w:spacing w:val="12"/>
                <w:sz w:val="21"/>
                <w:szCs w:val="21"/>
                <w:highlight w:val="none"/>
              </w:rPr>
              <w:t>业有关资质获证情况</w:t>
            </w:r>
          </w:p>
        </w:tc>
        <w:tc>
          <w:tcPr>
            <w:tcW w:w="1685" w:type="dxa"/>
            <w:gridSpan w:val="2"/>
            <w:vMerge w:val="restart"/>
            <w:vAlign w:val="center"/>
          </w:tcPr>
          <w:p w14:paraId="0202EDC0">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359" w:type="dxa"/>
            <w:vAlign w:val="center"/>
          </w:tcPr>
          <w:p w14:paraId="69C63F5D">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产品名称</w:t>
            </w:r>
          </w:p>
        </w:tc>
        <w:tc>
          <w:tcPr>
            <w:tcW w:w="1626" w:type="dxa"/>
            <w:gridSpan w:val="4"/>
            <w:vAlign w:val="center"/>
          </w:tcPr>
          <w:p w14:paraId="0EC54818">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发证机关</w:t>
            </w:r>
          </w:p>
        </w:tc>
        <w:tc>
          <w:tcPr>
            <w:tcW w:w="1276" w:type="dxa"/>
            <w:vAlign w:val="center"/>
          </w:tcPr>
          <w:p w14:paraId="59543B8D">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编号</w:t>
            </w:r>
          </w:p>
        </w:tc>
        <w:tc>
          <w:tcPr>
            <w:tcW w:w="1228" w:type="dxa"/>
            <w:gridSpan w:val="2"/>
            <w:vAlign w:val="center"/>
          </w:tcPr>
          <w:p w14:paraId="12BC21FB">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发证时间</w:t>
            </w:r>
          </w:p>
        </w:tc>
        <w:tc>
          <w:tcPr>
            <w:tcW w:w="648" w:type="dxa"/>
            <w:vAlign w:val="center"/>
          </w:tcPr>
          <w:p w14:paraId="7060488E">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期限</w:t>
            </w:r>
          </w:p>
        </w:tc>
      </w:tr>
      <w:tr w14:paraId="3D9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14:paraId="326D65D4">
            <w:pPr>
              <w:pStyle w:val="48"/>
              <w:shd w:val="clear" w:color="auto" w:fill="FFFFFF"/>
              <w:spacing w:before="0" w:beforeAutospacing="0" w:after="0" w:afterAutospacing="0" w:line="280" w:lineRule="exact"/>
              <w:jc w:val="center"/>
              <w:rPr>
                <w:bCs/>
                <w:color w:val="auto"/>
                <w:sz w:val="21"/>
                <w:szCs w:val="21"/>
                <w:highlight w:val="none"/>
              </w:rPr>
            </w:pPr>
          </w:p>
        </w:tc>
        <w:tc>
          <w:tcPr>
            <w:tcW w:w="1685" w:type="dxa"/>
            <w:gridSpan w:val="2"/>
            <w:vMerge w:val="continue"/>
            <w:vAlign w:val="center"/>
          </w:tcPr>
          <w:p w14:paraId="1715F639">
            <w:pPr>
              <w:pStyle w:val="48"/>
              <w:shd w:val="clear" w:color="auto" w:fill="FFFFFF"/>
              <w:spacing w:before="0" w:beforeAutospacing="0" w:after="0" w:afterAutospacing="0" w:line="280" w:lineRule="exact"/>
              <w:jc w:val="center"/>
              <w:rPr>
                <w:bCs/>
                <w:color w:val="auto"/>
                <w:sz w:val="21"/>
                <w:szCs w:val="21"/>
                <w:highlight w:val="none"/>
              </w:rPr>
            </w:pPr>
          </w:p>
        </w:tc>
        <w:tc>
          <w:tcPr>
            <w:tcW w:w="1359" w:type="dxa"/>
            <w:vAlign w:val="center"/>
          </w:tcPr>
          <w:p w14:paraId="44E5F95C">
            <w:pPr>
              <w:pStyle w:val="48"/>
              <w:shd w:val="clear" w:color="auto" w:fill="FFFFFF"/>
              <w:spacing w:before="0" w:beforeAutospacing="0" w:after="0" w:afterAutospacing="0" w:line="280" w:lineRule="exact"/>
              <w:jc w:val="center"/>
              <w:rPr>
                <w:bCs/>
                <w:color w:val="auto"/>
                <w:sz w:val="21"/>
                <w:szCs w:val="21"/>
                <w:highlight w:val="none"/>
              </w:rPr>
            </w:pPr>
          </w:p>
        </w:tc>
        <w:tc>
          <w:tcPr>
            <w:tcW w:w="1626" w:type="dxa"/>
            <w:gridSpan w:val="4"/>
            <w:vAlign w:val="center"/>
          </w:tcPr>
          <w:p w14:paraId="6E1AAA32">
            <w:pPr>
              <w:pStyle w:val="48"/>
              <w:shd w:val="clear" w:color="auto" w:fill="FFFFFF"/>
              <w:spacing w:before="0" w:beforeAutospacing="0" w:after="0" w:afterAutospacing="0" w:line="280" w:lineRule="exact"/>
              <w:jc w:val="center"/>
              <w:rPr>
                <w:bCs/>
                <w:color w:val="auto"/>
                <w:sz w:val="21"/>
                <w:szCs w:val="21"/>
                <w:highlight w:val="none"/>
              </w:rPr>
            </w:pPr>
          </w:p>
        </w:tc>
        <w:tc>
          <w:tcPr>
            <w:tcW w:w="1276" w:type="dxa"/>
            <w:vAlign w:val="center"/>
          </w:tcPr>
          <w:p w14:paraId="3C4A0DF8">
            <w:pPr>
              <w:pStyle w:val="48"/>
              <w:shd w:val="clear" w:color="auto" w:fill="FFFFFF"/>
              <w:spacing w:before="0" w:beforeAutospacing="0" w:after="0" w:afterAutospacing="0" w:line="280" w:lineRule="exact"/>
              <w:jc w:val="center"/>
              <w:rPr>
                <w:bCs/>
                <w:color w:val="auto"/>
                <w:sz w:val="21"/>
                <w:szCs w:val="21"/>
                <w:highlight w:val="none"/>
              </w:rPr>
            </w:pPr>
          </w:p>
        </w:tc>
        <w:tc>
          <w:tcPr>
            <w:tcW w:w="1876" w:type="dxa"/>
            <w:gridSpan w:val="3"/>
            <w:vAlign w:val="center"/>
          </w:tcPr>
          <w:p w14:paraId="16934993">
            <w:pPr>
              <w:pStyle w:val="48"/>
              <w:shd w:val="clear" w:color="auto" w:fill="FFFFFF"/>
              <w:spacing w:before="0" w:beforeAutospacing="0" w:after="0" w:afterAutospacing="0" w:line="280" w:lineRule="exact"/>
              <w:jc w:val="center"/>
              <w:rPr>
                <w:bCs/>
                <w:color w:val="auto"/>
                <w:sz w:val="21"/>
                <w:szCs w:val="21"/>
                <w:highlight w:val="none"/>
              </w:rPr>
            </w:pPr>
          </w:p>
        </w:tc>
      </w:tr>
      <w:tr w14:paraId="412A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14:paraId="3F558A31">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685" w:type="dxa"/>
            <w:gridSpan w:val="2"/>
            <w:vAlign w:val="center"/>
          </w:tcPr>
          <w:p w14:paraId="0BCE65CF">
            <w:pPr>
              <w:pStyle w:val="48"/>
              <w:shd w:val="clear" w:color="auto" w:fill="FFFFFF"/>
              <w:spacing w:before="0" w:beforeAutospacing="0" w:after="0" w:afterAutospacing="0" w:line="280" w:lineRule="exact"/>
              <w:jc w:val="center"/>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137" w:type="dxa"/>
            <w:gridSpan w:val="9"/>
            <w:vAlign w:val="center"/>
          </w:tcPr>
          <w:p w14:paraId="54A65862">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3F6D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14:paraId="38AD2C32">
            <w:pPr>
              <w:pStyle w:val="48"/>
              <w:shd w:val="clear" w:color="auto" w:fill="FFFFFF"/>
              <w:spacing w:before="0" w:beforeAutospacing="0" w:after="0" w:afterAutospacing="0" w:line="280" w:lineRule="exact"/>
              <w:jc w:val="center"/>
              <w:rPr>
                <w:bCs/>
                <w:color w:val="auto"/>
                <w:spacing w:val="27"/>
                <w:sz w:val="21"/>
                <w:szCs w:val="21"/>
                <w:highlight w:val="none"/>
              </w:rPr>
            </w:pPr>
          </w:p>
        </w:tc>
        <w:tc>
          <w:tcPr>
            <w:tcW w:w="1685" w:type="dxa"/>
            <w:gridSpan w:val="2"/>
            <w:vAlign w:val="center"/>
          </w:tcPr>
          <w:p w14:paraId="25984390">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0"/>
                <w:sz w:val="21"/>
                <w:szCs w:val="21"/>
                <w:highlight w:val="none"/>
              </w:rPr>
              <w:t>企业获得专利情况</w:t>
            </w:r>
          </w:p>
        </w:tc>
        <w:tc>
          <w:tcPr>
            <w:tcW w:w="6137" w:type="dxa"/>
            <w:gridSpan w:val="9"/>
            <w:vAlign w:val="center"/>
          </w:tcPr>
          <w:p w14:paraId="295589A3">
            <w:pPr>
              <w:pStyle w:val="48"/>
              <w:shd w:val="clear" w:color="auto" w:fill="FFFFFF"/>
              <w:spacing w:before="0" w:beforeAutospacing="0" w:after="0" w:afterAutospacing="0" w:line="280" w:lineRule="exact"/>
              <w:jc w:val="center"/>
              <w:rPr>
                <w:bCs/>
                <w:color w:val="auto"/>
                <w:spacing w:val="16"/>
                <w:sz w:val="21"/>
                <w:szCs w:val="21"/>
                <w:highlight w:val="none"/>
              </w:rPr>
            </w:pPr>
          </w:p>
        </w:tc>
      </w:tr>
    </w:tbl>
    <w:p w14:paraId="21895BD1">
      <w:pPr>
        <w:pStyle w:val="48"/>
        <w:shd w:val="clear" w:color="auto" w:fill="FFFFFF"/>
        <w:spacing w:before="0" w:beforeAutospacing="0" w:after="0" w:afterAutospacing="0" w:line="360" w:lineRule="auto"/>
        <w:ind w:firstLine="527"/>
        <w:rPr>
          <w:color w:val="auto"/>
          <w:sz w:val="21"/>
          <w:szCs w:val="21"/>
        </w:rPr>
      </w:pPr>
      <w:r>
        <w:rPr>
          <w:rFonts w:hint="eastAsia"/>
          <w:b/>
          <w:color w:val="auto"/>
          <w:sz w:val="21"/>
          <w:szCs w:val="21"/>
        </w:rPr>
        <w:t>要求：</w:t>
      </w:r>
      <w:r>
        <w:rPr>
          <w:rFonts w:hint="eastAsia"/>
          <w:color w:val="auto"/>
          <w:sz w:val="21"/>
          <w:szCs w:val="21"/>
        </w:rPr>
        <w:t>姓名栏必须将所有股东都统计在内，若非股份公司此行（第三行）无需填写。</w:t>
      </w:r>
    </w:p>
    <w:p w14:paraId="76906D5C">
      <w:pPr>
        <w:spacing w:line="360" w:lineRule="auto"/>
        <w:rPr>
          <w:rFonts w:ascii="宋体" w:hAnsi="宋体"/>
          <w:color w:val="auto"/>
          <w:sz w:val="24"/>
        </w:rPr>
      </w:pPr>
    </w:p>
    <w:p w14:paraId="4404E535">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14:paraId="3339A665">
      <w:pPr>
        <w:spacing w:line="360" w:lineRule="auto"/>
        <w:ind w:firstLine="424" w:firstLineChars="177"/>
        <w:rPr>
          <w:rFonts w:ascii="宋体" w:hAnsi="宋体"/>
          <w:color w:val="auto"/>
          <w:sz w:val="24"/>
        </w:rPr>
      </w:pPr>
      <w:r>
        <w:rPr>
          <w:rFonts w:hint="eastAsia" w:ascii="宋体" w:hAnsi="宋体"/>
          <w:color w:val="auto"/>
          <w:sz w:val="24"/>
          <w:lang w:val="zh-CN"/>
        </w:rPr>
        <w:t>法定代表人或授权委托人（签字或盖章）</w:t>
      </w:r>
      <w:r>
        <w:rPr>
          <w:rFonts w:hint="eastAsia" w:ascii="宋体" w:hAnsi="宋体"/>
          <w:color w:val="auto"/>
          <w:sz w:val="24"/>
        </w:rPr>
        <w:t>：</w:t>
      </w:r>
    </w:p>
    <w:p w14:paraId="5F0E6B47">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17BEF6EF">
      <w:pPr>
        <w:pStyle w:val="48"/>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14:paraId="20100FBB">
      <w:pPr>
        <w:spacing w:line="360" w:lineRule="auto"/>
        <w:ind w:firstLine="602"/>
        <w:rPr>
          <w:rFonts w:ascii="宋体" w:hAnsi="宋体"/>
          <w:b/>
          <w:color w:val="auto"/>
          <w:sz w:val="24"/>
        </w:rPr>
      </w:pPr>
    </w:p>
    <w:p w14:paraId="3CF3CC31">
      <w:pPr>
        <w:ind w:firstLine="703"/>
        <w:rPr>
          <w:rFonts w:ascii="宋体" w:hAnsi="宋体"/>
          <w:b/>
          <w:color w:val="auto"/>
          <w:sz w:val="28"/>
        </w:rPr>
      </w:pPr>
      <w:r>
        <w:rPr>
          <w:rFonts w:hint="eastAsia" w:ascii="宋体" w:hAnsi="宋体"/>
          <w:b/>
          <w:color w:val="auto"/>
          <w:sz w:val="28"/>
        </w:rPr>
        <w:br w:type="page"/>
      </w:r>
    </w:p>
    <w:p w14:paraId="4141821E">
      <w:pPr>
        <w:spacing w:line="360" w:lineRule="auto"/>
        <w:ind w:firstLine="703"/>
        <w:rPr>
          <w:rFonts w:ascii="宋体" w:hAnsi="宋体"/>
          <w:color w:val="auto"/>
          <w:sz w:val="24"/>
        </w:rPr>
      </w:pPr>
      <w:r>
        <w:rPr>
          <w:rFonts w:hint="eastAsia" w:ascii="宋体" w:hAnsi="宋体"/>
          <w:b/>
          <w:color w:val="auto"/>
          <w:sz w:val="28"/>
        </w:rPr>
        <w:t>附件7</w:t>
      </w:r>
    </w:p>
    <w:p w14:paraId="2A7C6518">
      <w:pPr>
        <w:snapToGrid w:val="0"/>
        <w:spacing w:beforeLines="50" w:after="50" w:line="360" w:lineRule="auto"/>
        <w:ind w:firstLine="803"/>
        <w:jc w:val="center"/>
        <w:rPr>
          <w:rFonts w:ascii="宋体" w:hAnsi="宋体"/>
          <w:b/>
          <w:color w:val="auto"/>
          <w:sz w:val="32"/>
          <w:szCs w:val="32"/>
        </w:rPr>
      </w:pPr>
      <w:r>
        <w:rPr>
          <w:rFonts w:hint="eastAsia" w:ascii="宋体" w:hAnsi="宋体"/>
          <w:b/>
          <w:color w:val="auto"/>
          <w:sz w:val="32"/>
          <w:szCs w:val="32"/>
        </w:rPr>
        <w:t>项目实施人员一览表</w:t>
      </w:r>
    </w:p>
    <w:p w14:paraId="26B5C6DD">
      <w:pPr>
        <w:snapToGrid w:val="0"/>
        <w:spacing w:beforeLines="50" w:after="50" w:line="360" w:lineRule="auto"/>
        <w:jc w:val="center"/>
        <w:rPr>
          <w:rFonts w:ascii="宋体" w:hAnsi="宋体"/>
          <w:color w:val="auto"/>
          <w:sz w:val="24"/>
        </w:rPr>
      </w:pPr>
      <w:r>
        <w:rPr>
          <w:rFonts w:hint="eastAsia" w:ascii="宋体" w:hAnsi="宋体"/>
          <w:color w:val="auto"/>
          <w:sz w:val="24"/>
        </w:rPr>
        <w:t>（主要从业人员及其技术资格）</w:t>
      </w:r>
    </w:p>
    <w:tbl>
      <w:tblPr>
        <w:tblStyle w:val="26"/>
        <w:tblW w:w="9069"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685"/>
        <w:gridCol w:w="780"/>
        <w:gridCol w:w="1129"/>
        <w:gridCol w:w="795"/>
        <w:gridCol w:w="1276"/>
        <w:gridCol w:w="865"/>
        <w:gridCol w:w="1440"/>
        <w:gridCol w:w="1095"/>
      </w:tblGrid>
      <w:tr w14:paraId="2D681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3C6995BE">
            <w:pPr>
              <w:snapToGrid w:val="0"/>
              <w:spacing w:beforeLines="50" w:after="50" w:line="360" w:lineRule="auto"/>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990565C">
            <w:pPr>
              <w:snapToGrid w:val="0"/>
              <w:spacing w:beforeLines="50" w:after="50" w:line="360" w:lineRule="auto"/>
              <w:rPr>
                <w:rFonts w:ascii="宋体" w:hAnsi="宋体"/>
                <w:b/>
                <w:color w:val="auto"/>
                <w:sz w:val="24"/>
                <w:szCs w:val="20"/>
              </w:rPr>
            </w:pPr>
            <w:r>
              <w:rPr>
                <w:rFonts w:hint="eastAsia" w:ascii="宋体" w:hAnsi="宋体"/>
                <w:b/>
                <w:color w:val="auto"/>
                <w:sz w:val="24"/>
              </w:rPr>
              <w:t>姓名</w:t>
            </w:r>
          </w:p>
        </w:tc>
        <w:tc>
          <w:tcPr>
            <w:tcW w:w="685" w:type="dxa"/>
            <w:tcBorders>
              <w:top w:val="single" w:color="auto" w:sz="4" w:space="0"/>
              <w:left w:val="single" w:color="auto" w:sz="4" w:space="0"/>
              <w:bottom w:val="single" w:color="auto" w:sz="4" w:space="0"/>
              <w:right w:val="single" w:color="auto" w:sz="4" w:space="0"/>
            </w:tcBorders>
            <w:vAlign w:val="center"/>
          </w:tcPr>
          <w:p w14:paraId="35FEBE8D">
            <w:pPr>
              <w:snapToGrid w:val="0"/>
              <w:spacing w:beforeLines="50" w:after="50" w:line="360" w:lineRule="auto"/>
              <w:rPr>
                <w:rFonts w:ascii="宋体" w:hAnsi="宋体"/>
                <w:b/>
                <w:color w:val="auto"/>
                <w:sz w:val="24"/>
                <w:szCs w:val="20"/>
              </w:rPr>
            </w:pPr>
            <w:r>
              <w:rPr>
                <w:rFonts w:hint="eastAsia" w:ascii="宋体" w:hAnsi="宋体"/>
                <w:b/>
                <w:color w:val="auto"/>
                <w:sz w:val="24"/>
                <w:szCs w:val="20"/>
              </w:rPr>
              <w:t>年龄</w:t>
            </w:r>
          </w:p>
        </w:tc>
        <w:tc>
          <w:tcPr>
            <w:tcW w:w="780" w:type="dxa"/>
            <w:tcBorders>
              <w:top w:val="single" w:color="auto" w:sz="4" w:space="0"/>
              <w:left w:val="single" w:color="auto" w:sz="4" w:space="0"/>
              <w:bottom w:val="single" w:color="auto" w:sz="4" w:space="0"/>
              <w:right w:val="single" w:color="auto" w:sz="4" w:space="0"/>
            </w:tcBorders>
            <w:vAlign w:val="center"/>
          </w:tcPr>
          <w:p w14:paraId="5A6F007B">
            <w:pPr>
              <w:snapToGrid w:val="0"/>
              <w:spacing w:beforeLines="50" w:after="50" w:line="360" w:lineRule="auto"/>
              <w:rPr>
                <w:rFonts w:ascii="宋体" w:hAnsi="宋体"/>
                <w:b/>
                <w:color w:val="auto"/>
                <w:sz w:val="24"/>
              </w:rPr>
            </w:pPr>
            <w:r>
              <w:rPr>
                <w:rFonts w:hint="eastAsia" w:ascii="宋体" w:hAnsi="宋体"/>
                <w:b/>
                <w:color w:val="auto"/>
                <w:sz w:val="24"/>
              </w:rPr>
              <w:t>学历</w:t>
            </w:r>
          </w:p>
        </w:tc>
        <w:tc>
          <w:tcPr>
            <w:tcW w:w="1129" w:type="dxa"/>
            <w:tcBorders>
              <w:top w:val="single" w:color="auto" w:sz="4" w:space="0"/>
              <w:left w:val="single" w:color="auto" w:sz="4" w:space="0"/>
              <w:bottom w:val="single" w:color="auto" w:sz="4" w:space="0"/>
              <w:right w:val="single" w:color="auto" w:sz="4" w:space="0"/>
            </w:tcBorders>
            <w:vAlign w:val="center"/>
          </w:tcPr>
          <w:p w14:paraId="01691A2A">
            <w:pPr>
              <w:snapToGrid w:val="0"/>
              <w:spacing w:beforeLines="50" w:after="50" w:line="360" w:lineRule="auto"/>
              <w:rPr>
                <w:rFonts w:hint="eastAsia" w:ascii="宋体" w:hAnsi="宋体"/>
                <w:b/>
                <w:color w:val="auto"/>
                <w:sz w:val="24"/>
              </w:rPr>
            </w:pPr>
            <w:r>
              <w:rPr>
                <w:rFonts w:hint="eastAsia" w:ascii="宋体" w:hAnsi="宋体"/>
                <w:b/>
                <w:color w:val="auto"/>
                <w:sz w:val="24"/>
              </w:rPr>
              <w:t>职务</w:t>
            </w:r>
          </w:p>
          <w:p w14:paraId="62770674">
            <w:pPr>
              <w:snapToGrid w:val="0"/>
              <w:spacing w:beforeLines="50" w:after="50" w:line="360" w:lineRule="auto"/>
              <w:rPr>
                <w:rFonts w:ascii="宋体" w:hAnsi="宋体"/>
                <w:b/>
                <w:color w:val="auto"/>
                <w:sz w:val="24"/>
              </w:rPr>
            </w:pPr>
            <w:r>
              <w:rPr>
                <w:rFonts w:hint="eastAsia" w:ascii="宋体" w:hAnsi="宋体"/>
                <w:b/>
                <w:color w:val="auto"/>
                <w:sz w:val="24"/>
              </w:rPr>
              <w:t>（岗位）</w:t>
            </w:r>
          </w:p>
        </w:tc>
        <w:tc>
          <w:tcPr>
            <w:tcW w:w="795" w:type="dxa"/>
            <w:tcBorders>
              <w:top w:val="single" w:color="auto" w:sz="4" w:space="0"/>
              <w:left w:val="single" w:color="auto" w:sz="4" w:space="0"/>
              <w:bottom w:val="single" w:color="auto" w:sz="4" w:space="0"/>
              <w:right w:val="single" w:color="auto" w:sz="4" w:space="0"/>
            </w:tcBorders>
            <w:vAlign w:val="center"/>
          </w:tcPr>
          <w:p w14:paraId="4A9137F6">
            <w:pPr>
              <w:snapToGrid w:val="0"/>
              <w:spacing w:beforeLines="50" w:after="50" w:line="360" w:lineRule="auto"/>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DA8D880">
            <w:pPr>
              <w:snapToGrid w:val="0"/>
              <w:spacing w:beforeLines="50" w:after="50" w:line="360" w:lineRule="auto"/>
              <w:rPr>
                <w:rFonts w:ascii="宋体" w:hAnsi="宋体"/>
                <w:b/>
                <w:color w:val="auto"/>
                <w:sz w:val="24"/>
                <w:szCs w:val="20"/>
              </w:rPr>
            </w:pPr>
            <w:r>
              <w:rPr>
                <w:rFonts w:hint="eastAsia" w:ascii="宋体" w:hAnsi="宋体"/>
                <w:b/>
                <w:color w:val="auto"/>
                <w:sz w:val="24"/>
              </w:rPr>
              <w:t>专业技术资格</w:t>
            </w:r>
          </w:p>
        </w:tc>
        <w:tc>
          <w:tcPr>
            <w:tcW w:w="865" w:type="dxa"/>
            <w:tcBorders>
              <w:top w:val="single" w:color="auto" w:sz="4" w:space="0"/>
              <w:left w:val="single" w:color="auto" w:sz="4" w:space="0"/>
              <w:bottom w:val="single" w:color="auto" w:sz="4" w:space="0"/>
              <w:right w:val="single" w:color="auto" w:sz="4" w:space="0"/>
            </w:tcBorders>
            <w:vAlign w:val="center"/>
          </w:tcPr>
          <w:p w14:paraId="6C9537B5">
            <w:pPr>
              <w:snapToGrid w:val="0"/>
              <w:spacing w:beforeLines="50" w:after="50" w:line="360" w:lineRule="auto"/>
              <w:rPr>
                <w:rFonts w:ascii="宋体" w:hAnsi="宋体"/>
                <w:b/>
                <w:color w:val="auto"/>
                <w:sz w:val="24"/>
                <w:szCs w:val="20"/>
              </w:rPr>
            </w:pPr>
            <w:r>
              <w:rPr>
                <w:rFonts w:hint="eastAsia" w:ascii="宋体" w:hAnsi="宋体"/>
                <w:b/>
                <w:color w:val="auto"/>
                <w:sz w:val="24"/>
              </w:rPr>
              <w:t>证书编号</w:t>
            </w:r>
          </w:p>
        </w:tc>
        <w:tc>
          <w:tcPr>
            <w:tcW w:w="1440" w:type="dxa"/>
            <w:tcBorders>
              <w:top w:val="single" w:color="auto" w:sz="4" w:space="0"/>
              <w:left w:val="single" w:color="auto" w:sz="4" w:space="0"/>
              <w:bottom w:val="single" w:color="auto" w:sz="4" w:space="0"/>
              <w:right w:val="single" w:color="auto" w:sz="4" w:space="0"/>
            </w:tcBorders>
            <w:vAlign w:val="center"/>
          </w:tcPr>
          <w:p w14:paraId="4EA4735C">
            <w:pPr>
              <w:snapToGrid w:val="0"/>
              <w:spacing w:beforeLines="50" w:after="50" w:line="360" w:lineRule="auto"/>
              <w:rPr>
                <w:rFonts w:ascii="宋体" w:hAnsi="宋体"/>
                <w:b/>
                <w:bCs/>
                <w:color w:val="auto"/>
                <w:sz w:val="24"/>
                <w:szCs w:val="20"/>
              </w:rPr>
            </w:pPr>
            <w:r>
              <w:rPr>
                <w:rFonts w:hint="eastAsia" w:ascii="宋体" w:hAnsi="宋体"/>
                <w:b/>
                <w:bCs/>
                <w:color w:val="auto"/>
                <w:sz w:val="24"/>
              </w:rPr>
              <w:t>参加本单位工作时间</w:t>
            </w:r>
          </w:p>
        </w:tc>
        <w:tc>
          <w:tcPr>
            <w:tcW w:w="1095" w:type="dxa"/>
            <w:tcBorders>
              <w:top w:val="single" w:color="auto" w:sz="4" w:space="0"/>
              <w:left w:val="single" w:color="auto" w:sz="4" w:space="0"/>
              <w:bottom w:val="single" w:color="auto" w:sz="4" w:space="0"/>
              <w:right w:val="single" w:color="auto" w:sz="4" w:space="0"/>
            </w:tcBorders>
            <w:vAlign w:val="center"/>
          </w:tcPr>
          <w:p w14:paraId="18E61BEB">
            <w:pPr>
              <w:snapToGrid w:val="0"/>
              <w:spacing w:beforeLines="50" w:after="50" w:line="360" w:lineRule="auto"/>
              <w:rPr>
                <w:rFonts w:ascii="宋体" w:hAnsi="宋体"/>
                <w:b/>
                <w:bCs/>
                <w:color w:val="auto"/>
                <w:sz w:val="24"/>
                <w:szCs w:val="20"/>
              </w:rPr>
            </w:pPr>
            <w:r>
              <w:rPr>
                <w:rFonts w:hint="eastAsia" w:ascii="宋体" w:hAnsi="宋体"/>
                <w:b/>
                <w:color w:val="auto"/>
                <w:sz w:val="24"/>
              </w:rPr>
              <w:t>劳动合同编号</w:t>
            </w:r>
          </w:p>
        </w:tc>
      </w:tr>
      <w:tr w14:paraId="4D20A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95A2071">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78F6B4EC">
            <w:pPr>
              <w:snapToGrid w:val="0"/>
              <w:spacing w:beforeLines="50" w:after="50" w:line="360" w:lineRule="auto"/>
              <w:ind w:firstLine="602"/>
              <w:rPr>
                <w:rFonts w:ascii="宋体" w:hAnsi="宋体"/>
                <w:b/>
                <w:color w:val="auto"/>
                <w:kern w:val="44"/>
                <w:sz w:val="24"/>
                <w:szCs w:val="20"/>
              </w:rPr>
            </w:pPr>
          </w:p>
        </w:tc>
        <w:tc>
          <w:tcPr>
            <w:tcW w:w="685" w:type="dxa"/>
            <w:tcBorders>
              <w:top w:val="single" w:color="auto" w:sz="4" w:space="0"/>
              <w:left w:val="single" w:color="auto" w:sz="4" w:space="0"/>
              <w:bottom w:val="single" w:color="auto" w:sz="4" w:space="0"/>
              <w:right w:val="single" w:color="auto" w:sz="4" w:space="0"/>
            </w:tcBorders>
          </w:tcPr>
          <w:p w14:paraId="223CA92E">
            <w:pPr>
              <w:snapToGrid w:val="0"/>
              <w:spacing w:beforeLines="50" w:after="50" w:line="360" w:lineRule="auto"/>
              <w:ind w:firstLine="602"/>
              <w:rPr>
                <w:rFonts w:ascii="宋体" w:hAnsi="宋体"/>
                <w:b/>
                <w:color w:val="auto"/>
                <w:kern w:val="44"/>
                <w:sz w:val="24"/>
                <w:szCs w:val="20"/>
              </w:rPr>
            </w:pPr>
          </w:p>
        </w:tc>
        <w:tc>
          <w:tcPr>
            <w:tcW w:w="780" w:type="dxa"/>
            <w:tcBorders>
              <w:top w:val="single" w:color="auto" w:sz="4" w:space="0"/>
              <w:left w:val="single" w:color="auto" w:sz="4" w:space="0"/>
              <w:bottom w:val="single" w:color="auto" w:sz="4" w:space="0"/>
              <w:right w:val="single" w:color="auto" w:sz="4" w:space="0"/>
            </w:tcBorders>
          </w:tcPr>
          <w:p w14:paraId="1049A1FD">
            <w:pPr>
              <w:snapToGrid w:val="0"/>
              <w:spacing w:beforeLines="50" w:after="50" w:line="360" w:lineRule="auto"/>
              <w:ind w:firstLine="602"/>
              <w:rPr>
                <w:rFonts w:ascii="宋体" w:hAnsi="宋体"/>
                <w:b/>
                <w:color w:val="auto"/>
                <w:kern w:val="44"/>
                <w:sz w:val="24"/>
                <w:szCs w:val="20"/>
              </w:rPr>
            </w:pPr>
          </w:p>
        </w:tc>
        <w:tc>
          <w:tcPr>
            <w:tcW w:w="1129" w:type="dxa"/>
            <w:tcBorders>
              <w:top w:val="single" w:color="auto" w:sz="4" w:space="0"/>
              <w:left w:val="single" w:color="auto" w:sz="4" w:space="0"/>
              <w:bottom w:val="single" w:color="auto" w:sz="4" w:space="0"/>
              <w:right w:val="single" w:color="auto" w:sz="4" w:space="0"/>
            </w:tcBorders>
          </w:tcPr>
          <w:p w14:paraId="30539C3F">
            <w:pPr>
              <w:snapToGrid w:val="0"/>
              <w:spacing w:beforeLines="50" w:after="50" w:line="360" w:lineRule="auto"/>
              <w:ind w:firstLine="602"/>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1D7AE95">
            <w:pPr>
              <w:snapToGrid w:val="0"/>
              <w:spacing w:beforeLines="50" w:after="50" w:line="360" w:lineRule="auto"/>
              <w:ind w:firstLine="602"/>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146B5F5">
            <w:pPr>
              <w:snapToGrid w:val="0"/>
              <w:spacing w:beforeLines="50" w:after="50" w:line="360" w:lineRule="auto"/>
              <w:ind w:firstLine="602"/>
              <w:rPr>
                <w:rFonts w:ascii="宋体" w:hAnsi="宋体"/>
                <w:b/>
                <w:color w:val="auto"/>
                <w:kern w:val="44"/>
                <w:sz w:val="24"/>
                <w:szCs w:val="20"/>
              </w:rPr>
            </w:pPr>
          </w:p>
        </w:tc>
        <w:tc>
          <w:tcPr>
            <w:tcW w:w="865" w:type="dxa"/>
            <w:tcBorders>
              <w:top w:val="single" w:color="auto" w:sz="4" w:space="0"/>
              <w:left w:val="single" w:color="auto" w:sz="4" w:space="0"/>
              <w:bottom w:val="single" w:color="auto" w:sz="4" w:space="0"/>
              <w:right w:val="single" w:color="auto" w:sz="4" w:space="0"/>
            </w:tcBorders>
          </w:tcPr>
          <w:p w14:paraId="656CB4EA">
            <w:pPr>
              <w:snapToGrid w:val="0"/>
              <w:spacing w:beforeLines="50" w:after="50" w:line="360" w:lineRule="auto"/>
              <w:ind w:firstLine="602"/>
              <w:rPr>
                <w:rFonts w:ascii="宋体" w:hAnsi="宋体"/>
                <w:b/>
                <w:color w:val="auto"/>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E01171D">
            <w:pPr>
              <w:snapToGrid w:val="0"/>
              <w:spacing w:beforeLines="50" w:after="50" w:line="360" w:lineRule="auto"/>
              <w:ind w:firstLine="602"/>
              <w:rPr>
                <w:rFonts w:ascii="宋体" w:hAnsi="宋体"/>
                <w:b/>
                <w:color w:val="auto"/>
                <w:kern w:val="44"/>
                <w:sz w:val="24"/>
                <w:szCs w:val="20"/>
              </w:rPr>
            </w:pPr>
          </w:p>
        </w:tc>
        <w:tc>
          <w:tcPr>
            <w:tcW w:w="1095" w:type="dxa"/>
            <w:tcBorders>
              <w:top w:val="single" w:color="auto" w:sz="4" w:space="0"/>
              <w:left w:val="single" w:color="auto" w:sz="4" w:space="0"/>
              <w:bottom w:val="single" w:color="auto" w:sz="4" w:space="0"/>
              <w:right w:val="single" w:color="auto" w:sz="4" w:space="0"/>
            </w:tcBorders>
          </w:tcPr>
          <w:p w14:paraId="4D2FE330">
            <w:pPr>
              <w:snapToGrid w:val="0"/>
              <w:spacing w:beforeLines="50" w:after="50" w:line="360" w:lineRule="auto"/>
              <w:ind w:firstLine="602"/>
              <w:rPr>
                <w:rFonts w:ascii="宋体" w:hAnsi="宋体"/>
                <w:b/>
                <w:color w:val="auto"/>
                <w:kern w:val="44"/>
                <w:sz w:val="24"/>
                <w:szCs w:val="20"/>
              </w:rPr>
            </w:pPr>
          </w:p>
        </w:tc>
      </w:tr>
      <w:tr w14:paraId="18226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16D2360">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03FC095A">
            <w:pPr>
              <w:snapToGrid w:val="0"/>
              <w:spacing w:beforeLines="50" w:after="50" w:line="360" w:lineRule="auto"/>
              <w:ind w:firstLine="602"/>
              <w:rPr>
                <w:rFonts w:ascii="宋体" w:hAnsi="宋体"/>
                <w:b/>
                <w:color w:val="auto"/>
                <w:kern w:val="44"/>
                <w:sz w:val="24"/>
                <w:szCs w:val="20"/>
              </w:rPr>
            </w:pPr>
          </w:p>
        </w:tc>
        <w:tc>
          <w:tcPr>
            <w:tcW w:w="685" w:type="dxa"/>
            <w:tcBorders>
              <w:top w:val="single" w:color="auto" w:sz="4" w:space="0"/>
              <w:left w:val="single" w:color="auto" w:sz="4" w:space="0"/>
              <w:bottom w:val="single" w:color="auto" w:sz="4" w:space="0"/>
              <w:right w:val="single" w:color="auto" w:sz="4" w:space="0"/>
            </w:tcBorders>
          </w:tcPr>
          <w:p w14:paraId="07F0EA76">
            <w:pPr>
              <w:snapToGrid w:val="0"/>
              <w:spacing w:beforeLines="50" w:after="50" w:line="360" w:lineRule="auto"/>
              <w:ind w:firstLine="602"/>
              <w:rPr>
                <w:rFonts w:ascii="宋体" w:hAnsi="宋体"/>
                <w:b/>
                <w:color w:val="auto"/>
                <w:kern w:val="44"/>
                <w:sz w:val="24"/>
                <w:szCs w:val="20"/>
              </w:rPr>
            </w:pPr>
          </w:p>
        </w:tc>
        <w:tc>
          <w:tcPr>
            <w:tcW w:w="780" w:type="dxa"/>
            <w:tcBorders>
              <w:top w:val="single" w:color="auto" w:sz="4" w:space="0"/>
              <w:left w:val="single" w:color="auto" w:sz="4" w:space="0"/>
              <w:bottom w:val="single" w:color="auto" w:sz="4" w:space="0"/>
              <w:right w:val="single" w:color="auto" w:sz="4" w:space="0"/>
            </w:tcBorders>
          </w:tcPr>
          <w:p w14:paraId="1D8B3C8F">
            <w:pPr>
              <w:snapToGrid w:val="0"/>
              <w:spacing w:beforeLines="50" w:after="50" w:line="360" w:lineRule="auto"/>
              <w:ind w:firstLine="602"/>
              <w:rPr>
                <w:rFonts w:ascii="宋体" w:hAnsi="宋体"/>
                <w:b/>
                <w:color w:val="auto"/>
                <w:kern w:val="44"/>
                <w:sz w:val="24"/>
                <w:szCs w:val="20"/>
              </w:rPr>
            </w:pPr>
          </w:p>
        </w:tc>
        <w:tc>
          <w:tcPr>
            <w:tcW w:w="1129" w:type="dxa"/>
            <w:tcBorders>
              <w:top w:val="single" w:color="auto" w:sz="4" w:space="0"/>
              <w:left w:val="single" w:color="auto" w:sz="4" w:space="0"/>
              <w:bottom w:val="single" w:color="auto" w:sz="4" w:space="0"/>
              <w:right w:val="single" w:color="auto" w:sz="4" w:space="0"/>
            </w:tcBorders>
          </w:tcPr>
          <w:p w14:paraId="22229D3F">
            <w:pPr>
              <w:snapToGrid w:val="0"/>
              <w:spacing w:beforeLines="50" w:after="50" w:line="360" w:lineRule="auto"/>
              <w:ind w:firstLine="602"/>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75F2DDAB">
            <w:pPr>
              <w:snapToGrid w:val="0"/>
              <w:spacing w:beforeLines="50" w:after="50" w:line="360" w:lineRule="auto"/>
              <w:ind w:firstLine="602"/>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99218DA">
            <w:pPr>
              <w:snapToGrid w:val="0"/>
              <w:spacing w:beforeLines="50" w:after="50" w:line="360" w:lineRule="auto"/>
              <w:ind w:firstLine="602"/>
              <w:rPr>
                <w:rFonts w:ascii="宋体" w:hAnsi="宋体"/>
                <w:b/>
                <w:color w:val="auto"/>
                <w:kern w:val="44"/>
                <w:sz w:val="24"/>
                <w:szCs w:val="20"/>
              </w:rPr>
            </w:pPr>
          </w:p>
        </w:tc>
        <w:tc>
          <w:tcPr>
            <w:tcW w:w="865" w:type="dxa"/>
            <w:tcBorders>
              <w:top w:val="single" w:color="auto" w:sz="4" w:space="0"/>
              <w:left w:val="single" w:color="auto" w:sz="4" w:space="0"/>
              <w:bottom w:val="single" w:color="auto" w:sz="4" w:space="0"/>
              <w:right w:val="single" w:color="auto" w:sz="4" w:space="0"/>
            </w:tcBorders>
          </w:tcPr>
          <w:p w14:paraId="5DFBA533">
            <w:pPr>
              <w:snapToGrid w:val="0"/>
              <w:spacing w:beforeLines="50" w:after="50" w:line="360" w:lineRule="auto"/>
              <w:ind w:firstLine="602"/>
              <w:rPr>
                <w:rFonts w:ascii="宋体" w:hAnsi="宋体"/>
                <w:b/>
                <w:color w:val="auto"/>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17D2F617">
            <w:pPr>
              <w:snapToGrid w:val="0"/>
              <w:spacing w:beforeLines="50" w:after="50" w:line="360" w:lineRule="auto"/>
              <w:ind w:firstLine="602"/>
              <w:rPr>
                <w:rFonts w:ascii="宋体" w:hAnsi="宋体"/>
                <w:b/>
                <w:color w:val="auto"/>
                <w:kern w:val="44"/>
                <w:sz w:val="24"/>
                <w:szCs w:val="20"/>
              </w:rPr>
            </w:pPr>
          </w:p>
        </w:tc>
        <w:tc>
          <w:tcPr>
            <w:tcW w:w="1095" w:type="dxa"/>
            <w:tcBorders>
              <w:top w:val="single" w:color="auto" w:sz="4" w:space="0"/>
              <w:left w:val="single" w:color="auto" w:sz="4" w:space="0"/>
              <w:bottom w:val="single" w:color="auto" w:sz="4" w:space="0"/>
              <w:right w:val="single" w:color="auto" w:sz="4" w:space="0"/>
            </w:tcBorders>
          </w:tcPr>
          <w:p w14:paraId="56BC80F1">
            <w:pPr>
              <w:snapToGrid w:val="0"/>
              <w:spacing w:beforeLines="50" w:after="50" w:line="360" w:lineRule="auto"/>
              <w:ind w:firstLine="602"/>
              <w:rPr>
                <w:rFonts w:ascii="宋体" w:hAnsi="宋体"/>
                <w:b/>
                <w:color w:val="auto"/>
                <w:kern w:val="44"/>
                <w:sz w:val="24"/>
                <w:szCs w:val="20"/>
              </w:rPr>
            </w:pPr>
          </w:p>
        </w:tc>
      </w:tr>
      <w:tr w14:paraId="3A22D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5C57FB8">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04A671A4">
            <w:pPr>
              <w:snapToGrid w:val="0"/>
              <w:spacing w:beforeLines="50" w:after="50" w:line="360" w:lineRule="auto"/>
              <w:ind w:firstLine="602"/>
              <w:rPr>
                <w:rFonts w:ascii="宋体" w:hAnsi="宋体"/>
                <w:b/>
                <w:color w:val="auto"/>
                <w:kern w:val="44"/>
                <w:sz w:val="24"/>
                <w:szCs w:val="20"/>
              </w:rPr>
            </w:pPr>
          </w:p>
        </w:tc>
        <w:tc>
          <w:tcPr>
            <w:tcW w:w="685" w:type="dxa"/>
            <w:tcBorders>
              <w:top w:val="single" w:color="auto" w:sz="4" w:space="0"/>
              <w:left w:val="single" w:color="auto" w:sz="4" w:space="0"/>
              <w:bottom w:val="single" w:color="auto" w:sz="4" w:space="0"/>
              <w:right w:val="single" w:color="auto" w:sz="4" w:space="0"/>
            </w:tcBorders>
          </w:tcPr>
          <w:p w14:paraId="55AF40C6">
            <w:pPr>
              <w:snapToGrid w:val="0"/>
              <w:spacing w:beforeLines="50" w:after="50" w:line="360" w:lineRule="auto"/>
              <w:ind w:firstLine="602"/>
              <w:rPr>
                <w:rFonts w:ascii="宋体" w:hAnsi="宋体"/>
                <w:b/>
                <w:color w:val="auto"/>
                <w:kern w:val="44"/>
                <w:sz w:val="24"/>
                <w:szCs w:val="20"/>
              </w:rPr>
            </w:pPr>
          </w:p>
        </w:tc>
        <w:tc>
          <w:tcPr>
            <w:tcW w:w="780" w:type="dxa"/>
            <w:tcBorders>
              <w:top w:val="single" w:color="auto" w:sz="4" w:space="0"/>
              <w:left w:val="single" w:color="auto" w:sz="4" w:space="0"/>
              <w:bottom w:val="single" w:color="auto" w:sz="4" w:space="0"/>
              <w:right w:val="single" w:color="auto" w:sz="4" w:space="0"/>
            </w:tcBorders>
          </w:tcPr>
          <w:p w14:paraId="41303621">
            <w:pPr>
              <w:snapToGrid w:val="0"/>
              <w:spacing w:beforeLines="50" w:after="50" w:line="360" w:lineRule="auto"/>
              <w:ind w:firstLine="602"/>
              <w:rPr>
                <w:rFonts w:ascii="宋体" w:hAnsi="宋体"/>
                <w:b/>
                <w:color w:val="auto"/>
                <w:kern w:val="44"/>
                <w:sz w:val="24"/>
                <w:szCs w:val="20"/>
              </w:rPr>
            </w:pPr>
          </w:p>
        </w:tc>
        <w:tc>
          <w:tcPr>
            <w:tcW w:w="1129" w:type="dxa"/>
            <w:tcBorders>
              <w:top w:val="single" w:color="auto" w:sz="4" w:space="0"/>
              <w:left w:val="single" w:color="auto" w:sz="4" w:space="0"/>
              <w:bottom w:val="single" w:color="auto" w:sz="4" w:space="0"/>
              <w:right w:val="single" w:color="auto" w:sz="4" w:space="0"/>
            </w:tcBorders>
          </w:tcPr>
          <w:p w14:paraId="1A7E63A5">
            <w:pPr>
              <w:pStyle w:val="16"/>
              <w:snapToGrid w:val="0"/>
              <w:spacing w:beforeLines="50" w:after="50" w:line="360" w:lineRule="auto"/>
              <w:ind w:left="5250" w:firstLine="602"/>
              <w:rPr>
                <w:rFonts w:ascii="宋体" w:hAnsi="宋体" w:eastAsia="宋体"/>
                <w:b/>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14:paraId="3DDA2D6E">
            <w:pPr>
              <w:pStyle w:val="16"/>
              <w:snapToGrid w:val="0"/>
              <w:spacing w:beforeLines="50" w:after="50" w:line="360" w:lineRule="auto"/>
              <w:ind w:left="5250" w:firstLine="602"/>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1AB1D91">
            <w:pPr>
              <w:pStyle w:val="16"/>
              <w:snapToGrid w:val="0"/>
              <w:spacing w:beforeLines="50" w:after="50" w:line="360" w:lineRule="auto"/>
              <w:ind w:left="5250" w:firstLine="602"/>
              <w:rPr>
                <w:rFonts w:ascii="宋体" w:hAnsi="宋体" w:eastAsia="宋体"/>
                <w:b/>
                <w:color w:val="auto"/>
                <w:kern w:val="44"/>
                <w:sz w:val="24"/>
                <w:szCs w:val="24"/>
              </w:rPr>
            </w:pPr>
          </w:p>
        </w:tc>
        <w:tc>
          <w:tcPr>
            <w:tcW w:w="865" w:type="dxa"/>
            <w:tcBorders>
              <w:top w:val="single" w:color="auto" w:sz="4" w:space="0"/>
              <w:left w:val="single" w:color="auto" w:sz="4" w:space="0"/>
              <w:bottom w:val="single" w:color="auto" w:sz="4" w:space="0"/>
              <w:right w:val="single" w:color="auto" w:sz="4" w:space="0"/>
            </w:tcBorders>
          </w:tcPr>
          <w:p w14:paraId="39AC4913">
            <w:pPr>
              <w:pStyle w:val="16"/>
              <w:spacing w:line="360" w:lineRule="auto"/>
              <w:ind w:left="5250"/>
              <w:rPr>
                <w:rFonts w:ascii="宋体" w:hAnsi="宋体"/>
                <w:color w:val="auto"/>
                <w:sz w:val="24"/>
              </w:rPr>
            </w:pPr>
          </w:p>
        </w:tc>
        <w:tc>
          <w:tcPr>
            <w:tcW w:w="1440" w:type="dxa"/>
            <w:tcBorders>
              <w:top w:val="single" w:color="auto" w:sz="4" w:space="0"/>
              <w:left w:val="single" w:color="auto" w:sz="4" w:space="0"/>
              <w:bottom w:val="single" w:color="auto" w:sz="4" w:space="0"/>
              <w:right w:val="single" w:color="auto" w:sz="4" w:space="0"/>
            </w:tcBorders>
          </w:tcPr>
          <w:p w14:paraId="45EA60A9">
            <w:pPr>
              <w:snapToGrid w:val="0"/>
              <w:spacing w:beforeLines="50" w:after="50" w:line="360" w:lineRule="auto"/>
              <w:rPr>
                <w:rFonts w:ascii="宋体" w:hAnsi="宋体"/>
                <w:color w:val="auto"/>
                <w:sz w:val="24"/>
                <w:szCs w:val="20"/>
              </w:rPr>
            </w:pPr>
          </w:p>
        </w:tc>
        <w:tc>
          <w:tcPr>
            <w:tcW w:w="1095" w:type="dxa"/>
            <w:tcBorders>
              <w:top w:val="single" w:color="auto" w:sz="4" w:space="0"/>
              <w:left w:val="single" w:color="auto" w:sz="4" w:space="0"/>
              <w:bottom w:val="single" w:color="auto" w:sz="4" w:space="0"/>
              <w:right w:val="single" w:color="auto" w:sz="4" w:space="0"/>
            </w:tcBorders>
          </w:tcPr>
          <w:p w14:paraId="3F9E039B">
            <w:pPr>
              <w:snapToGrid w:val="0"/>
              <w:spacing w:beforeLines="50" w:after="50" w:line="360" w:lineRule="auto"/>
              <w:ind w:firstLine="602"/>
              <w:rPr>
                <w:rFonts w:ascii="宋体" w:hAnsi="宋体"/>
                <w:b/>
                <w:color w:val="auto"/>
                <w:kern w:val="44"/>
                <w:sz w:val="24"/>
                <w:szCs w:val="20"/>
              </w:rPr>
            </w:pPr>
          </w:p>
        </w:tc>
      </w:tr>
      <w:tr w14:paraId="0E15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E0FB538">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3995F191">
            <w:pPr>
              <w:snapToGrid w:val="0"/>
              <w:spacing w:beforeLines="50" w:after="50" w:line="360" w:lineRule="auto"/>
              <w:ind w:firstLine="602"/>
              <w:rPr>
                <w:rFonts w:ascii="宋体" w:hAnsi="宋体"/>
                <w:b/>
                <w:color w:val="auto"/>
                <w:kern w:val="44"/>
                <w:sz w:val="24"/>
                <w:szCs w:val="20"/>
              </w:rPr>
            </w:pPr>
          </w:p>
        </w:tc>
        <w:tc>
          <w:tcPr>
            <w:tcW w:w="685" w:type="dxa"/>
            <w:tcBorders>
              <w:top w:val="single" w:color="auto" w:sz="4" w:space="0"/>
              <w:left w:val="single" w:color="auto" w:sz="4" w:space="0"/>
              <w:bottom w:val="single" w:color="auto" w:sz="4" w:space="0"/>
              <w:right w:val="single" w:color="auto" w:sz="4" w:space="0"/>
            </w:tcBorders>
          </w:tcPr>
          <w:p w14:paraId="4CC1BD2F">
            <w:pPr>
              <w:snapToGrid w:val="0"/>
              <w:spacing w:beforeLines="50" w:after="50" w:line="360" w:lineRule="auto"/>
              <w:ind w:firstLine="602"/>
              <w:rPr>
                <w:rFonts w:ascii="宋体" w:hAnsi="宋体"/>
                <w:b/>
                <w:color w:val="auto"/>
                <w:kern w:val="44"/>
                <w:sz w:val="24"/>
                <w:szCs w:val="20"/>
              </w:rPr>
            </w:pPr>
          </w:p>
        </w:tc>
        <w:tc>
          <w:tcPr>
            <w:tcW w:w="780" w:type="dxa"/>
            <w:tcBorders>
              <w:top w:val="single" w:color="auto" w:sz="4" w:space="0"/>
              <w:left w:val="single" w:color="auto" w:sz="4" w:space="0"/>
              <w:bottom w:val="single" w:color="auto" w:sz="4" w:space="0"/>
              <w:right w:val="single" w:color="auto" w:sz="4" w:space="0"/>
            </w:tcBorders>
          </w:tcPr>
          <w:p w14:paraId="584A057A">
            <w:pPr>
              <w:snapToGrid w:val="0"/>
              <w:spacing w:beforeLines="50" w:after="50" w:line="360" w:lineRule="auto"/>
              <w:ind w:firstLine="602"/>
              <w:rPr>
                <w:rFonts w:ascii="宋体" w:hAnsi="宋体"/>
                <w:b/>
                <w:color w:val="auto"/>
                <w:kern w:val="44"/>
                <w:sz w:val="24"/>
                <w:szCs w:val="20"/>
              </w:rPr>
            </w:pPr>
          </w:p>
        </w:tc>
        <w:tc>
          <w:tcPr>
            <w:tcW w:w="1129" w:type="dxa"/>
            <w:tcBorders>
              <w:top w:val="single" w:color="auto" w:sz="4" w:space="0"/>
              <w:left w:val="single" w:color="auto" w:sz="4" w:space="0"/>
              <w:bottom w:val="single" w:color="auto" w:sz="4" w:space="0"/>
              <w:right w:val="single" w:color="auto" w:sz="4" w:space="0"/>
            </w:tcBorders>
          </w:tcPr>
          <w:p w14:paraId="3D81C6BE">
            <w:pPr>
              <w:snapToGrid w:val="0"/>
              <w:spacing w:beforeLines="50" w:after="50" w:line="360" w:lineRule="auto"/>
              <w:ind w:firstLine="602"/>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05E3E580">
            <w:pPr>
              <w:snapToGrid w:val="0"/>
              <w:spacing w:beforeLines="50" w:after="50" w:line="360" w:lineRule="auto"/>
              <w:ind w:firstLine="602"/>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BE3253D">
            <w:pPr>
              <w:snapToGrid w:val="0"/>
              <w:spacing w:beforeLines="50" w:after="50" w:line="360" w:lineRule="auto"/>
              <w:ind w:firstLine="602"/>
              <w:rPr>
                <w:rFonts w:ascii="宋体" w:hAnsi="宋体"/>
                <w:b/>
                <w:color w:val="auto"/>
                <w:kern w:val="44"/>
                <w:sz w:val="24"/>
                <w:szCs w:val="20"/>
              </w:rPr>
            </w:pPr>
          </w:p>
        </w:tc>
        <w:tc>
          <w:tcPr>
            <w:tcW w:w="865" w:type="dxa"/>
            <w:tcBorders>
              <w:top w:val="single" w:color="auto" w:sz="4" w:space="0"/>
              <w:left w:val="single" w:color="auto" w:sz="4" w:space="0"/>
              <w:bottom w:val="single" w:color="auto" w:sz="4" w:space="0"/>
              <w:right w:val="single" w:color="auto" w:sz="4" w:space="0"/>
            </w:tcBorders>
          </w:tcPr>
          <w:p w14:paraId="4A114C8C">
            <w:pPr>
              <w:snapToGrid w:val="0"/>
              <w:spacing w:beforeLines="50" w:after="50" w:line="360" w:lineRule="auto"/>
              <w:ind w:firstLine="602"/>
              <w:rPr>
                <w:rFonts w:ascii="宋体" w:hAnsi="宋体"/>
                <w:b/>
                <w:color w:val="auto"/>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1583F8F">
            <w:pPr>
              <w:snapToGrid w:val="0"/>
              <w:spacing w:beforeLines="50" w:after="50" w:line="360" w:lineRule="auto"/>
              <w:ind w:firstLine="602"/>
              <w:rPr>
                <w:rFonts w:ascii="宋体" w:hAnsi="宋体"/>
                <w:b/>
                <w:color w:val="auto"/>
                <w:kern w:val="44"/>
                <w:sz w:val="24"/>
                <w:szCs w:val="20"/>
              </w:rPr>
            </w:pPr>
          </w:p>
        </w:tc>
        <w:tc>
          <w:tcPr>
            <w:tcW w:w="1095" w:type="dxa"/>
            <w:tcBorders>
              <w:top w:val="single" w:color="auto" w:sz="4" w:space="0"/>
              <w:left w:val="single" w:color="auto" w:sz="4" w:space="0"/>
              <w:bottom w:val="single" w:color="auto" w:sz="4" w:space="0"/>
              <w:right w:val="single" w:color="auto" w:sz="4" w:space="0"/>
            </w:tcBorders>
          </w:tcPr>
          <w:p w14:paraId="65F7BCBB">
            <w:pPr>
              <w:snapToGrid w:val="0"/>
              <w:spacing w:beforeLines="50" w:after="50" w:line="360" w:lineRule="auto"/>
              <w:ind w:firstLine="602"/>
              <w:rPr>
                <w:rFonts w:ascii="宋体" w:hAnsi="宋体"/>
                <w:b/>
                <w:color w:val="auto"/>
                <w:kern w:val="44"/>
                <w:sz w:val="24"/>
                <w:szCs w:val="20"/>
              </w:rPr>
            </w:pPr>
          </w:p>
        </w:tc>
      </w:tr>
      <w:tr w14:paraId="6A09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3B6E0D">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2469AEA6">
            <w:pPr>
              <w:snapToGrid w:val="0"/>
              <w:spacing w:beforeLines="50" w:after="50" w:line="360" w:lineRule="auto"/>
              <w:ind w:firstLine="602"/>
              <w:rPr>
                <w:rFonts w:ascii="宋体" w:hAnsi="宋体"/>
                <w:b/>
                <w:color w:val="auto"/>
                <w:kern w:val="44"/>
                <w:sz w:val="24"/>
                <w:szCs w:val="20"/>
              </w:rPr>
            </w:pPr>
          </w:p>
        </w:tc>
        <w:tc>
          <w:tcPr>
            <w:tcW w:w="685" w:type="dxa"/>
            <w:tcBorders>
              <w:top w:val="single" w:color="auto" w:sz="4" w:space="0"/>
              <w:left w:val="single" w:color="auto" w:sz="4" w:space="0"/>
              <w:bottom w:val="single" w:color="auto" w:sz="4" w:space="0"/>
              <w:right w:val="single" w:color="auto" w:sz="4" w:space="0"/>
            </w:tcBorders>
          </w:tcPr>
          <w:p w14:paraId="2AD14F6A">
            <w:pPr>
              <w:snapToGrid w:val="0"/>
              <w:spacing w:beforeLines="50" w:after="50" w:line="360" w:lineRule="auto"/>
              <w:ind w:firstLine="602"/>
              <w:rPr>
                <w:rFonts w:ascii="宋体" w:hAnsi="宋体"/>
                <w:b/>
                <w:color w:val="auto"/>
                <w:kern w:val="44"/>
                <w:sz w:val="24"/>
                <w:szCs w:val="20"/>
              </w:rPr>
            </w:pPr>
          </w:p>
        </w:tc>
        <w:tc>
          <w:tcPr>
            <w:tcW w:w="780" w:type="dxa"/>
            <w:tcBorders>
              <w:top w:val="single" w:color="auto" w:sz="4" w:space="0"/>
              <w:left w:val="single" w:color="auto" w:sz="4" w:space="0"/>
              <w:bottom w:val="single" w:color="auto" w:sz="4" w:space="0"/>
              <w:right w:val="single" w:color="auto" w:sz="4" w:space="0"/>
            </w:tcBorders>
          </w:tcPr>
          <w:p w14:paraId="66020518">
            <w:pPr>
              <w:snapToGrid w:val="0"/>
              <w:spacing w:beforeLines="50" w:after="50" w:line="360" w:lineRule="auto"/>
              <w:ind w:firstLine="602"/>
              <w:rPr>
                <w:rFonts w:ascii="宋体" w:hAnsi="宋体"/>
                <w:b/>
                <w:color w:val="auto"/>
                <w:kern w:val="44"/>
                <w:sz w:val="24"/>
                <w:szCs w:val="20"/>
              </w:rPr>
            </w:pPr>
          </w:p>
        </w:tc>
        <w:tc>
          <w:tcPr>
            <w:tcW w:w="1129" w:type="dxa"/>
            <w:tcBorders>
              <w:top w:val="single" w:color="auto" w:sz="4" w:space="0"/>
              <w:left w:val="single" w:color="auto" w:sz="4" w:space="0"/>
              <w:bottom w:val="single" w:color="auto" w:sz="4" w:space="0"/>
              <w:right w:val="single" w:color="auto" w:sz="4" w:space="0"/>
            </w:tcBorders>
          </w:tcPr>
          <w:p w14:paraId="355C2878">
            <w:pPr>
              <w:snapToGrid w:val="0"/>
              <w:spacing w:beforeLines="50" w:after="50" w:line="360" w:lineRule="auto"/>
              <w:ind w:firstLine="602"/>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6CFEA59">
            <w:pPr>
              <w:snapToGrid w:val="0"/>
              <w:spacing w:beforeLines="50" w:after="50" w:line="360" w:lineRule="auto"/>
              <w:ind w:firstLine="602"/>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B0ABC3E">
            <w:pPr>
              <w:snapToGrid w:val="0"/>
              <w:spacing w:beforeLines="50" w:after="50" w:line="360" w:lineRule="auto"/>
              <w:ind w:firstLine="602"/>
              <w:rPr>
                <w:rFonts w:ascii="宋体" w:hAnsi="宋体"/>
                <w:b/>
                <w:color w:val="auto"/>
                <w:kern w:val="44"/>
                <w:sz w:val="24"/>
                <w:szCs w:val="20"/>
              </w:rPr>
            </w:pPr>
          </w:p>
        </w:tc>
        <w:tc>
          <w:tcPr>
            <w:tcW w:w="865" w:type="dxa"/>
            <w:tcBorders>
              <w:top w:val="single" w:color="auto" w:sz="4" w:space="0"/>
              <w:left w:val="single" w:color="auto" w:sz="4" w:space="0"/>
              <w:bottom w:val="single" w:color="auto" w:sz="4" w:space="0"/>
              <w:right w:val="single" w:color="auto" w:sz="4" w:space="0"/>
            </w:tcBorders>
          </w:tcPr>
          <w:p w14:paraId="41135C2B">
            <w:pPr>
              <w:snapToGrid w:val="0"/>
              <w:spacing w:beforeLines="50" w:after="50" w:line="360" w:lineRule="auto"/>
              <w:ind w:firstLine="602"/>
              <w:rPr>
                <w:rFonts w:ascii="宋体" w:hAnsi="宋体"/>
                <w:b/>
                <w:color w:val="auto"/>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1E9ED8A3">
            <w:pPr>
              <w:snapToGrid w:val="0"/>
              <w:spacing w:beforeLines="50" w:after="50" w:line="360" w:lineRule="auto"/>
              <w:ind w:firstLine="602"/>
              <w:rPr>
                <w:rFonts w:ascii="宋体" w:hAnsi="宋体"/>
                <w:b/>
                <w:color w:val="auto"/>
                <w:kern w:val="44"/>
                <w:sz w:val="24"/>
                <w:szCs w:val="20"/>
              </w:rPr>
            </w:pPr>
          </w:p>
        </w:tc>
        <w:tc>
          <w:tcPr>
            <w:tcW w:w="1095" w:type="dxa"/>
            <w:tcBorders>
              <w:top w:val="single" w:color="auto" w:sz="4" w:space="0"/>
              <w:left w:val="single" w:color="auto" w:sz="4" w:space="0"/>
              <w:bottom w:val="single" w:color="auto" w:sz="4" w:space="0"/>
              <w:right w:val="single" w:color="auto" w:sz="4" w:space="0"/>
            </w:tcBorders>
          </w:tcPr>
          <w:p w14:paraId="2917B374">
            <w:pPr>
              <w:snapToGrid w:val="0"/>
              <w:spacing w:beforeLines="50" w:after="50" w:line="360" w:lineRule="auto"/>
              <w:ind w:firstLine="602"/>
              <w:rPr>
                <w:rFonts w:ascii="宋体" w:hAnsi="宋体"/>
                <w:b/>
                <w:color w:val="auto"/>
                <w:kern w:val="44"/>
                <w:sz w:val="24"/>
                <w:szCs w:val="20"/>
              </w:rPr>
            </w:pPr>
          </w:p>
        </w:tc>
      </w:tr>
      <w:tr w14:paraId="2D371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8F2E295">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4D1ECE5F">
            <w:pPr>
              <w:snapToGrid w:val="0"/>
              <w:spacing w:beforeLines="50" w:after="50" w:line="360" w:lineRule="auto"/>
              <w:ind w:firstLine="602"/>
              <w:rPr>
                <w:rFonts w:ascii="宋体" w:hAnsi="宋体"/>
                <w:b/>
                <w:color w:val="auto"/>
                <w:kern w:val="44"/>
                <w:sz w:val="24"/>
                <w:szCs w:val="20"/>
              </w:rPr>
            </w:pPr>
          </w:p>
        </w:tc>
        <w:tc>
          <w:tcPr>
            <w:tcW w:w="685" w:type="dxa"/>
            <w:tcBorders>
              <w:top w:val="single" w:color="auto" w:sz="4" w:space="0"/>
              <w:left w:val="single" w:color="auto" w:sz="4" w:space="0"/>
              <w:bottom w:val="single" w:color="auto" w:sz="4" w:space="0"/>
              <w:right w:val="single" w:color="auto" w:sz="4" w:space="0"/>
            </w:tcBorders>
          </w:tcPr>
          <w:p w14:paraId="58E4B3EF">
            <w:pPr>
              <w:snapToGrid w:val="0"/>
              <w:spacing w:beforeLines="50" w:after="50" w:line="360" w:lineRule="auto"/>
              <w:ind w:firstLine="602"/>
              <w:rPr>
                <w:rFonts w:ascii="宋体" w:hAnsi="宋体"/>
                <w:b/>
                <w:color w:val="auto"/>
                <w:kern w:val="44"/>
                <w:sz w:val="24"/>
                <w:szCs w:val="20"/>
              </w:rPr>
            </w:pPr>
          </w:p>
        </w:tc>
        <w:tc>
          <w:tcPr>
            <w:tcW w:w="780" w:type="dxa"/>
            <w:tcBorders>
              <w:top w:val="single" w:color="auto" w:sz="4" w:space="0"/>
              <w:left w:val="single" w:color="auto" w:sz="4" w:space="0"/>
              <w:bottom w:val="single" w:color="auto" w:sz="4" w:space="0"/>
              <w:right w:val="single" w:color="auto" w:sz="4" w:space="0"/>
            </w:tcBorders>
          </w:tcPr>
          <w:p w14:paraId="5A242A8B">
            <w:pPr>
              <w:snapToGrid w:val="0"/>
              <w:spacing w:beforeLines="50" w:after="50" w:line="360" w:lineRule="auto"/>
              <w:ind w:firstLine="602"/>
              <w:rPr>
                <w:rFonts w:ascii="宋体" w:hAnsi="宋体"/>
                <w:b/>
                <w:color w:val="auto"/>
                <w:kern w:val="44"/>
                <w:sz w:val="24"/>
                <w:szCs w:val="20"/>
              </w:rPr>
            </w:pPr>
          </w:p>
        </w:tc>
        <w:tc>
          <w:tcPr>
            <w:tcW w:w="1129" w:type="dxa"/>
            <w:tcBorders>
              <w:top w:val="single" w:color="auto" w:sz="4" w:space="0"/>
              <w:left w:val="single" w:color="auto" w:sz="4" w:space="0"/>
              <w:bottom w:val="single" w:color="auto" w:sz="4" w:space="0"/>
              <w:right w:val="single" w:color="auto" w:sz="4" w:space="0"/>
            </w:tcBorders>
          </w:tcPr>
          <w:p w14:paraId="55E76D48">
            <w:pPr>
              <w:snapToGrid w:val="0"/>
              <w:spacing w:beforeLines="50" w:after="50" w:line="360" w:lineRule="auto"/>
              <w:ind w:firstLine="602"/>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F575E6E">
            <w:pPr>
              <w:snapToGrid w:val="0"/>
              <w:spacing w:beforeLines="50" w:after="50" w:line="360" w:lineRule="auto"/>
              <w:ind w:firstLine="602"/>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3A8BAC9">
            <w:pPr>
              <w:snapToGrid w:val="0"/>
              <w:spacing w:beforeLines="50" w:after="50" w:line="360" w:lineRule="auto"/>
              <w:ind w:firstLine="602"/>
              <w:rPr>
                <w:rFonts w:ascii="宋体" w:hAnsi="宋体"/>
                <w:b/>
                <w:color w:val="auto"/>
                <w:kern w:val="44"/>
                <w:sz w:val="24"/>
                <w:szCs w:val="20"/>
              </w:rPr>
            </w:pPr>
          </w:p>
        </w:tc>
        <w:tc>
          <w:tcPr>
            <w:tcW w:w="865" w:type="dxa"/>
            <w:tcBorders>
              <w:top w:val="single" w:color="auto" w:sz="4" w:space="0"/>
              <w:left w:val="single" w:color="auto" w:sz="4" w:space="0"/>
              <w:bottom w:val="single" w:color="auto" w:sz="4" w:space="0"/>
              <w:right w:val="single" w:color="auto" w:sz="4" w:space="0"/>
            </w:tcBorders>
          </w:tcPr>
          <w:p w14:paraId="5F3AF7FA">
            <w:pPr>
              <w:snapToGrid w:val="0"/>
              <w:spacing w:beforeLines="50" w:after="50" w:line="360" w:lineRule="auto"/>
              <w:ind w:firstLine="602"/>
              <w:rPr>
                <w:rFonts w:ascii="宋体" w:hAnsi="宋体"/>
                <w:b/>
                <w:color w:val="auto"/>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4FD8B02E">
            <w:pPr>
              <w:snapToGrid w:val="0"/>
              <w:spacing w:beforeLines="50" w:after="50" w:line="360" w:lineRule="auto"/>
              <w:ind w:firstLine="602"/>
              <w:rPr>
                <w:rFonts w:ascii="宋体" w:hAnsi="宋体"/>
                <w:b/>
                <w:color w:val="auto"/>
                <w:kern w:val="44"/>
                <w:sz w:val="24"/>
                <w:szCs w:val="20"/>
              </w:rPr>
            </w:pPr>
          </w:p>
        </w:tc>
        <w:tc>
          <w:tcPr>
            <w:tcW w:w="1095" w:type="dxa"/>
            <w:tcBorders>
              <w:top w:val="single" w:color="auto" w:sz="4" w:space="0"/>
              <w:left w:val="single" w:color="auto" w:sz="4" w:space="0"/>
              <w:bottom w:val="single" w:color="auto" w:sz="4" w:space="0"/>
              <w:right w:val="single" w:color="auto" w:sz="4" w:space="0"/>
            </w:tcBorders>
          </w:tcPr>
          <w:p w14:paraId="709C1AB0">
            <w:pPr>
              <w:snapToGrid w:val="0"/>
              <w:spacing w:beforeLines="50" w:after="50" w:line="360" w:lineRule="auto"/>
              <w:ind w:firstLine="602"/>
              <w:rPr>
                <w:rFonts w:ascii="宋体" w:hAnsi="宋体"/>
                <w:b/>
                <w:color w:val="auto"/>
                <w:kern w:val="44"/>
                <w:sz w:val="24"/>
                <w:szCs w:val="20"/>
              </w:rPr>
            </w:pPr>
          </w:p>
        </w:tc>
      </w:tr>
    </w:tbl>
    <w:p w14:paraId="6F84A69B">
      <w:pPr>
        <w:spacing w:line="360" w:lineRule="auto"/>
        <w:ind w:firstLine="602"/>
        <w:rPr>
          <w:rFonts w:ascii="宋体" w:hAnsi="宋体"/>
          <w:b/>
          <w:color w:val="auto"/>
          <w:sz w:val="24"/>
        </w:rPr>
      </w:pPr>
      <w:r>
        <w:rPr>
          <w:rFonts w:hint="eastAsia" w:ascii="宋体" w:hAnsi="宋体"/>
          <w:b/>
          <w:color w:val="auto"/>
          <w:sz w:val="24"/>
        </w:rPr>
        <w:t>要求：</w:t>
      </w:r>
    </w:p>
    <w:p w14:paraId="272BD552">
      <w:pPr>
        <w:spacing w:line="360" w:lineRule="auto"/>
        <w:ind w:left="437"/>
        <w:rPr>
          <w:rFonts w:ascii="宋体" w:hAnsi="宋体"/>
          <w:color w:val="auto"/>
          <w:sz w:val="24"/>
        </w:rPr>
      </w:pPr>
      <w:r>
        <w:rPr>
          <w:rFonts w:hint="eastAsia" w:ascii="宋体" w:hAnsi="宋体"/>
          <w:bCs/>
          <w:color w:val="auto"/>
          <w:sz w:val="24"/>
        </w:rPr>
        <w:t>1.</w:t>
      </w:r>
      <w:r>
        <w:rPr>
          <w:rFonts w:hint="eastAsia" w:ascii="宋体" w:hAnsi="宋体"/>
          <w:color w:val="auto"/>
          <w:sz w:val="24"/>
        </w:rPr>
        <w:t>在填写时，如本表格不适合投标单位的实际情况，可根据本表格式自行划表填写。</w:t>
      </w:r>
    </w:p>
    <w:p w14:paraId="2FB5687E">
      <w:pPr>
        <w:pStyle w:val="49"/>
        <w:spacing w:line="360" w:lineRule="auto"/>
        <w:ind w:left="424" w:leftChars="202"/>
        <w:rPr>
          <w:rFonts w:ascii="宋体" w:hAnsi="宋体"/>
          <w:color w:val="auto"/>
          <w:sz w:val="24"/>
        </w:rPr>
      </w:pPr>
      <w:r>
        <w:rPr>
          <w:rFonts w:hint="eastAsia" w:ascii="宋体" w:hAnsi="宋体"/>
          <w:color w:val="auto"/>
          <w:sz w:val="24"/>
        </w:rPr>
        <w:t>2.附人员证书</w:t>
      </w:r>
      <w:r>
        <w:rPr>
          <w:rFonts w:hint="eastAsia" w:ascii="宋体" w:hAnsi="宋体" w:cs="宋体"/>
          <w:color w:val="auto"/>
          <w:sz w:val="24"/>
        </w:rPr>
        <w:t>原件扫描件（若有）</w:t>
      </w:r>
      <w:r>
        <w:rPr>
          <w:rFonts w:hint="eastAsia" w:ascii="宋体" w:hAnsi="宋体"/>
          <w:color w:val="auto"/>
          <w:sz w:val="24"/>
        </w:rPr>
        <w:t>。</w:t>
      </w:r>
    </w:p>
    <w:p w14:paraId="02B08D6A">
      <w:pPr>
        <w:pStyle w:val="49"/>
        <w:spacing w:line="360" w:lineRule="auto"/>
        <w:ind w:firstLine="480" w:firstLineChars="200"/>
        <w:rPr>
          <w:rFonts w:ascii="宋体" w:hAnsi="宋体"/>
          <w:color w:val="auto"/>
          <w:sz w:val="24"/>
        </w:rPr>
      </w:pPr>
      <w:r>
        <w:rPr>
          <w:rFonts w:hint="eastAsia" w:ascii="宋体" w:hAnsi="宋体"/>
          <w:color w:val="auto"/>
          <w:sz w:val="24"/>
        </w:rPr>
        <w:t>3.出具上述人员在本单位服务的外部证明，如：</w:t>
      </w:r>
      <w:r>
        <w:rPr>
          <w:rFonts w:ascii="宋体" w:hAnsi="宋体"/>
          <w:b/>
          <w:bCs/>
          <w:color w:val="auto"/>
          <w:sz w:val="24"/>
        </w:rPr>
        <w:t>投标截止日之前</w:t>
      </w:r>
      <w:r>
        <w:rPr>
          <w:rFonts w:hint="eastAsia" w:asciiTheme="minorEastAsia" w:hAnsiTheme="minorEastAsia" w:eastAsiaTheme="minorEastAsia" w:cstheme="minorEastAsia"/>
          <w:b/>
          <w:bCs/>
          <w:color w:val="auto"/>
          <w:kern w:val="0"/>
          <w:sz w:val="24"/>
        </w:rPr>
        <w:t>在投标人本单位近</w:t>
      </w:r>
      <w:r>
        <w:rPr>
          <w:rFonts w:hint="eastAsia" w:ascii="宋体" w:hAnsi="宋体" w:eastAsiaTheme="minorEastAsia"/>
          <w:b/>
          <w:bCs/>
          <w:color w:val="auto"/>
          <w:sz w:val="24"/>
        </w:rPr>
        <w:t>3</w:t>
      </w:r>
      <w:r>
        <w:rPr>
          <w:rFonts w:ascii="宋体" w:hAnsi="宋体"/>
          <w:b/>
          <w:bCs/>
          <w:color w:val="auto"/>
          <w:sz w:val="24"/>
        </w:rPr>
        <w:t>个月</w:t>
      </w:r>
      <w:r>
        <w:rPr>
          <w:rFonts w:ascii="宋体" w:hAnsi="宋体"/>
          <w:color w:val="auto"/>
          <w:sz w:val="24"/>
        </w:rPr>
        <w:t>的</w:t>
      </w:r>
      <w:r>
        <w:rPr>
          <w:rFonts w:hint="eastAsia" w:ascii="宋体" w:hAnsi="宋体"/>
          <w:color w:val="auto"/>
          <w:sz w:val="24"/>
        </w:rPr>
        <w:t>代缴个税税单、参加社会保险的《投保单》或《社会保险参保人员证明》等</w:t>
      </w:r>
      <w:r>
        <w:rPr>
          <w:rFonts w:hint="eastAsia"/>
          <w:b/>
          <w:bCs/>
          <w:color w:val="auto"/>
          <w:sz w:val="24"/>
        </w:rPr>
        <w:t>社保缴费证明</w:t>
      </w:r>
      <w:r>
        <w:rPr>
          <w:rFonts w:hint="eastAsia" w:ascii="宋体" w:hAnsi="宋体"/>
          <w:color w:val="auto"/>
          <w:sz w:val="24"/>
        </w:rPr>
        <w:t>。</w:t>
      </w:r>
    </w:p>
    <w:p w14:paraId="41A04DC6">
      <w:pPr>
        <w:spacing w:line="360" w:lineRule="auto"/>
        <w:ind w:left="420"/>
        <w:rPr>
          <w:rFonts w:ascii="宋体" w:hAnsi="宋体"/>
          <w:color w:val="auto"/>
          <w:sz w:val="24"/>
        </w:rPr>
      </w:pPr>
    </w:p>
    <w:p w14:paraId="7DB05B17">
      <w:pPr>
        <w:spacing w:line="360" w:lineRule="auto"/>
        <w:ind w:left="420"/>
        <w:rPr>
          <w:rFonts w:ascii="宋体" w:hAnsi="宋体"/>
          <w:color w:val="auto"/>
          <w:sz w:val="24"/>
          <w:u w:val="single"/>
        </w:rPr>
      </w:pPr>
      <w:r>
        <w:rPr>
          <w:rFonts w:hint="eastAsia" w:ascii="宋体" w:hAnsi="宋体"/>
          <w:color w:val="auto"/>
          <w:sz w:val="24"/>
        </w:rPr>
        <w:t>投标人名称（盖章）：</w:t>
      </w:r>
    </w:p>
    <w:p w14:paraId="23EF8696">
      <w:pPr>
        <w:spacing w:line="360" w:lineRule="auto"/>
        <w:ind w:firstLine="600"/>
        <w:rPr>
          <w:rFonts w:ascii="宋体" w:hAnsi="宋体"/>
          <w:color w:val="auto"/>
          <w:sz w:val="24"/>
        </w:rPr>
      </w:pPr>
      <w:r>
        <w:rPr>
          <w:rFonts w:hint="eastAsia" w:ascii="宋体" w:hAnsi="宋体" w:cs="仿宋_GB2312"/>
          <w:color w:val="auto"/>
          <w:kern w:val="0"/>
          <w:sz w:val="24"/>
          <w:lang w:val="zh-CN"/>
        </w:rPr>
        <w:t>法定代表人或授权委托人（签字或盖章）</w:t>
      </w:r>
      <w:r>
        <w:rPr>
          <w:rFonts w:hint="eastAsia" w:ascii="宋体" w:hAnsi="宋体"/>
          <w:color w:val="auto"/>
          <w:sz w:val="24"/>
        </w:rPr>
        <w:t>：</w:t>
      </w:r>
    </w:p>
    <w:p w14:paraId="562210F0">
      <w:pPr>
        <w:spacing w:line="360" w:lineRule="auto"/>
        <w:ind w:firstLine="600"/>
        <w:rPr>
          <w:rFonts w:ascii="宋体" w:hAnsi="宋体"/>
          <w:color w:val="auto"/>
          <w:sz w:val="24"/>
        </w:rPr>
      </w:pPr>
      <w:r>
        <w:rPr>
          <w:rFonts w:hint="eastAsia" w:ascii="宋体" w:hAnsi="宋体"/>
          <w:color w:val="auto"/>
          <w:sz w:val="24"/>
        </w:rPr>
        <w:t>职        务：</w:t>
      </w:r>
    </w:p>
    <w:p w14:paraId="0EAE917F">
      <w:pPr>
        <w:spacing w:line="360" w:lineRule="auto"/>
        <w:ind w:firstLine="600"/>
        <w:rPr>
          <w:rFonts w:ascii="宋体" w:hAnsi="宋体"/>
          <w:b/>
          <w:color w:val="auto"/>
          <w:sz w:val="28"/>
        </w:rPr>
      </w:pPr>
      <w:r>
        <w:rPr>
          <w:rFonts w:hint="eastAsia" w:ascii="宋体" w:hAnsi="宋体"/>
          <w:color w:val="auto"/>
          <w:sz w:val="24"/>
        </w:rPr>
        <w:t>日        期：</w:t>
      </w:r>
    </w:p>
    <w:p w14:paraId="33DA88CA">
      <w:pPr>
        <w:ind w:firstLine="703"/>
        <w:rPr>
          <w:rFonts w:ascii="宋体" w:hAnsi="宋体"/>
          <w:b/>
          <w:color w:val="auto"/>
          <w:sz w:val="28"/>
        </w:rPr>
      </w:pPr>
      <w:r>
        <w:rPr>
          <w:rFonts w:hint="eastAsia" w:ascii="宋体" w:hAnsi="宋体"/>
          <w:b/>
          <w:color w:val="auto"/>
          <w:sz w:val="28"/>
        </w:rPr>
        <w:br w:type="page"/>
      </w:r>
    </w:p>
    <w:p w14:paraId="43125E23">
      <w:pPr>
        <w:spacing w:line="360" w:lineRule="auto"/>
        <w:ind w:firstLine="703"/>
        <w:rPr>
          <w:rFonts w:ascii="宋体" w:hAnsi="宋体"/>
          <w:color w:val="auto"/>
        </w:rPr>
      </w:pPr>
      <w:r>
        <w:rPr>
          <w:rFonts w:hint="eastAsia" w:ascii="宋体" w:hAnsi="宋体"/>
          <w:b/>
          <w:color w:val="auto"/>
          <w:sz w:val="28"/>
        </w:rPr>
        <w:t>附件8</w:t>
      </w:r>
    </w:p>
    <w:p w14:paraId="78C4B23E">
      <w:pPr>
        <w:spacing w:beforeLines="50" w:afterLines="50" w:line="360" w:lineRule="auto"/>
        <w:ind w:right="-10" w:firstLine="803"/>
        <w:jc w:val="center"/>
        <w:rPr>
          <w:rFonts w:ascii="宋体" w:hAnsi="宋体"/>
          <w:b/>
          <w:bCs/>
          <w:color w:val="auto"/>
          <w:sz w:val="32"/>
          <w:szCs w:val="32"/>
        </w:rPr>
      </w:pPr>
      <w:r>
        <w:rPr>
          <w:rFonts w:hint="eastAsia" w:ascii="宋体" w:hAnsi="宋体"/>
          <w:b/>
          <w:bCs/>
          <w:color w:val="auto"/>
          <w:sz w:val="32"/>
          <w:szCs w:val="32"/>
        </w:rPr>
        <w:t>项目负责人资格情况表</w:t>
      </w:r>
    </w:p>
    <w:p w14:paraId="67A56E59">
      <w:pPr>
        <w:spacing w:line="360" w:lineRule="auto"/>
        <w:rPr>
          <w:rFonts w:ascii="宋体" w:hAnsi="宋体"/>
          <w:color w:val="auto"/>
        </w:rPr>
      </w:pPr>
      <w:r>
        <w:rPr>
          <w:rFonts w:hint="eastAsia" w:ascii="宋体" w:hAnsi="宋体"/>
          <w:color w:val="auto"/>
        </w:rPr>
        <w:t>采购项目：                                            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14:paraId="6330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4A04CE6">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14:paraId="28029F28">
            <w:pPr>
              <w:autoSpaceDE w:val="0"/>
              <w:autoSpaceDN w:val="0"/>
              <w:adjustRightInd w:val="0"/>
              <w:snapToGrid w:val="0"/>
              <w:spacing w:line="360" w:lineRule="auto"/>
              <w:jc w:val="center"/>
              <w:rPr>
                <w:rFonts w:ascii="宋体" w:hAnsi="宋体"/>
                <w:color w:val="auto"/>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14:paraId="60AB0924">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近年来主要工作业绩</w:t>
            </w:r>
          </w:p>
        </w:tc>
      </w:tr>
      <w:tr w14:paraId="7FC2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F33A6AE">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14:paraId="700A4A1E">
            <w:pPr>
              <w:autoSpaceDE w:val="0"/>
              <w:autoSpaceDN w:val="0"/>
              <w:adjustRightInd w:val="0"/>
              <w:snapToGrid w:val="0"/>
              <w:spacing w:line="360" w:lineRule="auto"/>
              <w:jc w:val="center"/>
              <w:rPr>
                <w:rFonts w:ascii="宋体" w:hAnsi="宋体"/>
                <w:color w:val="auto"/>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14:paraId="7AB79C31">
            <w:pPr>
              <w:autoSpaceDE w:val="0"/>
              <w:autoSpaceDN w:val="0"/>
              <w:adjustRightInd w:val="0"/>
              <w:snapToGrid w:val="0"/>
              <w:spacing w:line="360" w:lineRule="auto"/>
              <w:jc w:val="left"/>
              <w:rPr>
                <w:rFonts w:ascii="宋体" w:hAnsi="宋体"/>
                <w:color w:val="auto"/>
                <w:lang w:val="zh-CN"/>
              </w:rPr>
            </w:pPr>
          </w:p>
        </w:tc>
      </w:tr>
      <w:tr w14:paraId="5B12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BF8BDA7">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14:paraId="084149F4">
            <w:pPr>
              <w:autoSpaceDE w:val="0"/>
              <w:autoSpaceDN w:val="0"/>
              <w:adjustRightInd w:val="0"/>
              <w:snapToGrid w:val="0"/>
              <w:spacing w:line="360" w:lineRule="auto"/>
              <w:jc w:val="center"/>
              <w:rPr>
                <w:rFonts w:ascii="宋体" w:hAnsi="宋体"/>
                <w:color w:val="auto"/>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3DEAEEE5">
            <w:pPr>
              <w:autoSpaceDE w:val="0"/>
              <w:autoSpaceDN w:val="0"/>
              <w:adjustRightInd w:val="0"/>
              <w:snapToGrid w:val="0"/>
              <w:spacing w:line="360" w:lineRule="auto"/>
              <w:jc w:val="center"/>
              <w:rPr>
                <w:rFonts w:ascii="宋体" w:hAnsi="宋体"/>
                <w:color w:val="auto"/>
                <w:lang w:val="zh-CN"/>
              </w:rPr>
            </w:pPr>
          </w:p>
        </w:tc>
      </w:tr>
      <w:tr w14:paraId="4EA4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86967C9">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14:paraId="709E1FCA">
            <w:pPr>
              <w:autoSpaceDE w:val="0"/>
              <w:autoSpaceDN w:val="0"/>
              <w:adjustRightInd w:val="0"/>
              <w:snapToGrid w:val="0"/>
              <w:spacing w:line="360" w:lineRule="auto"/>
              <w:jc w:val="center"/>
              <w:rPr>
                <w:rFonts w:ascii="宋体" w:hAnsi="宋体"/>
                <w:color w:val="auto"/>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36CE46E5">
            <w:pPr>
              <w:autoSpaceDE w:val="0"/>
              <w:autoSpaceDN w:val="0"/>
              <w:adjustRightInd w:val="0"/>
              <w:snapToGrid w:val="0"/>
              <w:spacing w:line="360" w:lineRule="auto"/>
              <w:jc w:val="center"/>
              <w:rPr>
                <w:rFonts w:ascii="宋体" w:hAnsi="宋体"/>
                <w:color w:val="auto"/>
                <w:lang w:val="zh-CN"/>
              </w:rPr>
            </w:pPr>
          </w:p>
        </w:tc>
      </w:tr>
      <w:tr w14:paraId="0FC1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5E6AD1F">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14:paraId="1063CC01">
            <w:pPr>
              <w:autoSpaceDE w:val="0"/>
              <w:autoSpaceDN w:val="0"/>
              <w:adjustRightInd w:val="0"/>
              <w:snapToGrid w:val="0"/>
              <w:spacing w:line="360" w:lineRule="auto"/>
              <w:jc w:val="center"/>
              <w:rPr>
                <w:rFonts w:ascii="宋体" w:hAnsi="宋体"/>
                <w:color w:val="auto"/>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29D48B79">
            <w:pPr>
              <w:autoSpaceDE w:val="0"/>
              <w:autoSpaceDN w:val="0"/>
              <w:adjustRightInd w:val="0"/>
              <w:snapToGrid w:val="0"/>
              <w:spacing w:line="360" w:lineRule="auto"/>
              <w:jc w:val="center"/>
              <w:rPr>
                <w:rFonts w:ascii="宋体" w:hAnsi="宋体"/>
                <w:color w:val="auto"/>
                <w:lang w:val="zh-CN"/>
              </w:rPr>
            </w:pPr>
          </w:p>
        </w:tc>
      </w:tr>
      <w:tr w14:paraId="42F0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C3BA3F3">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14:paraId="03428F18">
            <w:pPr>
              <w:autoSpaceDE w:val="0"/>
              <w:autoSpaceDN w:val="0"/>
              <w:adjustRightInd w:val="0"/>
              <w:snapToGrid w:val="0"/>
              <w:spacing w:line="360" w:lineRule="auto"/>
              <w:jc w:val="center"/>
              <w:rPr>
                <w:rFonts w:ascii="宋体" w:hAnsi="宋体"/>
                <w:color w:val="auto"/>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47B9C35D">
            <w:pPr>
              <w:autoSpaceDE w:val="0"/>
              <w:autoSpaceDN w:val="0"/>
              <w:adjustRightInd w:val="0"/>
              <w:snapToGrid w:val="0"/>
              <w:spacing w:line="360" w:lineRule="auto"/>
              <w:jc w:val="center"/>
              <w:rPr>
                <w:rFonts w:ascii="宋体" w:hAnsi="宋体"/>
                <w:color w:val="auto"/>
                <w:lang w:val="zh-CN"/>
              </w:rPr>
            </w:pPr>
          </w:p>
        </w:tc>
      </w:tr>
      <w:tr w14:paraId="7DE0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3F1824E">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14:paraId="5276444D">
            <w:pPr>
              <w:autoSpaceDE w:val="0"/>
              <w:autoSpaceDN w:val="0"/>
              <w:adjustRightInd w:val="0"/>
              <w:snapToGrid w:val="0"/>
              <w:spacing w:line="360" w:lineRule="auto"/>
              <w:jc w:val="center"/>
              <w:rPr>
                <w:rFonts w:ascii="宋体" w:hAnsi="宋体"/>
                <w:color w:val="auto"/>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39AD649F">
            <w:pPr>
              <w:autoSpaceDE w:val="0"/>
              <w:autoSpaceDN w:val="0"/>
              <w:adjustRightInd w:val="0"/>
              <w:snapToGrid w:val="0"/>
              <w:spacing w:line="360" w:lineRule="auto"/>
              <w:jc w:val="center"/>
              <w:rPr>
                <w:rFonts w:ascii="宋体" w:hAnsi="宋体"/>
                <w:color w:val="auto"/>
                <w:lang w:val="zh-CN"/>
              </w:rPr>
            </w:pPr>
          </w:p>
        </w:tc>
      </w:tr>
      <w:tr w14:paraId="26F3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DCA1A2A">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14:paraId="013038E8">
            <w:pPr>
              <w:autoSpaceDE w:val="0"/>
              <w:autoSpaceDN w:val="0"/>
              <w:adjustRightInd w:val="0"/>
              <w:snapToGrid w:val="0"/>
              <w:spacing w:line="360" w:lineRule="auto"/>
              <w:jc w:val="center"/>
              <w:rPr>
                <w:rFonts w:ascii="宋体" w:hAnsi="宋体"/>
                <w:color w:val="auto"/>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7A4ED2BB">
            <w:pPr>
              <w:autoSpaceDE w:val="0"/>
              <w:autoSpaceDN w:val="0"/>
              <w:adjustRightInd w:val="0"/>
              <w:snapToGrid w:val="0"/>
              <w:spacing w:line="360" w:lineRule="auto"/>
              <w:jc w:val="center"/>
              <w:rPr>
                <w:rFonts w:ascii="宋体" w:hAnsi="宋体"/>
                <w:color w:val="auto"/>
                <w:lang w:val="zh-CN"/>
              </w:rPr>
            </w:pPr>
          </w:p>
        </w:tc>
      </w:tr>
      <w:tr w14:paraId="74BB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07D75FC1">
            <w:pPr>
              <w:autoSpaceDE w:val="0"/>
              <w:autoSpaceDN w:val="0"/>
              <w:adjustRightInd w:val="0"/>
              <w:snapToGrid w:val="0"/>
              <w:spacing w:line="360" w:lineRule="auto"/>
              <w:ind w:firstLine="602"/>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063AF83">
            <w:pPr>
              <w:autoSpaceDE w:val="0"/>
              <w:autoSpaceDN w:val="0"/>
              <w:adjustRightInd w:val="0"/>
              <w:snapToGrid w:val="0"/>
              <w:spacing w:line="360" w:lineRule="auto"/>
              <w:jc w:val="center"/>
              <w:rPr>
                <w:rFonts w:ascii="宋体" w:hAnsi="宋体"/>
                <w:color w:val="auto"/>
                <w:lang w:val="zh-CN"/>
              </w:rPr>
            </w:pPr>
          </w:p>
        </w:tc>
      </w:tr>
    </w:tbl>
    <w:p w14:paraId="05092C3E">
      <w:pPr>
        <w:spacing w:line="360" w:lineRule="auto"/>
        <w:ind w:left="420"/>
        <w:rPr>
          <w:rFonts w:ascii="宋体" w:hAnsi="宋体"/>
          <w:color w:val="auto"/>
          <w:sz w:val="24"/>
        </w:rPr>
      </w:pPr>
    </w:p>
    <w:p w14:paraId="02D49316">
      <w:pPr>
        <w:spacing w:line="360" w:lineRule="auto"/>
        <w:ind w:firstLine="480" w:firstLineChars="200"/>
        <w:rPr>
          <w:rFonts w:ascii="宋体" w:hAnsi="宋体"/>
          <w:color w:val="auto"/>
          <w:sz w:val="24"/>
          <w:u w:val="single"/>
        </w:rPr>
      </w:pPr>
      <w:r>
        <w:rPr>
          <w:rFonts w:hint="eastAsia" w:ascii="宋体" w:hAnsi="宋体"/>
          <w:color w:val="auto"/>
          <w:sz w:val="24"/>
        </w:rPr>
        <w:t>投标人名称（盖章）：</w:t>
      </w:r>
    </w:p>
    <w:p w14:paraId="0AA225A8">
      <w:pPr>
        <w:spacing w:line="360" w:lineRule="auto"/>
        <w:ind w:firstLine="600"/>
        <w:rPr>
          <w:rFonts w:ascii="宋体" w:hAnsi="宋体"/>
          <w:color w:val="auto"/>
          <w:sz w:val="24"/>
        </w:rPr>
      </w:pPr>
      <w:r>
        <w:rPr>
          <w:rFonts w:hint="eastAsia" w:ascii="宋体" w:hAnsi="宋体" w:cs="仿宋_GB2312"/>
          <w:color w:val="auto"/>
          <w:kern w:val="0"/>
          <w:sz w:val="24"/>
          <w:lang w:val="zh-CN"/>
        </w:rPr>
        <w:t>法定代表人或授权委托人（签字或盖章）</w:t>
      </w:r>
      <w:r>
        <w:rPr>
          <w:rFonts w:hint="eastAsia" w:ascii="宋体" w:hAnsi="宋体"/>
          <w:color w:val="auto"/>
          <w:sz w:val="24"/>
        </w:rPr>
        <w:t>：</w:t>
      </w:r>
    </w:p>
    <w:p w14:paraId="48B31E1E">
      <w:pPr>
        <w:spacing w:line="360" w:lineRule="auto"/>
        <w:ind w:firstLine="600"/>
        <w:rPr>
          <w:rFonts w:ascii="宋体" w:hAnsi="宋体"/>
          <w:color w:val="auto"/>
          <w:sz w:val="24"/>
        </w:rPr>
      </w:pPr>
      <w:r>
        <w:rPr>
          <w:rFonts w:hint="eastAsia" w:ascii="宋体" w:hAnsi="宋体"/>
          <w:color w:val="auto"/>
          <w:sz w:val="24"/>
        </w:rPr>
        <w:t>职        务：</w:t>
      </w:r>
    </w:p>
    <w:p w14:paraId="31B145EC">
      <w:pPr>
        <w:spacing w:line="360" w:lineRule="auto"/>
        <w:ind w:firstLine="600"/>
        <w:rPr>
          <w:rFonts w:ascii="宋体" w:hAnsi="宋体"/>
          <w:color w:val="auto"/>
          <w:sz w:val="24"/>
        </w:rPr>
      </w:pPr>
      <w:r>
        <w:rPr>
          <w:rFonts w:hint="eastAsia" w:ascii="宋体" w:hAnsi="宋体"/>
          <w:color w:val="auto"/>
          <w:sz w:val="24"/>
        </w:rPr>
        <w:t>日        期：</w:t>
      </w:r>
    </w:p>
    <w:p w14:paraId="2FD7BA4B">
      <w:pPr>
        <w:ind w:firstLine="703"/>
        <w:rPr>
          <w:rFonts w:ascii="宋体" w:hAnsi="宋体"/>
          <w:b/>
          <w:color w:val="auto"/>
          <w:sz w:val="28"/>
        </w:rPr>
      </w:pPr>
      <w:r>
        <w:rPr>
          <w:rFonts w:hint="eastAsia" w:ascii="宋体" w:hAnsi="宋体"/>
          <w:b/>
          <w:color w:val="auto"/>
          <w:sz w:val="28"/>
        </w:rPr>
        <w:br w:type="page"/>
      </w:r>
    </w:p>
    <w:p w14:paraId="5F5BEDBB">
      <w:pPr>
        <w:snapToGrid w:val="0"/>
        <w:spacing w:before="50" w:after="50" w:line="360" w:lineRule="auto"/>
        <w:ind w:firstLine="703"/>
        <w:rPr>
          <w:rFonts w:ascii="宋体" w:hAnsi="宋体"/>
          <w:b/>
          <w:color w:val="auto"/>
          <w:sz w:val="28"/>
        </w:rPr>
      </w:pPr>
      <w:r>
        <w:rPr>
          <w:rFonts w:hint="eastAsia" w:ascii="宋体" w:hAnsi="宋体"/>
          <w:b/>
          <w:color w:val="auto"/>
          <w:sz w:val="28"/>
        </w:rPr>
        <w:t>附件9</w:t>
      </w:r>
    </w:p>
    <w:p w14:paraId="3379A2F2">
      <w:pPr>
        <w:spacing w:line="360" w:lineRule="auto"/>
        <w:ind w:firstLine="803"/>
        <w:jc w:val="center"/>
        <w:rPr>
          <w:rFonts w:ascii="宋体" w:hAnsi="宋体"/>
          <w:b/>
          <w:bCs/>
          <w:color w:val="auto"/>
          <w:sz w:val="32"/>
          <w:szCs w:val="32"/>
        </w:rPr>
      </w:pPr>
      <w:r>
        <w:rPr>
          <w:rFonts w:ascii="宋体" w:hAnsi="宋体"/>
          <w:b/>
          <w:bCs/>
          <w:color w:val="auto"/>
          <w:kern w:val="0"/>
          <w:sz w:val="32"/>
          <w:szCs w:val="32"/>
        </w:rPr>
        <w:t>技术</w:t>
      </w:r>
      <w:r>
        <w:rPr>
          <w:rFonts w:hint="eastAsia" w:ascii="宋体" w:hAnsi="宋体"/>
          <w:b/>
          <w:bCs/>
          <w:color w:val="auto"/>
          <w:kern w:val="0"/>
          <w:sz w:val="32"/>
          <w:szCs w:val="32"/>
        </w:rPr>
        <w:t>及商务需求响应表</w:t>
      </w:r>
    </w:p>
    <w:p w14:paraId="1013A1A5">
      <w:pPr>
        <w:spacing w:line="360" w:lineRule="auto"/>
        <w:rPr>
          <w:rFonts w:ascii="宋体" w:hAnsi="宋体"/>
          <w:color w:val="auto"/>
          <w:sz w:val="24"/>
        </w:rPr>
      </w:pPr>
    </w:p>
    <w:tbl>
      <w:tblPr>
        <w:tblStyle w:val="26"/>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86"/>
        <w:gridCol w:w="1547"/>
        <w:gridCol w:w="2057"/>
        <w:gridCol w:w="1350"/>
        <w:gridCol w:w="1091"/>
      </w:tblGrid>
      <w:tr w14:paraId="06B1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902" w:type="dxa"/>
            <w:vAlign w:val="center"/>
          </w:tcPr>
          <w:p w14:paraId="7827004F">
            <w:pPr>
              <w:spacing w:line="360" w:lineRule="auto"/>
              <w:rPr>
                <w:rFonts w:ascii="宋体" w:hAnsi="宋体"/>
                <w:b/>
                <w:color w:val="auto"/>
                <w:sz w:val="24"/>
              </w:rPr>
            </w:pPr>
            <w:r>
              <w:rPr>
                <w:rFonts w:hint="eastAsia" w:ascii="宋体" w:hAnsi="宋体"/>
                <w:b/>
                <w:color w:val="auto"/>
                <w:sz w:val="24"/>
              </w:rPr>
              <w:t>序号</w:t>
            </w:r>
          </w:p>
        </w:tc>
        <w:tc>
          <w:tcPr>
            <w:tcW w:w="1886" w:type="dxa"/>
            <w:vAlign w:val="center"/>
          </w:tcPr>
          <w:p w14:paraId="39F4BDDB">
            <w:pPr>
              <w:spacing w:line="360" w:lineRule="auto"/>
              <w:rPr>
                <w:rFonts w:ascii="宋体" w:hAnsi="宋体"/>
                <w:b/>
                <w:color w:val="auto"/>
                <w:sz w:val="24"/>
              </w:rPr>
            </w:pPr>
            <w:r>
              <w:rPr>
                <w:rFonts w:hint="eastAsia" w:ascii="宋体" w:hAnsi="宋体"/>
                <w:b/>
                <w:color w:val="auto"/>
                <w:sz w:val="24"/>
              </w:rPr>
              <w:t>内容名称</w:t>
            </w:r>
          </w:p>
        </w:tc>
        <w:tc>
          <w:tcPr>
            <w:tcW w:w="1547" w:type="dxa"/>
            <w:vAlign w:val="center"/>
          </w:tcPr>
          <w:p w14:paraId="2A5370BF">
            <w:pPr>
              <w:spacing w:line="360" w:lineRule="auto"/>
              <w:rPr>
                <w:rFonts w:ascii="宋体" w:hAnsi="宋体"/>
                <w:b/>
                <w:color w:val="auto"/>
                <w:sz w:val="24"/>
              </w:rPr>
            </w:pPr>
            <w:r>
              <w:rPr>
                <w:rFonts w:hint="eastAsia" w:ascii="宋体" w:hAnsi="宋体"/>
                <w:b/>
                <w:color w:val="auto"/>
                <w:sz w:val="24"/>
              </w:rPr>
              <w:t>招标需求</w:t>
            </w:r>
          </w:p>
        </w:tc>
        <w:tc>
          <w:tcPr>
            <w:tcW w:w="2057" w:type="dxa"/>
            <w:vAlign w:val="center"/>
          </w:tcPr>
          <w:p w14:paraId="47AFDA18">
            <w:pPr>
              <w:spacing w:line="360" w:lineRule="auto"/>
              <w:rPr>
                <w:rFonts w:ascii="宋体" w:hAnsi="宋体"/>
                <w:b/>
                <w:color w:val="auto"/>
                <w:sz w:val="24"/>
              </w:rPr>
            </w:pPr>
            <w:r>
              <w:rPr>
                <w:rFonts w:hint="eastAsia" w:ascii="宋体" w:hAnsi="宋体"/>
                <w:b/>
                <w:color w:val="auto"/>
                <w:sz w:val="24"/>
              </w:rPr>
              <w:t>是否响应</w:t>
            </w:r>
          </w:p>
        </w:tc>
        <w:tc>
          <w:tcPr>
            <w:tcW w:w="1350" w:type="dxa"/>
            <w:vAlign w:val="center"/>
          </w:tcPr>
          <w:p w14:paraId="68FED703">
            <w:pPr>
              <w:spacing w:line="360" w:lineRule="auto"/>
              <w:rPr>
                <w:rFonts w:ascii="宋体" w:hAnsi="宋体"/>
                <w:b/>
                <w:color w:val="auto"/>
                <w:sz w:val="24"/>
              </w:rPr>
            </w:pPr>
            <w:r>
              <w:rPr>
                <w:rFonts w:hint="eastAsia" w:ascii="宋体" w:hAnsi="宋体"/>
                <w:b/>
                <w:color w:val="auto"/>
                <w:sz w:val="24"/>
              </w:rPr>
              <w:t>偏离情况</w:t>
            </w:r>
          </w:p>
        </w:tc>
        <w:tc>
          <w:tcPr>
            <w:tcW w:w="1091" w:type="dxa"/>
            <w:vAlign w:val="center"/>
          </w:tcPr>
          <w:p w14:paraId="416440C5">
            <w:pPr>
              <w:spacing w:line="360" w:lineRule="auto"/>
              <w:rPr>
                <w:rFonts w:ascii="宋体" w:hAnsi="宋体"/>
                <w:b/>
                <w:color w:val="auto"/>
                <w:sz w:val="24"/>
              </w:rPr>
            </w:pPr>
            <w:r>
              <w:rPr>
                <w:rFonts w:hint="eastAsia" w:ascii="宋体" w:hAnsi="宋体"/>
                <w:b/>
                <w:color w:val="auto"/>
                <w:sz w:val="24"/>
              </w:rPr>
              <w:t>说明</w:t>
            </w:r>
          </w:p>
        </w:tc>
      </w:tr>
      <w:tr w14:paraId="061B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 w:type="dxa"/>
            <w:vAlign w:val="center"/>
          </w:tcPr>
          <w:p w14:paraId="2A1E02C3">
            <w:pPr>
              <w:spacing w:line="360" w:lineRule="auto"/>
              <w:rPr>
                <w:rFonts w:ascii="宋体" w:hAnsi="宋体"/>
                <w:color w:val="auto"/>
                <w:sz w:val="24"/>
              </w:rPr>
            </w:pPr>
          </w:p>
        </w:tc>
        <w:tc>
          <w:tcPr>
            <w:tcW w:w="1886" w:type="dxa"/>
            <w:vAlign w:val="center"/>
          </w:tcPr>
          <w:p w14:paraId="1E3A91FF">
            <w:pPr>
              <w:spacing w:line="360" w:lineRule="auto"/>
              <w:rPr>
                <w:rFonts w:ascii="宋体" w:hAnsi="宋体"/>
                <w:color w:val="auto"/>
                <w:sz w:val="24"/>
              </w:rPr>
            </w:pPr>
          </w:p>
        </w:tc>
        <w:tc>
          <w:tcPr>
            <w:tcW w:w="1547" w:type="dxa"/>
            <w:vAlign w:val="center"/>
          </w:tcPr>
          <w:p w14:paraId="0B91E90C">
            <w:pPr>
              <w:spacing w:line="360" w:lineRule="auto"/>
              <w:rPr>
                <w:rFonts w:ascii="宋体" w:hAnsi="宋体"/>
                <w:color w:val="auto"/>
                <w:sz w:val="24"/>
              </w:rPr>
            </w:pPr>
          </w:p>
        </w:tc>
        <w:tc>
          <w:tcPr>
            <w:tcW w:w="2057" w:type="dxa"/>
            <w:vAlign w:val="center"/>
          </w:tcPr>
          <w:p w14:paraId="56832FBB">
            <w:pPr>
              <w:spacing w:line="360" w:lineRule="auto"/>
              <w:rPr>
                <w:rFonts w:ascii="宋体" w:hAnsi="宋体"/>
                <w:color w:val="auto"/>
                <w:sz w:val="24"/>
              </w:rPr>
            </w:pPr>
          </w:p>
        </w:tc>
        <w:tc>
          <w:tcPr>
            <w:tcW w:w="1350" w:type="dxa"/>
            <w:vAlign w:val="center"/>
          </w:tcPr>
          <w:p w14:paraId="57D2B180">
            <w:pPr>
              <w:spacing w:line="360" w:lineRule="auto"/>
              <w:rPr>
                <w:rFonts w:ascii="宋体" w:hAnsi="宋体"/>
                <w:color w:val="auto"/>
                <w:sz w:val="24"/>
              </w:rPr>
            </w:pPr>
          </w:p>
        </w:tc>
        <w:tc>
          <w:tcPr>
            <w:tcW w:w="1091" w:type="dxa"/>
            <w:vAlign w:val="center"/>
          </w:tcPr>
          <w:p w14:paraId="3EB119EB">
            <w:pPr>
              <w:spacing w:line="360" w:lineRule="auto"/>
              <w:rPr>
                <w:rFonts w:ascii="宋体" w:hAnsi="宋体"/>
                <w:color w:val="auto"/>
                <w:sz w:val="24"/>
              </w:rPr>
            </w:pPr>
          </w:p>
        </w:tc>
      </w:tr>
      <w:tr w14:paraId="4CDD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02" w:type="dxa"/>
            <w:vAlign w:val="center"/>
          </w:tcPr>
          <w:p w14:paraId="3B8B6F65">
            <w:pPr>
              <w:spacing w:line="360" w:lineRule="auto"/>
              <w:rPr>
                <w:rFonts w:ascii="宋体" w:hAnsi="宋体"/>
                <w:color w:val="auto"/>
                <w:sz w:val="24"/>
              </w:rPr>
            </w:pPr>
          </w:p>
        </w:tc>
        <w:tc>
          <w:tcPr>
            <w:tcW w:w="1886" w:type="dxa"/>
            <w:vAlign w:val="center"/>
          </w:tcPr>
          <w:p w14:paraId="531224BF">
            <w:pPr>
              <w:spacing w:line="360" w:lineRule="auto"/>
              <w:rPr>
                <w:rFonts w:ascii="宋体" w:hAnsi="宋体"/>
                <w:color w:val="auto"/>
                <w:sz w:val="24"/>
              </w:rPr>
            </w:pPr>
          </w:p>
        </w:tc>
        <w:tc>
          <w:tcPr>
            <w:tcW w:w="1547" w:type="dxa"/>
            <w:vAlign w:val="center"/>
          </w:tcPr>
          <w:p w14:paraId="3747A87D">
            <w:pPr>
              <w:spacing w:line="360" w:lineRule="auto"/>
              <w:rPr>
                <w:rFonts w:ascii="宋体" w:hAnsi="宋体"/>
                <w:color w:val="auto"/>
                <w:sz w:val="24"/>
              </w:rPr>
            </w:pPr>
          </w:p>
        </w:tc>
        <w:tc>
          <w:tcPr>
            <w:tcW w:w="2057" w:type="dxa"/>
            <w:vAlign w:val="center"/>
          </w:tcPr>
          <w:p w14:paraId="038C3DFF">
            <w:pPr>
              <w:spacing w:line="360" w:lineRule="auto"/>
              <w:rPr>
                <w:rFonts w:ascii="宋体" w:hAnsi="宋体"/>
                <w:color w:val="auto"/>
                <w:sz w:val="24"/>
              </w:rPr>
            </w:pPr>
          </w:p>
        </w:tc>
        <w:tc>
          <w:tcPr>
            <w:tcW w:w="1350" w:type="dxa"/>
            <w:vAlign w:val="center"/>
          </w:tcPr>
          <w:p w14:paraId="6E69E264">
            <w:pPr>
              <w:spacing w:line="360" w:lineRule="auto"/>
              <w:rPr>
                <w:rFonts w:ascii="宋体" w:hAnsi="宋体"/>
                <w:color w:val="auto"/>
                <w:sz w:val="24"/>
              </w:rPr>
            </w:pPr>
          </w:p>
        </w:tc>
        <w:tc>
          <w:tcPr>
            <w:tcW w:w="1091" w:type="dxa"/>
            <w:vAlign w:val="center"/>
          </w:tcPr>
          <w:p w14:paraId="2837347A">
            <w:pPr>
              <w:spacing w:line="360" w:lineRule="auto"/>
              <w:rPr>
                <w:rFonts w:ascii="宋体" w:hAnsi="宋体"/>
                <w:color w:val="auto"/>
                <w:sz w:val="24"/>
              </w:rPr>
            </w:pPr>
          </w:p>
        </w:tc>
      </w:tr>
      <w:tr w14:paraId="1BCE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14:paraId="4C2AC851">
            <w:pPr>
              <w:spacing w:line="360" w:lineRule="auto"/>
              <w:rPr>
                <w:rFonts w:ascii="宋体" w:hAnsi="宋体"/>
                <w:color w:val="auto"/>
                <w:sz w:val="24"/>
              </w:rPr>
            </w:pPr>
          </w:p>
        </w:tc>
        <w:tc>
          <w:tcPr>
            <w:tcW w:w="1886" w:type="dxa"/>
            <w:vAlign w:val="center"/>
          </w:tcPr>
          <w:p w14:paraId="13A44BBA">
            <w:pPr>
              <w:spacing w:line="360" w:lineRule="auto"/>
              <w:rPr>
                <w:rFonts w:ascii="宋体" w:hAnsi="宋体"/>
                <w:color w:val="auto"/>
                <w:sz w:val="24"/>
              </w:rPr>
            </w:pPr>
          </w:p>
        </w:tc>
        <w:tc>
          <w:tcPr>
            <w:tcW w:w="1547" w:type="dxa"/>
            <w:vAlign w:val="center"/>
          </w:tcPr>
          <w:p w14:paraId="7CF65C79">
            <w:pPr>
              <w:spacing w:line="360" w:lineRule="auto"/>
              <w:rPr>
                <w:rFonts w:ascii="宋体" w:hAnsi="宋体"/>
                <w:color w:val="auto"/>
                <w:sz w:val="24"/>
              </w:rPr>
            </w:pPr>
          </w:p>
        </w:tc>
        <w:tc>
          <w:tcPr>
            <w:tcW w:w="2057" w:type="dxa"/>
            <w:vAlign w:val="center"/>
          </w:tcPr>
          <w:p w14:paraId="7D921C29">
            <w:pPr>
              <w:spacing w:line="360" w:lineRule="auto"/>
              <w:rPr>
                <w:rFonts w:ascii="宋体" w:hAnsi="宋体"/>
                <w:color w:val="auto"/>
                <w:sz w:val="24"/>
              </w:rPr>
            </w:pPr>
          </w:p>
        </w:tc>
        <w:tc>
          <w:tcPr>
            <w:tcW w:w="1350" w:type="dxa"/>
            <w:vAlign w:val="center"/>
          </w:tcPr>
          <w:p w14:paraId="6ACF458D">
            <w:pPr>
              <w:spacing w:line="360" w:lineRule="auto"/>
              <w:rPr>
                <w:rFonts w:ascii="宋体" w:hAnsi="宋体"/>
                <w:color w:val="auto"/>
                <w:sz w:val="24"/>
              </w:rPr>
            </w:pPr>
          </w:p>
        </w:tc>
        <w:tc>
          <w:tcPr>
            <w:tcW w:w="1091" w:type="dxa"/>
            <w:vAlign w:val="center"/>
          </w:tcPr>
          <w:p w14:paraId="381228A7">
            <w:pPr>
              <w:spacing w:line="360" w:lineRule="auto"/>
              <w:rPr>
                <w:rFonts w:ascii="宋体" w:hAnsi="宋体"/>
                <w:color w:val="auto"/>
                <w:sz w:val="24"/>
              </w:rPr>
            </w:pPr>
          </w:p>
        </w:tc>
      </w:tr>
      <w:tr w14:paraId="0B0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14:paraId="0DB80749">
            <w:pPr>
              <w:spacing w:line="360" w:lineRule="auto"/>
              <w:rPr>
                <w:rFonts w:ascii="宋体" w:hAnsi="宋体"/>
                <w:color w:val="auto"/>
                <w:sz w:val="24"/>
              </w:rPr>
            </w:pPr>
          </w:p>
        </w:tc>
        <w:tc>
          <w:tcPr>
            <w:tcW w:w="1886" w:type="dxa"/>
            <w:vAlign w:val="center"/>
          </w:tcPr>
          <w:p w14:paraId="762C0E2A">
            <w:pPr>
              <w:spacing w:line="360" w:lineRule="auto"/>
              <w:rPr>
                <w:rFonts w:ascii="宋体" w:hAnsi="宋体"/>
                <w:color w:val="auto"/>
                <w:sz w:val="24"/>
              </w:rPr>
            </w:pPr>
          </w:p>
        </w:tc>
        <w:tc>
          <w:tcPr>
            <w:tcW w:w="1547" w:type="dxa"/>
            <w:vAlign w:val="center"/>
          </w:tcPr>
          <w:p w14:paraId="7F4DB661">
            <w:pPr>
              <w:spacing w:line="360" w:lineRule="auto"/>
              <w:rPr>
                <w:rFonts w:ascii="宋体" w:hAnsi="宋体"/>
                <w:color w:val="auto"/>
                <w:sz w:val="24"/>
              </w:rPr>
            </w:pPr>
          </w:p>
        </w:tc>
        <w:tc>
          <w:tcPr>
            <w:tcW w:w="2057" w:type="dxa"/>
            <w:vAlign w:val="center"/>
          </w:tcPr>
          <w:p w14:paraId="59825A26">
            <w:pPr>
              <w:spacing w:line="360" w:lineRule="auto"/>
              <w:rPr>
                <w:rFonts w:ascii="宋体" w:hAnsi="宋体"/>
                <w:color w:val="auto"/>
                <w:sz w:val="24"/>
              </w:rPr>
            </w:pPr>
          </w:p>
        </w:tc>
        <w:tc>
          <w:tcPr>
            <w:tcW w:w="1350" w:type="dxa"/>
            <w:vAlign w:val="center"/>
          </w:tcPr>
          <w:p w14:paraId="58450037">
            <w:pPr>
              <w:spacing w:line="360" w:lineRule="auto"/>
              <w:rPr>
                <w:rFonts w:ascii="宋体" w:hAnsi="宋体"/>
                <w:color w:val="auto"/>
                <w:sz w:val="24"/>
              </w:rPr>
            </w:pPr>
          </w:p>
        </w:tc>
        <w:tc>
          <w:tcPr>
            <w:tcW w:w="1091" w:type="dxa"/>
            <w:vAlign w:val="center"/>
          </w:tcPr>
          <w:p w14:paraId="12740975">
            <w:pPr>
              <w:spacing w:line="360" w:lineRule="auto"/>
              <w:rPr>
                <w:rFonts w:ascii="宋体" w:hAnsi="宋体"/>
                <w:color w:val="auto"/>
                <w:sz w:val="24"/>
              </w:rPr>
            </w:pPr>
          </w:p>
        </w:tc>
      </w:tr>
      <w:tr w14:paraId="5E8E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2" w:type="dxa"/>
            <w:vAlign w:val="center"/>
          </w:tcPr>
          <w:p w14:paraId="12688198">
            <w:pPr>
              <w:spacing w:line="360" w:lineRule="auto"/>
              <w:rPr>
                <w:rFonts w:ascii="宋体" w:hAnsi="宋体"/>
                <w:color w:val="auto"/>
                <w:sz w:val="24"/>
              </w:rPr>
            </w:pPr>
          </w:p>
        </w:tc>
        <w:tc>
          <w:tcPr>
            <w:tcW w:w="1886" w:type="dxa"/>
            <w:vAlign w:val="center"/>
          </w:tcPr>
          <w:p w14:paraId="0F51C6FF">
            <w:pPr>
              <w:spacing w:line="360" w:lineRule="auto"/>
              <w:rPr>
                <w:rFonts w:ascii="宋体" w:hAnsi="宋体"/>
                <w:color w:val="auto"/>
                <w:sz w:val="24"/>
              </w:rPr>
            </w:pPr>
          </w:p>
        </w:tc>
        <w:tc>
          <w:tcPr>
            <w:tcW w:w="1547" w:type="dxa"/>
            <w:vAlign w:val="center"/>
          </w:tcPr>
          <w:p w14:paraId="2D842138">
            <w:pPr>
              <w:spacing w:line="360" w:lineRule="auto"/>
              <w:rPr>
                <w:rFonts w:ascii="宋体" w:hAnsi="宋体"/>
                <w:color w:val="auto"/>
                <w:sz w:val="24"/>
              </w:rPr>
            </w:pPr>
          </w:p>
        </w:tc>
        <w:tc>
          <w:tcPr>
            <w:tcW w:w="2057" w:type="dxa"/>
            <w:vAlign w:val="center"/>
          </w:tcPr>
          <w:p w14:paraId="3CFE4BB8">
            <w:pPr>
              <w:spacing w:line="360" w:lineRule="auto"/>
              <w:rPr>
                <w:rFonts w:ascii="宋体" w:hAnsi="宋体"/>
                <w:color w:val="auto"/>
                <w:sz w:val="24"/>
              </w:rPr>
            </w:pPr>
          </w:p>
        </w:tc>
        <w:tc>
          <w:tcPr>
            <w:tcW w:w="1350" w:type="dxa"/>
            <w:vAlign w:val="center"/>
          </w:tcPr>
          <w:p w14:paraId="6A049C9F">
            <w:pPr>
              <w:spacing w:line="360" w:lineRule="auto"/>
              <w:rPr>
                <w:rFonts w:ascii="宋体" w:hAnsi="宋体"/>
                <w:color w:val="auto"/>
                <w:sz w:val="24"/>
              </w:rPr>
            </w:pPr>
          </w:p>
        </w:tc>
        <w:tc>
          <w:tcPr>
            <w:tcW w:w="1091" w:type="dxa"/>
            <w:vAlign w:val="center"/>
          </w:tcPr>
          <w:p w14:paraId="407EF2ED">
            <w:pPr>
              <w:spacing w:line="360" w:lineRule="auto"/>
              <w:rPr>
                <w:rFonts w:ascii="宋体" w:hAnsi="宋体"/>
                <w:color w:val="auto"/>
                <w:sz w:val="24"/>
              </w:rPr>
            </w:pPr>
          </w:p>
        </w:tc>
      </w:tr>
      <w:tr w14:paraId="2CC8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2" w:type="dxa"/>
            <w:vAlign w:val="center"/>
          </w:tcPr>
          <w:p w14:paraId="35BA6BE9">
            <w:pPr>
              <w:spacing w:line="360" w:lineRule="auto"/>
              <w:rPr>
                <w:rFonts w:ascii="宋体" w:hAnsi="宋体"/>
                <w:color w:val="auto"/>
                <w:sz w:val="24"/>
              </w:rPr>
            </w:pPr>
          </w:p>
        </w:tc>
        <w:tc>
          <w:tcPr>
            <w:tcW w:w="1886" w:type="dxa"/>
            <w:vAlign w:val="center"/>
          </w:tcPr>
          <w:p w14:paraId="73A77C91">
            <w:pPr>
              <w:spacing w:line="360" w:lineRule="auto"/>
              <w:rPr>
                <w:rFonts w:ascii="宋体" w:hAnsi="宋体"/>
                <w:color w:val="auto"/>
                <w:sz w:val="24"/>
              </w:rPr>
            </w:pPr>
          </w:p>
        </w:tc>
        <w:tc>
          <w:tcPr>
            <w:tcW w:w="1547" w:type="dxa"/>
            <w:vAlign w:val="center"/>
          </w:tcPr>
          <w:p w14:paraId="0EB8D031">
            <w:pPr>
              <w:spacing w:line="360" w:lineRule="auto"/>
              <w:rPr>
                <w:rFonts w:ascii="宋体" w:hAnsi="宋体"/>
                <w:color w:val="auto"/>
                <w:sz w:val="24"/>
              </w:rPr>
            </w:pPr>
          </w:p>
        </w:tc>
        <w:tc>
          <w:tcPr>
            <w:tcW w:w="2057" w:type="dxa"/>
            <w:vAlign w:val="center"/>
          </w:tcPr>
          <w:p w14:paraId="709B4F76">
            <w:pPr>
              <w:spacing w:line="360" w:lineRule="auto"/>
              <w:rPr>
                <w:rFonts w:ascii="宋体" w:hAnsi="宋体"/>
                <w:color w:val="auto"/>
                <w:sz w:val="24"/>
              </w:rPr>
            </w:pPr>
          </w:p>
        </w:tc>
        <w:tc>
          <w:tcPr>
            <w:tcW w:w="1350" w:type="dxa"/>
            <w:vAlign w:val="center"/>
          </w:tcPr>
          <w:p w14:paraId="2CCAB0D6">
            <w:pPr>
              <w:spacing w:line="360" w:lineRule="auto"/>
              <w:rPr>
                <w:rFonts w:ascii="宋体" w:hAnsi="宋体"/>
                <w:color w:val="auto"/>
                <w:sz w:val="24"/>
              </w:rPr>
            </w:pPr>
          </w:p>
        </w:tc>
        <w:tc>
          <w:tcPr>
            <w:tcW w:w="1091" w:type="dxa"/>
            <w:vAlign w:val="center"/>
          </w:tcPr>
          <w:p w14:paraId="414A8141">
            <w:pPr>
              <w:spacing w:line="360" w:lineRule="auto"/>
              <w:rPr>
                <w:rFonts w:ascii="宋体" w:hAnsi="宋体"/>
                <w:color w:val="auto"/>
                <w:sz w:val="24"/>
              </w:rPr>
            </w:pPr>
          </w:p>
        </w:tc>
      </w:tr>
    </w:tbl>
    <w:p w14:paraId="43C76F62">
      <w:pPr>
        <w:pStyle w:val="50"/>
        <w:tabs>
          <w:tab w:val="left" w:pos="360"/>
        </w:tabs>
        <w:spacing w:line="360" w:lineRule="auto"/>
        <w:ind w:right="84" w:rightChars="40"/>
        <w:rPr>
          <w:rFonts w:ascii="宋体"/>
          <w:b/>
          <w:color w:val="auto"/>
          <w:sz w:val="24"/>
          <w:szCs w:val="24"/>
        </w:rPr>
      </w:pPr>
      <w:r>
        <w:rPr>
          <w:rFonts w:hint="eastAsia" w:ascii="宋体"/>
          <w:b/>
          <w:color w:val="auto"/>
          <w:sz w:val="24"/>
          <w:szCs w:val="24"/>
        </w:rPr>
        <w:t>要求：</w:t>
      </w:r>
    </w:p>
    <w:p w14:paraId="03134180">
      <w:pPr>
        <w:pStyle w:val="50"/>
        <w:spacing w:line="360" w:lineRule="auto"/>
        <w:ind w:right="84" w:rightChars="40" w:firstLine="480" w:firstLineChars="200"/>
        <w:rPr>
          <w:rFonts w:ascii="宋体"/>
          <w:color w:val="auto"/>
          <w:sz w:val="24"/>
          <w:szCs w:val="24"/>
        </w:rPr>
      </w:pPr>
      <w:r>
        <w:rPr>
          <w:rFonts w:hint="eastAsia" w:ascii="宋体"/>
          <w:color w:val="auto"/>
          <w:sz w:val="24"/>
          <w:szCs w:val="24"/>
        </w:rPr>
        <w:t>1. 本表参照本招标文件第四章“公开招标需求”填制，，投标人若有偏离的应将偏离条款逐条提出或根据以下要求的格式提出偏差。投标人应对照招标文件要求在“偏离情况”栏注明“正偏离”、“负偏离”。如投标人无偏离的可不填写本偏离表或在本页表格上写“无”，视为完全响应本次招标文件。</w:t>
      </w:r>
    </w:p>
    <w:p w14:paraId="02D108F7">
      <w:pPr>
        <w:spacing w:line="360" w:lineRule="auto"/>
        <w:rPr>
          <w:rFonts w:ascii="宋体" w:hAnsi="宋体"/>
          <w:color w:val="auto"/>
          <w:sz w:val="24"/>
        </w:rPr>
      </w:pPr>
    </w:p>
    <w:p w14:paraId="634A69A5">
      <w:pPr>
        <w:spacing w:line="360" w:lineRule="auto"/>
        <w:ind w:left="420"/>
        <w:rPr>
          <w:rFonts w:ascii="宋体" w:hAnsi="宋体"/>
          <w:color w:val="auto"/>
          <w:sz w:val="24"/>
          <w:u w:val="single"/>
        </w:rPr>
      </w:pPr>
      <w:r>
        <w:rPr>
          <w:rFonts w:hint="eastAsia" w:ascii="宋体" w:hAnsi="宋体"/>
          <w:color w:val="auto"/>
          <w:sz w:val="24"/>
        </w:rPr>
        <w:t>投标人名称（盖章）：</w:t>
      </w:r>
    </w:p>
    <w:p w14:paraId="7D413CAC">
      <w:pPr>
        <w:spacing w:line="360" w:lineRule="auto"/>
        <w:ind w:left="420"/>
        <w:rPr>
          <w:rFonts w:ascii="宋体" w:hAnsi="宋体"/>
          <w:color w:val="auto"/>
          <w:sz w:val="24"/>
        </w:rPr>
      </w:pPr>
    </w:p>
    <w:p w14:paraId="06718321">
      <w:pPr>
        <w:spacing w:line="360" w:lineRule="auto"/>
        <w:ind w:firstLine="600"/>
        <w:rPr>
          <w:rFonts w:ascii="宋体" w:hAnsi="宋体"/>
          <w:color w:val="auto"/>
          <w:sz w:val="24"/>
        </w:rPr>
      </w:pPr>
      <w:r>
        <w:rPr>
          <w:rFonts w:hint="eastAsia" w:ascii="宋体" w:hAnsi="宋体"/>
          <w:color w:val="auto"/>
          <w:sz w:val="24"/>
          <w:lang w:val="zh-CN"/>
        </w:rPr>
        <w:t>法定代表人或授权委托人（签字或盖章）</w:t>
      </w:r>
      <w:r>
        <w:rPr>
          <w:rFonts w:hint="eastAsia" w:ascii="宋体" w:hAnsi="宋体"/>
          <w:color w:val="auto"/>
          <w:sz w:val="24"/>
        </w:rPr>
        <w:t>：</w:t>
      </w:r>
    </w:p>
    <w:p w14:paraId="01C1329B">
      <w:pPr>
        <w:spacing w:line="360" w:lineRule="auto"/>
        <w:ind w:firstLine="600"/>
        <w:rPr>
          <w:rFonts w:ascii="宋体" w:hAnsi="宋体"/>
          <w:color w:val="auto"/>
          <w:sz w:val="24"/>
        </w:rPr>
      </w:pPr>
    </w:p>
    <w:p w14:paraId="6639B0B5">
      <w:pPr>
        <w:spacing w:line="360" w:lineRule="auto"/>
        <w:ind w:firstLine="600"/>
        <w:rPr>
          <w:rFonts w:ascii="宋体" w:hAnsi="宋体"/>
          <w:color w:val="auto"/>
          <w:sz w:val="24"/>
          <w:u w:val="single"/>
        </w:rPr>
      </w:pPr>
      <w:r>
        <w:rPr>
          <w:rFonts w:hint="eastAsia" w:ascii="宋体" w:hAnsi="宋体"/>
          <w:color w:val="auto"/>
          <w:sz w:val="24"/>
        </w:rPr>
        <w:t>职        务：</w:t>
      </w:r>
    </w:p>
    <w:p w14:paraId="38D970FF">
      <w:pPr>
        <w:spacing w:line="360" w:lineRule="auto"/>
        <w:rPr>
          <w:rFonts w:ascii="宋体" w:hAnsi="宋体"/>
          <w:color w:val="auto"/>
          <w:sz w:val="24"/>
        </w:rPr>
      </w:pPr>
    </w:p>
    <w:p w14:paraId="59AFE8B5">
      <w:pPr>
        <w:spacing w:line="360" w:lineRule="auto"/>
        <w:ind w:firstLine="600"/>
        <w:rPr>
          <w:rFonts w:ascii="宋体" w:hAnsi="宋体"/>
          <w:color w:val="auto"/>
          <w:sz w:val="24"/>
        </w:rPr>
      </w:pPr>
      <w:r>
        <w:rPr>
          <w:rFonts w:hint="eastAsia" w:ascii="宋体" w:hAnsi="宋体"/>
          <w:color w:val="auto"/>
          <w:sz w:val="24"/>
        </w:rPr>
        <w:t>日        期：</w:t>
      </w:r>
    </w:p>
    <w:p w14:paraId="7D0122B5">
      <w:pPr>
        <w:ind w:firstLine="703"/>
        <w:rPr>
          <w:rFonts w:ascii="宋体" w:hAnsi="宋体"/>
          <w:b/>
          <w:color w:val="auto"/>
          <w:sz w:val="28"/>
        </w:rPr>
      </w:pPr>
      <w:r>
        <w:rPr>
          <w:rFonts w:hint="eastAsia" w:ascii="宋体" w:hAnsi="宋体"/>
          <w:b/>
          <w:color w:val="auto"/>
          <w:sz w:val="28"/>
        </w:rPr>
        <w:br w:type="page"/>
      </w:r>
    </w:p>
    <w:p w14:paraId="798A6654">
      <w:pPr>
        <w:pStyle w:val="51"/>
        <w:spacing w:line="360" w:lineRule="auto"/>
        <w:jc w:val="left"/>
        <w:rPr>
          <w:rFonts w:ascii="宋体" w:hAnsi="宋体"/>
          <w:b/>
          <w:color w:val="auto"/>
          <w:sz w:val="28"/>
        </w:rPr>
      </w:pPr>
      <w:r>
        <w:rPr>
          <w:rFonts w:hint="eastAsia" w:ascii="宋体" w:hAnsi="宋体"/>
          <w:b/>
          <w:color w:val="auto"/>
          <w:sz w:val="28"/>
        </w:rPr>
        <w:t>附件10</w:t>
      </w:r>
    </w:p>
    <w:p w14:paraId="322C1A12">
      <w:pPr>
        <w:pStyle w:val="52"/>
        <w:spacing w:line="360" w:lineRule="auto"/>
        <w:jc w:val="center"/>
        <w:rPr>
          <w:rFonts w:ascii="宋体" w:hAnsi="宋体"/>
          <w:b/>
          <w:color w:val="auto"/>
          <w:sz w:val="32"/>
          <w:szCs w:val="32"/>
        </w:rPr>
      </w:pPr>
      <w:r>
        <w:rPr>
          <w:rFonts w:hint="eastAsia" w:ascii="宋体" w:hAnsi="宋体"/>
          <w:b/>
          <w:color w:val="auto"/>
          <w:sz w:val="32"/>
          <w:szCs w:val="32"/>
        </w:rPr>
        <w:t>证书一览表</w:t>
      </w:r>
    </w:p>
    <w:p w14:paraId="469E685E">
      <w:pPr>
        <w:pStyle w:val="52"/>
        <w:spacing w:line="360" w:lineRule="auto"/>
        <w:jc w:val="center"/>
        <w:rPr>
          <w:rFonts w:ascii="宋体" w:hAnsi="宋体" w:cs="Arial"/>
          <w:color w:val="auto"/>
          <w:sz w:val="28"/>
          <w:szCs w:val="28"/>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A994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3B18DBC7">
            <w:pPr>
              <w:pStyle w:val="52"/>
              <w:spacing w:line="360" w:lineRule="auto"/>
              <w:jc w:val="center"/>
              <w:rPr>
                <w:rFonts w:ascii="宋体" w:hAnsi="宋体" w:cs="Arial"/>
                <w:b/>
                <w:bCs/>
                <w:color w:val="auto"/>
                <w:sz w:val="24"/>
              </w:rPr>
            </w:pPr>
            <w:r>
              <w:rPr>
                <w:rFonts w:hint="eastAsia" w:ascii="宋体" w:hAnsi="宋体" w:cs="Arial"/>
                <w:b/>
                <w:bCs/>
                <w:color w:val="auto"/>
                <w:sz w:val="24"/>
              </w:rPr>
              <w:t>证书名称</w:t>
            </w:r>
          </w:p>
        </w:tc>
        <w:tc>
          <w:tcPr>
            <w:tcW w:w="2258" w:type="dxa"/>
            <w:tcBorders>
              <w:top w:val="single" w:color="auto" w:sz="4" w:space="0"/>
              <w:bottom w:val="single" w:color="auto" w:sz="4" w:space="0"/>
            </w:tcBorders>
          </w:tcPr>
          <w:p w14:paraId="358B61CE">
            <w:pPr>
              <w:pStyle w:val="52"/>
              <w:spacing w:line="360" w:lineRule="auto"/>
              <w:jc w:val="center"/>
              <w:rPr>
                <w:rFonts w:ascii="宋体" w:hAnsi="宋体" w:cs="Arial"/>
                <w:b/>
                <w:bCs/>
                <w:color w:val="auto"/>
                <w:sz w:val="24"/>
              </w:rPr>
            </w:pPr>
            <w:r>
              <w:rPr>
                <w:rFonts w:hint="eastAsia" w:ascii="宋体" w:hAnsi="宋体" w:cs="Arial"/>
                <w:b/>
                <w:bCs/>
                <w:color w:val="auto"/>
                <w:sz w:val="24"/>
              </w:rPr>
              <w:t>发证单位</w:t>
            </w:r>
          </w:p>
        </w:tc>
        <w:tc>
          <w:tcPr>
            <w:tcW w:w="2260" w:type="dxa"/>
            <w:tcBorders>
              <w:top w:val="single" w:color="auto" w:sz="4" w:space="0"/>
              <w:bottom w:val="single" w:color="auto" w:sz="4" w:space="0"/>
            </w:tcBorders>
          </w:tcPr>
          <w:p w14:paraId="6D63C7CC">
            <w:pPr>
              <w:pStyle w:val="52"/>
              <w:spacing w:line="360" w:lineRule="auto"/>
              <w:jc w:val="center"/>
              <w:rPr>
                <w:rFonts w:ascii="宋体" w:hAnsi="宋体" w:cs="Arial"/>
                <w:b/>
                <w:bCs/>
                <w:color w:val="auto"/>
                <w:sz w:val="24"/>
              </w:rPr>
            </w:pPr>
            <w:r>
              <w:rPr>
                <w:rFonts w:hint="eastAsia" w:ascii="宋体" w:hAnsi="宋体" w:cs="Arial"/>
                <w:b/>
                <w:bCs/>
                <w:color w:val="auto"/>
                <w:sz w:val="24"/>
              </w:rPr>
              <w:t>证书等级</w:t>
            </w:r>
          </w:p>
        </w:tc>
        <w:tc>
          <w:tcPr>
            <w:tcW w:w="2047" w:type="dxa"/>
            <w:tcBorders>
              <w:top w:val="single" w:color="auto" w:sz="4" w:space="0"/>
              <w:bottom w:val="single" w:color="auto" w:sz="4" w:space="0"/>
              <w:right w:val="single" w:color="auto" w:sz="4" w:space="0"/>
            </w:tcBorders>
          </w:tcPr>
          <w:p w14:paraId="212A8AB8">
            <w:pPr>
              <w:pStyle w:val="52"/>
              <w:spacing w:line="360" w:lineRule="auto"/>
              <w:jc w:val="center"/>
              <w:rPr>
                <w:rFonts w:ascii="宋体" w:hAnsi="宋体" w:cs="Arial"/>
                <w:b/>
                <w:bCs/>
                <w:color w:val="auto"/>
                <w:sz w:val="24"/>
              </w:rPr>
            </w:pPr>
            <w:r>
              <w:rPr>
                <w:rFonts w:hint="eastAsia" w:ascii="宋体" w:hAnsi="宋体" w:cs="Arial"/>
                <w:b/>
                <w:bCs/>
                <w:color w:val="auto"/>
                <w:sz w:val="24"/>
              </w:rPr>
              <w:t>证书有效期</w:t>
            </w:r>
          </w:p>
        </w:tc>
      </w:tr>
      <w:tr w14:paraId="01F87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38CF61A">
            <w:pPr>
              <w:pStyle w:val="52"/>
              <w:spacing w:line="360" w:lineRule="auto"/>
              <w:jc w:val="center"/>
              <w:rPr>
                <w:rFonts w:ascii="宋体" w:hAnsi="宋体" w:cs="Arial"/>
                <w:color w:val="auto"/>
                <w:szCs w:val="21"/>
              </w:rPr>
            </w:pPr>
          </w:p>
        </w:tc>
        <w:tc>
          <w:tcPr>
            <w:tcW w:w="2258" w:type="dxa"/>
            <w:tcBorders>
              <w:top w:val="single" w:color="auto" w:sz="4" w:space="0"/>
            </w:tcBorders>
          </w:tcPr>
          <w:p w14:paraId="206840FC">
            <w:pPr>
              <w:pStyle w:val="52"/>
              <w:spacing w:line="360" w:lineRule="auto"/>
              <w:jc w:val="center"/>
              <w:rPr>
                <w:rFonts w:ascii="宋体" w:hAnsi="宋体" w:cs="Arial"/>
                <w:color w:val="auto"/>
                <w:szCs w:val="21"/>
              </w:rPr>
            </w:pPr>
          </w:p>
        </w:tc>
        <w:tc>
          <w:tcPr>
            <w:tcW w:w="2260" w:type="dxa"/>
            <w:tcBorders>
              <w:top w:val="single" w:color="auto" w:sz="4" w:space="0"/>
            </w:tcBorders>
          </w:tcPr>
          <w:p w14:paraId="71514C2D">
            <w:pPr>
              <w:pStyle w:val="52"/>
              <w:spacing w:line="360" w:lineRule="auto"/>
              <w:jc w:val="center"/>
              <w:rPr>
                <w:rFonts w:ascii="宋体" w:hAnsi="宋体" w:cs="Arial"/>
                <w:color w:val="auto"/>
                <w:szCs w:val="21"/>
              </w:rPr>
            </w:pPr>
          </w:p>
        </w:tc>
        <w:tc>
          <w:tcPr>
            <w:tcW w:w="2047" w:type="dxa"/>
            <w:tcBorders>
              <w:top w:val="single" w:color="auto" w:sz="4" w:space="0"/>
              <w:right w:val="single" w:color="auto" w:sz="4" w:space="0"/>
            </w:tcBorders>
          </w:tcPr>
          <w:p w14:paraId="15A934C8">
            <w:pPr>
              <w:pStyle w:val="52"/>
              <w:spacing w:line="360" w:lineRule="auto"/>
              <w:jc w:val="center"/>
              <w:rPr>
                <w:rFonts w:ascii="宋体" w:hAnsi="宋体" w:cs="Arial"/>
                <w:color w:val="auto"/>
                <w:szCs w:val="21"/>
              </w:rPr>
            </w:pPr>
          </w:p>
        </w:tc>
      </w:tr>
      <w:tr w14:paraId="46860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9588B8F">
            <w:pPr>
              <w:pStyle w:val="52"/>
              <w:spacing w:line="360" w:lineRule="auto"/>
              <w:jc w:val="center"/>
              <w:rPr>
                <w:rFonts w:ascii="宋体" w:hAnsi="宋体" w:cs="Arial"/>
                <w:color w:val="auto"/>
                <w:szCs w:val="21"/>
              </w:rPr>
            </w:pPr>
          </w:p>
        </w:tc>
        <w:tc>
          <w:tcPr>
            <w:tcW w:w="2258" w:type="dxa"/>
          </w:tcPr>
          <w:p w14:paraId="28BD54E6">
            <w:pPr>
              <w:pStyle w:val="52"/>
              <w:spacing w:line="360" w:lineRule="auto"/>
              <w:jc w:val="center"/>
              <w:rPr>
                <w:rFonts w:ascii="宋体" w:hAnsi="宋体" w:cs="Arial"/>
                <w:color w:val="auto"/>
                <w:szCs w:val="21"/>
              </w:rPr>
            </w:pPr>
          </w:p>
        </w:tc>
        <w:tc>
          <w:tcPr>
            <w:tcW w:w="2260" w:type="dxa"/>
          </w:tcPr>
          <w:p w14:paraId="0C15B5D5">
            <w:pPr>
              <w:pStyle w:val="52"/>
              <w:spacing w:line="360" w:lineRule="auto"/>
              <w:jc w:val="center"/>
              <w:rPr>
                <w:rFonts w:ascii="宋体" w:hAnsi="宋体" w:cs="Arial"/>
                <w:color w:val="auto"/>
                <w:szCs w:val="21"/>
              </w:rPr>
            </w:pPr>
          </w:p>
        </w:tc>
        <w:tc>
          <w:tcPr>
            <w:tcW w:w="2047" w:type="dxa"/>
            <w:tcBorders>
              <w:right w:val="single" w:color="auto" w:sz="4" w:space="0"/>
            </w:tcBorders>
          </w:tcPr>
          <w:p w14:paraId="66EBF60C">
            <w:pPr>
              <w:pStyle w:val="52"/>
              <w:spacing w:line="360" w:lineRule="auto"/>
              <w:jc w:val="center"/>
              <w:rPr>
                <w:rFonts w:ascii="宋体" w:hAnsi="宋体" w:cs="Arial"/>
                <w:color w:val="auto"/>
                <w:szCs w:val="21"/>
              </w:rPr>
            </w:pPr>
          </w:p>
        </w:tc>
      </w:tr>
      <w:tr w14:paraId="76E72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298CBDA">
            <w:pPr>
              <w:pStyle w:val="52"/>
              <w:spacing w:line="360" w:lineRule="auto"/>
              <w:jc w:val="center"/>
              <w:rPr>
                <w:rFonts w:ascii="宋体" w:hAnsi="宋体" w:cs="Arial"/>
                <w:color w:val="auto"/>
                <w:szCs w:val="21"/>
              </w:rPr>
            </w:pPr>
          </w:p>
        </w:tc>
        <w:tc>
          <w:tcPr>
            <w:tcW w:w="2258" w:type="dxa"/>
          </w:tcPr>
          <w:p w14:paraId="259558AF">
            <w:pPr>
              <w:pStyle w:val="52"/>
              <w:spacing w:line="360" w:lineRule="auto"/>
              <w:jc w:val="center"/>
              <w:rPr>
                <w:rFonts w:ascii="宋体" w:hAnsi="宋体" w:cs="Arial"/>
                <w:color w:val="auto"/>
                <w:szCs w:val="21"/>
              </w:rPr>
            </w:pPr>
          </w:p>
        </w:tc>
        <w:tc>
          <w:tcPr>
            <w:tcW w:w="2260" w:type="dxa"/>
          </w:tcPr>
          <w:p w14:paraId="6AA95FF7">
            <w:pPr>
              <w:pStyle w:val="52"/>
              <w:spacing w:line="360" w:lineRule="auto"/>
              <w:jc w:val="center"/>
              <w:rPr>
                <w:rFonts w:ascii="宋体" w:hAnsi="宋体" w:cs="Arial"/>
                <w:color w:val="auto"/>
                <w:szCs w:val="21"/>
              </w:rPr>
            </w:pPr>
          </w:p>
        </w:tc>
        <w:tc>
          <w:tcPr>
            <w:tcW w:w="2047" w:type="dxa"/>
            <w:tcBorders>
              <w:right w:val="single" w:color="auto" w:sz="4" w:space="0"/>
            </w:tcBorders>
          </w:tcPr>
          <w:p w14:paraId="540F11A0">
            <w:pPr>
              <w:pStyle w:val="52"/>
              <w:spacing w:line="360" w:lineRule="auto"/>
              <w:jc w:val="center"/>
              <w:rPr>
                <w:rFonts w:ascii="宋体" w:hAnsi="宋体" w:cs="Arial"/>
                <w:color w:val="auto"/>
                <w:szCs w:val="21"/>
              </w:rPr>
            </w:pPr>
          </w:p>
        </w:tc>
      </w:tr>
      <w:tr w14:paraId="7DF8D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9C80F56">
            <w:pPr>
              <w:pStyle w:val="52"/>
              <w:spacing w:line="360" w:lineRule="auto"/>
              <w:jc w:val="center"/>
              <w:rPr>
                <w:rFonts w:ascii="宋体" w:hAnsi="宋体" w:cs="Arial"/>
                <w:color w:val="auto"/>
                <w:szCs w:val="21"/>
              </w:rPr>
            </w:pPr>
          </w:p>
        </w:tc>
        <w:tc>
          <w:tcPr>
            <w:tcW w:w="2258" w:type="dxa"/>
          </w:tcPr>
          <w:p w14:paraId="1262C522">
            <w:pPr>
              <w:pStyle w:val="52"/>
              <w:spacing w:line="360" w:lineRule="auto"/>
              <w:jc w:val="center"/>
              <w:rPr>
                <w:rFonts w:ascii="宋体" w:hAnsi="宋体" w:cs="Arial"/>
                <w:color w:val="auto"/>
                <w:szCs w:val="21"/>
              </w:rPr>
            </w:pPr>
          </w:p>
        </w:tc>
        <w:tc>
          <w:tcPr>
            <w:tcW w:w="2260" w:type="dxa"/>
          </w:tcPr>
          <w:p w14:paraId="6F1C38E0">
            <w:pPr>
              <w:pStyle w:val="52"/>
              <w:spacing w:line="360" w:lineRule="auto"/>
              <w:jc w:val="center"/>
              <w:rPr>
                <w:rFonts w:ascii="宋体" w:hAnsi="宋体" w:cs="Arial"/>
                <w:color w:val="auto"/>
                <w:szCs w:val="21"/>
              </w:rPr>
            </w:pPr>
          </w:p>
        </w:tc>
        <w:tc>
          <w:tcPr>
            <w:tcW w:w="2047" w:type="dxa"/>
            <w:tcBorders>
              <w:right w:val="single" w:color="auto" w:sz="4" w:space="0"/>
            </w:tcBorders>
          </w:tcPr>
          <w:p w14:paraId="5C58BD9B">
            <w:pPr>
              <w:pStyle w:val="52"/>
              <w:spacing w:line="360" w:lineRule="auto"/>
              <w:jc w:val="center"/>
              <w:rPr>
                <w:rFonts w:ascii="宋体" w:hAnsi="宋体" w:cs="Arial"/>
                <w:color w:val="auto"/>
                <w:szCs w:val="21"/>
              </w:rPr>
            </w:pPr>
          </w:p>
        </w:tc>
      </w:tr>
      <w:tr w14:paraId="25359D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C8E1352">
            <w:pPr>
              <w:pStyle w:val="52"/>
              <w:spacing w:line="360" w:lineRule="auto"/>
              <w:jc w:val="center"/>
              <w:rPr>
                <w:rFonts w:ascii="宋体" w:hAnsi="宋体" w:cs="Arial"/>
                <w:color w:val="auto"/>
                <w:szCs w:val="21"/>
              </w:rPr>
            </w:pPr>
          </w:p>
        </w:tc>
        <w:tc>
          <w:tcPr>
            <w:tcW w:w="2258" w:type="dxa"/>
          </w:tcPr>
          <w:p w14:paraId="69BA3451">
            <w:pPr>
              <w:pStyle w:val="52"/>
              <w:spacing w:line="360" w:lineRule="auto"/>
              <w:jc w:val="center"/>
              <w:rPr>
                <w:rFonts w:ascii="宋体" w:hAnsi="宋体" w:cs="Arial"/>
                <w:color w:val="auto"/>
                <w:szCs w:val="21"/>
              </w:rPr>
            </w:pPr>
          </w:p>
        </w:tc>
        <w:tc>
          <w:tcPr>
            <w:tcW w:w="2260" w:type="dxa"/>
          </w:tcPr>
          <w:p w14:paraId="78478622">
            <w:pPr>
              <w:pStyle w:val="52"/>
              <w:spacing w:line="360" w:lineRule="auto"/>
              <w:jc w:val="center"/>
              <w:rPr>
                <w:rFonts w:ascii="宋体" w:hAnsi="宋体" w:cs="Arial"/>
                <w:color w:val="auto"/>
                <w:szCs w:val="21"/>
              </w:rPr>
            </w:pPr>
          </w:p>
        </w:tc>
        <w:tc>
          <w:tcPr>
            <w:tcW w:w="2047" w:type="dxa"/>
            <w:tcBorders>
              <w:right w:val="single" w:color="auto" w:sz="4" w:space="0"/>
            </w:tcBorders>
          </w:tcPr>
          <w:p w14:paraId="55BF5F50">
            <w:pPr>
              <w:pStyle w:val="52"/>
              <w:spacing w:line="360" w:lineRule="auto"/>
              <w:jc w:val="center"/>
              <w:rPr>
                <w:rFonts w:ascii="宋体" w:hAnsi="宋体" w:cs="Arial"/>
                <w:color w:val="auto"/>
                <w:szCs w:val="21"/>
              </w:rPr>
            </w:pPr>
          </w:p>
        </w:tc>
      </w:tr>
      <w:tr w14:paraId="3FF07D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382F6DE">
            <w:pPr>
              <w:pStyle w:val="52"/>
              <w:spacing w:line="360" w:lineRule="auto"/>
              <w:jc w:val="center"/>
              <w:rPr>
                <w:rFonts w:ascii="宋体" w:hAnsi="宋体" w:cs="Arial"/>
                <w:color w:val="auto"/>
                <w:szCs w:val="21"/>
              </w:rPr>
            </w:pPr>
          </w:p>
        </w:tc>
        <w:tc>
          <w:tcPr>
            <w:tcW w:w="2258" w:type="dxa"/>
          </w:tcPr>
          <w:p w14:paraId="3E264A86">
            <w:pPr>
              <w:pStyle w:val="52"/>
              <w:spacing w:line="360" w:lineRule="auto"/>
              <w:jc w:val="center"/>
              <w:rPr>
                <w:rFonts w:ascii="宋体" w:hAnsi="宋体" w:cs="Arial"/>
                <w:color w:val="auto"/>
                <w:szCs w:val="21"/>
              </w:rPr>
            </w:pPr>
          </w:p>
        </w:tc>
        <w:tc>
          <w:tcPr>
            <w:tcW w:w="2260" w:type="dxa"/>
          </w:tcPr>
          <w:p w14:paraId="33EF1DF6">
            <w:pPr>
              <w:pStyle w:val="52"/>
              <w:spacing w:line="360" w:lineRule="auto"/>
              <w:jc w:val="center"/>
              <w:rPr>
                <w:rFonts w:ascii="宋体" w:hAnsi="宋体" w:cs="Arial"/>
                <w:color w:val="auto"/>
                <w:szCs w:val="21"/>
              </w:rPr>
            </w:pPr>
          </w:p>
        </w:tc>
        <w:tc>
          <w:tcPr>
            <w:tcW w:w="2047" w:type="dxa"/>
            <w:tcBorders>
              <w:right w:val="single" w:color="auto" w:sz="4" w:space="0"/>
            </w:tcBorders>
          </w:tcPr>
          <w:p w14:paraId="4B2A3928">
            <w:pPr>
              <w:pStyle w:val="52"/>
              <w:spacing w:line="360" w:lineRule="auto"/>
              <w:jc w:val="center"/>
              <w:rPr>
                <w:rFonts w:ascii="宋体" w:hAnsi="宋体" w:cs="Arial"/>
                <w:color w:val="auto"/>
                <w:szCs w:val="21"/>
              </w:rPr>
            </w:pPr>
          </w:p>
        </w:tc>
      </w:tr>
      <w:tr w14:paraId="2CE735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08AA40A8">
            <w:pPr>
              <w:pStyle w:val="52"/>
              <w:spacing w:line="360" w:lineRule="auto"/>
              <w:jc w:val="center"/>
              <w:rPr>
                <w:rFonts w:ascii="宋体" w:hAnsi="宋体" w:cs="Arial"/>
                <w:color w:val="auto"/>
                <w:szCs w:val="21"/>
              </w:rPr>
            </w:pPr>
          </w:p>
        </w:tc>
        <w:tc>
          <w:tcPr>
            <w:tcW w:w="2258" w:type="dxa"/>
            <w:tcBorders>
              <w:bottom w:val="single" w:color="auto" w:sz="4" w:space="0"/>
            </w:tcBorders>
          </w:tcPr>
          <w:p w14:paraId="21FA8577">
            <w:pPr>
              <w:pStyle w:val="52"/>
              <w:spacing w:line="360" w:lineRule="auto"/>
              <w:jc w:val="center"/>
              <w:rPr>
                <w:rFonts w:ascii="宋体" w:hAnsi="宋体" w:cs="Arial"/>
                <w:color w:val="auto"/>
                <w:szCs w:val="21"/>
              </w:rPr>
            </w:pPr>
          </w:p>
        </w:tc>
        <w:tc>
          <w:tcPr>
            <w:tcW w:w="2260" w:type="dxa"/>
            <w:tcBorders>
              <w:bottom w:val="single" w:color="auto" w:sz="4" w:space="0"/>
            </w:tcBorders>
          </w:tcPr>
          <w:p w14:paraId="4C8237DF">
            <w:pPr>
              <w:pStyle w:val="52"/>
              <w:spacing w:line="360" w:lineRule="auto"/>
              <w:jc w:val="center"/>
              <w:rPr>
                <w:rFonts w:ascii="宋体" w:hAnsi="宋体" w:cs="Arial"/>
                <w:color w:val="auto"/>
                <w:szCs w:val="21"/>
              </w:rPr>
            </w:pPr>
          </w:p>
        </w:tc>
        <w:tc>
          <w:tcPr>
            <w:tcW w:w="2047" w:type="dxa"/>
            <w:tcBorders>
              <w:bottom w:val="single" w:color="auto" w:sz="4" w:space="0"/>
              <w:right w:val="single" w:color="auto" w:sz="4" w:space="0"/>
            </w:tcBorders>
          </w:tcPr>
          <w:p w14:paraId="198FFF05">
            <w:pPr>
              <w:pStyle w:val="52"/>
              <w:spacing w:line="360" w:lineRule="auto"/>
              <w:jc w:val="center"/>
              <w:rPr>
                <w:rFonts w:ascii="宋体" w:hAnsi="宋体" w:cs="Arial"/>
                <w:color w:val="auto"/>
                <w:szCs w:val="21"/>
              </w:rPr>
            </w:pPr>
          </w:p>
        </w:tc>
      </w:tr>
    </w:tbl>
    <w:p w14:paraId="3A42D54A">
      <w:pPr>
        <w:pStyle w:val="52"/>
        <w:tabs>
          <w:tab w:val="left" w:pos="1050"/>
        </w:tabs>
        <w:spacing w:line="360" w:lineRule="auto"/>
        <w:rPr>
          <w:rFonts w:ascii="仿宋_GB2312" w:hAnsi="宋体" w:eastAsia="仿宋_GB2312"/>
          <w:color w:val="auto"/>
          <w:sz w:val="24"/>
        </w:rPr>
      </w:pPr>
    </w:p>
    <w:p w14:paraId="7F0BC147">
      <w:pPr>
        <w:pStyle w:val="52"/>
        <w:tabs>
          <w:tab w:val="left" w:pos="1050"/>
        </w:tabs>
        <w:spacing w:line="360" w:lineRule="auto"/>
        <w:rPr>
          <w:rFonts w:ascii="宋体" w:hAnsi="宋体"/>
          <w:color w:val="auto"/>
          <w:sz w:val="24"/>
        </w:rPr>
      </w:pPr>
      <w:r>
        <w:rPr>
          <w:rFonts w:hint="eastAsia" w:ascii="宋体" w:hAnsi="宋体"/>
          <w:b/>
          <w:color w:val="auto"/>
          <w:sz w:val="24"/>
        </w:rPr>
        <w:t>要求：</w:t>
      </w:r>
    </w:p>
    <w:p w14:paraId="71B0BE76">
      <w:pPr>
        <w:pStyle w:val="52"/>
        <w:tabs>
          <w:tab w:val="left" w:pos="1050"/>
        </w:tabs>
        <w:spacing w:line="360" w:lineRule="auto"/>
        <w:ind w:firstLine="484" w:firstLineChars="202"/>
        <w:rPr>
          <w:rFonts w:ascii="宋体" w:hAnsi="宋体"/>
          <w:color w:val="auto"/>
          <w:sz w:val="24"/>
        </w:rPr>
      </w:pPr>
      <w:r>
        <w:rPr>
          <w:rFonts w:hint="eastAsia" w:ascii="宋体" w:hAnsi="宋体"/>
          <w:color w:val="auto"/>
          <w:sz w:val="24"/>
        </w:rPr>
        <w:t>1.填写投标人获得资质、认证或企业信誉证书；</w:t>
      </w:r>
    </w:p>
    <w:p w14:paraId="48D6252D">
      <w:pPr>
        <w:pStyle w:val="52"/>
        <w:tabs>
          <w:tab w:val="left" w:pos="1050"/>
        </w:tabs>
        <w:spacing w:line="360" w:lineRule="auto"/>
        <w:ind w:firstLine="484" w:firstLineChars="202"/>
        <w:rPr>
          <w:rFonts w:ascii="宋体" w:hAnsi="宋体"/>
          <w:color w:val="auto"/>
          <w:sz w:val="24"/>
        </w:rPr>
      </w:pPr>
      <w:r>
        <w:rPr>
          <w:rFonts w:hint="eastAsia" w:ascii="宋体" w:hAnsi="宋体"/>
          <w:color w:val="auto"/>
          <w:sz w:val="24"/>
        </w:rPr>
        <w:t>2.附所列证书原件扫描件或其他证明材料。</w:t>
      </w:r>
    </w:p>
    <w:p w14:paraId="70761D3E">
      <w:pPr>
        <w:pStyle w:val="52"/>
        <w:tabs>
          <w:tab w:val="left" w:pos="1050"/>
        </w:tabs>
        <w:spacing w:line="360" w:lineRule="auto"/>
        <w:ind w:firstLine="720" w:firstLineChars="300"/>
        <w:rPr>
          <w:rFonts w:ascii="仿宋_GB2312" w:hAnsi="宋体" w:eastAsia="仿宋_GB2312"/>
          <w:color w:val="auto"/>
          <w:sz w:val="24"/>
        </w:rPr>
      </w:pPr>
    </w:p>
    <w:p w14:paraId="30FE3016">
      <w:pPr>
        <w:pStyle w:val="52"/>
        <w:tabs>
          <w:tab w:val="left" w:pos="1050"/>
        </w:tabs>
        <w:spacing w:line="360" w:lineRule="auto"/>
        <w:ind w:firstLine="720" w:firstLineChars="300"/>
        <w:rPr>
          <w:rFonts w:ascii="仿宋_GB2312" w:hAnsi="宋体" w:eastAsia="仿宋_GB2312"/>
          <w:color w:val="auto"/>
          <w:sz w:val="24"/>
        </w:rPr>
      </w:pPr>
    </w:p>
    <w:p w14:paraId="7E57FBE5">
      <w:pPr>
        <w:pStyle w:val="52"/>
        <w:tabs>
          <w:tab w:val="left" w:pos="1050"/>
        </w:tabs>
        <w:spacing w:line="360" w:lineRule="auto"/>
        <w:ind w:firstLine="720" w:firstLineChars="300"/>
        <w:rPr>
          <w:rFonts w:ascii="仿宋_GB2312" w:hAnsi="宋体" w:eastAsia="仿宋_GB2312"/>
          <w:color w:val="auto"/>
          <w:sz w:val="24"/>
        </w:rPr>
      </w:pPr>
    </w:p>
    <w:p w14:paraId="1E2277BC">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14:paraId="389E6DCB">
      <w:pPr>
        <w:spacing w:line="360" w:lineRule="auto"/>
        <w:ind w:left="420"/>
        <w:rPr>
          <w:rFonts w:ascii="宋体" w:hAnsi="宋体"/>
          <w:color w:val="auto"/>
          <w:sz w:val="24"/>
        </w:rPr>
      </w:pPr>
    </w:p>
    <w:p w14:paraId="1C31BE83">
      <w:pPr>
        <w:spacing w:line="360" w:lineRule="auto"/>
        <w:ind w:firstLine="424" w:firstLineChars="177"/>
        <w:rPr>
          <w:rFonts w:ascii="宋体" w:hAnsi="宋体"/>
          <w:color w:val="auto"/>
          <w:sz w:val="24"/>
        </w:rPr>
      </w:pPr>
      <w:r>
        <w:rPr>
          <w:rFonts w:hint="eastAsia" w:ascii="宋体" w:hAnsi="宋体"/>
          <w:color w:val="auto"/>
          <w:sz w:val="24"/>
          <w:lang w:val="zh-CN"/>
        </w:rPr>
        <w:t>法定代表人或授权委托人（签字或盖章）</w:t>
      </w:r>
      <w:r>
        <w:rPr>
          <w:rFonts w:hint="eastAsia" w:ascii="宋体" w:hAnsi="宋体"/>
          <w:color w:val="auto"/>
          <w:sz w:val="24"/>
        </w:rPr>
        <w:t>：</w:t>
      </w:r>
    </w:p>
    <w:p w14:paraId="41E66CB0">
      <w:pPr>
        <w:spacing w:line="360" w:lineRule="auto"/>
        <w:ind w:firstLine="600"/>
        <w:rPr>
          <w:rFonts w:ascii="宋体" w:hAnsi="宋体"/>
          <w:color w:val="auto"/>
          <w:sz w:val="24"/>
        </w:rPr>
      </w:pPr>
    </w:p>
    <w:p w14:paraId="0E1F0A78">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68A8240A">
      <w:pPr>
        <w:spacing w:line="360" w:lineRule="auto"/>
        <w:rPr>
          <w:rFonts w:ascii="宋体" w:hAnsi="宋体"/>
          <w:color w:val="auto"/>
          <w:sz w:val="24"/>
        </w:rPr>
      </w:pPr>
    </w:p>
    <w:p w14:paraId="57769C07">
      <w:pPr>
        <w:pStyle w:val="48"/>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14:paraId="3013F5F8">
      <w:pPr>
        <w:spacing w:line="360" w:lineRule="auto"/>
        <w:ind w:firstLine="703"/>
        <w:rPr>
          <w:rFonts w:ascii="宋体" w:hAnsi="宋体"/>
          <w:b/>
          <w:color w:val="auto"/>
          <w:sz w:val="28"/>
        </w:rPr>
      </w:pPr>
    </w:p>
    <w:p w14:paraId="24707CC3">
      <w:pPr>
        <w:spacing w:line="360" w:lineRule="auto"/>
        <w:ind w:firstLine="703"/>
        <w:rPr>
          <w:rFonts w:ascii="宋体" w:hAnsi="宋体"/>
          <w:b/>
          <w:color w:val="auto"/>
          <w:sz w:val="28"/>
        </w:rPr>
      </w:pPr>
    </w:p>
    <w:p w14:paraId="5A26D54B">
      <w:pPr>
        <w:spacing w:line="360" w:lineRule="auto"/>
        <w:ind w:firstLine="703"/>
        <w:rPr>
          <w:rFonts w:ascii="宋体" w:hAnsi="宋体"/>
          <w:b/>
          <w:color w:val="auto"/>
          <w:sz w:val="28"/>
        </w:rPr>
      </w:pPr>
      <w:r>
        <w:rPr>
          <w:rFonts w:hint="eastAsia" w:ascii="宋体" w:hAnsi="宋体"/>
          <w:b/>
          <w:color w:val="auto"/>
          <w:sz w:val="28"/>
        </w:rPr>
        <w:t>附件11</w:t>
      </w:r>
    </w:p>
    <w:p w14:paraId="352410F1">
      <w:pPr>
        <w:pStyle w:val="51"/>
        <w:spacing w:line="360" w:lineRule="auto"/>
        <w:jc w:val="center"/>
        <w:rPr>
          <w:rFonts w:ascii="宋体" w:hAnsi="宋体"/>
          <w:b/>
          <w:color w:val="auto"/>
          <w:sz w:val="32"/>
          <w:szCs w:val="32"/>
        </w:rPr>
      </w:pPr>
      <w:r>
        <w:rPr>
          <w:rFonts w:hint="eastAsia" w:ascii="宋体" w:hAnsi="宋体"/>
          <w:b/>
          <w:color w:val="auto"/>
          <w:sz w:val="32"/>
          <w:szCs w:val="32"/>
        </w:rPr>
        <w:t>投标人类似项目实施情况一览表</w:t>
      </w:r>
    </w:p>
    <w:p w14:paraId="5D628D09">
      <w:pPr>
        <w:pStyle w:val="51"/>
        <w:spacing w:line="360" w:lineRule="auto"/>
        <w:jc w:val="center"/>
        <w:rPr>
          <w:rFonts w:ascii="仿宋_GB2312" w:eastAsia="仿宋_GB2312"/>
          <w:b/>
          <w:color w:val="auto"/>
          <w:sz w:val="28"/>
          <w:szCs w:val="28"/>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CFE0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0AC9DEA">
            <w:pPr>
              <w:pStyle w:val="51"/>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9E97CC0">
            <w:pPr>
              <w:pStyle w:val="51"/>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62E8995">
            <w:pPr>
              <w:pStyle w:val="51"/>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C880D8E">
            <w:pPr>
              <w:pStyle w:val="51"/>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3CB9D13">
            <w:pPr>
              <w:pStyle w:val="51"/>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87E3FB8">
            <w:pPr>
              <w:pStyle w:val="51"/>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D858E9C">
            <w:pPr>
              <w:pStyle w:val="51"/>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25CCD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7D26CD8F">
            <w:pPr>
              <w:pStyle w:val="51"/>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14:paraId="1BEA0E43">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5A06FFAD">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638C6B1">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1309BBA0">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4089BE17">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0F5A497E">
            <w:pPr>
              <w:pStyle w:val="51"/>
              <w:spacing w:line="360" w:lineRule="auto"/>
              <w:rPr>
                <w:rFonts w:ascii="宋体" w:hAnsi="宋体" w:cs="Arial"/>
                <w:color w:val="auto"/>
                <w:sz w:val="24"/>
              </w:rPr>
            </w:pPr>
          </w:p>
        </w:tc>
      </w:tr>
      <w:tr w14:paraId="63C5A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059F1D71">
            <w:pPr>
              <w:pStyle w:val="51"/>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14:paraId="24A22F3D">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2B42CE1C">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1364FAB">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6F72060F">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52511D06">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4B39AC21">
            <w:pPr>
              <w:pStyle w:val="51"/>
              <w:spacing w:line="360" w:lineRule="auto"/>
              <w:rPr>
                <w:rFonts w:ascii="宋体" w:hAnsi="宋体" w:cs="Arial"/>
                <w:color w:val="auto"/>
                <w:sz w:val="24"/>
              </w:rPr>
            </w:pPr>
          </w:p>
        </w:tc>
      </w:tr>
      <w:tr w14:paraId="7733F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52CB3AD">
            <w:pPr>
              <w:pStyle w:val="51"/>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14:paraId="718CC7E0">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39FF3F13">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5709062">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0DDB9AEF">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03BBDF9F">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579172A8">
            <w:pPr>
              <w:pStyle w:val="51"/>
              <w:spacing w:line="360" w:lineRule="auto"/>
              <w:rPr>
                <w:rFonts w:ascii="宋体" w:hAnsi="宋体" w:cs="Arial"/>
                <w:color w:val="auto"/>
                <w:sz w:val="24"/>
              </w:rPr>
            </w:pPr>
          </w:p>
        </w:tc>
      </w:tr>
      <w:tr w14:paraId="4DC82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F5582BB">
            <w:pPr>
              <w:pStyle w:val="51"/>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14:paraId="10E616EE">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6FCB47DD">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B16D387">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08D9B47F">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227B4AF8">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4254AA48">
            <w:pPr>
              <w:pStyle w:val="51"/>
              <w:spacing w:line="360" w:lineRule="auto"/>
              <w:rPr>
                <w:rFonts w:ascii="宋体" w:hAnsi="宋体" w:cs="Arial"/>
                <w:color w:val="auto"/>
                <w:sz w:val="24"/>
              </w:rPr>
            </w:pPr>
          </w:p>
        </w:tc>
      </w:tr>
      <w:tr w14:paraId="7E1CE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56AB45C">
            <w:pPr>
              <w:pStyle w:val="51"/>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692AB63B">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7B297F1E">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7635A4E">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0EF0895F">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18CA04A1">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270F6058">
            <w:pPr>
              <w:pStyle w:val="51"/>
              <w:spacing w:line="360" w:lineRule="auto"/>
              <w:rPr>
                <w:rFonts w:ascii="宋体" w:hAnsi="宋体" w:cs="Arial"/>
                <w:color w:val="auto"/>
                <w:sz w:val="24"/>
              </w:rPr>
            </w:pPr>
          </w:p>
        </w:tc>
      </w:tr>
      <w:tr w14:paraId="366BA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C194374">
            <w:pPr>
              <w:pStyle w:val="51"/>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70D82210">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78290A86">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510F354">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23CFCC4E">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2FA93B4E">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29E2FF10">
            <w:pPr>
              <w:pStyle w:val="51"/>
              <w:spacing w:line="360" w:lineRule="auto"/>
              <w:rPr>
                <w:rFonts w:ascii="宋体" w:hAnsi="宋体" w:cs="Arial"/>
                <w:color w:val="auto"/>
                <w:sz w:val="24"/>
              </w:rPr>
            </w:pPr>
          </w:p>
        </w:tc>
      </w:tr>
      <w:tr w14:paraId="45B3F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5AC13C9">
            <w:pPr>
              <w:pStyle w:val="51"/>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5B43B0BE">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5B73E8E5">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8259BB2">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2E46E8D7">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1FF3EB26">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503A71CD">
            <w:pPr>
              <w:pStyle w:val="51"/>
              <w:spacing w:line="360" w:lineRule="auto"/>
              <w:rPr>
                <w:rFonts w:ascii="宋体" w:hAnsi="宋体" w:cs="Arial"/>
                <w:color w:val="auto"/>
                <w:sz w:val="24"/>
              </w:rPr>
            </w:pPr>
          </w:p>
        </w:tc>
      </w:tr>
    </w:tbl>
    <w:p w14:paraId="4BDFC709">
      <w:pPr>
        <w:autoSpaceDE w:val="0"/>
        <w:autoSpaceDN w:val="0"/>
        <w:adjustRightInd w:val="0"/>
        <w:spacing w:beforeLines="50" w:line="360" w:lineRule="auto"/>
        <w:ind w:firstLine="602"/>
        <w:rPr>
          <w:rFonts w:ascii="宋体" w:hAnsi="宋体" w:cs="Arial"/>
          <w:b/>
          <w:color w:val="auto"/>
          <w:sz w:val="24"/>
        </w:rPr>
      </w:pPr>
      <w:r>
        <w:rPr>
          <w:rFonts w:hint="eastAsia" w:ascii="宋体" w:hAnsi="宋体" w:cs="Arial"/>
          <w:b/>
          <w:color w:val="auto"/>
          <w:sz w:val="24"/>
        </w:rPr>
        <w:t>要求</w:t>
      </w:r>
      <w:r>
        <w:rPr>
          <w:rFonts w:ascii="宋体" w:hAnsi="宋体" w:cs="Arial"/>
          <w:b/>
          <w:color w:val="auto"/>
          <w:sz w:val="24"/>
        </w:rPr>
        <w:t>：</w:t>
      </w:r>
    </w:p>
    <w:p w14:paraId="5FD1CC70">
      <w:pPr>
        <w:autoSpaceDE w:val="0"/>
        <w:autoSpaceDN w:val="0"/>
        <w:adjustRightInd w:val="0"/>
        <w:spacing w:beforeLines="50" w:line="360" w:lineRule="auto"/>
        <w:ind w:firstLine="484" w:firstLineChars="202"/>
        <w:rPr>
          <w:rFonts w:ascii="宋体" w:hAnsi="宋体" w:cs="Arial"/>
          <w:b/>
          <w:color w:val="auto"/>
          <w:sz w:val="24"/>
        </w:rPr>
      </w:pPr>
      <w:r>
        <w:rPr>
          <w:rFonts w:ascii="宋体" w:hAnsi="宋体" w:cs="Arial"/>
          <w:color w:val="auto"/>
          <w:sz w:val="24"/>
        </w:rPr>
        <w:t>1</w:t>
      </w:r>
      <w:r>
        <w:rPr>
          <w:rFonts w:hint="eastAsia" w:ascii="宋体" w:hAnsi="宋体" w:cs="Arial"/>
          <w:color w:val="auto"/>
          <w:sz w:val="24"/>
        </w:rPr>
        <w:t>.</w:t>
      </w:r>
      <w:r>
        <w:rPr>
          <w:rFonts w:ascii="宋体" w:hAnsi="宋体" w:cs="Arial"/>
          <w:color w:val="auto"/>
          <w:sz w:val="24"/>
        </w:rPr>
        <w:t>业绩证明</w:t>
      </w:r>
      <w:r>
        <w:rPr>
          <w:rFonts w:hint="eastAsia" w:ascii="宋体" w:hAnsi="宋体" w:cs="Arial"/>
          <w:color w:val="auto"/>
          <w:sz w:val="24"/>
        </w:rPr>
        <w:t>材料</w:t>
      </w:r>
      <w:r>
        <w:rPr>
          <w:rFonts w:ascii="宋体" w:hAnsi="宋体" w:cs="Arial"/>
          <w:color w:val="auto"/>
          <w:sz w:val="24"/>
        </w:rPr>
        <w:t>应</w:t>
      </w:r>
      <w:r>
        <w:rPr>
          <w:rFonts w:hint="eastAsia" w:ascii="宋体" w:hAnsi="宋体" w:cs="Arial"/>
          <w:color w:val="auto"/>
          <w:sz w:val="24"/>
        </w:rPr>
        <w:t>按要求提供（如合同或中标通知书等不能说明业绩要求的，另须提供业主证明等证明资料）。</w:t>
      </w:r>
    </w:p>
    <w:p w14:paraId="66334C3F">
      <w:pPr>
        <w:spacing w:line="360" w:lineRule="auto"/>
        <w:ind w:firstLine="484" w:firstLineChars="202"/>
        <w:jc w:val="left"/>
        <w:rPr>
          <w:rFonts w:ascii="宋体" w:hAnsi="宋体" w:cs="Arial"/>
          <w:color w:val="auto"/>
          <w:sz w:val="24"/>
        </w:rPr>
      </w:pPr>
      <w:r>
        <w:rPr>
          <w:rFonts w:ascii="宋体" w:hAnsi="宋体" w:cs="Arial"/>
          <w:color w:val="auto"/>
          <w:sz w:val="24"/>
        </w:rPr>
        <w:t>2</w:t>
      </w:r>
      <w:r>
        <w:rPr>
          <w:rFonts w:hint="eastAsia" w:ascii="宋体" w:hAnsi="宋体" w:cs="Arial"/>
          <w:color w:val="auto"/>
          <w:sz w:val="24"/>
        </w:rPr>
        <w:t>.供应商</w:t>
      </w:r>
      <w:r>
        <w:rPr>
          <w:rFonts w:ascii="宋体" w:hAnsi="宋体" w:cs="Arial"/>
          <w:color w:val="auto"/>
          <w:sz w:val="24"/>
        </w:rPr>
        <w:t>可按此表格式复制</w:t>
      </w:r>
      <w:r>
        <w:rPr>
          <w:rFonts w:hint="eastAsia" w:ascii="宋体" w:hAnsi="宋体" w:cs="Arial"/>
          <w:color w:val="auto"/>
          <w:sz w:val="24"/>
        </w:rPr>
        <w:t>。</w:t>
      </w:r>
    </w:p>
    <w:p w14:paraId="5FE3000A">
      <w:pPr>
        <w:spacing w:line="360" w:lineRule="auto"/>
        <w:rPr>
          <w:rFonts w:ascii="宋体" w:hAnsi="宋体"/>
          <w:color w:val="auto"/>
          <w:sz w:val="24"/>
        </w:rPr>
      </w:pPr>
    </w:p>
    <w:p w14:paraId="7D1D646A">
      <w:pPr>
        <w:spacing w:line="360" w:lineRule="auto"/>
        <w:rPr>
          <w:rFonts w:ascii="宋体" w:hAnsi="宋体"/>
          <w:color w:val="auto"/>
          <w:sz w:val="24"/>
        </w:rPr>
      </w:pPr>
    </w:p>
    <w:p w14:paraId="1BDD2D73">
      <w:pPr>
        <w:spacing w:line="360" w:lineRule="auto"/>
        <w:ind w:left="420"/>
        <w:rPr>
          <w:rFonts w:ascii="宋体" w:hAnsi="宋体"/>
          <w:color w:val="auto"/>
          <w:sz w:val="24"/>
          <w:u w:val="single"/>
        </w:rPr>
      </w:pPr>
      <w:r>
        <w:rPr>
          <w:rFonts w:hint="eastAsia" w:ascii="宋体" w:hAnsi="宋体"/>
          <w:color w:val="auto"/>
          <w:sz w:val="24"/>
        </w:rPr>
        <w:t>投标人名称（盖章）：</w:t>
      </w:r>
    </w:p>
    <w:p w14:paraId="4E8D9F0C">
      <w:pPr>
        <w:spacing w:line="360" w:lineRule="auto"/>
        <w:ind w:left="420"/>
        <w:rPr>
          <w:rFonts w:ascii="宋体" w:hAnsi="宋体"/>
          <w:color w:val="auto"/>
          <w:sz w:val="24"/>
        </w:rPr>
      </w:pPr>
    </w:p>
    <w:p w14:paraId="5F9E8346">
      <w:pPr>
        <w:spacing w:line="360" w:lineRule="auto"/>
        <w:ind w:firstLine="600"/>
        <w:rPr>
          <w:rFonts w:ascii="宋体" w:hAnsi="宋体"/>
          <w:color w:val="auto"/>
          <w:sz w:val="24"/>
        </w:rPr>
      </w:pPr>
      <w:r>
        <w:rPr>
          <w:rFonts w:hint="eastAsia" w:ascii="宋体" w:hAnsi="宋体" w:cs="仿宋_GB2312"/>
          <w:color w:val="auto"/>
          <w:kern w:val="0"/>
          <w:sz w:val="24"/>
          <w:lang w:val="zh-CN"/>
        </w:rPr>
        <w:t>法定代表人或授权委托人（签字或盖章）</w:t>
      </w:r>
      <w:r>
        <w:rPr>
          <w:rFonts w:hint="eastAsia" w:ascii="宋体" w:hAnsi="宋体"/>
          <w:color w:val="auto"/>
          <w:sz w:val="24"/>
        </w:rPr>
        <w:t>：</w:t>
      </w:r>
    </w:p>
    <w:p w14:paraId="4740D909">
      <w:pPr>
        <w:spacing w:line="360" w:lineRule="auto"/>
        <w:ind w:firstLine="600"/>
        <w:rPr>
          <w:rFonts w:ascii="宋体" w:hAnsi="宋体"/>
          <w:color w:val="auto"/>
          <w:sz w:val="24"/>
        </w:rPr>
      </w:pPr>
    </w:p>
    <w:p w14:paraId="255F6227">
      <w:pPr>
        <w:spacing w:line="360" w:lineRule="auto"/>
        <w:ind w:firstLine="600"/>
        <w:rPr>
          <w:rFonts w:ascii="宋体" w:hAnsi="宋体"/>
          <w:color w:val="auto"/>
          <w:sz w:val="24"/>
          <w:u w:val="single"/>
        </w:rPr>
      </w:pPr>
      <w:r>
        <w:rPr>
          <w:rFonts w:hint="eastAsia" w:ascii="宋体" w:hAnsi="宋体"/>
          <w:color w:val="auto"/>
          <w:sz w:val="24"/>
        </w:rPr>
        <w:t>职        务：</w:t>
      </w:r>
    </w:p>
    <w:p w14:paraId="5A4C4F56">
      <w:pPr>
        <w:spacing w:line="360" w:lineRule="auto"/>
        <w:rPr>
          <w:rFonts w:ascii="宋体" w:hAnsi="宋体"/>
          <w:color w:val="auto"/>
          <w:sz w:val="24"/>
        </w:rPr>
      </w:pPr>
    </w:p>
    <w:p w14:paraId="5DCDFA82">
      <w:pPr>
        <w:spacing w:line="360" w:lineRule="auto"/>
        <w:ind w:firstLine="600"/>
        <w:rPr>
          <w:rFonts w:ascii="仿宋" w:hAnsi="仿宋" w:eastAsia="仿宋"/>
          <w:snapToGrid w:val="0"/>
          <w:color w:val="auto"/>
          <w:kern w:val="0"/>
          <w:sz w:val="24"/>
        </w:rPr>
      </w:pPr>
      <w:r>
        <w:rPr>
          <w:rFonts w:hint="eastAsia" w:ascii="宋体" w:hAnsi="宋体"/>
          <w:color w:val="auto"/>
          <w:sz w:val="24"/>
        </w:rPr>
        <w:t>日        期：</w:t>
      </w:r>
    </w:p>
    <w:p w14:paraId="48C2D27D">
      <w:pPr>
        <w:ind w:firstLine="703"/>
        <w:rPr>
          <w:rFonts w:ascii="宋体" w:hAnsi="宋体"/>
          <w:b/>
          <w:color w:val="auto"/>
          <w:sz w:val="28"/>
        </w:rPr>
      </w:pPr>
      <w:r>
        <w:rPr>
          <w:rFonts w:hint="eastAsia" w:ascii="宋体" w:hAnsi="宋体"/>
          <w:b/>
          <w:color w:val="auto"/>
          <w:sz w:val="28"/>
        </w:rPr>
        <w:br w:type="page"/>
      </w:r>
    </w:p>
    <w:p w14:paraId="34DADE34">
      <w:pPr>
        <w:rPr>
          <w:rFonts w:ascii="宋体" w:hAnsi="宋体"/>
          <w:color w:val="auto"/>
          <w:spacing w:val="40"/>
          <w:sz w:val="52"/>
          <w:szCs w:val="52"/>
          <w:highlight w:val="none"/>
        </w:rPr>
      </w:pPr>
      <w:r>
        <w:rPr>
          <w:rFonts w:hint="eastAsia" w:ascii="宋体" w:hAnsi="宋体"/>
          <w:b/>
          <w:color w:val="auto"/>
          <w:sz w:val="28"/>
          <w:highlight w:val="none"/>
        </w:rPr>
        <w:t>附件12：</w:t>
      </w:r>
    </w:p>
    <w:p w14:paraId="7F72B7B7">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56B76BA">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546ACBB9">
      <w:pPr>
        <w:spacing w:after="100" w:afterAutospacing="1" w:line="360" w:lineRule="auto"/>
        <w:ind w:right="-108"/>
        <w:jc w:val="center"/>
        <w:rPr>
          <w:rFonts w:ascii="宋体" w:hAnsi="宋体"/>
          <w:b/>
          <w:color w:val="auto"/>
          <w:spacing w:val="40"/>
          <w:sz w:val="84"/>
          <w:szCs w:val="84"/>
          <w:highlight w:val="none"/>
        </w:rPr>
      </w:pPr>
    </w:p>
    <w:p w14:paraId="6CA6154F">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2A51A11D">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65EE4485">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A6046D8">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3109E266">
      <w:pPr>
        <w:spacing w:line="360" w:lineRule="auto"/>
        <w:ind w:right="532"/>
        <w:rPr>
          <w:rFonts w:ascii="宋体" w:hAnsi="宋体"/>
          <w:color w:val="auto"/>
          <w:sz w:val="36"/>
          <w:szCs w:val="36"/>
          <w:highlight w:val="none"/>
        </w:rPr>
      </w:pPr>
    </w:p>
    <w:p w14:paraId="4BA031DF">
      <w:pPr>
        <w:spacing w:line="360" w:lineRule="auto"/>
        <w:ind w:right="532"/>
        <w:jc w:val="center"/>
        <w:rPr>
          <w:rFonts w:ascii="宋体" w:hAnsi="宋体"/>
          <w:color w:val="auto"/>
          <w:sz w:val="36"/>
          <w:szCs w:val="36"/>
          <w:highlight w:val="none"/>
        </w:rPr>
      </w:pPr>
    </w:p>
    <w:p w14:paraId="60E08A9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14:paraId="24E63B3B">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E9D7320">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6341FAB9">
      <w:pPr>
        <w:spacing w:line="360" w:lineRule="auto"/>
        <w:ind w:right="-108" w:firstLine="904"/>
        <w:jc w:val="center"/>
        <w:rPr>
          <w:rFonts w:ascii="仿宋_GB2312" w:hAnsi="宋体" w:eastAsia="仿宋_GB2312"/>
          <w:b/>
          <w:color w:val="auto"/>
          <w:sz w:val="36"/>
          <w:szCs w:val="36"/>
        </w:rPr>
      </w:pPr>
    </w:p>
    <w:p w14:paraId="1F8E7A79">
      <w:pPr>
        <w:spacing w:line="360" w:lineRule="auto"/>
        <w:ind w:right="-108" w:firstLine="1104"/>
        <w:jc w:val="center"/>
        <w:rPr>
          <w:rFonts w:ascii="宋体" w:hAnsi="宋体"/>
          <w:b/>
          <w:color w:val="auto"/>
          <w:sz w:val="44"/>
          <w:szCs w:val="44"/>
        </w:rPr>
      </w:pPr>
    </w:p>
    <w:p w14:paraId="505B5F28">
      <w:pPr>
        <w:spacing w:line="360" w:lineRule="auto"/>
        <w:ind w:right="-108" w:firstLine="1104"/>
        <w:jc w:val="center"/>
        <w:rPr>
          <w:rFonts w:ascii="宋体" w:hAnsi="宋体"/>
          <w:b/>
          <w:color w:val="auto"/>
          <w:sz w:val="44"/>
          <w:szCs w:val="44"/>
        </w:rPr>
      </w:pPr>
      <w:r>
        <w:rPr>
          <w:rFonts w:hint="eastAsia" w:ascii="宋体" w:hAnsi="宋体"/>
          <w:b/>
          <w:color w:val="auto"/>
          <w:sz w:val="44"/>
          <w:szCs w:val="44"/>
        </w:rPr>
        <w:t>报价文件目录</w:t>
      </w:r>
    </w:p>
    <w:p w14:paraId="00192F6B">
      <w:pPr>
        <w:pStyle w:val="24"/>
        <w:ind w:firstLine="904"/>
        <w:rPr>
          <w:color w:val="auto"/>
        </w:rPr>
      </w:pPr>
      <w:r>
        <w:rPr>
          <w:rFonts w:hint="eastAsia" w:ascii="宋体" w:hAnsi="宋体"/>
          <w:color w:val="auto"/>
          <w:szCs w:val="36"/>
        </w:rPr>
        <w:t>（仅供参考）</w:t>
      </w:r>
    </w:p>
    <w:p w14:paraId="1F1A1365">
      <w:pPr>
        <w:spacing w:line="360" w:lineRule="auto"/>
        <w:ind w:right="-108" w:firstLine="904"/>
        <w:jc w:val="center"/>
        <w:rPr>
          <w:rFonts w:ascii="仿宋_GB2312" w:hAnsi="宋体" w:eastAsia="仿宋_GB2312"/>
          <w:b/>
          <w:color w:val="auto"/>
          <w:sz w:val="36"/>
          <w:szCs w:val="36"/>
        </w:rPr>
      </w:pPr>
    </w:p>
    <w:p w14:paraId="3E852E82">
      <w:pPr>
        <w:snapToGrid w:val="0"/>
        <w:spacing w:line="360" w:lineRule="auto"/>
        <w:ind w:firstLine="7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1、开标一览表（附件13）；</w:t>
      </w:r>
    </w:p>
    <w:p w14:paraId="31570DFE">
      <w:pPr>
        <w:snapToGrid w:val="0"/>
        <w:spacing w:line="360" w:lineRule="auto"/>
        <w:ind w:firstLine="7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2、报价明细表（附件14）；</w:t>
      </w:r>
    </w:p>
    <w:p w14:paraId="1B416316">
      <w:pPr>
        <w:snapToGrid w:val="0"/>
        <w:spacing w:line="360" w:lineRule="auto"/>
        <w:ind w:firstLine="7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3、针对报价投标人认为其他需要说明的。</w:t>
      </w:r>
    </w:p>
    <w:p w14:paraId="2208CFAB">
      <w:pPr>
        <w:spacing w:line="360" w:lineRule="auto"/>
        <w:ind w:firstLine="703"/>
        <w:rPr>
          <w:rFonts w:ascii="宋体" w:hAnsi="宋体"/>
          <w:b/>
          <w:color w:val="auto"/>
          <w:sz w:val="28"/>
        </w:rPr>
      </w:pPr>
    </w:p>
    <w:p w14:paraId="78961BE5">
      <w:pPr>
        <w:spacing w:line="360" w:lineRule="auto"/>
        <w:ind w:left="480" w:firstLine="703"/>
        <w:rPr>
          <w:rFonts w:ascii="宋体" w:hAnsi="宋体"/>
          <w:b/>
          <w:color w:val="auto"/>
          <w:sz w:val="28"/>
        </w:rPr>
      </w:pPr>
    </w:p>
    <w:p w14:paraId="6C565B70">
      <w:pPr>
        <w:spacing w:line="360" w:lineRule="auto"/>
        <w:ind w:left="480" w:firstLine="703"/>
        <w:rPr>
          <w:rFonts w:ascii="宋体" w:hAnsi="宋体"/>
          <w:b/>
          <w:color w:val="auto"/>
          <w:sz w:val="28"/>
        </w:rPr>
      </w:pPr>
    </w:p>
    <w:p w14:paraId="30154017">
      <w:pPr>
        <w:spacing w:line="360" w:lineRule="auto"/>
        <w:ind w:left="480" w:firstLine="703"/>
        <w:rPr>
          <w:rFonts w:ascii="宋体" w:hAnsi="宋体"/>
          <w:b/>
          <w:color w:val="auto"/>
          <w:sz w:val="28"/>
        </w:rPr>
      </w:pPr>
    </w:p>
    <w:p w14:paraId="7885FB9F">
      <w:pPr>
        <w:spacing w:line="360" w:lineRule="auto"/>
        <w:ind w:left="480" w:firstLine="703"/>
        <w:rPr>
          <w:rFonts w:ascii="宋体" w:hAnsi="宋体"/>
          <w:b/>
          <w:color w:val="auto"/>
          <w:sz w:val="28"/>
        </w:rPr>
      </w:pPr>
    </w:p>
    <w:p w14:paraId="2A8BF41C">
      <w:pPr>
        <w:spacing w:line="360" w:lineRule="auto"/>
        <w:ind w:left="480" w:firstLine="703"/>
        <w:rPr>
          <w:rFonts w:ascii="宋体" w:hAnsi="宋体"/>
          <w:b/>
          <w:color w:val="auto"/>
          <w:sz w:val="28"/>
        </w:rPr>
      </w:pPr>
    </w:p>
    <w:p w14:paraId="7DE21FAB">
      <w:pPr>
        <w:spacing w:line="360" w:lineRule="auto"/>
        <w:ind w:left="480" w:firstLine="703"/>
        <w:rPr>
          <w:rFonts w:ascii="宋体" w:hAnsi="宋体"/>
          <w:b/>
          <w:color w:val="auto"/>
          <w:sz w:val="28"/>
        </w:rPr>
      </w:pPr>
    </w:p>
    <w:p w14:paraId="23DB4423">
      <w:pPr>
        <w:spacing w:line="360" w:lineRule="auto"/>
        <w:ind w:left="480" w:firstLine="703"/>
        <w:rPr>
          <w:rFonts w:ascii="宋体" w:hAnsi="宋体"/>
          <w:b/>
          <w:color w:val="auto"/>
          <w:sz w:val="28"/>
        </w:rPr>
      </w:pPr>
    </w:p>
    <w:p w14:paraId="5CF7AE6C">
      <w:pPr>
        <w:spacing w:line="360" w:lineRule="auto"/>
        <w:ind w:left="480" w:firstLine="703"/>
        <w:rPr>
          <w:rFonts w:ascii="宋体" w:hAnsi="宋体"/>
          <w:b/>
          <w:color w:val="auto"/>
          <w:sz w:val="28"/>
        </w:rPr>
      </w:pPr>
    </w:p>
    <w:p w14:paraId="039A7BD7">
      <w:pPr>
        <w:spacing w:line="360" w:lineRule="auto"/>
        <w:ind w:left="480" w:firstLine="703"/>
        <w:rPr>
          <w:rFonts w:ascii="宋体" w:hAnsi="宋体"/>
          <w:b/>
          <w:color w:val="auto"/>
          <w:sz w:val="28"/>
        </w:rPr>
      </w:pPr>
    </w:p>
    <w:p w14:paraId="60BF518F">
      <w:pPr>
        <w:spacing w:line="360" w:lineRule="auto"/>
        <w:ind w:left="480" w:firstLine="703"/>
        <w:rPr>
          <w:rFonts w:ascii="宋体" w:hAnsi="宋体"/>
          <w:b/>
          <w:color w:val="auto"/>
          <w:sz w:val="28"/>
        </w:rPr>
      </w:pPr>
    </w:p>
    <w:p w14:paraId="08732EC4">
      <w:pPr>
        <w:spacing w:line="360" w:lineRule="auto"/>
        <w:ind w:left="480" w:firstLine="703"/>
        <w:rPr>
          <w:rFonts w:ascii="宋体" w:hAnsi="宋体"/>
          <w:b/>
          <w:color w:val="auto"/>
          <w:sz w:val="28"/>
        </w:rPr>
      </w:pPr>
    </w:p>
    <w:p w14:paraId="3DC3F924">
      <w:pPr>
        <w:spacing w:line="360" w:lineRule="auto"/>
        <w:ind w:left="480" w:firstLine="703"/>
        <w:rPr>
          <w:rFonts w:ascii="宋体" w:hAnsi="宋体"/>
          <w:b/>
          <w:color w:val="auto"/>
          <w:sz w:val="28"/>
        </w:rPr>
      </w:pPr>
    </w:p>
    <w:p w14:paraId="50DFB177">
      <w:pPr>
        <w:spacing w:line="360" w:lineRule="auto"/>
        <w:ind w:left="480" w:firstLine="703"/>
        <w:rPr>
          <w:rFonts w:ascii="宋体" w:hAnsi="宋体"/>
          <w:b/>
          <w:color w:val="auto"/>
          <w:sz w:val="28"/>
        </w:rPr>
      </w:pPr>
    </w:p>
    <w:p w14:paraId="13499E95">
      <w:pPr>
        <w:spacing w:line="360" w:lineRule="auto"/>
        <w:ind w:left="480" w:firstLine="703"/>
        <w:rPr>
          <w:rFonts w:ascii="宋体" w:hAnsi="宋体"/>
          <w:b/>
          <w:color w:val="auto"/>
          <w:sz w:val="28"/>
        </w:rPr>
      </w:pPr>
    </w:p>
    <w:p w14:paraId="68B97605">
      <w:pPr>
        <w:ind w:firstLine="703"/>
        <w:rPr>
          <w:rFonts w:ascii="宋体" w:hAnsi="宋体"/>
          <w:b/>
          <w:color w:val="auto"/>
          <w:sz w:val="28"/>
        </w:rPr>
      </w:pPr>
      <w:r>
        <w:rPr>
          <w:rFonts w:hint="eastAsia" w:ascii="宋体" w:hAnsi="宋体"/>
          <w:b/>
          <w:color w:val="auto"/>
          <w:sz w:val="28"/>
        </w:rPr>
        <w:br w:type="page"/>
      </w:r>
    </w:p>
    <w:p w14:paraId="0629C0FF">
      <w:pPr>
        <w:spacing w:line="360" w:lineRule="auto"/>
        <w:ind w:firstLine="703"/>
        <w:rPr>
          <w:rFonts w:ascii="宋体" w:hAnsi="宋体"/>
          <w:b/>
          <w:color w:val="auto"/>
          <w:sz w:val="28"/>
        </w:rPr>
      </w:pPr>
      <w:r>
        <w:rPr>
          <w:rFonts w:hint="eastAsia" w:ascii="宋体" w:hAnsi="宋体"/>
          <w:b/>
          <w:color w:val="auto"/>
          <w:sz w:val="28"/>
        </w:rPr>
        <w:t>附件13</w:t>
      </w:r>
    </w:p>
    <w:p w14:paraId="7D7407D0">
      <w:pPr>
        <w:spacing w:line="360" w:lineRule="auto"/>
        <w:ind w:left="-2" w:firstLine="1104"/>
        <w:jc w:val="center"/>
        <w:rPr>
          <w:rFonts w:ascii="宋体" w:hAnsi="宋体"/>
          <w:b/>
          <w:color w:val="auto"/>
          <w:sz w:val="32"/>
          <w:szCs w:val="32"/>
        </w:rPr>
      </w:pPr>
      <w:r>
        <w:rPr>
          <w:rFonts w:hint="eastAsia" w:ascii="宋体" w:hAnsi="宋体"/>
          <w:b/>
          <w:color w:val="auto"/>
          <w:sz w:val="44"/>
          <w:szCs w:val="44"/>
        </w:rPr>
        <w:t>开标一览表</w:t>
      </w:r>
    </w:p>
    <w:p w14:paraId="171915FE">
      <w:pPr>
        <w:pStyle w:val="15"/>
        <w:spacing w:line="320" w:lineRule="exact"/>
        <w:ind w:firstLine="602"/>
        <w:rPr>
          <w:rFonts w:hAnsi="宋体"/>
          <w:b/>
          <w:color w:val="auto"/>
          <w:sz w:val="24"/>
        </w:rPr>
      </w:pPr>
      <w:r>
        <w:rPr>
          <w:rFonts w:hAnsi="宋体"/>
          <w:b/>
          <w:color w:val="auto"/>
          <w:sz w:val="24"/>
        </w:rPr>
        <w:t>项目编号：</w:t>
      </w:r>
    </w:p>
    <w:p w14:paraId="79299DEB">
      <w:pPr>
        <w:pStyle w:val="57"/>
        <w:spacing w:line="360" w:lineRule="auto"/>
        <w:ind w:right="480"/>
        <w:jc w:val="left"/>
        <w:rPr>
          <w:rFonts w:hAnsi="宋体"/>
          <w:color w:val="auto"/>
          <w:sz w:val="24"/>
        </w:rPr>
      </w:pPr>
      <w:r>
        <w:rPr>
          <w:rFonts w:hAnsi="宋体"/>
          <w:b/>
          <w:color w:val="auto"/>
          <w:sz w:val="24"/>
        </w:rPr>
        <w:t>项目名称：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110"/>
        <w:gridCol w:w="4026"/>
        <w:gridCol w:w="1402"/>
      </w:tblGrid>
      <w:tr w14:paraId="0F7C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6" w:type="dxa"/>
            <w:noWrap/>
            <w:vAlign w:val="center"/>
          </w:tcPr>
          <w:p w14:paraId="44B5039D">
            <w:pPr>
              <w:spacing w:line="480" w:lineRule="auto"/>
              <w:rPr>
                <w:rFonts w:ascii="宋体" w:hAnsi="宋体"/>
                <w:color w:val="auto"/>
                <w:sz w:val="24"/>
              </w:rPr>
            </w:pPr>
            <w:r>
              <w:rPr>
                <w:rFonts w:hint="eastAsia" w:ascii="宋体" w:hAnsi="宋体"/>
                <w:color w:val="auto"/>
                <w:sz w:val="24"/>
              </w:rPr>
              <w:t xml:space="preserve"> 内容</w:t>
            </w:r>
          </w:p>
        </w:tc>
        <w:tc>
          <w:tcPr>
            <w:tcW w:w="5136" w:type="dxa"/>
            <w:gridSpan w:val="2"/>
            <w:noWrap/>
            <w:vAlign w:val="center"/>
          </w:tcPr>
          <w:p w14:paraId="3DA0AE84">
            <w:pPr>
              <w:spacing w:line="480" w:lineRule="auto"/>
              <w:jc w:val="center"/>
              <w:rPr>
                <w:rFonts w:ascii="宋体" w:hAnsi="宋体"/>
                <w:color w:val="auto"/>
                <w:sz w:val="24"/>
              </w:rPr>
            </w:pPr>
            <w:r>
              <w:rPr>
                <w:rFonts w:hint="eastAsia" w:ascii="宋体" w:hAnsi="宋体"/>
                <w:color w:val="auto"/>
                <w:sz w:val="24"/>
              </w:rPr>
              <w:t>投标报价（元/年）</w:t>
            </w:r>
          </w:p>
        </w:tc>
        <w:tc>
          <w:tcPr>
            <w:tcW w:w="1402" w:type="dxa"/>
            <w:noWrap/>
            <w:vAlign w:val="center"/>
          </w:tcPr>
          <w:p w14:paraId="0851BBF7">
            <w:pPr>
              <w:spacing w:line="480" w:lineRule="auto"/>
              <w:jc w:val="center"/>
              <w:rPr>
                <w:rFonts w:ascii="宋体" w:hAnsi="宋体"/>
                <w:color w:val="auto"/>
                <w:sz w:val="24"/>
              </w:rPr>
            </w:pPr>
            <w:r>
              <w:rPr>
                <w:rFonts w:hint="eastAsia" w:ascii="宋体" w:hAnsi="宋体"/>
                <w:color w:val="auto"/>
                <w:sz w:val="24"/>
              </w:rPr>
              <w:t>承诺服务期限</w:t>
            </w:r>
          </w:p>
        </w:tc>
      </w:tr>
      <w:tr w14:paraId="1BF8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36" w:type="dxa"/>
            <w:vMerge w:val="restart"/>
            <w:tcBorders>
              <w:bottom w:val="single" w:color="auto" w:sz="4" w:space="0"/>
            </w:tcBorders>
            <w:noWrap/>
            <w:vAlign w:val="center"/>
          </w:tcPr>
          <w:p w14:paraId="1E5C4865">
            <w:pPr>
              <w:spacing w:line="360" w:lineRule="auto"/>
              <w:jc w:val="center"/>
              <w:rPr>
                <w:rFonts w:ascii="宋体" w:hAnsi="宋体"/>
                <w:color w:val="auto"/>
                <w:sz w:val="24"/>
              </w:rPr>
            </w:pPr>
            <w:r>
              <w:rPr>
                <w:rFonts w:hint="eastAsia" w:ascii="宋体" w:hAnsi="宋体"/>
                <w:color w:val="auto"/>
                <w:kern w:val="0"/>
                <w:sz w:val="24"/>
              </w:rPr>
              <w:t>玉环市残疾人托养中心运行管理项目</w:t>
            </w:r>
          </w:p>
        </w:tc>
        <w:tc>
          <w:tcPr>
            <w:tcW w:w="1110" w:type="dxa"/>
            <w:tcBorders>
              <w:bottom w:val="single" w:color="auto" w:sz="4" w:space="0"/>
            </w:tcBorders>
            <w:noWrap/>
            <w:vAlign w:val="center"/>
          </w:tcPr>
          <w:p w14:paraId="32AF9C3F">
            <w:pPr>
              <w:spacing w:line="480" w:lineRule="auto"/>
              <w:jc w:val="center"/>
              <w:rPr>
                <w:rFonts w:ascii="宋体" w:hAnsi="宋体"/>
                <w:color w:val="auto"/>
                <w:sz w:val="24"/>
              </w:rPr>
            </w:pPr>
            <w:r>
              <w:rPr>
                <w:rFonts w:hint="eastAsia" w:ascii="宋体" w:hAnsi="宋体"/>
                <w:color w:val="auto"/>
                <w:sz w:val="24"/>
              </w:rPr>
              <w:t>2025年</w:t>
            </w:r>
          </w:p>
        </w:tc>
        <w:tc>
          <w:tcPr>
            <w:tcW w:w="4026" w:type="dxa"/>
            <w:tcBorders>
              <w:bottom w:val="single" w:color="auto" w:sz="4" w:space="0"/>
            </w:tcBorders>
            <w:noWrap/>
            <w:vAlign w:val="center"/>
          </w:tcPr>
          <w:p w14:paraId="019C71AA">
            <w:pPr>
              <w:spacing w:line="480" w:lineRule="auto"/>
              <w:jc w:val="left"/>
              <w:rPr>
                <w:color w:val="auto"/>
              </w:rPr>
            </w:pPr>
            <w:r>
              <w:rPr>
                <w:rFonts w:hint="eastAsia" w:ascii="宋体" w:hAnsi="宋体"/>
                <w:color w:val="auto"/>
                <w:sz w:val="24"/>
              </w:rPr>
              <w:t xml:space="preserve"> 小写：</w:t>
            </w:r>
          </w:p>
        </w:tc>
        <w:tc>
          <w:tcPr>
            <w:tcW w:w="1402" w:type="dxa"/>
            <w:vMerge w:val="restart"/>
            <w:noWrap/>
            <w:vAlign w:val="center"/>
          </w:tcPr>
          <w:p w14:paraId="7CAF1BBC">
            <w:pPr>
              <w:spacing w:line="480" w:lineRule="auto"/>
              <w:jc w:val="center"/>
              <w:rPr>
                <w:rFonts w:ascii="宋体" w:hAnsi="宋体"/>
                <w:color w:val="auto"/>
                <w:sz w:val="24"/>
              </w:rPr>
            </w:pPr>
            <w:r>
              <w:rPr>
                <w:rFonts w:hint="eastAsia" w:ascii="宋体" w:hAnsi="宋体"/>
                <w:color w:val="auto"/>
                <w:sz w:val="24"/>
              </w:rPr>
              <w:t>三年</w:t>
            </w:r>
          </w:p>
        </w:tc>
      </w:tr>
      <w:tr w14:paraId="4485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36" w:type="dxa"/>
            <w:vMerge w:val="continue"/>
            <w:noWrap/>
            <w:vAlign w:val="center"/>
          </w:tcPr>
          <w:p w14:paraId="4CABA8DD">
            <w:pPr>
              <w:spacing w:line="360" w:lineRule="auto"/>
              <w:jc w:val="center"/>
              <w:rPr>
                <w:rFonts w:ascii="宋体" w:hAnsi="宋体"/>
                <w:color w:val="auto"/>
                <w:sz w:val="24"/>
              </w:rPr>
            </w:pPr>
          </w:p>
        </w:tc>
        <w:tc>
          <w:tcPr>
            <w:tcW w:w="1110" w:type="dxa"/>
            <w:noWrap/>
            <w:vAlign w:val="center"/>
          </w:tcPr>
          <w:p w14:paraId="063ECF21">
            <w:pPr>
              <w:spacing w:line="480" w:lineRule="auto"/>
              <w:jc w:val="center"/>
              <w:rPr>
                <w:rFonts w:ascii="宋体" w:hAnsi="宋体"/>
                <w:color w:val="auto"/>
                <w:sz w:val="24"/>
              </w:rPr>
            </w:pPr>
            <w:r>
              <w:rPr>
                <w:rFonts w:hint="eastAsia" w:ascii="宋体" w:hAnsi="宋体"/>
                <w:color w:val="auto"/>
                <w:sz w:val="24"/>
              </w:rPr>
              <w:t>2026年</w:t>
            </w:r>
          </w:p>
        </w:tc>
        <w:tc>
          <w:tcPr>
            <w:tcW w:w="4026" w:type="dxa"/>
            <w:noWrap/>
            <w:vAlign w:val="center"/>
          </w:tcPr>
          <w:p w14:paraId="12D42238">
            <w:pPr>
              <w:spacing w:line="480" w:lineRule="auto"/>
              <w:jc w:val="left"/>
              <w:rPr>
                <w:color w:val="auto"/>
              </w:rPr>
            </w:pPr>
            <w:r>
              <w:rPr>
                <w:rFonts w:hint="eastAsia" w:ascii="宋体" w:hAnsi="宋体"/>
                <w:color w:val="auto"/>
                <w:sz w:val="24"/>
              </w:rPr>
              <w:t xml:space="preserve"> 小写：</w:t>
            </w:r>
          </w:p>
        </w:tc>
        <w:tc>
          <w:tcPr>
            <w:tcW w:w="1402" w:type="dxa"/>
            <w:vMerge w:val="continue"/>
            <w:noWrap/>
            <w:vAlign w:val="center"/>
          </w:tcPr>
          <w:p w14:paraId="1A0AD99A">
            <w:pPr>
              <w:spacing w:line="480" w:lineRule="auto"/>
              <w:jc w:val="center"/>
              <w:rPr>
                <w:color w:val="auto"/>
              </w:rPr>
            </w:pPr>
          </w:p>
        </w:tc>
      </w:tr>
      <w:tr w14:paraId="31CA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36" w:type="dxa"/>
            <w:vMerge w:val="continue"/>
            <w:noWrap/>
            <w:vAlign w:val="center"/>
          </w:tcPr>
          <w:p w14:paraId="289F2E6F">
            <w:pPr>
              <w:spacing w:line="360" w:lineRule="auto"/>
              <w:jc w:val="center"/>
              <w:rPr>
                <w:rFonts w:ascii="宋体" w:hAnsi="宋体"/>
                <w:color w:val="auto"/>
                <w:sz w:val="24"/>
              </w:rPr>
            </w:pPr>
          </w:p>
        </w:tc>
        <w:tc>
          <w:tcPr>
            <w:tcW w:w="1110" w:type="dxa"/>
            <w:noWrap/>
            <w:vAlign w:val="center"/>
          </w:tcPr>
          <w:p w14:paraId="777BAAD5">
            <w:pPr>
              <w:spacing w:line="480" w:lineRule="auto"/>
              <w:jc w:val="center"/>
              <w:rPr>
                <w:rFonts w:ascii="宋体" w:hAnsi="宋体"/>
                <w:color w:val="auto"/>
                <w:sz w:val="24"/>
              </w:rPr>
            </w:pPr>
            <w:r>
              <w:rPr>
                <w:rFonts w:hint="eastAsia" w:ascii="宋体" w:hAnsi="宋体"/>
                <w:color w:val="auto"/>
                <w:sz w:val="24"/>
              </w:rPr>
              <w:t>2027年</w:t>
            </w:r>
          </w:p>
        </w:tc>
        <w:tc>
          <w:tcPr>
            <w:tcW w:w="4026" w:type="dxa"/>
            <w:noWrap/>
            <w:vAlign w:val="center"/>
          </w:tcPr>
          <w:p w14:paraId="754C3A78">
            <w:pPr>
              <w:spacing w:line="480" w:lineRule="auto"/>
              <w:jc w:val="left"/>
              <w:rPr>
                <w:rFonts w:ascii="宋体" w:hAnsi="宋体"/>
                <w:color w:val="auto"/>
                <w:sz w:val="24"/>
              </w:rPr>
            </w:pPr>
            <w:r>
              <w:rPr>
                <w:rFonts w:hint="eastAsia" w:ascii="宋体" w:hAnsi="宋体"/>
                <w:color w:val="auto"/>
                <w:sz w:val="24"/>
              </w:rPr>
              <w:t xml:space="preserve"> 小写：</w:t>
            </w:r>
          </w:p>
        </w:tc>
        <w:tc>
          <w:tcPr>
            <w:tcW w:w="1402" w:type="dxa"/>
            <w:vMerge w:val="continue"/>
            <w:noWrap/>
            <w:vAlign w:val="center"/>
          </w:tcPr>
          <w:p w14:paraId="7270543E">
            <w:pPr>
              <w:spacing w:line="480" w:lineRule="auto"/>
              <w:jc w:val="center"/>
              <w:rPr>
                <w:color w:val="auto"/>
              </w:rPr>
            </w:pPr>
          </w:p>
        </w:tc>
      </w:tr>
      <w:tr w14:paraId="2DE7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36" w:type="dxa"/>
            <w:noWrap/>
            <w:vAlign w:val="center"/>
          </w:tcPr>
          <w:p w14:paraId="423CEBA6">
            <w:pPr>
              <w:spacing w:line="480" w:lineRule="auto"/>
              <w:jc w:val="center"/>
              <w:rPr>
                <w:rFonts w:ascii="宋体" w:hAnsi="宋体"/>
                <w:color w:val="auto"/>
                <w:sz w:val="24"/>
              </w:rPr>
            </w:pPr>
            <w:r>
              <w:rPr>
                <w:rFonts w:hint="eastAsia" w:ascii="宋体" w:hAnsi="宋体"/>
                <w:color w:val="auto"/>
                <w:sz w:val="24"/>
              </w:rPr>
              <w:t>总价（三年合计）：</w:t>
            </w:r>
          </w:p>
        </w:tc>
        <w:tc>
          <w:tcPr>
            <w:tcW w:w="6538" w:type="dxa"/>
            <w:gridSpan w:val="3"/>
            <w:noWrap/>
            <w:vAlign w:val="center"/>
          </w:tcPr>
          <w:p w14:paraId="0F2B49E9">
            <w:pPr>
              <w:spacing w:line="480" w:lineRule="auto"/>
              <w:rPr>
                <w:color w:val="auto"/>
              </w:rPr>
            </w:pPr>
            <w:r>
              <w:rPr>
                <w:rFonts w:hint="eastAsia" w:ascii="宋体" w:hAnsi="宋体"/>
                <w:color w:val="auto"/>
                <w:sz w:val="24"/>
              </w:rPr>
              <w:t xml:space="preserve">人民币大写：                 小写： </w:t>
            </w:r>
          </w:p>
        </w:tc>
      </w:tr>
    </w:tbl>
    <w:p w14:paraId="0284C926">
      <w:pPr>
        <w:spacing w:line="360" w:lineRule="auto"/>
        <w:ind w:firstLine="602"/>
        <w:rPr>
          <w:rStyle w:val="151"/>
          <w:rFonts w:ascii="宋体" w:hAnsi="宋体"/>
          <w:color w:val="auto"/>
          <w:sz w:val="24"/>
        </w:rPr>
      </w:pPr>
      <w:r>
        <w:rPr>
          <w:rStyle w:val="151"/>
          <w:rFonts w:ascii="宋体" w:hAnsi="宋体"/>
          <w:b/>
          <w:color w:val="auto"/>
          <w:szCs w:val="21"/>
        </w:rPr>
        <w:t>填报要求：</w:t>
      </w:r>
    </w:p>
    <w:p w14:paraId="56BD2C97">
      <w:pPr>
        <w:spacing w:line="360" w:lineRule="exact"/>
        <w:ind w:firstLine="420" w:firstLineChars="200"/>
        <w:rPr>
          <w:rFonts w:ascii="宋体" w:hAnsi="宋体"/>
          <w:color w:val="auto"/>
          <w:kern w:val="0"/>
          <w:szCs w:val="21"/>
        </w:rPr>
      </w:pPr>
      <w:r>
        <w:rPr>
          <w:rFonts w:hint="eastAsia" w:ascii="宋体" w:hAnsi="宋体"/>
          <w:color w:val="auto"/>
          <w:kern w:val="0"/>
          <w:szCs w:val="21"/>
        </w:rPr>
        <w:t>1、总报价是包括本项目服务款、货款、标准附件、等合同包含的所有风险责任等各项费用及不可预见费等所需的全部费用。</w:t>
      </w:r>
    </w:p>
    <w:p w14:paraId="29663B34">
      <w:pPr>
        <w:spacing w:line="360" w:lineRule="exact"/>
        <w:ind w:firstLine="420" w:firstLineChars="200"/>
        <w:rPr>
          <w:rFonts w:ascii="宋体" w:hAnsi="宋体"/>
          <w:color w:val="auto"/>
          <w:kern w:val="0"/>
          <w:szCs w:val="21"/>
        </w:rPr>
      </w:pPr>
      <w:r>
        <w:rPr>
          <w:rFonts w:hint="eastAsia" w:ascii="宋体" w:hAnsi="宋体"/>
          <w:color w:val="auto"/>
          <w:kern w:val="0"/>
          <w:szCs w:val="21"/>
        </w:rPr>
        <w:t>2、报价一经涂改，应在涂改处加盖单位公章，或者由法定代表人或授权代表签字或盖章，否则作无效标处理。</w:t>
      </w:r>
    </w:p>
    <w:p w14:paraId="2048C150">
      <w:pPr>
        <w:spacing w:line="360" w:lineRule="exact"/>
        <w:ind w:firstLine="420" w:firstLineChars="200"/>
        <w:rPr>
          <w:rFonts w:ascii="宋体" w:hAnsi="宋体"/>
          <w:color w:val="auto"/>
          <w:kern w:val="0"/>
          <w:szCs w:val="21"/>
        </w:rPr>
      </w:pPr>
      <w:r>
        <w:rPr>
          <w:rFonts w:hint="eastAsia" w:ascii="宋体" w:hAnsi="宋体"/>
          <w:color w:val="auto"/>
          <w:kern w:val="0"/>
          <w:szCs w:val="21"/>
        </w:rPr>
        <w:t>▲3、不提供开标一览表的投标文件将被视为未实质性响应招标文件。</w:t>
      </w:r>
    </w:p>
    <w:p w14:paraId="57AFA5EE">
      <w:pPr>
        <w:spacing w:line="360" w:lineRule="exact"/>
        <w:ind w:firstLine="420" w:firstLineChars="200"/>
        <w:rPr>
          <w:rFonts w:ascii="宋体" w:hAnsi="宋体"/>
          <w:color w:val="auto"/>
          <w:kern w:val="0"/>
          <w:szCs w:val="21"/>
        </w:rPr>
      </w:pPr>
      <w:r>
        <w:rPr>
          <w:rFonts w:hint="eastAsia" w:ascii="宋体" w:hAnsi="宋体"/>
          <w:color w:val="auto"/>
          <w:kern w:val="0"/>
          <w:szCs w:val="21"/>
        </w:rPr>
        <w:t xml:space="preserve">4、本项目期限三年，合同一年一签，第一年按托养110人测算为343.84万元，第二年按托养120人测算为361.84万元，第三年按130人测算为379.84 万元本项目报价包含近期110人、中期120人、远期130人情况下的价格的报价（包括开标一览表、投标报价明细表）。 </w:t>
      </w:r>
    </w:p>
    <w:p w14:paraId="05B93FF0">
      <w:pPr>
        <w:spacing w:line="360" w:lineRule="exact"/>
        <w:ind w:firstLine="420" w:firstLineChars="200"/>
        <w:rPr>
          <w:rFonts w:ascii="宋体" w:hAnsi="宋体"/>
          <w:color w:val="auto"/>
          <w:kern w:val="0"/>
          <w:szCs w:val="21"/>
        </w:rPr>
      </w:pPr>
      <w:r>
        <w:rPr>
          <w:rFonts w:hint="eastAsia" w:ascii="宋体" w:hAnsi="宋体"/>
          <w:color w:val="auto"/>
          <w:kern w:val="0"/>
          <w:szCs w:val="21"/>
        </w:rPr>
        <w:t>5、服务费按照当月月末实际托养人员人数及中标单价结算。投标报价包含中标方提供服务所需的全部费用(包括托养人员护理费、管理费用、托养人员日常耗材费用等）以及保险、税金等一切费用。</w:t>
      </w:r>
    </w:p>
    <w:p w14:paraId="4A797214">
      <w:pPr>
        <w:spacing w:line="360" w:lineRule="auto"/>
        <w:rPr>
          <w:rStyle w:val="151"/>
          <w:rFonts w:ascii="宋体" w:hAnsi="宋体"/>
          <w:color w:val="auto"/>
          <w:sz w:val="24"/>
        </w:rPr>
      </w:pPr>
    </w:p>
    <w:p w14:paraId="34DF4A18">
      <w:pPr>
        <w:widowControl/>
        <w:ind w:left="420"/>
        <w:textAlignment w:val="baseline"/>
        <w:rPr>
          <w:rStyle w:val="151"/>
          <w:rFonts w:ascii="宋体" w:hAnsi="宋体"/>
          <w:color w:val="auto"/>
          <w:sz w:val="24"/>
          <w:u w:val="single"/>
        </w:rPr>
      </w:pPr>
      <w:r>
        <w:rPr>
          <w:rStyle w:val="151"/>
          <w:rFonts w:ascii="宋体" w:hAnsi="宋体"/>
          <w:color w:val="auto"/>
          <w:sz w:val="24"/>
        </w:rPr>
        <w:t>投标人名称（盖章）：</w:t>
      </w:r>
    </w:p>
    <w:p w14:paraId="7CBA6AFA">
      <w:pPr>
        <w:widowControl/>
        <w:ind w:left="420"/>
        <w:textAlignment w:val="baseline"/>
        <w:rPr>
          <w:rStyle w:val="151"/>
          <w:rFonts w:ascii="宋体" w:hAnsi="宋体"/>
          <w:color w:val="auto"/>
          <w:sz w:val="24"/>
        </w:rPr>
      </w:pPr>
    </w:p>
    <w:p w14:paraId="0A7F849E">
      <w:pPr>
        <w:widowControl/>
        <w:ind w:firstLine="600"/>
        <w:textAlignment w:val="baseline"/>
        <w:rPr>
          <w:rStyle w:val="151"/>
          <w:rFonts w:ascii="宋体" w:hAnsi="宋体"/>
          <w:color w:val="auto"/>
          <w:sz w:val="24"/>
        </w:rPr>
      </w:pPr>
      <w:r>
        <w:rPr>
          <w:rStyle w:val="151"/>
          <w:rFonts w:ascii="宋体" w:hAnsi="宋体"/>
          <w:color w:val="auto"/>
          <w:sz w:val="24"/>
        </w:rPr>
        <w:t>投标人代表签字或盖章：</w:t>
      </w:r>
    </w:p>
    <w:p w14:paraId="6C3A0B0B">
      <w:pPr>
        <w:widowControl/>
        <w:ind w:firstLine="600"/>
        <w:textAlignment w:val="baseline"/>
        <w:rPr>
          <w:rStyle w:val="151"/>
          <w:rFonts w:ascii="宋体" w:hAnsi="宋体"/>
          <w:color w:val="auto"/>
          <w:sz w:val="24"/>
        </w:rPr>
      </w:pPr>
    </w:p>
    <w:p w14:paraId="09D3617B">
      <w:pPr>
        <w:widowControl/>
        <w:ind w:firstLine="600"/>
        <w:textAlignment w:val="baseline"/>
        <w:rPr>
          <w:rStyle w:val="151"/>
          <w:rFonts w:ascii="宋体" w:hAnsi="宋体"/>
          <w:color w:val="auto"/>
          <w:sz w:val="24"/>
        </w:rPr>
      </w:pPr>
      <w:r>
        <w:rPr>
          <w:rStyle w:val="151"/>
          <w:rFonts w:ascii="宋体" w:hAnsi="宋体"/>
          <w:color w:val="auto"/>
          <w:sz w:val="24"/>
        </w:rPr>
        <w:t>职        务：</w:t>
      </w:r>
    </w:p>
    <w:p w14:paraId="71A267EF">
      <w:pPr>
        <w:widowControl/>
        <w:textAlignment w:val="baseline"/>
        <w:rPr>
          <w:rStyle w:val="151"/>
          <w:rFonts w:ascii="宋体" w:hAnsi="宋体"/>
          <w:color w:val="auto"/>
          <w:sz w:val="24"/>
        </w:rPr>
      </w:pPr>
    </w:p>
    <w:p w14:paraId="3B014C3B">
      <w:pPr>
        <w:widowControl/>
        <w:ind w:firstLine="600"/>
        <w:textAlignment w:val="baseline"/>
        <w:rPr>
          <w:color w:val="auto"/>
        </w:rPr>
      </w:pPr>
      <w:r>
        <w:rPr>
          <w:rStyle w:val="151"/>
          <w:rFonts w:ascii="宋体" w:hAnsi="宋体"/>
          <w:color w:val="auto"/>
          <w:sz w:val="24"/>
        </w:rPr>
        <w:t>日        期：</w:t>
      </w:r>
    </w:p>
    <w:p w14:paraId="22321F52">
      <w:pPr>
        <w:spacing w:line="360" w:lineRule="auto"/>
        <w:ind w:firstLine="600"/>
        <w:rPr>
          <w:rFonts w:ascii="宋体" w:hAnsi="宋体"/>
          <w:color w:val="auto"/>
          <w:sz w:val="24"/>
        </w:rPr>
      </w:pPr>
    </w:p>
    <w:p w14:paraId="3921DBB8">
      <w:pPr>
        <w:ind w:firstLine="703"/>
        <w:rPr>
          <w:rFonts w:ascii="宋体" w:hAnsi="宋体"/>
          <w:b/>
          <w:color w:val="auto"/>
          <w:sz w:val="28"/>
        </w:rPr>
      </w:pPr>
      <w:r>
        <w:rPr>
          <w:rFonts w:hint="eastAsia" w:ascii="宋体" w:hAnsi="宋体"/>
          <w:b/>
          <w:color w:val="auto"/>
          <w:sz w:val="28"/>
        </w:rPr>
        <w:br w:type="page"/>
      </w:r>
    </w:p>
    <w:p w14:paraId="2086DF24">
      <w:pPr>
        <w:spacing w:line="360" w:lineRule="auto"/>
        <w:ind w:firstLine="703"/>
        <w:rPr>
          <w:rFonts w:ascii="宋体" w:hAnsi="宋体"/>
          <w:b/>
          <w:color w:val="auto"/>
          <w:sz w:val="28"/>
        </w:rPr>
      </w:pPr>
      <w:r>
        <w:rPr>
          <w:rFonts w:hint="eastAsia" w:ascii="宋体" w:hAnsi="宋体"/>
          <w:b/>
          <w:color w:val="auto"/>
          <w:sz w:val="28"/>
        </w:rPr>
        <w:t>附件13</w:t>
      </w:r>
    </w:p>
    <w:p w14:paraId="328A2B4C">
      <w:pPr>
        <w:spacing w:line="360" w:lineRule="auto"/>
        <w:ind w:left="-2" w:firstLine="1104"/>
        <w:jc w:val="center"/>
        <w:rPr>
          <w:rFonts w:ascii="宋体" w:hAnsi="宋体"/>
          <w:b/>
          <w:color w:val="auto"/>
          <w:sz w:val="32"/>
          <w:szCs w:val="32"/>
        </w:rPr>
      </w:pPr>
      <w:r>
        <w:rPr>
          <w:rFonts w:hint="eastAsia" w:ascii="宋体" w:hAnsi="宋体"/>
          <w:b/>
          <w:color w:val="auto"/>
          <w:sz w:val="44"/>
          <w:szCs w:val="44"/>
        </w:rPr>
        <w:t>报价明细表</w:t>
      </w:r>
    </w:p>
    <w:p w14:paraId="66EAB346">
      <w:pPr>
        <w:pStyle w:val="15"/>
        <w:ind w:left="240" w:hanging="240" w:hangingChars="100"/>
        <w:rPr>
          <w:rFonts w:hAnsi="宋体"/>
          <w:bCs/>
          <w:color w:val="auto"/>
          <w:sz w:val="24"/>
        </w:rPr>
      </w:pPr>
      <w:r>
        <w:rPr>
          <w:rFonts w:hint="eastAsia" w:hAnsi="宋体"/>
          <w:bCs/>
          <w:color w:val="auto"/>
          <w:sz w:val="24"/>
        </w:rPr>
        <w:t xml:space="preserve"> 项目编号：                       项目名称：</w:t>
      </w:r>
    </w:p>
    <w:tbl>
      <w:tblPr>
        <w:tblStyle w:val="26"/>
        <w:tblW w:w="909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5"/>
        <w:gridCol w:w="566"/>
        <w:gridCol w:w="2266"/>
        <w:gridCol w:w="833"/>
        <w:gridCol w:w="6"/>
        <w:gridCol w:w="720"/>
        <w:gridCol w:w="705"/>
        <w:gridCol w:w="1125"/>
        <w:gridCol w:w="1215"/>
        <w:gridCol w:w="1095"/>
      </w:tblGrid>
      <w:tr w14:paraId="426E0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565" w:type="dxa"/>
            <w:vMerge w:val="restart"/>
            <w:noWrap/>
            <w:vAlign w:val="center"/>
          </w:tcPr>
          <w:p w14:paraId="48A538CE">
            <w:pPr>
              <w:spacing w:line="360" w:lineRule="auto"/>
              <w:jc w:val="center"/>
              <w:rPr>
                <w:color w:val="auto"/>
              </w:rPr>
            </w:pPr>
            <w:r>
              <w:rPr>
                <w:rFonts w:hint="eastAsia"/>
                <w:color w:val="auto"/>
              </w:rPr>
              <w:t>序号</w:t>
            </w:r>
          </w:p>
        </w:tc>
        <w:tc>
          <w:tcPr>
            <w:tcW w:w="5096" w:type="dxa"/>
            <w:gridSpan w:val="6"/>
            <w:tcBorders>
              <w:bottom w:val="single" w:color="auto" w:sz="4" w:space="0"/>
              <w:right w:val="single" w:color="auto" w:sz="4" w:space="0"/>
            </w:tcBorders>
            <w:noWrap/>
            <w:vAlign w:val="center"/>
          </w:tcPr>
          <w:p w14:paraId="6010C120">
            <w:pPr>
              <w:spacing w:line="360" w:lineRule="auto"/>
              <w:jc w:val="center"/>
              <w:rPr>
                <w:color w:val="auto"/>
              </w:rPr>
            </w:pPr>
            <w:r>
              <w:rPr>
                <w:rFonts w:hint="eastAsia"/>
                <w:color w:val="auto"/>
              </w:rPr>
              <w:t>费用名称</w:t>
            </w:r>
          </w:p>
        </w:tc>
        <w:tc>
          <w:tcPr>
            <w:tcW w:w="1125" w:type="dxa"/>
            <w:vMerge w:val="restart"/>
            <w:tcBorders>
              <w:right w:val="single" w:color="auto" w:sz="4" w:space="0"/>
            </w:tcBorders>
            <w:noWrap/>
            <w:vAlign w:val="center"/>
          </w:tcPr>
          <w:p w14:paraId="2FA08C19">
            <w:pPr>
              <w:spacing w:line="360" w:lineRule="auto"/>
              <w:jc w:val="center"/>
              <w:rPr>
                <w:color w:val="auto"/>
              </w:rPr>
            </w:pPr>
            <w:r>
              <w:rPr>
                <w:rFonts w:hint="eastAsia"/>
                <w:color w:val="auto"/>
              </w:rPr>
              <w:t>月支出</w:t>
            </w:r>
          </w:p>
        </w:tc>
        <w:tc>
          <w:tcPr>
            <w:tcW w:w="1215" w:type="dxa"/>
            <w:vMerge w:val="restart"/>
            <w:tcBorders>
              <w:left w:val="single" w:color="auto" w:sz="4" w:space="0"/>
            </w:tcBorders>
            <w:noWrap/>
            <w:vAlign w:val="center"/>
          </w:tcPr>
          <w:p w14:paraId="2781CA84">
            <w:pPr>
              <w:spacing w:line="360" w:lineRule="auto"/>
              <w:jc w:val="center"/>
              <w:rPr>
                <w:color w:val="auto"/>
              </w:rPr>
            </w:pPr>
            <w:r>
              <w:rPr>
                <w:rFonts w:hint="eastAsia"/>
                <w:color w:val="auto"/>
              </w:rPr>
              <w:t>年支出</w:t>
            </w:r>
          </w:p>
        </w:tc>
        <w:tc>
          <w:tcPr>
            <w:tcW w:w="1095" w:type="dxa"/>
            <w:vMerge w:val="restart"/>
            <w:noWrap/>
            <w:vAlign w:val="center"/>
          </w:tcPr>
          <w:p w14:paraId="175FDCED">
            <w:pPr>
              <w:spacing w:line="360" w:lineRule="auto"/>
              <w:jc w:val="center"/>
              <w:rPr>
                <w:color w:val="auto"/>
              </w:rPr>
            </w:pPr>
            <w:r>
              <w:rPr>
                <w:rFonts w:hint="eastAsia"/>
                <w:color w:val="auto"/>
              </w:rPr>
              <w:t>说明</w:t>
            </w:r>
          </w:p>
        </w:tc>
      </w:tr>
      <w:tr w14:paraId="5FB04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65" w:type="dxa"/>
            <w:vMerge w:val="continue"/>
            <w:noWrap/>
            <w:vAlign w:val="center"/>
          </w:tcPr>
          <w:p w14:paraId="7B35AB52">
            <w:pPr>
              <w:spacing w:line="360" w:lineRule="auto"/>
              <w:jc w:val="center"/>
              <w:rPr>
                <w:color w:val="auto"/>
              </w:rPr>
            </w:pPr>
          </w:p>
        </w:tc>
        <w:tc>
          <w:tcPr>
            <w:tcW w:w="2832" w:type="dxa"/>
            <w:gridSpan w:val="2"/>
            <w:tcBorders>
              <w:top w:val="single" w:color="auto" w:sz="4" w:space="0"/>
              <w:right w:val="single" w:color="auto" w:sz="4" w:space="0"/>
            </w:tcBorders>
            <w:noWrap/>
            <w:vAlign w:val="center"/>
          </w:tcPr>
          <w:p w14:paraId="1094BE6A">
            <w:pPr>
              <w:spacing w:line="360" w:lineRule="auto"/>
              <w:jc w:val="center"/>
              <w:rPr>
                <w:color w:val="auto"/>
              </w:rPr>
            </w:pPr>
          </w:p>
        </w:tc>
        <w:tc>
          <w:tcPr>
            <w:tcW w:w="839" w:type="dxa"/>
            <w:gridSpan w:val="2"/>
            <w:tcBorders>
              <w:top w:val="single" w:color="auto" w:sz="4" w:space="0"/>
              <w:left w:val="single" w:color="auto" w:sz="4" w:space="0"/>
              <w:right w:val="single" w:color="auto" w:sz="4" w:space="0"/>
            </w:tcBorders>
            <w:noWrap/>
            <w:vAlign w:val="center"/>
          </w:tcPr>
          <w:p w14:paraId="012D1A9A">
            <w:pPr>
              <w:spacing w:line="360" w:lineRule="auto"/>
              <w:jc w:val="center"/>
              <w:rPr>
                <w:color w:val="auto"/>
              </w:rPr>
            </w:pPr>
            <w:r>
              <w:rPr>
                <w:rFonts w:hint="eastAsia"/>
                <w:color w:val="auto"/>
              </w:rPr>
              <w:t>单价</w:t>
            </w:r>
          </w:p>
        </w:tc>
        <w:tc>
          <w:tcPr>
            <w:tcW w:w="720" w:type="dxa"/>
            <w:tcBorders>
              <w:top w:val="single" w:color="auto" w:sz="4" w:space="0"/>
              <w:left w:val="single" w:color="auto" w:sz="4" w:space="0"/>
              <w:right w:val="single" w:color="auto" w:sz="4" w:space="0"/>
            </w:tcBorders>
            <w:noWrap/>
            <w:vAlign w:val="center"/>
          </w:tcPr>
          <w:p w14:paraId="22DD0316">
            <w:pPr>
              <w:spacing w:line="360" w:lineRule="auto"/>
              <w:jc w:val="center"/>
              <w:rPr>
                <w:color w:val="auto"/>
              </w:rPr>
            </w:pPr>
            <w:r>
              <w:rPr>
                <w:rFonts w:hint="eastAsia"/>
                <w:color w:val="auto"/>
              </w:rPr>
              <w:t>数量</w:t>
            </w:r>
          </w:p>
        </w:tc>
        <w:tc>
          <w:tcPr>
            <w:tcW w:w="705" w:type="dxa"/>
            <w:tcBorders>
              <w:top w:val="single" w:color="auto" w:sz="4" w:space="0"/>
              <w:left w:val="single" w:color="auto" w:sz="4" w:space="0"/>
              <w:right w:val="single" w:color="auto" w:sz="4" w:space="0"/>
            </w:tcBorders>
            <w:noWrap/>
            <w:vAlign w:val="center"/>
          </w:tcPr>
          <w:p w14:paraId="17897F76">
            <w:pPr>
              <w:spacing w:line="360" w:lineRule="auto"/>
              <w:jc w:val="center"/>
              <w:rPr>
                <w:color w:val="auto"/>
              </w:rPr>
            </w:pPr>
            <w:r>
              <w:rPr>
                <w:rFonts w:hint="eastAsia"/>
                <w:color w:val="auto"/>
              </w:rPr>
              <w:t>单位</w:t>
            </w:r>
          </w:p>
        </w:tc>
        <w:tc>
          <w:tcPr>
            <w:tcW w:w="1125" w:type="dxa"/>
            <w:vMerge w:val="continue"/>
            <w:tcBorders>
              <w:right w:val="single" w:color="auto" w:sz="4" w:space="0"/>
            </w:tcBorders>
            <w:noWrap/>
            <w:vAlign w:val="center"/>
          </w:tcPr>
          <w:p w14:paraId="2D5BBF64">
            <w:pPr>
              <w:spacing w:line="360" w:lineRule="auto"/>
              <w:jc w:val="center"/>
              <w:rPr>
                <w:color w:val="auto"/>
              </w:rPr>
            </w:pPr>
          </w:p>
        </w:tc>
        <w:tc>
          <w:tcPr>
            <w:tcW w:w="1215" w:type="dxa"/>
            <w:vMerge w:val="continue"/>
            <w:tcBorders>
              <w:left w:val="single" w:color="auto" w:sz="4" w:space="0"/>
            </w:tcBorders>
            <w:noWrap/>
            <w:vAlign w:val="center"/>
          </w:tcPr>
          <w:p w14:paraId="4F84DC71">
            <w:pPr>
              <w:spacing w:line="360" w:lineRule="auto"/>
              <w:jc w:val="center"/>
              <w:rPr>
                <w:color w:val="auto"/>
              </w:rPr>
            </w:pPr>
          </w:p>
        </w:tc>
        <w:tc>
          <w:tcPr>
            <w:tcW w:w="1095" w:type="dxa"/>
            <w:vMerge w:val="continue"/>
            <w:noWrap/>
            <w:vAlign w:val="center"/>
          </w:tcPr>
          <w:p w14:paraId="297BC72C">
            <w:pPr>
              <w:spacing w:line="360" w:lineRule="auto"/>
              <w:jc w:val="center"/>
              <w:rPr>
                <w:color w:val="auto"/>
              </w:rPr>
            </w:pPr>
          </w:p>
        </w:tc>
      </w:tr>
      <w:tr w14:paraId="75C6E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565" w:type="dxa"/>
            <w:vMerge w:val="restart"/>
            <w:noWrap/>
            <w:vAlign w:val="center"/>
          </w:tcPr>
          <w:p w14:paraId="2A7330D1">
            <w:pPr>
              <w:spacing w:line="360" w:lineRule="auto"/>
              <w:jc w:val="center"/>
              <w:rPr>
                <w:color w:val="auto"/>
              </w:rPr>
            </w:pPr>
            <w:r>
              <w:rPr>
                <w:rFonts w:hint="eastAsia"/>
                <w:color w:val="auto"/>
              </w:rPr>
              <w:t>1</w:t>
            </w:r>
          </w:p>
        </w:tc>
        <w:tc>
          <w:tcPr>
            <w:tcW w:w="566" w:type="dxa"/>
            <w:vMerge w:val="restart"/>
            <w:tcBorders>
              <w:right w:val="single" w:color="auto" w:sz="4" w:space="0"/>
            </w:tcBorders>
            <w:noWrap/>
            <w:vAlign w:val="center"/>
          </w:tcPr>
          <w:p w14:paraId="43774F17">
            <w:pPr>
              <w:spacing w:line="360" w:lineRule="auto"/>
              <w:jc w:val="center"/>
              <w:rPr>
                <w:color w:val="auto"/>
              </w:rPr>
            </w:pPr>
            <w:r>
              <w:rPr>
                <w:rFonts w:hint="eastAsia"/>
                <w:color w:val="auto"/>
              </w:rPr>
              <w:t>人员费用</w:t>
            </w:r>
          </w:p>
        </w:tc>
        <w:tc>
          <w:tcPr>
            <w:tcW w:w="2266" w:type="dxa"/>
            <w:tcBorders>
              <w:left w:val="single" w:color="auto" w:sz="4" w:space="0"/>
              <w:right w:val="single" w:color="auto" w:sz="4" w:space="0"/>
            </w:tcBorders>
            <w:noWrap/>
            <w:vAlign w:val="center"/>
          </w:tcPr>
          <w:p w14:paraId="67DD9CD9">
            <w:pPr>
              <w:spacing w:line="360" w:lineRule="auto"/>
              <w:jc w:val="center"/>
              <w:rPr>
                <w:color w:val="auto"/>
              </w:rPr>
            </w:pPr>
            <w:r>
              <w:rPr>
                <w:rFonts w:hint="eastAsia"/>
                <w:color w:val="auto"/>
              </w:rPr>
              <w:t>管理岗位人员</w:t>
            </w:r>
          </w:p>
        </w:tc>
        <w:tc>
          <w:tcPr>
            <w:tcW w:w="833" w:type="dxa"/>
            <w:tcBorders>
              <w:left w:val="single" w:color="auto" w:sz="4" w:space="0"/>
              <w:right w:val="single" w:color="auto" w:sz="4" w:space="0"/>
            </w:tcBorders>
            <w:noWrap/>
            <w:vAlign w:val="center"/>
          </w:tcPr>
          <w:p w14:paraId="064BF279">
            <w:pPr>
              <w:spacing w:line="360" w:lineRule="auto"/>
              <w:jc w:val="center"/>
              <w:rPr>
                <w:color w:val="auto"/>
              </w:rPr>
            </w:pPr>
          </w:p>
        </w:tc>
        <w:tc>
          <w:tcPr>
            <w:tcW w:w="726" w:type="dxa"/>
            <w:gridSpan w:val="2"/>
            <w:tcBorders>
              <w:left w:val="single" w:color="auto" w:sz="4" w:space="0"/>
              <w:right w:val="single" w:color="auto" w:sz="4" w:space="0"/>
            </w:tcBorders>
            <w:noWrap/>
            <w:vAlign w:val="center"/>
          </w:tcPr>
          <w:p w14:paraId="76F024A3">
            <w:pPr>
              <w:spacing w:line="360" w:lineRule="auto"/>
              <w:jc w:val="center"/>
              <w:rPr>
                <w:color w:val="auto"/>
              </w:rPr>
            </w:pPr>
          </w:p>
        </w:tc>
        <w:tc>
          <w:tcPr>
            <w:tcW w:w="705" w:type="dxa"/>
            <w:tcBorders>
              <w:left w:val="single" w:color="auto" w:sz="4" w:space="0"/>
              <w:right w:val="single" w:color="auto" w:sz="4" w:space="0"/>
            </w:tcBorders>
            <w:noWrap/>
            <w:vAlign w:val="center"/>
          </w:tcPr>
          <w:p w14:paraId="56F7FCD8">
            <w:pPr>
              <w:spacing w:line="360" w:lineRule="auto"/>
              <w:jc w:val="center"/>
              <w:rPr>
                <w:color w:val="auto"/>
              </w:rPr>
            </w:pPr>
            <w:r>
              <w:rPr>
                <w:rFonts w:hint="eastAsia"/>
                <w:color w:val="auto"/>
              </w:rPr>
              <w:t>人</w:t>
            </w:r>
          </w:p>
        </w:tc>
        <w:tc>
          <w:tcPr>
            <w:tcW w:w="1125" w:type="dxa"/>
            <w:tcBorders>
              <w:right w:val="single" w:color="auto" w:sz="4" w:space="0"/>
            </w:tcBorders>
            <w:noWrap/>
            <w:vAlign w:val="center"/>
          </w:tcPr>
          <w:p w14:paraId="31854335">
            <w:pPr>
              <w:spacing w:line="360" w:lineRule="auto"/>
              <w:jc w:val="center"/>
              <w:rPr>
                <w:color w:val="auto"/>
              </w:rPr>
            </w:pPr>
          </w:p>
        </w:tc>
        <w:tc>
          <w:tcPr>
            <w:tcW w:w="1215" w:type="dxa"/>
            <w:tcBorders>
              <w:left w:val="single" w:color="auto" w:sz="4" w:space="0"/>
            </w:tcBorders>
            <w:noWrap/>
            <w:vAlign w:val="center"/>
          </w:tcPr>
          <w:p w14:paraId="1C88B0CE">
            <w:pPr>
              <w:spacing w:line="360" w:lineRule="auto"/>
              <w:jc w:val="center"/>
              <w:rPr>
                <w:color w:val="auto"/>
              </w:rPr>
            </w:pPr>
          </w:p>
        </w:tc>
        <w:tc>
          <w:tcPr>
            <w:tcW w:w="1095" w:type="dxa"/>
            <w:tcBorders>
              <w:bottom w:val="single" w:color="auto" w:sz="4" w:space="0"/>
            </w:tcBorders>
            <w:noWrap/>
            <w:vAlign w:val="center"/>
          </w:tcPr>
          <w:p w14:paraId="49F4A6ED">
            <w:pPr>
              <w:spacing w:line="360" w:lineRule="auto"/>
              <w:jc w:val="center"/>
              <w:rPr>
                <w:color w:val="auto"/>
              </w:rPr>
            </w:pPr>
          </w:p>
        </w:tc>
      </w:tr>
      <w:tr w14:paraId="4547D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 w:hRule="atLeast"/>
        </w:trPr>
        <w:tc>
          <w:tcPr>
            <w:tcW w:w="565" w:type="dxa"/>
            <w:vMerge w:val="continue"/>
            <w:noWrap/>
            <w:vAlign w:val="center"/>
          </w:tcPr>
          <w:p w14:paraId="13CA554A">
            <w:pPr>
              <w:spacing w:line="360" w:lineRule="auto"/>
              <w:jc w:val="center"/>
              <w:rPr>
                <w:color w:val="auto"/>
              </w:rPr>
            </w:pPr>
          </w:p>
        </w:tc>
        <w:tc>
          <w:tcPr>
            <w:tcW w:w="566" w:type="dxa"/>
            <w:vMerge w:val="continue"/>
            <w:tcBorders>
              <w:right w:val="single" w:color="auto" w:sz="4" w:space="0"/>
            </w:tcBorders>
            <w:noWrap/>
            <w:vAlign w:val="center"/>
          </w:tcPr>
          <w:p w14:paraId="24E587D0">
            <w:pPr>
              <w:spacing w:line="360" w:lineRule="auto"/>
              <w:jc w:val="center"/>
              <w:rPr>
                <w:color w:val="auto"/>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2C873CC8">
            <w:pPr>
              <w:spacing w:line="360" w:lineRule="auto"/>
              <w:jc w:val="center"/>
              <w:rPr>
                <w:color w:val="auto"/>
              </w:rPr>
            </w:pPr>
            <w:r>
              <w:rPr>
                <w:rFonts w:hint="eastAsia"/>
                <w:color w:val="auto"/>
              </w:rPr>
              <w:t>保洁岗位人员</w:t>
            </w:r>
          </w:p>
        </w:tc>
        <w:tc>
          <w:tcPr>
            <w:tcW w:w="833" w:type="dxa"/>
            <w:tcBorders>
              <w:top w:val="single" w:color="auto" w:sz="4" w:space="0"/>
              <w:left w:val="single" w:color="auto" w:sz="4" w:space="0"/>
              <w:bottom w:val="single" w:color="auto" w:sz="4" w:space="0"/>
              <w:right w:val="single" w:color="auto" w:sz="4" w:space="0"/>
            </w:tcBorders>
            <w:noWrap/>
            <w:vAlign w:val="center"/>
          </w:tcPr>
          <w:p w14:paraId="16F2A7CF">
            <w:pPr>
              <w:spacing w:line="360" w:lineRule="auto"/>
              <w:jc w:val="center"/>
              <w:rPr>
                <w:color w:val="auto"/>
              </w:rPr>
            </w:pPr>
          </w:p>
        </w:tc>
        <w:tc>
          <w:tcPr>
            <w:tcW w:w="726" w:type="dxa"/>
            <w:gridSpan w:val="2"/>
            <w:tcBorders>
              <w:top w:val="single" w:color="auto" w:sz="4" w:space="0"/>
              <w:left w:val="single" w:color="auto" w:sz="4" w:space="0"/>
              <w:bottom w:val="single" w:color="auto" w:sz="4" w:space="0"/>
              <w:right w:val="single" w:color="auto" w:sz="4" w:space="0"/>
            </w:tcBorders>
            <w:noWrap/>
            <w:vAlign w:val="center"/>
          </w:tcPr>
          <w:p w14:paraId="0E866C59">
            <w:pPr>
              <w:spacing w:line="360" w:lineRule="auto"/>
              <w:jc w:val="center"/>
              <w:rPr>
                <w:color w:val="auto"/>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7B8041F7">
            <w:pPr>
              <w:spacing w:line="360" w:lineRule="auto"/>
              <w:jc w:val="center"/>
              <w:rPr>
                <w:color w:val="auto"/>
              </w:rPr>
            </w:pPr>
            <w:r>
              <w:rPr>
                <w:rFonts w:hint="eastAsia"/>
                <w:color w:val="auto"/>
              </w:rPr>
              <w:t>人</w:t>
            </w:r>
          </w:p>
        </w:tc>
        <w:tc>
          <w:tcPr>
            <w:tcW w:w="1125" w:type="dxa"/>
            <w:tcBorders>
              <w:top w:val="single" w:color="auto" w:sz="4" w:space="0"/>
              <w:bottom w:val="single" w:color="auto" w:sz="4" w:space="0"/>
              <w:right w:val="single" w:color="auto" w:sz="4" w:space="0"/>
            </w:tcBorders>
            <w:noWrap/>
            <w:vAlign w:val="center"/>
          </w:tcPr>
          <w:p w14:paraId="3AC6E1ED">
            <w:pPr>
              <w:spacing w:line="360" w:lineRule="auto"/>
              <w:jc w:val="center"/>
              <w:rPr>
                <w:color w:val="auto"/>
              </w:rPr>
            </w:pPr>
          </w:p>
        </w:tc>
        <w:tc>
          <w:tcPr>
            <w:tcW w:w="1215" w:type="dxa"/>
            <w:tcBorders>
              <w:top w:val="single" w:color="auto" w:sz="4" w:space="0"/>
              <w:left w:val="single" w:color="auto" w:sz="4" w:space="0"/>
              <w:bottom w:val="single" w:color="auto" w:sz="4" w:space="0"/>
            </w:tcBorders>
            <w:noWrap/>
            <w:vAlign w:val="center"/>
          </w:tcPr>
          <w:p w14:paraId="75180665">
            <w:pPr>
              <w:spacing w:line="360" w:lineRule="auto"/>
              <w:jc w:val="center"/>
              <w:rPr>
                <w:color w:val="auto"/>
              </w:rPr>
            </w:pPr>
          </w:p>
        </w:tc>
        <w:tc>
          <w:tcPr>
            <w:tcW w:w="1095" w:type="dxa"/>
            <w:tcBorders>
              <w:top w:val="single" w:color="auto" w:sz="4" w:space="0"/>
              <w:bottom w:val="single" w:color="auto" w:sz="4" w:space="0"/>
            </w:tcBorders>
            <w:noWrap/>
            <w:vAlign w:val="center"/>
          </w:tcPr>
          <w:p w14:paraId="640673AF">
            <w:pPr>
              <w:spacing w:line="360" w:lineRule="auto"/>
              <w:jc w:val="center"/>
              <w:rPr>
                <w:color w:val="auto"/>
              </w:rPr>
            </w:pPr>
          </w:p>
        </w:tc>
      </w:tr>
      <w:tr w14:paraId="5B245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trPr>
        <w:tc>
          <w:tcPr>
            <w:tcW w:w="565" w:type="dxa"/>
            <w:vMerge w:val="continue"/>
            <w:noWrap/>
            <w:vAlign w:val="center"/>
          </w:tcPr>
          <w:p w14:paraId="60DB41AB">
            <w:pPr>
              <w:spacing w:line="360" w:lineRule="auto"/>
              <w:jc w:val="center"/>
              <w:rPr>
                <w:color w:val="auto"/>
              </w:rPr>
            </w:pPr>
          </w:p>
        </w:tc>
        <w:tc>
          <w:tcPr>
            <w:tcW w:w="566" w:type="dxa"/>
            <w:vMerge w:val="continue"/>
            <w:tcBorders>
              <w:right w:val="single" w:color="auto" w:sz="4" w:space="0"/>
            </w:tcBorders>
            <w:noWrap/>
            <w:vAlign w:val="center"/>
          </w:tcPr>
          <w:p w14:paraId="7E2B7C12">
            <w:pPr>
              <w:spacing w:line="360" w:lineRule="auto"/>
              <w:jc w:val="center"/>
              <w:rPr>
                <w:color w:val="auto"/>
              </w:rPr>
            </w:pPr>
          </w:p>
        </w:tc>
        <w:tc>
          <w:tcPr>
            <w:tcW w:w="2266" w:type="dxa"/>
            <w:tcBorders>
              <w:top w:val="single" w:color="auto" w:sz="4" w:space="0"/>
              <w:left w:val="single" w:color="auto" w:sz="4" w:space="0"/>
              <w:right w:val="single" w:color="auto" w:sz="4" w:space="0"/>
            </w:tcBorders>
            <w:noWrap/>
            <w:vAlign w:val="center"/>
          </w:tcPr>
          <w:p w14:paraId="1C74B260">
            <w:pPr>
              <w:spacing w:line="360" w:lineRule="auto"/>
              <w:jc w:val="center"/>
              <w:rPr>
                <w:color w:val="auto"/>
              </w:rPr>
            </w:pPr>
            <w:r>
              <w:rPr>
                <w:rFonts w:hint="eastAsia"/>
                <w:color w:val="auto"/>
              </w:rPr>
              <w:t>厨房岗位人员</w:t>
            </w:r>
          </w:p>
        </w:tc>
        <w:tc>
          <w:tcPr>
            <w:tcW w:w="833" w:type="dxa"/>
            <w:tcBorders>
              <w:top w:val="single" w:color="auto" w:sz="4" w:space="0"/>
              <w:left w:val="single" w:color="auto" w:sz="4" w:space="0"/>
              <w:right w:val="single" w:color="auto" w:sz="4" w:space="0"/>
            </w:tcBorders>
            <w:noWrap/>
            <w:vAlign w:val="center"/>
          </w:tcPr>
          <w:p w14:paraId="662E36F5">
            <w:pPr>
              <w:spacing w:line="360" w:lineRule="auto"/>
              <w:jc w:val="center"/>
              <w:rPr>
                <w:color w:val="auto"/>
              </w:rPr>
            </w:pPr>
          </w:p>
        </w:tc>
        <w:tc>
          <w:tcPr>
            <w:tcW w:w="726" w:type="dxa"/>
            <w:gridSpan w:val="2"/>
            <w:tcBorders>
              <w:top w:val="single" w:color="auto" w:sz="4" w:space="0"/>
              <w:left w:val="single" w:color="auto" w:sz="4" w:space="0"/>
              <w:right w:val="single" w:color="auto" w:sz="4" w:space="0"/>
            </w:tcBorders>
            <w:noWrap/>
            <w:vAlign w:val="center"/>
          </w:tcPr>
          <w:p w14:paraId="3F6E0359">
            <w:pPr>
              <w:spacing w:line="360" w:lineRule="auto"/>
              <w:jc w:val="center"/>
              <w:rPr>
                <w:color w:val="auto"/>
              </w:rPr>
            </w:pPr>
          </w:p>
        </w:tc>
        <w:tc>
          <w:tcPr>
            <w:tcW w:w="705" w:type="dxa"/>
            <w:tcBorders>
              <w:top w:val="single" w:color="auto" w:sz="4" w:space="0"/>
              <w:left w:val="single" w:color="auto" w:sz="4" w:space="0"/>
              <w:right w:val="single" w:color="auto" w:sz="4" w:space="0"/>
            </w:tcBorders>
            <w:noWrap/>
            <w:vAlign w:val="center"/>
          </w:tcPr>
          <w:p w14:paraId="66C04E1A">
            <w:pPr>
              <w:spacing w:line="360" w:lineRule="auto"/>
              <w:jc w:val="center"/>
              <w:rPr>
                <w:color w:val="auto"/>
              </w:rPr>
            </w:pPr>
            <w:r>
              <w:rPr>
                <w:rFonts w:hint="eastAsia"/>
                <w:color w:val="auto"/>
              </w:rPr>
              <w:t>人</w:t>
            </w:r>
          </w:p>
        </w:tc>
        <w:tc>
          <w:tcPr>
            <w:tcW w:w="1125" w:type="dxa"/>
            <w:tcBorders>
              <w:top w:val="single" w:color="auto" w:sz="4" w:space="0"/>
              <w:bottom w:val="single" w:color="auto" w:sz="4" w:space="0"/>
              <w:right w:val="single" w:color="auto" w:sz="4" w:space="0"/>
            </w:tcBorders>
            <w:noWrap/>
            <w:vAlign w:val="center"/>
          </w:tcPr>
          <w:p w14:paraId="13127D0A">
            <w:pPr>
              <w:spacing w:line="360" w:lineRule="auto"/>
              <w:jc w:val="center"/>
              <w:rPr>
                <w:color w:val="auto"/>
              </w:rPr>
            </w:pPr>
          </w:p>
        </w:tc>
        <w:tc>
          <w:tcPr>
            <w:tcW w:w="1215" w:type="dxa"/>
            <w:tcBorders>
              <w:top w:val="single" w:color="auto" w:sz="4" w:space="0"/>
              <w:left w:val="single" w:color="auto" w:sz="4" w:space="0"/>
              <w:bottom w:val="single" w:color="auto" w:sz="4" w:space="0"/>
            </w:tcBorders>
            <w:noWrap/>
            <w:vAlign w:val="center"/>
          </w:tcPr>
          <w:p w14:paraId="14BE76E7">
            <w:pPr>
              <w:spacing w:line="360" w:lineRule="auto"/>
              <w:jc w:val="center"/>
              <w:rPr>
                <w:color w:val="auto"/>
              </w:rPr>
            </w:pPr>
          </w:p>
        </w:tc>
        <w:tc>
          <w:tcPr>
            <w:tcW w:w="1095" w:type="dxa"/>
            <w:tcBorders>
              <w:top w:val="single" w:color="auto" w:sz="4" w:space="0"/>
              <w:bottom w:val="single" w:color="auto" w:sz="4" w:space="0"/>
            </w:tcBorders>
            <w:noWrap/>
            <w:vAlign w:val="center"/>
          </w:tcPr>
          <w:p w14:paraId="13AEBFD4">
            <w:pPr>
              <w:spacing w:line="360" w:lineRule="auto"/>
              <w:jc w:val="center"/>
              <w:rPr>
                <w:color w:val="auto"/>
              </w:rPr>
            </w:pPr>
          </w:p>
        </w:tc>
      </w:tr>
      <w:tr w14:paraId="2A89A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565" w:type="dxa"/>
            <w:vMerge w:val="continue"/>
            <w:noWrap/>
            <w:vAlign w:val="center"/>
          </w:tcPr>
          <w:p w14:paraId="35811BAB">
            <w:pPr>
              <w:spacing w:line="360" w:lineRule="auto"/>
              <w:jc w:val="center"/>
              <w:rPr>
                <w:color w:val="auto"/>
              </w:rPr>
            </w:pPr>
          </w:p>
        </w:tc>
        <w:tc>
          <w:tcPr>
            <w:tcW w:w="566" w:type="dxa"/>
            <w:vMerge w:val="continue"/>
            <w:tcBorders>
              <w:right w:val="single" w:color="auto" w:sz="4" w:space="0"/>
            </w:tcBorders>
            <w:noWrap/>
            <w:vAlign w:val="center"/>
          </w:tcPr>
          <w:p w14:paraId="6AB7305B">
            <w:pPr>
              <w:spacing w:line="360" w:lineRule="auto"/>
              <w:jc w:val="center"/>
              <w:rPr>
                <w:color w:val="auto"/>
              </w:rPr>
            </w:pPr>
          </w:p>
        </w:tc>
        <w:tc>
          <w:tcPr>
            <w:tcW w:w="2266" w:type="dxa"/>
            <w:tcBorders>
              <w:top w:val="single" w:color="auto" w:sz="4" w:space="0"/>
              <w:left w:val="single" w:color="auto" w:sz="4" w:space="0"/>
              <w:right w:val="single" w:color="auto" w:sz="4" w:space="0"/>
            </w:tcBorders>
            <w:noWrap/>
            <w:vAlign w:val="center"/>
          </w:tcPr>
          <w:p w14:paraId="4145C66B">
            <w:pPr>
              <w:spacing w:line="360" w:lineRule="auto"/>
              <w:jc w:val="center"/>
              <w:rPr>
                <w:color w:val="auto"/>
              </w:rPr>
            </w:pPr>
            <w:r>
              <w:rPr>
                <w:rFonts w:hint="eastAsia"/>
                <w:color w:val="auto"/>
              </w:rPr>
              <w:t>保安岗位人员</w:t>
            </w:r>
          </w:p>
        </w:tc>
        <w:tc>
          <w:tcPr>
            <w:tcW w:w="833" w:type="dxa"/>
            <w:tcBorders>
              <w:top w:val="single" w:color="auto" w:sz="4" w:space="0"/>
              <w:left w:val="single" w:color="auto" w:sz="4" w:space="0"/>
              <w:right w:val="single" w:color="auto" w:sz="4" w:space="0"/>
            </w:tcBorders>
            <w:noWrap/>
            <w:vAlign w:val="center"/>
          </w:tcPr>
          <w:p w14:paraId="32D9C8B5">
            <w:pPr>
              <w:spacing w:line="360" w:lineRule="auto"/>
              <w:jc w:val="center"/>
              <w:rPr>
                <w:color w:val="auto"/>
              </w:rPr>
            </w:pPr>
            <w:r>
              <w:rPr>
                <w:rFonts w:hint="eastAsia"/>
                <w:color w:val="auto"/>
              </w:rPr>
              <w:t>4500</w:t>
            </w:r>
          </w:p>
        </w:tc>
        <w:tc>
          <w:tcPr>
            <w:tcW w:w="726" w:type="dxa"/>
            <w:gridSpan w:val="2"/>
            <w:tcBorders>
              <w:top w:val="single" w:color="auto" w:sz="4" w:space="0"/>
              <w:left w:val="single" w:color="auto" w:sz="4" w:space="0"/>
              <w:right w:val="single" w:color="auto" w:sz="4" w:space="0"/>
            </w:tcBorders>
            <w:noWrap/>
            <w:vAlign w:val="center"/>
          </w:tcPr>
          <w:p w14:paraId="4FB0F4D8">
            <w:pPr>
              <w:spacing w:line="360" w:lineRule="auto"/>
              <w:jc w:val="center"/>
              <w:rPr>
                <w:color w:val="auto"/>
              </w:rPr>
            </w:pPr>
            <w:r>
              <w:rPr>
                <w:rFonts w:hint="eastAsia"/>
                <w:color w:val="auto"/>
              </w:rPr>
              <w:t>6</w:t>
            </w:r>
          </w:p>
        </w:tc>
        <w:tc>
          <w:tcPr>
            <w:tcW w:w="705" w:type="dxa"/>
            <w:tcBorders>
              <w:top w:val="single" w:color="auto" w:sz="4" w:space="0"/>
              <w:left w:val="single" w:color="auto" w:sz="4" w:space="0"/>
              <w:right w:val="single" w:color="auto" w:sz="4" w:space="0"/>
            </w:tcBorders>
            <w:noWrap/>
            <w:vAlign w:val="center"/>
          </w:tcPr>
          <w:p w14:paraId="4F2FFBBA">
            <w:pPr>
              <w:spacing w:line="360" w:lineRule="auto"/>
              <w:jc w:val="center"/>
              <w:rPr>
                <w:color w:val="auto"/>
              </w:rPr>
            </w:pPr>
            <w:r>
              <w:rPr>
                <w:rFonts w:hint="eastAsia"/>
                <w:color w:val="auto"/>
              </w:rPr>
              <w:t>人</w:t>
            </w:r>
          </w:p>
        </w:tc>
        <w:tc>
          <w:tcPr>
            <w:tcW w:w="1125" w:type="dxa"/>
            <w:tcBorders>
              <w:top w:val="single" w:color="auto" w:sz="4" w:space="0"/>
              <w:bottom w:val="single" w:color="auto" w:sz="4" w:space="0"/>
              <w:right w:val="single" w:color="auto" w:sz="4" w:space="0"/>
            </w:tcBorders>
            <w:noWrap/>
            <w:vAlign w:val="center"/>
          </w:tcPr>
          <w:p w14:paraId="43CE272A">
            <w:pPr>
              <w:spacing w:line="360" w:lineRule="auto"/>
              <w:jc w:val="center"/>
              <w:rPr>
                <w:color w:val="auto"/>
              </w:rPr>
            </w:pPr>
            <w:r>
              <w:rPr>
                <w:rFonts w:hint="eastAsia"/>
                <w:color w:val="auto"/>
              </w:rPr>
              <w:t>27000.00</w:t>
            </w:r>
          </w:p>
        </w:tc>
        <w:tc>
          <w:tcPr>
            <w:tcW w:w="1215" w:type="dxa"/>
            <w:tcBorders>
              <w:top w:val="single" w:color="auto" w:sz="4" w:space="0"/>
              <w:left w:val="single" w:color="auto" w:sz="4" w:space="0"/>
              <w:bottom w:val="single" w:color="auto" w:sz="4" w:space="0"/>
            </w:tcBorders>
            <w:noWrap/>
            <w:vAlign w:val="center"/>
          </w:tcPr>
          <w:p w14:paraId="25CD0D0B">
            <w:pPr>
              <w:spacing w:line="360" w:lineRule="auto"/>
              <w:jc w:val="center"/>
              <w:rPr>
                <w:color w:val="auto"/>
              </w:rPr>
            </w:pPr>
            <w:r>
              <w:rPr>
                <w:rFonts w:hint="eastAsia"/>
                <w:color w:val="auto"/>
              </w:rPr>
              <w:t>324000.00</w:t>
            </w:r>
          </w:p>
        </w:tc>
        <w:tc>
          <w:tcPr>
            <w:tcW w:w="1095" w:type="dxa"/>
            <w:tcBorders>
              <w:top w:val="single" w:color="auto" w:sz="4" w:space="0"/>
              <w:bottom w:val="single" w:color="auto" w:sz="4" w:space="0"/>
            </w:tcBorders>
            <w:noWrap/>
            <w:vAlign w:val="center"/>
          </w:tcPr>
          <w:p w14:paraId="2AE89DFA">
            <w:pPr>
              <w:spacing w:line="360" w:lineRule="auto"/>
              <w:jc w:val="center"/>
              <w:rPr>
                <w:color w:val="auto"/>
              </w:rPr>
            </w:pPr>
            <w:r>
              <w:rPr>
                <w:rFonts w:hint="eastAsia"/>
                <w:color w:val="auto"/>
              </w:rPr>
              <w:t>固定报价</w:t>
            </w:r>
          </w:p>
        </w:tc>
      </w:tr>
      <w:tr w14:paraId="16F3E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65" w:type="dxa"/>
            <w:vMerge w:val="continue"/>
            <w:noWrap/>
            <w:vAlign w:val="center"/>
          </w:tcPr>
          <w:p w14:paraId="4C183D55">
            <w:pPr>
              <w:spacing w:line="360" w:lineRule="auto"/>
              <w:jc w:val="center"/>
              <w:rPr>
                <w:color w:val="auto"/>
              </w:rPr>
            </w:pPr>
          </w:p>
        </w:tc>
        <w:tc>
          <w:tcPr>
            <w:tcW w:w="566" w:type="dxa"/>
            <w:vMerge w:val="continue"/>
            <w:tcBorders>
              <w:right w:val="single" w:color="auto" w:sz="4" w:space="0"/>
            </w:tcBorders>
            <w:noWrap/>
            <w:vAlign w:val="center"/>
          </w:tcPr>
          <w:p w14:paraId="56D06682">
            <w:pPr>
              <w:spacing w:line="360" w:lineRule="auto"/>
              <w:jc w:val="center"/>
              <w:rPr>
                <w:color w:val="auto"/>
              </w:rPr>
            </w:pPr>
          </w:p>
        </w:tc>
        <w:tc>
          <w:tcPr>
            <w:tcW w:w="2266" w:type="dxa"/>
            <w:tcBorders>
              <w:top w:val="single" w:color="auto" w:sz="4" w:space="0"/>
              <w:left w:val="single" w:color="auto" w:sz="4" w:space="0"/>
              <w:right w:val="single" w:color="auto" w:sz="4" w:space="0"/>
            </w:tcBorders>
            <w:noWrap/>
            <w:vAlign w:val="center"/>
          </w:tcPr>
          <w:p w14:paraId="62A11791">
            <w:pPr>
              <w:spacing w:line="360" w:lineRule="auto"/>
              <w:jc w:val="center"/>
              <w:rPr>
                <w:color w:val="auto"/>
              </w:rPr>
            </w:pPr>
            <w:r>
              <w:rPr>
                <w:rFonts w:hint="eastAsia"/>
                <w:color w:val="auto"/>
              </w:rPr>
              <w:t>护理人员</w:t>
            </w:r>
          </w:p>
        </w:tc>
        <w:tc>
          <w:tcPr>
            <w:tcW w:w="833" w:type="dxa"/>
            <w:tcBorders>
              <w:top w:val="single" w:color="auto" w:sz="4" w:space="0"/>
              <w:left w:val="single" w:color="auto" w:sz="4" w:space="0"/>
              <w:right w:val="single" w:color="auto" w:sz="4" w:space="0"/>
            </w:tcBorders>
            <w:noWrap/>
            <w:vAlign w:val="center"/>
          </w:tcPr>
          <w:p w14:paraId="4DCFB2C2">
            <w:pPr>
              <w:spacing w:line="360" w:lineRule="auto"/>
              <w:jc w:val="center"/>
              <w:rPr>
                <w:color w:val="auto"/>
              </w:rPr>
            </w:pPr>
          </w:p>
        </w:tc>
        <w:tc>
          <w:tcPr>
            <w:tcW w:w="726" w:type="dxa"/>
            <w:gridSpan w:val="2"/>
            <w:tcBorders>
              <w:top w:val="single" w:color="auto" w:sz="4" w:space="0"/>
              <w:left w:val="single" w:color="auto" w:sz="4" w:space="0"/>
              <w:right w:val="single" w:color="auto" w:sz="4" w:space="0"/>
            </w:tcBorders>
            <w:noWrap/>
            <w:vAlign w:val="center"/>
          </w:tcPr>
          <w:p w14:paraId="7F966216">
            <w:pPr>
              <w:spacing w:line="360" w:lineRule="auto"/>
              <w:jc w:val="center"/>
              <w:rPr>
                <w:color w:val="auto"/>
              </w:rPr>
            </w:pPr>
          </w:p>
        </w:tc>
        <w:tc>
          <w:tcPr>
            <w:tcW w:w="705" w:type="dxa"/>
            <w:tcBorders>
              <w:top w:val="single" w:color="auto" w:sz="4" w:space="0"/>
              <w:left w:val="single" w:color="auto" w:sz="4" w:space="0"/>
              <w:right w:val="single" w:color="auto" w:sz="4" w:space="0"/>
            </w:tcBorders>
            <w:noWrap/>
            <w:vAlign w:val="center"/>
          </w:tcPr>
          <w:p w14:paraId="796C56B4">
            <w:pPr>
              <w:spacing w:line="360" w:lineRule="auto"/>
              <w:jc w:val="center"/>
              <w:rPr>
                <w:color w:val="auto"/>
              </w:rPr>
            </w:pPr>
            <w:r>
              <w:rPr>
                <w:rFonts w:hint="eastAsia"/>
                <w:color w:val="auto"/>
              </w:rPr>
              <w:t>床</w:t>
            </w:r>
          </w:p>
        </w:tc>
        <w:tc>
          <w:tcPr>
            <w:tcW w:w="1125" w:type="dxa"/>
            <w:tcBorders>
              <w:top w:val="single" w:color="auto" w:sz="4" w:space="0"/>
              <w:bottom w:val="single" w:color="auto" w:sz="4" w:space="0"/>
              <w:right w:val="single" w:color="auto" w:sz="4" w:space="0"/>
            </w:tcBorders>
            <w:noWrap/>
            <w:vAlign w:val="center"/>
          </w:tcPr>
          <w:p w14:paraId="030846C2">
            <w:pPr>
              <w:spacing w:line="360" w:lineRule="auto"/>
              <w:jc w:val="center"/>
              <w:rPr>
                <w:color w:val="auto"/>
              </w:rPr>
            </w:pPr>
          </w:p>
        </w:tc>
        <w:tc>
          <w:tcPr>
            <w:tcW w:w="1215" w:type="dxa"/>
            <w:tcBorders>
              <w:top w:val="single" w:color="auto" w:sz="4" w:space="0"/>
              <w:left w:val="single" w:color="auto" w:sz="4" w:space="0"/>
              <w:bottom w:val="single" w:color="auto" w:sz="4" w:space="0"/>
            </w:tcBorders>
            <w:noWrap/>
            <w:vAlign w:val="center"/>
          </w:tcPr>
          <w:p w14:paraId="6878B183">
            <w:pPr>
              <w:spacing w:line="360" w:lineRule="auto"/>
              <w:jc w:val="center"/>
              <w:rPr>
                <w:color w:val="auto"/>
              </w:rPr>
            </w:pPr>
          </w:p>
        </w:tc>
        <w:tc>
          <w:tcPr>
            <w:tcW w:w="1095" w:type="dxa"/>
            <w:tcBorders>
              <w:top w:val="single" w:color="auto" w:sz="4" w:space="0"/>
              <w:bottom w:val="single" w:color="auto" w:sz="4" w:space="0"/>
            </w:tcBorders>
            <w:noWrap/>
            <w:vAlign w:val="center"/>
          </w:tcPr>
          <w:p w14:paraId="6B6E8482">
            <w:pPr>
              <w:spacing w:line="360" w:lineRule="auto"/>
              <w:jc w:val="center"/>
              <w:rPr>
                <w:color w:val="auto"/>
              </w:rPr>
            </w:pPr>
          </w:p>
        </w:tc>
      </w:tr>
      <w:tr w14:paraId="6ABE7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trPr>
        <w:tc>
          <w:tcPr>
            <w:tcW w:w="565" w:type="dxa"/>
            <w:vMerge w:val="continue"/>
            <w:noWrap/>
            <w:vAlign w:val="center"/>
          </w:tcPr>
          <w:p w14:paraId="27DC2507">
            <w:pPr>
              <w:spacing w:line="360" w:lineRule="auto"/>
              <w:jc w:val="center"/>
              <w:rPr>
                <w:color w:val="auto"/>
              </w:rPr>
            </w:pPr>
          </w:p>
        </w:tc>
        <w:tc>
          <w:tcPr>
            <w:tcW w:w="566" w:type="dxa"/>
            <w:vMerge w:val="continue"/>
            <w:tcBorders>
              <w:right w:val="single" w:color="auto" w:sz="4" w:space="0"/>
            </w:tcBorders>
            <w:noWrap/>
            <w:vAlign w:val="center"/>
          </w:tcPr>
          <w:p w14:paraId="00919FF8">
            <w:pPr>
              <w:spacing w:line="360" w:lineRule="auto"/>
              <w:jc w:val="center"/>
              <w:rPr>
                <w:color w:val="auto"/>
              </w:rPr>
            </w:pPr>
          </w:p>
        </w:tc>
        <w:tc>
          <w:tcPr>
            <w:tcW w:w="2266" w:type="dxa"/>
            <w:tcBorders>
              <w:top w:val="single" w:color="auto" w:sz="4" w:space="0"/>
              <w:left w:val="single" w:color="auto" w:sz="4" w:space="0"/>
              <w:right w:val="single" w:color="auto" w:sz="4" w:space="0"/>
            </w:tcBorders>
            <w:noWrap/>
            <w:vAlign w:val="center"/>
          </w:tcPr>
          <w:p w14:paraId="5D66A429">
            <w:pPr>
              <w:spacing w:line="360" w:lineRule="auto"/>
              <w:jc w:val="center"/>
              <w:rPr>
                <w:color w:val="auto"/>
              </w:rPr>
            </w:pPr>
            <w:r>
              <w:rPr>
                <w:color w:val="auto"/>
              </w:rPr>
              <w:t>…</w:t>
            </w:r>
            <w:r>
              <w:rPr>
                <w:rFonts w:hint="eastAsia"/>
                <w:color w:val="auto"/>
              </w:rPr>
              <w:t>.</w:t>
            </w:r>
          </w:p>
        </w:tc>
        <w:tc>
          <w:tcPr>
            <w:tcW w:w="833" w:type="dxa"/>
            <w:tcBorders>
              <w:top w:val="single" w:color="auto" w:sz="4" w:space="0"/>
              <w:left w:val="single" w:color="auto" w:sz="4" w:space="0"/>
              <w:right w:val="single" w:color="auto" w:sz="4" w:space="0"/>
            </w:tcBorders>
            <w:noWrap/>
            <w:vAlign w:val="center"/>
          </w:tcPr>
          <w:p w14:paraId="1A6BBAAE">
            <w:pPr>
              <w:spacing w:line="360" w:lineRule="auto"/>
              <w:jc w:val="center"/>
              <w:rPr>
                <w:color w:val="auto"/>
              </w:rPr>
            </w:pPr>
          </w:p>
        </w:tc>
        <w:tc>
          <w:tcPr>
            <w:tcW w:w="726" w:type="dxa"/>
            <w:gridSpan w:val="2"/>
            <w:tcBorders>
              <w:top w:val="single" w:color="auto" w:sz="4" w:space="0"/>
              <w:left w:val="single" w:color="auto" w:sz="4" w:space="0"/>
              <w:right w:val="single" w:color="auto" w:sz="4" w:space="0"/>
            </w:tcBorders>
            <w:noWrap/>
            <w:vAlign w:val="center"/>
          </w:tcPr>
          <w:p w14:paraId="379C930B">
            <w:pPr>
              <w:spacing w:line="360" w:lineRule="auto"/>
              <w:jc w:val="center"/>
              <w:rPr>
                <w:color w:val="auto"/>
              </w:rPr>
            </w:pPr>
          </w:p>
        </w:tc>
        <w:tc>
          <w:tcPr>
            <w:tcW w:w="705" w:type="dxa"/>
            <w:tcBorders>
              <w:top w:val="single" w:color="auto" w:sz="4" w:space="0"/>
              <w:left w:val="single" w:color="auto" w:sz="4" w:space="0"/>
              <w:right w:val="single" w:color="auto" w:sz="4" w:space="0"/>
            </w:tcBorders>
            <w:noWrap/>
            <w:vAlign w:val="center"/>
          </w:tcPr>
          <w:p w14:paraId="2AEFC4E1">
            <w:pPr>
              <w:spacing w:line="360" w:lineRule="auto"/>
              <w:jc w:val="center"/>
              <w:rPr>
                <w:color w:val="auto"/>
              </w:rPr>
            </w:pPr>
          </w:p>
        </w:tc>
        <w:tc>
          <w:tcPr>
            <w:tcW w:w="1125" w:type="dxa"/>
            <w:tcBorders>
              <w:top w:val="single" w:color="auto" w:sz="4" w:space="0"/>
              <w:bottom w:val="single" w:color="auto" w:sz="4" w:space="0"/>
              <w:right w:val="single" w:color="auto" w:sz="4" w:space="0"/>
            </w:tcBorders>
            <w:noWrap/>
            <w:vAlign w:val="center"/>
          </w:tcPr>
          <w:p w14:paraId="10D63331">
            <w:pPr>
              <w:spacing w:line="360" w:lineRule="auto"/>
              <w:jc w:val="center"/>
              <w:rPr>
                <w:color w:val="auto"/>
              </w:rPr>
            </w:pPr>
          </w:p>
        </w:tc>
        <w:tc>
          <w:tcPr>
            <w:tcW w:w="1215" w:type="dxa"/>
            <w:tcBorders>
              <w:top w:val="single" w:color="auto" w:sz="4" w:space="0"/>
              <w:left w:val="single" w:color="auto" w:sz="4" w:space="0"/>
              <w:bottom w:val="single" w:color="auto" w:sz="4" w:space="0"/>
            </w:tcBorders>
            <w:noWrap/>
            <w:vAlign w:val="center"/>
          </w:tcPr>
          <w:p w14:paraId="077CB32A">
            <w:pPr>
              <w:spacing w:line="360" w:lineRule="auto"/>
              <w:jc w:val="center"/>
              <w:rPr>
                <w:color w:val="auto"/>
              </w:rPr>
            </w:pPr>
          </w:p>
        </w:tc>
        <w:tc>
          <w:tcPr>
            <w:tcW w:w="1095" w:type="dxa"/>
            <w:tcBorders>
              <w:top w:val="single" w:color="auto" w:sz="4" w:space="0"/>
              <w:bottom w:val="single" w:color="auto" w:sz="4" w:space="0"/>
            </w:tcBorders>
            <w:noWrap/>
            <w:vAlign w:val="center"/>
          </w:tcPr>
          <w:p w14:paraId="30E49615">
            <w:pPr>
              <w:spacing w:line="360" w:lineRule="auto"/>
              <w:jc w:val="center"/>
              <w:rPr>
                <w:color w:val="auto"/>
              </w:rPr>
            </w:pPr>
          </w:p>
        </w:tc>
      </w:tr>
      <w:tr w14:paraId="238E9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565" w:type="dxa"/>
            <w:noWrap/>
            <w:vAlign w:val="center"/>
          </w:tcPr>
          <w:p w14:paraId="7130473E">
            <w:pPr>
              <w:spacing w:line="360" w:lineRule="auto"/>
              <w:jc w:val="center"/>
              <w:rPr>
                <w:color w:val="auto"/>
              </w:rPr>
            </w:pPr>
            <w:r>
              <w:rPr>
                <w:rFonts w:hint="eastAsia"/>
                <w:color w:val="auto"/>
              </w:rPr>
              <w:t>2</w:t>
            </w:r>
          </w:p>
        </w:tc>
        <w:tc>
          <w:tcPr>
            <w:tcW w:w="2832" w:type="dxa"/>
            <w:gridSpan w:val="2"/>
            <w:tcBorders>
              <w:right w:val="single" w:color="auto" w:sz="4" w:space="0"/>
            </w:tcBorders>
            <w:noWrap/>
            <w:vAlign w:val="center"/>
          </w:tcPr>
          <w:p w14:paraId="1A0A4EA7">
            <w:pPr>
              <w:spacing w:line="360" w:lineRule="auto"/>
              <w:jc w:val="center"/>
              <w:rPr>
                <w:color w:val="auto"/>
              </w:rPr>
            </w:pPr>
            <w:r>
              <w:rPr>
                <w:rFonts w:hint="eastAsia"/>
                <w:color w:val="auto"/>
              </w:rPr>
              <w:t>其他费用</w:t>
            </w:r>
          </w:p>
        </w:tc>
        <w:tc>
          <w:tcPr>
            <w:tcW w:w="833" w:type="dxa"/>
            <w:tcBorders>
              <w:left w:val="single" w:color="auto" w:sz="4" w:space="0"/>
              <w:right w:val="single" w:color="auto" w:sz="4" w:space="0"/>
            </w:tcBorders>
            <w:noWrap/>
            <w:vAlign w:val="center"/>
          </w:tcPr>
          <w:p w14:paraId="13773587">
            <w:pPr>
              <w:spacing w:line="360" w:lineRule="auto"/>
              <w:jc w:val="center"/>
              <w:rPr>
                <w:color w:val="auto"/>
              </w:rPr>
            </w:pPr>
          </w:p>
        </w:tc>
        <w:tc>
          <w:tcPr>
            <w:tcW w:w="726" w:type="dxa"/>
            <w:gridSpan w:val="2"/>
            <w:tcBorders>
              <w:left w:val="single" w:color="auto" w:sz="4" w:space="0"/>
              <w:right w:val="single" w:color="auto" w:sz="4" w:space="0"/>
            </w:tcBorders>
            <w:noWrap/>
            <w:vAlign w:val="center"/>
          </w:tcPr>
          <w:p w14:paraId="4CC95BFE">
            <w:pPr>
              <w:spacing w:line="360" w:lineRule="auto"/>
              <w:jc w:val="center"/>
              <w:rPr>
                <w:color w:val="auto"/>
              </w:rPr>
            </w:pPr>
          </w:p>
        </w:tc>
        <w:tc>
          <w:tcPr>
            <w:tcW w:w="705" w:type="dxa"/>
            <w:tcBorders>
              <w:left w:val="single" w:color="auto" w:sz="4" w:space="0"/>
              <w:right w:val="single" w:color="auto" w:sz="4" w:space="0"/>
            </w:tcBorders>
            <w:noWrap/>
            <w:vAlign w:val="center"/>
          </w:tcPr>
          <w:p w14:paraId="57FC2D12">
            <w:pPr>
              <w:spacing w:line="360" w:lineRule="auto"/>
              <w:jc w:val="center"/>
              <w:rPr>
                <w:color w:val="auto"/>
              </w:rPr>
            </w:pPr>
          </w:p>
        </w:tc>
        <w:tc>
          <w:tcPr>
            <w:tcW w:w="1125" w:type="dxa"/>
            <w:tcBorders>
              <w:top w:val="single" w:color="auto" w:sz="4" w:space="0"/>
              <w:bottom w:val="single" w:color="auto" w:sz="4" w:space="0"/>
              <w:right w:val="single" w:color="auto" w:sz="4" w:space="0"/>
            </w:tcBorders>
            <w:noWrap/>
            <w:vAlign w:val="center"/>
          </w:tcPr>
          <w:p w14:paraId="4978725B">
            <w:pPr>
              <w:spacing w:line="360" w:lineRule="auto"/>
              <w:jc w:val="center"/>
              <w:rPr>
                <w:color w:val="auto"/>
              </w:rPr>
            </w:pPr>
          </w:p>
        </w:tc>
        <w:tc>
          <w:tcPr>
            <w:tcW w:w="1215" w:type="dxa"/>
            <w:tcBorders>
              <w:top w:val="single" w:color="auto" w:sz="4" w:space="0"/>
              <w:left w:val="single" w:color="auto" w:sz="4" w:space="0"/>
              <w:bottom w:val="single" w:color="auto" w:sz="4" w:space="0"/>
            </w:tcBorders>
            <w:noWrap/>
            <w:vAlign w:val="center"/>
          </w:tcPr>
          <w:p w14:paraId="6AD79884">
            <w:pPr>
              <w:spacing w:line="360" w:lineRule="auto"/>
              <w:jc w:val="center"/>
              <w:rPr>
                <w:color w:val="auto"/>
              </w:rPr>
            </w:pPr>
          </w:p>
        </w:tc>
        <w:tc>
          <w:tcPr>
            <w:tcW w:w="1095" w:type="dxa"/>
            <w:tcBorders>
              <w:top w:val="single" w:color="auto" w:sz="4" w:space="0"/>
              <w:bottom w:val="single" w:color="auto" w:sz="4" w:space="0"/>
            </w:tcBorders>
            <w:noWrap/>
            <w:vAlign w:val="center"/>
          </w:tcPr>
          <w:p w14:paraId="75BF35B7">
            <w:pPr>
              <w:spacing w:line="360" w:lineRule="auto"/>
              <w:jc w:val="center"/>
              <w:rPr>
                <w:color w:val="auto"/>
              </w:rPr>
            </w:pPr>
          </w:p>
        </w:tc>
      </w:tr>
      <w:tr w14:paraId="74C0B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565" w:type="dxa"/>
            <w:noWrap/>
            <w:vAlign w:val="center"/>
          </w:tcPr>
          <w:p w14:paraId="1C5F8055">
            <w:pPr>
              <w:spacing w:line="360" w:lineRule="auto"/>
              <w:jc w:val="center"/>
              <w:rPr>
                <w:color w:val="auto"/>
              </w:rPr>
            </w:pPr>
            <w:r>
              <w:rPr>
                <w:rFonts w:hint="eastAsia"/>
                <w:color w:val="auto"/>
              </w:rPr>
              <w:t>3</w:t>
            </w:r>
          </w:p>
        </w:tc>
        <w:tc>
          <w:tcPr>
            <w:tcW w:w="2832" w:type="dxa"/>
            <w:gridSpan w:val="2"/>
            <w:tcBorders>
              <w:right w:val="single" w:color="auto" w:sz="4" w:space="0"/>
            </w:tcBorders>
            <w:noWrap/>
            <w:vAlign w:val="center"/>
          </w:tcPr>
          <w:p w14:paraId="74EA7540">
            <w:pPr>
              <w:spacing w:line="360" w:lineRule="auto"/>
              <w:jc w:val="center"/>
              <w:rPr>
                <w:color w:val="auto"/>
              </w:rPr>
            </w:pPr>
            <w:r>
              <w:rPr>
                <w:rStyle w:val="151"/>
                <w:rFonts w:hint="eastAsia" w:ascii="宋体" w:hAnsi="宋体"/>
                <w:color w:val="auto"/>
                <w:szCs w:val="21"/>
              </w:rPr>
              <w:t>考核制度</w:t>
            </w:r>
            <w:r>
              <w:rPr>
                <w:rFonts w:hint="eastAsia"/>
                <w:color w:val="auto"/>
              </w:rPr>
              <w:t>奖金</w:t>
            </w:r>
          </w:p>
        </w:tc>
        <w:tc>
          <w:tcPr>
            <w:tcW w:w="833" w:type="dxa"/>
            <w:tcBorders>
              <w:left w:val="single" w:color="auto" w:sz="4" w:space="0"/>
              <w:right w:val="single" w:color="auto" w:sz="4" w:space="0"/>
            </w:tcBorders>
            <w:noWrap/>
            <w:vAlign w:val="center"/>
          </w:tcPr>
          <w:p w14:paraId="461908B9">
            <w:pPr>
              <w:spacing w:line="360" w:lineRule="auto"/>
              <w:jc w:val="center"/>
              <w:rPr>
                <w:color w:val="auto"/>
              </w:rPr>
            </w:pPr>
            <w:r>
              <w:rPr>
                <w:rFonts w:hint="eastAsia"/>
                <w:color w:val="auto"/>
              </w:rPr>
              <w:t>/</w:t>
            </w:r>
          </w:p>
        </w:tc>
        <w:tc>
          <w:tcPr>
            <w:tcW w:w="726" w:type="dxa"/>
            <w:gridSpan w:val="2"/>
            <w:tcBorders>
              <w:left w:val="single" w:color="auto" w:sz="4" w:space="0"/>
              <w:right w:val="single" w:color="auto" w:sz="4" w:space="0"/>
            </w:tcBorders>
            <w:noWrap/>
            <w:vAlign w:val="center"/>
          </w:tcPr>
          <w:p w14:paraId="2778293C">
            <w:pPr>
              <w:spacing w:line="360" w:lineRule="auto"/>
              <w:jc w:val="center"/>
              <w:rPr>
                <w:color w:val="auto"/>
              </w:rPr>
            </w:pPr>
            <w:r>
              <w:rPr>
                <w:rFonts w:hint="eastAsia"/>
                <w:color w:val="auto"/>
              </w:rPr>
              <w:t>/</w:t>
            </w:r>
          </w:p>
        </w:tc>
        <w:tc>
          <w:tcPr>
            <w:tcW w:w="705" w:type="dxa"/>
            <w:tcBorders>
              <w:left w:val="single" w:color="auto" w:sz="4" w:space="0"/>
              <w:right w:val="single" w:color="auto" w:sz="4" w:space="0"/>
            </w:tcBorders>
            <w:noWrap/>
            <w:vAlign w:val="center"/>
          </w:tcPr>
          <w:p w14:paraId="58167A29">
            <w:pPr>
              <w:spacing w:line="360" w:lineRule="auto"/>
              <w:jc w:val="center"/>
              <w:rPr>
                <w:color w:val="auto"/>
              </w:rPr>
            </w:pPr>
          </w:p>
        </w:tc>
        <w:tc>
          <w:tcPr>
            <w:tcW w:w="1125" w:type="dxa"/>
            <w:tcBorders>
              <w:top w:val="single" w:color="auto" w:sz="4" w:space="0"/>
              <w:bottom w:val="single" w:color="auto" w:sz="4" w:space="0"/>
              <w:right w:val="single" w:color="auto" w:sz="4" w:space="0"/>
            </w:tcBorders>
            <w:noWrap/>
            <w:vAlign w:val="center"/>
          </w:tcPr>
          <w:p w14:paraId="0F876E99">
            <w:pPr>
              <w:spacing w:line="360" w:lineRule="auto"/>
              <w:jc w:val="center"/>
              <w:rPr>
                <w:color w:val="auto"/>
              </w:rPr>
            </w:pPr>
            <w:r>
              <w:rPr>
                <w:rFonts w:hint="eastAsia"/>
                <w:color w:val="auto"/>
              </w:rPr>
              <w:t>/</w:t>
            </w:r>
          </w:p>
        </w:tc>
        <w:tc>
          <w:tcPr>
            <w:tcW w:w="1215" w:type="dxa"/>
            <w:tcBorders>
              <w:top w:val="single" w:color="auto" w:sz="4" w:space="0"/>
              <w:left w:val="single" w:color="auto" w:sz="4" w:space="0"/>
              <w:bottom w:val="single" w:color="auto" w:sz="4" w:space="0"/>
            </w:tcBorders>
            <w:noWrap/>
            <w:vAlign w:val="center"/>
          </w:tcPr>
          <w:p w14:paraId="2E3A0068">
            <w:pPr>
              <w:spacing w:line="360" w:lineRule="auto"/>
              <w:jc w:val="center"/>
              <w:rPr>
                <w:color w:val="auto"/>
              </w:rPr>
            </w:pPr>
            <w:r>
              <w:rPr>
                <w:rFonts w:hint="eastAsia"/>
                <w:color w:val="auto"/>
              </w:rPr>
              <w:t>100000.00</w:t>
            </w:r>
          </w:p>
        </w:tc>
        <w:tc>
          <w:tcPr>
            <w:tcW w:w="1095" w:type="dxa"/>
            <w:tcBorders>
              <w:top w:val="single" w:color="auto" w:sz="4" w:space="0"/>
              <w:bottom w:val="single" w:color="auto" w:sz="4" w:space="0"/>
            </w:tcBorders>
            <w:noWrap/>
            <w:vAlign w:val="center"/>
          </w:tcPr>
          <w:p w14:paraId="43E7BBF9">
            <w:pPr>
              <w:spacing w:line="360" w:lineRule="auto"/>
              <w:jc w:val="center"/>
              <w:rPr>
                <w:color w:val="auto"/>
              </w:rPr>
            </w:pPr>
            <w:r>
              <w:rPr>
                <w:rFonts w:hint="eastAsia"/>
                <w:color w:val="auto"/>
              </w:rPr>
              <w:t>固定报价</w:t>
            </w:r>
          </w:p>
        </w:tc>
      </w:tr>
      <w:tr w14:paraId="0829B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565" w:type="dxa"/>
            <w:noWrap/>
            <w:vAlign w:val="center"/>
          </w:tcPr>
          <w:p w14:paraId="71083385">
            <w:pPr>
              <w:spacing w:line="360" w:lineRule="auto"/>
              <w:jc w:val="center"/>
              <w:rPr>
                <w:color w:val="auto"/>
              </w:rPr>
            </w:pPr>
            <w:r>
              <w:rPr>
                <w:rFonts w:hint="eastAsia"/>
                <w:color w:val="auto"/>
              </w:rPr>
              <w:t>··</w:t>
            </w:r>
          </w:p>
        </w:tc>
        <w:tc>
          <w:tcPr>
            <w:tcW w:w="2832" w:type="dxa"/>
            <w:gridSpan w:val="2"/>
            <w:tcBorders>
              <w:right w:val="single" w:color="auto" w:sz="4" w:space="0"/>
            </w:tcBorders>
            <w:noWrap/>
            <w:vAlign w:val="center"/>
          </w:tcPr>
          <w:p w14:paraId="73BD3E39">
            <w:pPr>
              <w:pStyle w:val="2"/>
              <w:ind w:firstLine="240"/>
              <w:jc w:val="center"/>
              <w:rPr>
                <w:color w:val="auto"/>
              </w:rPr>
            </w:pPr>
          </w:p>
        </w:tc>
        <w:tc>
          <w:tcPr>
            <w:tcW w:w="833" w:type="dxa"/>
            <w:tcBorders>
              <w:left w:val="single" w:color="auto" w:sz="4" w:space="0"/>
              <w:right w:val="single" w:color="auto" w:sz="4" w:space="0"/>
            </w:tcBorders>
            <w:noWrap/>
            <w:vAlign w:val="center"/>
          </w:tcPr>
          <w:p w14:paraId="47736635">
            <w:pPr>
              <w:pStyle w:val="2"/>
              <w:ind w:firstLine="240"/>
              <w:jc w:val="center"/>
              <w:rPr>
                <w:color w:val="auto"/>
              </w:rPr>
            </w:pPr>
          </w:p>
        </w:tc>
        <w:tc>
          <w:tcPr>
            <w:tcW w:w="726" w:type="dxa"/>
            <w:gridSpan w:val="2"/>
            <w:tcBorders>
              <w:left w:val="single" w:color="auto" w:sz="4" w:space="0"/>
              <w:right w:val="single" w:color="auto" w:sz="4" w:space="0"/>
            </w:tcBorders>
            <w:noWrap/>
            <w:vAlign w:val="center"/>
          </w:tcPr>
          <w:p w14:paraId="7A45D70F">
            <w:pPr>
              <w:pStyle w:val="2"/>
              <w:ind w:firstLine="240"/>
              <w:jc w:val="center"/>
              <w:rPr>
                <w:color w:val="auto"/>
              </w:rPr>
            </w:pPr>
          </w:p>
        </w:tc>
        <w:tc>
          <w:tcPr>
            <w:tcW w:w="705" w:type="dxa"/>
            <w:tcBorders>
              <w:left w:val="single" w:color="auto" w:sz="4" w:space="0"/>
              <w:right w:val="single" w:color="auto" w:sz="4" w:space="0"/>
            </w:tcBorders>
            <w:noWrap/>
            <w:vAlign w:val="center"/>
          </w:tcPr>
          <w:p w14:paraId="78E778E5">
            <w:pPr>
              <w:pStyle w:val="2"/>
              <w:ind w:firstLine="240"/>
              <w:jc w:val="center"/>
              <w:rPr>
                <w:color w:val="auto"/>
              </w:rPr>
            </w:pPr>
          </w:p>
        </w:tc>
        <w:tc>
          <w:tcPr>
            <w:tcW w:w="1125" w:type="dxa"/>
            <w:tcBorders>
              <w:top w:val="single" w:color="auto" w:sz="4" w:space="0"/>
              <w:bottom w:val="single" w:color="auto" w:sz="4" w:space="0"/>
              <w:right w:val="single" w:color="auto" w:sz="4" w:space="0"/>
            </w:tcBorders>
            <w:noWrap/>
            <w:vAlign w:val="center"/>
          </w:tcPr>
          <w:p w14:paraId="06A9E470">
            <w:pPr>
              <w:pStyle w:val="2"/>
              <w:ind w:firstLine="240"/>
              <w:jc w:val="center"/>
              <w:rPr>
                <w:color w:val="auto"/>
              </w:rPr>
            </w:pPr>
          </w:p>
        </w:tc>
        <w:tc>
          <w:tcPr>
            <w:tcW w:w="1215" w:type="dxa"/>
            <w:tcBorders>
              <w:top w:val="single" w:color="auto" w:sz="4" w:space="0"/>
              <w:left w:val="single" w:color="auto" w:sz="4" w:space="0"/>
              <w:bottom w:val="single" w:color="auto" w:sz="4" w:space="0"/>
            </w:tcBorders>
            <w:noWrap/>
            <w:vAlign w:val="center"/>
          </w:tcPr>
          <w:p w14:paraId="1CCEFEA8">
            <w:pPr>
              <w:pStyle w:val="2"/>
              <w:ind w:firstLine="240"/>
              <w:jc w:val="center"/>
              <w:rPr>
                <w:color w:val="auto"/>
              </w:rPr>
            </w:pPr>
          </w:p>
        </w:tc>
        <w:tc>
          <w:tcPr>
            <w:tcW w:w="1095" w:type="dxa"/>
            <w:tcBorders>
              <w:top w:val="single" w:color="auto" w:sz="4" w:space="0"/>
              <w:bottom w:val="single" w:color="auto" w:sz="4" w:space="0"/>
            </w:tcBorders>
            <w:noWrap/>
            <w:vAlign w:val="center"/>
          </w:tcPr>
          <w:p w14:paraId="77503FB2">
            <w:pPr>
              <w:spacing w:line="360" w:lineRule="auto"/>
              <w:jc w:val="center"/>
              <w:rPr>
                <w:color w:val="auto"/>
              </w:rPr>
            </w:pPr>
          </w:p>
        </w:tc>
      </w:tr>
      <w:tr w14:paraId="652A5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565" w:type="dxa"/>
            <w:tcBorders>
              <w:top w:val="single" w:color="auto" w:sz="4" w:space="0"/>
            </w:tcBorders>
            <w:noWrap/>
            <w:vAlign w:val="center"/>
          </w:tcPr>
          <w:p w14:paraId="334D8FAB">
            <w:pPr>
              <w:spacing w:line="360" w:lineRule="auto"/>
              <w:jc w:val="center"/>
              <w:rPr>
                <w:color w:val="auto"/>
              </w:rPr>
            </w:pPr>
          </w:p>
        </w:tc>
        <w:tc>
          <w:tcPr>
            <w:tcW w:w="2832" w:type="dxa"/>
            <w:gridSpan w:val="2"/>
            <w:tcBorders>
              <w:top w:val="single" w:color="auto" w:sz="4" w:space="0"/>
              <w:right w:val="single" w:color="auto" w:sz="4" w:space="0"/>
            </w:tcBorders>
            <w:noWrap/>
            <w:vAlign w:val="center"/>
          </w:tcPr>
          <w:p w14:paraId="2BBB7037">
            <w:pPr>
              <w:spacing w:line="360" w:lineRule="auto"/>
              <w:jc w:val="center"/>
              <w:rPr>
                <w:color w:val="auto"/>
              </w:rPr>
            </w:pPr>
            <w:r>
              <w:rPr>
                <w:rFonts w:hint="eastAsia"/>
                <w:color w:val="auto"/>
              </w:rPr>
              <w:t>投标总价（人民币/年）</w:t>
            </w:r>
          </w:p>
        </w:tc>
        <w:tc>
          <w:tcPr>
            <w:tcW w:w="5699" w:type="dxa"/>
            <w:gridSpan w:val="7"/>
            <w:tcBorders>
              <w:top w:val="single" w:color="auto" w:sz="4" w:space="0"/>
              <w:left w:val="single" w:color="auto" w:sz="4" w:space="0"/>
            </w:tcBorders>
            <w:noWrap/>
            <w:vAlign w:val="center"/>
          </w:tcPr>
          <w:p w14:paraId="2D9A83A2">
            <w:pPr>
              <w:spacing w:line="360" w:lineRule="auto"/>
              <w:rPr>
                <w:color w:val="auto"/>
              </w:rPr>
            </w:pPr>
            <w:r>
              <w:rPr>
                <w:rFonts w:hint="eastAsia"/>
                <w:color w:val="auto"/>
              </w:rPr>
              <w:t xml:space="preserve">大写：                      </w:t>
            </w:r>
          </w:p>
          <w:p w14:paraId="0D602CEA">
            <w:pPr>
              <w:spacing w:line="360" w:lineRule="auto"/>
              <w:rPr>
                <w:color w:val="auto"/>
              </w:rPr>
            </w:pPr>
            <w:r>
              <w:rPr>
                <w:rFonts w:hint="eastAsia"/>
                <w:color w:val="auto"/>
              </w:rPr>
              <w:t>小写：</w:t>
            </w:r>
          </w:p>
        </w:tc>
      </w:tr>
    </w:tbl>
    <w:p w14:paraId="7BF1643C">
      <w:pPr>
        <w:spacing w:line="360" w:lineRule="auto"/>
        <w:ind w:firstLine="240" w:firstLineChars="100"/>
        <w:rPr>
          <w:rFonts w:ascii="宋体" w:hAnsi="宋体"/>
          <w:color w:val="auto"/>
          <w:sz w:val="24"/>
        </w:rPr>
      </w:pPr>
      <w:r>
        <w:rPr>
          <w:rFonts w:hint="eastAsia" w:ascii="宋体" w:hAnsi="宋体"/>
          <w:color w:val="auto"/>
          <w:sz w:val="24"/>
        </w:rPr>
        <w:t>说明：行数不够自行添加。</w:t>
      </w:r>
    </w:p>
    <w:p w14:paraId="5200161E">
      <w:pPr>
        <w:spacing w:line="360" w:lineRule="auto"/>
        <w:ind w:left="435"/>
        <w:rPr>
          <w:rStyle w:val="151"/>
          <w:rFonts w:ascii="宋体" w:hAnsi="宋体"/>
          <w:color w:val="auto"/>
          <w:szCs w:val="21"/>
        </w:rPr>
      </w:pPr>
      <w:r>
        <w:rPr>
          <w:rStyle w:val="151"/>
          <w:rFonts w:ascii="宋体" w:hAnsi="宋体"/>
          <w:color w:val="auto"/>
          <w:szCs w:val="21"/>
        </w:rPr>
        <w:t>1</w:t>
      </w:r>
      <w:r>
        <w:rPr>
          <w:rStyle w:val="151"/>
          <w:rFonts w:hint="eastAsia" w:ascii="宋体" w:hAnsi="宋体"/>
          <w:color w:val="auto"/>
          <w:szCs w:val="21"/>
        </w:rPr>
        <w:t>、</w:t>
      </w:r>
      <w:r>
        <w:rPr>
          <w:rStyle w:val="151"/>
          <w:rFonts w:ascii="宋体" w:hAnsi="宋体"/>
          <w:color w:val="auto"/>
          <w:szCs w:val="21"/>
        </w:rPr>
        <w:t xml:space="preserve"> 本表为《开标一览表》的报价明细表，如有缺项、漏项，视为投标报价中已包含相关费用，采购人无需另外支付任何费用。</w:t>
      </w:r>
    </w:p>
    <w:p w14:paraId="4EB69857">
      <w:pPr>
        <w:spacing w:line="360" w:lineRule="auto"/>
        <w:ind w:left="435"/>
        <w:rPr>
          <w:rStyle w:val="151"/>
          <w:rFonts w:ascii="宋体" w:hAnsi="宋体"/>
          <w:color w:val="auto"/>
          <w:szCs w:val="21"/>
          <w:lang w:val="zh-CN"/>
        </w:rPr>
      </w:pPr>
      <w:r>
        <w:rPr>
          <w:rStyle w:val="151"/>
          <w:rFonts w:hint="eastAsia" w:ascii="宋体" w:hAnsi="宋体"/>
          <w:color w:val="auto"/>
          <w:szCs w:val="21"/>
        </w:rPr>
        <w:t>2、</w:t>
      </w:r>
      <w:r>
        <w:rPr>
          <w:rStyle w:val="151"/>
          <w:rFonts w:ascii="宋体" w:hAnsi="宋体"/>
          <w:color w:val="auto"/>
          <w:szCs w:val="21"/>
          <w:lang w:val="zh-CN"/>
        </w:rPr>
        <w:t>“报价明细表”中的报价合计应与“开标一览表”中的投标总报价相一致，不一致时，以开标一览表为准。</w:t>
      </w:r>
    </w:p>
    <w:p w14:paraId="6C22B72B">
      <w:pPr>
        <w:spacing w:line="360" w:lineRule="auto"/>
        <w:ind w:left="435"/>
        <w:rPr>
          <w:rStyle w:val="151"/>
          <w:rFonts w:ascii="宋体" w:hAnsi="宋体"/>
          <w:color w:val="auto"/>
          <w:szCs w:val="21"/>
        </w:rPr>
      </w:pPr>
      <w:r>
        <w:rPr>
          <w:rStyle w:val="151"/>
          <w:rFonts w:hint="eastAsia" w:ascii="宋体" w:hAnsi="宋体"/>
          <w:color w:val="auto"/>
          <w:szCs w:val="21"/>
        </w:rPr>
        <w:t>3、投标人须在明细清单中填写组成的各服务内容。</w:t>
      </w:r>
    </w:p>
    <w:p w14:paraId="57E40963">
      <w:pPr>
        <w:overflowPunct w:val="0"/>
        <w:spacing w:line="360" w:lineRule="auto"/>
        <w:ind w:firstLine="420" w:firstLineChars="200"/>
        <w:rPr>
          <w:rStyle w:val="151"/>
          <w:rFonts w:ascii="宋体" w:hAnsi="宋体"/>
          <w:color w:val="auto"/>
          <w:szCs w:val="21"/>
        </w:rPr>
      </w:pPr>
      <w:r>
        <w:rPr>
          <w:rStyle w:val="151"/>
          <w:rFonts w:hint="eastAsia" w:ascii="宋体" w:hAnsi="宋体"/>
          <w:color w:val="auto"/>
          <w:szCs w:val="21"/>
        </w:rPr>
        <w:t>4、报价明细表中考核制度</w:t>
      </w:r>
      <w:r>
        <w:rPr>
          <w:rFonts w:hint="eastAsia"/>
          <w:color w:val="auto"/>
        </w:rPr>
        <w:t>奖金中的制度</w:t>
      </w:r>
      <w:r>
        <w:rPr>
          <w:rStyle w:val="151"/>
          <w:rFonts w:hint="eastAsia" w:ascii="宋体" w:hAnsi="宋体"/>
          <w:color w:val="auto"/>
          <w:szCs w:val="21"/>
        </w:rPr>
        <w:t>为实行每月两次的考核制度，按年底综合考评12个月平均得分计算。85分奖励1万元/年，在85分的基础上，每多1分多奖励1万元，最高10万元，若平均分未达到85分，则不予发放。</w:t>
      </w:r>
    </w:p>
    <w:p w14:paraId="163E11D6">
      <w:pPr>
        <w:spacing w:line="360" w:lineRule="auto"/>
        <w:ind w:left="435"/>
        <w:rPr>
          <w:rStyle w:val="151"/>
          <w:rFonts w:ascii="宋体" w:hAnsi="宋体"/>
          <w:color w:val="auto"/>
          <w:szCs w:val="21"/>
        </w:rPr>
      </w:pPr>
      <w:r>
        <w:rPr>
          <w:rStyle w:val="151"/>
          <w:rFonts w:hint="eastAsia" w:ascii="宋体" w:hAnsi="宋体"/>
          <w:color w:val="auto"/>
          <w:szCs w:val="21"/>
        </w:rPr>
        <w:t>5、单项价格少于1000元的耗材费用由中标单位自理。</w:t>
      </w:r>
    </w:p>
    <w:p w14:paraId="4FBEB54D">
      <w:pPr>
        <w:spacing w:line="360" w:lineRule="auto"/>
        <w:ind w:left="435"/>
        <w:rPr>
          <w:color w:val="auto"/>
          <w:lang w:val="zh-CN"/>
        </w:rPr>
      </w:pPr>
      <w:r>
        <w:rPr>
          <w:rStyle w:val="151"/>
          <w:rFonts w:hint="eastAsia" w:ascii="宋体" w:hAnsi="宋体"/>
          <w:color w:val="auto"/>
          <w:szCs w:val="21"/>
        </w:rPr>
        <w:t>6、护理人员费用按每床位1500元/月为上限价，超过上限价的为无效报价。</w:t>
      </w:r>
    </w:p>
    <w:p w14:paraId="31FCAB97">
      <w:pPr>
        <w:spacing w:line="360" w:lineRule="auto"/>
        <w:ind w:left="435"/>
        <w:rPr>
          <w:rStyle w:val="151"/>
          <w:rFonts w:ascii="宋体" w:hAnsi="宋体"/>
          <w:color w:val="auto"/>
          <w:szCs w:val="21"/>
        </w:rPr>
      </w:pPr>
      <w:r>
        <w:rPr>
          <w:rStyle w:val="151"/>
          <w:rFonts w:hint="eastAsia" w:ascii="宋体" w:hAnsi="宋体"/>
          <w:color w:val="auto"/>
          <w:szCs w:val="21"/>
        </w:rPr>
        <w:t>7、综合后勤月服务费本次招标最高单价：管理6000元/月，保洁3700元/月，具体按中标人实际报价，按各岗位实际人数结算。</w:t>
      </w:r>
      <w:r>
        <w:rPr>
          <w:rStyle w:val="151"/>
          <w:rFonts w:hint="eastAsia" w:ascii="宋体" w:hAnsi="宋体"/>
          <w:b/>
          <w:bCs/>
          <w:color w:val="auto"/>
          <w:szCs w:val="21"/>
        </w:rPr>
        <w:t>财务人员（2名）由采购人指定安排，由中标人与其签订劳动合同，工资由中标人发放，工资不低于管理人员平均工资，并由中标人为其缴纳五险一金</w:t>
      </w:r>
      <w:r>
        <w:rPr>
          <w:rStyle w:val="151"/>
          <w:rFonts w:hint="eastAsia" w:ascii="宋体" w:hAnsi="宋体"/>
          <w:color w:val="auto"/>
          <w:szCs w:val="21"/>
        </w:rPr>
        <w:t>，厨房人员工资不得低于以下标准：厨师8000元/月，副厨7000元/月，帮厨2人每人4200元/月。各岗位人数不得超过采购方测算人数安排。</w:t>
      </w:r>
    </w:p>
    <w:p w14:paraId="755EF614">
      <w:pPr>
        <w:spacing w:line="360" w:lineRule="auto"/>
        <w:ind w:left="435"/>
        <w:rPr>
          <w:rStyle w:val="151"/>
          <w:rFonts w:ascii="宋体" w:hAnsi="宋体"/>
          <w:color w:val="auto"/>
          <w:szCs w:val="21"/>
          <w:lang w:val="zh-CN"/>
        </w:rPr>
      </w:pPr>
      <w:r>
        <w:rPr>
          <w:rStyle w:val="151"/>
          <w:rFonts w:hint="eastAsia" w:ascii="宋体" w:hAnsi="宋体"/>
          <w:color w:val="auto"/>
          <w:szCs w:val="21"/>
        </w:rPr>
        <w:t>8、</w:t>
      </w:r>
      <w:r>
        <w:rPr>
          <w:rStyle w:val="151"/>
          <w:rFonts w:ascii="宋体" w:hAnsi="宋体"/>
          <w:color w:val="auto"/>
          <w:szCs w:val="21"/>
          <w:lang w:val="zh-CN"/>
        </w:rPr>
        <w:t>投标报价明细表所填内容按招标文件采购设备清单要求为准。如有漏报的，视同已包含在投标总价内或已作优惠处理。有重大缺项的将作无效标处理。</w:t>
      </w:r>
    </w:p>
    <w:p w14:paraId="7070340B">
      <w:pPr>
        <w:spacing w:line="360" w:lineRule="auto"/>
        <w:ind w:left="435"/>
        <w:rPr>
          <w:rStyle w:val="151"/>
          <w:rFonts w:ascii="宋体" w:hAnsi="宋体"/>
          <w:color w:val="auto"/>
          <w:szCs w:val="21"/>
          <w:lang w:val="zh-CN"/>
        </w:rPr>
      </w:pPr>
      <w:r>
        <w:rPr>
          <w:rStyle w:val="151"/>
          <w:rFonts w:hint="eastAsia" w:ascii="宋体" w:hAnsi="宋体"/>
          <w:color w:val="auto"/>
          <w:szCs w:val="21"/>
        </w:rPr>
        <w:t>9</w:t>
      </w:r>
      <w:r>
        <w:rPr>
          <w:rStyle w:val="151"/>
          <w:rFonts w:hint="eastAsia" w:ascii="宋体" w:hAnsi="宋体"/>
          <w:color w:val="auto"/>
          <w:szCs w:val="21"/>
          <w:lang w:val="zh-CN"/>
        </w:rPr>
        <w:t>、本表内容请投标人根据自身所投标货物、服务等具体内容按实际填写。</w:t>
      </w:r>
    </w:p>
    <w:p w14:paraId="0D658939">
      <w:pPr>
        <w:spacing w:line="360" w:lineRule="auto"/>
        <w:ind w:left="420"/>
        <w:rPr>
          <w:rStyle w:val="151"/>
          <w:rFonts w:ascii="宋体" w:hAnsi="宋体"/>
          <w:color w:val="auto"/>
          <w:sz w:val="24"/>
          <w:u w:val="single"/>
        </w:rPr>
      </w:pPr>
      <w:r>
        <w:rPr>
          <w:rStyle w:val="151"/>
          <w:rFonts w:ascii="宋体" w:hAnsi="宋体"/>
          <w:color w:val="auto"/>
          <w:sz w:val="24"/>
        </w:rPr>
        <w:t>投标人名称（盖章）：</w:t>
      </w:r>
    </w:p>
    <w:p w14:paraId="6D94114A">
      <w:pPr>
        <w:spacing w:line="360" w:lineRule="auto"/>
        <w:ind w:left="420"/>
        <w:rPr>
          <w:rStyle w:val="151"/>
          <w:rFonts w:ascii="宋体" w:hAnsi="宋体"/>
          <w:color w:val="auto"/>
          <w:sz w:val="24"/>
        </w:rPr>
      </w:pPr>
    </w:p>
    <w:p w14:paraId="082AB620">
      <w:pPr>
        <w:spacing w:line="360" w:lineRule="auto"/>
        <w:ind w:firstLine="600"/>
        <w:rPr>
          <w:rStyle w:val="151"/>
          <w:rFonts w:ascii="宋体" w:hAnsi="宋体"/>
          <w:color w:val="auto"/>
          <w:sz w:val="24"/>
        </w:rPr>
      </w:pPr>
      <w:r>
        <w:rPr>
          <w:rStyle w:val="151"/>
          <w:rFonts w:ascii="宋体" w:hAnsi="宋体"/>
          <w:color w:val="auto"/>
          <w:sz w:val="24"/>
        </w:rPr>
        <w:t>投标人代表签字或盖章：</w:t>
      </w:r>
    </w:p>
    <w:p w14:paraId="58F77006">
      <w:pPr>
        <w:spacing w:line="360" w:lineRule="auto"/>
        <w:ind w:firstLine="600"/>
        <w:rPr>
          <w:rStyle w:val="151"/>
          <w:rFonts w:ascii="宋体" w:hAnsi="宋体"/>
          <w:color w:val="auto"/>
          <w:sz w:val="24"/>
        </w:rPr>
      </w:pPr>
    </w:p>
    <w:p w14:paraId="5FAF7A42">
      <w:pPr>
        <w:spacing w:line="360" w:lineRule="auto"/>
        <w:ind w:firstLine="600"/>
        <w:rPr>
          <w:rStyle w:val="151"/>
          <w:rFonts w:ascii="宋体" w:hAnsi="宋体"/>
          <w:color w:val="auto"/>
          <w:sz w:val="24"/>
        </w:rPr>
      </w:pPr>
      <w:r>
        <w:rPr>
          <w:rStyle w:val="151"/>
          <w:rFonts w:ascii="宋体" w:hAnsi="宋体"/>
          <w:color w:val="auto"/>
          <w:sz w:val="24"/>
        </w:rPr>
        <w:t>职        务：</w:t>
      </w:r>
    </w:p>
    <w:p w14:paraId="48719C3C">
      <w:pPr>
        <w:spacing w:line="360" w:lineRule="auto"/>
        <w:ind w:firstLine="600"/>
        <w:rPr>
          <w:rStyle w:val="151"/>
          <w:rFonts w:ascii="宋体" w:hAnsi="宋体"/>
          <w:color w:val="auto"/>
          <w:sz w:val="24"/>
        </w:rPr>
      </w:pPr>
    </w:p>
    <w:p w14:paraId="5653E9D3">
      <w:pPr>
        <w:spacing w:line="360" w:lineRule="auto"/>
        <w:ind w:firstLine="600"/>
        <w:rPr>
          <w:rStyle w:val="151"/>
          <w:rFonts w:ascii="宋体" w:hAnsi="宋体"/>
          <w:color w:val="auto"/>
          <w:sz w:val="24"/>
        </w:rPr>
      </w:pPr>
      <w:r>
        <w:rPr>
          <w:rStyle w:val="151"/>
          <w:rFonts w:ascii="宋体" w:hAnsi="宋体"/>
          <w:color w:val="auto"/>
          <w:sz w:val="24"/>
        </w:rPr>
        <w:t>日        期：</w:t>
      </w:r>
    </w:p>
    <w:p w14:paraId="28E03128">
      <w:pPr>
        <w:spacing w:line="440" w:lineRule="exact"/>
        <w:ind w:firstLine="7157" w:firstLineChars="2546"/>
        <w:jc w:val="right"/>
        <w:rPr>
          <w:rFonts w:ascii="宋体" w:hAnsi="宋体"/>
          <w:b/>
          <w:color w:val="auto"/>
          <w:sz w:val="28"/>
        </w:rPr>
      </w:pPr>
      <w:r>
        <w:rPr>
          <w:rFonts w:hint="eastAsia" w:ascii="宋体" w:hAnsi="宋体"/>
          <w:b/>
          <w:color w:val="auto"/>
          <w:sz w:val="28"/>
        </w:rPr>
        <w:br w:type="page"/>
      </w:r>
    </w:p>
    <w:p w14:paraId="458ED3B9">
      <w:pPr>
        <w:spacing w:line="360" w:lineRule="auto"/>
        <w:ind w:firstLine="703"/>
        <w:rPr>
          <w:rFonts w:ascii="宋体" w:hAnsi="宋体"/>
          <w:b/>
          <w:color w:val="auto"/>
          <w:sz w:val="28"/>
        </w:rPr>
      </w:pPr>
      <w:r>
        <w:rPr>
          <w:rFonts w:hint="eastAsia" w:ascii="宋体" w:hAnsi="宋体"/>
          <w:b/>
          <w:color w:val="auto"/>
          <w:sz w:val="28"/>
        </w:rPr>
        <w:t>附件15</w:t>
      </w:r>
    </w:p>
    <w:p w14:paraId="3784B35F">
      <w:pPr>
        <w:spacing w:line="360" w:lineRule="auto"/>
        <w:ind w:right="-110" w:firstLine="803"/>
        <w:jc w:val="center"/>
        <w:rPr>
          <w:rFonts w:ascii="宋体" w:hAnsi="宋体"/>
          <w:b/>
          <w:color w:val="auto"/>
          <w:sz w:val="32"/>
          <w:szCs w:val="32"/>
        </w:rPr>
      </w:pPr>
      <w:r>
        <w:rPr>
          <w:rFonts w:ascii="宋体" w:hAnsi="宋体"/>
          <w:b/>
          <w:color w:val="auto"/>
          <w:sz w:val="32"/>
          <w:szCs w:val="32"/>
        </w:rPr>
        <w:t>中小企业声明函（服务）</w:t>
      </w:r>
    </w:p>
    <w:p w14:paraId="24832F3E">
      <w:pPr>
        <w:pStyle w:val="58"/>
        <w:spacing w:line="360" w:lineRule="auto"/>
        <w:ind w:firstLine="504" w:firstLineChars="200"/>
        <w:rPr>
          <w:rFonts w:ascii="宋体" w:hAnsi="宋体"/>
          <w:color w:val="auto"/>
          <w:spacing w:val="6"/>
          <w:sz w:val="24"/>
        </w:rPr>
      </w:pPr>
      <w:r>
        <w:rPr>
          <w:rFonts w:ascii="宋体" w:hAnsi="宋体"/>
          <w:color w:val="auto"/>
          <w:spacing w:val="6"/>
          <w:sz w:val="24"/>
        </w:rPr>
        <w:t>本公司（联合体）郑重声明，根据《政府采购促进中小企业发展管理办法》（财库﹝2020﹞4</w:t>
      </w:r>
      <w:r>
        <w:rPr>
          <w:rFonts w:hint="eastAsia" w:ascii="宋体" w:hAnsi="宋体"/>
          <w:color w:val="auto"/>
          <w:spacing w:val="6"/>
          <w:sz w:val="24"/>
        </w:rPr>
        <w:t>6</w:t>
      </w:r>
      <w:r>
        <w:rPr>
          <w:rFonts w:ascii="宋体" w:hAnsi="宋体"/>
          <w:color w:val="auto"/>
          <w:spacing w:val="6"/>
          <w:sz w:val="24"/>
        </w:rPr>
        <w:t>号）的规定，本公司（联合体）参加</w:t>
      </w:r>
      <w:r>
        <w:rPr>
          <w:rFonts w:ascii="宋体" w:hAnsi="宋体"/>
          <w:color w:val="auto"/>
          <w:spacing w:val="6"/>
          <w:sz w:val="24"/>
          <w:u w:val="single"/>
        </w:rPr>
        <w:t>（单位名称）</w:t>
      </w:r>
      <w:r>
        <w:rPr>
          <w:rFonts w:ascii="宋体" w:hAnsi="宋体"/>
          <w:color w:val="auto"/>
          <w:spacing w:val="6"/>
          <w:sz w:val="24"/>
        </w:rPr>
        <w:t>的</w:t>
      </w:r>
      <w:r>
        <w:rPr>
          <w:rFonts w:ascii="宋体" w:hAnsi="宋体"/>
          <w:color w:val="auto"/>
          <w:spacing w:val="6"/>
          <w:sz w:val="24"/>
          <w:u w:val="single"/>
        </w:rPr>
        <w:t>（项目名称）</w:t>
      </w:r>
      <w:r>
        <w:rPr>
          <w:rFonts w:ascii="宋体" w:hAnsi="宋体"/>
          <w:color w:val="auto"/>
          <w:spacing w:val="6"/>
          <w:sz w:val="24"/>
        </w:rPr>
        <w:t>采购活动，服务全部由符合政策要求的中小企业承接。相关企业（含联合体中的中小企业、签订分包意向协议的中小企业）的具体情况如下：</w:t>
      </w:r>
    </w:p>
    <w:p w14:paraId="692B3987">
      <w:pPr>
        <w:pStyle w:val="58"/>
        <w:spacing w:line="360" w:lineRule="auto"/>
        <w:ind w:firstLine="504" w:firstLineChars="200"/>
        <w:rPr>
          <w:rFonts w:ascii="宋体" w:hAnsi="宋体"/>
          <w:color w:val="auto"/>
          <w:spacing w:val="6"/>
          <w:sz w:val="24"/>
        </w:rPr>
      </w:pPr>
      <w:r>
        <w:rPr>
          <w:rFonts w:ascii="宋体" w:hAnsi="宋体"/>
          <w:color w:val="auto"/>
          <w:spacing w:val="6"/>
          <w:sz w:val="24"/>
        </w:rPr>
        <w:t>1.</w:t>
      </w:r>
      <w:r>
        <w:rPr>
          <w:rFonts w:ascii="宋体" w:hAnsi="宋体"/>
          <w:color w:val="auto"/>
          <w:spacing w:val="6"/>
          <w:sz w:val="24"/>
          <w:u w:val="single"/>
        </w:rPr>
        <w:t>（标的名称）</w:t>
      </w:r>
      <w:r>
        <w:rPr>
          <w:rFonts w:ascii="宋体" w:hAnsi="宋体"/>
          <w:color w:val="auto"/>
          <w:spacing w:val="6"/>
          <w:sz w:val="24"/>
        </w:rPr>
        <w:t>，属于</w:t>
      </w:r>
      <w:r>
        <w:rPr>
          <w:rFonts w:ascii="宋体" w:hAnsi="宋体"/>
          <w:color w:val="auto"/>
          <w:spacing w:val="6"/>
          <w:sz w:val="24"/>
          <w:u w:val="single"/>
        </w:rPr>
        <w:t>（采购文件中明确的所属行业）</w:t>
      </w:r>
      <w:r>
        <w:rPr>
          <w:rFonts w:ascii="宋体" w:hAnsi="宋体"/>
          <w:color w:val="auto"/>
          <w:spacing w:val="6"/>
          <w:sz w:val="24"/>
        </w:rPr>
        <w:t>；承建（承接）企业为</w:t>
      </w:r>
      <w:r>
        <w:rPr>
          <w:rFonts w:ascii="宋体" w:hAnsi="宋体"/>
          <w:color w:val="auto"/>
          <w:spacing w:val="6"/>
          <w:sz w:val="24"/>
          <w:u w:val="single"/>
        </w:rPr>
        <w:t>（企业名称）</w:t>
      </w:r>
      <w:r>
        <w:rPr>
          <w:rFonts w:ascii="宋体" w:hAnsi="宋体"/>
          <w:color w:val="auto"/>
          <w:spacing w:val="6"/>
          <w:sz w:val="24"/>
        </w:rPr>
        <w:t>，从业人员人，营业收入为万元，资产总额为万元 ，属于（</w:t>
      </w:r>
      <w:r>
        <w:rPr>
          <w:rFonts w:ascii="宋体" w:hAnsi="宋体"/>
          <w:color w:val="auto"/>
          <w:spacing w:val="6"/>
          <w:sz w:val="24"/>
          <w:u w:val="single"/>
        </w:rPr>
        <w:t>中型企业、小型企业、微型企业</w:t>
      </w:r>
      <w:r>
        <w:rPr>
          <w:rFonts w:ascii="宋体" w:hAnsi="宋体"/>
          <w:color w:val="auto"/>
          <w:spacing w:val="6"/>
          <w:sz w:val="24"/>
        </w:rPr>
        <w:t>）；</w:t>
      </w:r>
    </w:p>
    <w:p w14:paraId="3AE3B22C">
      <w:pPr>
        <w:pStyle w:val="58"/>
        <w:spacing w:line="360" w:lineRule="auto"/>
        <w:ind w:firstLine="504" w:firstLineChars="200"/>
        <w:rPr>
          <w:rFonts w:ascii="宋体" w:hAnsi="宋体"/>
          <w:color w:val="auto"/>
          <w:spacing w:val="6"/>
          <w:sz w:val="24"/>
        </w:rPr>
      </w:pPr>
      <w:r>
        <w:rPr>
          <w:rFonts w:hint="eastAsia" w:ascii="宋体" w:hAnsi="宋体"/>
          <w:color w:val="auto"/>
          <w:spacing w:val="6"/>
          <w:sz w:val="24"/>
        </w:rPr>
        <w:t>2.</w:t>
      </w:r>
      <w:r>
        <w:rPr>
          <w:rFonts w:ascii="宋体" w:hAnsi="宋体"/>
          <w:color w:val="auto"/>
          <w:spacing w:val="6"/>
          <w:sz w:val="24"/>
          <w:u w:val="single"/>
        </w:rPr>
        <w:t xml:space="preserve"> 标的名称）</w:t>
      </w:r>
      <w:r>
        <w:rPr>
          <w:rFonts w:ascii="宋体" w:hAnsi="宋体"/>
          <w:color w:val="auto"/>
          <w:spacing w:val="6"/>
          <w:sz w:val="24"/>
        </w:rPr>
        <w:t>，属于</w:t>
      </w:r>
      <w:r>
        <w:rPr>
          <w:rFonts w:ascii="宋体" w:hAnsi="宋体"/>
          <w:color w:val="auto"/>
          <w:spacing w:val="6"/>
          <w:sz w:val="24"/>
          <w:u w:val="single"/>
        </w:rPr>
        <w:t>（采购文件中明确的所属行业）</w:t>
      </w:r>
      <w:r>
        <w:rPr>
          <w:rFonts w:ascii="宋体" w:hAnsi="宋体"/>
          <w:color w:val="auto"/>
          <w:spacing w:val="6"/>
          <w:sz w:val="24"/>
        </w:rPr>
        <w:t>；承建（承接）企业为</w:t>
      </w:r>
      <w:r>
        <w:rPr>
          <w:rFonts w:ascii="宋体" w:hAnsi="宋体"/>
          <w:color w:val="auto"/>
          <w:spacing w:val="6"/>
          <w:sz w:val="24"/>
          <w:u w:val="single"/>
        </w:rPr>
        <w:t>（企业名称）</w:t>
      </w:r>
      <w:r>
        <w:rPr>
          <w:rFonts w:ascii="宋体" w:hAnsi="宋体"/>
          <w:color w:val="auto"/>
          <w:spacing w:val="6"/>
          <w:sz w:val="24"/>
        </w:rPr>
        <w:t>，从业人员人，营业收入为万元，资产总额为万元 ，属于（</w:t>
      </w:r>
      <w:r>
        <w:rPr>
          <w:rFonts w:ascii="宋体" w:hAnsi="宋体"/>
          <w:color w:val="auto"/>
          <w:spacing w:val="6"/>
          <w:sz w:val="24"/>
          <w:u w:val="single"/>
        </w:rPr>
        <w:t>中型企业、小型企业、微型企业</w:t>
      </w:r>
      <w:r>
        <w:rPr>
          <w:rFonts w:ascii="宋体" w:hAnsi="宋体"/>
          <w:color w:val="auto"/>
          <w:spacing w:val="6"/>
          <w:sz w:val="24"/>
        </w:rPr>
        <w:t>）；</w:t>
      </w:r>
    </w:p>
    <w:p w14:paraId="0CBD290E">
      <w:pPr>
        <w:pStyle w:val="58"/>
        <w:spacing w:line="360" w:lineRule="auto"/>
        <w:ind w:firstLine="420" w:firstLineChars="200"/>
        <w:rPr>
          <w:color w:val="auto"/>
        </w:rPr>
      </w:pPr>
      <w:r>
        <w:rPr>
          <w:color w:val="auto"/>
        </w:rPr>
        <w:t>……</w:t>
      </w:r>
    </w:p>
    <w:p w14:paraId="0F1CC6C3">
      <w:pPr>
        <w:pStyle w:val="58"/>
        <w:spacing w:line="360" w:lineRule="auto"/>
        <w:ind w:firstLine="504" w:firstLineChars="200"/>
        <w:rPr>
          <w:rFonts w:ascii="宋体" w:hAnsi="宋体"/>
          <w:color w:val="auto"/>
          <w:spacing w:val="6"/>
          <w:sz w:val="24"/>
        </w:rPr>
      </w:pPr>
      <w:r>
        <w:rPr>
          <w:rFonts w:ascii="宋体" w:hAnsi="宋体"/>
          <w:color w:val="auto"/>
          <w:spacing w:val="6"/>
          <w:sz w:val="24"/>
        </w:rPr>
        <w:t>以上企业，不属于大企业的分支机构，不存在控股股东为大企业的情形，也不存在与大企业的负责人为同一人的情形。</w:t>
      </w:r>
    </w:p>
    <w:p w14:paraId="2ACDDA81">
      <w:pPr>
        <w:pStyle w:val="58"/>
        <w:spacing w:line="360" w:lineRule="auto"/>
        <w:ind w:firstLine="504" w:firstLineChars="200"/>
        <w:rPr>
          <w:rFonts w:ascii="宋体" w:hAnsi="宋体"/>
          <w:color w:val="auto"/>
          <w:spacing w:val="6"/>
          <w:sz w:val="24"/>
        </w:rPr>
      </w:pPr>
      <w:r>
        <w:rPr>
          <w:rFonts w:ascii="宋体" w:hAnsi="宋体"/>
          <w:color w:val="auto"/>
          <w:spacing w:val="6"/>
          <w:sz w:val="24"/>
        </w:rPr>
        <w:t>本企业对上述声明内容的真实性负责。如有虚假，将依法承担相应责任。</w:t>
      </w:r>
    </w:p>
    <w:p w14:paraId="21F247CF">
      <w:pPr>
        <w:pStyle w:val="58"/>
        <w:spacing w:line="360" w:lineRule="auto"/>
        <w:ind w:firstLine="504" w:firstLineChars="200"/>
        <w:rPr>
          <w:rFonts w:ascii="宋体" w:hAnsi="宋体"/>
          <w:color w:val="auto"/>
          <w:spacing w:val="6"/>
          <w:sz w:val="24"/>
        </w:rPr>
      </w:pPr>
    </w:p>
    <w:p w14:paraId="05EED4EE">
      <w:pPr>
        <w:pStyle w:val="58"/>
        <w:spacing w:line="360" w:lineRule="auto"/>
        <w:ind w:firstLine="504" w:firstLineChars="200"/>
        <w:rPr>
          <w:rFonts w:ascii="宋体" w:hAnsi="宋体"/>
          <w:color w:val="auto"/>
          <w:spacing w:val="6"/>
          <w:sz w:val="24"/>
        </w:rPr>
      </w:pPr>
    </w:p>
    <w:p w14:paraId="63E729D9">
      <w:pPr>
        <w:pStyle w:val="58"/>
        <w:spacing w:line="360" w:lineRule="auto"/>
        <w:ind w:firstLine="5796" w:firstLineChars="2300"/>
        <w:rPr>
          <w:rFonts w:ascii="宋体" w:hAnsi="宋体"/>
          <w:color w:val="auto"/>
          <w:spacing w:val="6"/>
          <w:sz w:val="24"/>
        </w:rPr>
      </w:pPr>
      <w:r>
        <w:rPr>
          <w:rFonts w:ascii="宋体" w:hAnsi="宋体"/>
          <w:color w:val="auto"/>
          <w:spacing w:val="6"/>
          <w:sz w:val="24"/>
        </w:rPr>
        <w:t xml:space="preserve">企业名称（盖章）： </w:t>
      </w:r>
    </w:p>
    <w:p w14:paraId="562047F2">
      <w:pPr>
        <w:pStyle w:val="58"/>
        <w:spacing w:line="360" w:lineRule="auto"/>
        <w:ind w:firstLine="6325" w:firstLineChars="2510"/>
        <w:rPr>
          <w:rFonts w:ascii="宋体" w:hAnsi="宋体" w:cs="宋体"/>
          <w:color w:val="auto"/>
          <w:sz w:val="24"/>
        </w:rPr>
      </w:pPr>
      <w:r>
        <w:rPr>
          <w:rFonts w:ascii="宋体" w:hAnsi="宋体"/>
          <w:color w:val="auto"/>
          <w:spacing w:val="6"/>
          <w:sz w:val="24"/>
        </w:rPr>
        <w:t>日 期：</w:t>
      </w:r>
    </w:p>
    <w:p w14:paraId="25C56CAE">
      <w:pPr>
        <w:pStyle w:val="15"/>
        <w:spacing w:line="360" w:lineRule="auto"/>
        <w:ind w:firstLine="803"/>
        <w:jc w:val="center"/>
        <w:outlineLvl w:val="1"/>
        <w:rPr>
          <w:rFonts w:hAnsi="宋体" w:cs="宋体"/>
          <w:b/>
          <w:color w:val="auto"/>
          <w:sz w:val="32"/>
          <w:szCs w:val="32"/>
          <w:lang w:val="en-GB"/>
        </w:rPr>
      </w:pPr>
    </w:p>
    <w:p w14:paraId="7B0299D2">
      <w:pPr>
        <w:pStyle w:val="22"/>
        <w:ind w:firstLine="627"/>
        <w:rPr>
          <w:rFonts w:cs="宋体"/>
          <w:b w:val="0"/>
          <w:color w:val="auto"/>
          <w:sz w:val="32"/>
          <w:szCs w:val="32"/>
          <w:lang w:val="en-GB"/>
        </w:rPr>
      </w:pPr>
    </w:p>
    <w:p w14:paraId="2E11194C">
      <w:pPr>
        <w:rPr>
          <w:color w:val="auto"/>
          <w:lang w:val="en-GB"/>
        </w:rPr>
      </w:pPr>
    </w:p>
    <w:p w14:paraId="2916B7CE">
      <w:pPr>
        <w:ind w:firstLine="900"/>
        <w:rPr>
          <w:color w:val="auto"/>
          <w:sz w:val="36"/>
          <w:szCs w:val="36"/>
          <w:lang w:val="en-GB"/>
        </w:rPr>
      </w:pPr>
      <w:r>
        <w:rPr>
          <w:rFonts w:hint="eastAsia"/>
          <w:color w:val="auto"/>
          <w:sz w:val="36"/>
          <w:szCs w:val="36"/>
          <w:lang w:val="en-GB"/>
        </w:rPr>
        <w:br w:type="page"/>
      </w:r>
    </w:p>
    <w:p w14:paraId="7D7E401D">
      <w:pPr>
        <w:pStyle w:val="2"/>
        <w:tabs>
          <w:tab w:val="left" w:pos="482"/>
          <w:tab w:val="left" w:pos="2183"/>
          <w:tab w:val="left" w:pos="3884"/>
          <w:tab w:val="left" w:pos="5585"/>
        </w:tabs>
        <w:ind w:firstLine="0" w:firstLineChars="0"/>
        <w:jc w:val="center"/>
        <w:rPr>
          <w:color w:val="auto"/>
          <w:sz w:val="36"/>
          <w:szCs w:val="36"/>
          <w:lang w:val="en-GB"/>
        </w:rPr>
      </w:pPr>
      <w:r>
        <w:rPr>
          <w:rFonts w:hint="eastAsia"/>
          <w:color w:val="auto"/>
          <w:sz w:val="36"/>
          <w:szCs w:val="36"/>
          <w:lang w:val="en-GB"/>
        </w:rPr>
        <w:t>中小企业划型标准规定</w:t>
      </w:r>
    </w:p>
    <w:p w14:paraId="4A0604AA">
      <w:pPr>
        <w:pStyle w:val="2"/>
        <w:tabs>
          <w:tab w:val="left" w:pos="482"/>
          <w:tab w:val="left" w:pos="2183"/>
          <w:tab w:val="left" w:pos="3884"/>
          <w:tab w:val="left" w:pos="5585"/>
        </w:tabs>
        <w:ind w:firstLine="0" w:firstLineChars="0"/>
        <w:jc w:val="center"/>
        <w:rPr>
          <w:color w:val="auto"/>
          <w:lang w:val="en-GB"/>
        </w:rPr>
      </w:pPr>
      <w:r>
        <w:rPr>
          <w:rFonts w:hint="eastAsia" w:ascii="宋体" w:hAnsi="宋体" w:cs="宋体"/>
          <w:color w:val="auto"/>
        </w:rPr>
        <w:t>工信部联企业【2011】300 号</w:t>
      </w:r>
    </w:p>
    <w:tbl>
      <w:tblPr>
        <w:tblStyle w:val="26"/>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056"/>
        <w:gridCol w:w="752"/>
      </w:tblGrid>
      <w:tr w14:paraId="2D8F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Header/>
          <w:jc w:val="center"/>
        </w:trPr>
        <w:tc>
          <w:tcPr>
            <w:tcW w:w="524" w:type="dxa"/>
            <w:vAlign w:val="center"/>
          </w:tcPr>
          <w:p w14:paraId="486BEECE">
            <w:pPr>
              <w:pStyle w:val="142"/>
              <w:spacing w:before="68"/>
              <w:ind w:left="41" w:right="32"/>
              <w:jc w:val="center"/>
              <w:rPr>
                <w:b/>
                <w:bCs/>
                <w:color w:val="auto"/>
                <w:sz w:val="24"/>
                <w:highlight w:val="none"/>
              </w:rPr>
            </w:pPr>
            <w:r>
              <w:rPr>
                <w:rFonts w:hint="eastAsia"/>
                <w:b/>
                <w:bCs/>
                <w:color w:val="auto"/>
                <w:sz w:val="24"/>
                <w:highlight w:val="none"/>
              </w:rPr>
              <w:t>序号</w:t>
            </w:r>
          </w:p>
        </w:tc>
        <w:tc>
          <w:tcPr>
            <w:tcW w:w="860" w:type="dxa"/>
            <w:vAlign w:val="center"/>
          </w:tcPr>
          <w:p w14:paraId="541E5033">
            <w:pPr>
              <w:pStyle w:val="142"/>
              <w:spacing w:before="68"/>
              <w:ind w:left="10" w:right="2"/>
              <w:jc w:val="center"/>
              <w:rPr>
                <w:b/>
                <w:bCs/>
                <w:color w:val="auto"/>
                <w:sz w:val="24"/>
                <w:highlight w:val="none"/>
              </w:rPr>
            </w:pPr>
            <w:r>
              <w:rPr>
                <w:rFonts w:hint="eastAsia"/>
                <w:b/>
                <w:bCs/>
                <w:color w:val="auto"/>
                <w:sz w:val="24"/>
                <w:highlight w:val="none"/>
              </w:rPr>
              <w:t>行业</w:t>
            </w:r>
          </w:p>
        </w:tc>
        <w:tc>
          <w:tcPr>
            <w:tcW w:w="2157" w:type="dxa"/>
            <w:vAlign w:val="center"/>
          </w:tcPr>
          <w:p w14:paraId="6FD6B790">
            <w:pPr>
              <w:pStyle w:val="142"/>
              <w:spacing w:before="68"/>
              <w:ind w:left="5"/>
              <w:jc w:val="center"/>
              <w:rPr>
                <w:b/>
                <w:bCs/>
                <w:color w:val="auto"/>
                <w:sz w:val="24"/>
                <w:highlight w:val="none"/>
              </w:rPr>
            </w:pPr>
            <w:r>
              <w:rPr>
                <w:rFonts w:hint="eastAsia"/>
                <w:b/>
                <w:bCs/>
                <w:color w:val="auto"/>
                <w:sz w:val="24"/>
                <w:highlight w:val="none"/>
              </w:rPr>
              <w:t>原则</w:t>
            </w:r>
          </w:p>
        </w:tc>
        <w:tc>
          <w:tcPr>
            <w:tcW w:w="5271" w:type="dxa"/>
            <w:gridSpan w:val="2"/>
            <w:vAlign w:val="center"/>
          </w:tcPr>
          <w:p w14:paraId="2ADC0F77">
            <w:pPr>
              <w:pStyle w:val="142"/>
              <w:spacing w:before="68"/>
              <w:ind w:right="1107"/>
              <w:jc w:val="center"/>
              <w:rPr>
                <w:b/>
                <w:bCs/>
                <w:color w:val="auto"/>
                <w:sz w:val="24"/>
                <w:highlight w:val="none"/>
              </w:rPr>
            </w:pPr>
            <w:r>
              <w:rPr>
                <w:rFonts w:hint="eastAsia"/>
                <w:b/>
                <w:bCs/>
                <w:color w:val="auto"/>
                <w:sz w:val="24"/>
                <w:highlight w:val="none"/>
              </w:rPr>
              <w:t>具体规定</w:t>
            </w:r>
          </w:p>
        </w:tc>
        <w:tc>
          <w:tcPr>
            <w:tcW w:w="752" w:type="dxa"/>
            <w:vAlign w:val="center"/>
          </w:tcPr>
          <w:p w14:paraId="7DE11DE7">
            <w:pPr>
              <w:pStyle w:val="142"/>
              <w:spacing w:before="68"/>
              <w:jc w:val="center"/>
              <w:rPr>
                <w:b/>
                <w:bCs/>
                <w:color w:val="auto"/>
                <w:sz w:val="24"/>
                <w:highlight w:val="none"/>
              </w:rPr>
            </w:pPr>
            <w:r>
              <w:rPr>
                <w:rFonts w:hint="eastAsia"/>
                <w:b/>
                <w:bCs/>
                <w:color w:val="auto"/>
                <w:sz w:val="24"/>
                <w:highlight w:val="none"/>
              </w:rPr>
              <w:t>指标</w:t>
            </w:r>
          </w:p>
        </w:tc>
      </w:tr>
      <w:tr w14:paraId="1D8E0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71ED1C4A">
            <w:pPr>
              <w:pStyle w:val="142"/>
              <w:spacing w:before="7"/>
              <w:jc w:val="center"/>
              <w:rPr>
                <w:b/>
                <w:color w:val="auto"/>
                <w:sz w:val="24"/>
                <w:highlight w:val="none"/>
              </w:rPr>
            </w:pPr>
          </w:p>
          <w:p w14:paraId="6CC0F9EC">
            <w:pPr>
              <w:pStyle w:val="142"/>
              <w:ind w:left="8"/>
              <w:jc w:val="center"/>
              <w:rPr>
                <w:color w:val="auto"/>
                <w:sz w:val="24"/>
                <w:highlight w:val="none"/>
              </w:rPr>
            </w:pPr>
            <w:r>
              <w:rPr>
                <w:rFonts w:hint="eastAsia"/>
                <w:color w:val="auto"/>
                <w:w w:val="99"/>
                <w:sz w:val="24"/>
                <w:highlight w:val="none"/>
              </w:rPr>
              <w:t>1</w:t>
            </w:r>
          </w:p>
        </w:tc>
        <w:tc>
          <w:tcPr>
            <w:tcW w:w="860" w:type="dxa"/>
            <w:vMerge w:val="restart"/>
            <w:vAlign w:val="center"/>
          </w:tcPr>
          <w:p w14:paraId="517DE233">
            <w:pPr>
              <w:pStyle w:val="142"/>
              <w:spacing w:before="3"/>
              <w:jc w:val="center"/>
              <w:rPr>
                <w:b/>
                <w:color w:val="auto"/>
                <w:sz w:val="24"/>
                <w:highlight w:val="none"/>
              </w:rPr>
            </w:pPr>
          </w:p>
          <w:p w14:paraId="2BDBF2DE">
            <w:pPr>
              <w:pStyle w:val="142"/>
              <w:spacing w:before="1" w:line="292" w:lineRule="auto"/>
              <w:ind w:left="13" w:right="6"/>
              <w:jc w:val="center"/>
              <w:rPr>
                <w:color w:val="auto"/>
                <w:sz w:val="24"/>
                <w:highlight w:val="none"/>
              </w:rPr>
            </w:pPr>
            <w:r>
              <w:rPr>
                <w:rFonts w:hint="eastAsia"/>
                <w:color w:val="auto"/>
                <w:sz w:val="24"/>
                <w:highlight w:val="none"/>
              </w:rPr>
              <w:t>农、林、牧、渔业</w:t>
            </w:r>
          </w:p>
        </w:tc>
        <w:tc>
          <w:tcPr>
            <w:tcW w:w="2157" w:type="dxa"/>
            <w:vMerge w:val="restart"/>
            <w:vAlign w:val="center"/>
          </w:tcPr>
          <w:p w14:paraId="1BEA1D49">
            <w:pPr>
              <w:pStyle w:val="142"/>
              <w:spacing w:before="3"/>
              <w:rPr>
                <w:b/>
                <w:color w:val="auto"/>
                <w:sz w:val="24"/>
                <w:highlight w:val="none"/>
                <w:lang w:eastAsia="zh-CN"/>
              </w:rPr>
            </w:pPr>
          </w:p>
          <w:p w14:paraId="4889A747">
            <w:pPr>
              <w:pStyle w:val="142"/>
              <w:spacing w:before="1" w:line="292" w:lineRule="auto"/>
              <w:ind w:left="15" w:right="5"/>
              <w:rPr>
                <w:color w:val="auto"/>
                <w:sz w:val="24"/>
                <w:highlight w:val="none"/>
                <w:lang w:eastAsia="zh-CN"/>
              </w:rPr>
            </w:pPr>
            <w:r>
              <w:rPr>
                <w:rFonts w:hint="eastAsia"/>
                <w:color w:val="auto"/>
                <w:sz w:val="24"/>
                <w:highlight w:val="none"/>
                <w:lang w:eastAsia="zh-CN"/>
              </w:rPr>
              <w:t>营业收入 20000 万元以下的为中小微型企业</w:t>
            </w:r>
          </w:p>
        </w:tc>
        <w:tc>
          <w:tcPr>
            <w:tcW w:w="1215" w:type="dxa"/>
            <w:vAlign w:val="center"/>
          </w:tcPr>
          <w:p w14:paraId="2CF8AFE3">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51012AF3">
            <w:pPr>
              <w:pStyle w:val="142"/>
              <w:spacing w:before="68"/>
              <w:ind w:left="15"/>
              <w:rPr>
                <w:color w:val="auto"/>
                <w:sz w:val="24"/>
                <w:highlight w:val="none"/>
                <w:lang w:eastAsia="zh-CN"/>
              </w:rPr>
            </w:pPr>
            <w:r>
              <w:rPr>
                <w:rFonts w:hint="eastAsia"/>
                <w:color w:val="auto"/>
                <w:sz w:val="24"/>
                <w:highlight w:val="none"/>
                <w:lang w:eastAsia="zh-CN"/>
              </w:rPr>
              <w:t>营业收入 500 万元及以上的</w:t>
            </w:r>
          </w:p>
        </w:tc>
        <w:tc>
          <w:tcPr>
            <w:tcW w:w="752" w:type="dxa"/>
            <w:vMerge w:val="restart"/>
            <w:vAlign w:val="center"/>
          </w:tcPr>
          <w:p w14:paraId="0254F90A">
            <w:pPr>
              <w:pStyle w:val="142"/>
              <w:ind w:left="15"/>
              <w:rPr>
                <w:color w:val="auto"/>
                <w:sz w:val="24"/>
                <w:highlight w:val="none"/>
                <w:lang w:eastAsia="zh-CN"/>
              </w:rPr>
            </w:pPr>
            <w:r>
              <w:rPr>
                <w:rFonts w:hint="eastAsia"/>
                <w:color w:val="auto"/>
                <w:sz w:val="24"/>
                <w:highlight w:val="none"/>
                <w:lang w:eastAsia="zh-CN"/>
              </w:rPr>
              <w:t>营业收入</w:t>
            </w:r>
          </w:p>
        </w:tc>
      </w:tr>
      <w:tr w14:paraId="08355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4BB3784">
            <w:pPr>
              <w:jc w:val="center"/>
              <w:rPr>
                <w:rFonts w:ascii="宋体" w:hAnsi="宋体" w:cs="宋体"/>
                <w:color w:val="auto"/>
                <w:sz w:val="24"/>
                <w:highlight w:val="none"/>
              </w:rPr>
            </w:pPr>
          </w:p>
        </w:tc>
        <w:tc>
          <w:tcPr>
            <w:tcW w:w="860" w:type="dxa"/>
            <w:vMerge w:val="continue"/>
            <w:vAlign w:val="center"/>
          </w:tcPr>
          <w:p w14:paraId="131A9199">
            <w:pPr>
              <w:jc w:val="center"/>
              <w:rPr>
                <w:rFonts w:ascii="宋体" w:hAnsi="宋体" w:cs="宋体"/>
                <w:color w:val="auto"/>
                <w:sz w:val="24"/>
                <w:highlight w:val="none"/>
              </w:rPr>
            </w:pPr>
          </w:p>
        </w:tc>
        <w:tc>
          <w:tcPr>
            <w:tcW w:w="2157" w:type="dxa"/>
            <w:vMerge w:val="continue"/>
            <w:vAlign w:val="center"/>
          </w:tcPr>
          <w:p w14:paraId="10842AB0">
            <w:pPr>
              <w:rPr>
                <w:rFonts w:ascii="宋体" w:hAnsi="宋体" w:cs="宋体"/>
                <w:color w:val="auto"/>
                <w:sz w:val="24"/>
                <w:highlight w:val="none"/>
              </w:rPr>
            </w:pPr>
          </w:p>
        </w:tc>
        <w:tc>
          <w:tcPr>
            <w:tcW w:w="1215" w:type="dxa"/>
            <w:vAlign w:val="center"/>
          </w:tcPr>
          <w:p w14:paraId="7DD3A082">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668F5887">
            <w:pPr>
              <w:pStyle w:val="142"/>
              <w:spacing w:before="68"/>
              <w:ind w:left="15"/>
              <w:rPr>
                <w:color w:val="auto"/>
                <w:sz w:val="24"/>
                <w:highlight w:val="none"/>
                <w:lang w:eastAsia="zh-CN"/>
              </w:rPr>
            </w:pPr>
            <w:r>
              <w:rPr>
                <w:rFonts w:hint="eastAsia"/>
                <w:color w:val="auto"/>
                <w:sz w:val="24"/>
                <w:highlight w:val="none"/>
                <w:lang w:eastAsia="zh-CN"/>
              </w:rPr>
              <w:t>营业收入 50 万元及以上的</w:t>
            </w:r>
          </w:p>
        </w:tc>
        <w:tc>
          <w:tcPr>
            <w:tcW w:w="752" w:type="dxa"/>
            <w:vMerge w:val="continue"/>
            <w:vAlign w:val="center"/>
          </w:tcPr>
          <w:p w14:paraId="569A8583">
            <w:pPr>
              <w:jc w:val="center"/>
              <w:rPr>
                <w:rFonts w:ascii="宋体" w:hAnsi="宋体" w:cs="宋体"/>
                <w:color w:val="auto"/>
                <w:sz w:val="24"/>
                <w:highlight w:val="none"/>
                <w:lang w:bidi="en-US"/>
              </w:rPr>
            </w:pPr>
          </w:p>
        </w:tc>
      </w:tr>
      <w:tr w14:paraId="53FD3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BE5F198">
            <w:pPr>
              <w:jc w:val="center"/>
              <w:rPr>
                <w:rFonts w:ascii="宋体" w:hAnsi="宋体" w:cs="宋体"/>
                <w:color w:val="auto"/>
                <w:sz w:val="24"/>
                <w:highlight w:val="none"/>
              </w:rPr>
            </w:pPr>
          </w:p>
        </w:tc>
        <w:tc>
          <w:tcPr>
            <w:tcW w:w="860" w:type="dxa"/>
            <w:vMerge w:val="continue"/>
            <w:vAlign w:val="center"/>
          </w:tcPr>
          <w:p w14:paraId="650F58DD">
            <w:pPr>
              <w:jc w:val="center"/>
              <w:rPr>
                <w:rFonts w:ascii="宋体" w:hAnsi="宋体" w:cs="宋体"/>
                <w:color w:val="auto"/>
                <w:sz w:val="24"/>
                <w:highlight w:val="none"/>
              </w:rPr>
            </w:pPr>
          </w:p>
        </w:tc>
        <w:tc>
          <w:tcPr>
            <w:tcW w:w="2157" w:type="dxa"/>
            <w:vMerge w:val="continue"/>
            <w:vAlign w:val="center"/>
          </w:tcPr>
          <w:p w14:paraId="521914FB">
            <w:pPr>
              <w:rPr>
                <w:rFonts w:ascii="宋体" w:hAnsi="宋体" w:cs="宋体"/>
                <w:color w:val="auto"/>
                <w:sz w:val="24"/>
                <w:highlight w:val="none"/>
              </w:rPr>
            </w:pPr>
          </w:p>
        </w:tc>
        <w:tc>
          <w:tcPr>
            <w:tcW w:w="1215" w:type="dxa"/>
            <w:vAlign w:val="center"/>
          </w:tcPr>
          <w:p w14:paraId="230333F3">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5E4B4551">
            <w:pPr>
              <w:pStyle w:val="142"/>
              <w:spacing w:before="69"/>
              <w:ind w:left="15"/>
              <w:rPr>
                <w:color w:val="auto"/>
                <w:sz w:val="24"/>
                <w:highlight w:val="none"/>
              </w:rPr>
            </w:pPr>
            <w:r>
              <w:rPr>
                <w:rFonts w:hint="eastAsia"/>
                <w:color w:val="auto"/>
                <w:sz w:val="24"/>
                <w:highlight w:val="none"/>
              </w:rPr>
              <w:t>营业收入 50 万元以下的</w:t>
            </w:r>
          </w:p>
        </w:tc>
        <w:tc>
          <w:tcPr>
            <w:tcW w:w="752" w:type="dxa"/>
            <w:vMerge w:val="continue"/>
            <w:vAlign w:val="center"/>
          </w:tcPr>
          <w:p w14:paraId="00B1D7E7">
            <w:pPr>
              <w:jc w:val="center"/>
              <w:rPr>
                <w:rFonts w:ascii="宋体" w:hAnsi="宋体" w:cs="宋体"/>
                <w:color w:val="auto"/>
                <w:sz w:val="24"/>
                <w:highlight w:val="none"/>
                <w:lang w:bidi="en-US"/>
              </w:rPr>
            </w:pPr>
          </w:p>
        </w:tc>
      </w:tr>
      <w:tr w14:paraId="7BF59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59C591A9">
            <w:pPr>
              <w:pStyle w:val="142"/>
              <w:spacing w:before="6"/>
              <w:jc w:val="center"/>
              <w:rPr>
                <w:b/>
                <w:color w:val="auto"/>
                <w:sz w:val="24"/>
                <w:highlight w:val="none"/>
              </w:rPr>
            </w:pPr>
          </w:p>
          <w:p w14:paraId="674418D6">
            <w:pPr>
              <w:pStyle w:val="142"/>
              <w:ind w:left="8"/>
              <w:jc w:val="center"/>
              <w:rPr>
                <w:color w:val="auto"/>
                <w:sz w:val="24"/>
                <w:highlight w:val="none"/>
              </w:rPr>
            </w:pPr>
            <w:r>
              <w:rPr>
                <w:rFonts w:hint="eastAsia"/>
                <w:color w:val="auto"/>
                <w:w w:val="99"/>
                <w:sz w:val="24"/>
                <w:highlight w:val="none"/>
              </w:rPr>
              <w:t>2</w:t>
            </w:r>
          </w:p>
        </w:tc>
        <w:tc>
          <w:tcPr>
            <w:tcW w:w="860" w:type="dxa"/>
            <w:vMerge w:val="restart"/>
            <w:vAlign w:val="center"/>
          </w:tcPr>
          <w:p w14:paraId="481A23B3">
            <w:pPr>
              <w:pStyle w:val="142"/>
              <w:spacing w:before="11"/>
              <w:jc w:val="center"/>
              <w:rPr>
                <w:b/>
                <w:color w:val="auto"/>
                <w:sz w:val="24"/>
                <w:highlight w:val="none"/>
              </w:rPr>
            </w:pPr>
          </w:p>
          <w:p w14:paraId="13152762">
            <w:pPr>
              <w:pStyle w:val="142"/>
              <w:ind w:left="13"/>
              <w:jc w:val="center"/>
              <w:rPr>
                <w:color w:val="auto"/>
                <w:sz w:val="24"/>
                <w:highlight w:val="none"/>
              </w:rPr>
            </w:pPr>
            <w:r>
              <w:rPr>
                <w:rFonts w:hint="eastAsia"/>
                <w:color w:val="auto"/>
                <w:sz w:val="24"/>
                <w:highlight w:val="none"/>
              </w:rPr>
              <w:t>工业</w:t>
            </w:r>
          </w:p>
        </w:tc>
        <w:tc>
          <w:tcPr>
            <w:tcW w:w="2157" w:type="dxa"/>
            <w:vMerge w:val="restart"/>
            <w:vAlign w:val="center"/>
          </w:tcPr>
          <w:p w14:paraId="640DE55D">
            <w:pPr>
              <w:pStyle w:val="142"/>
              <w:spacing w:before="141"/>
              <w:ind w:left="15"/>
              <w:rPr>
                <w:color w:val="auto"/>
                <w:sz w:val="24"/>
                <w:highlight w:val="none"/>
                <w:lang w:eastAsia="zh-CN"/>
              </w:rPr>
            </w:pPr>
            <w:r>
              <w:rPr>
                <w:rFonts w:hint="eastAsia"/>
                <w:color w:val="auto"/>
                <w:spacing w:val="-9"/>
                <w:sz w:val="24"/>
                <w:highlight w:val="none"/>
                <w:lang w:eastAsia="zh-CN"/>
              </w:rPr>
              <w:t xml:space="preserve">从业人员 </w:t>
            </w:r>
            <w:r>
              <w:rPr>
                <w:rFonts w:hint="eastAsia"/>
                <w:color w:val="auto"/>
                <w:sz w:val="24"/>
                <w:highlight w:val="none"/>
                <w:lang w:eastAsia="zh-CN"/>
              </w:rPr>
              <w:t>1000</w:t>
            </w:r>
            <w:r>
              <w:rPr>
                <w:rFonts w:hint="eastAsia"/>
                <w:color w:val="auto"/>
                <w:spacing w:val="-8"/>
                <w:sz w:val="24"/>
                <w:highlight w:val="none"/>
                <w:lang w:eastAsia="zh-CN"/>
              </w:rPr>
              <w:t xml:space="preserve"> 人以下或</w:t>
            </w:r>
            <w:r>
              <w:rPr>
                <w:rFonts w:hint="eastAsia"/>
                <w:color w:val="auto"/>
                <w:sz w:val="24"/>
                <w:highlight w:val="none"/>
                <w:lang w:eastAsia="zh-CN"/>
              </w:rPr>
              <w:t>营业收入 40000 万元以下的为中小微型企业</w:t>
            </w:r>
          </w:p>
        </w:tc>
        <w:tc>
          <w:tcPr>
            <w:tcW w:w="1215" w:type="dxa"/>
            <w:vAlign w:val="center"/>
          </w:tcPr>
          <w:p w14:paraId="4A03598D">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4FBA1B43">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300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2000</w:t>
            </w:r>
            <w:r>
              <w:rPr>
                <w:rFonts w:hint="eastAsia"/>
                <w:color w:val="auto"/>
                <w:spacing w:val="-9"/>
                <w:sz w:val="24"/>
                <w:highlight w:val="none"/>
                <w:lang w:eastAsia="zh-CN"/>
              </w:rPr>
              <w:t xml:space="preserve"> 万元及以上的</w:t>
            </w:r>
          </w:p>
        </w:tc>
        <w:tc>
          <w:tcPr>
            <w:tcW w:w="752" w:type="dxa"/>
            <w:vMerge w:val="restart"/>
            <w:vAlign w:val="center"/>
          </w:tcPr>
          <w:p w14:paraId="08791B6A">
            <w:pPr>
              <w:pStyle w:val="142"/>
              <w:ind w:left="15"/>
              <w:rPr>
                <w:color w:val="auto"/>
                <w:sz w:val="24"/>
                <w:highlight w:val="none"/>
                <w:lang w:eastAsia="zh-CN"/>
              </w:rPr>
            </w:pPr>
            <w:r>
              <w:rPr>
                <w:rFonts w:hint="eastAsia"/>
                <w:color w:val="auto"/>
                <w:sz w:val="24"/>
                <w:highlight w:val="none"/>
                <w:lang w:eastAsia="zh-CN"/>
              </w:rPr>
              <w:t>从业人员营业收入</w:t>
            </w:r>
          </w:p>
        </w:tc>
      </w:tr>
      <w:tr w14:paraId="7922F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8702345">
            <w:pPr>
              <w:jc w:val="center"/>
              <w:rPr>
                <w:rFonts w:ascii="宋体" w:hAnsi="宋体" w:cs="宋体"/>
                <w:color w:val="auto"/>
                <w:sz w:val="24"/>
                <w:highlight w:val="none"/>
              </w:rPr>
            </w:pPr>
          </w:p>
        </w:tc>
        <w:tc>
          <w:tcPr>
            <w:tcW w:w="860" w:type="dxa"/>
            <w:vMerge w:val="continue"/>
            <w:vAlign w:val="center"/>
          </w:tcPr>
          <w:p w14:paraId="645612B7">
            <w:pPr>
              <w:jc w:val="center"/>
              <w:rPr>
                <w:rFonts w:ascii="宋体" w:hAnsi="宋体" w:cs="宋体"/>
                <w:color w:val="auto"/>
                <w:sz w:val="24"/>
                <w:highlight w:val="none"/>
              </w:rPr>
            </w:pPr>
          </w:p>
        </w:tc>
        <w:tc>
          <w:tcPr>
            <w:tcW w:w="2157" w:type="dxa"/>
            <w:vMerge w:val="continue"/>
            <w:vAlign w:val="center"/>
          </w:tcPr>
          <w:p w14:paraId="2DD139A6">
            <w:pPr>
              <w:rPr>
                <w:rFonts w:ascii="宋体" w:hAnsi="宋体" w:cs="宋体"/>
                <w:color w:val="auto"/>
                <w:sz w:val="24"/>
                <w:highlight w:val="none"/>
              </w:rPr>
            </w:pPr>
          </w:p>
        </w:tc>
        <w:tc>
          <w:tcPr>
            <w:tcW w:w="1215" w:type="dxa"/>
            <w:vAlign w:val="center"/>
          </w:tcPr>
          <w:p w14:paraId="69012888">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403646B5">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300</w:t>
            </w:r>
            <w:r>
              <w:rPr>
                <w:rFonts w:hint="eastAsia"/>
                <w:color w:val="auto"/>
                <w:spacing w:val="-9"/>
                <w:sz w:val="24"/>
                <w:highlight w:val="none"/>
                <w:lang w:eastAsia="zh-CN"/>
              </w:rPr>
              <w:t xml:space="preserve"> 万元及以上的</w:t>
            </w:r>
          </w:p>
        </w:tc>
        <w:tc>
          <w:tcPr>
            <w:tcW w:w="752" w:type="dxa"/>
            <w:vMerge w:val="continue"/>
            <w:vAlign w:val="center"/>
          </w:tcPr>
          <w:p w14:paraId="46F76B6E">
            <w:pPr>
              <w:jc w:val="center"/>
              <w:rPr>
                <w:rFonts w:ascii="宋体" w:hAnsi="宋体" w:cs="宋体"/>
                <w:color w:val="auto"/>
                <w:sz w:val="24"/>
                <w:highlight w:val="none"/>
                <w:lang w:bidi="en-US"/>
              </w:rPr>
            </w:pPr>
          </w:p>
        </w:tc>
      </w:tr>
      <w:tr w14:paraId="13DC6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5E77798F">
            <w:pPr>
              <w:jc w:val="center"/>
              <w:rPr>
                <w:rFonts w:ascii="宋体" w:hAnsi="宋体" w:cs="宋体"/>
                <w:color w:val="auto"/>
                <w:sz w:val="24"/>
                <w:highlight w:val="none"/>
              </w:rPr>
            </w:pPr>
          </w:p>
        </w:tc>
        <w:tc>
          <w:tcPr>
            <w:tcW w:w="860" w:type="dxa"/>
            <w:vMerge w:val="continue"/>
            <w:vAlign w:val="center"/>
          </w:tcPr>
          <w:p w14:paraId="284685A6">
            <w:pPr>
              <w:jc w:val="center"/>
              <w:rPr>
                <w:rFonts w:ascii="宋体" w:hAnsi="宋体" w:cs="宋体"/>
                <w:color w:val="auto"/>
                <w:sz w:val="24"/>
                <w:highlight w:val="none"/>
              </w:rPr>
            </w:pPr>
          </w:p>
        </w:tc>
        <w:tc>
          <w:tcPr>
            <w:tcW w:w="2157" w:type="dxa"/>
            <w:vMerge w:val="continue"/>
            <w:vAlign w:val="center"/>
          </w:tcPr>
          <w:p w14:paraId="1DF9D69F">
            <w:pPr>
              <w:rPr>
                <w:rFonts w:ascii="宋体" w:hAnsi="宋体" w:cs="宋体"/>
                <w:color w:val="auto"/>
                <w:sz w:val="24"/>
                <w:highlight w:val="none"/>
              </w:rPr>
            </w:pPr>
          </w:p>
        </w:tc>
        <w:tc>
          <w:tcPr>
            <w:tcW w:w="1215" w:type="dxa"/>
            <w:vAlign w:val="center"/>
          </w:tcPr>
          <w:p w14:paraId="5DC245AA">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18440E7D">
            <w:pPr>
              <w:pStyle w:val="142"/>
              <w:spacing w:before="68"/>
              <w:ind w:left="15"/>
              <w:rPr>
                <w:color w:val="auto"/>
                <w:sz w:val="24"/>
                <w:highlight w:val="none"/>
                <w:lang w:eastAsia="zh-CN"/>
              </w:rPr>
            </w:pPr>
            <w:r>
              <w:rPr>
                <w:rFonts w:hint="eastAsia"/>
                <w:color w:val="auto"/>
                <w:sz w:val="24"/>
                <w:highlight w:val="none"/>
                <w:lang w:eastAsia="zh-CN"/>
              </w:rPr>
              <w:t>从业人员 20 人以下或营业收入 300 万元以下的</w:t>
            </w:r>
          </w:p>
        </w:tc>
        <w:tc>
          <w:tcPr>
            <w:tcW w:w="752" w:type="dxa"/>
            <w:vMerge w:val="continue"/>
            <w:vAlign w:val="center"/>
          </w:tcPr>
          <w:p w14:paraId="4FC09894">
            <w:pPr>
              <w:jc w:val="center"/>
              <w:rPr>
                <w:rFonts w:ascii="宋体" w:hAnsi="宋体" w:cs="宋体"/>
                <w:color w:val="auto"/>
                <w:sz w:val="24"/>
                <w:highlight w:val="none"/>
                <w:lang w:bidi="en-US"/>
              </w:rPr>
            </w:pPr>
          </w:p>
        </w:tc>
      </w:tr>
      <w:tr w14:paraId="7FFA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524" w:type="dxa"/>
            <w:vMerge w:val="restart"/>
            <w:vAlign w:val="center"/>
          </w:tcPr>
          <w:p w14:paraId="360D4FDB">
            <w:pPr>
              <w:pStyle w:val="142"/>
              <w:jc w:val="center"/>
              <w:rPr>
                <w:b/>
                <w:color w:val="auto"/>
                <w:sz w:val="24"/>
                <w:highlight w:val="none"/>
                <w:lang w:eastAsia="zh-CN"/>
              </w:rPr>
            </w:pPr>
          </w:p>
          <w:p w14:paraId="2AA4825C">
            <w:pPr>
              <w:pStyle w:val="142"/>
              <w:spacing w:before="15"/>
              <w:jc w:val="center"/>
              <w:rPr>
                <w:b/>
                <w:color w:val="auto"/>
                <w:sz w:val="24"/>
                <w:highlight w:val="none"/>
                <w:lang w:eastAsia="zh-CN"/>
              </w:rPr>
            </w:pPr>
          </w:p>
          <w:p w14:paraId="12182D7B">
            <w:pPr>
              <w:pStyle w:val="142"/>
              <w:ind w:left="8"/>
              <w:jc w:val="center"/>
              <w:rPr>
                <w:color w:val="auto"/>
                <w:sz w:val="24"/>
                <w:highlight w:val="none"/>
              </w:rPr>
            </w:pPr>
            <w:r>
              <w:rPr>
                <w:rFonts w:hint="eastAsia"/>
                <w:color w:val="auto"/>
                <w:w w:val="99"/>
                <w:sz w:val="24"/>
                <w:highlight w:val="none"/>
              </w:rPr>
              <w:t>3</w:t>
            </w:r>
          </w:p>
        </w:tc>
        <w:tc>
          <w:tcPr>
            <w:tcW w:w="860" w:type="dxa"/>
            <w:vMerge w:val="restart"/>
            <w:vAlign w:val="center"/>
          </w:tcPr>
          <w:p w14:paraId="14A9F62C">
            <w:pPr>
              <w:pStyle w:val="142"/>
              <w:jc w:val="center"/>
              <w:rPr>
                <w:b/>
                <w:color w:val="auto"/>
                <w:sz w:val="24"/>
                <w:highlight w:val="none"/>
              </w:rPr>
            </w:pPr>
          </w:p>
          <w:p w14:paraId="7A326553">
            <w:pPr>
              <w:pStyle w:val="142"/>
              <w:spacing w:before="2"/>
              <w:jc w:val="center"/>
              <w:rPr>
                <w:b/>
                <w:color w:val="auto"/>
                <w:sz w:val="24"/>
                <w:highlight w:val="none"/>
              </w:rPr>
            </w:pPr>
          </w:p>
          <w:p w14:paraId="2ACFB99A">
            <w:pPr>
              <w:pStyle w:val="142"/>
              <w:ind w:left="13"/>
              <w:jc w:val="center"/>
              <w:rPr>
                <w:color w:val="auto"/>
                <w:sz w:val="24"/>
                <w:highlight w:val="none"/>
              </w:rPr>
            </w:pPr>
            <w:r>
              <w:rPr>
                <w:rFonts w:hint="eastAsia"/>
                <w:color w:val="auto"/>
                <w:sz w:val="24"/>
                <w:highlight w:val="none"/>
              </w:rPr>
              <w:t>建筑业</w:t>
            </w:r>
          </w:p>
        </w:tc>
        <w:tc>
          <w:tcPr>
            <w:tcW w:w="2157" w:type="dxa"/>
            <w:vMerge w:val="restart"/>
            <w:vAlign w:val="center"/>
          </w:tcPr>
          <w:p w14:paraId="0D78E1BA">
            <w:pPr>
              <w:pStyle w:val="142"/>
              <w:ind w:left="15"/>
              <w:rPr>
                <w:b/>
                <w:color w:val="auto"/>
                <w:sz w:val="24"/>
                <w:highlight w:val="none"/>
                <w:lang w:eastAsia="zh-CN"/>
              </w:rPr>
            </w:pPr>
          </w:p>
          <w:p w14:paraId="32E6583F">
            <w:pPr>
              <w:pStyle w:val="142"/>
              <w:ind w:left="15"/>
              <w:rPr>
                <w:color w:val="auto"/>
                <w:sz w:val="24"/>
                <w:highlight w:val="none"/>
                <w:lang w:eastAsia="zh-CN"/>
              </w:rPr>
            </w:pPr>
            <w:r>
              <w:rPr>
                <w:rFonts w:hint="eastAsia"/>
                <w:color w:val="auto"/>
                <w:sz w:val="24"/>
                <w:highlight w:val="none"/>
                <w:lang w:eastAsia="zh-CN"/>
              </w:rPr>
              <w:t>营业收入 80000 万元以下或资产总额 80000 万元以下的为中小微型企业</w:t>
            </w:r>
          </w:p>
        </w:tc>
        <w:tc>
          <w:tcPr>
            <w:tcW w:w="1215" w:type="dxa"/>
            <w:vAlign w:val="center"/>
          </w:tcPr>
          <w:p w14:paraId="39CC01F0">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542DD8B0">
            <w:pPr>
              <w:pStyle w:val="142"/>
              <w:spacing w:before="49"/>
              <w:ind w:left="15"/>
              <w:rPr>
                <w:color w:val="auto"/>
                <w:sz w:val="24"/>
                <w:highlight w:val="none"/>
                <w:lang w:eastAsia="zh-CN"/>
              </w:rPr>
            </w:pPr>
            <w:r>
              <w:rPr>
                <w:rFonts w:hint="eastAsia"/>
                <w:color w:val="auto"/>
                <w:spacing w:val="-9"/>
                <w:sz w:val="24"/>
                <w:highlight w:val="none"/>
                <w:lang w:eastAsia="zh-CN"/>
              </w:rPr>
              <w:t xml:space="preserve">营业收入 </w:t>
            </w:r>
            <w:r>
              <w:rPr>
                <w:rFonts w:hint="eastAsia"/>
                <w:color w:val="auto"/>
                <w:sz w:val="24"/>
                <w:highlight w:val="none"/>
                <w:lang w:eastAsia="zh-CN"/>
              </w:rPr>
              <w:t>6000</w:t>
            </w:r>
            <w:r>
              <w:rPr>
                <w:rFonts w:hint="eastAsia"/>
                <w:color w:val="auto"/>
                <w:spacing w:val="-6"/>
                <w:sz w:val="24"/>
                <w:highlight w:val="none"/>
                <w:lang w:eastAsia="zh-CN"/>
              </w:rPr>
              <w:t xml:space="preserve"> 万元及以上，且资产总额 </w:t>
            </w:r>
            <w:r>
              <w:rPr>
                <w:rFonts w:hint="eastAsia"/>
                <w:color w:val="auto"/>
                <w:sz w:val="24"/>
                <w:highlight w:val="none"/>
                <w:lang w:eastAsia="zh-CN"/>
              </w:rPr>
              <w:t>5000</w:t>
            </w:r>
            <w:r>
              <w:rPr>
                <w:rFonts w:hint="eastAsia"/>
                <w:color w:val="auto"/>
                <w:spacing w:val="-8"/>
                <w:sz w:val="24"/>
                <w:highlight w:val="none"/>
                <w:lang w:eastAsia="zh-CN"/>
              </w:rPr>
              <w:t xml:space="preserve"> 万元及以</w:t>
            </w:r>
          </w:p>
          <w:p w14:paraId="0112C751">
            <w:pPr>
              <w:pStyle w:val="142"/>
              <w:spacing w:before="56"/>
              <w:ind w:left="15"/>
              <w:rPr>
                <w:color w:val="auto"/>
                <w:sz w:val="24"/>
                <w:highlight w:val="none"/>
              </w:rPr>
            </w:pPr>
            <w:r>
              <w:rPr>
                <w:rFonts w:hint="eastAsia"/>
                <w:color w:val="auto"/>
                <w:sz w:val="24"/>
                <w:highlight w:val="none"/>
              </w:rPr>
              <w:t>上的</w:t>
            </w:r>
          </w:p>
        </w:tc>
        <w:tc>
          <w:tcPr>
            <w:tcW w:w="752" w:type="dxa"/>
            <w:vMerge w:val="restart"/>
            <w:vAlign w:val="center"/>
          </w:tcPr>
          <w:p w14:paraId="65F3382A">
            <w:pPr>
              <w:pStyle w:val="142"/>
              <w:ind w:left="15"/>
              <w:rPr>
                <w:color w:val="auto"/>
                <w:sz w:val="24"/>
                <w:highlight w:val="none"/>
                <w:lang w:eastAsia="zh-CN"/>
              </w:rPr>
            </w:pPr>
          </w:p>
          <w:p w14:paraId="65E8B363">
            <w:pPr>
              <w:pStyle w:val="142"/>
              <w:ind w:left="15"/>
              <w:rPr>
                <w:color w:val="auto"/>
                <w:sz w:val="24"/>
                <w:highlight w:val="none"/>
                <w:lang w:eastAsia="zh-CN"/>
              </w:rPr>
            </w:pPr>
            <w:r>
              <w:rPr>
                <w:rFonts w:hint="eastAsia"/>
                <w:color w:val="auto"/>
                <w:sz w:val="24"/>
                <w:highlight w:val="none"/>
                <w:lang w:eastAsia="zh-CN"/>
              </w:rPr>
              <w:t>营业收入资产总额</w:t>
            </w:r>
          </w:p>
        </w:tc>
      </w:tr>
      <w:tr w14:paraId="03BF8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4740B64">
            <w:pPr>
              <w:jc w:val="center"/>
              <w:rPr>
                <w:rFonts w:ascii="宋体" w:hAnsi="宋体" w:cs="宋体"/>
                <w:color w:val="auto"/>
                <w:sz w:val="24"/>
                <w:highlight w:val="none"/>
              </w:rPr>
            </w:pPr>
          </w:p>
        </w:tc>
        <w:tc>
          <w:tcPr>
            <w:tcW w:w="860" w:type="dxa"/>
            <w:vMerge w:val="continue"/>
            <w:vAlign w:val="center"/>
          </w:tcPr>
          <w:p w14:paraId="1C049A98">
            <w:pPr>
              <w:jc w:val="center"/>
              <w:rPr>
                <w:rFonts w:ascii="宋体" w:hAnsi="宋体" w:cs="宋体"/>
                <w:color w:val="auto"/>
                <w:sz w:val="24"/>
                <w:highlight w:val="none"/>
              </w:rPr>
            </w:pPr>
          </w:p>
        </w:tc>
        <w:tc>
          <w:tcPr>
            <w:tcW w:w="2157" w:type="dxa"/>
            <w:vMerge w:val="continue"/>
            <w:vAlign w:val="center"/>
          </w:tcPr>
          <w:p w14:paraId="6B2511CD">
            <w:pPr>
              <w:rPr>
                <w:rFonts w:ascii="宋体" w:hAnsi="宋体" w:cs="宋体"/>
                <w:color w:val="auto"/>
                <w:sz w:val="24"/>
                <w:highlight w:val="none"/>
              </w:rPr>
            </w:pPr>
          </w:p>
        </w:tc>
        <w:tc>
          <w:tcPr>
            <w:tcW w:w="1215" w:type="dxa"/>
            <w:vAlign w:val="center"/>
          </w:tcPr>
          <w:p w14:paraId="121A71C4">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2F0EF06A">
            <w:pPr>
              <w:pStyle w:val="142"/>
              <w:spacing w:before="45"/>
              <w:ind w:left="15"/>
              <w:rPr>
                <w:color w:val="auto"/>
                <w:sz w:val="24"/>
                <w:highlight w:val="none"/>
                <w:lang w:eastAsia="zh-CN"/>
              </w:rPr>
            </w:pPr>
            <w:r>
              <w:rPr>
                <w:rFonts w:hint="eastAsia"/>
                <w:color w:val="auto"/>
                <w:spacing w:val="-8"/>
                <w:sz w:val="24"/>
                <w:highlight w:val="none"/>
                <w:lang w:eastAsia="zh-CN"/>
              </w:rPr>
              <w:t xml:space="preserve">营业收入 </w:t>
            </w:r>
            <w:r>
              <w:rPr>
                <w:rFonts w:hint="eastAsia"/>
                <w:color w:val="auto"/>
                <w:sz w:val="24"/>
                <w:highlight w:val="none"/>
                <w:lang w:eastAsia="zh-CN"/>
              </w:rPr>
              <w:t>300</w:t>
            </w:r>
            <w:r>
              <w:rPr>
                <w:rFonts w:hint="eastAsia"/>
                <w:color w:val="auto"/>
                <w:spacing w:val="-7"/>
                <w:sz w:val="24"/>
                <w:highlight w:val="none"/>
                <w:lang w:eastAsia="zh-CN"/>
              </w:rPr>
              <w:t xml:space="preserve"> 万元及以上，且资产总额 </w:t>
            </w:r>
            <w:r>
              <w:rPr>
                <w:rFonts w:hint="eastAsia"/>
                <w:color w:val="auto"/>
                <w:sz w:val="24"/>
                <w:highlight w:val="none"/>
                <w:lang w:eastAsia="zh-CN"/>
              </w:rPr>
              <w:t>300</w:t>
            </w:r>
            <w:r>
              <w:rPr>
                <w:rFonts w:hint="eastAsia"/>
                <w:color w:val="auto"/>
                <w:spacing w:val="-8"/>
                <w:sz w:val="24"/>
                <w:highlight w:val="none"/>
                <w:lang w:eastAsia="zh-CN"/>
              </w:rPr>
              <w:t xml:space="preserve"> 万元及以上</w:t>
            </w:r>
          </w:p>
          <w:p w14:paraId="14CD0C43">
            <w:pPr>
              <w:pStyle w:val="142"/>
              <w:spacing w:before="55"/>
              <w:ind w:left="15"/>
              <w:rPr>
                <w:color w:val="auto"/>
                <w:sz w:val="24"/>
                <w:highlight w:val="none"/>
              </w:rPr>
            </w:pPr>
            <w:r>
              <w:rPr>
                <w:rFonts w:hint="eastAsia"/>
                <w:color w:val="auto"/>
                <w:w w:val="99"/>
                <w:sz w:val="24"/>
                <w:highlight w:val="none"/>
              </w:rPr>
              <w:t>的</w:t>
            </w:r>
          </w:p>
        </w:tc>
        <w:tc>
          <w:tcPr>
            <w:tcW w:w="752" w:type="dxa"/>
            <w:vMerge w:val="continue"/>
            <w:vAlign w:val="center"/>
          </w:tcPr>
          <w:p w14:paraId="34851087">
            <w:pPr>
              <w:jc w:val="center"/>
              <w:rPr>
                <w:rFonts w:ascii="宋体" w:hAnsi="宋体" w:cs="宋体"/>
                <w:color w:val="auto"/>
                <w:sz w:val="24"/>
                <w:highlight w:val="none"/>
                <w:lang w:bidi="en-US"/>
              </w:rPr>
            </w:pPr>
          </w:p>
        </w:tc>
      </w:tr>
      <w:tr w14:paraId="15C22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524" w:type="dxa"/>
            <w:vMerge w:val="continue"/>
            <w:vAlign w:val="center"/>
          </w:tcPr>
          <w:p w14:paraId="3B93C7B5">
            <w:pPr>
              <w:jc w:val="center"/>
              <w:rPr>
                <w:rFonts w:ascii="宋体" w:hAnsi="宋体" w:cs="宋体"/>
                <w:color w:val="auto"/>
                <w:sz w:val="24"/>
                <w:highlight w:val="none"/>
              </w:rPr>
            </w:pPr>
          </w:p>
        </w:tc>
        <w:tc>
          <w:tcPr>
            <w:tcW w:w="860" w:type="dxa"/>
            <w:vMerge w:val="continue"/>
            <w:vAlign w:val="center"/>
          </w:tcPr>
          <w:p w14:paraId="34B5740D">
            <w:pPr>
              <w:jc w:val="center"/>
              <w:rPr>
                <w:rFonts w:ascii="宋体" w:hAnsi="宋体" w:cs="宋体"/>
                <w:color w:val="auto"/>
                <w:sz w:val="24"/>
                <w:highlight w:val="none"/>
              </w:rPr>
            </w:pPr>
          </w:p>
        </w:tc>
        <w:tc>
          <w:tcPr>
            <w:tcW w:w="2157" w:type="dxa"/>
            <w:vMerge w:val="continue"/>
            <w:vAlign w:val="center"/>
          </w:tcPr>
          <w:p w14:paraId="6CFEEFF4">
            <w:pPr>
              <w:rPr>
                <w:rFonts w:ascii="宋体" w:hAnsi="宋体" w:cs="宋体"/>
                <w:color w:val="auto"/>
                <w:sz w:val="24"/>
                <w:highlight w:val="none"/>
              </w:rPr>
            </w:pPr>
          </w:p>
        </w:tc>
        <w:tc>
          <w:tcPr>
            <w:tcW w:w="1215" w:type="dxa"/>
            <w:vAlign w:val="center"/>
          </w:tcPr>
          <w:p w14:paraId="03DEC694">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773B583D">
            <w:pPr>
              <w:pStyle w:val="142"/>
              <w:spacing w:before="68"/>
              <w:ind w:left="15"/>
              <w:rPr>
                <w:color w:val="auto"/>
                <w:sz w:val="24"/>
                <w:highlight w:val="none"/>
                <w:lang w:eastAsia="zh-CN"/>
              </w:rPr>
            </w:pPr>
            <w:r>
              <w:rPr>
                <w:rFonts w:hint="eastAsia"/>
                <w:color w:val="auto"/>
                <w:sz w:val="24"/>
                <w:highlight w:val="none"/>
                <w:lang w:eastAsia="zh-CN"/>
              </w:rPr>
              <w:t>营业收入 300 万元以下或资产总额 300 万元以下的</w:t>
            </w:r>
          </w:p>
        </w:tc>
        <w:tc>
          <w:tcPr>
            <w:tcW w:w="752" w:type="dxa"/>
            <w:vMerge w:val="continue"/>
            <w:vAlign w:val="center"/>
          </w:tcPr>
          <w:p w14:paraId="172BEEAD">
            <w:pPr>
              <w:jc w:val="center"/>
              <w:rPr>
                <w:rFonts w:ascii="宋体" w:hAnsi="宋体" w:cs="宋体"/>
                <w:color w:val="auto"/>
                <w:sz w:val="24"/>
                <w:highlight w:val="none"/>
                <w:lang w:bidi="en-US"/>
              </w:rPr>
            </w:pPr>
          </w:p>
        </w:tc>
      </w:tr>
      <w:tr w14:paraId="0774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12E8ADF7">
            <w:pPr>
              <w:pStyle w:val="142"/>
              <w:spacing w:before="7"/>
              <w:jc w:val="center"/>
              <w:rPr>
                <w:b/>
                <w:color w:val="auto"/>
                <w:sz w:val="24"/>
                <w:highlight w:val="none"/>
                <w:lang w:eastAsia="zh-CN"/>
              </w:rPr>
            </w:pPr>
          </w:p>
          <w:p w14:paraId="6902AE8D">
            <w:pPr>
              <w:pStyle w:val="142"/>
              <w:ind w:left="8"/>
              <w:jc w:val="center"/>
              <w:rPr>
                <w:color w:val="auto"/>
                <w:sz w:val="24"/>
                <w:highlight w:val="none"/>
              </w:rPr>
            </w:pPr>
            <w:r>
              <w:rPr>
                <w:rFonts w:hint="eastAsia"/>
                <w:color w:val="auto"/>
                <w:w w:val="99"/>
                <w:sz w:val="24"/>
                <w:highlight w:val="none"/>
              </w:rPr>
              <w:t>4</w:t>
            </w:r>
          </w:p>
        </w:tc>
        <w:tc>
          <w:tcPr>
            <w:tcW w:w="860" w:type="dxa"/>
            <w:vMerge w:val="restart"/>
            <w:vAlign w:val="center"/>
          </w:tcPr>
          <w:p w14:paraId="59C18389">
            <w:pPr>
              <w:pStyle w:val="142"/>
              <w:spacing w:before="12"/>
              <w:jc w:val="center"/>
              <w:rPr>
                <w:b/>
                <w:color w:val="auto"/>
                <w:sz w:val="24"/>
                <w:highlight w:val="none"/>
              </w:rPr>
            </w:pPr>
          </w:p>
          <w:p w14:paraId="350352D1">
            <w:pPr>
              <w:pStyle w:val="142"/>
              <w:ind w:left="13"/>
              <w:jc w:val="center"/>
              <w:rPr>
                <w:color w:val="auto"/>
                <w:sz w:val="24"/>
                <w:highlight w:val="none"/>
              </w:rPr>
            </w:pPr>
            <w:r>
              <w:rPr>
                <w:rFonts w:hint="eastAsia"/>
                <w:color w:val="auto"/>
                <w:sz w:val="24"/>
                <w:highlight w:val="none"/>
              </w:rPr>
              <w:t>批发业</w:t>
            </w:r>
          </w:p>
        </w:tc>
        <w:tc>
          <w:tcPr>
            <w:tcW w:w="2157" w:type="dxa"/>
            <w:vMerge w:val="restart"/>
            <w:vAlign w:val="center"/>
          </w:tcPr>
          <w:p w14:paraId="76B44A76">
            <w:pPr>
              <w:pStyle w:val="142"/>
              <w:spacing w:before="142"/>
              <w:ind w:left="15"/>
              <w:rPr>
                <w:color w:val="auto"/>
                <w:sz w:val="24"/>
                <w:highlight w:val="none"/>
                <w:lang w:eastAsia="zh-CN"/>
              </w:rPr>
            </w:pPr>
            <w:r>
              <w:rPr>
                <w:rFonts w:hint="eastAsia"/>
                <w:color w:val="auto"/>
                <w:sz w:val="24"/>
                <w:highlight w:val="none"/>
                <w:lang w:eastAsia="zh-CN"/>
              </w:rPr>
              <w:t>从业人员 200 人以下或营业收入 40000 万元以下的为中小微型企业</w:t>
            </w:r>
          </w:p>
        </w:tc>
        <w:tc>
          <w:tcPr>
            <w:tcW w:w="1215" w:type="dxa"/>
            <w:vAlign w:val="center"/>
          </w:tcPr>
          <w:p w14:paraId="3EC429E3">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0ECE6ED1">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5000</w:t>
            </w:r>
            <w:r>
              <w:rPr>
                <w:rFonts w:hint="eastAsia"/>
                <w:color w:val="auto"/>
                <w:spacing w:val="-9"/>
                <w:sz w:val="24"/>
                <w:highlight w:val="none"/>
                <w:lang w:eastAsia="zh-CN"/>
              </w:rPr>
              <w:t xml:space="preserve"> 万元及以上的</w:t>
            </w:r>
          </w:p>
        </w:tc>
        <w:tc>
          <w:tcPr>
            <w:tcW w:w="752" w:type="dxa"/>
            <w:vMerge w:val="restart"/>
            <w:vAlign w:val="center"/>
          </w:tcPr>
          <w:p w14:paraId="4F7EE558">
            <w:pPr>
              <w:pStyle w:val="142"/>
              <w:ind w:left="15"/>
              <w:rPr>
                <w:color w:val="auto"/>
                <w:sz w:val="24"/>
                <w:highlight w:val="none"/>
                <w:lang w:eastAsia="zh-CN"/>
              </w:rPr>
            </w:pPr>
            <w:r>
              <w:rPr>
                <w:rFonts w:hint="eastAsia"/>
                <w:color w:val="auto"/>
                <w:sz w:val="24"/>
                <w:highlight w:val="none"/>
                <w:lang w:eastAsia="zh-CN"/>
              </w:rPr>
              <w:t>从业人员营业收入</w:t>
            </w:r>
          </w:p>
        </w:tc>
      </w:tr>
      <w:tr w14:paraId="39C70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DD1BFEC">
            <w:pPr>
              <w:jc w:val="center"/>
              <w:rPr>
                <w:rFonts w:ascii="宋体" w:hAnsi="宋体" w:cs="宋体"/>
                <w:color w:val="auto"/>
                <w:sz w:val="24"/>
                <w:highlight w:val="none"/>
              </w:rPr>
            </w:pPr>
          </w:p>
        </w:tc>
        <w:tc>
          <w:tcPr>
            <w:tcW w:w="860" w:type="dxa"/>
            <w:vMerge w:val="continue"/>
            <w:vAlign w:val="center"/>
          </w:tcPr>
          <w:p w14:paraId="7254ED15">
            <w:pPr>
              <w:jc w:val="center"/>
              <w:rPr>
                <w:rFonts w:ascii="宋体" w:hAnsi="宋体" w:cs="宋体"/>
                <w:color w:val="auto"/>
                <w:sz w:val="24"/>
                <w:highlight w:val="none"/>
              </w:rPr>
            </w:pPr>
          </w:p>
        </w:tc>
        <w:tc>
          <w:tcPr>
            <w:tcW w:w="2157" w:type="dxa"/>
            <w:vMerge w:val="continue"/>
            <w:vAlign w:val="center"/>
          </w:tcPr>
          <w:p w14:paraId="601B8BDF">
            <w:pPr>
              <w:rPr>
                <w:rFonts w:ascii="宋体" w:hAnsi="宋体" w:cs="宋体"/>
                <w:color w:val="auto"/>
                <w:sz w:val="24"/>
                <w:highlight w:val="none"/>
              </w:rPr>
            </w:pPr>
          </w:p>
        </w:tc>
        <w:tc>
          <w:tcPr>
            <w:tcW w:w="1215" w:type="dxa"/>
            <w:vAlign w:val="center"/>
          </w:tcPr>
          <w:p w14:paraId="7209F01E">
            <w:pPr>
              <w:pStyle w:val="142"/>
              <w:spacing w:before="69"/>
              <w:ind w:left="13"/>
              <w:jc w:val="center"/>
              <w:rPr>
                <w:color w:val="auto"/>
                <w:sz w:val="24"/>
                <w:highlight w:val="none"/>
              </w:rPr>
            </w:pPr>
            <w:r>
              <w:rPr>
                <w:rFonts w:hint="eastAsia"/>
                <w:color w:val="auto"/>
                <w:sz w:val="24"/>
                <w:highlight w:val="none"/>
              </w:rPr>
              <w:t>小型企业</w:t>
            </w:r>
          </w:p>
        </w:tc>
        <w:tc>
          <w:tcPr>
            <w:tcW w:w="4056" w:type="dxa"/>
            <w:vAlign w:val="center"/>
          </w:tcPr>
          <w:p w14:paraId="6E10E75A">
            <w:pPr>
              <w:pStyle w:val="142"/>
              <w:spacing w:before="69"/>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5</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1000</w:t>
            </w:r>
            <w:r>
              <w:rPr>
                <w:rFonts w:hint="eastAsia"/>
                <w:color w:val="auto"/>
                <w:spacing w:val="-9"/>
                <w:sz w:val="24"/>
                <w:highlight w:val="none"/>
                <w:lang w:eastAsia="zh-CN"/>
              </w:rPr>
              <w:t xml:space="preserve"> 万元及以上的</w:t>
            </w:r>
          </w:p>
        </w:tc>
        <w:tc>
          <w:tcPr>
            <w:tcW w:w="752" w:type="dxa"/>
            <w:vMerge w:val="continue"/>
            <w:vAlign w:val="center"/>
          </w:tcPr>
          <w:p w14:paraId="6D6D7992">
            <w:pPr>
              <w:jc w:val="center"/>
              <w:rPr>
                <w:rFonts w:ascii="宋体" w:hAnsi="宋体" w:cs="宋体"/>
                <w:color w:val="auto"/>
                <w:sz w:val="24"/>
                <w:highlight w:val="none"/>
                <w:lang w:bidi="en-US"/>
              </w:rPr>
            </w:pPr>
          </w:p>
        </w:tc>
      </w:tr>
      <w:tr w14:paraId="3404B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5C18FBFE">
            <w:pPr>
              <w:jc w:val="center"/>
              <w:rPr>
                <w:rFonts w:ascii="宋体" w:hAnsi="宋体" w:cs="宋体"/>
                <w:color w:val="auto"/>
                <w:sz w:val="24"/>
                <w:highlight w:val="none"/>
              </w:rPr>
            </w:pPr>
          </w:p>
        </w:tc>
        <w:tc>
          <w:tcPr>
            <w:tcW w:w="860" w:type="dxa"/>
            <w:vMerge w:val="continue"/>
            <w:vAlign w:val="center"/>
          </w:tcPr>
          <w:p w14:paraId="523A998B">
            <w:pPr>
              <w:jc w:val="center"/>
              <w:rPr>
                <w:rFonts w:ascii="宋体" w:hAnsi="宋体" w:cs="宋体"/>
                <w:color w:val="auto"/>
                <w:sz w:val="24"/>
                <w:highlight w:val="none"/>
              </w:rPr>
            </w:pPr>
          </w:p>
        </w:tc>
        <w:tc>
          <w:tcPr>
            <w:tcW w:w="2157" w:type="dxa"/>
            <w:vMerge w:val="continue"/>
            <w:vAlign w:val="center"/>
          </w:tcPr>
          <w:p w14:paraId="347F3CAB">
            <w:pPr>
              <w:rPr>
                <w:rFonts w:ascii="宋体" w:hAnsi="宋体" w:cs="宋体"/>
                <w:color w:val="auto"/>
                <w:sz w:val="24"/>
                <w:highlight w:val="none"/>
              </w:rPr>
            </w:pPr>
          </w:p>
        </w:tc>
        <w:tc>
          <w:tcPr>
            <w:tcW w:w="1215" w:type="dxa"/>
            <w:vAlign w:val="center"/>
          </w:tcPr>
          <w:p w14:paraId="32DF3E9A">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1D3159B0">
            <w:pPr>
              <w:pStyle w:val="142"/>
              <w:spacing w:before="69"/>
              <w:ind w:left="15"/>
              <w:rPr>
                <w:color w:val="auto"/>
                <w:sz w:val="24"/>
                <w:highlight w:val="none"/>
                <w:lang w:eastAsia="zh-CN"/>
              </w:rPr>
            </w:pPr>
            <w:r>
              <w:rPr>
                <w:rFonts w:hint="eastAsia"/>
                <w:color w:val="auto"/>
                <w:sz w:val="24"/>
                <w:highlight w:val="none"/>
                <w:lang w:eastAsia="zh-CN"/>
              </w:rPr>
              <w:t>从业人员 5 人以下或营业收入 1000 万元以下的</w:t>
            </w:r>
          </w:p>
        </w:tc>
        <w:tc>
          <w:tcPr>
            <w:tcW w:w="752" w:type="dxa"/>
            <w:vMerge w:val="continue"/>
            <w:vAlign w:val="center"/>
          </w:tcPr>
          <w:p w14:paraId="5C607C40">
            <w:pPr>
              <w:jc w:val="center"/>
              <w:rPr>
                <w:rFonts w:ascii="宋体" w:hAnsi="宋体" w:cs="宋体"/>
                <w:color w:val="auto"/>
                <w:sz w:val="24"/>
                <w:highlight w:val="none"/>
                <w:lang w:bidi="en-US"/>
              </w:rPr>
            </w:pPr>
          </w:p>
        </w:tc>
      </w:tr>
      <w:tr w14:paraId="1898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66CCB616">
            <w:pPr>
              <w:pStyle w:val="142"/>
              <w:spacing w:before="6"/>
              <w:jc w:val="center"/>
              <w:rPr>
                <w:b/>
                <w:color w:val="auto"/>
                <w:sz w:val="24"/>
                <w:highlight w:val="none"/>
                <w:lang w:eastAsia="zh-CN"/>
              </w:rPr>
            </w:pPr>
          </w:p>
          <w:p w14:paraId="5D28B424">
            <w:pPr>
              <w:pStyle w:val="142"/>
              <w:ind w:left="8"/>
              <w:jc w:val="center"/>
              <w:rPr>
                <w:color w:val="auto"/>
                <w:sz w:val="24"/>
                <w:highlight w:val="none"/>
              </w:rPr>
            </w:pPr>
            <w:r>
              <w:rPr>
                <w:rFonts w:hint="eastAsia"/>
                <w:color w:val="auto"/>
                <w:w w:val="99"/>
                <w:sz w:val="24"/>
                <w:highlight w:val="none"/>
              </w:rPr>
              <w:t>5</w:t>
            </w:r>
          </w:p>
        </w:tc>
        <w:tc>
          <w:tcPr>
            <w:tcW w:w="860" w:type="dxa"/>
            <w:vMerge w:val="restart"/>
            <w:vAlign w:val="center"/>
          </w:tcPr>
          <w:p w14:paraId="68AF4BB9">
            <w:pPr>
              <w:pStyle w:val="142"/>
              <w:spacing w:before="11"/>
              <w:jc w:val="center"/>
              <w:rPr>
                <w:b/>
                <w:color w:val="auto"/>
                <w:sz w:val="24"/>
                <w:highlight w:val="none"/>
              </w:rPr>
            </w:pPr>
          </w:p>
          <w:p w14:paraId="0188FFAC">
            <w:pPr>
              <w:pStyle w:val="142"/>
              <w:ind w:left="13"/>
              <w:jc w:val="center"/>
              <w:rPr>
                <w:color w:val="auto"/>
                <w:sz w:val="24"/>
                <w:highlight w:val="none"/>
              </w:rPr>
            </w:pPr>
            <w:r>
              <w:rPr>
                <w:rFonts w:hint="eastAsia"/>
                <w:color w:val="auto"/>
                <w:sz w:val="24"/>
                <w:highlight w:val="none"/>
              </w:rPr>
              <w:t>零售业</w:t>
            </w:r>
          </w:p>
        </w:tc>
        <w:tc>
          <w:tcPr>
            <w:tcW w:w="2157" w:type="dxa"/>
            <w:vMerge w:val="restart"/>
            <w:vAlign w:val="center"/>
          </w:tcPr>
          <w:p w14:paraId="280CE1B6">
            <w:pPr>
              <w:pStyle w:val="142"/>
              <w:spacing w:before="141"/>
              <w:ind w:left="15"/>
              <w:rPr>
                <w:color w:val="auto"/>
                <w:sz w:val="24"/>
                <w:highlight w:val="none"/>
                <w:lang w:eastAsia="zh-CN"/>
              </w:rPr>
            </w:pPr>
            <w:r>
              <w:rPr>
                <w:rFonts w:hint="eastAsia"/>
                <w:color w:val="auto"/>
                <w:sz w:val="24"/>
                <w:highlight w:val="none"/>
                <w:lang w:eastAsia="zh-CN"/>
              </w:rPr>
              <w:t>从业人员 300 人以下或营业收入 20000 万元以下的为中小微型企业</w:t>
            </w:r>
          </w:p>
        </w:tc>
        <w:tc>
          <w:tcPr>
            <w:tcW w:w="1215" w:type="dxa"/>
            <w:vAlign w:val="center"/>
          </w:tcPr>
          <w:p w14:paraId="2DAA6C27">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7E4C685B">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50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500</w:t>
            </w:r>
            <w:r>
              <w:rPr>
                <w:rFonts w:hint="eastAsia"/>
                <w:color w:val="auto"/>
                <w:spacing w:val="-9"/>
                <w:sz w:val="24"/>
                <w:highlight w:val="none"/>
                <w:lang w:eastAsia="zh-CN"/>
              </w:rPr>
              <w:t xml:space="preserve"> 万元及以上的</w:t>
            </w:r>
          </w:p>
        </w:tc>
        <w:tc>
          <w:tcPr>
            <w:tcW w:w="752" w:type="dxa"/>
            <w:vMerge w:val="restart"/>
            <w:vAlign w:val="center"/>
          </w:tcPr>
          <w:p w14:paraId="165773D5">
            <w:pPr>
              <w:pStyle w:val="142"/>
              <w:ind w:left="15"/>
              <w:rPr>
                <w:color w:val="auto"/>
                <w:sz w:val="24"/>
                <w:highlight w:val="none"/>
                <w:lang w:eastAsia="zh-CN"/>
              </w:rPr>
            </w:pPr>
            <w:r>
              <w:rPr>
                <w:rFonts w:hint="eastAsia"/>
                <w:color w:val="auto"/>
                <w:sz w:val="24"/>
                <w:highlight w:val="none"/>
                <w:lang w:eastAsia="zh-CN"/>
              </w:rPr>
              <w:t>从业人员营业收入</w:t>
            </w:r>
          </w:p>
        </w:tc>
      </w:tr>
      <w:tr w14:paraId="037A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F75918E">
            <w:pPr>
              <w:jc w:val="center"/>
              <w:rPr>
                <w:rFonts w:ascii="宋体" w:hAnsi="宋体" w:cs="宋体"/>
                <w:color w:val="auto"/>
                <w:sz w:val="24"/>
                <w:highlight w:val="none"/>
              </w:rPr>
            </w:pPr>
          </w:p>
        </w:tc>
        <w:tc>
          <w:tcPr>
            <w:tcW w:w="860" w:type="dxa"/>
            <w:vMerge w:val="continue"/>
            <w:vAlign w:val="center"/>
          </w:tcPr>
          <w:p w14:paraId="469B0747">
            <w:pPr>
              <w:jc w:val="center"/>
              <w:rPr>
                <w:rFonts w:ascii="宋体" w:hAnsi="宋体" w:cs="宋体"/>
                <w:color w:val="auto"/>
                <w:sz w:val="24"/>
                <w:highlight w:val="none"/>
              </w:rPr>
            </w:pPr>
          </w:p>
        </w:tc>
        <w:tc>
          <w:tcPr>
            <w:tcW w:w="2157" w:type="dxa"/>
            <w:vMerge w:val="continue"/>
            <w:vAlign w:val="center"/>
          </w:tcPr>
          <w:p w14:paraId="29B8FFDF">
            <w:pPr>
              <w:rPr>
                <w:rFonts w:ascii="宋体" w:hAnsi="宋体" w:cs="宋体"/>
                <w:color w:val="auto"/>
                <w:sz w:val="24"/>
                <w:highlight w:val="none"/>
              </w:rPr>
            </w:pPr>
          </w:p>
        </w:tc>
        <w:tc>
          <w:tcPr>
            <w:tcW w:w="1215" w:type="dxa"/>
            <w:vAlign w:val="center"/>
          </w:tcPr>
          <w:p w14:paraId="7DCA34CB">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21CB7652">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04AA2C26">
            <w:pPr>
              <w:jc w:val="center"/>
              <w:rPr>
                <w:rFonts w:ascii="宋体" w:hAnsi="宋体" w:cs="宋体"/>
                <w:color w:val="auto"/>
                <w:sz w:val="24"/>
                <w:highlight w:val="none"/>
                <w:lang w:bidi="en-US"/>
              </w:rPr>
            </w:pPr>
          </w:p>
        </w:tc>
      </w:tr>
      <w:tr w14:paraId="72E3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524" w:type="dxa"/>
            <w:vMerge w:val="continue"/>
            <w:vAlign w:val="center"/>
          </w:tcPr>
          <w:p w14:paraId="79C6DA3E">
            <w:pPr>
              <w:jc w:val="center"/>
              <w:rPr>
                <w:rFonts w:ascii="宋体" w:hAnsi="宋体" w:cs="宋体"/>
                <w:color w:val="auto"/>
                <w:sz w:val="24"/>
                <w:highlight w:val="none"/>
              </w:rPr>
            </w:pPr>
          </w:p>
        </w:tc>
        <w:tc>
          <w:tcPr>
            <w:tcW w:w="860" w:type="dxa"/>
            <w:vMerge w:val="continue"/>
            <w:vAlign w:val="center"/>
          </w:tcPr>
          <w:p w14:paraId="72E040E1">
            <w:pPr>
              <w:jc w:val="center"/>
              <w:rPr>
                <w:rFonts w:ascii="宋体" w:hAnsi="宋体" w:cs="宋体"/>
                <w:color w:val="auto"/>
                <w:sz w:val="24"/>
                <w:highlight w:val="none"/>
              </w:rPr>
            </w:pPr>
          </w:p>
        </w:tc>
        <w:tc>
          <w:tcPr>
            <w:tcW w:w="2157" w:type="dxa"/>
            <w:vMerge w:val="continue"/>
            <w:vAlign w:val="center"/>
          </w:tcPr>
          <w:p w14:paraId="7F2660BE">
            <w:pPr>
              <w:rPr>
                <w:rFonts w:ascii="宋体" w:hAnsi="宋体" w:cs="宋体"/>
                <w:color w:val="auto"/>
                <w:sz w:val="24"/>
                <w:highlight w:val="none"/>
              </w:rPr>
            </w:pPr>
          </w:p>
        </w:tc>
        <w:tc>
          <w:tcPr>
            <w:tcW w:w="1215" w:type="dxa"/>
            <w:vAlign w:val="center"/>
          </w:tcPr>
          <w:p w14:paraId="299FF354">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533A2A80">
            <w:pPr>
              <w:pStyle w:val="142"/>
              <w:spacing w:before="68"/>
              <w:ind w:left="15"/>
              <w:rPr>
                <w:color w:val="auto"/>
                <w:sz w:val="24"/>
                <w:highlight w:val="none"/>
                <w:lang w:eastAsia="zh-CN"/>
              </w:rPr>
            </w:pPr>
            <w:r>
              <w:rPr>
                <w:rFonts w:hint="eastAsia"/>
                <w:color w:val="auto"/>
                <w:sz w:val="24"/>
                <w:highlight w:val="none"/>
                <w:lang w:eastAsia="zh-CN"/>
              </w:rPr>
              <w:t>从业人员 10 人以下或营业收入 100 万元以下的</w:t>
            </w:r>
          </w:p>
        </w:tc>
        <w:tc>
          <w:tcPr>
            <w:tcW w:w="752" w:type="dxa"/>
            <w:vMerge w:val="continue"/>
            <w:vAlign w:val="center"/>
          </w:tcPr>
          <w:p w14:paraId="7B2F3E68">
            <w:pPr>
              <w:jc w:val="center"/>
              <w:rPr>
                <w:rFonts w:ascii="宋体" w:hAnsi="宋体" w:cs="宋体"/>
                <w:color w:val="auto"/>
                <w:sz w:val="24"/>
                <w:highlight w:val="none"/>
                <w:lang w:bidi="en-US"/>
              </w:rPr>
            </w:pPr>
          </w:p>
        </w:tc>
      </w:tr>
      <w:tr w14:paraId="66466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75F13D0F">
            <w:pPr>
              <w:pStyle w:val="142"/>
              <w:spacing w:before="7"/>
              <w:jc w:val="center"/>
              <w:rPr>
                <w:b/>
                <w:color w:val="auto"/>
                <w:sz w:val="24"/>
                <w:highlight w:val="none"/>
                <w:lang w:eastAsia="zh-CN"/>
              </w:rPr>
            </w:pPr>
          </w:p>
          <w:p w14:paraId="06FCC55A">
            <w:pPr>
              <w:pStyle w:val="142"/>
              <w:ind w:left="8"/>
              <w:jc w:val="center"/>
              <w:rPr>
                <w:color w:val="auto"/>
                <w:sz w:val="24"/>
                <w:highlight w:val="none"/>
              </w:rPr>
            </w:pPr>
            <w:r>
              <w:rPr>
                <w:rFonts w:hint="eastAsia"/>
                <w:color w:val="auto"/>
                <w:w w:val="99"/>
                <w:sz w:val="24"/>
                <w:highlight w:val="none"/>
              </w:rPr>
              <w:t>6</w:t>
            </w:r>
          </w:p>
        </w:tc>
        <w:tc>
          <w:tcPr>
            <w:tcW w:w="860" w:type="dxa"/>
            <w:vMerge w:val="restart"/>
            <w:vAlign w:val="center"/>
          </w:tcPr>
          <w:p w14:paraId="72A1250F">
            <w:pPr>
              <w:pStyle w:val="142"/>
              <w:spacing w:before="3"/>
              <w:jc w:val="center"/>
              <w:rPr>
                <w:b/>
                <w:color w:val="auto"/>
                <w:sz w:val="24"/>
                <w:highlight w:val="none"/>
              </w:rPr>
            </w:pPr>
          </w:p>
          <w:p w14:paraId="1209972B">
            <w:pPr>
              <w:pStyle w:val="142"/>
              <w:spacing w:before="1" w:line="292" w:lineRule="auto"/>
              <w:ind w:left="13" w:right="6"/>
              <w:jc w:val="center"/>
              <w:rPr>
                <w:color w:val="auto"/>
                <w:sz w:val="24"/>
                <w:highlight w:val="none"/>
              </w:rPr>
            </w:pPr>
            <w:r>
              <w:rPr>
                <w:rFonts w:hint="eastAsia"/>
                <w:color w:val="auto"/>
                <w:sz w:val="24"/>
                <w:highlight w:val="none"/>
              </w:rPr>
              <w:t>交通运输业</w:t>
            </w:r>
          </w:p>
        </w:tc>
        <w:tc>
          <w:tcPr>
            <w:tcW w:w="2157" w:type="dxa"/>
            <w:vMerge w:val="restart"/>
            <w:vAlign w:val="center"/>
          </w:tcPr>
          <w:p w14:paraId="3D7F9E09">
            <w:pPr>
              <w:pStyle w:val="142"/>
              <w:spacing w:before="142"/>
              <w:ind w:left="15"/>
              <w:rPr>
                <w:color w:val="auto"/>
                <w:sz w:val="24"/>
                <w:highlight w:val="none"/>
                <w:lang w:eastAsia="zh-CN"/>
              </w:rPr>
            </w:pPr>
            <w:r>
              <w:rPr>
                <w:rFonts w:hint="eastAsia"/>
                <w:color w:val="auto"/>
                <w:spacing w:val="-9"/>
                <w:sz w:val="24"/>
                <w:highlight w:val="none"/>
                <w:lang w:eastAsia="zh-CN"/>
              </w:rPr>
              <w:t xml:space="preserve">从业人员 </w:t>
            </w:r>
            <w:r>
              <w:rPr>
                <w:rFonts w:hint="eastAsia"/>
                <w:color w:val="auto"/>
                <w:sz w:val="24"/>
                <w:highlight w:val="none"/>
                <w:lang w:eastAsia="zh-CN"/>
              </w:rPr>
              <w:t>1000</w:t>
            </w:r>
            <w:r>
              <w:rPr>
                <w:rFonts w:hint="eastAsia"/>
                <w:color w:val="auto"/>
                <w:spacing w:val="-8"/>
                <w:sz w:val="24"/>
                <w:highlight w:val="none"/>
                <w:lang w:eastAsia="zh-CN"/>
              </w:rPr>
              <w:t xml:space="preserve"> 人以下或</w:t>
            </w:r>
            <w:r>
              <w:rPr>
                <w:rFonts w:hint="eastAsia"/>
                <w:color w:val="auto"/>
                <w:sz w:val="24"/>
                <w:highlight w:val="none"/>
                <w:lang w:eastAsia="zh-CN"/>
              </w:rPr>
              <w:t>营业收入 30000 万元以下的为中小微型企业</w:t>
            </w:r>
          </w:p>
        </w:tc>
        <w:tc>
          <w:tcPr>
            <w:tcW w:w="1215" w:type="dxa"/>
            <w:vAlign w:val="center"/>
          </w:tcPr>
          <w:p w14:paraId="2679789F">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795D3AFF">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300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3000</w:t>
            </w:r>
            <w:r>
              <w:rPr>
                <w:rFonts w:hint="eastAsia"/>
                <w:color w:val="auto"/>
                <w:spacing w:val="-9"/>
                <w:sz w:val="24"/>
                <w:highlight w:val="none"/>
                <w:lang w:eastAsia="zh-CN"/>
              </w:rPr>
              <w:t xml:space="preserve"> 万元及以上的</w:t>
            </w:r>
          </w:p>
        </w:tc>
        <w:tc>
          <w:tcPr>
            <w:tcW w:w="752" w:type="dxa"/>
            <w:vMerge w:val="restart"/>
            <w:vAlign w:val="center"/>
          </w:tcPr>
          <w:p w14:paraId="6CFD7A94">
            <w:pPr>
              <w:pStyle w:val="142"/>
              <w:ind w:left="15"/>
              <w:rPr>
                <w:color w:val="auto"/>
                <w:sz w:val="24"/>
                <w:highlight w:val="none"/>
                <w:lang w:eastAsia="zh-CN"/>
              </w:rPr>
            </w:pPr>
            <w:r>
              <w:rPr>
                <w:rFonts w:hint="eastAsia"/>
                <w:color w:val="auto"/>
                <w:sz w:val="24"/>
                <w:highlight w:val="none"/>
                <w:lang w:eastAsia="zh-CN"/>
              </w:rPr>
              <w:t>从业人员营业收入</w:t>
            </w:r>
          </w:p>
        </w:tc>
      </w:tr>
      <w:tr w14:paraId="7C9C3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8522D32">
            <w:pPr>
              <w:jc w:val="center"/>
              <w:rPr>
                <w:rFonts w:ascii="宋体" w:hAnsi="宋体" w:cs="宋体"/>
                <w:color w:val="auto"/>
                <w:sz w:val="24"/>
                <w:highlight w:val="none"/>
              </w:rPr>
            </w:pPr>
          </w:p>
        </w:tc>
        <w:tc>
          <w:tcPr>
            <w:tcW w:w="860" w:type="dxa"/>
            <w:vMerge w:val="continue"/>
            <w:vAlign w:val="center"/>
          </w:tcPr>
          <w:p w14:paraId="5229C671">
            <w:pPr>
              <w:jc w:val="center"/>
              <w:rPr>
                <w:rFonts w:ascii="宋体" w:hAnsi="宋体" w:cs="宋体"/>
                <w:color w:val="auto"/>
                <w:sz w:val="24"/>
                <w:highlight w:val="none"/>
              </w:rPr>
            </w:pPr>
          </w:p>
        </w:tc>
        <w:tc>
          <w:tcPr>
            <w:tcW w:w="2157" w:type="dxa"/>
            <w:vMerge w:val="continue"/>
            <w:vAlign w:val="center"/>
          </w:tcPr>
          <w:p w14:paraId="2060667C">
            <w:pPr>
              <w:rPr>
                <w:rFonts w:ascii="宋体" w:hAnsi="宋体" w:cs="宋体"/>
                <w:color w:val="auto"/>
                <w:sz w:val="24"/>
                <w:highlight w:val="none"/>
              </w:rPr>
            </w:pPr>
          </w:p>
        </w:tc>
        <w:tc>
          <w:tcPr>
            <w:tcW w:w="1215" w:type="dxa"/>
            <w:vAlign w:val="center"/>
          </w:tcPr>
          <w:p w14:paraId="6CF9B87E">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56E14AC0">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200</w:t>
            </w:r>
            <w:r>
              <w:rPr>
                <w:rFonts w:hint="eastAsia"/>
                <w:color w:val="auto"/>
                <w:spacing w:val="-9"/>
                <w:sz w:val="24"/>
                <w:highlight w:val="none"/>
                <w:lang w:eastAsia="zh-CN"/>
              </w:rPr>
              <w:t xml:space="preserve"> 万元及以上的</w:t>
            </w:r>
          </w:p>
        </w:tc>
        <w:tc>
          <w:tcPr>
            <w:tcW w:w="752" w:type="dxa"/>
            <w:vMerge w:val="continue"/>
            <w:vAlign w:val="center"/>
          </w:tcPr>
          <w:p w14:paraId="6177489E">
            <w:pPr>
              <w:jc w:val="center"/>
              <w:rPr>
                <w:rFonts w:ascii="宋体" w:hAnsi="宋体" w:cs="宋体"/>
                <w:color w:val="auto"/>
                <w:sz w:val="24"/>
                <w:highlight w:val="none"/>
                <w:lang w:bidi="en-US"/>
              </w:rPr>
            </w:pPr>
          </w:p>
        </w:tc>
      </w:tr>
      <w:tr w14:paraId="6C6E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EED7F09">
            <w:pPr>
              <w:jc w:val="center"/>
              <w:rPr>
                <w:rFonts w:ascii="宋体" w:hAnsi="宋体" w:cs="宋体"/>
                <w:color w:val="auto"/>
                <w:sz w:val="24"/>
                <w:highlight w:val="none"/>
              </w:rPr>
            </w:pPr>
          </w:p>
        </w:tc>
        <w:tc>
          <w:tcPr>
            <w:tcW w:w="860" w:type="dxa"/>
            <w:vMerge w:val="continue"/>
            <w:vAlign w:val="center"/>
          </w:tcPr>
          <w:p w14:paraId="13A3FD98">
            <w:pPr>
              <w:jc w:val="center"/>
              <w:rPr>
                <w:rFonts w:ascii="宋体" w:hAnsi="宋体" w:cs="宋体"/>
                <w:color w:val="auto"/>
                <w:sz w:val="24"/>
                <w:highlight w:val="none"/>
              </w:rPr>
            </w:pPr>
          </w:p>
        </w:tc>
        <w:tc>
          <w:tcPr>
            <w:tcW w:w="2157" w:type="dxa"/>
            <w:vMerge w:val="continue"/>
            <w:vAlign w:val="center"/>
          </w:tcPr>
          <w:p w14:paraId="347E1E0D">
            <w:pPr>
              <w:rPr>
                <w:rFonts w:ascii="宋体" w:hAnsi="宋体" w:cs="宋体"/>
                <w:color w:val="auto"/>
                <w:sz w:val="24"/>
                <w:highlight w:val="none"/>
              </w:rPr>
            </w:pPr>
          </w:p>
        </w:tc>
        <w:tc>
          <w:tcPr>
            <w:tcW w:w="1215" w:type="dxa"/>
            <w:vAlign w:val="center"/>
          </w:tcPr>
          <w:p w14:paraId="3AA2A4DB">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79A80C84">
            <w:pPr>
              <w:pStyle w:val="142"/>
              <w:spacing w:before="69"/>
              <w:ind w:left="15"/>
              <w:rPr>
                <w:color w:val="auto"/>
                <w:sz w:val="24"/>
                <w:highlight w:val="none"/>
                <w:lang w:eastAsia="zh-CN"/>
              </w:rPr>
            </w:pPr>
            <w:r>
              <w:rPr>
                <w:rFonts w:hint="eastAsia"/>
                <w:color w:val="auto"/>
                <w:sz w:val="24"/>
                <w:highlight w:val="none"/>
                <w:lang w:eastAsia="zh-CN"/>
              </w:rPr>
              <w:t>从业人员 20 人以下或营业收入 200 万元以下的</w:t>
            </w:r>
          </w:p>
        </w:tc>
        <w:tc>
          <w:tcPr>
            <w:tcW w:w="752" w:type="dxa"/>
            <w:vMerge w:val="continue"/>
            <w:vAlign w:val="center"/>
          </w:tcPr>
          <w:p w14:paraId="0B6CC919">
            <w:pPr>
              <w:jc w:val="center"/>
              <w:rPr>
                <w:rFonts w:ascii="宋体" w:hAnsi="宋体" w:cs="宋体"/>
                <w:color w:val="auto"/>
                <w:sz w:val="24"/>
                <w:highlight w:val="none"/>
                <w:lang w:bidi="en-US"/>
              </w:rPr>
            </w:pPr>
          </w:p>
        </w:tc>
      </w:tr>
      <w:tr w14:paraId="0928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4B3E4496">
            <w:pPr>
              <w:pStyle w:val="142"/>
              <w:spacing w:before="6"/>
              <w:jc w:val="center"/>
              <w:rPr>
                <w:b/>
                <w:color w:val="auto"/>
                <w:sz w:val="24"/>
                <w:highlight w:val="none"/>
                <w:lang w:eastAsia="zh-CN"/>
              </w:rPr>
            </w:pPr>
          </w:p>
          <w:p w14:paraId="2F27FC61">
            <w:pPr>
              <w:pStyle w:val="142"/>
              <w:ind w:left="8"/>
              <w:jc w:val="center"/>
              <w:rPr>
                <w:color w:val="auto"/>
                <w:sz w:val="24"/>
                <w:highlight w:val="none"/>
              </w:rPr>
            </w:pPr>
            <w:r>
              <w:rPr>
                <w:rFonts w:hint="eastAsia"/>
                <w:color w:val="auto"/>
                <w:w w:val="99"/>
                <w:sz w:val="24"/>
                <w:highlight w:val="none"/>
              </w:rPr>
              <w:t>7</w:t>
            </w:r>
          </w:p>
        </w:tc>
        <w:tc>
          <w:tcPr>
            <w:tcW w:w="860" w:type="dxa"/>
            <w:vMerge w:val="restart"/>
            <w:vAlign w:val="center"/>
          </w:tcPr>
          <w:p w14:paraId="5F4DCFC8">
            <w:pPr>
              <w:pStyle w:val="142"/>
              <w:spacing w:before="11"/>
              <w:jc w:val="center"/>
              <w:rPr>
                <w:b/>
                <w:color w:val="auto"/>
                <w:sz w:val="24"/>
                <w:highlight w:val="none"/>
              </w:rPr>
            </w:pPr>
          </w:p>
          <w:p w14:paraId="7F69928F">
            <w:pPr>
              <w:pStyle w:val="142"/>
              <w:ind w:left="13"/>
              <w:jc w:val="center"/>
              <w:rPr>
                <w:color w:val="auto"/>
                <w:sz w:val="24"/>
                <w:highlight w:val="none"/>
              </w:rPr>
            </w:pPr>
            <w:r>
              <w:rPr>
                <w:rFonts w:hint="eastAsia"/>
                <w:color w:val="auto"/>
                <w:sz w:val="24"/>
                <w:highlight w:val="none"/>
              </w:rPr>
              <w:t>仓储业</w:t>
            </w:r>
          </w:p>
        </w:tc>
        <w:tc>
          <w:tcPr>
            <w:tcW w:w="2157" w:type="dxa"/>
            <w:vMerge w:val="restart"/>
            <w:vAlign w:val="center"/>
          </w:tcPr>
          <w:p w14:paraId="04F61CCF">
            <w:pPr>
              <w:pStyle w:val="142"/>
              <w:spacing w:before="141"/>
              <w:ind w:left="15"/>
              <w:rPr>
                <w:color w:val="auto"/>
                <w:sz w:val="24"/>
                <w:highlight w:val="none"/>
                <w:lang w:eastAsia="zh-CN"/>
              </w:rPr>
            </w:pPr>
            <w:r>
              <w:rPr>
                <w:rFonts w:hint="eastAsia"/>
                <w:color w:val="auto"/>
                <w:sz w:val="24"/>
                <w:highlight w:val="none"/>
                <w:lang w:eastAsia="zh-CN"/>
              </w:rPr>
              <w:t>从业人员 200 人以下或营业收入 30000 万元以下的为中小微型企业</w:t>
            </w:r>
          </w:p>
        </w:tc>
        <w:tc>
          <w:tcPr>
            <w:tcW w:w="1215" w:type="dxa"/>
            <w:vAlign w:val="center"/>
          </w:tcPr>
          <w:p w14:paraId="1796026C">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097B58E1">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1000</w:t>
            </w:r>
            <w:r>
              <w:rPr>
                <w:rFonts w:hint="eastAsia"/>
                <w:color w:val="auto"/>
                <w:spacing w:val="-9"/>
                <w:sz w:val="24"/>
                <w:highlight w:val="none"/>
                <w:lang w:eastAsia="zh-CN"/>
              </w:rPr>
              <w:t xml:space="preserve"> 万元及以上的</w:t>
            </w:r>
          </w:p>
        </w:tc>
        <w:tc>
          <w:tcPr>
            <w:tcW w:w="752" w:type="dxa"/>
            <w:vMerge w:val="restart"/>
            <w:vAlign w:val="center"/>
          </w:tcPr>
          <w:p w14:paraId="02269FA0">
            <w:pPr>
              <w:pStyle w:val="142"/>
              <w:ind w:left="15"/>
              <w:rPr>
                <w:color w:val="auto"/>
                <w:sz w:val="24"/>
                <w:highlight w:val="none"/>
                <w:lang w:eastAsia="zh-CN"/>
              </w:rPr>
            </w:pPr>
            <w:r>
              <w:rPr>
                <w:rFonts w:hint="eastAsia"/>
                <w:color w:val="auto"/>
                <w:sz w:val="24"/>
                <w:highlight w:val="none"/>
                <w:lang w:eastAsia="zh-CN"/>
              </w:rPr>
              <w:t>从业人员营业收入</w:t>
            </w:r>
          </w:p>
        </w:tc>
      </w:tr>
      <w:tr w14:paraId="464377E4">
        <w:tblPrEx>
          <w:tblCellMar>
            <w:top w:w="0" w:type="dxa"/>
            <w:left w:w="0" w:type="dxa"/>
            <w:bottom w:w="0" w:type="dxa"/>
            <w:right w:w="0" w:type="dxa"/>
          </w:tblCellMar>
        </w:tblPrEx>
        <w:trPr>
          <w:trHeight w:val="680" w:hRule="atLeast"/>
          <w:jc w:val="center"/>
        </w:trPr>
        <w:tc>
          <w:tcPr>
            <w:tcW w:w="524" w:type="dxa"/>
            <w:vMerge w:val="continue"/>
            <w:vAlign w:val="center"/>
          </w:tcPr>
          <w:p w14:paraId="24BE7145">
            <w:pPr>
              <w:jc w:val="center"/>
              <w:rPr>
                <w:rFonts w:ascii="宋体" w:hAnsi="宋体" w:cs="宋体"/>
                <w:color w:val="auto"/>
                <w:sz w:val="24"/>
                <w:highlight w:val="none"/>
              </w:rPr>
            </w:pPr>
          </w:p>
        </w:tc>
        <w:tc>
          <w:tcPr>
            <w:tcW w:w="860" w:type="dxa"/>
            <w:vMerge w:val="continue"/>
            <w:vAlign w:val="center"/>
          </w:tcPr>
          <w:p w14:paraId="7806E8D5">
            <w:pPr>
              <w:jc w:val="center"/>
              <w:rPr>
                <w:rFonts w:ascii="宋体" w:hAnsi="宋体" w:cs="宋体"/>
                <w:color w:val="auto"/>
                <w:sz w:val="24"/>
                <w:highlight w:val="none"/>
              </w:rPr>
            </w:pPr>
          </w:p>
        </w:tc>
        <w:tc>
          <w:tcPr>
            <w:tcW w:w="2157" w:type="dxa"/>
            <w:vMerge w:val="continue"/>
            <w:vAlign w:val="center"/>
          </w:tcPr>
          <w:p w14:paraId="1154CA99">
            <w:pPr>
              <w:rPr>
                <w:rFonts w:ascii="宋体" w:hAnsi="宋体" w:cs="宋体"/>
                <w:color w:val="auto"/>
                <w:sz w:val="24"/>
                <w:highlight w:val="none"/>
              </w:rPr>
            </w:pPr>
          </w:p>
        </w:tc>
        <w:tc>
          <w:tcPr>
            <w:tcW w:w="1215" w:type="dxa"/>
            <w:vAlign w:val="center"/>
          </w:tcPr>
          <w:p w14:paraId="715E40AC">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4A3AF910">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00987667">
            <w:pPr>
              <w:jc w:val="center"/>
              <w:rPr>
                <w:rFonts w:ascii="宋体" w:hAnsi="宋体" w:cs="宋体"/>
                <w:color w:val="auto"/>
                <w:sz w:val="24"/>
                <w:highlight w:val="none"/>
                <w:lang w:bidi="en-US"/>
              </w:rPr>
            </w:pPr>
          </w:p>
        </w:tc>
      </w:tr>
      <w:tr w14:paraId="1A53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C2B9C29">
            <w:pPr>
              <w:jc w:val="center"/>
              <w:rPr>
                <w:rFonts w:ascii="宋体" w:hAnsi="宋体" w:cs="宋体"/>
                <w:color w:val="auto"/>
                <w:sz w:val="24"/>
                <w:highlight w:val="none"/>
              </w:rPr>
            </w:pPr>
          </w:p>
        </w:tc>
        <w:tc>
          <w:tcPr>
            <w:tcW w:w="860" w:type="dxa"/>
            <w:vMerge w:val="continue"/>
            <w:vAlign w:val="center"/>
          </w:tcPr>
          <w:p w14:paraId="46EB38F5">
            <w:pPr>
              <w:jc w:val="center"/>
              <w:rPr>
                <w:rFonts w:ascii="宋体" w:hAnsi="宋体" w:cs="宋体"/>
                <w:color w:val="auto"/>
                <w:sz w:val="24"/>
                <w:highlight w:val="none"/>
              </w:rPr>
            </w:pPr>
          </w:p>
        </w:tc>
        <w:tc>
          <w:tcPr>
            <w:tcW w:w="2157" w:type="dxa"/>
            <w:vMerge w:val="continue"/>
            <w:vAlign w:val="center"/>
          </w:tcPr>
          <w:p w14:paraId="179374B8">
            <w:pPr>
              <w:rPr>
                <w:rFonts w:ascii="宋体" w:hAnsi="宋体" w:cs="宋体"/>
                <w:color w:val="auto"/>
                <w:sz w:val="24"/>
                <w:highlight w:val="none"/>
              </w:rPr>
            </w:pPr>
          </w:p>
        </w:tc>
        <w:tc>
          <w:tcPr>
            <w:tcW w:w="1215" w:type="dxa"/>
            <w:vAlign w:val="center"/>
          </w:tcPr>
          <w:p w14:paraId="3EBA7631">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4CB96E11">
            <w:pPr>
              <w:pStyle w:val="142"/>
              <w:spacing w:before="68"/>
              <w:ind w:left="15"/>
              <w:rPr>
                <w:color w:val="auto"/>
                <w:sz w:val="24"/>
                <w:highlight w:val="none"/>
                <w:lang w:eastAsia="zh-CN"/>
              </w:rPr>
            </w:pPr>
            <w:r>
              <w:rPr>
                <w:rFonts w:hint="eastAsia"/>
                <w:color w:val="auto"/>
                <w:sz w:val="24"/>
                <w:highlight w:val="none"/>
                <w:lang w:eastAsia="zh-CN"/>
              </w:rPr>
              <w:t>从业人员 20 人以下或营业收入 100 万元以下的</w:t>
            </w:r>
          </w:p>
        </w:tc>
        <w:tc>
          <w:tcPr>
            <w:tcW w:w="752" w:type="dxa"/>
            <w:vMerge w:val="continue"/>
            <w:vAlign w:val="center"/>
          </w:tcPr>
          <w:p w14:paraId="6EB5BC2F">
            <w:pPr>
              <w:jc w:val="center"/>
              <w:rPr>
                <w:rFonts w:ascii="宋体" w:hAnsi="宋体" w:cs="宋体"/>
                <w:color w:val="auto"/>
                <w:sz w:val="24"/>
                <w:highlight w:val="none"/>
                <w:lang w:bidi="en-US"/>
              </w:rPr>
            </w:pPr>
          </w:p>
        </w:tc>
      </w:tr>
      <w:tr w14:paraId="48C54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2DD07A14">
            <w:pPr>
              <w:pStyle w:val="142"/>
              <w:spacing w:before="7"/>
              <w:jc w:val="center"/>
              <w:rPr>
                <w:b/>
                <w:color w:val="auto"/>
                <w:sz w:val="24"/>
                <w:highlight w:val="none"/>
                <w:lang w:eastAsia="zh-CN"/>
              </w:rPr>
            </w:pPr>
          </w:p>
          <w:p w14:paraId="13C2F239">
            <w:pPr>
              <w:pStyle w:val="142"/>
              <w:ind w:left="8"/>
              <w:jc w:val="center"/>
              <w:rPr>
                <w:color w:val="auto"/>
                <w:sz w:val="24"/>
                <w:highlight w:val="none"/>
              </w:rPr>
            </w:pPr>
            <w:r>
              <w:rPr>
                <w:rFonts w:hint="eastAsia"/>
                <w:color w:val="auto"/>
                <w:w w:val="99"/>
                <w:sz w:val="24"/>
                <w:highlight w:val="none"/>
              </w:rPr>
              <w:t>8</w:t>
            </w:r>
          </w:p>
        </w:tc>
        <w:tc>
          <w:tcPr>
            <w:tcW w:w="860" w:type="dxa"/>
            <w:vMerge w:val="restart"/>
            <w:vAlign w:val="center"/>
          </w:tcPr>
          <w:p w14:paraId="1C651CAF">
            <w:pPr>
              <w:pStyle w:val="142"/>
              <w:spacing w:before="12"/>
              <w:jc w:val="center"/>
              <w:rPr>
                <w:b/>
                <w:color w:val="auto"/>
                <w:sz w:val="24"/>
                <w:highlight w:val="none"/>
              </w:rPr>
            </w:pPr>
          </w:p>
          <w:p w14:paraId="068347DC">
            <w:pPr>
              <w:pStyle w:val="142"/>
              <w:ind w:left="13"/>
              <w:jc w:val="center"/>
              <w:rPr>
                <w:color w:val="auto"/>
                <w:sz w:val="24"/>
                <w:highlight w:val="none"/>
              </w:rPr>
            </w:pPr>
            <w:r>
              <w:rPr>
                <w:rFonts w:hint="eastAsia"/>
                <w:color w:val="auto"/>
                <w:sz w:val="24"/>
                <w:highlight w:val="none"/>
              </w:rPr>
              <w:t>邮政业</w:t>
            </w:r>
          </w:p>
        </w:tc>
        <w:tc>
          <w:tcPr>
            <w:tcW w:w="2157" w:type="dxa"/>
            <w:vMerge w:val="restart"/>
            <w:vAlign w:val="center"/>
          </w:tcPr>
          <w:p w14:paraId="7691BD7B">
            <w:pPr>
              <w:pStyle w:val="142"/>
              <w:spacing w:before="143"/>
              <w:ind w:left="15"/>
              <w:rPr>
                <w:color w:val="auto"/>
                <w:sz w:val="24"/>
                <w:highlight w:val="none"/>
                <w:lang w:eastAsia="zh-CN"/>
              </w:rPr>
            </w:pPr>
            <w:r>
              <w:rPr>
                <w:rFonts w:hint="eastAsia"/>
                <w:color w:val="auto"/>
                <w:spacing w:val="-9"/>
                <w:sz w:val="24"/>
                <w:highlight w:val="none"/>
                <w:lang w:eastAsia="zh-CN"/>
              </w:rPr>
              <w:t xml:space="preserve">从业人员 </w:t>
            </w:r>
            <w:r>
              <w:rPr>
                <w:rFonts w:hint="eastAsia"/>
                <w:color w:val="auto"/>
                <w:sz w:val="24"/>
                <w:highlight w:val="none"/>
                <w:lang w:eastAsia="zh-CN"/>
              </w:rPr>
              <w:t>1000</w:t>
            </w:r>
            <w:r>
              <w:rPr>
                <w:rFonts w:hint="eastAsia"/>
                <w:color w:val="auto"/>
                <w:spacing w:val="-8"/>
                <w:sz w:val="24"/>
                <w:highlight w:val="none"/>
                <w:lang w:eastAsia="zh-CN"/>
              </w:rPr>
              <w:t xml:space="preserve"> 人以下或</w:t>
            </w:r>
            <w:r>
              <w:rPr>
                <w:rFonts w:hint="eastAsia"/>
                <w:color w:val="auto"/>
                <w:sz w:val="24"/>
                <w:highlight w:val="none"/>
                <w:lang w:eastAsia="zh-CN"/>
              </w:rPr>
              <w:t>营业收入 30000 万元以下的为中小微型企业</w:t>
            </w:r>
          </w:p>
        </w:tc>
        <w:tc>
          <w:tcPr>
            <w:tcW w:w="1215" w:type="dxa"/>
            <w:vAlign w:val="center"/>
          </w:tcPr>
          <w:p w14:paraId="17937595">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1234CA4A">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300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2000</w:t>
            </w:r>
            <w:r>
              <w:rPr>
                <w:rFonts w:hint="eastAsia"/>
                <w:color w:val="auto"/>
                <w:spacing w:val="-9"/>
                <w:sz w:val="24"/>
                <w:highlight w:val="none"/>
                <w:lang w:eastAsia="zh-CN"/>
              </w:rPr>
              <w:t xml:space="preserve"> 万元及以上的</w:t>
            </w:r>
          </w:p>
        </w:tc>
        <w:tc>
          <w:tcPr>
            <w:tcW w:w="752" w:type="dxa"/>
            <w:vMerge w:val="restart"/>
            <w:vAlign w:val="center"/>
          </w:tcPr>
          <w:p w14:paraId="34B3C607">
            <w:pPr>
              <w:pStyle w:val="142"/>
              <w:ind w:left="15"/>
              <w:rPr>
                <w:color w:val="auto"/>
                <w:sz w:val="24"/>
                <w:highlight w:val="none"/>
                <w:lang w:eastAsia="zh-CN"/>
              </w:rPr>
            </w:pPr>
            <w:r>
              <w:rPr>
                <w:rFonts w:hint="eastAsia"/>
                <w:color w:val="auto"/>
                <w:sz w:val="24"/>
                <w:highlight w:val="none"/>
                <w:lang w:eastAsia="zh-CN"/>
              </w:rPr>
              <w:t>从业人员营业收入</w:t>
            </w:r>
          </w:p>
        </w:tc>
      </w:tr>
      <w:tr w14:paraId="19AD7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6FB4B8F">
            <w:pPr>
              <w:jc w:val="center"/>
              <w:rPr>
                <w:rFonts w:ascii="宋体" w:hAnsi="宋体" w:cs="宋体"/>
                <w:color w:val="auto"/>
                <w:sz w:val="24"/>
                <w:highlight w:val="none"/>
              </w:rPr>
            </w:pPr>
          </w:p>
        </w:tc>
        <w:tc>
          <w:tcPr>
            <w:tcW w:w="860" w:type="dxa"/>
            <w:vMerge w:val="continue"/>
            <w:vAlign w:val="center"/>
          </w:tcPr>
          <w:p w14:paraId="5C472C70">
            <w:pPr>
              <w:jc w:val="center"/>
              <w:rPr>
                <w:rFonts w:ascii="宋体" w:hAnsi="宋体" w:cs="宋体"/>
                <w:color w:val="auto"/>
                <w:sz w:val="24"/>
                <w:highlight w:val="none"/>
              </w:rPr>
            </w:pPr>
          </w:p>
        </w:tc>
        <w:tc>
          <w:tcPr>
            <w:tcW w:w="2157" w:type="dxa"/>
            <w:vMerge w:val="continue"/>
            <w:vAlign w:val="center"/>
          </w:tcPr>
          <w:p w14:paraId="144103CA">
            <w:pPr>
              <w:rPr>
                <w:rFonts w:ascii="宋体" w:hAnsi="宋体" w:cs="宋体"/>
                <w:color w:val="auto"/>
                <w:sz w:val="24"/>
                <w:highlight w:val="none"/>
              </w:rPr>
            </w:pPr>
          </w:p>
        </w:tc>
        <w:tc>
          <w:tcPr>
            <w:tcW w:w="1215" w:type="dxa"/>
            <w:vAlign w:val="center"/>
          </w:tcPr>
          <w:p w14:paraId="56472591">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767D47F2">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54D2514A">
            <w:pPr>
              <w:jc w:val="center"/>
              <w:rPr>
                <w:rFonts w:ascii="宋体" w:hAnsi="宋体" w:cs="宋体"/>
                <w:color w:val="auto"/>
                <w:sz w:val="24"/>
                <w:highlight w:val="none"/>
                <w:lang w:bidi="en-US"/>
              </w:rPr>
            </w:pPr>
          </w:p>
        </w:tc>
      </w:tr>
      <w:tr w14:paraId="2B3D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E1BB6FE">
            <w:pPr>
              <w:jc w:val="center"/>
              <w:rPr>
                <w:rFonts w:ascii="宋体" w:hAnsi="宋体" w:cs="宋体"/>
                <w:color w:val="auto"/>
                <w:sz w:val="24"/>
                <w:highlight w:val="none"/>
              </w:rPr>
            </w:pPr>
          </w:p>
        </w:tc>
        <w:tc>
          <w:tcPr>
            <w:tcW w:w="860" w:type="dxa"/>
            <w:vMerge w:val="continue"/>
            <w:vAlign w:val="center"/>
          </w:tcPr>
          <w:p w14:paraId="0D06F697">
            <w:pPr>
              <w:jc w:val="center"/>
              <w:rPr>
                <w:rFonts w:ascii="宋体" w:hAnsi="宋体" w:cs="宋体"/>
                <w:color w:val="auto"/>
                <w:sz w:val="24"/>
                <w:highlight w:val="none"/>
              </w:rPr>
            </w:pPr>
          </w:p>
        </w:tc>
        <w:tc>
          <w:tcPr>
            <w:tcW w:w="2157" w:type="dxa"/>
            <w:vMerge w:val="continue"/>
            <w:vAlign w:val="center"/>
          </w:tcPr>
          <w:p w14:paraId="16352967">
            <w:pPr>
              <w:rPr>
                <w:rFonts w:ascii="宋体" w:hAnsi="宋体" w:cs="宋体"/>
                <w:color w:val="auto"/>
                <w:sz w:val="24"/>
                <w:highlight w:val="none"/>
              </w:rPr>
            </w:pPr>
          </w:p>
        </w:tc>
        <w:tc>
          <w:tcPr>
            <w:tcW w:w="1215" w:type="dxa"/>
            <w:vAlign w:val="center"/>
          </w:tcPr>
          <w:p w14:paraId="2CFAF9B5">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39B49E1F">
            <w:pPr>
              <w:pStyle w:val="142"/>
              <w:spacing w:before="69"/>
              <w:ind w:left="15"/>
              <w:rPr>
                <w:color w:val="auto"/>
                <w:sz w:val="24"/>
                <w:highlight w:val="none"/>
                <w:lang w:eastAsia="zh-CN"/>
              </w:rPr>
            </w:pPr>
            <w:r>
              <w:rPr>
                <w:rFonts w:hint="eastAsia"/>
                <w:color w:val="auto"/>
                <w:sz w:val="24"/>
                <w:highlight w:val="none"/>
                <w:lang w:eastAsia="zh-CN"/>
              </w:rPr>
              <w:t>从业人员 20 人以下或营业收入 100 万元以下的</w:t>
            </w:r>
          </w:p>
        </w:tc>
        <w:tc>
          <w:tcPr>
            <w:tcW w:w="752" w:type="dxa"/>
            <w:vMerge w:val="continue"/>
            <w:vAlign w:val="center"/>
          </w:tcPr>
          <w:p w14:paraId="587F70CA">
            <w:pPr>
              <w:jc w:val="center"/>
              <w:rPr>
                <w:rFonts w:ascii="宋体" w:hAnsi="宋体" w:cs="宋体"/>
                <w:color w:val="auto"/>
                <w:sz w:val="24"/>
                <w:highlight w:val="none"/>
                <w:lang w:bidi="en-US"/>
              </w:rPr>
            </w:pPr>
          </w:p>
        </w:tc>
      </w:tr>
      <w:tr w14:paraId="41D29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6A87AA59">
            <w:pPr>
              <w:pStyle w:val="142"/>
              <w:spacing w:before="6"/>
              <w:jc w:val="center"/>
              <w:rPr>
                <w:b/>
                <w:color w:val="auto"/>
                <w:sz w:val="24"/>
                <w:highlight w:val="none"/>
                <w:lang w:eastAsia="zh-CN"/>
              </w:rPr>
            </w:pPr>
          </w:p>
          <w:p w14:paraId="0B0C5622">
            <w:pPr>
              <w:pStyle w:val="142"/>
              <w:ind w:left="8"/>
              <w:jc w:val="center"/>
              <w:rPr>
                <w:color w:val="auto"/>
                <w:sz w:val="24"/>
                <w:highlight w:val="none"/>
              </w:rPr>
            </w:pPr>
            <w:r>
              <w:rPr>
                <w:rFonts w:hint="eastAsia"/>
                <w:color w:val="auto"/>
                <w:w w:val="99"/>
                <w:sz w:val="24"/>
                <w:highlight w:val="none"/>
              </w:rPr>
              <w:t>9</w:t>
            </w:r>
          </w:p>
        </w:tc>
        <w:tc>
          <w:tcPr>
            <w:tcW w:w="860" w:type="dxa"/>
            <w:vMerge w:val="restart"/>
            <w:vAlign w:val="center"/>
          </w:tcPr>
          <w:p w14:paraId="75C1196F">
            <w:pPr>
              <w:pStyle w:val="142"/>
              <w:spacing w:before="11"/>
              <w:jc w:val="center"/>
              <w:rPr>
                <w:b/>
                <w:color w:val="auto"/>
                <w:sz w:val="24"/>
                <w:highlight w:val="none"/>
              </w:rPr>
            </w:pPr>
          </w:p>
          <w:p w14:paraId="39EBFFAE">
            <w:pPr>
              <w:pStyle w:val="142"/>
              <w:ind w:left="13"/>
              <w:jc w:val="center"/>
              <w:rPr>
                <w:color w:val="auto"/>
                <w:sz w:val="24"/>
                <w:highlight w:val="none"/>
              </w:rPr>
            </w:pPr>
            <w:r>
              <w:rPr>
                <w:rFonts w:hint="eastAsia"/>
                <w:color w:val="auto"/>
                <w:sz w:val="24"/>
                <w:highlight w:val="none"/>
              </w:rPr>
              <w:t>住宿业</w:t>
            </w:r>
          </w:p>
        </w:tc>
        <w:tc>
          <w:tcPr>
            <w:tcW w:w="2157" w:type="dxa"/>
            <w:vMerge w:val="restart"/>
            <w:vAlign w:val="center"/>
          </w:tcPr>
          <w:p w14:paraId="1B44DB08">
            <w:pPr>
              <w:pStyle w:val="142"/>
              <w:spacing w:before="141"/>
              <w:ind w:left="15"/>
              <w:rPr>
                <w:color w:val="auto"/>
                <w:sz w:val="24"/>
                <w:highlight w:val="none"/>
                <w:lang w:eastAsia="zh-CN"/>
              </w:rPr>
            </w:pPr>
            <w:r>
              <w:rPr>
                <w:rFonts w:hint="eastAsia"/>
                <w:color w:val="auto"/>
                <w:sz w:val="24"/>
                <w:highlight w:val="none"/>
                <w:lang w:eastAsia="zh-CN"/>
              </w:rPr>
              <w:t>从业人员 300 人以下或营业收入 10000 万元以下的为中小微型企业</w:t>
            </w:r>
          </w:p>
        </w:tc>
        <w:tc>
          <w:tcPr>
            <w:tcW w:w="1215" w:type="dxa"/>
            <w:vAlign w:val="center"/>
          </w:tcPr>
          <w:p w14:paraId="6552D0C5">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2542F5C1">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2000</w:t>
            </w:r>
            <w:r>
              <w:rPr>
                <w:rFonts w:hint="eastAsia"/>
                <w:color w:val="auto"/>
                <w:spacing w:val="-9"/>
                <w:sz w:val="24"/>
                <w:highlight w:val="none"/>
                <w:lang w:eastAsia="zh-CN"/>
              </w:rPr>
              <w:t xml:space="preserve"> 万元及以上的</w:t>
            </w:r>
          </w:p>
        </w:tc>
        <w:tc>
          <w:tcPr>
            <w:tcW w:w="752" w:type="dxa"/>
            <w:vMerge w:val="restart"/>
            <w:vAlign w:val="center"/>
          </w:tcPr>
          <w:p w14:paraId="26D29D1D">
            <w:pPr>
              <w:pStyle w:val="142"/>
              <w:ind w:left="15"/>
              <w:rPr>
                <w:color w:val="auto"/>
                <w:sz w:val="24"/>
                <w:highlight w:val="none"/>
                <w:lang w:eastAsia="zh-CN"/>
              </w:rPr>
            </w:pPr>
            <w:r>
              <w:rPr>
                <w:rFonts w:hint="eastAsia"/>
                <w:color w:val="auto"/>
                <w:sz w:val="24"/>
                <w:highlight w:val="none"/>
                <w:lang w:eastAsia="zh-CN"/>
              </w:rPr>
              <w:t>从业人员营业收入</w:t>
            </w:r>
          </w:p>
        </w:tc>
      </w:tr>
      <w:tr w14:paraId="30EE1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1E1C7A44">
            <w:pPr>
              <w:jc w:val="center"/>
              <w:rPr>
                <w:rFonts w:ascii="宋体" w:hAnsi="宋体" w:cs="宋体"/>
                <w:color w:val="auto"/>
                <w:sz w:val="24"/>
                <w:highlight w:val="none"/>
              </w:rPr>
            </w:pPr>
          </w:p>
        </w:tc>
        <w:tc>
          <w:tcPr>
            <w:tcW w:w="860" w:type="dxa"/>
            <w:vMerge w:val="continue"/>
            <w:vAlign w:val="center"/>
          </w:tcPr>
          <w:p w14:paraId="1690291A">
            <w:pPr>
              <w:jc w:val="center"/>
              <w:rPr>
                <w:rFonts w:ascii="宋体" w:hAnsi="宋体" w:cs="宋体"/>
                <w:color w:val="auto"/>
                <w:sz w:val="24"/>
                <w:highlight w:val="none"/>
              </w:rPr>
            </w:pPr>
          </w:p>
        </w:tc>
        <w:tc>
          <w:tcPr>
            <w:tcW w:w="2157" w:type="dxa"/>
            <w:vMerge w:val="continue"/>
            <w:vAlign w:val="center"/>
          </w:tcPr>
          <w:p w14:paraId="5A29AF8A">
            <w:pPr>
              <w:rPr>
                <w:rFonts w:ascii="宋体" w:hAnsi="宋体" w:cs="宋体"/>
                <w:color w:val="auto"/>
                <w:sz w:val="24"/>
                <w:highlight w:val="none"/>
              </w:rPr>
            </w:pPr>
          </w:p>
        </w:tc>
        <w:tc>
          <w:tcPr>
            <w:tcW w:w="1215" w:type="dxa"/>
            <w:vAlign w:val="center"/>
          </w:tcPr>
          <w:p w14:paraId="1C57F418">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733850D2">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414EE341">
            <w:pPr>
              <w:jc w:val="center"/>
              <w:rPr>
                <w:rFonts w:ascii="宋体" w:hAnsi="宋体" w:cs="宋体"/>
                <w:color w:val="auto"/>
                <w:sz w:val="24"/>
                <w:highlight w:val="none"/>
                <w:lang w:bidi="en-US"/>
              </w:rPr>
            </w:pPr>
          </w:p>
        </w:tc>
      </w:tr>
      <w:tr w14:paraId="0DE7E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CF43B00">
            <w:pPr>
              <w:jc w:val="center"/>
              <w:rPr>
                <w:rFonts w:ascii="宋体" w:hAnsi="宋体" w:cs="宋体"/>
                <w:color w:val="auto"/>
                <w:sz w:val="24"/>
                <w:highlight w:val="none"/>
              </w:rPr>
            </w:pPr>
          </w:p>
        </w:tc>
        <w:tc>
          <w:tcPr>
            <w:tcW w:w="860" w:type="dxa"/>
            <w:vMerge w:val="continue"/>
            <w:vAlign w:val="center"/>
          </w:tcPr>
          <w:p w14:paraId="64D962EA">
            <w:pPr>
              <w:jc w:val="center"/>
              <w:rPr>
                <w:rFonts w:ascii="宋体" w:hAnsi="宋体" w:cs="宋体"/>
                <w:color w:val="auto"/>
                <w:sz w:val="24"/>
                <w:highlight w:val="none"/>
              </w:rPr>
            </w:pPr>
          </w:p>
        </w:tc>
        <w:tc>
          <w:tcPr>
            <w:tcW w:w="2157" w:type="dxa"/>
            <w:vMerge w:val="continue"/>
            <w:vAlign w:val="center"/>
          </w:tcPr>
          <w:p w14:paraId="3F998CFF">
            <w:pPr>
              <w:rPr>
                <w:rFonts w:ascii="宋体" w:hAnsi="宋体" w:cs="宋体"/>
                <w:color w:val="auto"/>
                <w:sz w:val="24"/>
                <w:highlight w:val="none"/>
              </w:rPr>
            </w:pPr>
          </w:p>
        </w:tc>
        <w:tc>
          <w:tcPr>
            <w:tcW w:w="1215" w:type="dxa"/>
            <w:vAlign w:val="center"/>
          </w:tcPr>
          <w:p w14:paraId="73F04643">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72FE20D1">
            <w:pPr>
              <w:pStyle w:val="142"/>
              <w:spacing w:before="68"/>
              <w:ind w:left="15"/>
              <w:rPr>
                <w:color w:val="auto"/>
                <w:sz w:val="24"/>
                <w:highlight w:val="none"/>
                <w:lang w:eastAsia="zh-CN"/>
              </w:rPr>
            </w:pPr>
            <w:r>
              <w:rPr>
                <w:rFonts w:hint="eastAsia"/>
                <w:color w:val="auto"/>
                <w:sz w:val="24"/>
                <w:highlight w:val="none"/>
                <w:lang w:eastAsia="zh-CN"/>
              </w:rPr>
              <w:t>从业人员 10 人以下或营业收入 100 万元以下的</w:t>
            </w:r>
          </w:p>
        </w:tc>
        <w:tc>
          <w:tcPr>
            <w:tcW w:w="752" w:type="dxa"/>
            <w:vMerge w:val="continue"/>
            <w:vAlign w:val="center"/>
          </w:tcPr>
          <w:p w14:paraId="68582E1D">
            <w:pPr>
              <w:jc w:val="center"/>
              <w:rPr>
                <w:rFonts w:ascii="宋体" w:hAnsi="宋体" w:cs="宋体"/>
                <w:color w:val="auto"/>
                <w:sz w:val="24"/>
                <w:highlight w:val="none"/>
                <w:lang w:bidi="en-US"/>
              </w:rPr>
            </w:pPr>
          </w:p>
        </w:tc>
      </w:tr>
      <w:tr w14:paraId="61808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0FCFB58D">
            <w:pPr>
              <w:pStyle w:val="142"/>
              <w:spacing w:before="7"/>
              <w:jc w:val="center"/>
              <w:rPr>
                <w:b/>
                <w:color w:val="auto"/>
                <w:sz w:val="24"/>
                <w:highlight w:val="none"/>
                <w:lang w:eastAsia="zh-CN"/>
              </w:rPr>
            </w:pPr>
          </w:p>
          <w:p w14:paraId="36A7F8A0">
            <w:pPr>
              <w:pStyle w:val="142"/>
              <w:jc w:val="center"/>
              <w:rPr>
                <w:color w:val="auto"/>
                <w:sz w:val="24"/>
                <w:highlight w:val="none"/>
              </w:rPr>
            </w:pPr>
            <w:r>
              <w:rPr>
                <w:rFonts w:hint="eastAsia"/>
                <w:color w:val="auto"/>
                <w:sz w:val="24"/>
                <w:highlight w:val="none"/>
              </w:rPr>
              <w:t>10</w:t>
            </w:r>
          </w:p>
        </w:tc>
        <w:tc>
          <w:tcPr>
            <w:tcW w:w="860" w:type="dxa"/>
            <w:vMerge w:val="restart"/>
            <w:vAlign w:val="center"/>
          </w:tcPr>
          <w:p w14:paraId="1A25C022">
            <w:pPr>
              <w:pStyle w:val="142"/>
              <w:spacing w:before="12"/>
              <w:jc w:val="center"/>
              <w:rPr>
                <w:b/>
                <w:color w:val="auto"/>
                <w:sz w:val="24"/>
                <w:highlight w:val="none"/>
              </w:rPr>
            </w:pPr>
          </w:p>
          <w:p w14:paraId="5FCBFDF1">
            <w:pPr>
              <w:pStyle w:val="142"/>
              <w:ind w:left="13"/>
              <w:jc w:val="center"/>
              <w:rPr>
                <w:color w:val="auto"/>
                <w:sz w:val="24"/>
                <w:highlight w:val="none"/>
              </w:rPr>
            </w:pPr>
            <w:r>
              <w:rPr>
                <w:rFonts w:hint="eastAsia"/>
                <w:color w:val="auto"/>
                <w:sz w:val="24"/>
                <w:highlight w:val="none"/>
              </w:rPr>
              <w:t>餐饮业</w:t>
            </w:r>
          </w:p>
        </w:tc>
        <w:tc>
          <w:tcPr>
            <w:tcW w:w="2157" w:type="dxa"/>
            <w:vMerge w:val="restart"/>
            <w:vAlign w:val="center"/>
          </w:tcPr>
          <w:p w14:paraId="56EDBA8F">
            <w:pPr>
              <w:pStyle w:val="142"/>
              <w:spacing w:before="142"/>
              <w:ind w:left="15"/>
              <w:rPr>
                <w:color w:val="auto"/>
                <w:sz w:val="24"/>
                <w:highlight w:val="none"/>
                <w:lang w:eastAsia="zh-CN"/>
              </w:rPr>
            </w:pPr>
            <w:r>
              <w:rPr>
                <w:rFonts w:hint="eastAsia"/>
                <w:color w:val="auto"/>
                <w:sz w:val="24"/>
                <w:highlight w:val="none"/>
                <w:lang w:eastAsia="zh-CN"/>
              </w:rPr>
              <w:t>从业人员 300 人以下或营业收入 10000 万元以下的为中小微型企业</w:t>
            </w:r>
          </w:p>
        </w:tc>
        <w:tc>
          <w:tcPr>
            <w:tcW w:w="1215" w:type="dxa"/>
            <w:vAlign w:val="center"/>
          </w:tcPr>
          <w:p w14:paraId="5A5DF7A3">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2623072A">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2000</w:t>
            </w:r>
            <w:r>
              <w:rPr>
                <w:rFonts w:hint="eastAsia"/>
                <w:color w:val="auto"/>
                <w:spacing w:val="-9"/>
                <w:sz w:val="24"/>
                <w:highlight w:val="none"/>
                <w:lang w:eastAsia="zh-CN"/>
              </w:rPr>
              <w:t xml:space="preserve"> 万元及以上的</w:t>
            </w:r>
          </w:p>
        </w:tc>
        <w:tc>
          <w:tcPr>
            <w:tcW w:w="752" w:type="dxa"/>
            <w:vMerge w:val="restart"/>
            <w:vAlign w:val="center"/>
          </w:tcPr>
          <w:p w14:paraId="0C66C728">
            <w:pPr>
              <w:pStyle w:val="142"/>
              <w:ind w:left="15"/>
              <w:rPr>
                <w:color w:val="auto"/>
                <w:sz w:val="24"/>
                <w:highlight w:val="none"/>
                <w:lang w:eastAsia="zh-CN"/>
              </w:rPr>
            </w:pPr>
            <w:r>
              <w:rPr>
                <w:rFonts w:hint="eastAsia"/>
                <w:color w:val="auto"/>
                <w:sz w:val="24"/>
                <w:highlight w:val="none"/>
                <w:lang w:eastAsia="zh-CN"/>
              </w:rPr>
              <w:t>从业人员营业收入</w:t>
            </w:r>
          </w:p>
        </w:tc>
      </w:tr>
      <w:tr w14:paraId="5320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0718C858">
            <w:pPr>
              <w:jc w:val="center"/>
              <w:rPr>
                <w:rFonts w:ascii="宋体" w:hAnsi="宋体" w:cs="宋体"/>
                <w:color w:val="auto"/>
                <w:sz w:val="24"/>
                <w:highlight w:val="none"/>
              </w:rPr>
            </w:pPr>
          </w:p>
        </w:tc>
        <w:tc>
          <w:tcPr>
            <w:tcW w:w="860" w:type="dxa"/>
            <w:vMerge w:val="continue"/>
            <w:vAlign w:val="center"/>
          </w:tcPr>
          <w:p w14:paraId="7C7EED38">
            <w:pPr>
              <w:jc w:val="center"/>
              <w:rPr>
                <w:rFonts w:ascii="宋体" w:hAnsi="宋体" w:cs="宋体"/>
                <w:color w:val="auto"/>
                <w:sz w:val="24"/>
                <w:highlight w:val="none"/>
              </w:rPr>
            </w:pPr>
          </w:p>
        </w:tc>
        <w:tc>
          <w:tcPr>
            <w:tcW w:w="2157" w:type="dxa"/>
            <w:vMerge w:val="continue"/>
            <w:vAlign w:val="center"/>
          </w:tcPr>
          <w:p w14:paraId="4DD88C60">
            <w:pPr>
              <w:rPr>
                <w:rFonts w:ascii="宋体" w:hAnsi="宋体" w:cs="宋体"/>
                <w:color w:val="auto"/>
                <w:sz w:val="24"/>
                <w:highlight w:val="none"/>
              </w:rPr>
            </w:pPr>
          </w:p>
        </w:tc>
        <w:tc>
          <w:tcPr>
            <w:tcW w:w="1215" w:type="dxa"/>
            <w:vAlign w:val="center"/>
          </w:tcPr>
          <w:p w14:paraId="0CD39F95">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5F27F6A6">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0EA1142F">
            <w:pPr>
              <w:jc w:val="center"/>
              <w:rPr>
                <w:rFonts w:ascii="宋体" w:hAnsi="宋体" w:cs="宋体"/>
                <w:color w:val="auto"/>
                <w:sz w:val="24"/>
                <w:highlight w:val="none"/>
                <w:lang w:bidi="en-US"/>
              </w:rPr>
            </w:pPr>
          </w:p>
        </w:tc>
      </w:tr>
      <w:tr w14:paraId="1357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A0758DC">
            <w:pPr>
              <w:jc w:val="center"/>
              <w:rPr>
                <w:rFonts w:ascii="宋体" w:hAnsi="宋体" w:cs="宋体"/>
                <w:color w:val="auto"/>
                <w:sz w:val="24"/>
                <w:highlight w:val="none"/>
              </w:rPr>
            </w:pPr>
          </w:p>
        </w:tc>
        <w:tc>
          <w:tcPr>
            <w:tcW w:w="860" w:type="dxa"/>
            <w:vMerge w:val="continue"/>
            <w:vAlign w:val="center"/>
          </w:tcPr>
          <w:p w14:paraId="63F26051">
            <w:pPr>
              <w:jc w:val="center"/>
              <w:rPr>
                <w:rFonts w:ascii="宋体" w:hAnsi="宋体" w:cs="宋体"/>
                <w:color w:val="auto"/>
                <w:sz w:val="24"/>
                <w:highlight w:val="none"/>
              </w:rPr>
            </w:pPr>
          </w:p>
        </w:tc>
        <w:tc>
          <w:tcPr>
            <w:tcW w:w="2157" w:type="dxa"/>
            <w:vMerge w:val="continue"/>
            <w:vAlign w:val="center"/>
          </w:tcPr>
          <w:p w14:paraId="532D1B48">
            <w:pPr>
              <w:rPr>
                <w:rFonts w:ascii="宋体" w:hAnsi="宋体" w:cs="宋体"/>
                <w:color w:val="auto"/>
                <w:sz w:val="24"/>
                <w:highlight w:val="none"/>
              </w:rPr>
            </w:pPr>
          </w:p>
        </w:tc>
        <w:tc>
          <w:tcPr>
            <w:tcW w:w="1215" w:type="dxa"/>
            <w:vAlign w:val="center"/>
          </w:tcPr>
          <w:p w14:paraId="58C80403">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05CCBF04">
            <w:pPr>
              <w:pStyle w:val="142"/>
              <w:spacing w:before="69"/>
              <w:ind w:left="15"/>
              <w:rPr>
                <w:color w:val="auto"/>
                <w:sz w:val="24"/>
                <w:highlight w:val="none"/>
                <w:lang w:eastAsia="zh-CN"/>
              </w:rPr>
            </w:pPr>
            <w:r>
              <w:rPr>
                <w:rFonts w:hint="eastAsia"/>
                <w:color w:val="auto"/>
                <w:sz w:val="24"/>
                <w:highlight w:val="none"/>
                <w:lang w:eastAsia="zh-CN"/>
              </w:rPr>
              <w:t>从业人员 10 人以下或营业收入 100 万元以下的</w:t>
            </w:r>
          </w:p>
        </w:tc>
        <w:tc>
          <w:tcPr>
            <w:tcW w:w="752" w:type="dxa"/>
            <w:vMerge w:val="continue"/>
            <w:vAlign w:val="center"/>
          </w:tcPr>
          <w:p w14:paraId="3935F403">
            <w:pPr>
              <w:jc w:val="center"/>
              <w:rPr>
                <w:rFonts w:ascii="宋体" w:hAnsi="宋体" w:cs="宋体"/>
                <w:color w:val="auto"/>
                <w:sz w:val="24"/>
                <w:highlight w:val="none"/>
                <w:lang w:bidi="en-US"/>
              </w:rPr>
            </w:pPr>
          </w:p>
        </w:tc>
      </w:tr>
      <w:tr w14:paraId="3A5B5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20D07975">
            <w:pPr>
              <w:pStyle w:val="142"/>
              <w:spacing w:before="80"/>
              <w:ind w:left="40" w:right="32"/>
              <w:jc w:val="center"/>
              <w:rPr>
                <w:color w:val="auto"/>
                <w:sz w:val="24"/>
                <w:highlight w:val="none"/>
              </w:rPr>
            </w:pPr>
            <w:r>
              <w:rPr>
                <w:rFonts w:hint="eastAsia"/>
                <w:color w:val="auto"/>
                <w:sz w:val="24"/>
                <w:highlight w:val="none"/>
              </w:rPr>
              <w:t>11</w:t>
            </w:r>
          </w:p>
        </w:tc>
        <w:tc>
          <w:tcPr>
            <w:tcW w:w="860" w:type="dxa"/>
            <w:vMerge w:val="restart"/>
            <w:vAlign w:val="center"/>
          </w:tcPr>
          <w:p w14:paraId="588C5F42">
            <w:pPr>
              <w:pStyle w:val="142"/>
              <w:spacing w:before="67"/>
              <w:ind w:left="7" w:right="2"/>
              <w:jc w:val="center"/>
              <w:rPr>
                <w:color w:val="auto"/>
                <w:sz w:val="24"/>
                <w:highlight w:val="none"/>
              </w:rPr>
            </w:pPr>
            <w:r>
              <w:rPr>
                <w:rFonts w:hint="eastAsia"/>
                <w:color w:val="auto"/>
                <w:sz w:val="24"/>
                <w:highlight w:val="none"/>
              </w:rPr>
              <w:t>信息传输</w:t>
            </w:r>
          </w:p>
        </w:tc>
        <w:tc>
          <w:tcPr>
            <w:tcW w:w="2157" w:type="dxa"/>
            <w:vMerge w:val="restart"/>
            <w:vAlign w:val="center"/>
          </w:tcPr>
          <w:p w14:paraId="76B01BA6">
            <w:pPr>
              <w:pStyle w:val="142"/>
              <w:spacing w:before="67"/>
              <w:ind w:left="7"/>
              <w:rPr>
                <w:color w:val="auto"/>
                <w:sz w:val="24"/>
                <w:highlight w:val="none"/>
                <w:lang w:eastAsia="zh-CN"/>
              </w:rPr>
            </w:pPr>
            <w:r>
              <w:rPr>
                <w:rFonts w:hint="eastAsia"/>
                <w:color w:val="auto"/>
                <w:sz w:val="24"/>
                <w:highlight w:val="none"/>
                <w:lang w:eastAsia="zh-CN"/>
              </w:rPr>
              <w:t>从业人员2000人以下或营业收入100000万元以下的为中小微型企业。</w:t>
            </w:r>
          </w:p>
        </w:tc>
        <w:tc>
          <w:tcPr>
            <w:tcW w:w="1215" w:type="dxa"/>
            <w:vAlign w:val="center"/>
          </w:tcPr>
          <w:p w14:paraId="262F65C7">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6781E1E2">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1000</w:t>
            </w:r>
            <w:r>
              <w:rPr>
                <w:rFonts w:hint="eastAsia"/>
                <w:color w:val="auto"/>
                <w:spacing w:val="-9"/>
                <w:sz w:val="24"/>
                <w:highlight w:val="none"/>
                <w:lang w:eastAsia="zh-CN"/>
              </w:rPr>
              <w:t xml:space="preserve"> 万元及以上的</w:t>
            </w:r>
          </w:p>
        </w:tc>
        <w:tc>
          <w:tcPr>
            <w:tcW w:w="752" w:type="dxa"/>
            <w:vMerge w:val="restart"/>
            <w:vAlign w:val="center"/>
          </w:tcPr>
          <w:p w14:paraId="0B3859D8">
            <w:pPr>
              <w:pStyle w:val="142"/>
              <w:ind w:left="15"/>
              <w:rPr>
                <w:color w:val="auto"/>
                <w:sz w:val="24"/>
                <w:highlight w:val="none"/>
                <w:lang w:eastAsia="zh-CN"/>
              </w:rPr>
            </w:pPr>
            <w:r>
              <w:rPr>
                <w:rFonts w:hint="eastAsia"/>
                <w:color w:val="auto"/>
                <w:sz w:val="24"/>
                <w:highlight w:val="none"/>
                <w:lang w:eastAsia="zh-CN"/>
              </w:rPr>
              <w:t>从业人员营业收入</w:t>
            </w:r>
          </w:p>
        </w:tc>
      </w:tr>
      <w:tr w14:paraId="09056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5273A03">
            <w:pPr>
              <w:pStyle w:val="142"/>
              <w:spacing w:before="80"/>
              <w:ind w:left="40" w:right="32"/>
              <w:jc w:val="center"/>
              <w:rPr>
                <w:color w:val="auto"/>
                <w:sz w:val="24"/>
                <w:highlight w:val="none"/>
              </w:rPr>
            </w:pPr>
          </w:p>
        </w:tc>
        <w:tc>
          <w:tcPr>
            <w:tcW w:w="860" w:type="dxa"/>
            <w:vMerge w:val="continue"/>
            <w:vAlign w:val="center"/>
          </w:tcPr>
          <w:p w14:paraId="239BBCA3">
            <w:pPr>
              <w:pStyle w:val="142"/>
              <w:spacing w:before="67"/>
              <w:ind w:left="7" w:right="2"/>
              <w:jc w:val="center"/>
              <w:rPr>
                <w:color w:val="auto"/>
                <w:sz w:val="24"/>
                <w:highlight w:val="none"/>
              </w:rPr>
            </w:pPr>
          </w:p>
        </w:tc>
        <w:tc>
          <w:tcPr>
            <w:tcW w:w="2157" w:type="dxa"/>
            <w:vMerge w:val="continue"/>
            <w:vAlign w:val="center"/>
          </w:tcPr>
          <w:p w14:paraId="19BB25A6">
            <w:pPr>
              <w:pStyle w:val="142"/>
              <w:spacing w:before="67"/>
              <w:ind w:left="7"/>
              <w:rPr>
                <w:color w:val="auto"/>
                <w:spacing w:val="-9"/>
                <w:sz w:val="24"/>
                <w:highlight w:val="none"/>
              </w:rPr>
            </w:pPr>
          </w:p>
        </w:tc>
        <w:tc>
          <w:tcPr>
            <w:tcW w:w="1215" w:type="dxa"/>
            <w:vAlign w:val="center"/>
          </w:tcPr>
          <w:p w14:paraId="61E3CF64">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02B46170">
            <w:pPr>
              <w:pStyle w:val="142"/>
              <w:spacing w:before="67"/>
              <w:ind w:left="15"/>
              <w:rPr>
                <w:color w:val="auto"/>
                <w:spacing w:val="-11"/>
                <w:sz w:val="24"/>
                <w:highlight w:val="none"/>
                <w:lang w:eastAsia="zh-CN"/>
              </w:rPr>
            </w:pPr>
            <w:r>
              <w:rPr>
                <w:rFonts w:hint="eastAsia"/>
                <w:color w:val="auto"/>
                <w:sz w:val="24"/>
                <w:highlight w:val="none"/>
                <w:lang w:eastAsia="zh-CN"/>
              </w:rPr>
              <w:t>从业人员10人及以上，且营业收入100万元及以上的</w:t>
            </w:r>
          </w:p>
        </w:tc>
        <w:tc>
          <w:tcPr>
            <w:tcW w:w="752" w:type="dxa"/>
            <w:vMerge w:val="continue"/>
            <w:vAlign w:val="center"/>
          </w:tcPr>
          <w:p w14:paraId="0562D786">
            <w:pPr>
              <w:pStyle w:val="142"/>
              <w:ind w:left="15"/>
              <w:rPr>
                <w:color w:val="auto"/>
                <w:sz w:val="24"/>
                <w:highlight w:val="none"/>
                <w:lang w:eastAsia="zh-CN"/>
              </w:rPr>
            </w:pPr>
          </w:p>
        </w:tc>
      </w:tr>
      <w:tr w14:paraId="39FE3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6A314A8">
            <w:pPr>
              <w:pStyle w:val="142"/>
              <w:spacing w:before="80"/>
              <w:ind w:left="40" w:right="32"/>
              <w:jc w:val="center"/>
              <w:rPr>
                <w:color w:val="auto"/>
                <w:sz w:val="24"/>
                <w:highlight w:val="none"/>
                <w:lang w:eastAsia="zh-CN"/>
              </w:rPr>
            </w:pPr>
          </w:p>
        </w:tc>
        <w:tc>
          <w:tcPr>
            <w:tcW w:w="860" w:type="dxa"/>
            <w:vMerge w:val="continue"/>
            <w:vAlign w:val="center"/>
          </w:tcPr>
          <w:p w14:paraId="669C18FC">
            <w:pPr>
              <w:pStyle w:val="142"/>
              <w:spacing w:before="67"/>
              <w:ind w:left="7" w:right="2"/>
              <w:jc w:val="center"/>
              <w:rPr>
                <w:color w:val="auto"/>
                <w:sz w:val="24"/>
                <w:highlight w:val="none"/>
                <w:lang w:eastAsia="zh-CN"/>
              </w:rPr>
            </w:pPr>
          </w:p>
        </w:tc>
        <w:tc>
          <w:tcPr>
            <w:tcW w:w="2157" w:type="dxa"/>
            <w:vMerge w:val="continue"/>
            <w:vAlign w:val="center"/>
          </w:tcPr>
          <w:p w14:paraId="7DA645A0">
            <w:pPr>
              <w:pStyle w:val="142"/>
              <w:spacing w:before="67"/>
              <w:ind w:left="7"/>
              <w:rPr>
                <w:color w:val="auto"/>
                <w:spacing w:val="-9"/>
                <w:sz w:val="24"/>
                <w:highlight w:val="none"/>
                <w:lang w:eastAsia="zh-CN"/>
              </w:rPr>
            </w:pPr>
          </w:p>
        </w:tc>
        <w:tc>
          <w:tcPr>
            <w:tcW w:w="1215" w:type="dxa"/>
            <w:vAlign w:val="center"/>
          </w:tcPr>
          <w:p w14:paraId="44E11CF6">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311F22C7">
            <w:pPr>
              <w:pStyle w:val="142"/>
              <w:spacing w:before="67"/>
              <w:ind w:left="15"/>
              <w:rPr>
                <w:color w:val="auto"/>
                <w:spacing w:val="-11"/>
                <w:sz w:val="24"/>
                <w:highlight w:val="none"/>
                <w:lang w:eastAsia="zh-CN"/>
              </w:rPr>
            </w:pPr>
            <w:r>
              <w:rPr>
                <w:rFonts w:hint="eastAsia"/>
                <w:color w:val="auto"/>
                <w:sz w:val="24"/>
                <w:highlight w:val="none"/>
                <w:lang w:eastAsia="zh-CN"/>
              </w:rPr>
              <w:t>从业人员10人以下或营业收入100万元以下的为</w:t>
            </w:r>
          </w:p>
        </w:tc>
        <w:tc>
          <w:tcPr>
            <w:tcW w:w="752" w:type="dxa"/>
            <w:vMerge w:val="continue"/>
            <w:vAlign w:val="center"/>
          </w:tcPr>
          <w:p w14:paraId="38A27098">
            <w:pPr>
              <w:pStyle w:val="142"/>
              <w:ind w:left="15"/>
              <w:rPr>
                <w:color w:val="auto"/>
                <w:sz w:val="24"/>
                <w:highlight w:val="none"/>
                <w:lang w:eastAsia="zh-CN"/>
              </w:rPr>
            </w:pPr>
          </w:p>
        </w:tc>
      </w:tr>
      <w:tr w14:paraId="295CE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4D356A56">
            <w:pPr>
              <w:pStyle w:val="142"/>
              <w:spacing w:before="80"/>
              <w:ind w:left="40" w:right="32"/>
              <w:jc w:val="center"/>
              <w:rPr>
                <w:color w:val="auto"/>
                <w:sz w:val="24"/>
                <w:highlight w:val="none"/>
                <w:lang w:eastAsia="zh-CN"/>
              </w:rPr>
            </w:pPr>
            <w:r>
              <w:rPr>
                <w:rFonts w:hint="eastAsia"/>
                <w:color w:val="auto"/>
                <w:sz w:val="24"/>
                <w:highlight w:val="none"/>
                <w:lang w:eastAsia="zh-CN"/>
              </w:rPr>
              <w:t>12</w:t>
            </w:r>
          </w:p>
        </w:tc>
        <w:tc>
          <w:tcPr>
            <w:tcW w:w="860" w:type="dxa"/>
            <w:vMerge w:val="restart"/>
            <w:vAlign w:val="center"/>
          </w:tcPr>
          <w:p w14:paraId="6C037A65">
            <w:pPr>
              <w:pStyle w:val="142"/>
              <w:spacing w:before="67"/>
              <w:ind w:left="7" w:right="2"/>
              <w:jc w:val="center"/>
              <w:rPr>
                <w:color w:val="auto"/>
                <w:sz w:val="24"/>
                <w:highlight w:val="none"/>
                <w:lang w:eastAsia="zh-CN"/>
              </w:rPr>
            </w:pPr>
            <w:r>
              <w:rPr>
                <w:rFonts w:hint="eastAsia"/>
                <w:color w:val="auto"/>
                <w:sz w:val="24"/>
                <w:highlight w:val="none"/>
                <w:lang w:eastAsia="zh-CN"/>
              </w:rPr>
              <w:t>软件和信息技术服务业。</w:t>
            </w:r>
          </w:p>
        </w:tc>
        <w:tc>
          <w:tcPr>
            <w:tcW w:w="2157" w:type="dxa"/>
            <w:vMerge w:val="restart"/>
            <w:vAlign w:val="center"/>
          </w:tcPr>
          <w:p w14:paraId="054AEE38">
            <w:pPr>
              <w:pStyle w:val="142"/>
              <w:spacing w:before="67"/>
              <w:ind w:left="7"/>
              <w:rPr>
                <w:color w:val="auto"/>
                <w:spacing w:val="-9"/>
                <w:sz w:val="24"/>
                <w:highlight w:val="none"/>
                <w:lang w:eastAsia="zh-CN"/>
              </w:rPr>
            </w:pPr>
            <w:r>
              <w:rPr>
                <w:rFonts w:hint="eastAsia"/>
                <w:color w:val="auto"/>
                <w:spacing w:val="-9"/>
                <w:sz w:val="24"/>
                <w:highlight w:val="none"/>
                <w:lang w:eastAsia="zh-CN"/>
              </w:rPr>
              <w:t>从业人员300人以下或营业收入10000万元以下的为中小微型企业</w:t>
            </w:r>
          </w:p>
        </w:tc>
        <w:tc>
          <w:tcPr>
            <w:tcW w:w="1215" w:type="dxa"/>
            <w:vAlign w:val="center"/>
          </w:tcPr>
          <w:p w14:paraId="5BA20D09">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3D33A0F0">
            <w:pPr>
              <w:pStyle w:val="142"/>
              <w:spacing w:before="67"/>
              <w:ind w:left="15"/>
              <w:rPr>
                <w:color w:val="auto"/>
                <w:spacing w:val="-11"/>
                <w:sz w:val="24"/>
                <w:highlight w:val="none"/>
                <w:lang w:eastAsia="zh-CN"/>
              </w:rPr>
            </w:pPr>
            <w:r>
              <w:rPr>
                <w:rFonts w:hint="eastAsia"/>
                <w:color w:val="auto"/>
                <w:sz w:val="24"/>
                <w:highlight w:val="none"/>
                <w:lang w:eastAsia="zh-CN"/>
              </w:rPr>
              <w:t>从业人员100人及以上，且营业收入1000万元及以上的</w:t>
            </w:r>
          </w:p>
        </w:tc>
        <w:tc>
          <w:tcPr>
            <w:tcW w:w="752" w:type="dxa"/>
            <w:vMerge w:val="restart"/>
            <w:vAlign w:val="center"/>
          </w:tcPr>
          <w:p w14:paraId="4B28BF23">
            <w:pPr>
              <w:pStyle w:val="142"/>
              <w:ind w:left="15"/>
              <w:rPr>
                <w:color w:val="auto"/>
                <w:sz w:val="24"/>
                <w:highlight w:val="none"/>
                <w:lang w:eastAsia="zh-CN"/>
              </w:rPr>
            </w:pPr>
            <w:r>
              <w:rPr>
                <w:rFonts w:hint="eastAsia"/>
                <w:color w:val="auto"/>
                <w:sz w:val="24"/>
                <w:highlight w:val="none"/>
                <w:lang w:eastAsia="zh-CN"/>
              </w:rPr>
              <w:t>从业人员营业收入</w:t>
            </w:r>
          </w:p>
        </w:tc>
      </w:tr>
      <w:tr w14:paraId="3808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135D2AAC">
            <w:pPr>
              <w:pStyle w:val="142"/>
              <w:spacing w:before="80"/>
              <w:ind w:left="40" w:right="32"/>
              <w:jc w:val="center"/>
              <w:rPr>
                <w:color w:val="auto"/>
                <w:sz w:val="24"/>
                <w:highlight w:val="none"/>
              </w:rPr>
            </w:pPr>
          </w:p>
        </w:tc>
        <w:tc>
          <w:tcPr>
            <w:tcW w:w="860" w:type="dxa"/>
            <w:vMerge w:val="continue"/>
            <w:vAlign w:val="center"/>
          </w:tcPr>
          <w:p w14:paraId="48AC4A99">
            <w:pPr>
              <w:pStyle w:val="142"/>
              <w:spacing w:before="67"/>
              <w:ind w:left="7" w:right="2"/>
              <w:jc w:val="center"/>
              <w:rPr>
                <w:color w:val="auto"/>
                <w:sz w:val="24"/>
                <w:highlight w:val="none"/>
              </w:rPr>
            </w:pPr>
          </w:p>
        </w:tc>
        <w:tc>
          <w:tcPr>
            <w:tcW w:w="2157" w:type="dxa"/>
            <w:vMerge w:val="continue"/>
            <w:vAlign w:val="center"/>
          </w:tcPr>
          <w:p w14:paraId="1DDFB68F">
            <w:pPr>
              <w:pStyle w:val="142"/>
              <w:spacing w:before="67"/>
              <w:ind w:left="7"/>
              <w:rPr>
                <w:color w:val="auto"/>
                <w:spacing w:val="-9"/>
                <w:sz w:val="24"/>
                <w:highlight w:val="none"/>
                <w:lang w:eastAsia="zh-CN"/>
              </w:rPr>
            </w:pPr>
          </w:p>
        </w:tc>
        <w:tc>
          <w:tcPr>
            <w:tcW w:w="1215" w:type="dxa"/>
            <w:vAlign w:val="center"/>
          </w:tcPr>
          <w:p w14:paraId="72D03090">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675B77B2">
            <w:pPr>
              <w:pStyle w:val="142"/>
              <w:spacing w:before="67"/>
              <w:ind w:left="15"/>
              <w:rPr>
                <w:color w:val="auto"/>
                <w:sz w:val="24"/>
                <w:highlight w:val="none"/>
                <w:lang w:eastAsia="zh-CN"/>
              </w:rPr>
            </w:pPr>
            <w:r>
              <w:rPr>
                <w:rFonts w:hint="eastAsia"/>
                <w:color w:val="auto"/>
                <w:sz w:val="24"/>
                <w:highlight w:val="none"/>
                <w:lang w:eastAsia="zh-CN"/>
              </w:rPr>
              <w:t>从业人员10人及以上，且营业收入50万元及以上的</w:t>
            </w:r>
          </w:p>
        </w:tc>
        <w:tc>
          <w:tcPr>
            <w:tcW w:w="752" w:type="dxa"/>
            <w:vMerge w:val="continue"/>
            <w:vAlign w:val="center"/>
          </w:tcPr>
          <w:p w14:paraId="17E0D29B">
            <w:pPr>
              <w:pStyle w:val="142"/>
              <w:ind w:left="15"/>
              <w:rPr>
                <w:color w:val="auto"/>
                <w:sz w:val="24"/>
                <w:highlight w:val="none"/>
                <w:lang w:eastAsia="zh-CN"/>
              </w:rPr>
            </w:pPr>
          </w:p>
        </w:tc>
      </w:tr>
      <w:tr w14:paraId="3167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DA57AA9">
            <w:pPr>
              <w:pStyle w:val="142"/>
              <w:spacing w:before="80"/>
              <w:ind w:left="40" w:right="32"/>
              <w:jc w:val="center"/>
              <w:rPr>
                <w:color w:val="auto"/>
                <w:sz w:val="24"/>
                <w:highlight w:val="none"/>
                <w:lang w:eastAsia="zh-CN"/>
              </w:rPr>
            </w:pPr>
          </w:p>
        </w:tc>
        <w:tc>
          <w:tcPr>
            <w:tcW w:w="860" w:type="dxa"/>
            <w:vMerge w:val="continue"/>
            <w:vAlign w:val="center"/>
          </w:tcPr>
          <w:p w14:paraId="61C8F3B2">
            <w:pPr>
              <w:pStyle w:val="142"/>
              <w:spacing w:before="67"/>
              <w:ind w:left="7" w:right="2"/>
              <w:jc w:val="center"/>
              <w:rPr>
                <w:color w:val="auto"/>
                <w:sz w:val="24"/>
                <w:highlight w:val="none"/>
                <w:lang w:eastAsia="zh-CN"/>
              </w:rPr>
            </w:pPr>
          </w:p>
        </w:tc>
        <w:tc>
          <w:tcPr>
            <w:tcW w:w="2157" w:type="dxa"/>
            <w:vMerge w:val="continue"/>
            <w:vAlign w:val="center"/>
          </w:tcPr>
          <w:p w14:paraId="6C660385">
            <w:pPr>
              <w:pStyle w:val="142"/>
              <w:spacing w:before="67"/>
              <w:ind w:left="7"/>
              <w:rPr>
                <w:color w:val="auto"/>
                <w:spacing w:val="-9"/>
                <w:sz w:val="24"/>
                <w:highlight w:val="none"/>
                <w:lang w:eastAsia="zh-CN"/>
              </w:rPr>
            </w:pPr>
          </w:p>
        </w:tc>
        <w:tc>
          <w:tcPr>
            <w:tcW w:w="1215" w:type="dxa"/>
            <w:vAlign w:val="center"/>
          </w:tcPr>
          <w:p w14:paraId="3E44F7FD">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0D5E7B4D">
            <w:pPr>
              <w:pStyle w:val="142"/>
              <w:spacing w:before="67"/>
              <w:ind w:left="15"/>
              <w:rPr>
                <w:color w:val="auto"/>
                <w:sz w:val="24"/>
                <w:highlight w:val="none"/>
                <w:lang w:eastAsia="zh-CN"/>
              </w:rPr>
            </w:pPr>
            <w:r>
              <w:rPr>
                <w:rFonts w:hint="eastAsia"/>
                <w:color w:val="auto"/>
                <w:sz w:val="24"/>
                <w:highlight w:val="none"/>
                <w:lang w:eastAsia="zh-CN"/>
              </w:rPr>
              <w:t>从业人员10人以下或营业收入50万元以下的</w:t>
            </w:r>
          </w:p>
        </w:tc>
        <w:tc>
          <w:tcPr>
            <w:tcW w:w="752" w:type="dxa"/>
            <w:vMerge w:val="continue"/>
            <w:vAlign w:val="center"/>
          </w:tcPr>
          <w:p w14:paraId="53CCB594">
            <w:pPr>
              <w:pStyle w:val="142"/>
              <w:ind w:left="15"/>
              <w:rPr>
                <w:color w:val="auto"/>
                <w:sz w:val="24"/>
                <w:highlight w:val="none"/>
                <w:lang w:eastAsia="zh-CN"/>
              </w:rPr>
            </w:pPr>
          </w:p>
        </w:tc>
      </w:tr>
      <w:tr w14:paraId="62459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695574E4">
            <w:pPr>
              <w:pStyle w:val="142"/>
              <w:spacing w:before="80"/>
              <w:ind w:left="40" w:right="32"/>
              <w:jc w:val="center"/>
              <w:rPr>
                <w:color w:val="auto"/>
                <w:sz w:val="24"/>
                <w:highlight w:val="none"/>
                <w:lang w:eastAsia="zh-CN"/>
              </w:rPr>
            </w:pPr>
            <w:r>
              <w:rPr>
                <w:rFonts w:hint="eastAsia"/>
                <w:color w:val="auto"/>
                <w:sz w:val="24"/>
                <w:highlight w:val="none"/>
                <w:lang w:eastAsia="zh-CN"/>
              </w:rPr>
              <w:t>13</w:t>
            </w:r>
          </w:p>
        </w:tc>
        <w:tc>
          <w:tcPr>
            <w:tcW w:w="860" w:type="dxa"/>
            <w:vMerge w:val="restart"/>
            <w:vAlign w:val="center"/>
          </w:tcPr>
          <w:p w14:paraId="4715AF09">
            <w:pPr>
              <w:pStyle w:val="142"/>
              <w:spacing w:before="67"/>
              <w:ind w:left="7" w:right="2"/>
              <w:jc w:val="center"/>
              <w:rPr>
                <w:color w:val="auto"/>
                <w:sz w:val="24"/>
                <w:highlight w:val="none"/>
              </w:rPr>
            </w:pPr>
            <w:r>
              <w:rPr>
                <w:rFonts w:hint="eastAsia"/>
                <w:color w:val="auto"/>
                <w:sz w:val="24"/>
                <w:highlight w:val="none"/>
              </w:rPr>
              <w:t>房地产开发经营</w:t>
            </w:r>
          </w:p>
        </w:tc>
        <w:tc>
          <w:tcPr>
            <w:tcW w:w="2157" w:type="dxa"/>
            <w:vMerge w:val="restart"/>
            <w:vAlign w:val="center"/>
          </w:tcPr>
          <w:p w14:paraId="19E3103F">
            <w:pPr>
              <w:pStyle w:val="142"/>
              <w:spacing w:before="67"/>
              <w:ind w:left="7"/>
              <w:rPr>
                <w:color w:val="auto"/>
                <w:spacing w:val="-9"/>
                <w:sz w:val="24"/>
                <w:highlight w:val="none"/>
                <w:lang w:eastAsia="zh-CN"/>
              </w:rPr>
            </w:pPr>
            <w:r>
              <w:rPr>
                <w:rFonts w:hint="eastAsia"/>
                <w:color w:val="auto"/>
                <w:sz w:val="24"/>
                <w:highlight w:val="none"/>
                <w:lang w:eastAsia="zh-CN"/>
              </w:rPr>
              <w:t>营业收入200000万元以下或资产总额10000万元以下的为中小微型企业</w:t>
            </w:r>
          </w:p>
        </w:tc>
        <w:tc>
          <w:tcPr>
            <w:tcW w:w="1215" w:type="dxa"/>
            <w:vAlign w:val="center"/>
          </w:tcPr>
          <w:p w14:paraId="4BAFDAF7">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5FA6881A">
            <w:pPr>
              <w:pStyle w:val="142"/>
              <w:spacing w:before="67"/>
              <w:ind w:left="15"/>
              <w:rPr>
                <w:color w:val="auto"/>
                <w:sz w:val="24"/>
                <w:highlight w:val="none"/>
                <w:lang w:eastAsia="zh-CN"/>
              </w:rPr>
            </w:pPr>
            <w:r>
              <w:rPr>
                <w:rFonts w:hint="eastAsia"/>
                <w:color w:val="auto"/>
                <w:sz w:val="24"/>
                <w:highlight w:val="none"/>
                <w:lang w:eastAsia="zh-CN"/>
              </w:rPr>
              <w:t>营业收入1000万元及以上，且资产总额5000万元及以上的</w:t>
            </w:r>
          </w:p>
        </w:tc>
        <w:tc>
          <w:tcPr>
            <w:tcW w:w="752" w:type="dxa"/>
            <w:vMerge w:val="restart"/>
            <w:vAlign w:val="center"/>
          </w:tcPr>
          <w:p w14:paraId="6A5F706B">
            <w:pPr>
              <w:pStyle w:val="142"/>
              <w:ind w:left="15"/>
              <w:rPr>
                <w:color w:val="auto"/>
                <w:sz w:val="24"/>
                <w:highlight w:val="none"/>
                <w:lang w:eastAsia="zh-CN"/>
              </w:rPr>
            </w:pPr>
            <w:r>
              <w:rPr>
                <w:rFonts w:hint="eastAsia"/>
                <w:color w:val="auto"/>
                <w:sz w:val="24"/>
                <w:highlight w:val="none"/>
                <w:lang w:eastAsia="zh-CN"/>
              </w:rPr>
              <w:t>从业人员营业收入</w:t>
            </w:r>
          </w:p>
        </w:tc>
      </w:tr>
      <w:tr w14:paraId="2F707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EA6618C">
            <w:pPr>
              <w:pStyle w:val="142"/>
              <w:spacing w:before="80"/>
              <w:ind w:left="40" w:right="32"/>
              <w:jc w:val="center"/>
              <w:rPr>
                <w:color w:val="auto"/>
                <w:sz w:val="24"/>
                <w:highlight w:val="none"/>
              </w:rPr>
            </w:pPr>
          </w:p>
        </w:tc>
        <w:tc>
          <w:tcPr>
            <w:tcW w:w="860" w:type="dxa"/>
            <w:vMerge w:val="continue"/>
            <w:vAlign w:val="center"/>
          </w:tcPr>
          <w:p w14:paraId="6A2EE766">
            <w:pPr>
              <w:pStyle w:val="142"/>
              <w:spacing w:before="67"/>
              <w:ind w:left="7" w:right="2"/>
              <w:jc w:val="center"/>
              <w:rPr>
                <w:color w:val="auto"/>
                <w:sz w:val="24"/>
                <w:highlight w:val="none"/>
              </w:rPr>
            </w:pPr>
          </w:p>
        </w:tc>
        <w:tc>
          <w:tcPr>
            <w:tcW w:w="2157" w:type="dxa"/>
            <w:vMerge w:val="continue"/>
            <w:vAlign w:val="center"/>
          </w:tcPr>
          <w:p w14:paraId="644F549F">
            <w:pPr>
              <w:pStyle w:val="142"/>
              <w:spacing w:before="67"/>
              <w:ind w:left="7"/>
              <w:rPr>
                <w:color w:val="auto"/>
                <w:spacing w:val="-9"/>
                <w:sz w:val="24"/>
                <w:highlight w:val="none"/>
                <w:lang w:eastAsia="zh-CN"/>
              </w:rPr>
            </w:pPr>
          </w:p>
        </w:tc>
        <w:tc>
          <w:tcPr>
            <w:tcW w:w="1215" w:type="dxa"/>
            <w:vAlign w:val="center"/>
          </w:tcPr>
          <w:p w14:paraId="121A2988">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62056853">
            <w:pPr>
              <w:pStyle w:val="142"/>
              <w:spacing w:before="67"/>
              <w:ind w:left="15"/>
              <w:rPr>
                <w:color w:val="auto"/>
                <w:sz w:val="24"/>
                <w:highlight w:val="none"/>
                <w:lang w:eastAsia="zh-CN"/>
              </w:rPr>
            </w:pPr>
            <w:r>
              <w:rPr>
                <w:rFonts w:hint="eastAsia"/>
                <w:color w:val="auto"/>
                <w:sz w:val="24"/>
                <w:highlight w:val="none"/>
                <w:lang w:eastAsia="zh-CN"/>
              </w:rPr>
              <w:t>营业收入100万元及以上，且资产总额2000万元及以上的</w:t>
            </w:r>
          </w:p>
        </w:tc>
        <w:tc>
          <w:tcPr>
            <w:tcW w:w="752" w:type="dxa"/>
            <w:vMerge w:val="continue"/>
            <w:vAlign w:val="center"/>
          </w:tcPr>
          <w:p w14:paraId="71E572A5">
            <w:pPr>
              <w:pStyle w:val="142"/>
              <w:ind w:left="15"/>
              <w:rPr>
                <w:color w:val="auto"/>
                <w:sz w:val="24"/>
                <w:highlight w:val="none"/>
                <w:lang w:eastAsia="zh-CN"/>
              </w:rPr>
            </w:pPr>
          </w:p>
        </w:tc>
      </w:tr>
      <w:tr w14:paraId="3B46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3706976">
            <w:pPr>
              <w:pStyle w:val="142"/>
              <w:spacing w:before="80"/>
              <w:ind w:left="40" w:right="32"/>
              <w:jc w:val="center"/>
              <w:rPr>
                <w:color w:val="auto"/>
                <w:sz w:val="24"/>
                <w:highlight w:val="none"/>
                <w:lang w:eastAsia="zh-CN"/>
              </w:rPr>
            </w:pPr>
          </w:p>
        </w:tc>
        <w:tc>
          <w:tcPr>
            <w:tcW w:w="860" w:type="dxa"/>
            <w:vMerge w:val="continue"/>
            <w:vAlign w:val="center"/>
          </w:tcPr>
          <w:p w14:paraId="091489BE">
            <w:pPr>
              <w:pStyle w:val="142"/>
              <w:spacing w:before="67"/>
              <w:ind w:left="7" w:right="2"/>
              <w:jc w:val="center"/>
              <w:rPr>
                <w:color w:val="auto"/>
                <w:sz w:val="24"/>
                <w:highlight w:val="none"/>
                <w:lang w:eastAsia="zh-CN"/>
              </w:rPr>
            </w:pPr>
          </w:p>
        </w:tc>
        <w:tc>
          <w:tcPr>
            <w:tcW w:w="2157" w:type="dxa"/>
            <w:vMerge w:val="continue"/>
            <w:vAlign w:val="center"/>
          </w:tcPr>
          <w:p w14:paraId="7401FB82">
            <w:pPr>
              <w:pStyle w:val="142"/>
              <w:spacing w:before="67"/>
              <w:ind w:left="7"/>
              <w:rPr>
                <w:color w:val="auto"/>
                <w:spacing w:val="-9"/>
                <w:sz w:val="24"/>
                <w:highlight w:val="none"/>
                <w:lang w:eastAsia="zh-CN"/>
              </w:rPr>
            </w:pPr>
          </w:p>
        </w:tc>
        <w:tc>
          <w:tcPr>
            <w:tcW w:w="1215" w:type="dxa"/>
            <w:vAlign w:val="center"/>
          </w:tcPr>
          <w:p w14:paraId="05250DC3">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669D48EA">
            <w:pPr>
              <w:pStyle w:val="142"/>
              <w:spacing w:before="67"/>
              <w:ind w:left="15"/>
              <w:rPr>
                <w:color w:val="auto"/>
                <w:sz w:val="24"/>
                <w:highlight w:val="none"/>
                <w:lang w:eastAsia="zh-CN"/>
              </w:rPr>
            </w:pPr>
            <w:r>
              <w:rPr>
                <w:rFonts w:hint="eastAsia"/>
                <w:color w:val="auto"/>
                <w:sz w:val="24"/>
                <w:highlight w:val="none"/>
                <w:lang w:eastAsia="zh-CN"/>
              </w:rPr>
              <w:t>营业收入100万元以下或资产总额2000万元以下的</w:t>
            </w:r>
          </w:p>
        </w:tc>
        <w:tc>
          <w:tcPr>
            <w:tcW w:w="752" w:type="dxa"/>
            <w:vMerge w:val="continue"/>
            <w:vAlign w:val="center"/>
          </w:tcPr>
          <w:p w14:paraId="528C791A">
            <w:pPr>
              <w:pStyle w:val="142"/>
              <w:ind w:left="15"/>
              <w:rPr>
                <w:color w:val="auto"/>
                <w:sz w:val="24"/>
                <w:highlight w:val="none"/>
                <w:lang w:eastAsia="zh-CN"/>
              </w:rPr>
            </w:pPr>
          </w:p>
        </w:tc>
      </w:tr>
      <w:tr w14:paraId="469B9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6806F4EA">
            <w:pPr>
              <w:pStyle w:val="142"/>
              <w:spacing w:before="80"/>
              <w:ind w:left="40" w:right="32"/>
              <w:jc w:val="center"/>
              <w:rPr>
                <w:color w:val="auto"/>
                <w:sz w:val="24"/>
                <w:highlight w:val="none"/>
                <w:lang w:eastAsia="zh-CN"/>
              </w:rPr>
            </w:pPr>
            <w:r>
              <w:rPr>
                <w:rFonts w:hint="eastAsia"/>
                <w:color w:val="auto"/>
                <w:sz w:val="24"/>
                <w:highlight w:val="none"/>
                <w:lang w:eastAsia="zh-CN"/>
              </w:rPr>
              <w:t>14</w:t>
            </w:r>
          </w:p>
        </w:tc>
        <w:tc>
          <w:tcPr>
            <w:tcW w:w="860" w:type="dxa"/>
            <w:vMerge w:val="restart"/>
            <w:vAlign w:val="center"/>
          </w:tcPr>
          <w:p w14:paraId="514CF4EF">
            <w:pPr>
              <w:pStyle w:val="142"/>
              <w:spacing w:before="67"/>
              <w:ind w:left="7" w:right="2"/>
              <w:jc w:val="center"/>
              <w:rPr>
                <w:color w:val="auto"/>
                <w:sz w:val="24"/>
                <w:highlight w:val="none"/>
              </w:rPr>
            </w:pPr>
            <w:r>
              <w:rPr>
                <w:rFonts w:hint="eastAsia"/>
                <w:color w:val="auto"/>
                <w:sz w:val="24"/>
                <w:highlight w:val="none"/>
              </w:rPr>
              <w:t>物业管理</w:t>
            </w:r>
          </w:p>
        </w:tc>
        <w:tc>
          <w:tcPr>
            <w:tcW w:w="2157" w:type="dxa"/>
            <w:vMerge w:val="restart"/>
            <w:vAlign w:val="center"/>
          </w:tcPr>
          <w:p w14:paraId="2471ACF5">
            <w:pPr>
              <w:pStyle w:val="142"/>
              <w:spacing w:before="67"/>
              <w:ind w:left="7"/>
              <w:rPr>
                <w:color w:val="auto"/>
                <w:spacing w:val="-9"/>
                <w:sz w:val="24"/>
                <w:highlight w:val="none"/>
                <w:lang w:eastAsia="zh-CN"/>
              </w:rPr>
            </w:pPr>
            <w:r>
              <w:rPr>
                <w:rFonts w:hint="eastAsia"/>
                <w:color w:val="auto"/>
                <w:sz w:val="24"/>
                <w:highlight w:val="none"/>
                <w:lang w:eastAsia="zh-CN"/>
              </w:rPr>
              <w:t>从业人员1000人以下或营业收入5000万元以下的为中小微型企业</w:t>
            </w:r>
          </w:p>
        </w:tc>
        <w:tc>
          <w:tcPr>
            <w:tcW w:w="1215" w:type="dxa"/>
            <w:vAlign w:val="center"/>
          </w:tcPr>
          <w:p w14:paraId="25CC18F8">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5DDF0B49">
            <w:pPr>
              <w:pStyle w:val="142"/>
              <w:spacing w:before="67"/>
              <w:ind w:left="15"/>
              <w:rPr>
                <w:color w:val="auto"/>
                <w:sz w:val="24"/>
                <w:highlight w:val="none"/>
                <w:lang w:eastAsia="zh-CN"/>
              </w:rPr>
            </w:pPr>
            <w:r>
              <w:rPr>
                <w:rFonts w:hint="eastAsia"/>
                <w:color w:val="auto"/>
                <w:sz w:val="24"/>
                <w:highlight w:val="none"/>
                <w:lang w:eastAsia="zh-CN"/>
              </w:rPr>
              <w:t>从业人员300人及以上，且营业收入1000万元及以上的</w:t>
            </w:r>
          </w:p>
        </w:tc>
        <w:tc>
          <w:tcPr>
            <w:tcW w:w="752" w:type="dxa"/>
            <w:vMerge w:val="restart"/>
            <w:vAlign w:val="center"/>
          </w:tcPr>
          <w:p w14:paraId="68F6ECBF">
            <w:pPr>
              <w:pStyle w:val="142"/>
              <w:ind w:left="15"/>
              <w:rPr>
                <w:color w:val="auto"/>
                <w:sz w:val="24"/>
                <w:highlight w:val="none"/>
                <w:lang w:eastAsia="zh-CN"/>
              </w:rPr>
            </w:pPr>
            <w:r>
              <w:rPr>
                <w:rFonts w:hint="eastAsia"/>
                <w:color w:val="auto"/>
                <w:sz w:val="24"/>
                <w:highlight w:val="none"/>
                <w:lang w:eastAsia="zh-CN"/>
              </w:rPr>
              <w:t>从业人员营业收入</w:t>
            </w:r>
          </w:p>
        </w:tc>
      </w:tr>
      <w:tr w14:paraId="1A09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AB525C7">
            <w:pPr>
              <w:pStyle w:val="142"/>
              <w:spacing w:before="80"/>
              <w:ind w:left="40" w:right="32"/>
              <w:jc w:val="center"/>
              <w:rPr>
                <w:color w:val="auto"/>
                <w:sz w:val="24"/>
                <w:highlight w:val="none"/>
              </w:rPr>
            </w:pPr>
          </w:p>
        </w:tc>
        <w:tc>
          <w:tcPr>
            <w:tcW w:w="860" w:type="dxa"/>
            <w:vMerge w:val="continue"/>
            <w:vAlign w:val="center"/>
          </w:tcPr>
          <w:p w14:paraId="6384A7A7">
            <w:pPr>
              <w:pStyle w:val="142"/>
              <w:spacing w:before="67"/>
              <w:ind w:left="7" w:right="2"/>
              <w:jc w:val="center"/>
              <w:rPr>
                <w:color w:val="auto"/>
                <w:sz w:val="24"/>
                <w:highlight w:val="none"/>
              </w:rPr>
            </w:pPr>
          </w:p>
        </w:tc>
        <w:tc>
          <w:tcPr>
            <w:tcW w:w="2157" w:type="dxa"/>
            <w:vMerge w:val="continue"/>
            <w:vAlign w:val="center"/>
          </w:tcPr>
          <w:p w14:paraId="6D4213CD">
            <w:pPr>
              <w:pStyle w:val="142"/>
              <w:spacing w:before="67"/>
              <w:ind w:left="7"/>
              <w:rPr>
                <w:color w:val="auto"/>
                <w:spacing w:val="-9"/>
                <w:sz w:val="24"/>
                <w:highlight w:val="none"/>
                <w:lang w:eastAsia="zh-CN"/>
              </w:rPr>
            </w:pPr>
          </w:p>
        </w:tc>
        <w:tc>
          <w:tcPr>
            <w:tcW w:w="1215" w:type="dxa"/>
            <w:vAlign w:val="center"/>
          </w:tcPr>
          <w:p w14:paraId="4974017E">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7EC581DC">
            <w:pPr>
              <w:pStyle w:val="142"/>
              <w:spacing w:before="67"/>
              <w:ind w:left="15"/>
              <w:rPr>
                <w:color w:val="auto"/>
                <w:sz w:val="24"/>
                <w:highlight w:val="none"/>
                <w:lang w:eastAsia="zh-CN"/>
              </w:rPr>
            </w:pPr>
            <w:r>
              <w:rPr>
                <w:rFonts w:hint="eastAsia"/>
                <w:color w:val="auto"/>
                <w:sz w:val="24"/>
                <w:highlight w:val="none"/>
                <w:lang w:eastAsia="zh-CN"/>
              </w:rPr>
              <w:t>从业人员100人及以上，且营业收入500万元及以上的</w:t>
            </w:r>
          </w:p>
        </w:tc>
        <w:tc>
          <w:tcPr>
            <w:tcW w:w="752" w:type="dxa"/>
            <w:vMerge w:val="continue"/>
            <w:vAlign w:val="center"/>
          </w:tcPr>
          <w:p w14:paraId="0C64F963">
            <w:pPr>
              <w:pStyle w:val="142"/>
              <w:ind w:left="15"/>
              <w:rPr>
                <w:color w:val="auto"/>
                <w:sz w:val="24"/>
                <w:highlight w:val="none"/>
                <w:lang w:eastAsia="zh-CN"/>
              </w:rPr>
            </w:pPr>
          </w:p>
        </w:tc>
      </w:tr>
      <w:tr w14:paraId="545D6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5D6E7193">
            <w:pPr>
              <w:pStyle w:val="142"/>
              <w:spacing w:before="80"/>
              <w:ind w:left="40" w:right="32"/>
              <w:jc w:val="center"/>
              <w:rPr>
                <w:color w:val="auto"/>
                <w:sz w:val="24"/>
                <w:highlight w:val="none"/>
                <w:lang w:eastAsia="zh-CN"/>
              </w:rPr>
            </w:pPr>
          </w:p>
        </w:tc>
        <w:tc>
          <w:tcPr>
            <w:tcW w:w="860" w:type="dxa"/>
            <w:vMerge w:val="continue"/>
            <w:vAlign w:val="center"/>
          </w:tcPr>
          <w:p w14:paraId="137AC348">
            <w:pPr>
              <w:pStyle w:val="142"/>
              <w:spacing w:before="67"/>
              <w:ind w:left="7" w:right="2"/>
              <w:jc w:val="center"/>
              <w:rPr>
                <w:color w:val="auto"/>
                <w:sz w:val="24"/>
                <w:highlight w:val="none"/>
                <w:lang w:eastAsia="zh-CN"/>
              </w:rPr>
            </w:pPr>
          </w:p>
        </w:tc>
        <w:tc>
          <w:tcPr>
            <w:tcW w:w="2157" w:type="dxa"/>
            <w:vMerge w:val="continue"/>
            <w:vAlign w:val="center"/>
          </w:tcPr>
          <w:p w14:paraId="0B6429CF">
            <w:pPr>
              <w:pStyle w:val="142"/>
              <w:spacing w:before="67"/>
              <w:ind w:left="7"/>
              <w:rPr>
                <w:color w:val="auto"/>
                <w:spacing w:val="-9"/>
                <w:sz w:val="24"/>
                <w:highlight w:val="none"/>
                <w:lang w:eastAsia="zh-CN"/>
              </w:rPr>
            </w:pPr>
          </w:p>
        </w:tc>
        <w:tc>
          <w:tcPr>
            <w:tcW w:w="1215" w:type="dxa"/>
            <w:vAlign w:val="center"/>
          </w:tcPr>
          <w:p w14:paraId="54C8F0E3">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536BB082">
            <w:pPr>
              <w:pStyle w:val="142"/>
              <w:spacing w:before="67"/>
              <w:ind w:left="15"/>
              <w:rPr>
                <w:color w:val="auto"/>
                <w:sz w:val="24"/>
                <w:highlight w:val="none"/>
                <w:lang w:eastAsia="zh-CN"/>
              </w:rPr>
            </w:pPr>
            <w:r>
              <w:rPr>
                <w:rFonts w:hint="eastAsia"/>
                <w:color w:val="auto"/>
                <w:sz w:val="24"/>
                <w:highlight w:val="none"/>
                <w:lang w:eastAsia="zh-CN"/>
              </w:rPr>
              <w:t>从业人员100人以下或营业收入500万元以下的为</w:t>
            </w:r>
          </w:p>
        </w:tc>
        <w:tc>
          <w:tcPr>
            <w:tcW w:w="752" w:type="dxa"/>
            <w:vMerge w:val="continue"/>
            <w:vAlign w:val="center"/>
          </w:tcPr>
          <w:p w14:paraId="443ADF97">
            <w:pPr>
              <w:pStyle w:val="142"/>
              <w:ind w:left="15"/>
              <w:rPr>
                <w:color w:val="auto"/>
                <w:sz w:val="24"/>
                <w:highlight w:val="none"/>
                <w:lang w:eastAsia="zh-CN"/>
              </w:rPr>
            </w:pPr>
          </w:p>
        </w:tc>
      </w:tr>
      <w:tr w14:paraId="0D7B1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56A6AC3F">
            <w:pPr>
              <w:pStyle w:val="142"/>
              <w:spacing w:before="80"/>
              <w:ind w:left="40" w:right="32"/>
              <w:jc w:val="center"/>
              <w:rPr>
                <w:color w:val="auto"/>
                <w:sz w:val="24"/>
                <w:highlight w:val="none"/>
                <w:lang w:eastAsia="zh-CN"/>
              </w:rPr>
            </w:pPr>
            <w:r>
              <w:rPr>
                <w:rFonts w:hint="eastAsia"/>
                <w:color w:val="auto"/>
                <w:sz w:val="24"/>
                <w:highlight w:val="none"/>
                <w:lang w:eastAsia="zh-CN"/>
              </w:rPr>
              <w:t>15</w:t>
            </w:r>
          </w:p>
        </w:tc>
        <w:tc>
          <w:tcPr>
            <w:tcW w:w="860" w:type="dxa"/>
            <w:vMerge w:val="restart"/>
            <w:vAlign w:val="center"/>
          </w:tcPr>
          <w:p w14:paraId="7D271220">
            <w:pPr>
              <w:pStyle w:val="142"/>
              <w:spacing w:before="67"/>
              <w:ind w:left="7" w:right="2"/>
              <w:jc w:val="center"/>
              <w:rPr>
                <w:color w:val="auto"/>
                <w:sz w:val="24"/>
                <w:highlight w:val="none"/>
              </w:rPr>
            </w:pPr>
            <w:r>
              <w:rPr>
                <w:rFonts w:hint="eastAsia"/>
                <w:color w:val="auto"/>
                <w:sz w:val="24"/>
                <w:highlight w:val="none"/>
              </w:rPr>
              <w:t>租赁和商务服务业</w:t>
            </w:r>
          </w:p>
        </w:tc>
        <w:tc>
          <w:tcPr>
            <w:tcW w:w="2157" w:type="dxa"/>
            <w:vMerge w:val="restart"/>
            <w:vAlign w:val="center"/>
          </w:tcPr>
          <w:p w14:paraId="27708514">
            <w:pPr>
              <w:pStyle w:val="142"/>
              <w:spacing w:before="67"/>
              <w:ind w:left="7"/>
              <w:rPr>
                <w:color w:val="auto"/>
                <w:spacing w:val="-9"/>
                <w:sz w:val="24"/>
                <w:highlight w:val="none"/>
                <w:lang w:eastAsia="zh-CN"/>
              </w:rPr>
            </w:pPr>
            <w:r>
              <w:rPr>
                <w:rFonts w:hint="eastAsia"/>
                <w:color w:val="auto"/>
                <w:sz w:val="24"/>
                <w:highlight w:val="none"/>
                <w:lang w:eastAsia="zh-CN"/>
              </w:rPr>
              <w:t>从业人员300人以下或资产总额120000万元以下的为中小微型企业</w:t>
            </w:r>
          </w:p>
        </w:tc>
        <w:tc>
          <w:tcPr>
            <w:tcW w:w="1215" w:type="dxa"/>
            <w:vAlign w:val="center"/>
          </w:tcPr>
          <w:p w14:paraId="47E21A05">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5528694C">
            <w:pPr>
              <w:pStyle w:val="142"/>
              <w:spacing w:before="67"/>
              <w:ind w:left="15"/>
              <w:rPr>
                <w:color w:val="auto"/>
                <w:sz w:val="24"/>
                <w:highlight w:val="none"/>
                <w:lang w:eastAsia="zh-CN"/>
              </w:rPr>
            </w:pPr>
            <w:r>
              <w:rPr>
                <w:rFonts w:hint="eastAsia"/>
                <w:color w:val="auto"/>
                <w:sz w:val="24"/>
                <w:highlight w:val="none"/>
                <w:lang w:eastAsia="zh-CN"/>
              </w:rPr>
              <w:t>从业人员100人及以上，且资产总额8000万元及以上的</w:t>
            </w:r>
          </w:p>
        </w:tc>
        <w:tc>
          <w:tcPr>
            <w:tcW w:w="752" w:type="dxa"/>
            <w:vMerge w:val="restart"/>
            <w:vAlign w:val="center"/>
          </w:tcPr>
          <w:p w14:paraId="57F21DEC">
            <w:pPr>
              <w:pStyle w:val="142"/>
              <w:ind w:left="15"/>
              <w:rPr>
                <w:color w:val="auto"/>
                <w:sz w:val="24"/>
                <w:highlight w:val="none"/>
                <w:lang w:eastAsia="zh-CN"/>
              </w:rPr>
            </w:pPr>
            <w:r>
              <w:rPr>
                <w:rFonts w:hint="eastAsia"/>
                <w:color w:val="auto"/>
                <w:sz w:val="24"/>
                <w:highlight w:val="none"/>
                <w:lang w:eastAsia="zh-CN"/>
              </w:rPr>
              <w:t>从业人员营业收入</w:t>
            </w:r>
          </w:p>
        </w:tc>
      </w:tr>
      <w:tr w14:paraId="7616A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D355AD2">
            <w:pPr>
              <w:pStyle w:val="142"/>
              <w:spacing w:before="80"/>
              <w:ind w:left="40" w:right="32"/>
              <w:jc w:val="center"/>
              <w:rPr>
                <w:color w:val="auto"/>
                <w:sz w:val="24"/>
                <w:highlight w:val="none"/>
              </w:rPr>
            </w:pPr>
          </w:p>
        </w:tc>
        <w:tc>
          <w:tcPr>
            <w:tcW w:w="860" w:type="dxa"/>
            <w:vMerge w:val="continue"/>
            <w:vAlign w:val="center"/>
          </w:tcPr>
          <w:p w14:paraId="35CE0B86">
            <w:pPr>
              <w:pStyle w:val="142"/>
              <w:spacing w:before="67"/>
              <w:ind w:left="7" w:right="2"/>
              <w:jc w:val="center"/>
              <w:rPr>
                <w:color w:val="auto"/>
                <w:sz w:val="24"/>
                <w:highlight w:val="none"/>
              </w:rPr>
            </w:pPr>
          </w:p>
        </w:tc>
        <w:tc>
          <w:tcPr>
            <w:tcW w:w="2157" w:type="dxa"/>
            <w:vMerge w:val="continue"/>
            <w:vAlign w:val="center"/>
          </w:tcPr>
          <w:p w14:paraId="44E33F3C">
            <w:pPr>
              <w:pStyle w:val="142"/>
              <w:spacing w:before="67"/>
              <w:ind w:left="7"/>
              <w:rPr>
                <w:color w:val="auto"/>
                <w:spacing w:val="-9"/>
                <w:sz w:val="24"/>
                <w:highlight w:val="none"/>
                <w:lang w:eastAsia="zh-CN"/>
              </w:rPr>
            </w:pPr>
          </w:p>
        </w:tc>
        <w:tc>
          <w:tcPr>
            <w:tcW w:w="1215" w:type="dxa"/>
            <w:vAlign w:val="center"/>
          </w:tcPr>
          <w:p w14:paraId="50077959">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3986D784">
            <w:pPr>
              <w:pStyle w:val="142"/>
              <w:spacing w:before="67"/>
              <w:ind w:left="15"/>
              <w:rPr>
                <w:color w:val="auto"/>
                <w:sz w:val="24"/>
                <w:highlight w:val="none"/>
                <w:lang w:eastAsia="zh-CN"/>
              </w:rPr>
            </w:pPr>
            <w:r>
              <w:rPr>
                <w:rFonts w:hint="eastAsia"/>
                <w:color w:val="auto"/>
                <w:sz w:val="24"/>
                <w:highlight w:val="none"/>
                <w:lang w:eastAsia="zh-CN"/>
              </w:rPr>
              <w:t>从业人员10人及以上，且资产总额100万元及以上的</w:t>
            </w:r>
          </w:p>
        </w:tc>
        <w:tc>
          <w:tcPr>
            <w:tcW w:w="752" w:type="dxa"/>
            <w:vMerge w:val="continue"/>
            <w:vAlign w:val="center"/>
          </w:tcPr>
          <w:p w14:paraId="3AB24C3D">
            <w:pPr>
              <w:pStyle w:val="142"/>
              <w:ind w:left="15"/>
              <w:rPr>
                <w:color w:val="auto"/>
                <w:sz w:val="24"/>
                <w:highlight w:val="none"/>
                <w:lang w:eastAsia="zh-CN"/>
              </w:rPr>
            </w:pPr>
          </w:p>
        </w:tc>
      </w:tr>
      <w:tr w14:paraId="5B5C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B8E3359">
            <w:pPr>
              <w:pStyle w:val="142"/>
              <w:spacing w:before="80"/>
              <w:ind w:left="40" w:right="32"/>
              <w:jc w:val="center"/>
              <w:rPr>
                <w:color w:val="auto"/>
                <w:sz w:val="24"/>
                <w:highlight w:val="none"/>
                <w:lang w:eastAsia="zh-CN"/>
              </w:rPr>
            </w:pPr>
          </w:p>
        </w:tc>
        <w:tc>
          <w:tcPr>
            <w:tcW w:w="860" w:type="dxa"/>
            <w:vMerge w:val="continue"/>
            <w:vAlign w:val="center"/>
          </w:tcPr>
          <w:p w14:paraId="0E679B91">
            <w:pPr>
              <w:pStyle w:val="142"/>
              <w:spacing w:before="67"/>
              <w:ind w:left="7" w:right="2"/>
              <w:jc w:val="center"/>
              <w:rPr>
                <w:color w:val="auto"/>
                <w:sz w:val="24"/>
                <w:highlight w:val="none"/>
                <w:lang w:eastAsia="zh-CN"/>
              </w:rPr>
            </w:pPr>
          </w:p>
        </w:tc>
        <w:tc>
          <w:tcPr>
            <w:tcW w:w="2157" w:type="dxa"/>
            <w:vMerge w:val="continue"/>
            <w:vAlign w:val="center"/>
          </w:tcPr>
          <w:p w14:paraId="276DFE6A">
            <w:pPr>
              <w:pStyle w:val="142"/>
              <w:spacing w:before="67"/>
              <w:ind w:left="7"/>
              <w:rPr>
                <w:color w:val="auto"/>
                <w:spacing w:val="-9"/>
                <w:sz w:val="24"/>
                <w:highlight w:val="none"/>
                <w:lang w:eastAsia="zh-CN"/>
              </w:rPr>
            </w:pPr>
          </w:p>
        </w:tc>
        <w:tc>
          <w:tcPr>
            <w:tcW w:w="1215" w:type="dxa"/>
            <w:vAlign w:val="center"/>
          </w:tcPr>
          <w:p w14:paraId="1049E068">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29B58FBE">
            <w:pPr>
              <w:pStyle w:val="142"/>
              <w:spacing w:before="67"/>
              <w:ind w:left="15"/>
              <w:rPr>
                <w:color w:val="auto"/>
                <w:sz w:val="24"/>
                <w:highlight w:val="none"/>
                <w:lang w:eastAsia="zh-CN"/>
              </w:rPr>
            </w:pPr>
            <w:r>
              <w:rPr>
                <w:rFonts w:hint="eastAsia"/>
                <w:color w:val="auto"/>
                <w:sz w:val="24"/>
                <w:highlight w:val="none"/>
                <w:lang w:eastAsia="zh-CN"/>
              </w:rPr>
              <w:t>从业人员10人以下或资产总额100万元以下的</w:t>
            </w:r>
          </w:p>
        </w:tc>
        <w:tc>
          <w:tcPr>
            <w:tcW w:w="752" w:type="dxa"/>
            <w:vMerge w:val="continue"/>
            <w:vAlign w:val="center"/>
          </w:tcPr>
          <w:p w14:paraId="7284906F">
            <w:pPr>
              <w:pStyle w:val="142"/>
              <w:ind w:left="15"/>
              <w:rPr>
                <w:color w:val="auto"/>
                <w:sz w:val="24"/>
                <w:highlight w:val="none"/>
                <w:lang w:eastAsia="zh-CN"/>
              </w:rPr>
            </w:pPr>
          </w:p>
        </w:tc>
      </w:tr>
      <w:tr w14:paraId="675F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6441373E">
            <w:pPr>
              <w:pStyle w:val="142"/>
              <w:spacing w:before="80"/>
              <w:ind w:left="40" w:right="32"/>
              <w:jc w:val="center"/>
              <w:rPr>
                <w:color w:val="auto"/>
                <w:sz w:val="24"/>
                <w:highlight w:val="none"/>
                <w:lang w:eastAsia="zh-CN"/>
              </w:rPr>
            </w:pPr>
            <w:r>
              <w:rPr>
                <w:rFonts w:hint="eastAsia"/>
                <w:color w:val="auto"/>
                <w:sz w:val="24"/>
                <w:highlight w:val="none"/>
                <w:lang w:eastAsia="zh-CN"/>
              </w:rPr>
              <w:t>16</w:t>
            </w:r>
          </w:p>
        </w:tc>
        <w:tc>
          <w:tcPr>
            <w:tcW w:w="860" w:type="dxa"/>
            <w:vMerge w:val="restart"/>
            <w:vAlign w:val="center"/>
          </w:tcPr>
          <w:p w14:paraId="6A90E6B1">
            <w:pPr>
              <w:pStyle w:val="142"/>
              <w:spacing w:before="67"/>
              <w:ind w:left="7" w:right="2"/>
              <w:jc w:val="center"/>
              <w:rPr>
                <w:color w:val="auto"/>
                <w:sz w:val="24"/>
                <w:highlight w:val="none"/>
              </w:rPr>
            </w:pPr>
            <w:r>
              <w:rPr>
                <w:rFonts w:hint="eastAsia"/>
                <w:color w:val="auto"/>
                <w:sz w:val="24"/>
                <w:highlight w:val="none"/>
              </w:rPr>
              <w:t>其他未列明行业</w:t>
            </w:r>
          </w:p>
        </w:tc>
        <w:tc>
          <w:tcPr>
            <w:tcW w:w="2157" w:type="dxa"/>
            <w:vMerge w:val="restart"/>
            <w:vAlign w:val="center"/>
          </w:tcPr>
          <w:p w14:paraId="2AE5030E">
            <w:pPr>
              <w:pStyle w:val="142"/>
              <w:spacing w:before="67"/>
              <w:ind w:left="7"/>
              <w:rPr>
                <w:color w:val="auto"/>
                <w:spacing w:val="-9"/>
                <w:sz w:val="24"/>
                <w:highlight w:val="none"/>
                <w:lang w:eastAsia="zh-CN"/>
              </w:rPr>
            </w:pPr>
            <w:r>
              <w:rPr>
                <w:rFonts w:hint="eastAsia"/>
                <w:color w:val="auto"/>
                <w:sz w:val="24"/>
                <w:highlight w:val="none"/>
                <w:lang w:eastAsia="zh-CN"/>
              </w:rPr>
              <w:t>从业人员300人以下的为中小微型企业。</w:t>
            </w:r>
          </w:p>
        </w:tc>
        <w:tc>
          <w:tcPr>
            <w:tcW w:w="1215" w:type="dxa"/>
            <w:vAlign w:val="center"/>
          </w:tcPr>
          <w:p w14:paraId="75A1F53D">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6703504E">
            <w:pPr>
              <w:pStyle w:val="142"/>
              <w:spacing w:before="67"/>
              <w:ind w:left="15"/>
              <w:rPr>
                <w:color w:val="auto"/>
                <w:sz w:val="24"/>
                <w:highlight w:val="none"/>
              </w:rPr>
            </w:pPr>
            <w:r>
              <w:rPr>
                <w:rFonts w:hint="eastAsia"/>
                <w:color w:val="auto"/>
                <w:sz w:val="24"/>
                <w:highlight w:val="none"/>
              </w:rPr>
              <w:t>从业人员100人及以上的</w:t>
            </w:r>
          </w:p>
        </w:tc>
        <w:tc>
          <w:tcPr>
            <w:tcW w:w="752" w:type="dxa"/>
            <w:vMerge w:val="restart"/>
            <w:vAlign w:val="center"/>
          </w:tcPr>
          <w:p w14:paraId="49C84E4E">
            <w:pPr>
              <w:pStyle w:val="142"/>
              <w:ind w:left="15"/>
              <w:rPr>
                <w:color w:val="auto"/>
                <w:sz w:val="24"/>
                <w:highlight w:val="none"/>
                <w:lang w:eastAsia="zh-CN"/>
              </w:rPr>
            </w:pPr>
            <w:r>
              <w:rPr>
                <w:rFonts w:hint="eastAsia"/>
                <w:color w:val="auto"/>
                <w:sz w:val="24"/>
                <w:highlight w:val="none"/>
                <w:lang w:eastAsia="zh-CN"/>
              </w:rPr>
              <w:t>从业人员营业收入</w:t>
            </w:r>
          </w:p>
        </w:tc>
      </w:tr>
      <w:tr w14:paraId="0D336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A6F8282">
            <w:pPr>
              <w:pStyle w:val="142"/>
              <w:spacing w:before="80"/>
              <w:ind w:left="40" w:right="32"/>
              <w:rPr>
                <w:color w:val="auto"/>
                <w:sz w:val="24"/>
                <w:highlight w:val="none"/>
              </w:rPr>
            </w:pPr>
          </w:p>
        </w:tc>
        <w:tc>
          <w:tcPr>
            <w:tcW w:w="860" w:type="dxa"/>
            <w:vMerge w:val="continue"/>
            <w:vAlign w:val="center"/>
          </w:tcPr>
          <w:p w14:paraId="644E8273">
            <w:pPr>
              <w:pStyle w:val="142"/>
              <w:spacing w:before="67"/>
              <w:ind w:left="7" w:right="2"/>
              <w:rPr>
                <w:color w:val="auto"/>
                <w:sz w:val="24"/>
                <w:highlight w:val="none"/>
              </w:rPr>
            </w:pPr>
          </w:p>
        </w:tc>
        <w:tc>
          <w:tcPr>
            <w:tcW w:w="2157" w:type="dxa"/>
            <w:vMerge w:val="continue"/>
            <w:vAlign w:val="center"/>
          </w:tcPr>
          <w:p w14:paraId="0A6F4702">
            <w:pPr>
              <w:pStyle w:val="142"/>
              <w:spacing w:before="67"/>
              <w:ind w:left="7"/>
              <w:rPr>
                <w:color w:val="auto"/>
                <w:spacing w:val="-9"/>
                <w:sz w:val="24"/>
                <w:highlight w:val="none"/>
                <w:lang w:eastAsia="zh-CN"/>
              </w:rPr>
            </w:pPr>
          </w:p>
        </w:tc>
        <w:tc>
          <w:tcPr>
            <w:tcW w:w="1215" w:type="dxa"/>
            <w:vAlign w:val="center"/>
          </w:tcPr>
          <w:p w14:paraId="68897D8D">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6BF7371C">
            <w:pPr>
              <w:pStyle w:val="142"/>
              <w:spacing w:before="67"/>
              <w:ind w:left="15"/>
              <w:rPr>
                <w:color w:val="auto"/>
                <w:sz w:val="24"/>
                <w:highlight w:val="none"/>
              </w:rPr>
            </w:pPr>
            <w:r>
              <w:rPr>
                <w:rFonts w:hint="eastAsia"/>
                <w:color w:val="auto"/>
                <w:sz w:val="24"/>
                <w:highlight w:val="none"/>
              </w:rPr>
              <w:t>从业人员10人及以上的</w:t>
            </w:r>
          </w:p>
        </w:tc>
        <w:tc>
          <w:tcPr>
            <w:tcW w:w="752" w:type="dxa"/>
            <w:vMerge w:val="continue"/>
            <w:vAlign w:val="center"/>
          </w:tcPr>
          <w:p w14:paraId="597EF1C9">
            <w:pPr>
              <w:pStyle w:val="142"/>
              <w:spacing w:before="67"/>
              <w:ind w:left="15"/>
              <w:rPr>
                <w:color w:val="auto"/>
                <w:sz w:val="24"/>
                <w:highlight w:val="none"/>
              </w:rPr>
            </w:pPr>
          </w:p>
        </w:tc>
      </w:tr>
      <w:tr w14:paraId="299C1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C6C20B6">
            <w:pPr>
              <w:pStyle w:val="142"/>
              <w:spacing w:before="80"/>
              <w:ind w:left="40" w:right="32"/>
              <w:rPr>
                <w:color w:val="auto"/>
                <w:sz w:val="24"/>
                <w:highlight w:val="none"/>
              </w:rPr>
            </w:pPr>
          </w:p>
        </w:tc>
        <w:tc>
          <w:tcPr>
            <w:tcW w:w="860" w:type="dxa"/>
            <w:vMerge w:val="continue"/>
            <w:vAlign w:val="center"/>
          </w:tcPr>
          <w:p w14:paraId="0FC51D81">
            <w:pPr>
              <w:pStyle w:val="142"/>
              <w:spacing w:before="67"/>
              <w:ind w:left="7" w:right="2"/>
              <w:rPr>
                <w:color w:val="auto"/>
                <w:sz w:val="24"/>
                <w:highlight w:val="none"/>
              </w:rPr>
            </w:pPr>
          </w:p>
        </w:tc>
        <w:tc>
          <w:tcPr>
            <w:tcW w:w="2157" w:type="dxa"/>
            <w:vMerge w:val="continue"/>
            <w:vAlign w:val="center"/>
          </w:tcPr>
          <w:p w14:paraId="12F60FC4">
            <w:pPr>
              <w:pStyle w:val="142"/>
              <w:spacing w:before="67"/>
              <w:ind w:left="7"/>
              <w:rPr>
                <w:color w:val="auto"/>
                <w:spacing w:val="-9"/>
                <w:sz w:val="24"/>
                <w:highlight w:val="none"/>
                <w:lang w:eastAsia="zh-CN"/>
              </w:rPr>
            </w:pPr>
          </w:p>
        </w:tc>
        <w:tc>
          <w:tcPr>
            <w:tcW w:w="1215" w:type="dxa"/>
            <w:vAlign w:val="center"/>
          </w:tcPr>
          <w:p w14:paraId="1335ACCC">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4F8D7FE9">
            <w:pPr>
              <w:pStyle w:val="142"/>
              <w:spacing w:before="67"/>
              <w:ind w:left="15"/>
              <w:rPr>
                <w:color w:val="auto"/>
                <w:sz w:val="24"/>
                <w:highlight w:val="none"/>
              </w:rPr>
            </w:pPr>
            <w:r>
              <w:rPr>
                <w:rFonts w:hint="eastAsia"/>
                <w:color w:val="auto"/>
                <w:sz w:val="24"/>
                <w:highlight w:val="none"/>
              </w:rPr>
              <w:t>从业人员10人以下的</w:t>
            </w:r>
          </w:p>
        </w:tc>
        <w:tc>
          <w:tcPr>
            <w:tcW w:w="752" w:type="dxa"/>
            <w:vMerge w:val="continue"/>
            <w:vAlign w:val="center"/>
          </w:tcPr>
          <w:p w14:paraId="259A0CAA">
            <w:pPr>
              <w:pStyle w:val="142"/>
              <w:spacing w:before="67"/>
              <w:ind w:left="15"/>
              <w:rPr>
                <w:color w:val="auto"/>
                <w:sz w:val="24"/>
                <w:highlight w:val="none"/>
              </w:rPr>
            </w:pPr>
          </w:p>
        </w:tc>
      </w:tr>
    </w:tbl>
    <w:p w14:paraId="02843D93">
      <w:pPr>
        <w:pStyle w:val="2"/>
        <w:tabs>
          <w:tab w:val="left" w:pos="482"/>
          <w:tab w:val="left" w:pos="2183"/>
          <w:tab w:val="left" w:pos="3884"/>
          <w:tab w:val="left" w:pos="5585"/>
        </w:tabs>
        <w:ind w:firstLine="240"/>
        <w:rPr>
          <w:color w:val="auto"/>
          <w:lang w:val="en-GB"/>
        </w:rPr>
      </w:pPr>
    </w:p>
    <w:p w14:paraId="0F9A7E71">
      <w:pPr>
        <w:rPr>
          <w:color w:val="auto"/>
          <w:lang w:val="en-GB"/>
        </w:rPr>
      </w:pPr>
    </w:p>
    <w:p w14:paraId="7EA2F925">
      <w:pPr>
        <w:spacing w:line="320" w:lineRule="exact"/>
        <w:ind w:firstLine="602"/>
        <w:rPr>
          <w:b/>
          <w:bCs/>
          <w:color w:val="auto"/>
          <w:lang w:val="en-GB"/>
        </w:rPr>
      </w:pPr>
      <w:r>
        <w:rPr>
          <w:rFonts w:hint="eastAsia"/>
          <w:b/>
          <w:bCs/>
          <w:color w:val="auto"/>
          <w:lang w:val="en-GB"/>
        </w:rPr>
        <w:t>该附件可供投标人参考。</w:t>
      </w:r>
    </w:p>
    <w:p w14:paraId="4AC10118">
      <w:pPr>
        <w:pStyle w:val="15"/>
        <w:spacing w:line="360" w:lineRule="auto"/>
        <w:ind w:firstLine="602"/>
        <w:jc w:val="left"/>
        <w:outlineLvl w:val="1"/>
        <w:rPr>
          <w:b/>
          <w:bCs/>
          <w:color w:val="auto"/>
          <w:lang w:val="en-GB"/>
        </w:rPr>
      </w:pPr>
      <w:r>
        <w:rPr>
          <w:rFonts w:hint="eastAsia"/>
          <w:b/>
          <w:bCs/>
          <w:color w:val="auto"/>
          <w:lang w:val="en-GB"/>
        </w:rPr>
        <w:br w:type="page"/>
      </w:r>
    </w:p>
    <w:p w14:paraId="69BC17EA">
      <w:pPr>
        <w:pStyle w:val="58"/>
        <w:spacing w:line="360" w:lineRule="auto"/>
        <w:rPr>
          <w:rFonts w:ascii="宋体" w:hAnsi="宋体"/>
          <w:b/>
          <w:color w:val="auto"/>
          <w:sz w:val="28"/>
          <w:szCs w:val="28"/>
        </w:rPr>
      </w:pPr>
      <w:r>
        <w:rPr>
          <w:rFonts w:hint="eastAsia" w:ascii="宋体" w:hAnsi="宋体"/>
          <w:b/>
          <w:color w:val="auto"/>
          <w:sz w:val="28"/>
          <w:szCs w:val="28"/>
        </w:rPr>
        <w:t>附件16</w:t>
      </w:r>
    </w:p>
    <w:p w14:paraId="3061183F">
      <w:pPr>
        <w:pStyle w:val="14"/>
        <w:tabs>
          <w:tab w:val="left" w:pos="2489"/>
        </w:tabs>
        <w:spacing w:line="320" w:lineRule="exact"/>
        <w:ind w:left="0" w:leftChars="0" w:firstLine="0" w:firstLineChars="0"/>
        <w:rPr>
          <w:rFonts w:ascii="宋体" w:hAnsi="宋体"/>
          <w:b/>
          <w:bCs/>
          <w:color w:val="auto"/>
          <w:sz w:val="30"/>
          <w:szCs w:val="30"/>
        </w:rPr>
      </w:pPr>
      <w:r>
        <w:rPr>
          <w:rFonts w:hint="eastAsia" w:ascii="宋体" w:hAnsi="宋体"/>
          <w:b/>
          <w:bCs/>
          <w:color w:val="auto"/>
          <w:sz w:val="28"/>
          <w:szCs w:val="28"/>
        </w:rPr>
        <w:tab/>
      </w:r>
      <w:r>
        <w:rPr>
          <w:rFonts w:hint="eastAsia" w:ascii="宋体" w:hAnsi="宋体"/>
          <w:b/>
          <w:bCs/>
          <w:color w:val="auto"/>
          <w:sz w:val="30"/>
          <w:szCs w:val="30"/>
        </w:rPr>
        <w:t>得分自查表</w:t>
      </w:r>
    </w:p>
    <w:tbl>
      <w:tblPr>
        <w:tblStyle w:val="26"/>
        <w:tblpPr w:leftFromText="180" w:rightFromText="180" w:vertAnchor="text" w:horzAnchor="page" w:tblpX="1310" w:tblpY="582"/>
        <w:tblOverlap w:val="never"/>
        <w:tblW w:w="10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50"/>
        <w:gridCol w:w="1392"/>
        <w:gridCol w:w="6338"/>
        <w:gridCol w:w="775"/>
        <w:gridCol w:w="775"/>
      </w:tblGrid>
      <w:tr w14:paraId="6159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96" w:hRule="atLeast"/>
        </w:trPr>
        <w:tc>
          <w:tcPr>
            <w:tcW w:w="750" w:type="dxa"/>
            <w:vMerge w:val="restart"/>
            <w:shd w:val="clear" w:color="auto" w:fill="FFFFFF"/>
            <w:noWrap/>
            <w:tcMar>
              <w:top w:w="0" w:type="dxa"/>
              <w:left w:w="108" w:type="dxa"/>
              <w:bottom w:w="0" w:type="dxa"/>
              <w:right w:w="108" w:type="dxa"/>
            </w:tcMar>
            <w:vAlign w:val="center"/>
          </w:tcPr>
          <w:p w14:paraId="5BD6782C">
            <w:pPr>
              <w:widowControl/>
              <w:spacing w:before="100" w:beforeAutospacing="1" w:after="100" w:afterAutospacing="1" w:line="306" w:lineRule="atLeast"/>
              <w:jc w:val="left"/>
              <w:rPr>
                <w:rFonts w:ascii="宋体" w:hAnsi="宋体" w:cs="宋体"/>
                <w:color w:val="auto"/>
                <w:kern w:val="0"/>
                <w:sz w:val="24"/>
              </w:rPr>
            </w:pPr>
            <w:r>
              <w:rPr>
                <w:rFonts w:ascii="宋体" w:hAnsi="宋体" w:cs="宋体"/>
                <w:b/>
                <w:bCs/>
                <w:color w:val="auto"/>
                <w:kern w:val="0"/>
                <w:sz w:val="24"/>
              </w:rPr>
              <w:t>商务</w:t>
            </w:r>
          </w:p>
          <w:p w14:paraId="7BB9E3CC">
            <w:pPr>
              <w:widowControl/>
              <w:spacing w:before="100" w:beforeAutospacing="1" w:after="100" w:afterAutospacing="1" w:line="306" w:lineRule="atLeast"/>
              <w:jc w:val="left"/>
              <w:rPr>
                <w:rFonts w:ascii="宋体" w:hAnsi="宋体" w:cs="宋体"/>
                <w:color w:val="auto"/>
                <w:kern w:val="0"/>
                <w:sz w:val="24"/>
              </w:rPr>
            </w:pPr>
            <w:r>
              <w:rPr>
                <w:rFonts w:hint="eastAsia" w:ascii="宋体" w:hAnsi="宋体" w:cs="宋体"/>
                <w:b/>
                <w:bCs/>
                <w:color w:val="auto"/>
                <w:kern w:val="0"/>
                <w:sz w:val="24"/>
              </w:rPr>
              <w:t>25</w:t>
            </w:r>
            <w:r>
              <w:rPr>
                <w:rFonts w:ascii="宋体" w:hAnsi="宋体" w:cs="宋体"/>
                <w:b/>
                <w:bCs/>
                <w:color w:val="auto"/>
                <w:kern w:val="0"/>
                <w:sz w:val="24"/>
              </w:rPr>
              <w:t>分</w:t>
            </w:r>
          </w:p>
        </w:tc>
        <w:tc>
          <w:tcPr>
            <w:tcW w:w="1392" w:type="dxa"/>
            <w:shd w:val="clear" w:color="auto" w:fill="FFFFFF"/>
            <w:noWrap/>
            <w:tcMar>
              <w:top w:w="0" w:type="dxa"/>
              <w:left w:w="108" w:type="dxa"/>
              <w:bottom w:w="0" w:type="dxa"/>
              <w:right w:w="108" w:type="dxa"/>
            </w:tcMar>
            <w:vAlign w:val="center"/>
          </w:tcPr>
          <w:p w14:paraId="308E1E67">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olor w:val="auto"/>
                <w:sz w:val="24"/>
              </w:rPr>
              <w:t>公司荣誉情况</w:t>
            </w:r>
          </w:p>
        </w:tc>
        <w:tc>
          <w:tcPr>
            <w:tcW w:w="6338" w:type="dxa"/>
            <w:shd w:val="clear" w:color="auto" w:fill="FFFFFF"/>
            <w:noWrap/>
            <w:tcMar>
              <w:top w:w="0" w:type="dxa"/>
              <w:left w:w="108" w:type="dxa"/>
              <w:bottom w:w="0" w:type="dxa"/>
              <w:right w:w="108" w:type="dxa"/>
            </w:tcMar>
            <w:vAlign w:val="center"/>
          </w:tcPr>
          <w:p w14:paraId="0853434F">
            <w:pPr>
              <w:widowControl/>
              <w:spacing w:before="100" w:beforeAutospacing="1" w:after="100" w:afterAutospacing="1" w:line="306" w:lineRule="atLeast"/>
              <w:jc w:val="left"/>
              <w:rPr>
                <w:rFonts w:ascii="宋体" w:hAnsi="宋体" w:cs="宋体"/>
                <w:color w:val="auto"/>
                <w:kern w:val="0"/>
                <w:sz w:val="24"/>
              </w:rPr>
            </w:pPr>
            <w:r>
              <w:rPr>
                <w:rFonts w:hint="eastAsia" w:ascii="宋体" w:hAnsi="宋体"/>
                <w:color w:val="auto"/>
                <w:sz w:val="24"/>
              </w:rPr>
              <w:t>投标人自2021年1月1日以来获得行业主管部门颁发荣誉，得到省级部门荣誉得3分，市级部门荣誉得2分，区（县）级部门荣誉得1分，取最高等级不累计得分，本项最高得3分。（提供相关证明文件复印件加盖公章）</w:t>
            </w:r>
          </w:p>
        </w:tc>
        <w:tc>
          <w:tcPr>
            <w:tcW w:w="775" w:type="dxa"/>
            <w:shd w:val="clear" w:color="auto" w:fill="FFFFFF"/>
            <w:noWrap/>
            <w:tcMar>
              <w:top w:w="0" w:type="dxa"/>
              <w:left w:w="108" w:type="dxa"/>
              <w:bottom w:w="0" w:type="dxa"/>
              <w:right w:w="108" w:type="dxa"/>
            </w:tcMar>
            <w:vAlign w:val="center"/>
          </w:tcPr>
          <w:p w14:paraId="4FC9C8CF">
            <w:pPr>
              <w:widowControl/>
              <w:spacing w:before="100" w:beforeAutospacing="1" w:after="100" w:afterAutospacing="1" w:line="306" w:lineRule="atLeast"/>
              <w:jc w:val="center"/>
              <w:rPr>
                <w:rFonts w:ascii="宋体" w:hAnsi="宋体"/>
                <w:color w:val="auto"/>
                <w:sz w:val="24"/>
              </w:rPr>
            </w:pPr>
            <w:r>
              <w:rPr>
                <w:rFonts w:hint="eastAsia" w:ascii="宋体" w:hAnsi="宋体" w:cs="宋体"/>
                <w:color w:val="auto"/>
                <w:kern w:val="0"/>
                <w:sz w:val="24"/>
              </w:rPr>
              <w:t>3分</w:t>
            </w:r>
          </w:p>
        </w:tc>
        <w:tc>
          <w:tcPr>
            <w:tcW w:w="775" w:type="dxa"/>
            <w:shd w:val="clear" w:color="auto" w:fill="FFFFFF"/>
            <w:noWrap/>
            <w:tcMar>
              <w:top w:w="0" w:type="dxa"/>
              <w:left w:w="108" w:type="dxa"/>
              <w:bottom w:w="0" w:type="dxa"/>
              <w:right w:w="108" w:type="dxa"/>
            </w:tcMar>
            <w:vAlign w:val="center"/>
          </w:tcPr>
          <w:p w14:paraId="689089F9">
            <w:pPr>
              <w:widowControl/>
              <w:spacing w:before="100" w:beforeAutospacing="1" w:after="100" w:afterAutospacing="1" w:line="306" w:lineRule="atLeast"/>
              <w:jc w:val="center"/>
              <w:rPr>
                <w:rFonts w:ascii="宋体" w:hAnsi="宋体" w:cs="宋体"/>
                <w:color w:val="auto"/>
                <w:kern w:val="0"/>
                <w:sz w:val="24"/>
              </w:rPr>
            </w:pPr>
          </w:p>
        </w:tc>
      </w:tr>
      <w:tr w14:paraId="13AB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2" w:hRule="atLeast"/>
        </w:trPr>
        <w:tc>
          <w:tcPr>
            <w:tcW w:w="750" w:type="dxa"/>
            <w:vMerge w:val="continue"/>
            <w:shd w:val="clear" w:color="auto" w:fill="FFFFFF"/>
            <w:noWrap/>
            <w:vAlign w:val="center"/>
          </w:tcPr>
          <w:p w14:paraId="254BEF29">
            <w:pPr>
              <w:widowControl/>
              <w:jc w:val="left"/>
              <w:rPr>
                <w:rFonts w:ascii="宋体" w:hAnsi="宋体" w:cs="宋体"/>
                <w:color w:val="auto"/>
                <w:kern w:val="0"/>
                <w:sz w:val="24"/>
              </w:rPr>
            </w:pPr>
          </w:p>
        </w:tc>
        <w:tc>
          <w:tcPr>
            <w:tcW w:w="1392" w:type="dxa"/>
            <w:shd w:val="clear" w:color="auto" w:fill="FFFFFF"/>
            <w:noWrap/>
            <w:tcMar>
              <w:top w:w="0" w:type="dxa"/>
              <w:left w:w="108" w:type="dxa"/>
              <w:bottom w:w="0" w:type="dxa"/>
              <w:right w:w="108" w:type="dxa"/>
            </w:tcMar>
            <w:vAlign w:val="center"/>
          </w:tcPr>
          <w:p w14:paraId="50796A88">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体系认证</w:t>
            </w:r>
          </w:p>
        </w:tc>
        <w:tc>
          <w:tcPr>
            <w:tcW w:w="6338" w:type="dxa"/>
            <w:shd w:val="clear" w:color="auto" w:fill="FFFFFF"/>
            <w:noWrap/>
            <w:tcMar>
              <w:top w:w="0" w:type="dxa"/>
              <w:left w:w="108" w:type="dxa"/>
              <w:bottom w:w="0" w:type="dxa"/>
              <w:right w:w="108" w:type="dxa"/>
            </w:tcMar>
            <w:vAlign w:val="center"/>
          </w:tcPr>
          <w:p w14:paraId="3BBA2A15">
            <w:pPr>
              <w:pStyle w:val="4"/>
              <w:ind w:left="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投标人具有质量管理体系认证书（ISO 9001）、职业健康安全管理体系认证证书（ISO 45001）、环境管理体系认证证书（ISO 14001）且在有效期内的，得1分。</w:t>
            </w:r>
          </w:p>
          <w:p w14:paraId="7354F925">
            <w:pPr>
              <w:pStyle w:val="4"/>
              <w:ind w:left="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具有养老服务认证5A证书（GB/T37276、RB/T303）的，得1分。</w:t>
            </w:r>
          </w:p>
          <w:p w14:paraId="6F72AA5C">
            <w:pPr>
              <w:pStyle w:val="4"/>
              <w:ind w:left="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具有居家养老、托管养护、养护服务所涉及的相关人员的培训管理活动认证（GB/T19025）的得1分。</w:t>
            </w:r>
          </w:p>
          <w:p w14:paraId="46C5A2B6">
            <w:pPr>
              <w:pStyle w:val="4"/>
              <w:ind w:left="0"/>
              <w:rPr>
                <w:rFonts w:ascii="宋体" w:hAnsi="宋体"/>
                <w:color w:val="auto"/>
                <w:sz w:val="24"/>
                <w:szCs w:val="24"/>
              </w:rPr>
            </w:pPr>
            <w:r>
              <w:rPr>
                <w:rFonts w:hint="eastAsia" w:ascii="宋体" w:hAnsi="宋体"/>
                <w:color w:val="auto"/>
                <w:sz w:val="24"/>
                <w:szCs w:val="24"/>
              </w:rPr>
              <w:t>本项满分3分。</w:t>
            </w:r>
          </w:p>
          <w:p w14:paraId="70997F60">
            <w:pPr>
              <w:pStyle w:val="4"/>
              <w:ind w:left="0"/>
              <w:rPr>
                <w:rFonts w:ascii="宋体" w:hAnsi="宋体"/>
                <w:color w:val="auto"/>
                <w:sz w:val="24"/>
              </w:rPr>
            </w:pPr>
            <w:r>
              <w:rPr>
                <w:rFonts w:hint="eastAsia" w:ascii="宋体" w:hAnsi="宋体"/>
                <w:color w:val="auto"/>
                <w:sz w:val="24"/>
                <w:szCs w:val="24"/>
              </w:rPr>
              <w:t>（提供有效证书扫描件并加盖公章，不提供的不得分）</w:t>
            </w:r>
          </w:p>
        </w:tc>
        <w:tc>
          <w:tcPr>
            <w:tcW w:w="775" w:type="dxa"/>
            <w:shd w:val="clear" w:color="auto" w:fill="FFFFFF"/>
            <w:noWrap/>
            <w:tcMar>
              <w:top w:w="0" w:type="dxa"/>
              <w:left w:w="108" w:type="dxa"/>
              <w:bottom w:w="0" w:type="dxa"/>
              <w:right w:w="108" w:type="dxa"/>
            </w:tcMar>
            <w:vAlign w:val="center"/>
          </w:tcPr>
          <w:p w14:paraId="77EAC1F8">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3分</w:t>
            </w:r>
          </w:p>
        </w:tc>
        <w:tc>
          <w:tcPr>
            <w:tcW w:w="775" w:type="dxa"/>
            <w:shd w:val="clear" w:color="auto" w:fill="FFFFFF"/>
            <w:noWrap/>
            <w:tcMar>
              <w:top w:w="0" w:type="dxa"/>
              <w:left w:w="108" w:type="dxa"/>
              <w:bottom w:w="0" w:type="dxa"/>
              <w:right w:w="108" w:type="dxa"/>
            </w:tcMar>
            <w:vAlign w:val="center"/>
          </w:tcPr>
          <w:p w14:paraId="1F7018BA">
            <w:pPr>
              <w:widowControl/>
              <w:spacing w:before="100" w:beforeAutospacing="1" w:after="100" w:afterAutospacing="1" w:line="306" w:lineRule="atLeast"/>
              <w:jc w:val="center"/>
              <w:rPr>
                <w:rFonts w:ascii="宋体" w:hAnsi="宋体"/>
                <w:color w:val="auto"/>
                <w:sz w:val="24"/>
              </w:rPr>
            </w:pPr>
          </w:p>
        </w:tc>
      </w:tr>
      <w:tr w14:paraId="47CC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04" w:hRule="atLeast"/>
        </w:trPr>
        <w:tc>
          <w:tcPr>
            <w:tcW w:w="750" w:type="dxa"/>
            <w:vMerge w:val="continue"/>
            <w:shd w:val="clear" w:color="auto" w:fill="FFFFFF"/>
            <w:noWrap/>
            <w:vAlign w:val="center"/>
          </w:tcPr>
          <w:p w14:paraId="2D241E17">
            <w:pPr>
              <w:widowControl/>
              <w:jc w:val="left"/>
              <w:rPr>
                <w:rFonts w:ascii="宋体" w:hAnsi="宋体" w:cs="宋体"/>
                <w:color w:val="auto"/>
                <w:kern w:val="0"/>
                <w:sz w:val="24"/>
              </w:rPr>
            </w:pPr>
          </w:p>
        </w:tc>
        <w:tc>
          <w:tcPr>
            <w:tcW w:w="1392" w:type="dxa"/>
            <w:shd w:val="clear" w:color="auto" w:fill="FFFFFF"/>
            <w:noWrap/>
            <w:tcMar>
              <w:top w:w="0" w:type="dxa"/>
              <w:left w:w="108" w:type="dxa"/>
              <w:bottom w:w="0" w:type="dxa"/>
              <w:right w:w="108" w:type="dxa"/>
            </w:tcMar>
            <w:vAlign w:val="center"/>
          </w:tcPr>
          <w:p w14:paraId="5F6B6AFB">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投标人业绩</w:t>
            </w:r>
          </w:p>
        </w:tc>
        <w:tc>
          <w:tcPr>
            <w:tcW w:w="6338" w:type="dxa"/>
            <w:shd w:val="clear" w:color="auto" w:fill="FFFFFF"/>
            <w:noWrap/>
            <w:tcMar>
              <w:top w:w="0" w:type="dxa"/>
              <w:left w:w="108" w:type="dxa"/>
              <w:bottom w:w="0" w:type="dxa"/>
              <w:right w:w="108" w:type="dxa"/>
            </w:tcMar>
            <w:vAlign w:val="center"/>
          </w:tcPr>
          <w:p w14:paraId="6AE91755">
            <w:pPr>
              <w:widowControl/>
              <w:spacing w:before="100" w:beforeAutospacing="1" w:after="100" w:afterAutospacing="1" w:line="306" w:lineRule="atLeast"/>
              <w:jc w:val="left"/>
              <w:rPr>
                <w:rFonts w:ascii="宋体" w:hAnsi="宋体"/>
                <w:color w:val="auto"/>
                <w:sz w:val="24"/>
              </w:rPr>
            </w:pPr>
            <w:r>
              <w:rPr>
                <w:rFonts w:hint="eastAsia" w:ascii="宋体" w:hAnsi="宋体"/>
                <w:color w:val="auto"/>
                <w:sz w:val="24"/>
              </w:rPr>
              <w:t>投标人自2021年1月1日（以合同签订日期为准）至今，承接过类似残疾人护理外包服务项目业绩的每个得0.5分，最高得1分。须提供合同复印件并加盖投标人公章。</w:t>
            </w:r>
          </w:p>
        </w:tc>
        <w:tc>
          <w:tcPr>
            <w:tcW w:w="775" w:type="dxa"/>
            <w:shd w:val="clear" w:color="auto" w:fill="FFFFFF"/>
            <w:noWrap/>
            <w:tcMar>
              <w:top w:w="0" w:type="dxa"/>
              <w:left w:w="108" w:type="dxa"/>
              <w:bottom w:w="0" w:type="dxa"/>
              <w:right w:w="108" w:type="dxa"/>
            </w:tcMar>
            <w:vAlign w:val="center"/>
          </w:tcPr>
          <w:p w14:paraId="539B63EA">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olor w:val="auto"/>
                <w:sz w:val="24"/>
              </w:rPr>
              <w:t>1分</w:t>
            </w:r>
          </w:p>
        </w:tc>
        <w:tc>
          <w:tcPr>
            <w:tcW w:w="775" w:type="dxa"/>
            <w:shd w:val="clear" w:color="auto" w:fill="FFFFFF"/>
            <w:noWrap/>
            <w:tcMar>
              <w:top w:w="0" w:type="dxa"/>
              <w:left w:w="108" w:type="dxa"/>
              <w:bottom w:w="0" w:type="dxa"/>
              <w:right w:w="108" w:type="dxa"/>
            </w:tcMar>
            <w:vAlign w:val="center"/>
          </w:tcPr>
          <w:p w14:paraId="20D4C412">
            <w:pPr>
              <w:widowControl/>
              <w:spacing w:before="100" w:beforeAutospacing="1" w:after="100" w:afterAutospacing="1" w:line="306" w:lineRule="atLeast"/>
              <w:jc w:val="center"/>
              <w:rPr>
                <w:rFonts w:ascii="宋体" w:hAnsi="宋体"/>
                <w:color w:val="auto"/>
                <w:sz w:val="24"/>
              </w:rPr>
            </w:pPr>
          </w:p>
        </w:tc>
      </w:tr>
      <w:tr w14:paraId="7FF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899" w:hRule="atLeast"/>
        </w:trPr>
        <w:tc>
          <w:tcPr>
            <w:tcW w:w="750" w:type="dxa"/>
            <w:vMerge w:val="continue"/>
            <w:shd w:val="clear" w:color="auto" w:fill="FFFFFF"/>
            <w:noWrap/>
            <w:vAlign w:val="center"/>
          </w:tcPr>
          <w:p w14:paraId="40150346">
            <w:pPr>
              <w:widowControl/>
              <w:jc w:val="left"/>
              <w:rPr>
                <w:rFonts w:ascii="宋体" w:hAnsi="宋体" w:cs="宋体"/>
                <w:color w:val="auto"/>
                <w:kern w:val="0"/>
                <w:sz w:val="24"/>
              </w:rPr>
            </w:pPr>
          </w:p>
        </w:tc>
        <w:tc>
          <w:tcPr>
            <w:tcW w:w="1392" w:type="dxa"/>
            <w:vMerge w:val="restart"/>
            <w:shd w:val="clear" w:color="auto" w:fill="FFFFFF"/>
            <w:noWrap/>
            <w:tcMar>
              <w:top w:w="0" w:type="dxa"/>
              <w:left w:w="108" w:type="dxa"/>
              <w:bottom w:w="0" w:type="dxa"/>
              <w:right w:w="108" w:type="dxa"/>
            </w:tcMar>
            <w:vAlign w:val="center"/>
          </w:tcPr>
          <w:p w14:paraId="30BD84F0">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人员证书</w:t>
            </w:r>
          </w:p>
        </w:tc>
        <w:tc>
          <w:tcPr>
            <w:tcW w:w="6338" w:type="dxa"/>
            <w:shd w:val="clear" w:color="auto" w:fill="FFFFFF"/>
            <w:noWrap/>
            <w:tcMar>
              <w:top w:w="0" w:type="dxa"/>
              <w:left w:w="108" w:type="dxa"/>
              <w:bottom w:w="0" w:type="dxa"/>
              <w:right w:w="108" w:type="dxa"/>
            </w:tcMar>
            <w:vAlign w:val="center"/>
          </w:tcPr>
          <w:p w14:paraId="7A6C652F">
            <w:pPr>
              <w:widowControl/>
              <w:spacing w:before="100" w:beforeAutospacing="1" w:after="100" w:afterAutospacing="1" w:line="306" w:lineRule="atLeast"/>
              <w:jc w:val="left"/>
              <w:rPr>
                <w:rFonts w:ascii="宋体" w:hAnsi="宋体"/>
                <w:color w:val="auto"/>
                <w:kern w:val="0"/>
                <w:sz w:val="24"/>
              </w:rPr>
            </w:pPr>
            <w:r>
              <w:rPr>
                <w:rFonts w:hint="eastAsia" w:ascii="宋体" w:hAnsi="宋体"/>
                <w:color w:val="auto"/>
                <w:kern w:val="0"/>
                <w:sz w:val="24"/>
              </w:rPr>
              <w:t>拟担任本项目负责人资质能力及是否具有类似项目实施经验；</w:t>
            </w:r>
          </w:p>
          <w:p w14:paraId="1AE8915C">
            <w:pPr>
              <w:widowControl/>
              <w:spacing w:before="100" w:beforeAutospacing="1" w:after="100" w:afterAutospacing="1" w:line="306" w:lineRule="atLeast"/>
              <w:jc w:val="left"/>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具有医学类相关专业本科及以上学历，（需同时提供学历证书，学信网查询证明或其他证明材料），得1分；</w:t>
            </w:r>
          </w:p>
          <w:p w14:paraId="2AF7FB89">
            <w:pPr>
              <w:widowControl/>
              <w:spacing w:before="100" w:beforeAutospacing="1" w:after="100" w:afterAutospacing="1" w:line="306" w:lineRule="atLeast"/>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持有《助理社会工作师》及以上证书，得1分；</w:t>
            </w:r>
          </w:p>
          <w:p w14:paraId="315F09F7">
            <w:pPr>
              <w:widowControl/>
              <w:spacing w:before="100" w:beforeAutospacing="1" w:after="100" w:afterAutospacing="1" w:line="306" w:lineRule="atLeast"/>
              <w:jc w:val="left"/>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具有人力资源及社会保障局颁发</w:t>
            </w:r>
            <w:r>
              <w:rPr>
                <w:rFonts w:hint="eastAsia" w:ascii="宋体" w:hAnsi="宋体"/>
                <w:b/>
                <w:bCs/>
                <w:color w:val="auto"/>
                <w:kern w:val="0"/>
                <w:sz w:val="24"/>
              </w:rPr>
              <w:t>（人社部认证的第三方评价机构颁发）</w:t>
            </w:r>
            <w:r>
              <w:rPr>
                <w:rFonts w:hint="eastAsia" w:ascii="宋体" w:hAnsi="宋体"/>
                <w:color w:val="auto"/>
                <w:kern w:val="0"/>
                <w:sz w:val="24"/>
              </w:rPr>
              <w:t>的高级（三级）《养老护理员》资格证书，得1分；</w:t>
            </w:r>
          </w:p>
          <w:p w14:paraId="293AF040">
            <w:pPr>
              <w:widowControl/>
              <w:spacing w:before="100" w:beforeAutospacing="1" w:after="100" w:afterAutospacing="1" w:line="306" w:lineRule="atLeast"/>
              <w:jc w:val="left"/>
              <w:rPr>
                <w:rFonts w:ascii="宋体" w:hAnsi="宋体"/>
                <w:color w:val="auto"/>
                <w:sz w:val="24"/>
              </w:rPr>
            </w:pPr>
            <w:r>
              <w:rPr>
                <w:rFonts w:ascii="宋体" w:hAnsi="宋体"/>
                <w:color w:val="auto"/>
                <w:sz w:val="24"/>
              </w:rPr>
              <w:t>4、</w:t>
            </w:r>
            <w:r>
              <w:rPr>
                <w:rFonts w:hint="eastAsia" w:ascii="宋体" w:hAnsi="宋体"/>
                <w:color w:val="auto"/>
                <w:kern w:val="0"/>
                <w:sz w:val="24"/>
              </w:rPr>
              <w:t>具有人力资源及社会保障局颁发</w:t>
            </w:r>
            <w:r>
              <w:rPr>
                <w:rFonts w:hint="eastAsia" w:ascii="宋体" w:hAnsi="宋体"/>
                <w:b/>
                <w:bCs/>
                <w:color w:val="auto"/>
                <w:kern w:val="0"/>
                <w:sz w:val="24"/>
              </w:rPr>
              <w:t>（人社部认证的第三方评价机构颁发）</w:t>
            </w:r>
            <w:r>
              <w:rPr>
                <w:rFonts w:hint="eastAsia" w:ascii="宋体" w:hAnsi="宋体"/>
                <w:color w:val="auto"/>
                <w:kern w:val="0"/>
                <w:sz w:val="24"/>
              </w:rPr>
              <w:t>的高级（三级）《健康照护师》资格证书，得1分；</w:t>
            </w:r>
          </w:p>
          <w:p w14:paraId="4C0553B3">
            <w:pPr>
              <w:widowControl/>
              <w:spacing w:before="100" w:beforeAutospacing="1" w:after="100" w:afterAutospacing="1" w:line="306" w:lineRule="atLeast"/>
              <w:jc w:val="left"/>
              <w:rPr>
                <w:rFonts w:ascii="宋体" w:hAnsi="宋体"/>
                <w:color w:val="auto"/>
                <w:sz w:val="24"/>
              </w:rPr>
            </w:pPr>
            <w:r>
              <w:rPr>
                <w:rFonts w:ascii="宋体" w:hAnsi="宋体"/>
                <w:color w:val="auto"/>
                <w:sz w:val="24"/>
              </w:rPr>
              <w:t>5、</w:t>
            </w:r>
            <w:r>
              <w:rPr>
                <w:rFonts w:hint="eastAsia" w:ascii="宋体" w:hAnsi="宋体"/>
                <w:color w:val="auto"/>
                <w:kern w:val="0"/>
                <w:sz w:val="24"/>
              </w:rPr>
              <w:t>具有3年以上相关工作经验，得1分。(需提供3个月及以上社保证明，不提供不得分)</w:t>
            </w:r>
          </w:p>
        </w:tc>
        <w:tc>
          <w:tcPr>
            <w:tcW w:w="775" w:type="dxa"/>
            <w:shd w:val="clear" w:color="auto" w:fill="FFFFFF"/>
            <w:noWrap/>
            <w:tcMar>
              <w:top w:w="0" w:type="dxa"/>
              <w:left w:w="108" w:type="dxa"/>
              <w:bottom w:w="0" w:type="dxa"/>
              <w:right w:w="108" w:type="dxa"/>
            </w:tcMar>
            <w:vAlign w:val="center"/>
          </w:tcPr>
          <w:p w14:paraId="3FABC62E">
            <w:pPr>
              <w:widowControl/>
              <w:spacing w:before="100" w:beforeAutospacing="1" w:after="100" w:afterAutospacing="1" w:line="306" w:lineRule="atLeast"/>
              <w:jc w:val="center"/>
              <w:rPr>
                <w:rFonts w:ascii="宋体" w:hAnsi="宋体"/>
                <w:color w:val="auto"/>
                <w:sz w:val="24"/>
              </w:rPr>
            </w:pPr>
            <w:r>
              <w:rPr>
                <w:rFonts w:hint="eastAsia" w:ascii="宋体" w:hAnsi="宋体"/>
                <w:color w:val="auto"/>
                <w:sz w:val="24"/>
              </w:rPr>
              <w:t>5分</w:t>
            </w:r>
          </w:p>
        </w:tc>
        <w:tc>
          <w:tcPr>
            <w:tcW w:w="775" w:type="dxa"/>
            <w:shd w:val="clear" w:color="auto" w:fill="FFFFFF"/>
            <w:noWrap/>
            <w:tcMar>
              <w:top w:w="0" w:type="dxa"/>
              <w:left w:w="108" w:type="dxa"/>
              <w:bottom w:w="0" w:type="dxa"/>
              <w:right w:w="108" w:type="dxa"/>
            </w:tcMar>
            <w:vAlign w:val="center"/>
          </w:tcPr>
          <w:p w14:paraId="4A5C0BED">
            <w:pPr>
              <w:widowControl/>
              <w:spacing w:before="100" w:beforeAutospacing="1" w:after="100" w:afterAutospacing="1" w:line="306" w:lineRule="atLeast"/>
              <w:jc w:val="center"/>
              <w:rPr>
                <w:rFonts w:ascii="宋体" w:hAnsi="宋体"/>
                <w:color w:val="auto"/>
                <w:sz w:val="24"/>
              </w:rPr>
            </w:pPr>
          </w:p>
        </w:tc>
      </w:tr>
      <w:tr w14:paraId="7222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59" w:hRule="atLeast"/>
        </w:trPr>
        <w:tc>
          <w:tcPr>
            <w:tcW w:w="750" w:type="dxa"/>
            <w:vMerge w:val="continue"/>
            <w:shd w:val="clear" w:color="auto" w:fill="FFFFFF"/>
            <w:noWrap/>
            <w:vAlign w:val="center"/>
          </w:tcPr>
          <w:p w14:paraId="5806BECC">
            <w:pPr>
              <w:widowControl/>
              <w:jc w:val="left"/>
              <w:rPr>
                <w:rFonts w:ascii="宋体" w:hAnsi="宋体" w:cs="宋体"/>
                <w:color w:val="auto"/>
                <w:kern w:val="0"/>
                <w:sz w:val="24"/>
              </w:rPr>
            </w:pPr>
          </w:p>
        </w:tc>
        <w:tc>
          <w:tcPr>
            <w:tcW w:w="1392" w:type="dxa"/>
            <w:vMerge w:val="continue"/>
            <w:shd w:val="clear" w:color="auto" w:fill="FFFFFF"/>
            <w:noWrap/>
            <w:tcMar>
              <w:top w:w="0" w:type="dxa"/>
              <w:left w:w="108" w:type="dxa"/>
              <w:bottom w:w="0" w:type="dxa"/>
              <w:right w:w="108" w:type="dxa"/>
            </w:tcMar>
            <w:vAlign w:val="center"/>
          </w:tcPr>
          <w:p w14:paraId="2CD3A144">
            <w:pPr>
              <w:widowControl/>
              <w:spacing w:before="100" w:beforeAutospacing="1" w:after="100" w:afterAutospacing="1" w:line="306" w:lineRule="atLeast"/>
              <w:jc w:val="left"/>
              <w:rPr>
                <w:rFonts w:ascii="宋体" w:hAnsi="宋体"/>
                <w:color w:val="auto"/>
                <w:sz w:val="24"/>
              </w:rPr>
            </w:pPr>
          </w:p>
        </w:tc>
        <w:tc>
          <w:tcPr>
            <w:tcW w:w="6338" w:type="dxa"/>
            <w:shd w:val="clear" w:color="auto" w:fill="FFFFFF"/>
            <w:noWrap/>
            <w:tcMar>
              <w:top w:w="0" w:type="dxa"/>
              <w:left w:w="108" w:type="dxa"/>
              <w:bottom w:w="0" w:type="dxa"/>
              <w:right w:w="108" w:type="dxa"/>
            </w:tcMar>
            <w:vAlign w:val="center"/>
          </w:tcPr>
          <w:p w14:paraId="279E3645">
            <w:pPr>
              <w:spacing w:line="240" w:lineRule="atLeast"/>
              <w:jc w:val="left"/>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护理人员持证上岗情况（除项目负责人）。</w:t>
            </w:r>
            <w:r>
              <w:rPr>
                <w:rFonts w:hint="eastAsia" w:ascii="宋体" w:hAnsi="宋体"/>
                <w:b/>
                <w:bCs/>
                <w:color w:val="auto"/>
                <w:kern w:val="0"/>
                <w:sz w:val="24"/>
              </w:rPr>
              <w:t>提供人力资源和社会保障局颁发（人社部认证的第三方评价机构颁发）的养老护理员证件复印件(加盖公章)作为评审依据</w:t>
            </w:r>
            <w:r>
              <w:rPr>
                <w:rFonts w:hint="eastAsia" w:ascii="宋体" w:hAnsi="宋体"/>
                <w:color w:val="auto"/>
                <w:kern w:val="0"/>
                <w:sz w:val="24"/>
              </w:rPr>
              <w:t>，人员与证件复印件须一一对应，只提供人员名单而无证件复印件评审时不予认可。持证护理人员人数15人(含)以上的，得4分；10人至14人的，得3分；5人至9人的，得1分；5人以下（不含5人）的，不得分。(需提供3个月及以上社保缴纳证明，不提供不得分) ；</w:t>
            </w:r>
          </w:p>
          <w:p w14:paraId="46A94D1D">
            <w:pPr>
              <w:spacing w:line="240" w:lineRule="atLeast"/>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拟派团队中具有高级养老护理员证书的，每有一本得1分，最高得3分(需提供3个月及以上社保缴纳证明，不提供不得分)；</w:t>
            </w:r>
          </w:p>
          <w:p w14:paraId="2896E263">
            <w:pPr>
              <w:spacing w:line="240" w:lineRule="atLeast"/>
              <w:jc w:val="left"/>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拟派团队中具有《助理社会工作师》及以上证书,每有一本得1分，最高得2分(需提供3个月及以上社保缴纳证明，不提供不得分)；</w:t>
            </w:r>
          </w:p>
          <w:p w14:paraId="5F3AA319">
            <w:pPr>
              <w:pStyle w:val="2"/>
              <w:ind w:firstLine="0" w:firstLineChars="0"/>
              <w:rPr>
                <w:color w:val="auto"/>
              </w:rPr>
            </w:pPr>
            <w:r>
              <w:rPr>
                <w:color w:val="auto"/>
              </w:rPr>
              <w:t>4、</w:t>
            </w:r>
            <w:r>
              <w:rPr>
                <w:rFonts w:hint="eastAsia"/>
                <w:color w:val="auto"/>
              </w:rPr>
              <w:t>项目服务团队成员持护士资格证书的，每有一本得1分，最高得2分；</w:t>
            </w:r>
          </w:p>
          <w:p w14:paraId="1A4F2218">
            <w:pPr>
              <w:pStyle w:val="4"/>
              <w:ind w:left="0"/>
              <w:rPr>
                <w:rFonts w:ascii="宋体" w:hAnsi="宋体"/>
                <w:color w:val="auto"/>
                <w:sz w:val="24"/>
              </w:rPr>
            </w:pPr>
            <w:r>
              <w:rPr>
                <w:rFonts w:hint="eastAsia" w:ascii="宋体" w:hAnsi="宋体"/>
                <w:color w:val="auto"/>
                <w:sz w:val="24"/>
                <w:szCs w:val="24"/>
              </w:rPr>
              <w:t>5、项目服务团队成员持四级（中级工）消防设施操作员，得2分。</w:t>
            </w:r>
          </w:p>
        </w:tc>
        <w:tc>
          <w:tcPr>
            <w:tcW w:w="775" w:type="dxa"/>
            <w:shd w:val="clear" w:color="auto" w:fill="FFFFFF"/>
            <w:noWrap/>
            <w:tcMar>
              <w:top w:w="0" w:type="dxa"/>
              <w:left w:w="108" w:type="dxa"/>
              <w:bottom w:w="0" w:type="dxa"/>
              <w:right w:w="108" w:type="dxa"/>
            </w:tcMar>
            <w:vAlign w:val="center"/>
          </w:tcPr>
          <w:p w14:paraId="214BA7DE">
            <w:pPr>
              <w:widowControl/>
              <w:spacing w:before="100" w:beforeAutospacing="1" w:after="100" w:afterAutospacing="1" w:line="306" w:lineRule="atLeast"/>
              <w:jc w:val="center"/>
              <w:rPr>
                <w:rFonts w:ascii="宋体" w:hAnsi="宋体" w:cs="宋体"/>
                <w:color w:val="auto"/>
                <w:kern w:val="0"/>
                <w:sz w:val="24"/>
              </w:rPr>
            </w:pPr>
            <w:r>
              <w:rPr>
                <w:rFonts w:hint="eastAsia" w:ascii="宋体" w:hAnsi="宋体" w:cs="宋体"/>
                <w:color w:val="auto"/>
                <w:kern w:val="0"/>
                <w:sz w:val="24"/>
              </w:rPr>
              <w:t>13分</w:t>
            </w:r>
          </w:p>
        </w:tc>
        <w:tc>
          <w:tcPr>
            <w:tcW w:w="775" w:type="dxa"/>
            <w:shd w:val="clear" w:color="auto" w:fill="FFFFFF"/>
            <w:noWrap/>
            <w:tcMar>
              <w:top w:w="0" w:type="dxa"/>
              <w:left w:w="108" w:type="dxa"/>
              <w:bottom w:w="0" w:type="dxa"/>
              <w:right w:w="108" w:type="dxa"/>
            </w:tcMar>
            <w:vAlign w:val="center"/>
          </w:tcPr>
          <w:p w14:paraId="56A89D6A">
            <w:pPr>
              <w:widowControl/>
              <w:spacing w:before="100" w:beforeAutospacing="1" w:after="100" w:afterAutospacing="1" w:line="306" w:lineRule="atLeast"/>
              <w:jc w:val="center"/>
              <w:rPr>
                <w:rFonts w:ascii="宋体" w:hAnsi="宋体" w:cs="宋体"/>
                <w:color w:val="auto"/>
                <w:kern w:val="0"/>
                <w:sz w:val="24"/>
              </w:rPr>
            </w:pPr>
          </w:p>
        </w:tc>
      </w:tr>
    </w:tbl>
    <w:p w14:paraId="189F9D96">
      <w:pPr>
        <w:rPr>
          <w:rFonts w:ascii="宋体" w:hAnsi="宋体"/>
          <w:color w:val="auto"/>
          <w:szCs w:val="21"/>
          <w:lang w:val="en-GB"/>
        </w:rPr>
      </w:pPr>
    </w:p>
    <w:p w14:paraId="53DB403C">
      <w:pPr>
        <w:pStyle w:val="58"/>
        <w:spacing w:line="360" w:lineRule="auto"/>
        <w:rPr>
          <w:rFonts w:ascii="宋体" w:hAnsi="宋体"/>
          <w:b/>
          <w:color w:val="auto"/>
          <w:sz w:val="28"/>
          <w:szCs w:val="28"/>
        </w:rPr>
        <w:sectPr>
          <w:pgSz w:w="11906" w:h="16838"/>
          <w:pgMar w:top="1440" w:right="1587" w:bottom="1440" w:left="1633" w:header="851" w:footer="992" w:gutter="0"/>
          <w:pgNumType w:fmt="decimal"/>
          <w:cols w:space="0" w:num="1"/>
          <w:docGrid w:type="lines" w:linePitch="312" w:charSpace="0"/>
        </w:sectPr>
      </w:pPr>
    </w:p>
    <w:p w14:paraId="49F63863">
      <w:pPr>
        <w:pStyle w:val="58"/>
        <w:spacing w:line="360" w:lineRule="auto"/>
        <w:rPr>
          <w:rFonts w:ascii="宋体" w:hAnsi="宋体"/>
          <w:b/>
          <w:color w:val="auto"/>
          <w:sz w:val="28"/>
          <w:szCs w:val="28"/>
        </w:rPr>
      </w:pPr>
      <w:r>
        <w:rPr>
          <w:rFonts w:hint="eastAsia" w:ascii="宋体" w:hAnsi="宋体"/>
          <w:b/>
          <w:color w:val="auto"/>
          <w:sz w:val="28"/>
          <w:szCs w:val="28"/>
        </w:rPr>
        <w:t>附件17</w:t>
      </w:r>
    </w:p>
    <w:p w14:paraId="1EC766A3">
      <w:pPr>
        <w:widowControl/>
        <w:spacing w:line="312" w:lineRule="auto"/>
        <w:ind w:firstLine="904"/>
        <w:jc w:val="center"/>
        <w:rPr>
          <w:rFonts w:ascii="黑体" w:hAnsi="黑体" w:eastAsia="黑体" w:cs="黑体"/>
          <w:b/>
          <w:bCs/>
          <w:color w:val="auto"/>
          <w:sz w:val="36"/>
          <w:szCs w:val="36"/>
        </w:rPr>
      </w:pPr>
      <w:r>
        <w:rPr>
          <w:rFonts w:hint="eastAsia" w:ascii="黑体" w:hAnsi="黑体" w:eastAsia="黑体" w:cs="黑体"/>
          <w:b/>
          <w:bCs/>
          <w:color w:val="auto"/>
          <w:kern w:val="0"/>
          <w:sz w:val="36"/>
          <w:szCs w:val="36"/>
        </w:rPr>
        <w:t>政府采购活动现场确认声明书</w:t>
      </w:r>
    </w:p>
    <w:p w14:paraId="7667CE71">
      <w:pPr>
        <w:widowControl/>
        <w:spacing w:line="312" w:lineRule="auto"/>
        <w:jc w:val="left"/>
        <w:rPr>
          <w:rFonts w:ascii="仿宋" w:hAnsi="仿宋" w:eastAsia="仿宋" w:cs="仿宋"/>
          <w:color w:val="auto"/>
          <w:kern w:val="0"/>
          <w:sz w:val="24"/>
        </w:rPr>
      </w:pPr>
    </w:p>
    <w:p w14:paraId="25C81D8A">
      <w:pPr>
        <w:widowControl/>
        <w:spacing w:line="312" w:lineRule="auto"/>
        <w:jc w:val="left"/>
        <w:rPr>
          <w:rFonts w:eastAsia="仿宋"/>
          <w:color w:val="auto"/>
          <w:sz w:val="24"/>
        </w:rPr>
      </w:pPr>
      <w:r>
        <w:rPr>
          <w:rFonts w:hint="eastAsia" w:ascii="仿宋" w:hAnsi="仿宋" w:eastAsia="仿宋" w:cs="仿宋"/>
          <w:color w:val="auto"/>
          <w:kern w:val="0"/>
          <w:sz w:val="24"/>
        </w:rPr>
        <w:t>台州中域工程咨询有限公司：</w:t>
      </w:r>
    </w:p>
    <w:p w14:paraId="58CA0648">
      <w:pPr>
        <w:widowControl/>
        <w:spacing w:line="312" w:lineRule="auto"/>
        <w:ind w:firstLine="480" w:firstLineChars="200"/>
        <w:jc w:val="left"/>
        <w:rPr>
          <w:color w:val="auto"/>
          <w:sz w:val="24"/>
        </w:rPr>
      </w:pPr>
      <w:r>
        <w:rPr>
          <w:rFonts w:hint="eastAsia" w:ascii="仿宋" w:hAnsi="仿宋" w:eastAsia="仿宋" w:cs="仿宋"/>
          <w:color w:val="auto"/>
          <w:kern w:val="0"/>
          <w:sz w:val="24"/>
        </w:rPr>
        <w:t>本人（授权代表姓名），经由（单位名称）（法定代表人姓名）合法授权参加</w:t>
      </w:r>
      <w:r>
        <w:rPr>
          <w:rFonts w:hint="eastAsia" w:ascii="仿宋" w:hAnsi="仿宋" w:eastAsia="仿宋" w:cs="仿宋"/>
          <w:color w:val="auto"/>
          <w:kern w:val="0"/>
          <w:sz w:val="24"/>
          <w:u w:val="single"/>
        </w:rPr>
        <w:t xml:space="preserve">          项目</w:t>
      </w:r>
      <w:r>
        <w:rPr>
          <w:rFonts w:hint="eastAsia" w:ascii="仿宋" w:hAnsi="仿宋" w:eastAsia="仿宋" w:cs="仿宋"/>
          <w:color w:val="auto"/>
          <w:kern w:val="0"/>
          <w:sz w:val="24"/>
        </w:rPr>
        <w:t xml:space="preserve">（编号：）政府采购活动。经与本单位法人代表（负责人）联系确认，现就有关公平竞争事项郑重声明如下： </w:t>
      </w:r>
    </w:p>
    <w:p w14:paraId="372188C7">
      <w:pPr>
        <w:widowControl/>
        <w:spacing w:line="312" w:lineRule="auto"/>
        <w:jc w:val="left"/>
        <w:rPr>
          <w:color w:val="auto"/>
          <w:sz w:val="24"/>
        </w:rPr>
      </w:pPr>
      <w:r>
        <w:rPr>
          <w:rFonts w:hint="eastAsia" w:ascii="仿宋" w:hAnsi="仿宋" w:eastAsia="仿宋" w:cs="仿宋"/>
          <w:color w:val="auto"/>
          <w:kern w:val="0"/>
          <w:sz w:val="24"/>
        </w:rPr>
        <w:t xml:space="preserve">一、本单位与采购人之间 </w:t>
      </w:r>
      <w:r>
        <w:rPr>
          <w:rFonts w:hint="eastAsia" w:ascii="仿宋" w:hAnsi="仿宋" w:eastAsia="仿宋" w:cs="仿宋"/>
          <w:color w:val="auto"/>
          <w:kern w:val="0"/>
          <w:sz w:val="52"/>
          <w:szCs w:val="52"/>
        </w:rPr>
        <w:sym w:font="Wingdings 2" w:char="00A3"/>
      </w:r>
      <w:r>
        <w:rPr>
          <w:rFonts w:hint="eastAsia" w:ascii="仿宋" w:hAnsi="仿宋" w:eastAsia="仿宋" w:cs="仿宋"/>
          <w:color w:val="auto"/>
          <w:kern w:val="0"/>
          <w:sz w:val="24"/>
          <w:u w:val="single"/>
        </w:rPr>
        <w:t>不存在利害关系</w:t>
      </w:r>
      <w:r>
        <w:rPr>
          <w:rFonts w:hint="eastAsia" w:ascii="仿宋" w:hAnsi="仿宋" w:eastAsia="仿宋" w:cs="仿宋"/>
          <w:color w:val="auto"/>
          <w:kern w:val="0"/>
          <w:sz w:val="52"/>
          <w:szCs w:val="52"/>
        </w:rPr>
        <w:sym w:font="Wingdings 2" w:char="00A3"/>
      </w:r>
      <w:r>
        <w:rPr>
          <w:rFonts w:hint="eastAsia" w:ascii="仿宋" w:hAnsi="仿宋" w:eastAsia="仿宋" w:cs="仿宋"/>
          <w:color w:val="auto"/>
          <w:kern w:val="0"/>
          <w:sz w:val="24"/>
          <w:u w:val="single"/>
        </w:rPr>
        <w:t>存在下列利害关系</w:t>
      </w:r>
      <w:r>
        <w:rPr>
          <w:rFonts w:hint="eastAsia" w:ascii="仿宋" w:hAnsi="仿宋" w:eastAsia="仿宋" w:cs="仿宋"/>
          <w:color w:val="auto"/>
          <w:kern w:val="0"/>
          <w:sz w:val="24"/>
        </w:rPr>
        <w:t xml:space="preserve">： </w:t>
      </w:r>
    </w:p>
    <w:p w14:paraId="3D63641A">
      <w:pPr>
        <w:widowControl/>
        <w:spacing w:line="312" w:lineRule="auto"/>
        <w:jc w:val="left"/>
        <w:rPr>
          <w:color w:val="auto"/>
          <w:sz w:val="24"/>
        </w:rPr>
      </w:pPr>
      <w:r>
        <w:rPr>
          <w:rFonts w:hint="eastAsia" w:ascii="仿宋" w:hAnsi="仿宋" w:eastAsia="仿宋" w:cs="仿宋"/>
          <w:color w:val="auto"/>
          <w:kern w:val="0"/>
          <w:sz w:val="24"/>
        </w:rPr>
        <w:t xml:space="preserve">A．投资关系 B．行政隶属关系 C．业务指导关系 </w:t>
      </w:r>
    </w:p>
    <w:p w14:paraId="46C59361">
      <w:pPr>
        <w:widowControl/>
        <w:spacing w:line="312" w:lineRule="auto"/>
        <w:jc w:val="left"/>
        <w:rPr>
          <w:color w:val="auto"/>
          <w:sz w:val="24"/>
        </w:rPr>
      </w:pPr>
      <w:r>
        <w:rPr>
          <w:rFonts w:hint="eastAsia" w:ascii="仿宋" w:hAnsi="仿宋" w:eastAsia="仿宋" w:cs="仿宋"/>
          <w:color w:val="auto"/>
          <w:kern w:val="0"/>
          <w:sz w:val="24"/>
        </w:rPr>
        <w:t xml:space="preserve">D．其他可能影响采购公正的利害关系（如有，请如实说明）。 </w:t>
      </w:r>
    </w:p>
    <w:p w14:paraId="026148A4">
      <w:pPr>
        <w:widowControl/>
        <w:spacing w:line="312" w:lineRule="auto"/>
        <w:jc w:val="left"/>
        <w:rPr>
          <w:color w:val="auto"/>
          <w:sz w:val="24"/>
        </w:rPr>
      </w:pPr>
      <w:r>
        <w:rPr>
          <w:rFonts w:hint="eastAsia" w:ascii="仿宋" w:hAnsi="仿宋" w:eastAsia="仿宋" w:cs="仿宋"/>
          <w:color w:val="auto"/>
          <w:kern w:val="0"/>
          <w:sz w:val="24"/>
        </w:rPr>
        <w:t xml:space="preserve">二、现己清楚知道参加本项目采购活动的其他所有供应商名称，本单位与其他所有供应商之间均不存在利害关系，与（供应商名称）之间存在下列利害关系： </w:t>
      </w:r>
    </w:p>
    <w:p w14:paraId="78E72425">
      <w:pPr>
        <w:widowControl/>
        <w:spacing w:line="312" w:lineRule="auto"/>
        <w:jc w:val="left"/>
        <w:rPr>
          <w:color w:val="auto"/>
          <w:sz w:val="24"/>
        </w:rPr>
      </w:pPr>
      <w:r>
        <w:rPr>
          <w:rFonts w:hint="eastAsia" w:ascii="仿宋" w:hAnsi="仿宋" w:eastAsia="仿宋" w:cs="仿宋"/>
          <w:color w:val="auto"/>
          <w:kern w:val="0"/>
          <w:sz w:val="24"/>
        </w:rPr>
        <w:t xml:space="preserve">A．法定代表人或负责人或实际控制人是同一人 </w:t>
      </w:r>
    </w:p>
    <w:p w14:paraId="2A8843C7">
      <w:pPr>
        <w:widowControl/>
        <w:spacing w:line="312" w:lineRule="auto"/>
        <w:jc w:val="left"/>
        <w:rPr>
          <w:color w:val="auto"/>
          <w:sz w:val="24"/>
        </w:rPr>
      </w:pPr>
      <w:r>
        <w:rPr>
          <w:rFonts w:hint="eastAsia" w:ascii="仿宋" w:hAnsi="仿宋" w:eastAsia="仿宋" w:cs="仿宋"/>
          <w:color w:val="auto"/>
          <w:kern w:val="0"/>
          <w:sz w:val="24"/>
        </w:rPr>
        <w:t xml:space="preserve">B．法定代表人或负责人或实际控制人是夫妻关系 </w:t>
      </w:r>
    </w:p>
    <w:p w14:paraId="07293967">
      <w:pPr>
        <w:widowControl/>
        <w:spacing w:line="312" w:lineRule="auto"/>
        <w:jc w:val="left"/>
        <w:rPr>
          <w:color w:val="auto"/>
          <w:sz w:val="24"/>
        </w:rPr>
      </w:pPr>
      <w:r>
        <w:rPr>
          <w:rFonts w:hint="eastAsia" w:ascii="仿宋" w:hAnsi="仿宋" w:eastAsia="仿宋" w:cs="仿宋"/>
          <w:color w:val="auto"/>
          <w:kern w:val="0"/>
          <w:sz w:val="24"/>
        </w:rPr>
        <w:t xml:space="preserve">C．法定代表人或负责人或实际控制人是直系血亲关系 </w:t>
      </w:r>
    </w:p>
    <w:p w14:paraId="63D63E84">
      <w:pPr>
        <w:widowControl/>
        <w:spacing w:line="312" w:lineRule="auto"/>
        <w:jc w:val="left"/>
        <w:rPr>
          <w:color w:val="auto"/>
          <w:sz w:val="24"/>
        </w:rPr>
      </w:pPr>
      <w:r>
        <w:rPr>
          <w:rFonts w:hint="eastAsia" w:ascii="仿宋" w:hAnsi="仿宋" w:eastAsia="仿宋" w:cs="仿宋"/>
          <w:color w:val="auto"/>
          <w:kern w:val="0"/>
          <w:sz w:val="24"/>
        </w:rPr>
        <w:t xml:space="preserve">D．法定代表人或负责人或实际控制人存在三代以内旁系血亲关系 </w:t>
      </w:r>
    </w:p>
    <w:p w14:paraId="009EE8FD">
      <w:pPr>
        <w:widowControl/>
        <w:spacing w:line="312" w:lineRule="auto"/>
        <w:jc w:val="left"/>
        <w:rPr>
          <w:color w:val="auto"/>
          <w:sz w:val="24"/>
        </w:rPr>
      </w:pPr>
      <w:r>
        <w:rPr>
          <w:rFonts w:hint="eastAsia" w:ascii="仿宋" w:hAnsi="仿宋" w:eastAsia="仿宋" w:cs="仿宋"/>
          <w:color w:val="auto"/>
          <w:kern w:val="0"/>
          <w:sz w:val="24"/>
        </w:rPr>
        <w:t xml:space="preserve">E．法定代表人或负责人或实际控制人存在近姻亲关系 </w:t>
      </w:r>
    </w:p>
    <w:p w14:paraId="6161FB39">
      <w:pPr>
        <w:widowControl/>
        <w:spacing w:line="312" w:lineRule="auto"/>
        <w:jc w:val="left"/>
        <w:rPr>
          <w:color w:val="auto"/>
          <w:sz w:val="24"/>
        </w:rPr>
      </w:pPr>
      <w:r>
        <w:rPr>
          <w:rFonts w:hint="eastAsia" w:ascii="仿宋" w:hAnsi="仿宋" w:eastAsia="仿宋" w:cs="仿宋"/>
          <w:color w:val="auto"/>
          <w:kern w:val="0"/>
          <w:sz w:val="24"/>
        </w:rPr>
        <w:t xml:space="preserve">F．法定代表人或负责人或实际控制人存在股份控制或实际控制关系 </w:t>
      </w:r>
    </w:p>
    <w:p w14:paraId="5A03E159">
      <w:pPr>
        <w:widowControl/>
        <w:spacing w:line="312" w:lineRule="auto"/>
        <w:jc w:val="left"/>
        <w:rPr>
          <w:color w:val="auto"/>
          <w:sz w:val="24"/>
        </w:rPr>
      </w:pPr>
      <w:r>
        <w:rPr>
          <w:rFonts w:hint="eastAsia" w:ascii="仿宋" w:hAnsi="仿宋" w:eastAsia="仿宋" w:cs="仿宋"/>
          <w:color w:val="auto"/>
          <w:kern w:val="0"/>
          <w:sz w:val="24"/>
        </w:rPr>
        <w:t xml:space="preserve">G．存在共同直接或间接投资设立子公司、联营企业和合营企业情况 </w:t>
      </w:r>
    </w:p>
    <w:p w14:paraId="4CCE87C7">
      <w:pPr>
        <w:widowControl/>
        <w:spacing w:line="312" w:lineRule="auto"/>
        <w:jc w:val="left"/>
        <w:rPr>
          <w:color w:val="auto"/>
          <w:sz w:val="24"/>
        </w:rPr>
      </w:pPr>
      <w:r>
        <w:rPr>
          <w:rFonts w:hint="eastAsia" w:ascii="仿宋" w:hAnsi="仿宋" w:eastAsia="仿宋" w:cs="仿宋"/>
          <w:color w:val="auto"/>
          <w:kern w:val="0"/>
          <w:sz w:val="24"/>
        </w:rPr>
        <w:t xml:space="preserve">H．存在分级代理或代销关系、同一生产制造商关系、管理关系、重要业务（占主昔业务收入 50 ％以上）或重要财务 </w:t>
      </w:r>
    </w:p>
    <w:p w14:paraId="1595B5C7">
      <w:pPr>
        <w:widowControl/>
        <w:spacing w:line="312" w:lineRule="auto"/>
        <w:jc w:val="left"/>
        <w:rPr>
          <w:color w:val="auto"/>
          <w:sz w:val="24"/>
        </w:rPr>
      </w:pPr>
      <w:r>
        <w:rPr>
          <w:rFonts w:hint="eastAsia" w:ascii="仿宋" w:hAnsi="仿宋" w:eastAsia="仿宋" w:cs="仿宋"/>
          <w:color w:val="auto"/>
          <w:kern w:val="0"/>
          <w:sz w:val="24"/>
        </w:rPr>
        <w:t xml:space="preserve">往来关系（如融资）等其他实质性控制关系 </w:t>
      </w:r>
    </w:p>
    <w:p w14:paraId="697C8CDA">
      <w:pPr>
        <w:widowControl/>
        <w:spacing w:line="312" w:lineRule="auto"/>
        <w:jc w:val="left"/>
        <w:rPr>
          <w:color w:val="auto"/>
          <w:sz w:val="24"/>
        </w:rPr>
      </w:pPr>
      <w:r>
        <w:rPr>
          <w:rFonts w:hint="eastAsia" w:ascii="仿宋" w:hAnsi="仿宋" w:eastAsia="仿宋" w:cs="仿宋"/>
          <w:color w:val="auto"/>
          <w:kern w:val="0"/>
          <w:sz w:val="24"/>
        </w:rPr>
        <w:t xml:space="preserve">I．其他利害关系情况。 </w:t>
      </w:r>
    </w:p>
    <w:p w14:paraId="1A8C37E7">
      <w:pPr>
        <w:widowControl/>
        <w:spacing w:line="312" w:lineRule="auto"/>
        <w:jc w:val="left"/>
        <w:rPr>
          <w:color w:val="auto"/>
          <w:sz w:val="24"/>
        </w:rPr>
      </w:pPr>
      <w:r>
        <w:rPr>
          <w:rFonts w:hint="eastAsia" w:ascii="仿宋" w:hAnsi="仿宋" w:eastAsia="仿宋" w:cs="仿宋"/>
          <w:color w:val="auto"/>
          <w:kern w:val="0"/>
          <w:sz w:val="24"/>
        </w:rPr>
        <w:t xml:space="preserve">三、现己清楚知道并严格遵守政府采购法律法规和现场纪律。 </w:t>
      </w:r>
    </w:p>
    <w:p w14:paraId="10A5F411">
      <w:pPr>
        <w:widowControl/>
        <w:spacing w:line="312" w:lineRule="auto"/>
        <w:jc w:val="left"/>
        <w:rPr>
          <w:color w:val="auto"/>
          <w:sz w:val="24"/>
        </w:rPr>
      </w:pPr>
      <w:r>
        <w:rPr>
          <w:rFonts w:hint="eastAsia" w:ascii="仿宋" w:hAnsi="仿宋" w:eastAsia="仿宋" w:cs="仿宋"/>
          <w:color w:val="auto"/>
          <w:kern w:val="0"/>
          <w:sz w:val="24"/>
        </w:rPr>
        <w:t xml:space="preserve">四、我发现供应商之间存在或可能存在上述第二条第项利害关系。 </w:t>
      </w:r>
    </w:p>
    <w:p w14:paraId="6F90A242">
      <w:pPr>
        <w:widowControl/>
        <w:spacing w:line="312" w:lineRule="auto"/>
        <w:jc w:val="center"/>
        <w:rPr>
          <w:rFonts w:ascii="仿宋" w:hAnsi="仿宋" w:eastAsia="仿宋" w:cs="仿宋"/>
          <w:color w:val="auto"/>
          <w:kern w:val="0"/>
          <w:sz w:val="24"/>
        </w:rPr>
      </w:pPr>
    </w:p>
    <w:p w14:paraId="27207A56">
      <w:pPr>
        <w:widowControl/>
        <w:spacing w:line="312" w:lineRule="auto"/>
        <w:jc w:val="center"/>
        <w:rPr>
          <w:rFonts w:ascii="仿宋" w:hAnsi="仿宋" w:eastAsia="仿宋" w:cs="仿宋"/>
          <w:color w:val="auto"/>
          <w:kern w:val="0"/>
          <w:sz w:val="24"/>
        </w:rPr>
      </w:pPr>
    </w:p>
    <w:p w14:paraId="4F019B8E">
      <w:pPr>
        <w:widowControl/>
        <w:spacing w:line="312" w:lineRule="auto"/>
        <w:jc w:val="center"/>
        <w:rPr>
          <w:rFonts w:ascii="仿宋" w:hAnsi="仿宋" w:eastAsia="仿宋" w:cs="仿宋"/>
          <w:color w:val="auto"/>
          <w:kern w:val="0"/>
          <w:sz w:val="24"/>
        </w:rPr>
      </w:pPr>
      <w:r>
        <w:rPr>
          <w:rFonts w:hint="eastAsia" w:ascii="仿宋" w:hAnsi="仿宋" w:eastAsia="仿宋" w:cs="仿宋"/>
          <w:color w:val="auto"/>
          <w:kern w:val="0"/>
          <w:sz w:val="24"/>
        </w:rPr>
        <w:t xml:space="preserve">                法定代表人或授权委托人（签字或盖章）：</w:t>
      </w:r>
    </w:p>
    <w:p w14:paraId="4D0AFFE0">
      <w:pPr>
        <w:widowControl/>
        <w:spacing w:line="312" w:lineRule="auto"/>
        <w:jc w:val="center"/>
        <w:rPr>
          <w:rFonts w:ascii="仿宋" w:hAnsi="仿宋" w:eastAsia="仿宋" w:cs="仿宋"/>
          <w:color w:val="auto"/>
          <w:kern w:val="0"/>
          <w:sz w:val="24"/>
        </w:rPr>
        <w:sectPr>
          <w:pgSz w:w="11906" w:h="16838"/>
          <w:pgMar w:top="1440" w:right="1587" w:bottom="1440" w:left="1633" w:header="851" w:footer="992" w:gutter="0"/>
          <w:pgNumType w:fmt="decimal"/>
          <w:cols w:space="0" w:num="1"/>
          <w:docGrid w:type="lines" w:linePitch="312" w:charSpace="0"/>
        </w:sectPr>
      </w:pPr>
      <w:r>
        <w:rPr>
          <w:rFonts w:hint="eastAsia" w:ascii="仿宋" w:hAnsi="仿宋" w:eastAsia="仿宋" w:cs="仿宋"/>
          <w:color w:val="auto"/>
          <w:kern w:val="0"/>
          <w:sz w:val="24"/>
        </w:rPr>
        <w:t>日期：    年   月   日</w:t>
      </w:r>
    </w:p>
    <w:p w14:paraId="788BA14C">
      <w:pPr>
        <w:snapToGrid w:val="0"/>
        <w:spacing w:before="156" w:after="50" w:line="360" w:lineRule="auto"/>
        <w:ind w:firstLine="703"/>
        <w:rPr>
          <w:rStyle w:val="151"/>
          <w:rFonts w:ascii="宋体" w:hAnsi="宋体"/>
          <w:b/>
          <w:color w:val="auto"/>
          <w:sz w:val="28"/>
          <w:szCs w:val="22"/>
        </w:rPr>
      </w:pPr>
      <w:r>
        <w:rPr>
          <w:rStyle w:val="151"/>
          <w:rFonts w:hint="eastAsia" w:ascii="宋体" w:hAnsi="宋体"/>
          <w:b/>
          <w:color w:val="auto"/>
          <w:sz w:val="28"/>
          <w:szCs w:val="22"/>
        </w:rPr>
        <w:t>附件</w:t>
      </w:r>
    </w:p>
    <w:p w14:paraId="0C011F2F">
      <w:pPr>
        <w:ind w:firstLine="1101"/>
        <w:jc w:val="center"/>
        <w:rPr>
          <w:rFonts w:ascii="华文新魏" w:eastAsia="华文新魏"/>
          <w:b/>
          <w:bCs/>
          <w:color w:val="auto"/>
          <w:sz w:val="44"/>
          <w:szCs w:val="44"/>
        </w:rPr>
      </w:pPr>
      <w:r>
        <w:rPr>
          <w:rFonts w:hint="eastAsia" w:ascii="华文新魏" w:eastAsia="华文新魏"/>
          <w:b/>
          <w:bCs/>
          <w:color w:val="auto"/>
          <w:sz w:val="44"/>
          <w:szCs w:val="44"/>
        </w:rPr>
        <w:t>服务管理考核评分表</w:t>
      </w:r>
    </w:p>
    <w:tbl>
      <w:tblPr>
        <w:tblStyle w:val="26"/>
        <w:tblpPr w:leftFromText="180" w:rightFromText="180" w:vertAnchor="text" w:horzAnchor="page" w:tblpXSpec="center" w:tblpY="618"/>
        <w:tblOverlap w:val="never"/>
        <w:tblW w:w="10669" w:type="dxa"/>
        <w:jc w:val="center"/>
        <w:tblLayout w:type="fixed"/>
        <w:tblCellMar>
          <w:top w:w="0" w:type="dxa"/>
          <w:left w:w="108" w:type="dxa"/>
          <w:bottom w:w="0" w:type="dxa"/>
          <w:right w:w="108" w:type="dxa"/>
        </w:tblCellMar>
      </w:tblPr>
      <w:tblGrid>
        <w:gridCol w:w="786"/>
        <w:gridCol w:w="4142"/>
        <w:gridCol w:w="1985"/>
        <w:gridCol w:w="708"/>
        <w:gridCol w:w="3048"/>
      </w:tblGrid>
      <w:tr w14:paraId="4AEB2F22">
        <w:tblPrEx>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14:paraId="1A4F0474">
            <w:pPr>
              <w:rPr>
                <w:b/>
                <w:bCs/>
                <w:color w:val="auto"/>
              </w:rPr>
            </w:pPr>
            <w:r>
              <w:rPr>
                <w:rFonts w:hint="eastAsia"/>
                <w:b/>
                <w:bCs/>
                <w:color w:val="auto"/>
              </w:rPr>
              <w:t>项目</w:t>
            </w:r>
          </w:p>
        </w:tc>
        <w:tc>
          <w:tcPr>
            <w:tcW w:w="4142" w:type="dxa"/>
            <w:tcBorders>
              <w:top w:val="single" w:color="auto" w:sz="4" w:space="0"/>
              <w:left w:val="nil"/>
              <w:bottom w:val="single" w:color="auto" w:sz="4" w:space="0"/>
              <w:right w:val="single" w:color="auto" w:sz="4" w:space="0"/>
            </w:tcBorders>
            <w:vAlign w:val="center"/>
          </w:tcPr>
          <w:p w14:paraId="6608CB12">
            <w:pPr>
              <w:ind w:firstLine="602"/>
              <w:rPr>
                <w:b/>
                <w:bCs/>
                <w:color w:val="auto"/>
              </w:rPr>
            </w:pPr>
            <w:r>
              <w:rPr>
                <w:rFonts w:hint="eastAsia"/>
                <w:b/>
                <w:bCs/>
                <w:color w:val="auto"/>
              </w:rPr>
              <w:t>标准内容</w:t>
            </w:r>
          </w:p>
        </w:tc>
        <w:tc>
          <w:tcPr>
            <w:tcW w:w="1985" w:type="dxa"/>
            <w:tcBorders>
              <w:top w:val="single" w:color="auto" w:sz="4" w:space="0"/>
              <w:left w:val="nil"/>
              <w:bottom w:val="single" w:color="auto" w:sz="4" w:space="0"/>
              <w:right w:val="single" w:color="auto" w:sz="4" w:space="0"/>
            </w:tcBorders>
            <w:vAlign w:val="center"/>
          </w:tcPr>
          <w:p w14:paraId="3684CC8E">
            <w:pPr>
              <w:ind w:firstLine="602"/>
              <w:rPr>
                <w:b/>
                <w:bCs/>
                <w:color w:val="auto"/>
              </w:rPr>
            </w:pPr>
            <w:r>
              <w:rPr>
                <w:rFonts w:hint="eastAsia"/>
                <w:b/>
                <w:bCs/>
                <w:color w:val="auto"/>
              </w:rPr>
              <w:t>扣分标准</w:t>
            </w:r>
          </w:p>
        </w:tc>
        <w:tc>
          <w:tcPr>
            <w:tcW w:w="708" w:type="dxa"/>
            <w:tcBorders>
              <w:top w:val="single" w:color="auto" w:sz="4" w:space="0"/>
              <w:left w:val="nil"/>
              <w:bottom w:val="single" w:color="auto" w:sz="4" w:space="0"/>
              <w:right w:val="single" w:color="auto" w:sz="4" w:space="0"/>
            </w:tcBorders>
          </w:tcPr>
          <w:p w14:paraId="3EF7543C">
            <w:pPr>
              <w:rPr>
                <w:b/>
                <w:bCs/>
                <w:color w:val="auto"/>
              </w:rPr>
            </w:pPr>
            <w:r>
              <w:rPr>
                <w:rFonts w:hint="eastAsia"/>
                <w:b/>
                <w:bCs/>
                <w:color w:val="auto"/>
              </w:rPr>
              <w:t>扣分</w:t>
            </w:r>
          </w:p>
        </w:tc>
        <w:tc>
          <w:tcPr>
            <w:tcW w:w="3048" w:type="dxa"/>
            <w:tcBorders>
              <w:top w:val="single" w:color="auto" w:sz="4" w:space="0"/>
              <w:left w:val="single" w:color="auto" w:sz="4" w:space="0"/>
              <w:bottom w:val="single" w:color="auto" w:sz="4" w:space="0"/>
              <w:right w:val="single" w:color="auto" w:sz="4" w:space="0"/>
            </w:tcBorders>
          </w:tcPr>
          <w:p w14:paraId="3E788DC2">
            <w:pPr>
              <w:ind w:firstLine="602"/>
              <w:rPr>
                <w:b/>
                <w:bCs/>
                <w:color w:val="auto"/>
              </w:rPr>
            </w:pPr>
            <w:r>
              <w:rPr>
                <w:rFonts w:hint="eastAsia"/>
                <w:b/>
                <w:bCs/>
                <w:color w:val="auto"/>
              </w:rPr>
              <w:t>扣分原因</w:t>
            </w:r>
          </w:p>
        </w:tc>
      </w:tr>
      <w:tr w14:paraId="32007B17">
        <w:tblPrEx>
          <w:tblCellMar>
            <w:top w:w="0" w:type="dxa"/>
            <w:left w:w="108" w:type="dxa"/>
            <w:bottom w:w="0" w:type="dxa"/>
            <w:right w:w="108" w:type="dxa"/>
          </w:tblCellMar>
        </w:tblPrEx>
        <w:trPr>
          <w:trHeight w:val="495" w:hRule="atLeast"/>
          <w:jc w:val="center"/>
        </w:trPr>
        <w:tc>
          <w:tcPr>
            <w:tcW w:w="786" w:type="dxa"/>
            <w:vMerge w:val="restart"/>
            <w:tcBorders>
              <w:top w:val="single" w:color="auto" w:sz="4" w:space="0"/>
              <w:left w:val="single" w:color="auto" w:sz="4" w:space="0"/>
              <w:right w:val="single" w:color="auto" w:sz="4" w:space="0"/>
            </w:tcBorders>
            <w:vAlign w:val="center"/>
          </w:tcPr>
          <w:p w14:paraId="515C1188">
            <w:pPr>
              <w:rPr>
                <w:color w:val="auto"/>
              </w:rPr>
            </w:pPr>
          </w:p>
          <w:p w14:paraId="688F2DD0">
            <w:pPr>
              <w:rPr>
                <w:color w:val="auto"/>
              </w:rPr>
            </w:pPr>
            <w:r>
              <w:rPr>
                <w:rFonts w:hint="eastAsia"/>
                <w:color w:val="auto"/>
              </w:rPr>
              <w:t>管理</w:t>
            </w:r>
          </w:p>
          <w:p w14:paraId="2199B4DD">
            <w:pPr>
              <w:rPr>
                <w:color w:val="auto"/>
              </w:rPr>
            </w:pPr>
            <w:r>
              <w:rPr>
                <w:rFonts w:hint="eastAsia"/>
                <w:color w:val="auto"/>
              </w:rPr>
              <w:t>20分</w:t>
            </w:r>
          </w:p>
        </w:tc>
        <w:tc>
          <w:tcPr>
            <w:tcW w:w="4142" w:type="dxa"/>
            <w:tcBorders>
              <w:top w:val="single" w:color="auto" w:sz="4" w:space="0"/>
              <w:left w:val="nil"/>
              <w:bottom w:val="single" w:color="auto" w:sz="4" w:space="0"/>
              <w:right w:val="single" w:color="auto" w:sz="4" w:space="0"/>
            </w:tcBorders>
            <w:vAlign w:val="center"/>
          </w:tcPr>
          <w:p w14:paraId="22206E31">
            <w:pPr>
              <w:rPr>
                <w:color w:val="auto"/>
              </w:rPr>
            </w:pPr>
            <w:r>
              <w:rPr>
                <w:rFonts w:hint="eastAsia"/>
                <w:color w:val="auto"/>
              </w:rPr>
              <w:t>1、管理制度齐全，运作规范、标准，台账建立及时、完整</w:t>
            </w:r>
          </w:p>
        </w:tc>
        <w:tc>
          <w:tcPr>
            <w:tcW w:w="1985" w:type="dxa"/>
            <w:tcBorders>
              <w:top w:val="single" w:color="auto" w:sz="4" w:space="0"/>
              <w:left w:val="nil"/>
              <w:bottom w:val="single" w:color="auto" w:sz="4" w:space="0"/>
              <w:right w:val="single" w:color="auto" w:sz="4" w:space="0"/>
            </w:tcBorders>
            <w:vAlign w:val="center"/>
          </w:tcPr>
          <w:p w14:paraId="63C03605">
            <w:pPr>
              <w:rPr>
                <w:color w:val="auto"/>
              </w:rPr>
            </w:pPr>
            <w:r>
              <w:rPr>
                <w:rFonts w:hint="eastAsia"/>
                <w:color w:val="auto"/>
              </w:rPr>
              <w:t>无制度台账扣5分，效果差扣2分</w:t>
            </w:r>
          </w:p>
        </w:tc>
        <w:tc>
          <w:tcPr>
            <w:tcW w:w="708" w:type="dxa"/>
            <w:tcBorders>
              <w:top w:val="single" w:color="auto" w:sz="4" w:space="0"/>
              <w:left w:val="nil"/>
              <w:bottom w:val="single" w:color="auto" w:sz="4" w:space="0"/>
              <w:right w:val="single" w:color="auto" w:sz="4" w:space="0"/>
            </w:tcBorders>
          </w:tcPr>
          <w:p w14:paraId="6F0BE470">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4174FCE7">
            <w:pPr>
              <w:rPr>
                <w:color w:val="auto"/>
              </w:rPr>
            </w:pPr>
          </w:p>
        </w:tc>
      </w:tr>
      <w:tr w14:paraId="59C0BA0D">
        <w:tblPrEx>
          <w:tblCellMar>
            <w:top w:w="0" w:type="dxa"/>
            <w:left w:w="108" w:type="dxa"/>
            <w:bottom w:w="0" w:type="dxa"/>
            <w:right w:w="108" w:type="dxa"/>
          </w:tblCellMar>
        </w:tblPrEx>
        <w:trPr>
          <w:trHeight w:val="415" w:hRule="atLeast"/>
          <w:jc w:val="center"/>
        </w:trPr>
        <w:tc>
          <w:tcPr>
            <w:tcW w:w="786" w:type="dxa"/>
            <w:vMerge w:val="continue"/>
            <w:tcBorders>
              <w:left w:val="single" w:color="auto" w:sz="4" w:space="0"/>
              <w:right w:val="single" w:color="auto" w:sz="4" w:space="0"/>
            </w:tcBorders>
            <w:vAlign w:val="center"/>
          </w:tcPr>
          <w:p w14:paraId="433D4EAC">
            <w:pPr>
              <w:rPr>
                <w:color w:val="auto"/>
              </w:rPr>
            </w:pPr>
          </w:p>
        </w:tc>
        <w:tc>
          <w:tcPr>
            <w:tcW w:w="4142" w:type="dxa"/>
            <w:tcBorders>
              <w:top w:val="single" w:color="auto" w:sz="4" w:space="0"/>
              <w:left w:val="nil"/>
              <w:bottom w:val="single" w:color="auto" w:sz="4" w:space="0"/>
              <w:right w:val="single" w:color="auto" w:sz="4" w:space="0"/>
            </w:tcBorders>
            <w:vAlign w:val="center"/>
          </w:tcPr>
          <w:p w14:paraId="15B9EBEF">
            <w:pPr>
              <w:rPr>
                <w:color w:val="auto"/>
              </w:rPr>
            </w:pPr>
            <w:r>
              <w:rPr>
                <w:rFonts w:hint="eastAsia"/>
                <w:color w:val="auto"/>
              </w:rPr>
              <w:t>2、有专职项目经理进行现场管理，与业主沟通及时到位</w:t>
            </w:r>
          </w:p>
        </w:tc>
        <w:tc>
          <w:tcPr>
            <w:tcW w:w="1985" w:type="dxa"/>
            <w:tcBorders>
              <w:top w:val="single" w:color="auto" w:sz="4" w:space="0"/>
              <w:left w:val="nil"/>
              <w:bottom w:val="single" w:color="auto" w:sz="4" w:space="0"/>
              <w:right w:val="single" w:color="auto" w:sz="4" w:space="0"/>
            </w:tcBorders>
            <w:vAlign w:val="center"/>
          </w:tcPr>
          <w:p w14:paraId="65395D35">
            <w:pPr>
              <w:rPr>
                <w:color w:val="auto"/>
              </w:rPr>
            </w:pPr>
            <w:r>
              <w:rPr>
                <w:rFonts w:hint="eastAsia"/>
                <w:color w:val="auto"/>
              </w:rPr>
              <w:t>不达标一次扣1分</w:t>
            </w:r>
          </w:p>
        </w:tc>
        <w:tc>
          <w:tcPr>
            <w:tcW w:w="708" w:type="dxa"/>
            <w:tcBorders>
              <w:top w:val="single" w:color="auto" w:sz="4" w:space="0"/>
              <w:left w:val="nil"/>
              <w:bottom w:val="single" w:color="auto" w:sz="4" w:space="0"/>
              <w:right w:val="single" w:color="auto" w:sz="4" w:space="0"/>
            </w:tcBorders>
          </w:tcPr>
          <w:p w14:paraId="58BD177C">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66A162B7">
            <w:pPr>
              <w:rPr>
                <w:color w:val="auto"/>
              </w:rPr>
            </w:pPr>
          </w:p>
        </w:tc>
      </w:tr>
      <w:tr w14:paraId="0D9E2172">
        <w:tblPrEx>
          <w:tblCellMar>
            <w:top w:w="0" w:type="dxa"/>
            <w:left w:w="108" w:type="dxa"/>
            <w:bottom w:w="0" w:type="dxa"/>
            <w:right w:w="108" w:type="dxa"/>
          </w:tblCellMar>
        </w:tblPrEx>
        <w:trPr>
          <w:trHeight w:val="196" w:hRule="atLeast"/>
          <w:jc w:val="center"/>
        </w:trPr>
        <w:tc>
          <w:tcPr>
            <w:tcW w:w="786" w:type="dxa"/>
            <w:vMerge w:val="continue"/>
            <w:tcBorders>
              <w:left w:val="single" w:color="auto" w:sz="4" w:space="0"/>
              <w:right w:val="single" w:color="auto" w:sz="4" w:space="0"/>
            </w:tcBorders>
            <w:vAlign w:val="center"/>
          </w:tcPr>
          <w:p w14:paraId="574D6869">
            <w:pPr>
              <w:rPr>
                <w:color w:val="auto"/>
              </w:rPr>
            </w:pPr>
          </w:p>
        </w:tc>
        <w:tc>
          <w:tcPr>
            <w:tcW w:w="4142" w:type="dxa"/>
            <w:tcBorders>
              <w:top w:val="single" w:color="auto" w:sz="4" w:space="0"/>
              <w:left w:val="nil"/>
              <w:bottom w:val="single" w:color="auto" w:sz="4" w:space="0"/>
              <w:right w:val="single" w:color="auto" w:sz="4" w:space="0"/>
            </w:tcBorders>
            <w:vAlign w:val="center"/>
          </w:tcPr>
          <w:p w14:paraId="08251EE7">
            <w:pPr>
              <w:rPr>
                <w:color w:val="auto"/>
              </w:rPr>
            </w:pPr>
            <w:r>
              <w:rPr>
                <w:rFonts w:hint="eastAsia"/>
                <w:color w:val="auto"/>
              </w:rPr>
              <w:t>3、工作人员到位，着统一工作服，佩戴工作牌、精神饱满、培训到位、奖惩有力</w:t>
            </w:r>
          </w:p>
        </w:tc>
        <w:tc>
          <w:tcPr>
            <w:tcW w:w="1985" w:type="dxa"/>
            <w:tcBorders>
              <w:top w:val="single" w:color="auto" w:sz="4" w:space="0"/>
              <w:left w:val="nil"/>
              <w:bottom w:val="single" w:color="auto" w:sz="4" w:space="0"/>
              <w:right w:val="single" w:color="auto" w:sz="4" w:space="0"/>
            </w:tcBorders>
            <w:vAlign w:val="center"/>
          </w:tcPr>
          <w:p w14:paraId="7CB4261E">
            <w:pPr>
              <w:rPr>
                <w:color w:val="auto"/>
              </w:rPr>
            </w:pPr>
            <w:r>
              <w:rPr>
                <w:rFonts w:hint="eastAsia"/>
                <w:color w:val="auto"/>
              </w:rPr>
              <w:t>不达标一次扣1分</w:t>
            </w:r>
          </w:p>
        </w:tc>
        <w:tc>
          <w:tcPr>
            <w:tcW w:w="708" w:type="dxa"/>
            <w:tcBorders>
              <w:top w:val="single" w:color="auto" w:sz="4" w:space="0"/>
              <w:left w:val="nil"/>
              <w:bottom w:val="single" w:color="auto" w:sz="4" w:space="0"/>
              <w:right w:val="single" w:color="auto" w:sz="4" w:space="0"/>
            </w:tcBorders>
          </w:tcPr>
          <w:p w14:paraId="0B33A2C5">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07769E54">
            <w:pPr>
              <w:rPr>
                <w:color w:val="auto"/>
              </w:rPr>
            </w:pPr>
          </w:p>
        </w:tc>
      </w:tr>
      <w:tr w14:paraId="3BC03182">
        <w:tblPrEx>
          <w:tblCellMar>
            <w:top w:w="0" w:type="dxa"/>
            <w:left w:w="108" w:type="dxa"/>
            <w:bottom w:w="0" w:type="dxa"/>
            <w:right w:w="108" w:type="dxa"/>
          </w:tblCellMar>
        </w:tblPrEx>
        <w:trPr>
          <w:jc w:val="center"/>
        </w:trPr>
        <w:tc>
          <w:tcPr>
            <w:tcW w:w="786" w:type="dxa"/>
            <w:vMerge w:val="continue"/>
            <w:tcBorders>
              <w:left w:val="single" w:color="auto" w:sz="4" w:space="0"/>
              <w:bottom w:val="single" w:color="auto" w:sz="4" w:space="0"/>
              <w:right w:val="single" w:color="auto" w:sz="4" w:space="0"/>
            </w:tcBorders>
            <w:vAlign w:val="center"/>
          </w:tcPr>
          <w:p w14:paraId="0D08CD1F">
            <w:pPr>
              <w:rPr>
                <w:color w:val="auto"/>
              </w:rPr>
            </w:pPr>
          </w:p>
        </w:tc>
        <w:tc>
          <w:tcPr>
            <w:tcW w:w="4142" w:type="dxa"/>
            <w:tcBorders>
              <w:top w:val="single" w:color="auto" w:sz="4" w:space="0"/>
              <w:left w:val="nil"/>
              <w:bottom w:val="single" w:color="auto" w:sz="4" w:space="0"/>
              <w:right w:val="single" w:color="auto" w:sz="4" w:space="0"/>
            </w:tcBorders>
            <w:vAlign w:val="center"/>
          </w:tcPr>
          <w:p w14:paraId="7E720972">
            <w:pPr>
              <w:rPr>
                <w:color w:val="auto"/>
              </w:rPr>
            </w:pPr>
            <w:r>
              <w:rPr>
                <w:rFonts w:hint="eastAsia"/>
                <w:color w:val="auto"/>
              </w:rPr>
              <w:t>4、工作时文明有礼，不影响中心形象，配合业主工作主动积极有效</w:t>
            </w:r>
          </w:p>
        </w:tc>
        <w:tc>
          <w:tcPr>
            <w:tcW w:w="1985" w:type="dxa"/>
            <w:tcBorders>
              <w:top w:val="single" w:color="auto" w:sz="4" w:space="0"/>
              <w:left w:val="nil"/>
              <w:bottom w:val="single" w:color="auto" w:sz="4" w:space="0"/>
              <w:right w:val="single" w:color="auto" w:sz="4" w:space="0"/>
            </w:tcBorders>
            <w:vAlign w:val="center"/>
          </w:tcPr>
          <w:p w14:paraId="0F6382EC">
            <w:pPr>
              <w:rPr>
                <w:color w:val="auto"/>
              </w:rPr>
            </w:pPr>
            <w:r>
              <w:rPr>
                <w:rFonts w:hint="eastAsia"/>
                <w:color w:val="auto"/>
              </w:rPr>
              <w:t>不达标一次扣1分</w:t>
            </w:r>
          </w:p>
        </w:tc>
        <w:tc>
          <w:tcPr>
            <w:tcW w:w="708" w:type="dxa"/>
            <w:tcBorders>
              <w:top w:val="single" w:color="auto" w:sz="4" w:space="0"/>
              <w:left w:val="nil"/>
              <w:bottom w:val="single" w:color="auto" w:sz="4" w:space="0"/>
              <w:right w:val="single" w:color="auto" w:sz="4" w:space="0"/>
            </w:tcBorders>
          </w:tcPr>
          <w:p w14:paraId="0955EB28">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06E5A64F">
            <w:pPr>
              <w:rPr>
                <w:color w:val="auto"/>
              </w:rPr>
            </w:pPr>
          </w:p>
        </w:tc>
      </w:tr>
      <w:tr w14:paraId="14A7E3A4">
        <w:tblPrEx>
          <w:tblCellMar>
            <w:top w:w="0" w:type="dxa"/>
            <w:left w:w="108" w:type="dxa"/>
            <w:bottom w:w="0" w:type="dxa"/>
            <w:right w:w="108" w:type="dxa"/>
          </w:tblCellMar>
        </w:tblPrEx>
        <w:trPr>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14:paraId="5C44FCB2">
            <w:pPr>
              <w:rPr>
                <w:color w:val="auto"/>
              </w:rPr>
            </w:pPr>
            <w:r>
              <w:rPr>
                <w:rFonts w:hint="eastAsia"/>
                <w:color w:val="auto"/>
              </w:rPr>
              <w:t>公共</w:t>
            </w:r>
          </w:p>
          <w:p w14:paraId="4AC56D98">
            <w:pPr>
              <w:rPr>
                <w:color w:val="auto"/>
              </w:rPr>
            </w:pPr>
            <w:r>
              <w:rPr>
                <w:rFonts w:hint="eastAsia"/>
                <w:color w:val="auto"/>
              </w:rPr>
              <w:t>卫生</w:t>
            </w:r>
          </w:p>
          <w:p w14:paraId="02D12441">
            <w:pPr>
              <w:rPr>
                <w:color w:val="auto"/>
              </w:rPr>
            </w:pPr>
            <w:r>
              <w:rPr>
                <w:rFonts w:hint="eastAsia"/>
                <w:color w:val="auto"/>
              </w:rPr>
              <w:t>40分</w:t>
            </w:r>
          </w:p>
        </w:tc>
        <w:tc>
          <w:tcPr>
            <w:tcW w:w="4142" w:type="dxa"/>
            <w:tcBorders>
              <w:top w:val="single" w:color="auto" w:sz="4" w:space="0"/>
              <w:left w:val="nil"/>
              <w:bottom w:val="single" w:color="auto" w:sz="4" w:space="0"/>
              <w:right w:val="single" w:color="auto" w:sz="4" w:space="0"/>
            </w:tcBorders>
            <w:vAlign w:val="center"/>
          </w:tcPr>
          <w:p w14:paraId="1D34FFCE">
            <w:pPr>
              <w:rPr>
                <w:color w:val="auto"/>
              </w:rPr>
            </w:pPr>
            <w:r>
              <w:rPr>
                <w:rFonts w:hint="eastAsia"/>
                <w:color w:val="auto"/>
              </w:rPr>
              <w:t>5、地面：每天清扫，全天保洁，无纸屑、塑料袋、痰迹、烟头、口香糖、瓜皮果壳等杂物；道路、绿化带、天井绿地：无杂物垃圾、无蛛网、无烟蒂、无动物粪便、路面无落叶</w:t>
            </w:r>
          </w:p>
        </w:tc>
        <w:tc>
          <w:tcPr>
            <w:tcW w:w="1985" w:type="dxa"/>
            <w:tcBorders>
              <w:top w:val="single" w:color="auto" w:sz="4" w:space="0"/>
              <w:left w:val="nil"/>
              <w:bottom w:val="single" w:color="auto" w:sz="4" w:space="0"/>
              <w:right w:val="single" w:color="auto" w:sz="4" w:space="0"/>
            </w:tcBorders>
            <w:vAlign w:val="center"/>
          </w:tcPr>
          <w:p w14:paraId="7C7349B6">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385C200C">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786CFE86">
            <w:pPr>
              <w:rPr>
                <w:color w:val="auto"/>
              </w:rPr>
            </w:pPr>
          </w:p>
        </w:tc>
      </w:tr>
      <w:tr w14:paraId="627073DD">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27F53DE7">
            <w:pPr>
              <w:rPr>
                <w:color w:val="auto"/>
              </w:rPr>
            </w:pPr>
          </w:p>
        </w:tc>
        <w:tc>
          <w:tcPr>
            <w:tcW w:w="4142" w:type="dxa"/>
            <w:tcBorders>
              <w:top w:val="single" w:color="auto" w:sz="4" w:space="0"/>
              <w:left w:val="nil"/>
              <w:bottom w:val="single" w:color="auto" w:sz="4" w:space="0"/>
              <w:right w:val="single" w:color="auto" w:sz="4" w:space="0"/>
            </w:tcBorders>
            <w:vAlign w:val="center"/>
          </w:tcPr>
          <w:p w14:paraId="244C3C06">
            <w:pPr>
              <w:rPr>
                <w:color w:val="auto"/>
              </w:rPr>
            </w:pPr>
            <w:r>
              <w:rPr>
                <w:rFonts w:hint="eastAsia"/>
                <w:color w:val="auto"/>
              </w:rPr>
              <w:t>6、墙面：清洁、光亮、无污迹、无乱贴乱画、无吊灰、无蜘蛛网</w:t>
            </w:r>
          </w:p>
        </w:tc>
        <w:tc>
          <w:tcPr>
            <w:tcW w:w="1985" w:type="dxa"/>
            <w:tcBorders>
              <w:top w:val="single" w:color="auto" w:sz="4" w:space="0"/>
              <w:left w:val="nil"/>
              <w:bottom w:val="single" w:color="auto" w:sz="4" w:space="0"/>
              <w:right w:val="single" w:color="auto" w:sz="4" w:space="0"/>
            </w:tcBorders>
            <w:vAlign w:val="center"/>
          </w:tcPr>
          <w:p w14:paraId="53F19DFF">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475F9377">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338B6D05">
            <w:pPr>
              <w:rPr>
                <w:color w:val="auto"/>
              </w:rPr>
            </w:pPr>
          </w:p>
        </w:tc>
      </w:tr>
      <w:tr w14:paraId="33C0192F">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0C409747">
            <w:pPr>
              <w:rPr>
                <w:color w:val="auto"/>
              </w:rPr>
            </w:pPr>
          </w:p>
        </w:tc>
        <w:tc>
          <w:tcPr>
            <w:tcW w:w="4142" w:type="dxa"/>
            <w:tcBorders>
              <w:top w:val="single" w:color="auto" w:sz="4" w:space="0"/>
              <w:left w:val="nil"/>
              <w:bottom w:val="single" w:color="auto" w:sz="4" w:space="0"/>
              <w:right w:val="single" w:color="auto" w:sz="4" w:space="0"/>
            </w:tcBorders>
            <w:vAlign w:val="center"/>
          </w:tcPr>
          <w:p w14:paraId="1CFE8B66">
            <w:pPr>
              <w:rPr>
                <w:color w:val="auto"/>
              </w:rPr>
            </w:pPr>
            <w:r>
              <w:rPr>
                <w:rFonts w:hint="eastAsia"/>
                <w:color w:val="auto"/>
              </w:rPr>
              <w:t xml:space="preserve">7、门前、走廊、门厅：每天清扫，全天保洁，光亮无污物，走道畅通，无堆放物 </w:t>
            </w:r>
          </w:p>
        </w:tc>
        <w:tc>
          <w:tcPr>
            <w:tcW w:w="1985" w:type="dxa"/>
            <w:tcBorders>
              <w:top w:val="single" w:color="auto" w:sz="4" w:space="0"/>
              <w:left w:val="nil"/>
              <w:bottom w:val="single" w:color="auto" w:sz="4" w:space="0"/>
              <w:right w:val="single" w:color="auto" w:sz="4" w:space="0"/>
            </w:tcBorders>
            <w:vAlign w:val="center"/>
          </w:tcPr>
          <w:p w14:paraId="3714C3D2">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745524B6">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4870C6D2">
            <w:pPr>
              <w:rPr>
                <w:color w:val="auto"/>
              </w:rPr>
            </w:pPr>
          </w:p>
        </w:tc>
      </w:tr>
      <w:tr w14:paraId="107D6617">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3BD226A7">
            <w:pPr>
              <w:rPr>
                <w:color w:val="auto"/>
              </w:rPr>
            </w:pPr>
          </w:p>
        </w:tc>
        <w:tc>
          <w:tcPr>
            <w:tcW w:w="4142" w:type="dxa"/>
            <w:tcBorders>
              <w:top w:val="single" w:color="auto" w:sz="4" w:space="0"/>
              <w:left w:val="nil"/>
              <w:bottom w:val="single" w:color="auto" w:sz="4" w:space="0"/>
              <w:right w:val="single" w:color="auto" w:sz="4" w:space="0"/>
            </w:tcBorders>
            <w:vAlign w:val="center"/>
          </w:tcPr>
          <w:p w14:paraId="766038D0">
            <w:pPr>
              <w:rPr>
                <w:color w:val="auto"/>
              </w:rPr>
            </w:pPr>
            <w:r>
              <w:rPr>
                <w:rFonts w:hint="eastAsia"/>
                <w:color w:val="auto"/>
              </w:rPr>
              <w:t xml:space="preserve">8、灯具灯管、路灯杆座、指示牌：清洁明亮，目视无积尘 </w:t>
            </w:r>
          </w:p>
        </w:tc>
        <w:tc>
          <w:tcPr>
            <w:tcW w:w="1985" w:type="dxa"/>
            <w:tcBorders>
              <w:top w:val="single" w:color="auto" w:sz="4" w:space="0"/>
              <w:left w:val="nil"/>
              <w:bottom w:val="single" w:color="auto" w:sz="4" w:space="0"/>
              <w:right w:val="single" w:color="auto" w:sz="4" w:space="0"/>
            </w:tcBorders>
            <w:vAlign w:val="center"/>
          </w:tcPr>
          <w:p w14:paraId="5B392D6D">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2A755E36">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431A6638">
            <w:pPr>
              <w:rPr>
                <w:color w:val="auto"/>
              </w:rPr>
            </w:pPr>
          </w:p>
        </w:tc>
      </w:tr>
      <w:tr w14:paraId="5984F691">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78934497">
            <w:pPr>
              <w:rPr>
                <w:color w:val="auto"/>
              </w:rPr>
            </w:pPr>
          </w:p>
        </w:tc>
        <w:tc>
          <w:tcPr>
            <w:tcW w:w="4142" w:type="dxa"/>
            <w:tcBorders>
              <w:top w:val="single" w:color="auto" w:sz="4" w:space="0"/>
              <w:left w:val="nil"/>
              <w:bottom w:val="single" w:color="auto" w:sz="4" w:space="0"/>
              <w:right w:val="single" w:color="auto" w:sz="4" w:space="0"/>
            </w:tcBorders>
            <w:vAlign w:val="center"/>
          </w:tcPr>
          <w:p w14:paraId="0E1FD493">
            <w:pPr>
              <w:rPr>
                <w:color w:val="auto"/>
              </w:rPr>
            </w:pPr>
            <w:r>
              <w:rPr>
                <w:rFonts w:hint="eastAsia"/>
                <w:color w:val="auto"/>
              </w:rPr>
              <w:t>9、各类门窗玻璃、橱窗：洁净、明亮，无污迹</w:t>
            </w:r>
          </w:p>
        </w:tc>
        <w:tc>
          <w:tcPr>
            <w:tcW w:w="1985" w:type="dxa"/>
            <w:tcBorders>
              <w:top w:val="single" w:color="auto" w:sz="4" w:space="0"/>
              <w:left w:val="nil"/>
              <w:bottom w:val="single" w:color="auto" w:sz="4" w:space="0"/>
              <w:right w:val="single" w:color="auto" w:sz="4" w:space="0"/>
            </w:tcBorders>
            <w:vAlign w:val="center"/>
          </w:tcPr>
          <w:p w14:paraId="1CD552A4">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4B4F2B51">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0677C580">
            <w:pPr>
              <w:rPr>
                <w:color w:val="auto"/>
              </w:rPr>
            </w:pPr>
          </w:p>
        </w:tc>
      </w:tr>
      <w:tr w14:paraId="567EDB82">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287134F4">
            <w:pPr>
              <w:rPr>
                <w:color w:val="auto"/>
              </w:rPr>
            </w:pPr>
          </w:p>
        </w:tc>
        <w:tc>
          <w:tcPr>
            <w:tcW w:w="4142" w:type="dxa"/>
            <w:tcBorders>
              <w:top w:val="single" w:color="auto" w:sz="4" w:space="0"/>
              <w:left w:val="nil"/>
              <w:bottom w:val="single" w:color="auto" w:sz="4" w:space="0"/>
              <w:right w:val="single" w:color="auto" w:sz="4" w:space="0"/>
            </w:tcBorders>
            <w:vAlign w:val="center"/>
          </w:tcPr>
          <w:p w14:paraId="4362B2D6">
            <w:pPr>
              <w:rPr>
                <w:color w:val="auto"/>
              </w:rPr>
            </w:pPr>
            <w:r>
              <w:rPr>
                <w:rFonts w:hint="eastAsia"/>
                <w:color w:val="auto"/>
              </w:rPr>
              <w:t>10、楼梯、电梯、扶手：干净，无积尘，无污物</w:t>
            </w:r>
          </w:p>
        </w:tc>
        <w:tc>
          <w:tcPr>
            <w:tcW w:w="1985" w:type="dxa"/>
            <w:tcBorders>
              <w:top w:val="single" w:color="auto" w:sz="4" w:space="0"/>
              <w:left w:val="nil"/>
              <w:bottom w:val="single" w:color="auto" w:sz="4" w:space="0"/>
              <w:right w:val="single" w:color="auto" w:sz="4" w:space="0"/>
            </w:tcBorders>
            <w:vAlign w:val="center"/>
          </w:tcPr>
          <w:p w14:paraId="1FF89F88">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4BE5A589">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2A79FD4C">
            <w:pPr>
              <w:rPr>
                <w:color w:val="auto"/>
              </w:rPr>
            </w:pPr>
          </w:p>
        </w:tc>
      </w:tr>
      <w:tr w14:paraId="51DCB0FD">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7A1ED9F0">
            <w:pPr>
              <w:rPr>
                <w:color w:val="auto"/>
              </w:rPr>
            </w:pPr>
          </w:p>
        </w:tc>
        <w:tc>
          <w:tcPr>
            <w:tcW w:w="4142" w:type="dxa"/>
            <w:tcBorders>
              <w:top w:val="single" w:color="auto" w:sz="4" w:space="0"/>
              <w:left w:val="nil"/>
              <w:bottom w:val="single" w:color="auto" w:sz="4" w:space="0"/>
              <w:right w:val="single" w:color="auto" w:sz="4" w:space="0"/>
            </w:tcBorders>
            <w:vAlign w:val="center"/>
          </w:tcPr>
          <w:p w14:paraId="711C197D">
            <w:pPr>
              <w:rPr>
                <w:color w:val="auto"/>
              </w:rPr>
            </w:pPr>
            <w:r>
              <w:rPr>
                <w:rFonts w:hint="eastAsia"/>
                <w:color w:val="auto"/>
              </w:rPr>
              <w:t>11、公共设施管道线、消防器材、标识牌等目视无积尘，发现问题及时报修</w:t>
            </w:r>
          </w:p>
        </w:tc>
        <w:tc>
          <w:tcPr>
            <w:tcW w:w="1985" w:type="dxa"/>
            <w:tcBorders>
              <w:top w:val="single" w:color="auto" w:sz="4" w:space="0"/>
              <w:left w:val="nil"/>
              <w:bottom w:val="single" w:color="auto" w:sz="4" w:space="0"/>
              <w:right w:val="single" w:color="auto" w:sz="4" w:space="0"/>
            </w:tcBorders>
            <w:vAlign w:val="center"/>
          </w:tcPr>
          <w:p w14:paraId="60C2C46B">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7148698C">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338C3462">
            <w:pPr>
              <w:rPr>
                <w:color w:val="auto"/>
              </w:rPr>
            </w:pPr>
          </w:p>
        </w:tc>
      </w:tr>
      <w:tr w14:paraId="424C5285">
        <w:tblPrEx>
          <w:tblCellMar>
            <w:top w:w="0" w:type="dxa"/>
            <w:left w:w="108" w:type="dxa"/>
            <w:bottom w:w="0" w:type="dxa"/>
            <w:right w:w="108" w:type="dxa"/>
          </w:tblCellMar>
        </w:tblPrEx>
        <w:trPr>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14:paraId="4BE19302">
            <w:pPr>
              <w:rPr>
                <w:color w:val="auto"/>
              </w:rPr>
            </w:pPr>
            <w:r>
              <w:rPr>
                <w:rFonts w:hint="eastAsia"/>
                <w:color w:val="auto"/>
              </w:rPr>
              <w:t>卫生间</w:t>
            </w:r>
          </w:p>
          <w:p w14:paraId="75E89DCC">
            <w:pPr>
              <w:rPr>
                <w:color w:val="auto"/>
              </w:rPr>
            </w:pPr>
            <w:r>
              <w:rPr>
                <w:rFonts w:hint="eastAsia"/>
                <w:color w:val="auto"/>
              </w:rPr>
              <w:t>30分</w:t>
            </w:r>
          </w:p>
        </w:tc>
        <w:tc>
          <w:tcPr>
            <w:tcW w:w="4142" w:type="dxa"/>
            <w:tcBorders>
              <w:top w:val="single" w:color="auto" w:sz="4" w:space="0"/>
              <w:left w:val="nil"/>
              <w:bottom w:val="single" w:color="auto" w:sz="4" w:space="0"/>
              <w:right w:val="single" w:color="auto" w:sz="4" w:space="0"/>
            </w:tcBorders>
            <w:vAlign w:val="center"/>
          </w:tcPr>
          <w:p w14:paraId="0DEA43D1">
            <w:pPr>
              <w:rPr>
                <w:color w:val="auto"/>
              </w:rPr>
            </w:pPr>
            <w:r>
              <w:rPr>
                <w:rFonts w:hint="eastAsia"/>
                <w:color w:val="auto"/>
              </w:rPr>
              <w:t>12、地面：清洁光亮，无纸屑、无烟头、无污渍、无积水</w:t>
            </w:r>
          </w:p>
        </w:tc>
        <w:tc>
          <w:tcPr>
            <w:tcW w:w="1985" w:type="dxa"/>
            <w:tcBorders>
              <w:top w:val="single" w:color="auto" w:sz="4" w:space="0"/>
              <w:left w:val="nil"/>
              <w:bottom w:val="single" w:color="auto" w:sz="4" w:space="0"/>
              <w:right w:val="single" w:color="auto" w:sz="4" w:space="0"/>
            </w:tcBorders>
            <w:vAlign w:val="center"/>
          </w:tcPr>
          <w:p w14:paraId="3199CA16">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4A5FB548">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5B572824">
            <w:pPr>
              <w:rPr>
                <w:color w:val="auto"/>
              </w:rPr>
            </w:pPr>
          </w:p>
        </w:tc>
      </w:tr>
      <w:tr w14:paraId="294B4B4B">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0404887D">
            <w:pPr>
              <w:rPr>
                <w:color w:val="auto"/>
              </w:rPr>
            </w:pPr>
          </w:p>
        </w:tc>
        <w:tc>
          <w:tcPr>
            <w:tcW w:w="4142" w:type="dxa"/>
            <w:tcBorders>
              <w:top w:val="single" w:color="auto" w:sz="4" w:space="0"/>
              <w:left w:val="nil"/>
              <w:bottom w:val="single" w:color="auto" w:sz="4" w:space="0"/>
              <w:right w:val="single" w:color="auto" w:sz="4" w:space="0"/>
            </w:tcBorders>
            <w:vAlign w:val="center"/>
          </w:tcPr>
          <w:p w14:paraId="0AF30042">
            <w:pPr>
              <w:rPr>
                <w:color w:val="auto"/>
              </w:rPr>
            </w:pPr>
            <w:r>
              <w:rPr>
                <w:rFonts w:hint="eastAsia"/>
                <w:color w:val="auto"/>
              </w:rPr>
              <w:t>13、墙面：洁净，无污迹；天花板、墙角：无吊灰、无蜘蛛网</w:t>
            </w:r>
          </w:p>
        </w:tc>
        <w:tc>
          <w:tcPr>
            <w:tcW w:w="1985" w:type="dxa"/>
            <w:tcBorders>
              <w:top w:val="single" w:color="auto" w:sz="4" w:space="0"/>
              <w:left w:val="nil"/>
              <w:bottom w:val="single" w:color="auto" w:sz="4" w:space="0"/>
              <w:right w:val="single" w:color="auto" w:sz="4" w:space="0"/>
            </w:tcBorders>
            <w:vAlign w:val="center"/>
          </w:tcPr>
          <w:p w14:paraId="32A65C6B">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0BB3E3A9">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2D65ED76">
            <w:pPr>
              <w:rPr>
                <w:color w:val="auto"/>
              </w:rPr>
            </w:pPr>
          </w:p>
        </w:tc>
      </w:tr>
      <w:tr w14:paraId="20DEDF38">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79139447">
            <w:pPr>
              <w:rPr>
                <w:color w:val="auto"/>
              </w:rPr>
            </w:pPr>
          </w:p>
        </w:tc>
        <w:tc>
          <w:tcPr>
            <w:tcW w:w="4142" w:type="dxa"/>
            <w:tcBorders>
              <w:top w:val="single" w:color="auto" w:sz="4" w:space="0"/>
              <w:left w:val="nil"/>
              <w:bottom w:val="single" w:color="auto" w:sz="4" w:space="0"/>
              <w:right w:val="single" w:color="auto" w:sz="4" w:space="0"/>
            </w:tcBorders>
            <w:vAlign w:val="center"/>
          </w:tcPr>
          <w:p w14:paraId="5455C37F">
            <w:pPr>
              <w:rPr>
                <w:color w:val="auto"/>
              </w:rPr>
            </w:pPr>
            <w:r>
              <w:rPr>
                <w:rFonts w:hint="eastAsia"/>
                <w:color w:val="auto"/>
              </w:rPr>
              <w:t>14、大小便器：洁净、无黄渍，纸蒌内污物倾倒及时，不满溢</w:t>
            </w:r>
          </w:p>
        </w:tc>
        <w:tc>
          <w:tcPr>
            <w:tcW w:w="1985" w:type="dxa"/>
            <w:tcBorders>
              <w:top w:val="single" w:color="auto" w:sz="4" w:space="0"/>
              <w:left w:val="nil"/>
              <w:bottom w:val="single" w:color="auto" w:sz="4" w:space="0"/>
              <w:right w:val="single" w:color="auto" w:sz="4" w:space="0"/>
            </w:tcBorders>
            <w:vAlign w:val="center"/>
          </w:tcPr>
          <w:p w14:paraId="37840C75">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765DCF8F">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52FF7F66">
            <w:pPr>
              <w:rPr>
                <w:color w:val="auto"/>
              </w:rPr>
            </w:pPr>
          </w:p>
        </w:tc>
      </w:tr>
      <w:tr w14:paraId="600B93D6">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0EF79CE2">
            <w:pPr>
              <w:rPr>
                <w:color w:val="auto"/>
              </w:rPr>
            </w:pPr>
          </w:p>
        </w:tc>
        <w:tc>
          <w:tcPr>
            <w:tcW w:w="4142" w:type="dxa"/>
            <w:tcBorders>
              <w:top w:val="single" w:color="auto" w:sz="4" w:space="0"/>
              <w:left w:val="nil"/>
              <w:bottom w:val="single" w:color="auto" w:sz="4" w:space="0"/>
              <w:right w:val="single" w:color="auto" w:sz="4" w:space="0"/>
            </w:tcBorders>
            <w:vAlign w:val="center"/>
          </w:tcPr>
          <w:p w14:paraId="72B34D50">
            <w:pPr>
              <w:rPr>
                <w:color w:val="auto"/>
              </w:rPr>
            </w:pPr>
            <w:r>
              <w:rPr>
                <w:rFonts w:hint="eastAsia"/>
                <w:color w:val="auto"/>
              </w:rPr>
              <w:t>15、灯具、开关、公共设施管道线、皂液器等：目视无积尘</w:t>
            </w:r>
          </w:p>
        </w:tc>
        <w:tc>
          <w:tcPr>
            <w:tcW w:w="1985" w:type="dxa"/>
            <w:tcBorders>
              <w:top w:val="single" w:color="auto" w:sz="4" w:space="0"/>
              <w:left w:val="nil"/>
              <w:bottom w:val="single" w:color="auto" w:sz="4" w:space="0"/>
              <w:right w:val="single" w:color="auto" w:sz="4" w:space="0"/>
            </w:tcBorders>
            <w:vAlign w:val="center"/>
          </w:tcPr>
          <w:p w14:paraId="6438E2D8">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44311044">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4DFD7E3E">
            <w:pPr>
              <w:rPr>
                <w:color w:val="auto"/>
              </w:rPr>
            </w:pPr>
          </w:p>
        </w:tc>
      </w:tr>
      <w:tr w14:paraId="21B3BD1B">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51902F90">
            <w:pPr>
              <w:rPr>
                <w:color w:val="auto"/>
              </w:rPr>
            </w:pPr>
          </w:p>
        </w:tc>
        <w:tc>
          <w:tcPr>
            <w:tcW w:w="4142" w:type="dxa"/>
            <w:tcBorders>
              <w:top w:val="single" w:color="auto" w:sz="4" w:space="0"/>
              <w:left w:val="nil"/>
              <w:bottom w:val="single" w:color="auto" w:sz="4" w:space="0"/>
              <w:right w:val="single" w:color="auto" w:sz="4" w:space="0"/>
            </w:tcBorders>
            <w:vAlign w:val="center"/>
          </w:tcPr>
          <w:p w14:paraId="47BA6970">
            <w:pPr>
              <w:rPr>
                <w:color w:val="auto"/>
              </w:rPr>
            </w:pPr>
            <w:r>
              <w:rPr>
                <w:rFonts w:hint="eastAsia"/>
                <w:color w:val="auto"/>
              </w:rPr>
              <w:t>16、室内：空气流通，无臭味，无异味，无蝇蛆</w:t>
            </w:r>
          </w:p>
        </w:tc>
        <w:tc>
          <w:tcPr>
            <w:tcW w:w="1985" w:type="dxa"/>
            <w:tcBorders>
              <w:top w:val="single" w:color="auto" w:sz="4" w:space="0"/>
              <w:left w:val="nil"/>
              <w:bottom w:val="single" w:color="auto" w:sz="4" w:space="0"/>
              <w:right w:val="single" w:color="auto" w:sz="4" w:space="0"/>
            </w:tcBorders>
            <w:vAlign w:val="center"/>
          </w:tcPr>
          <w:p w14:paraId="054CC64B">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0A8443E1">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54A79ABA">
            <w:pPr>
              <w:rPr>
                <w:color w:val="auto"/>
              </w:rPr>
            </w:pPr>
          </w:p>
        </w:tc>
      </w:tr>
      <w:tr w14:paraId="77B2EC91">
        <w:tblPrEx>
          <w:tblCellMar>
            <w:top w:w="0" w:type="dxa"/>
            <w:left w:w="108" w:type="dxa"/>
            <w:bottom w:w="0" w:type="dxa"/>
            <w:right w:w="108" w:type="dxa"/>
          </w:tblCellMar>
        </w:tblPrEx>
        <w:trPr>
          <w:trHeight w:val="375"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1E05CDB4">
            <w:pPr>
              <w:rPr>
                <w:color w:val="auto"/>
              </w:rPr>
            </w:pPr>
          </w:p>
        </w:tc>
        <w:tc>
          <w:tcPr>
            <w:tcW w:w="4142" w:type="dxa"/>
            <w:tcBorders>
              <w:top w:val="single" w:color="auto" w:sz="4" w:space="0"/>
              <w:left w:val="nil"/>
              <w:bottom w:val="single" w:color="auto" w:sz="4" w:space="0"/>
              <w:right w:val="single" w:color="auto" w:sz="4" w:space="0"/>
            </w:tcBorders>
            <w:vAlign w:val="center"/>
          </w:tcPr>
          <w:p w14:paraId="460FD32C">
            <w:pPr>
              <w:rPr>
                <w:color w:val="auto"/>
              </w:rPr>
            </w:pPr>
            <w:r>
              <w:rPr>
                <w:rFonts w:hint="eastAsia"/>
                <w:color w:val="auto"/>
              </w:rPr>
              <w:t>17、镜面：光亮，无积尘，无印迹；洗手盆、拖把盆：表面清洁，无污迹</w:t>
            </w:r>
          </w:p>
        </w:tc>
        <w:tc>
          <w:tcPr>
            <w:tcW w:w="1985" w:type="dxa"/>
            <w:tcBorders>
              <w:top w:val="single" w:color="auto" w:sz="4" w:space="0"/>
              <w:left w:val="nil"/>
              <w:bottom w:val="single" w:color="auto" w:sz="4" w:space="0"/>
              <w:right w:val="single" w:color="auto" w:sz="4" w:space="0"/>
            </w:tcBorders>
            <w:vAlign w:val="center"/>
          </w:tcPr>
          <w:p w14:paraId="5DCC8C80">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74F89D2F">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36933BBA">
            <w:pPr>
              <w:rPr>
                <w:color w:val="auto"/>
              </w:rPr>
            </w:pPr>
          </w:p>
        </w:tc>
      </w:tr>
      <w:tr w14:paraId="4E976A59">
        <w:tblPrEx>
          <w:tblCellMar>
            <w:top w:w="0" w:type="dxa"/>
            <w:left w:w="108" w:type="dxa"/>
            <w:bottom w:w="0" w:type="dxa"/>
            <w:right w:w="108" w:type="dxa"/>
          </w:tblCellMar>
        </w:tblPrEx>
        <w:trPr>
          <w:trHeight w:val="240"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6500CEB0">
            <w:pPr>
              <w:rPr>
                <w:color w:val="auto"/>
              </w:rPr>
            </w:pPr>
          </w:p>
        </w:tc>
        <w:tc>
          <w:tcPr>
            <w:tcW w:w="4142" w:type="dxa"/>
            <w:tcBorders>
              <w:top w:val="single" w:color="auto" w:sz="4" w:space="0"/>
              <w:left w:val="nil"/>
              <w:bottom w:val="single" w:color="auto" w:sz="4" w:space="0"/>
              <w:right w:val="single" w:color="auto" w:sz="4" w:space="0"/>
            </w:tcBorders>
            <w:vAlign w:val="center"/>
          </w:tcPr>
          <w:p w14:paraId="49207CEC">
            <w:pPr>
              <w:rPr>
                <w:color w:val="auto"/>
              </w:rPr>
            </w:pPr>
            <w:r>
              <w:rPr>
                <w:rFonts w:hint="eastAsia"/>
                <w:color w:val="auto"/>
              </w:rPr>
              <w:t>18、便器、台盆、地漏：无堵塞，保持畅通，发现问题及时报修</w:t>
            </w:r>
          </w:p>
        </w:tc>
        <w:tc>
          <w:tcPr>
            <w:tcW w:w="1985" w:type="dxa"/>
            <w:tcBorders>
              <w:top w:val="single" w:color="auto" w:sz="4" w:space="0"/>
              <w:left w:val="nil"/>
              <w:bottom w:val="single" w:color="auto" w:sz="4" w:space="0"/>
              <w:right w:val="single" w:color="auto" w:sz="4" w:space="0"/>
            </w:tcBorders>
            <w:vAlign w:val="center"/>
          </w:tcPr>
          <w:p w14:paraId="44CE357B">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138FA2A6">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1777F45D">
            <w:pPr>
              <w:rPr>
                <w:color w:val="auto"/>
              </w:rPr>
            </w:pPr>
          </w:p>
        </w:tc>
      </w:tr>
      <w:tr w14:paraId="6E40B5BB">
        <w:tblPrEx>
          <w:tblCellMar>
            <w:top w:w="0" w:type="dxa"/>
            <w:left w:w="108" w:type="dxa"/>
            <w:bottom w:w="0" w:type="dxa"/>
            <w:right w:w="108" w:type="dxa"/>
          </w:tblCellMar>
        </w:tblPrEx>
        <w:trPr>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14:paraId="669BD15A">
            <w:pPr>
              <w:rPr>
                <w:color w:val="auto"/>
              </w:rPr>
            </w:pPr>
            <w:r>
              <w:rPr>
                <w:rFonts w:hint="eastAsia"/>
                <w:color w:val="auto"/>
              </w:rPr>
              <w:t>其他</w:t>
            </w:r>
          </w:p>
          <w:p w14:paraId="06960F98">
            <w:pPr>
              <w:rPr>
                <w:color w:val="auto"/>
              </w:rPr>
            </w:pPr>
            <w:r>
              <w:rPr>
                <w:rFonts w:hint="eastAsia"/>
                <w:color w:val="auto"/>
              </w:rPr>
              <w:t>10分</w:t>
            </w:r>
          </w:p>
        </w:tc>
        <w:tc>
          <w:tcPr>
            <w:tcW w:w="4142" w:type="dxa"/>
            <w:tcBorders>
              <w:top w:val="single" w:color="auto" w:sz="4" w:space="0"/>
              <w:left w:val="nil"/>
              <w:bottom w:val="single" w:color="auto" w:sz="4" w:space="0"/>
              <w:right w:val="single" w:color="auto" w:sz="4" w:space="0"/>
            </w:tcBorders>
            <w:vAlign w:val="center"/>
          </w:tcPr>
          <w:p w14:paraId="668F0C7E">
            <w:pPr>
              <w:rPr>
                <w:color w:val="auto"/>
              </w:rPr>
            </w:pPr>
            <w:r>
              <w:rPr>
                <w:rFonts w:hint="eastAsia"/>
                <w:color w:val="auto"/>
              </w:rPr>
              <w:t>19、垃圾桶、果壳箱、垃圾中转站：周围无污水，无污垢；桶内垃圾日产日清，倾倒及时，不满溢；桶外无粘附物，摆放整齐，不堵塞通道</w:t>
            </w:r>
          </w:p>
        </w:tc>
        <w:tc>
          <w:tcPr>
            <w:tcW w:w="1985" w:type="dxa"/>
            <w:tcBorders>
              <w:top w:val="single" w:color="auto" w:sz="4" w:space="0"/>
              <w:left w:val="nil"/>
              <w:bottom w:val="single" w:color="auto" w:sz="4" w:space="0"/>
              <w:right w:val="single" w:color="auto" w:sz="4" w:space="0"/>
            </w:tcBorders>
            <w:vAlign w:val="center"/>
          </w:tcPr>
          <w:p w14:paraId="7E764A12">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4E576F85">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4ABAE41E">
            <w:pPr>
              <w:rPr>
                <w:color w:val="auto"/>
              </w:rPr>
            </w:pPr>
          </w:p>
        </w:tc>
      </w:tr>
      <w:tr w14:paraId="3A348F38">
        <w:tblPrEx>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1AD866B7">
            <w:pPr>
              <w:rPr>
                <w:color w:val="auto"/>
              </w:rPr>
            </w:pPr>
          </w:p>
        </w:tc>
        <w:tc>
          <w:tcPr>
            <w:tcW w:w="4142" w:type="dxa"/>
            <w:tcBorders>
              <w:top w:val="single" w:color="auto" w:sz="4" w:space="0"/>
              <w:left w:val="nil"/>
              <w:bottom w:val="single" w:color="auto" w:sz="4" w:space="0"/>
              <w:right w:val="single" w:color="auto" w:sz="4" w:space="0"/>
            </w:tcBorders>
            <w:vAlign w:val="center"/>
          </w:tcPr>
          <w:p w14:paraId="26FDF893">
            <w:pPr>
              <w:rPr>
                <w:color w:val="auto"/>
              </w:rPr>
            </w:pPr>
            <w:r>
              <w:rPr>
                <w:rFonts w:hint="eastAsia"/>
                <w:color w:val="auto"/>
              </w:rPr>
              <w:t>20、回收物品堆放在规定位置</w:t>
            </w:r>
          </w:p>
        </w:tc>
        <w:tc>
          <w:tcPr>
            <w:tcW w:w="1985" w:type="dxa"/>
            <w:tcBorders>
              <w:top w:val="single" w:color="auto" w:sz="4" w:space="0"/>
              <w:left w:val="nil"/>
              <w:bottom w:val="single" w:color="auto" w:sz="4" w:space="0"/>
              <w:right w:val="single" w:color="auto" w:sz="4" w:space="0"/>
            </w:tcBorders>
            <w:vAlign w:val="center"/>
          </w:tcPr>
          <w:p w14:paraId="20BD1016">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7A58772D">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5E8CF360">
            <w:pPr>
              <w:rPr>
                <w:color w:val="auto"/>
              </w:rPr>
            </w:pPr>
          </w:p>
        </w:tc>
      </w:tr>
      <w:tr w14:paraId="1A2CB188">
        <w:tblPrEx>
          <w:tblCellMar>
            <w:top w:w="0" w:type="dxa"/>
            <w:left w:w="108" w:type="dxa"/>
            <w:bottom w:w="0" w:type="dxa"/>
            <w:right w:w="108" w:type="dxa"/>
          </w:tblCellMar>
        </w:tblPrEx>
        <w:trPr>
          <w:trHeight w:val="315"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1D714A96">
            <w:pPr>
              <w:rPr>
                <w:color w:val="auto"/>
              </w:rPr>
            </w:pPr>
          </w:p>
        </w:tc>
        <w:tc>
          <w:tcPr>
            <w:tcW w:w="4142" w:type="dxa"/>
            <w:tcBorders>
              <w:top w:val="single" w:color="auto" w:sz="4" w:space="0"/>
              <w:left w:val="nil"/>
              <w:bottom w:val="single" w:color="auto" w:sz="4" w:space="0"/>
              <w:right w:val="single" w:color="auto" w:sz="4" w:space="0"/>
            </w:tcBorders>
            <w:vAlign w:val="center"/>
          </w:tcPr>
          <w:p w14:paraId="413D75E0">
            <w:pPr>
              <w:rPr>
                <w:color w:val="auto"/>
              </w:rPr>
            </w:pPr>
            <w:r>
              <w:rPr>
                <w:rFonts w:hint="eastAsia"/>
                <w:color w:val="auto"/>
              </w:rPr>
              <w:t>21、节能减排，节约用水用电</w:t>
            </w:r>
          </w:p>
        </w:tc>
        <w:tc>
          <w:tcPr>
            <w:tcW w:w="1985" w:type="dxa"/>
            <w:tcBorders>
              <w:top w:val="single" w:color="auto" w:sz="4" w:space="0"/>
              <w:left w:val="nil"/>
              <w:bottom w:val="single" w:color="auto" w:sz="4" w:space="0"/>
              <w:right w:val="single" w:color="auto" w:sz="4" w:space="0"/>
            </w:tcBorders>
            <w:vAlign w:val="center"/>
          </w:tcPr>
          <w:p w14:paraId="1D37EB29">
            <w:pPr>
              <w:rPr>
                <w:color w:val="auto"/>
              </w:rPr>
            </w:pPr>
            <w:r>
              <w:rPr>
                <w:rFonts w:hint="eastAsia"/>
                <w:color w:val="auto"/>
              </w:rPr>
              <w:t>不达标每处扣1分</w:t>
            </w:r>
          </w:p>
        </w:tc>
        <w:tc>
          <w:tcPr>
            <w:tcW w:w="708" w:type="dxa"/>
            <w:tcBorders>
              <w:top w:val="single" w:color="auto" w:sz="4" w:space="0"/>
              <w:left w:val="nil"/>
              <w:bottom w:val="single" w:color="auto" w:sz="4" w:space="0"/>
              <w:right w:val="single" w:color="auto" w:sz="4" w:space="0"/>
            </w:tcBorders>
          </w:tcPr>
          <w:p w14:paraId="7CD8ECCD">
            <w:pPr>
              <w:rPr>
                <w:color w:val="auto"/>
              </w:rPr>
            </w:pPr>
          </w:p>
        </w:tc>
        <w:tc>
          <w:tcPr>
            <w:tcW w:w="3048" w:type="dxa"/>
            <w:tcBorders>
              <w:top w:val="single" w:color="auto" w:sz="4" w:space="0"/>
              <w:left w:val="single" w:color="auto" w:sz="4" w:space="0"/>
              <w:bottom w:val="single" w:color="auto" w:sz="4" w:space="0"/>
              <w:right w:val="single" w:color="auto" w:sz="4" w:space="0"/>
            </w:tcBorders>
          </w:tcPr>
          <w:p w14:paraId="4856FEF4">
            <w:pPr>
              <w:rPr>
                <w:color w:val="auto"/>
              </w:rPr>
            </w:pPr>
          </w:p>
        </w:tc>
      </w:tr>
    </w:tbl>
    <w:p w14:paraId="3B6C26ED">
      <w:pPr>
        <w:ind w:firstLine="1101"/>
        <w:jc w:val="center"/>
        <w:rPr>
          <w:rFonts w:ascii="华文新魏" w:eastAsia="华文新魏"/>
          <w:b/>
          <w:bCs/>
          <w:color w:val="auto"/>
          <w:sz w:val="44"/>
          <w:szCs w:val="44"/>
        </w:rPr>
      </w:pPr>
    </w:p>
    <w:p w14:paraId="7822965B">
      <w:pPr>
        <w:ind w:firstLine="1101"/>
        <w:jc w:val="center"/>
        <w:rPr>
          <w:rFonts w:ascii="华文新魏" w:eastAsia="华文新魏"/>
          <w:b/>
          <w:bCs/>
          <w:color w:val="auto"/>
          <w:sz w:val="44"/>
          <w:szCs w:val="44"/>
        </w:rPr>
      </w:pPr>
    </w:p>
    <w:p w14:paraId="621269AE">
      <w:pPr>
        <w:ind w:firstLine="1101"/>
        <w:jc w:val="center"/>
        <w:rPr>
          <w:rFonts w:ascii="华文新魏" w:eastAsia="华文新魏"/>
          <w:b/>
          <w:bCs/>
          <w:color w:val="auto"/>
          <w:sz w:val="44"/>
          <w:szCs w:val="44"/>
        </w:rPr>
      </w:pPr>
    </w:p>
    <w:p w14:paraId="3F48F6A9">
      <w:pPr>
        <w:ind w:firstLine="1101"/>
        <w:jc w:val="center"/>
        <w:rPr>
          <w:rFonts w:ascii="华文新魏" w:eastAsia="华文新魏"/>
          <w:b/>
          <w:bCs/>
          <w:color w:val="auto"/>
          <w:sz w:val="44"/>
          <w:szCs w:val="44"/>
        </w:rPr>
      </w:pPr>
    </w:p>
    <w:p w14:paraId="08450392">
      <w:pPr>
        <w:ind w:firstLine="1101"/>
        <w:jc w:val="center"/>
        <w:rPr>
          <w:rFonts w:ascii="华文新魏" w:eastAsia="华文新魏"/>
          <w:b/>
          <w:bCs/>
          <w:color w:val="auto"/>
          <w:sz w:val="44"/>
          <w:szCs w:val="44"/>
        </w:rPr>
      </w:pPr>
    </w:p>
    <w:p w14:paraId="7FE86141">
      <w:pPr>
        <w:ind w:firstLine="1101"/>
        <w:jc w:val="center"/>
        <w:rPr>
          <w:rFonts w:ascii="华文新魏" w:eastAsia="华文新魏"/>
          <w:b/>
          <w:bCs/>
          <w:color w:val="auto"/>
          <w:sz w:val="44"/>
          <w:szCs w:val="44"/>
        </w:rPr>
      </w:pPr>
    </w:p>
    <w:p w14:paraId="31D0E42B">
      <w:pPr>
        <w:ind w:firstLine="1101"/>
        <w:jc w:val="center"/>
        <w:rPr>
          <w:rFonts w:ascii="华文新魏" w:eastAsia="华文新魏"/>
          <w:b/>
          <w:bCs/>
          <w:color w:val="auto"/>
          <w:sz w:val="44"/>
          <w:szCs w:val="44"/>
        </w:rPr>
      </w:pPr>
    </w:p>
    <w:p w14:paraId="0CABF38F">
      <w:pPr>
        <w:ind w:firstLine="1101"/>
        <w:jc w:val="center"/>
        <w:rPr>
          <w:rFonts w:ascii="华文新魏" w:eastAsia="华文新魏"/>
          <w:b/>
          <w:bCs/>
          <w:color w:val="auto"/>
          <w:sz w:val="44"/>
          <w:szCs w:val="44"/>
        </w:rPr>
      </w:pPr>
    </w:p>
    <w:p w14:paraId="3DE9D0B1">
      <w:pPr>
        <w:ind w:firstLine="1101"/>
        <w:jc w:val="center"/>
        <w:rPr>
          <w:rFonts w:ascii="华文新魏" w:eastAsia="华文新魏"/>
          <w:b/>
          <w:bCs/>
          <w:color w:val="auto"/>
          <w:sz w:val="44"/>
          <w:szCs w:val="44"/>
        </w:rPr>
      </w:pPr>
    </w:p>
    <w:p w14:paraId="24880AB9">
      <w:pPr>
        <w:ind w:firstLine="1101"/>
        <w:jc w:val="center"/>
        <w:rPr>
          <w:rFonts w:ascii="华文新魏" w:eastAsia="华文新魏"/>
          <w:b/>
          <w:bCs/>
          <w:color w:val="auto"/>
          <w:sz w:val="44"/>
          <w:szCs w:val="44"/>
        </w:rPr>
      </w:pPr>
    </w:p>
    <w:p w14:paraId="1E50D80A">
      <w:pPr>
        <w:ind w:firstLine="1101"/>
        <w:jc w:val="center"/>
        <w:rPr>
          <w:rFonts w:ascii="华文新魏" w:eastAsia="华文新魏"/>
          <w:b/>
          <w:bCs/>
          <w:color w:val="auto"/>
          <w:sz w:val="44"/>
          <w:szCs w:val="44"/>
        </w:rPr>
      </w:pPr>
    </w:p>
    <w:p w14:paraId="1C1F539F">
      <w:pPr>
        <w:ind w:firstLine="1101"/>
        <w:jc w:val="center"/>
        <w:rPr>
          <w:rFonts w:ascii="华文新魏" w:eastAsia="华文新魏"/>
          <w:b/>
          <w:bCs/>
          <w:color w:val="auto"/>
          <w:sz w:val="44"/>
          <w:szCs w:val="44"/>
        </w:rPr>
      </w:pPr>
    </w:p>
    <w:p w14:paraId="2E9CB15D">
      <w:pPr>
        <w:ind w:firstLine="1101"/>
        <w:jc w:val="center"/>
        <w:rPr>
          <w:rFonts w:ascii="华文新魏" w:eastAsia="华文新魏"/>
          <w:b/>
          <w:bCs/>
          <w:color w:val="auto"/>
          <w:sz w:val="44"/>
          <w:szCs w:val="44"/>
        </w:rPr>
      </w:pPr>
    </w:p>
    <w:p w14:paraId="31A461F9">
      <w:pPr>
        <w:ind w:firstLine="1101"/>
        <w:jc w:val="center"/>
        <w:rPr>
          <w:rFonts w:ascii="华文新魏" w:eastAsia="华文新魏"/>
          <w:b/>
          <w:bCs/>
          <w:color w:val="auto"/>
          <w:sz w:val="44"/>
          <w:szCs w:val="44"/>
        </w:rPr>
      </w:pPr>
    </w:p>
    <w:p w14:paraId="5B294BEC">
      <w:pPr>
        <w:ind w:firstLine="1101"/>
        <w:jc w:val="center"/>
        <w:rPr>
          <w:rFonts w:ascii="华文新魏" w:eastAsia="华文新魏"/>
          <w:b/>
          <w:bCs/>
          <w:color w:val="auto"/>
          <w:sz w:val="44"/>
          <w:szCs w:val="44"/>
        </w:rPr>
      </w:pPr>
    </w:p>
    <w:p w14:paraId="77048AF0">
      <w:pPr>
        <w:ind w:firstLine="1101"/>
        <w:jc w:val="center"/>
        <w:rPr>
          <w:rFonts w:ascii="华文新魏" w:eastAsia="华文新魏"/>
          <w:b/>
          <w:bCs/>
          <w:color w:val="auto"/>
          <w:sz w:val="44"/>
          <w:szCs w:val="44"/>
        </w:rPr>
      </w:pPr>
    </w:p>
    <w:p w14:paraId="7C3BB717">
      <w:pPr>
        <w:ind w:firstLine="1101"/>
        <w:jc w:val="center"/>
        <w:rPr>
          <w:rFonts w:ascii="华文新魏" w:eastAsia="华文新魏"/>
          <w:b/>
          <w:bCs/>
          <w:color w:val="auto"/>
          <w:sz w:val="44"/>
          <w:szCs w:val="44"/>
        </w:rPr>
      </w:pPr>
    </w:p>
    <w:p w14:paraId="7C00557B">
      <w:pPr>
        <w:ind w:firstLine="1101"/>
        <w:jc w:val="center"/>
        <w:rPr>
          <w:rFonts w:ascii="华文新魏" w:eastAsia="华文新魏"/>
          <w:b/>
          <w:bCs/>
          <w:color w:val="auto"/>
          <w:sz w:val="44"/>
          <w:szCs w:val="44"/>
        </w:rPr>
      </w:pPr>
      <w:r>
        <w:rPr>
          <w:rFonts w:hint="eastAsia" w:ascii="华文新魏" w:eastAsia="华文新魏"/>
          <w:b/>
          <w:bCs/>
          <w:color w:val="auto"/>
          <w:sz w:val="44"/>
          <w:szCs w:val="44"/>
        </w:rPr>
        <w:t>护理服务考核表</w:t>
      </w:r>
    </w:p>
    <w:p w14:paraId="7CFC1D90">
      <w:pPr>
        <w:ind w:firstLine="601"/>
        <w:rPr>
          <w:rFonts w:ascii="华文新魏" w:eastAsia="华文新魏"/>
          <w:b/>
          <w:color w:val="auto"/>
        </w:rPr>
      </w:pPr>
    </w:p>
    <w:tbl>
      <w:tblPr>
        <w:tblStyle w:val="26"/>
        <w:tblW w:w="10632" w:type="dxa"/>
        <w:tblInd w:w="-885" w:type="dxa"/>
        <w:tblLayout w:type="fixed"/>
        <w:tblCellMar>
          <w:top w:w="0" w:type="dxa"/>
          <w:left w:w="108" w:type="dxa"/>
          <w:bottom w:w="0" w:type="dxa"/>
          <w:right w:w="108" w:type="dxa"/>
        </w:tblCellMar>
      </w:tblPr>
      <w:tblGrid>
        <w:gridCol w:w="1277"/>
        <w:gridCol w:w="1134"/>
        <w:gridCol w:w="3544"/>
        <w:gridCol w:w="1842"/>
        <w:gridCol w:w="709"/>
        <w:gridCol w:w="2126"/>
      </w:tblGrid>
      <w:tr w14:paraId="56F5686D">
        <w:tblPrEx>
          <w:tblCellMar>
            <w:top w:w="0" w:type="dxa"/>
            <w:left w:w="108" w:type="dxa"/>
            <w:bottom w:w="0" w:type="dxa"/>
            <w:right w:w="108" w:type="dxa"/>
          </w:tblCellMar>
        </w:tblPrEx>
        <w:trPr>
          <w:trHeight w:val="510" w:hRule="atLeast"/>
        </w:trPr>
        <w:tc>
          <w:tcPr>
            <w:tcW w:w="1277" w:type="dxa"/>
            <w:tcBorders>
              <w:top w:val="single" w:color="auto" w:sz="8" w:space="0"/>
              <w:left w:val="single" w:color="auto" w:sz="8" w:space="0"/>
              <w:bottom w:val="single" w:color="auto" w:sz="4" w:space="0"/>
              <w:right w:val="single" w:color="auto" w:sz="4" w:space="0"/>
            </w:tcBorders>
            <w:vAlign w:val="bottom"/>
          </w:tcPr>
          <w:p w14:paraId="27431018">
            <w:pPr>
              <w:rPr>
                <w:color w:val="auto"/>
              </w:rPr>
            </w:pPr>
            <w:r>
              <w:rPr>
                <w:rFonts w:hint="eastAsia"/>
                <w:color w:val="auto"/>
              </w:rPr>
              <w:t>考核项目</w:t>
            </w:r>
          </w:p>
        </w:tc>
        <w:tc>
          <w:tcPr>
            <w:tcW w:w="1134" w:type="dxa"/>
            <w:tcBorders>
              <w:top w:val="single" w:color="auto" w:sz="8" w:space="0"/>
              <w:left w:val="nil"/>
              <w:bottom w:val="single" w:color="auto" w:sz="4" w:space="0"/>
              <w:right w:val="single" w:color="auto" w:sz="4" w:space="0"/>
            </w:tcBorders>
            <w:vAlign w:val="bottom"/>
          </w:tcPr>
          <w:p w14:paraId="39D817D1">
            <w:pPr>
              <w:rPr>
                <w:color w:val="auto"/>
              </w:rPr>
            </w:pPr>
            <w:r>
              <w:rPr>
                <w:rFonts w:hint="eastAsia"/>
                <w:color w:val="auto"/>
              </w:rPr>
              <w:t>检查方法</w:t>
            </w:r>
          </w:p>
        </w:tc>
        <w:tc>
          <w:tcPr>
            <w:tcW w:w="3544" w:type="dxa"/>
            <w:tcBorders>
              <w:top w:val="single" w:color="auto" w:sz="8" w:space="0"/>
              <w:left w:val="nil"/>
              <w:bottom w:val="single" w:color="auto" w:sz="4" w:space="0"/>
              <w:right w:val="single" w:color="auto" w:sz="4" w:space="0"/>
            </w:tcBorders>
            <w:vAlign w:val="bottom"/>
          </w:tcPr>
          <w:p w14:paraId="40967827">
            <w:pPr>
              <w:rPr>
                <w:color w:val="auto"/>
              </w:rPr>
            </w:pPr>
            <w:r>
              <w:rPr>
                <w:rFonts w:hint="eastAsia"/>
                <w:color w:val="auto"/>
              </w:rPr>
              <w:t>要  求</w:t>
            </w:r>
          </w:p>
        </w:tc>
        <w:tc>
          <w:tcPr>
            <w:tcW w:w="1842" w:type="dxa"/>
            <w:tcBorders>
              <w:top w:val="single" w:color="auto" w:sz="8" w:space="0"/>
              <w:left w:val="nil"/>
              <w:bottom w:val="single" w:color="auto" w:sz="4" w:space="0"/>
              <w:right w:val="single" w:color="auto" w:sz="8" w:space="0"/>
            </w:tcBorders>
            <w:vAlign w:val="bottom"/>
          </w:tcPr>
          <w:p w14:paraId="5E4B8421">
            <w:pPr>
              <w:rPr>
                <w:color w:val="auto"/>
              </w:rPr>
            </w:pPr>
            <w:r>
              <w:rPr>
                <w:rFonts w:hint="eastAsia"/>
                <w:color w:val="auto"/>
              </w:rPr>
              <w:t>扣分标准</w:t>
            </w:r>
          </w:p>
        </w:tc>
        <w:tc>
          <w:tcPr>
            <w:tcW w:w="709" w:type="dxa"/>
            <w:tcBorders>
              <w:top w:val="single" w:color="auto" w:sz="8" w:space="0"/>
              <w:left w:val="nil"/>
              <w:bottom w:val="single" w:color="auto" w:sz="8" w:space="0"/>
              <w:right w:val="single" w:color="auto" w:sz="8" w:space="0"/>
            </w:tcBorders>
            <w:vAlign w:val="bottom"/>
          </w:tcPr>
          <w:p w14:paraId="2FFD7ABE">
            <w:pPr>
              <w:rPr>
                <w:color w:val="auto"/>
              </w:rPr>
            </w:pPr>
            <w:r>
              <w:rPr>
                <w:rFonts w:hint="eastAsia"/>
                <w:color w:val="auto"/>
              </w:rPr>
              <w:t>扣</w:t>
            </w:r>
            <w:r>
              <w:rPr>
                <w:color w:val="auto"/>
              </w:rPr>
              <w:t>分</w:t>
            </w:r>
          </w:p>
        </w:tc>
        <w:tc>
          <w:tcPr>
            <w:tcW w:w="2126" w:type="dxa"/>
            <w:tcBorders>
              <w:top w:val="single" w:color="auto" w:sz="8" w:space="0"/>
              <w:left w:val="nil"/>
              <w:bottom w:val="single" w:color="auto" w:sz="8" w:space="0"/>
              <w:right w:val="single" w:color="auto" w:sz="8" w:space="0"/>
            </w:tcBorders>
            <w:vAlign w:val="bottom"/>
          </w:tcPr>
          <w:p w14:paraId="43FCC3FD">
            <w:pPr>
              <w:rPr>
                <w:color w:val="auto"/>
              </w:rPr>
            </w:pPr>
            <w:r>
              <w:rPr>
                <w:color w:val="auto"/>
              </w:rPr>
              <w:t>扣分原因</w:t>
            </w:r>
          </w:p>
        </w:tc>
      </w:tr>
      <w:tr w14:paraId="24976BF8">
        <w:tblPrEx>
          <w:tblCellMar>
            <w:top w:w="0" w:type="dxa"/>
            <w:left w:w="108" w:type="dxa"/>
            <w:bottom w:w="0" w:type="dxa"/>
            <w:right w:w="108" w:type="dxa"/>
          </w:tblCellMar>
        </w:tblPrEx>
        <w:trPr>
          <w:trHeight w:val="600" w:hRule="atLeast"/>
        </w:trPr>
        <w:tc>
          <w:tcPr>
            <w:tcW w:w="1277" w:type="dxa"/>
            <w:vMerge w:val="restart"/>
            <w:tcBorders>
              <w:top w:val="nil"/>
              <w:left w:val="single" w:color="auto" w:sz="8" w:space="0"/>
              <w:right w:val="single" w:color="auto" w:sz="4" w:space="0"/>
            </w:tcBorders>
            <w:vAlign w:val="center"/>
          </w:tcPr>
          <w:p w14:paraId="15D685B4">
            <w:pPr>
              <w:rPr>
                <w:color w:val="auto"/>
              </w:rPr>
            </w:pPr>
            <w:r>
              <w:rPr>
                <w:rFonts w:hint="eastAsia"/>
                <w:color w:val="auto"/>
              </w:rPr>
              <w:t>护理服务（100分）</w:t>
            </w:r>
          </w:p>
        </w:tc>
        <w:tc>
          <w:tcPr>
            <w:tcW w:w="1134" w:type="dxa"/>
            <w:vMerge w:val="restart"/>
            <w:tcBorders>
              <w:top w:val="nil"/>
              <w:left w:val="single" w:color="auto" w:sz="4" w:space="0"/>
              <w:right w:val="single" w:color="auto" w:sz="4" w:space="0"/>
            </w:tcBorders>
            <w:vAlign w:val="center"/>
          </w:tcPr>
          <w:p w14:paraId="3BCC11D0">
            <w:pPr>
              <w:rPr>
                <w:color w:val="auto"/>
              </w:rPr>
            </w:pPr>
            <w:r>
              <w:rPr>
                <w:rFonts w:hint="eastAsia"/>
                <w:color w:val="auto"/>
              </w:rPr>
              <w:t>实地考核</w:t>
            </w:r>
          </w:p>
          <w:p w14:paraId="2E067FFF">
            <w:pPr>
              <w:rPr>
                <w:color w:val="auto"/>
              </w:rPr>
            </w:pPr>
          </w:p>
        </w:tc>
        <w:tc>
          <w:tcPr>
            <w:tcW w:w="3544" w:type="dxa"/>
            <w:tcBorders>
              <w:top w:val="nil"/>
              <w:left w:val="nil"/>
              <w:bottom w:val="single" w:color="auto" w:sz="4" w:space="0"/>
              <w:right w:val="single" w:color="auto" w:sz="4" w:space="0"/>
            </w:tcBorders>
            <w:vAlign w:val="bottom"/>
          </w:tcPr>
          <w:p w14:paraId="4EA6947B">
            <w:pPr>
              <w:rPr>
                <w:color w:val="auto"/>
              </w:rPr>
            </w:pPr>
            <w:r>
              <w:rPr>
                <w:rFonts w:hint="eastAsia"/>
                <w:color w:val="auto"/>
              </w:rPr>
              <w:t>1、每天协助残疾人洗脸两次、洗脚一次，无活动能力者替其完成并给予每天擦身一次；</w:t>
            </w:r>
          </w:p>
        </w:tc>
        <w:tc>
          <w:tcPr>
            <w:tcW w:w="1842" w:type="dxa"/>
            <w:tcBorders>
              <w:top w:val="nil"/>
              <w:left w:val="nil"/>
              <w:bottom w:val="single" w:color="auto" w:sz="4" w:space="0"/>
              <w:right w:val="single" w:color="auto" w:sz="8" w:space="0"/>
            </w:tcBorders>
            <w:vAlign w:val="center"/>
          </w:tcPr>
          <w:p w14:paraId="6467B5E2">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44A2D75">
            <w:pPr>
              <w:rPr>
                <w:color w:val="auto"/>
              </w:rPr>
            </w:pPr>
          </w:p>
        </w:tc>
        <w:tc>
          <w:tcPr>
            <w:tcW w:w="2126" w:type="dxa"/>
            <w:tcBorders>
              <w:top w:val="single" w:color="auto" w:sz="8" w:space="0"/>
              <w:left w:val="nil"/>
              <w:bottom w:val="single" w:color="auto" w:sz="8" w:space="0"/>
              <w:right w:val="single" w:color="auto" w:sz="8" w:space="0"/>
            </w:tcBorders>
            <w:vAlign w:val="center"/>
          </w:tcPr>
          <w:p w14:paraId="528F8883">
            <w:pPr>
              <w:rPr>
                <w:color w:val="auto"/>
              </w:rPr>
            </w:pPr>
          </w:p>
        </w:tc>
      </w:tr>
      <w:tr w14:paraId="4F200EDF">
        <w:tblPrEx>
          <w:tblCellMar>
            <w:top w:w="0" w:type="dxa"/>
            <w:left w:w="108" w:type="dxa"/>
            <w:bottom w:w="0" w:type="dxa"/>
            <w:right w:w="108" w:type="dxa"/>
          </w:tblCellMar>
        </w:tblPrEx>
        <w:trPr>
          <w:trHeight w:val="510" w:hRule="atLeast"/>
        </w:trPr>
        <w:tc>
          <w:tcPr>
            <w:tcW w:w="1277" w:type="dxa"/>
            <w:vMerge w:val="continue"/>
            <w:tcBorders>
              <w:left w:val="single" w:color="auto" w:sz="8" w:space="0"/>
              <w:right w:val="single" w:color="auto" w:sz="4" w:space="0"/>
            </w:tcBorders>
            <w:vAlign w:val="center"/>
          </w:tcPr>
          <w:p w14:paraId="51F89E10">
            <w:pPr>
              <w:rPr>
                <w:color w:val="auto"/>
              </w:rPr>
            </w:pPr>
          </w:p>
        </w:tc>
        <w:tc>
          <w:tcPr>
            <w:tcW w:w="1134" w:type="dxa"/>
            <w:vMerge w:val="continue"/>
            <w:tcBorders>
              <w:left w:val="single" w:color="auto" w:sz="4" w:space="0"/>
              <w:right w:val="single" w:color="auto" w:sz="4" w:space="0"/>
            </w:tcBorders>
            <w:vAlign w:val="center"/>
          </w:tcPr>
          <w:p w14:paraId="54E318CE">
            <w:pPr>
              <w:rPr>
                <w:color w:val="auto"/>
              </w:rPr>
            </w:pPr>
          </w:p>
        </w:tc>
        <w:tc>
          <w:tcPr>
            <w:tcW w:w="3544" w:type="dxa"/>
            <w:tcBorders>
              <w:top w:val="nil"/>
              <w:left w:val="nil"/>
              <w:bottom w:val="single" w:color="auto" w:sz="4" w:space="0"/>
              <w:right w:val="single" w:color="auto" w:sz="4" w:space="0"/>
            </w:tcBorders>
            <w:vAlign w:val="bottom"/>
          </w:tcPr>
          <w:p w14:paraId="6D903B29">
            <w:pPr>
              <w:rPr>
                <w:color w:val="auto"/>
              </w:rPr>
            </w:pPr>
            <w:r>
              <w:rPr>
                <w:rFonts w:hint="eastAsia"/>
                <w:color w:val="auto"/>
              </w:rPr>
              <w:t>2、残疾人口腔、五官清洁，眼角、鼻周无分泌物粘附，头发梳理整齐；</w:t>
            </w:r>
          </w:p>
        </w:tc>
        <w:tc>
          <w:tcPr>
            <w:tcW w:w="1842" w:type="dxa"/>
            <w:tcBorders>
              <w:top w:val="nil"/>
              <w:left w:val="nil"/>
              <w:bottom w:val="single" w:color="auto" w:sz="4" w:space="0"/>
              <w:right w:val="single" w:color="auto" w:sz="8" w:space="0"/>
            </w:tcBorders>
            <w:vAlign w:val="center"/>
          </w:tcPr>
          <w:p w14:paraId="5C0AD163">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7A90916A">
            <w:pPr>
              <w:rPr>
                <w:color w:val="auto"/>
              </w:rPr>
            </w:pPr>
          </w:p>
        </w:tc>
        <w:tc>
          <w:tcPr>
            <w:tcW w:w="2126" w:type="dxa"/>
            <w:tcBorders>
              <w:top w:val="single" w:color="auto" w:sz="8" w:space="0"/>
              <w:left w:val="nil"/>
              <w:bottom w:val="single" w:color="auto" w:sz="8" w:space="0"/>
              <w:right w:val="single" w:color="auto" w:sz="8" w:space="0"/>
            </w:tcBorders>
            <w:vAlign w:val="center"/>
          </w:tcPr>
          <w:p w14:paraId="24087737">
            <w:pPr>
              <w:rPr>
                <w:color w:val="auto"/>
              </w:rPr>
            </w:pPr>
          </w:p>
        </w:tc>
      </w:tr>
      <w:tr w14:paraId="502CC4A4">
        <w:tblPrEx>
          <w:tblCellMar>
            <w:top w:w="0" w:type="dxa"/>
            <w:left w:w="108" w:type="dxa"/>
            <w:bottom w:w="0" w:type="dxa"/>
            <w:right w:w="108" w:type="dxa"/>
          </w:tblCellMar>
        </w:tblPrEx>
        <w:trPr>
          <w:trHeight w:val="525" w:hRule="atLeast"/>
        </w:trPr>
        <w:tc>
          <w:tcPr>
            <w:tcW w:w="1277" w:type="dxa"/>
            <w:vMerge w:val="continue"/>
            <w:tcBorders>
              <w:left w:val="single" w:color="auto" w:sz="8" w:space="0"/>
              <w:right w:val="single" w:color="auto" w:sz="4" w:space="0"/>
            </w:tcBorders>
            <w:vAlign w:val="center"/>
          </w:tcPr>
          <w:p w14:paraId="711867BF">
            <w:pPr>
              <w:rPr>
                <w:color w:val="auto"/>
              </w:rPr>
            </w:pPr>
          </w:p>
        </w:tc>
        <w:tc>
          <w:tcPr>
            <w:tcW w:w="1134" w:type="dxa"/>
            <w:vMerge w:val="continue"/>
            <w:tcBorders>
              <w:left w:val="single" w:color="auto" w:sz="4" w:space="0"/>
              <w:right w:val="single" w:color="auto" w:sz="4" w:space="0"/>
            </w:tcBorders>
            <w:vAlign w:val="center"/>
          </w:tcPr>
          <w:p w14:paraId="70F80632">
            <w:pPr>
              <w:rPr>
                <w:color w:val="auto"/>
              </w:rPr>
            </w:pPr>
          </w:p>
        </w:tc>
        <w:tc>
          <w:tcPr>
            <w:tcW w:w="3544" w:type="dxa"/>
            <w:tcBorders>
              <w:top w:val="nil"/>
              <w:left w:val="nil"/>
              <w:bottom w:val="single" w:color="auto" w:sz="4" w:space="0"/>
              <w:right w:val="single" w:color="auto" w:sz="4" w:space="0"/>
            </w:tcBorders>
            <w:vAlign w:val="bottom"/>
          </w:tcPr>
          <w:p w14:paraId="67E609AA">
            <w:pPr>
              <w:rPr>
                <w:color w:val="auto"/>
              </w:rPr>
            </w:pPr>
            <w:r>
              <w:rPr>
                <w:rFonts w:hint="eastAsia"/>
                <w:color w:val="auto"/>
              </w:rPr>
              <w:t>3、残疾人衣着整洁、大小合适，无菜渍、口水痕迹，有污染时随脏随换；</w:t>
            </w:r>
          </w:p>
        </w:tc>
        <w:tc>
          <w:tcPr>
            <w:tcW w:w="1842" w:type="dxa"/>
            <w:tcBorders>
              <w:top w:val="nil"/>
              <w:left w:val="nil"/>
              <w:bottom w:val="single" w:color="auto" w:sz="4" w:space="0"/>
              <w:right w:val="single" w:color="auto" w:sz="8" w:space="0"/>
            </w:tcBorders>
            <w:vAlign w:val="center"/>
          </w:tcPr>
          <w:p w14:paraId="0773FBDC">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1F5F9DCD">
            <w:pPr>
              <w:rPr>
                <w:color w:val="auto"/>
              </w:rPr>
            </w:pPr>
          </w:p>
        </w:tc>
        <w:tc>
          <w:tcPr>
            <w:tcW w:w="2126" w:type="dxa"/>
            <w:tcBorders>
              <w:top w:val="single" w:color="auto" w:sz="8" w:space="0"/>
              <w:left w:val="nil"/>
              <w:bottom w:val="single" w:color="auto" w:sz="8" w:space="0"/>
              <w:right w:val="single" w:color="auto" w:sz="8" w:space="0"/>
            </w:tcBorders>
            <w:vAlign w:val="center"/>
          </w:tcPr>
          <w:p w14:paraId="3236FE85">
            <w:pPr>
              <w:rPr>
                <w:color w:val="auto"/>
              </w:rPr>
            </w:pPr>
          </w:p>
        </w:tc>
      </w:tr>
      <w:tr w14:paraId="3F7D6117">
        <w:tblPrEx>
          <w:tblCellMar>
            <w:top w:w="0" w:type="dxa"/>
            <w:left w:w="108" w:type="dxa"/>
            <w:bottom w:w="0" w:type="dxa"/>
            <w:right w:w="108" w:type="dxa"/>
          </w:tblCellMar>
        </w:tblPrEx>
        <w:trPr>
          <w:trHeight w:val="435" w:hRule="atLeast"/>
        </w:trPr>
        <w:tc>
          <w:tcPr>
            <w:tcW w:w="1277" w:type="dxa"/>
            <w:vMerge w:val="continue"/>
            <w:tcBorders>
              <w:left w:val="single" w:color="auto" w:sz="8" w:space="0"/>
              <w:right w:val="single" w:color="auto" w:sz="4" w:space="0"/>
            </w:tcBorders>
            <w:vAlign w:val="center"/>
          </w:tcPr>
          <w:p w14:paraId="2B638934">
            <w:pPr>
              <w:rPr>
                <w:color w:val="auto"/>
              </w:rPr>
            </w:pPr>
          </w:p>
        </w:tc>
        <w:tc>
          <w:tcPr>
            <w:tcW w:w="1134" w:type="dxa"/>
            <w:vMerge w:val="continue"/>
            <w:tcBorders>
              <w:left w:val="single" w:color="auto" w:sz="4" w:space="0"/>
              <w:right w:val="single" w:color="auto" w:sz="4" w:space="0"/>
            </w:tcBorders>
            <w:vAlign w:val="center"/>
          </w:tcPr>
          <w:p w14:paraId="6AA086AC">
            <w:pPr>
              <w:rPr>
                <w:color w:val="auto"/>
              </w:rPr>
            </w:pPr>
          </w:p>
        </w:tc>
        <w:tc>
          <w:tcPr>
            <w:tcW w:w="3544" w:type="dxa"/>
            <w:tcBorders>
              <w:top w:val="nil"/>
              <w:left w:val="nil"/>
              <w:bottom w:val="single" w:color="auto" w:sz="4" w:space="0"/>
              <w:right w:val="single" w:color="auto" w:sz="4" w:space="0"/>
            </w:tcBorders>
            <w:vAlign w:val="bottom"/>
          </w:tcPr>
          <w:p w14:paraId="6FFBA0AC">
            <w:pPr>
              <w:rPr>
                <w:color w:val="auto"/>
              </w:rPr>
            </w:pPr>
            <w:r>
              <w:rPr>
                <w:rFonts w:hint="eastAsia"/>
                <w:color w:val="auto"/>
              </w:rPr>
              <w:t>4、残疾人皮肤清洁，会阴、肛门干燥无异味，四肢清洁，无褥疮；</w:t>
            </w:r>
          </w:p>
        </w:tc>
        <w:tc>
          <w:tcPr>
            <w:tcW w:w="1842" w:type="dxa"/>
            <w:tcBorders>
              <w:top w:val="nil"/>
              <w:left w:val="nil"/>
              <w:bottom w:val="single" w:color="auto" w:sz="4" w:space="0"/>
              <w:right w:val="single" w:color="auto" w:sz="8" w:space="0"/>
            </w:tcBorders>
            <w:vAlign w:val="center"/>
          </w:tcPr>
          <w:p w14:paraId="0221186D">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39F2A27E">
            <w:pPr>
              <w:rPr>
                <w:color w:val="auto"/>
              </w:rPr>
            </w:pPr>
          </w:p>
        </w:tc>
        <w:tc>
          <w:tcPr>
            <w:tcW w:w="2126" w:type="dxa"/>
            <w:tcBorders>
              <w:top w:val="single" w:color="auto" w:sz="8" w:space="0"/>
              <w:left w:val="nil"/>
              <w:bottom w:val="single" w:color="auto" w:sz="8" w:space="0"/>
              <w:right w:val="single" w:color="auto" w:sz="8" w:space="0"/>
            </w:tcBorders>
            <w:vAlign w:val="center"/>
          </w:tcPr>
          <w:p w14:paraId="37A24D8E">
            <w:pPr>
              <w:rPr>
                <w:color w:val="auto"/>
              </w:rPr>
            </w:pPr>
          </w:p>
        </w:tc>
      </w:tr>
      <w:tr w14:paraId="4024A5D5">
        <w:tblPrEx>
          <w:tblCellMar>
            <w:top w:w="0" w:type="dxa"/>
            <w:left w:w="108" w:type="dxa"/>
            <w:bottom w:w="0" w:type="dxa"/>
            <w:right w:w="108" w:type="dxa"/>
          </w:tblCellMar>
        </w:tblPrEx>
        <w:trPr>
          <w:trHeight w:val="930" w:hRule="atLeast"/>
        </w:trPr>
        <w:tc>
          <w:tcPr>
            <w:tcW w:w="1277" w:type="dxa"/>
            <w:vMerge w:val="continue"/>
            <w:tcBorders>
              <w:left w:val="single" w:color="auto" w:sz="8" w:space="0"/>
              <w:right w:val="single" w:color="auto" w:sz="4" w:space="0"/>
            </w:tcBorders>
            <w:vAlign w:val="center"/>
          </w:tcPr>
          <w:p w14:paraId="364C8D92">
            <w:pPr>
              <w:rPr>
                <w:color w:val="auto"/>
              </w:rPr>
            </w:pPr>
          </w:p>
        </w:tc>
        <w:tc>
          <w:tcPr>
            <w:tcW w:w="1134" w:type="dxa"/>
            <w:vMerge w:val="continue"/>
            <w:tcBorders>
              <w:left w:val="single" w:color="auto" w:sz="4" w:space="0"/>
              <w:right w:val="single" w:color="auto" w:sz="4" w:space="0"/>
            </w:tcBorders>
            <w:vAlign w:val="center"/>
          </w:tcPr>
          <w:p w14:paraId="20FD37E6">
            <w:pPr>
              <w:rPr>
                <w:color w:val="auto"/>
              </w:rPr>
            </w:pPr>
          </w:p>
        </w:tc>
        <w:tc>
          <w:tcPr>
            <w:tcW w:w="3544" w:type="dxa"/>
            <w:tcBorders>
              <w:top w:val="nil"/>
              <w:left w:val="nil"/>
              <w:bottom w:val="single" w:color="auto" w:sz="4" w:space="0"/>
              <w:right w:val="single" w:color="auto" w:sz="4" w:space="0"/>
            </w:tcBorders>
            <w:vAlign w:val="bottom"/>
          </w:tcPr>
          <w:p w14:paraId="0CED171A">
            <w:pPr>
              <w:rPr>
                <w:color w:val="auto"/>
              </w:rPr>
            </w:pPr>
            <w:r>
              <w:rPr>
                <w:rFonts w:hint="eastAsia"/>
                <w:color w:val="auto"/>
              </w:rPr>
              <w:t>5、每周给残疾人剪指甲一次，洗头、洗澡冬季至少隔天一次，春夏秋季每日一次，不能下床者每日擦身一次，男性残疾人每日按需刮胡须。短发残疾人每月理发一次；</w:t>
            </w:r>
          </w:p>
        </w:tc>
        <w:tc>
          <w:tcPr>
            <w:tcW w:w="1842" w:type="dxa"/>
            <w:tcBorders>
              <w:top w:val="nil"/>
              <w:left w:val="nil"/>
              <w:bottom w:val="single" w:color="auto" w:sz="4" w:space="0"/>
              <w:right w:val="single" w:color="auto" w:sz="8" w:space="0"/>
            </w:tcBorders>
            <w:vAlign w:val="center"/>
          </w:tcPr>
          <w:p w14:paraId="0DCA23BF">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6BB34AE1">
            <w:pPr>
              <w:rPr>
                <w:color w:val="auto"/>
              </w:rPr>
            </w:pPr>
          </w:p>
        </w:tc>
        <w:tc>
          <w:tcPr>
            <w:tcW w:w="2126" w:type="dxa"/>
            <w:tcBorders>
              <w:top w:val="single" w:color="auto" w:sz="8" w:space="0"/>
              <w:left w:val="nil"/>
              <w:bottom w:val="single" w:color="auto" w:sz="8" w:space="0"/>
              <w:right w:val="single" w:color="auto" w:sz="8" w:space="0"/>
            </w:tcBorders>
            <w:vAlign w:val="center"/>
          </w:tcPr>
          <w:p w14:paraId="15CBAAC1">
            <w:pPr>
              <w:rPr>
                <w:color w:val="auto"/>
              </w:rPr>
            </w:pPr>
          </w:p>
        </w:tc>
      </w:tr>
      <w:tr w14:paraId="1C3F007B">
        <w:tblPrEx>
          <w:tblCellMar>
            <w:top w:w="0" w:type="dxa"/>
            <w:left w:w="108" w:type="dxa"/>
            <w:bottom w:w="0" w:type="dxa"/>
            <w:right w:w="108" w:type="dxa"/>
          </w:tblCellMar>
        </w:tblPrEx>
        <w:trPr>
          <w:trHeight w:val="360" w:hRule="atLeast"/>
        </w:trPr>
        <w:tc>
          <w:tcPr>
            <w:tcW w:w="1277" w:type="dxa"/>
            <w:vMerge w:val="continue"/>
            <w:tcBorders>
              <w:left w:val="single" w:color="auto" w:sz="8" w:space="0"/>
              <w:right w:val="single" w:color="auto" w:sz="4" w:space="0"/>
            </w:tcBorders>
            <w:vAlign w:val="center"/>
          </w:tcPr>
          <w:p w14:paraId="5FC8ED19">
            <w:pPr>
              <w:rPr>
                <w:color w:val="auto"/>
              </w:rPr>
            </w:pPr>
          </w:p>
        </w:tc>
        <w:tc>
          <w:tcPr>
            <w:tcW w:w="1134" w:type="dxa"/>
            <w:vMerge w:val="continue"/>
            <w:tcBorders>
              <w:left w:val="single" w:color="auto" w:sz="4" w:space="0"/>
              <w:right w:val="single" w:color="auto" w:sz="4" w:space="0"/>
            </w:tcBorders>
            <w:vAlign w:val="center"/>
          </w:tcPr>
          <w:p w14:paraId="0E516E4C">
            <w:pPr>
              <w:rPr>
                <w:color w:val="auto"/>
              </w:rPr>
            </w:pPr>
          </w:p>
        </w:tc>
        <w:tc>
          <w:tcPr>
            <w:tcW w:w="3544" w:type="dxa"/>
            <w:tcBorders>
              <w:top w:val="nil"/>
              <w:left w:val="nil"/>
              <w:bottom w:val="single" w:color="auto" w:sz="4" w:space="0"/>
              <w:right w:val="single" w:color="auto" w:sz="4" w:space="0"/>
            </w:tcBorders>
            <w:vAlign w:val="bottom"/>
          </w:tcPr>
          <w:p w14:paraId="1314ABD8">
            <w:pPr>
              <w:rPr>
                <w:color w:val="auto"/>
              </w:rPr>
            </w:pPr>
            <w:r>
              <w:rPr>
                <w:rFonts w:hint="eastAsia"/>
                <w:color w:val="auto"/>
              </w:rPr>
              <w:t>6、组织残疾人饭前便后洗手；</w:t>
            </w:r>
          </w:p>
        </w:tc>
        <w:tc>
          <w:tcPr>
            <w:tcW w:w="1842" w:type="dxa"/>
            <w:tcBorders>
              <w:top w:val="nil"/>
              <w:left w:val="nil"/>
              <w:bottom w:val="single" w:color="auto" w:sz="4" w:space="0"/>
              <w:right w:val="single" w:color="auto" w:sz="8" w:space="0"/>
            </w:tcBorders>
            <w:vAlign w:val="center"/>
          </w:tcPr>
          <w:p w14:paraId="0F9F2B91">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4F8EDB58">
            <w:pPr>
              <w:rPr>
                <w:color w:val="auto"/>
              </w:rPr>
            </w:pPr>
          </w:p>
        </w:tc>
        <w:tc>
          <w:tcPr>
            <w:tcW w:w="2126" w:type="dxa"/>
            <w:tcBorders>
              <w:top w:val="single" w:color="auto" w:sz="8" w:space="0"/>
              <w:left w:val="nil"/>
              <w:bottom w:val="single" w:color="auto" w:sz="8" w:space="0"/>
              <w:right w:val="single" w:color="auto" w:sz="8" w:space="0"/>
            </w:tcBorders>
            <w:vAlign w:val="center"/>
          </w:tcPr>
          <w:p w14:paraId="0ADF23E4">
            <w:pPr>
              <w:rPr>
                <w:color w:val="auto"/>
              </w:rPr>
            </w:pPr>
          </w:p>
        </w:tc>
      </w:tr>
      <w:tr w14:paraId="62DD3F56">
        <w:tblPrEx>
          <w:tblCellMar>
            <w:top w:w="0" w:type="dxa"/>
            <w:left w:w="108" w:type="dxa"/>
            <w:bottom w:w="0" w:type="dxa"/>
            <w:right w:w="108" w:type="dxa"/>
          </w:tblCellMar>
        </w:tblPrEx>
        <w:trPr>
          <w:trHeight w:val="938" w:hRule="atLeast"/>
        </w:trPr>
        <w:tc>
          <w:tcPr>
            <w:tcW w:w="1277" w:type="dxa"/>
            <w:vMerge w:val="continue"/>
            <w:tcBorders>
              <w:left w:val="single" w:color="auto" w:sz="8" w:space="0"/>
              <w:right w:val="single" w:color="auto" w:sz="4" w:space="0"/>
            </w:tcBorders>
            <w:vAlign w:val="center"/>
          </w:tcPr>
          <w:p w14:paraId="4B72717A">
            <w:pPr>
              <w:rPr>
                <w:color w:val="auto"/>
              </w:rPr>
            </w:pPr>
          </w:p>
        </w:tc>
        <w:tc>
          <w:tcPr>
            <w:tcW w:w="1134" w:type="dxa"/>
            <w:vMerge w:val="continue"/>
            <w:tcBorders>
              <w:left w:val="single" w:color="auto" w:sz="4" w:space="0"/>
              <w:right w:val="single" w:color="auto" w:sz="4" w:space="0"/>
            </w:tcBorders>
            <w:vAlign w:val="center"/>
          </w:tcPr>
          <w:p w14:paraId="5F7A85A9">
            <w:pPr>
              <w:rPr>
                <w:color w:val="auto"/>
              </w:rPr>
            </w:pPr>
          </w:p>
        </w:tc>
        <w:tc>
          <w:tcPr>
            <w:tcW w:w="3544" w:type="dxa"/>
            <w:tcBorders>
              <w:top w:val="single" w:color="auto" w:sz="4" w:space="0"/>
              <w:left w:val="single" w:color="auto" w:sz="4" w:space="0"/>
              <w:bottom w:val="single" w:color="000000" w:sz="8" w:space="0"/>
              <w:right w:val="single" w:color="auto" w:sz="4" w:space="0"/>
            </w:tcBorders>
            <w:vAlign w:val="center"/>
          </w:tcPr>
          <w:p w14:paraId="3BBF7AE4">
            <w:pPr>
              <w:rPr>
                <w:color w:val="auto"/>
              </w:rPr>
            </w:pPr>
            <w:r>
              <w:rPr>
                <w:rFonts w:hint="eastAsia"/>
                <w:color w:val="auto"/>
              </w:rPr>
              <w:t>7、残疾人床单位随时保持清洁，卧榻时被褥平整，起床后叠放整齐有序。床单每周更换一次，有污染时随脏随换；</w:t>
            </w:r>
          </w:p>
        </w:tc>
        <w:tc>
          <w:tcPr>
            <w:tcW w:w="1842" w:type="dxa"/>
            <w:tcBorders>
              <w:top w:val="single" w:color="auto" w:sz="4" w:space="0"/>
              <w:left w:val="single" w:color="auto" w:sz="4" w:space="0"/>
              <w:bottom w:val="single" w:color="000000" w:sz="8" w:space="0"/>
              <w:right w:val="single" w:color="auto" w:sz="8" w:space="0"/>
            </w:tcBorders>
            <w:vAlign w:val="center"/>
          </w:tcPr>
          <w:p w14:paraId="2DC68255">
            <w:pPr>
              <w:rPr>
                <w:color w:val="auto"/>
              </w:rPr>
            </w:pPr>
            <w:r>
              <w:rPr>
                <w:rFonts w:hint="eastAsia"/>
                <w:color w:val="auto"/>
              </w:rPr>
              <w:t>一处不符扣2分；</w:t>
            </w:r>
          </w:p>
        </w:tc>
        <w:tc>
          <w:tcPr>
            <w:tcW w:w="709" w:type="dxa"/>
            <w:tcBorders>
              <w:top w:val="single" w:color="auto" w:sz="8" w:space="0"/>
              <w:left w:val="single" w:color="auto" w:sz="4" w:space="0"/>
              <w:bottom w:val="single" w:color="auto" w:sz="8" w:space="0"/>
              <w:right w:val="single" w:color="auto" w:sz="8" w:space="0"/>
            </w:tcBorders>
            <w:vAlign w:val="center"/>
          </w:tcPr>
          <w:p w14:paraId="2F7E1FD2">
            <w:pPr>
              <w:rPr>
                <w:color w:val="auto"/>
              </w:rPr>
            </w:pPr>
          </w:p>
        </w:tc>
        <w:tc>
          <w:tcPr>
            <w:tcW w:w="2126" w:type="dxa"/>
            <w:tcBorders>
              <w:top w:val="single" w:color="auto" w:sz="8" w:space="0"/>
              <w:left w:val="single" w:color="auto" w:sz="4" w:space="0"/>
              <w:bottom w:val="single" w:color="auto" w:sz="8" w:space="0"/>
              <w:right w:val="single" w:color="auto" w:sz="8" w:space="0"/>
            </w:tcBorders>
            <w:vAlign w:val="center"/>
          </w:tcPr>
          <w:p w14:paraId="207BF14C">
            <w:pPr>
              <w:rPr>
                <w:color w:val="auto"/>
              </w:rPr>
            </w:pPr>
          </w:p>
        </w:tc>
      </w:tr>
      <w:tr w14:paraId="259447A2">
        <w:tblPrEx>
          <w:tblCellMar>
            <w:top w:w="0" w:type="dxa"/>
            <w:left w:w="108" w:type="dxa"/>
            <w:bottom w:w="0" w:type="dxa"/>
            <w:right w:w="108" w:type="dxa"/>
          </w:tblCellMar>
        </w:tblPrEx>
        <w:trPr>
          <w:trHeight w:val="938" w:hRule="atLeast"/>
        </w:trPr>
        <w:tc>
          <w:tcPr>
            <w:tcW w:w="1277" w:type="dxa"/>
            <w:vMerge w:val="continue"/>
            <w:tcBorders>
              <w:left w:val="single" w:color="auto" w:sz="8" w:space="0"/>
              <w:right w:val="single" w:color="auto" w:sz="4" w:space="0"/>
            </w:tcBorders>
            <w:vAlign w:val="center"/>
          </w:tcPr>
          <w:p w14:paraId="0421F7AD">
            <w:pPr>
              <w:rPr>
                <w:color w:val="auto"/>
              </w:rPr>
            </w:pPr>
          </w:p>
        </w:tc>
        <w:tc>
          <w:tcPr>
            <w:tcW w:w="1134" w:type="dxa"/>
            <w:vMerge w:val="continue"/>
            <w:tcBorders>
              <w:left w:val="single" w:color="auto" w:sz="4" w:space="0"/>
              <w:right w:val="single" w:color="auto" w:sz="4" w:space="0"/>
            </w:tcBorders>
            <w:vAlign w:val="center"/>
          </w:tcPr>
          <w:p w14:paraId="4E0B294E">
            <w:pPr>
              <w:rPr>
                <w:color w:val="auto"/>
              </w:rPr>
            </w:pPr>
          </w:p>
        </w:tc>
        <w:tc>
          <w:tcPr>
            <w:tcW w:w="3544" w:type="dxa"/>
            <w:tcBorders>
              <w:top w:val="single" w:color="auto" w:sz="4" w:space="0"/>
              <w:left w:val="single" w:color="auto" w:sz="4" w:space="0"/>
              <w:bottom w:val="single" w:color="000000" w:sz="8" w:space="0"/>
              <w:right w:val="single" w:color="auto" w:sz="4" w:space="0"/>
            </w:tcBorders>
            <w:vAlign w:val="center"/>
          </w:tcPr>
          <w:p w14:paraId="02E36768">
            <w:pPr>
              <w:rPr>
                <w:color w:val="auto"/>
              </w:rPr>
            </w:pPr>
            <w:r>
              <w:rPr>
                <w:rFonts w:hint="eastAsia"/>
                <w:color w:val="auto"/>
              </w:rPr>
              <w:t>8、夜间护理时，定时巡视残疾人，注意观察残疾人睡眠、呼吸情况，有无踢被子，有异常及时报告；</w:t>
            </w:r>
          </w:p>
        </w:tc>
        <w:tc>
          <w:tcPr>
            <w:tcW w:w="1842" w:type="dxa"/>
            <w:tcBorders>
              <w:top w:val="single" w:color="auto" w:sz="4" w:space="0"/>
              <w:left w:val="single" w:color="auto" w:sz="4" w:space="0"/>
              <w:bottom w:val="single" w:color="000000" w:sz="8" w:space="0"/>
              <w:right w:val="single" w:color="auto" w:sz="8" w:space="0"/>
            </w:tcBorders>
            <w:vAlign w:val="center"/>
          </w:tcPr>
          <w:p w14:paraId="032ED5CA">
            <w:pPr>
              <w:rPr>
                <w:color w:val="auto"/>
              </w:rPr>
            </w:pPr>
            <w:r>
              <w:rPr>
                <w:rFonts w:hint="eastAsia"/>
                <w:color w:val="auto"/>
              </w:rPr>
              <w:t>一处不符扣2分；</w:t>
            </w:r>
          </w:p>
        </w:tc>
        <w:tc>
          <w:tcPr>
            <w:tcW w:w="709" w:type="dxa"/>
            <w:tcBorders>
              <w:top w:val="single" w:color="auto" w:sz="8" w:space="0"/>
              <w:left w:val="single" w:color="auto" w:sz="4" w:space="0"/>
              <w:bottom w:val="single" w:color="auto" w:sz="8" w:space="0"/>
              <w:right w:val="single" w:color="auto" w:sz="8" w:space="0"/>
            </w:tcBorders>
            <w:vAlign w:val="center"/>
          </w:tcPr>
          <w:p w14:paraId="7113B3A4">
            <w:pPr>
              <w:rPr>
                <w:color w:val="auto"/>
              </w:rPr>
            </w:pPr>
          </w:p>
        </w:tc>
        <w:tc>
          <w:tcPr>
            <w:tcW w:w="2126" w:type="dxa"/>
            <w:tcBorders>
              <w:top w:val="single" w:color="auto" w:sz="8" w:space="0"/>
              <w:left w:val="single" w:color="auto" w:sz="4" w:space="0"/>
              <w:bottom w:val="single" w:color="auto" w:sz="8" w:space="0"/>
              <w:right w:val="single" w:color="auto" w:sz="8" w:space="0"/>
            </w:tcBorders>
            <w:vAlign w:val="center"/>
          </w:tcPr>
          <w:p w14:paraId="4E3DB917">
            <w:pPr>
              <w:rPr>
                <w:color w:val="auto"/>
              </w:rPr>
            </w:pPr>
          </w:p>
        </w:tc>
      </w:tr>
      <w:tr w14:paraId="4D7F9B17">
        <w:tblPrEx>
          <w:tblCellMar>
            <w:top w:w="0" w:type="dxa"/>
            <w:left w:w="108" w:type="dxa"/>
            <w:bottom w:w="0" w:type="dxa"/>
            <w:right w:w="108" w:type="dxa"/>
          </w:tblCellMar>
        </w:tblPrEx>
        <w:trPr>
          <w:trHeight w:val="938" w:hRule="atLeast"/>
        </w:trPr>
        <w:tc>
          <w:tcPr>
            <w:tcW w:w="1277" w:type="dxa"/>
            <w:vMerge w:val="continue"/>
            <w:tcBorders>
              <w:left w:val="single" w:color="auto" w:sz="8" w:space="0"/>
              <w:right w:val="single" w:color="auto" w:sz="4" w:space="0"/>
            </w:tcBorders>
            <w:vAlign w:val="center"/>
          </w:tcPr>
          <w:p w14:paraId="4D79DA18">
            <w:pPr>
              <w:rPr>
                <w:color w:val="auto"/>
              </w:rPr>
            </w:pPr>
          </w:p>
        </w:tc>
        <w:tc>
          <w:tcPr>
            <w:tcW w:w="1134" w:type="dxa"/>
            <w:vMerge w:val="continue"/>
            <w:tcBorders>
              <w:left w:val="single" w:color="auto" w:sz="4" w:space="0"/>
              <w:right w:val="single" w:color="auto" w:sz="4" w:space="0"/>
            </w:tcBorders>
            <w:vAlign w:val="center"/>
          </w:tcPr>
          <w:p w14:paraId="42F94E67">
            <w:pPr>
              <w:rPr>
                <w:color w:val="auto"/>
              </w:rPr>
            </w:pPr>
          </w:p>
        </w:tc>
        <w:tc>
          <w:tcPr>
            <w:tcW w:w="3544" w:type="dxa"/>
            <w:tcBorders>
              <w:top w:val="single" w:color="auto" w:sz="4" w:space="0"/>
              <w:left w:val="single" w:color="auto" w:sz="4" w:space="0"/>
              <w:bottom w:val="single" w:color="000000" w:sz="8" w:space="0"/>
              <w:right w:val="single" w:color="auto" w:sz="4" w:space="0"/>
            </w:tcBorders>
            <w:vAlign w:val="center"/>
          </w:tcPr>
          <w:p w14:paraId="3052D36B">
            <w:pPr>
              <w:rPr>
                <w:color w:val="auto"/>
              </w:rPr>
            </w:pPr>
            <w:r>
              <w:rPr>
                <w:rFonts w:hint="eastAsia"/>
                <w:color w:val="auto"/>
              </w:rPr>
              <w:t>9、协助残疾人上厕所，防止摔伤；活动能力欠缺者，协助其床上大小便，避免污染衣裤及被褥；</w:t>
            </w:r>
          </w:p>
        </w:tc>
        <w:tc>
          <w:tcPr>
            <w:tcW w:w="1842" w:type="dxa"/>
            <w:tcBorders>
              <w:top w:val="single" w:color="auto" w:sz="4" w:space="0"/>
              <w:left w:val="single" w:color="auto" w:sz="4" w:space="0"/>
              <w:bottom w:val="single" w:color="000000" w:sz="8" w:space="0"/>
              <w:right w:val="single" w:color="auto" w:sz="8" w:space="0"/>
            </w:tcBorders>
            <w:vAlign w:val="center"/>
          </w:tcPr>
          <w:p w14:paraId="399695A7">
            <w:pPr>
              <w:rPr>
                <w:color w:val="auto"/>
              </w:rPr>
            </w:pPr>
            <w:r>
              <w:rPr>
                <w:rFonts w:hint="eastAsia"/>
                <w:color w:val="auto"/>
              </w:rPr>
              <w:t>一处不符扣2分；</w:t>
            </w:r>
          </w:p>
        </w:tc>
        <w:tc>
          <w:tcPr>
            <w:tcW w:w="709" w:type="dxa"/>
            <w:tcBorders>
              <w:top w:val="single" w:color="auto" w:sz="8" w:space="0"/>
              <w:left w:val="single" w:color="auto" w:sz="4" w:space="0"/>
              <w:bottom w:val="single" w:color="auto" w:sz="8" w:space="0"/>
              <w:right w:val="single" w:color="auto" w:sz="8" w:space="0"/>
            </w:tcBorders>
            <w:vAlign w:val="center"/>
          </w:tcPr>
          <w:p w14:paraId="7289AF6C">
            <w:pPr>
              <w:rPr>
                <w:color w:val="auto"/>
              </w:rPr>
            </w:pPr>
          </w:p>
        </w:tc>
        <w:tc>
          <w:tcPr>
            <w:tcW w:w="2126" w:type="dxa"/>
            <w:tcBorders>
              <w:top w:val="single" w:color="auto" w:sz="8" w:space="0"/>
              <w:left w:val="single" w:color="auto" w:sz="4" w:space="0"/>
              <w:bottom w:val="single" w:color="auto" w:sz="8" w:space="0"/>
              <w:right w:val="single" w:color="auto" w:sz="8" w:space="0"/>
            </w:tcBorders>
            <w:vAlign w:val="center"/>
          </w:tcPr>
          <w:p w14:paraId="5E116330">
            <w:pPr>
              <w:rPr>
                <w:color w:val="auto"/>
              </w:rPr>
            </w:pPr>
          </w:p>
        </w:tc>
      </w:tr>
      <w:tr w14:paraId="1FC91396">
        <w:tblPrEx>
          <w:tblCellMar>
            <w:top w:w="0" w:type="dxa"/>
            <w:left w:w="108" w:type="dxa"/>
            <w:bottom w:w="0" w:type="dxa"/>
            <w:right w:w="108" w:type="dxa"/>
          </w:tblCellMar>
        </w:tblPrEx>
        <w:trPr>
          <w:trHeight w:val="315" w:hRule="atLeast"/>
        </w:trPr>
        <w:tc>
          <w:tcPr>
            <w:tcW w:w="1277" w:type="dxa"/>
            <w:vMerge w:val="continue"/>
            <w:tcBorders>
              <w:left w:val="single" w:color="auto" w:sz="8" w:space="0"/>
              <w:right w:val="single" w:color="auto" w:sz="4" w:space="0"/>
            </w:tcBorders>
            <w:vAlign w:val="center"/>
          </w:tcPr>
          <w:p w14:paraId="6D1D2F4A">
            <w:pPr>
              <w:jc w:val="center"/>
              <w:rPr>
                <w:color w:val="auto"/>
              </w:rPr>
            </w:pPr>
          </w:p>
        </w:tc>
        <w:tc>
          <w:tcPr>
            <w:tcW w:w="1134" w:type="dxa"/>
            <w:vMerge w:val="continue"/>
            <w:tcBorders>
              <w:left w:val="single" w:color="auto" w:sz="4" w:space="0"/>
              <w:right w:val="single" w:color="auto" w:sz="4" w:space="0"/>
            </w:tcBorders>
            <w:vAlign w:val="center"/>
          </w:tcPr>
          <w:p w14:paraId="20DCA5A7">
            <w:pPr>
              <w:rPr>
                <w:color w:val="auto"/>
              </w:rPr>
            </w:pPr>
          </w:p>
        </w:tc>
        <w:tc>
          <w:tcPr>
            <w:tcW w:w="3544" w:type="dxa"/>
            <w:tcBorders>
              <w:top w:val="nil"/>
              <w:left w:val="nil"/>
              <w:bottom w:val="single" w:color="auto" w:sz="4" w:space="0"/>
              <w:right w:val="single" w:color="auto" w:sz="4" w:space="0"/>
            </w:tcBorders>
            <w:vAlign w:val="bottom"/>
          </w:tcPr>
          <w:p w14:paraId="3F7DD31E">
            <w:pPr>
              <w:rPr>
                <w:color w:val="auto"/>
              </w:rPr>
            </w:pPr>
            <w:r>
              <w:rPr>
                <w:rFonts w:hint="eastAsia"/>
                <w:color w:val="auto"/>
              </w:rPr>
              <w:t>10、协助进食困难、不主动进食的残疾人喂食，注意避免可能会发生的噎食等意外；</w:t>
            </w:r>
          </w:p>
        </w:tc>
        <w:tc>
          <w:tcPr>
            <w:tcW w:w="1842" w:type="dxa"/>
            <w:tcBorders>
              <w:top w:val="nil"/>
              <w:left w:val="nil"/>
              <w:bottom w:val="single" w:color="auto" w:sz="4" w:space="0"/>
              <w:right w:val="single" w:color="auto" w:sz="8" w:space="0"/>
            </w:tcBorders>
            <w:vAlign w:val="center"/>
          </w:tcPr>
          <w:p w14:paraId="56A95228">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6CCE8AA9">
            <w:pPr>
              <w:rPr>
                <w:color w:val="auto"/>
              </w:rPr>
            </w:pPr>
          </w:p>
        </w:tc>
        <w:tc>
          <w:tcPr>
            <w:tcW w:w="2126" w:type="dxa"/>
            <w:tcBorders>
              <w:top w:val="single" w:color="auto" w:sz="8" w:space="0"/>
              <w:left w:val="nil"/>
              <w:bottom w:val="single" w:color="auto" w:sz="8" w:space="0"/>
              <w:right w:val="single" w:color="auto" w:sz="8" w:space="0"/>
            </w:tcBorders>
            <w:vAlign w:val="center"/>
          </w:tcPr>
          <w:p w14:paraId="47AC1FB0">
            <w:pPr>
              <w:rPr>
                <w:color w:val="auto"/>
              </w:rPr>
            </w:pPr>
          </w:p>
        </w:tc>
      </w:tr>
      <w:tr w14:paraId="153F4FC4">
        <w:tblPrEx>
          <w:tblCellMar>
            <w:top w:w="0" w:type="dxa"/>
            <w:left w:w="108" w:type="dxa"/>
            <w:bottom w:w="0" w:type="dxa"/>
            <w:right w:w="108" w:type="dxa"/>
          </w:tblCellMar>
        </w:tblPrEx>
        <w:trPr>
          <w:trHeight w:val="375" w:hRule="atLeast"/>
        </w:trPr>
        <w:tc>
          <w:tcPr>
            <w:tcW w:w="1277" w:type="dxa"/>
            <w:vMerge w:val="continue"/>
            <w:tcBorders>
              <w:left w:val="single" w:color="auto" w:sz="8" w:space="0"/>
              <w:right w:val="single" w:color="auto" w:sz="4" w:space="0"/>
            </w:tcBorders>
            <w:vAlign w:val="center"/>
          </w:tcPr>
          <w:p w14:paraId="33856D72">
            <w:pPr>
              <w:rPr>
                <w:color w:val="auto"/>
              </w:rPr>
            </w:pPr>
          </w:p>
        </w:tc>
        <w:tc>
          <w:tcPr>
            <w:tcW w:w="1134" w:type="dxa"/>
            <w:vMerge w:val="continue"/>
            <w:tcBorders>
              <w:left w:val="single" w:color="auto" w:sz="4" w:space="0"/>
              <w:right w:val="single" w:color="auto" w:sz="4" w:space="0"/>
            </w:tcBorders>
            <w:vAlign w:val="center"/>
          </w:tcPr>
          <w:p w14:paraId="24F7007A">
            <w:pPr>
              <w:rPr>
                <w:color w:val="auto"/>
              </w:rPr>
            </w:pPr>
          </w:p>
        </w:tc>
        <w:tc>
          <w:tcPr>
            <w:tcW w:w="3544" w:type="dxa"/>
            <w:tcBorders>
              <w:top w:val="nil"/>
              <w:left w:val="nil"/>
              <w:bottom w:val="single" w:color="auto" w:sz="4" w:space="0"/>
              <w:right w:val="single" w:color="auto" w:sz="4" w:space="0"/>
            </w:tcBorders>
            <w:vAlign w:val="bottom"/>
          </w:tcPr>
          <w:p w14:paraId="738A321D">
            <w:pPr>
              <w:rPr>
                <w:color w:val="auto"/>
              </w:rPr>
            </w:pPr>
            <w:r>
              <w:rPr>
                <w:rFonts w:hint="eastAsia"/>
                <w:color w:val="auto"/>
              </w:rPr>
              <w:t>11、级别护理标记明确，护理符合要求；</w:t>
            </w:r>
          </w:p>
        </w:tc>
        <w:tc>
          <w:tcPr>
            <w:tcW w:w="1842" w:type="dxa"/>
            <w:tcBorders>
              <w:top w:val="nil"/>
              <w:left w:val="nil"/>
              <w:bottom w:val="single" w:color="auto" w:sz="4" w:space="0"/>
              <w:right w:val="single" w:color="auto" w:sz="8" w:space="0"/>
            </w:tcBorders>
            <w:vAlign w:val="center"/>
          </w:tcPr>
          <w:p w14:paraId="67626132">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0D1F9930">
            <w:pPr>
              <w:rPr>
                <w:color w:val="auto"/>
              </w:rPr>
            </w:pPr>
          </w:p>
        </w:tc>
        <w:tc>
          <w:tcPr>
            <w:tcW w:w="2126" w:type="dxa"/>
            <w:tcBorders>
              <w:top w:val="single" w:color="auto" w:sz="8" w:space="0"/>
              <w:left w:val="nil"/>
              <w:bottom w:val="single" w:color="auto" w:sz="8" w:space="0"/>
              <w:right w:val="single" w:color="auto" w:sz="8" w:space="0"/>
            </w:tcBorders>
            <w:vAlign w:val="center"/>
          </w:tcPr>
          <w:p w14:paraId="4454A87B">
            <w:pPr>
              <w:rPr>
                <w:color w:val="auto"/>
              </w:rPr>
            </w:pPr>
          </w:p>
        </w:tc>
      </w:tr>
      <w:tr w14:paraId="3FF4E985">
        <w:tblPrEx>
          <w:tblCellMar>
            <w:top w:w="0" w:type="dxa"/>
            <w:left w:w="108" w:type="dxa"/>
            <w:bottom w:w="0" w:type="dxa"/>
            <w:right w:w="108" w:type="dxa"/>
          </w:tblCellMar>
        </w:tblPrEx>
        <w:trPr>
          <w:trHeight w:val="540" w:hRule="atLeast"/>
        </w:trPr>
        <w:tc>
          <w:tcPr>
            <w:tcW w:w="1277" w:type="dxa"/>
            <w:vMerge w:val="continue"/>
            <w:tcBorders>
              <w:left w:val="single" w:color="auto" w:sz="8" w:space="0"/>
              <w:right w:val="single" w:color="auto" w:sz="4" w:space="0"/>
            </w:tcBorders>
            <w:vAlign w:val="center"/>
          </w:tcPr>
          <w:p w14:paraId="596EA2AF">
            <w:pPr>
              <w:rPr>
                <w:color w:val="auto"/>
              </w:rPr>
            </w:pPr>
          </w:p>
        </w:tc>
        <w:tc>
          <w:tcPr>
            <w:tcW w:w="1134" w:type="dxa"/>
            <w:vMerge w:val="continue"/>
            <w:tcBorders>
              <w:left w:val="single" w:color="auto" w:sz="4" w:space="0"/>
              <w:right w:val="single" w:color="auto" w:sz="4" w:space="0"/>
            </w:tcBorders>
            <w:vAlign w:val="center"/>
          </w:tcPr>
          <w:p w14:paraId="75DE32F8">
            <w:pPr>
              <w:rPr>
                <w:color w:val="auto"/>
              </w:rPr>
            </w:pPr>
          </w:p>
        </w:tc>
        <w:tc>
          <w:tcPr>
            <w:tcW w:w="3544" w:type="dxa"/>
            <w:tcBorders>
              <w:top w:val="nil"/>
              <w:left w:val="nil"/>
              <w:bottom w:val="single" w:color="auto" w:sz="4" w:space="0"/>
              <w:right w:val="single" w:color="auto" w:sz="4" w:space="0"/>
            </w:tcBorders>
            <w:vAlign w:val="bottom"/>
          </w:tcPr>
          <w:p w14:paraId="12151BE4">
            <w:pPr>
              <w:rPr>
                <w:color w:val="auto"/>
              </w:rPr>
            </w:pPr>
            <w:r>
              <w:rPr>
                <w:rFonts w:hint="eastAsia"/>
                <w:color w:val="auto"/>
              </w:rPr>
              <w:t>12、无护理并发症发生（压疮、灼伤、坠床、冻伤、烫伤、口腔感染、泌尿道感染、坠积性肺炎等）；</w:t>
            </w:r>
          </w:p>
        </w:tc>
        <w:tc>
          <w:tcPr>
            <w:tcW w:w="1842" w:type="dxa"/>
            <w:tcBorders>
              <w:top w:val="nil"/>
              <w:left w:val="nil"/>
              <w:bottom w:val="single" w:color="auto" w:sz="4" w:space="0"/>
              <w:right w:val="single" w:color="auto" w:sz="8" w:space="0"/>
            </w:tcBorders>
            <w:vAlign w:val="center"/>
          </w:tcPr>
          <w:p w14:paraId="64A0CE78">
            <w:pPr>
              <w:rPr>
                <w:color w:val="auto"/>
              </w:rPr>
            </w:pPr>
            <w:r>
              <w:rPr>
                <w:rFonts w:hint="eastAsia"/>
                <w:color w:val="auto"/>
              </w:rPr>
              <w:t>发生一例并发症扣5分；</w:t>
            </w:r>
          </w:p>
        </w:tc>
        <w:tc>
          <w:tcPr>
            <w:tcW w:w="709" w:type="dxa"/>
            <w:tcBorders>
              <w:top w:val="single" w:color="auto" w:sz="8" w:space="0"/>
              <w:left w:val="nil"/>
              <w:bottom w:val="single" w:color="auto" w:sz="8" w:space="0"/>
              <w:right w:val="single" w:color="auto" w:sz="8" w:space="0"/>
            </w:tcBorders>
            <w:vAlign w:val="center"/>
          </w:tcPr>
          <w:p w14:paraId="6F97A072">
            <w:pPr>
              <w:rPr>
                <w:color w:val="auto"/>
              </w:rPr>
            </w:pPr>
          </w:p>
        </w:tc>
        <w:tc>
          <w:tcPr>
            <w:tcW w:w="2126" w:type="dxa"/>
            <w:tcBorders>
              <w:top w:val="single" w:color="auto" w:sz="8" w:space="0"/>
              <w:left w:val="nil"/>
              <w:bottom w:val="single" w:color="auto" w:sz="8" w:space="0"/>
              <w:right w:val="single" w:color="auto" w:sz="8" w:space="0"/>
            </w:tcBorders>
            <w:vAlign w:val="center"/>
          </w:tcPr>
          <w:p w14:paraId="4A55FD97">
            <w:pPr>
              <w:rPr>
                <w:color w:val="auto"/>
              </w:rPr>
            </w:pPr>
          </w:p>
        </w:tc>
      </w:tr>
      <w:tr w14:paraId="738B7872">
        <w:tblPrEx>
          <w:tblCellMar>
            <w:top w:w="0" w:type="dxa"/>
            <w:left w:w="108" w:type="dxa"/>
            <w:bottom w:w="0" w:type="dxa"/>
            <w:right w:w="108" w:type="dxa"/>
          </w:tblCellMar>
        </w:tblPrEx>
        <w:trPr>
          <w:trHeight w:val="540" w:hRule="atLeast"/>
        </w:trPr>
        <w:tc>
          <w:tcPr>
            <w:tcW w:w="1277" w:type="dxa"/>
            <w:tcBorders>
              <w:left w:val="single" w:color="auto" w:sz="8" w:space="0"/>
              <w:right w:val="single" w:color="auto" w:sz="4" w:space="0"/>
            </w:tcBorders>
            <w:vAlign w:val="center"/>
          </w:tcPr>
          <w:p w14:paraId="04C3F636">
            <w:pPr>
              <w:rPr>
                <w:color w:val="auto"/>
              </w:rPr>
            </w:pPr>
          </w:p>
        </w:tc>
        <w:tc>
          <w:tcPr>
            <w:tcW w:w="1134" w:type="dxa"/>
            <w:tcBorders>
              <w:left w:val="single" w:color="auto" w:sz="4" w:space="0"/>
              <w:right w:val="single" w:color="auto" w:sz="4" w:space="0"/>
            </w:tcBorders>
            <w:vAlign w:val="center"/>
          </w:tcPr>
          <w:p w14:paraId="47E9F74A">
            <w:pPr>
              <w:rPr>
                <w:color w:val="auto"/>
              </w:rPr>
            </w:pPr>
          </w:p>
        </w:tc>
        <w:tc>
          <w:tcPr>
            <w:tcW w:w="3544" w:type="dxa"/>
            <w:tcBorders>
              <w:top w:val="nil"/>
              <w:left w:val="nil"/>
              <w:bottom w:val="single" w:color="auto" w:sz="4" w:space="0"/>
              <w:right w:val="single" w:color="auto" w:sz="4" w:space="0"/>
            </w:tcBorders>
            <w:vAlign w:val="bottom"/>
          </w:tcPr>
          <w:p w14:paraId="147F9AEA">
            <w:pPr>
              <w:rPr>
                <w:color w:val="auto"/>
              </w:rPr>
            </w:pPr>
            <w:r>
              <w:rPr>
                <w:rFonts w:hint="eastAsia"/>
                <w:color w:val="auto"/>
              </w:rPr>
              <w:t>13、主动巡视残疾人（特级：1小时巡视一次；一、二级：2小时巡视一次；）并有巡视记录；</w:t>
            </w:r>
          </w:p>
        </w:tc>
        <w:tc>
          <w:tcPr>
            <w:tcW w:w="1842" w:type="dxa"/>
            <w:tcBorders>
              <w:top w:val="nil"/>
              <w:left w:val="nil"/>
              <w:bottom w:val="single" w:color="auto" w:sz="4" w:space="0"/>
              <w:right w:val="single" w:color="auto" w:sz="8" w:space="0"/>
            </w:tcBorders>
            <w:vAlign w:val="center"/>
          </w:tcPr>
          <w:p w14:paraId="6118E243">
            <w:pPr>
              <w:rPr>
                <w:color w:val="auto"/>
              </w:rPr>
            </w:pPr>
            <w:r>
              <w:rPr>
                <w:rFonts w:hint="eastAsia"/>
                <w:color w:val="auto"/>
              </w:rPr>
              <w:t>一处不符扣2分；</w:t>
            </w:r>
          </w:p>
        </w:tc>
        <w:tc>
          <w:tcPr>
            <w:tcW w:w="709" w:type="dxa"/>
            <w:tcBorders>
              <w:top w:val="single" w:color="auto" w:sz="8" w:space="0"/>
              <w:left w:val="nil"/>
              <w:bottom w:val="single" w:color="auto" w:sz="4" w:space="0"/>
              <w:right w:val="single" w:color="auto" w:sz="8" w:space="0"/>
            </w:tcBorders>
            <w:vAlign w:val="center"/>
          </w:tcPr>
          <w:p w14:paraId="2FE4AF11">
            <w:pPr>
              <w:rPr>
                <w:color w:val="auto"/>
              </w:rPr>
            </w:pPr>
          </w:p>
        </w:tc>
        <w:tc>
          <w:tcPr>
            <w:tcW w:w="2126" w:type="dxa"/>
            <w:tcBorders>
              <w:top w:val="single" w:color="auto" w:sz="8" w:space="0"/>
              <w:left w:val="nil"/>
              <w:bottom w:val="single" w:color="auto" w:sz="4" w:space="0"/>
              <w:right w:val="single" w:color="auto" w:sz="8" w:space="0"/>
            </w:tcBorders>
            <w:vAlign w:val="center"/>
          </w:tcPr>
          <w:p w14:paraId="4AC4B921">
            <w:pPr>
              <w:rPr>
                <w:color w:val="auto"/>
              </w:rPr>
            </w:pPr>
          </w:p>
        </w:tc>
      </w:tr>
      <w:tr w14:paraId="310944C7">
        <w:tblPrEx>
          <w:tblCellMar>
            <w:top w:w="0" w:type="dxa"/>
            <w:left w:w="108" w:type="dxa"/>
            <w:bottom w:w="0" w:type="dxa"/>
            <w:right w:w="108" w:type="dxa"/>
          </w:tblCellMar>
        </w:tblPrEx>
        <w:trPr>
          <w:trHeight w:val="540" w:hRule="atLeast"/>
        </w:trPr>
        <w:tc>
          <w:tcPr>
            <w:tcW w:w="1277" w:type="dxa"/>
            <w:tcBorders>
              <w:left w:val="single" w:color="auto" w:sz="8" w:space="0"/>
              <w:right w:val="single" w:color="auto" w:sz="4" w:space="0"/>
            </w:tcBorders>
            <w:vAlign w:val="center"/>
          </w:tcPr>
          <w:p w14:paraId="07788EEB">
            <w:pPr>
              <w:rPr>
                <w:color w:val="auto"/>
              </w:rPr>
            </w:pPr>
          </w:p>
        </w:tc>
        <w:tc>
          <w:tcPr>
            <w:tcW w:w="1134" w:type="dxa"/>
            <w:tcBorders>
              <w:left w:val="single" w:color="auto" w:sz="4" w:space="0"/>
              <w:right w:val="single" w:color="auto" w:sz="4" w:space="0"/>
            </w:tcBorders>
            <w:vAlign w:val="center"/>
          </w:tcPr>
          <w:p w14:paraId="44B827E2">
            <w:pPr>
              <w:rPr>
                <w:color w:val="auto"/>
              </w:rPr>
            </w:pPr>
          </w:p>
        </w:tc>
        <w:tc>
          <w:tcPr>
            <w:tcW w:w="3544" w:type="dxa"/>
            <w:tcBorders>
              <w:top w:val="single" w:color="auto" w:sz="4" w:space="0"/>
              <w:left w:val="nil"/>
              <w:bottom w:val="single" w:color="auto" w:sz="4" w:space="0"/>
              <w:right w:val="single" w:color="auto" w:sz="4" w:space="0"/>
            </w:tcBorders>
          </w:tcPr>
          <w:p w14:paraId="2440FE4A">
            <w:pPr>
              <w:rPr>
                <w:color w:val="auto"/>
              </w:rPr>
            </w:pPr>
            <w:r>
              <w:rPr>
                <w:rFonts w:hint="eastAsia"/>
                <w:color w:val="auto"/>
              </w:rPr>
              <w:t>14、特护、一级护理残疾人在工作人员监护下活动，应观察残疾人的言行，并了解其主要情况，预测残疾人可能会发生的意外，如跌跤，打架，自杀，逃跑等，了解发生意外时的应急处理流程；</w:t>
            </w:r>
          </w:p>
        </w:tc>
        <w:tc>
          <w:tcPr>
            <w:tcW w:w="1842" w:type="dxa"/>
            <w:tcBorders>
              <w:top w:val="single" w:color="auto" w:sz="4" w:space="0"/>
              <w:left w:val="single" w:color="auto" w:sz="4" w:space="0"/>
              <w:bottom w:val="single" w:color="auto" w:sz="4" w:space="0"/>
              <w:right w:val="single" w:color="auto" w:sz="4" w:space="0"/>
            </w:tcBorders>
            <w:vAlign w:val="center"/>
          </w:tcPr>
          <w:p w14:paraId="6DCC89BC">
            <w:pPr>
              <w:rPr>
                <w:color w:val="auto"/>
              </w:rPr>
            </w:pPr>
            <w:r>
              <w:rPr>
                <w:rFonts w:hint="eastAsia"/>
                <w:color w:val="auto"/>
              </w:rPr>
              <w:t>一处不符扣2分；</w:t>
            </w:r>
          </w:p>
        </w:tc>
        <w:tc>
          <w:tcPr>
            <w:tcW w:w="709" w:type="dxa"/>
            <w:tcBorders>
              <w:top w:val="single" w:color="auto" w:sz="4" w:space="0"/>
              <w:left w:val="single" w:color="auto" w:sz="4" w:space="0"/>
              <w:bottom w:val="single" w:color="auto" w:sz="4" w:space="0"/>
              <w:right w:val="single" w:color="auto" w:sz="4" w:space="0"/>
            </w:tcBorders>
            <w:vAlign w:val="center"/>
          </w:tcPr>
          <w:p w14:paraId="75EAD57E">
            <w:pPr>
              <w:rPr>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1F3BA89E">
            <w:pPr>
              <w:rPr>
                <w:color w:val="auto"/>
              </w:rPr>
            </w:pPr>
          </w:p>
        </w:tc>
      </w:tr>
      <w:tr w14:paraId="3B747C62">
        <w:tblPrEx>
          <w:tblCellMar>
            <w:top w:w="0" w:type="dxa"/>
            <w:left w:w="108" w:type="dxa"/>
            <w:bottom w:w="0" w:type="dxa"/>
            <w:right w:w="108" w:type="dxa"/>
          </w:tblCellMar>
        </w:tblPrEx>
        <w:trPr>
          <w:trHeight w:val="510" w:hRule="atLeast"/>
        </w:trPr>
        <w:tc>
          <w:tcPr>
            <w:tcW w:w="1277" w:type="dxa"/>
            <w:tcBorders>
              <w:top w:val="nil"/>
              <w:left w:val="single" w:color="auto" w:sz="8" w:space="0"/>
              <w:bottom w:val="single" w:color="000000" w:sz="8" w:space="0"/>
              <w:right w:val="single" w:color="auto" w:sz="4" w:space="0"/>
            </w:tcBorders>
            <w:vAlign w:val="center"/>
          </w:tcPr>
          <w:p w14:paraId="2E30ED89">
            <w:pPr>
              <w:rPr>
                <w:color w:val="auto"/>
              </w:rPr>
            </w:pPr>
          </w:p>
        </w:tc>
        <w:tc>
          <w:tcPr>
            <w:tcW w:w="1134" w:type="dxa"/>
            <w:tcBorders>
              <w:top w:val="nil"/>
              <w:left w:val="single" w:color="auto" w:sz="4" w:space="0"/>
              <w:bottom w:val="single" w:color="000000" w:sz="8" w:space="0"/>
              <w:right w:val="single" w:color="auto" w:sz="4" w:space="0"/>
            </w:tcBorders>
            <w:vAlign w:val="center"/>
          </w:tcPr>
          <w:p w14:paraId="60DD0749">
            <w:pPr>
              <w:rPr>
                <w:color w:val="auto"/>
              </w:rPr>
            </w:pPr>
          </w:p>
        </w:tc>
        <w:tc>
          <w:tcPr>
            <w:tcW w:w="3544" w:type="dxa"/>
            <w:tcBorders>
              <w:top w:val="single" w:color="auto" w:sz="4" w:space="0"/>
              <w:left w:val="nil"/>
              <w:bottom w:val="single" w:color="auto" w:sz="8" w:space="0"/>
              <w:right w:val="single" w:color="auto" w:sz="4" w:space="0"/>
            </w:tcBorders>
          </w:tcPr>
          <w:p w14:paraId="29CB53C7">
            <w:pPr>
              <w:rPr>
                <w:color w:val="auto"/>
              </w:rPr>
            </w:pPr>
            <w:r>
              <w:rPr>
                <w:rFonts w:hint="eastAsia"/>
                <w:color w:val="auto"/>
              </w:rPr>
              <w:t>15、需要协助翻身的残疾人，协助其每2小时翻身一次。</w:t>
            </w:r>
          </w:p>
        </w:tc>
        <w:tc>
          <w:tcPr>
            <w:tcW w:w="1842" w:type="dxa"/>
            <w:tcBorders>
              <w:top w:val="single" w:color="auto" w:sz="4" w:space="0"/>
              <w:left w:val="nil"/>
              <w:bottom w:val="single" w:color="auto" w:sz="8" w:space="0"/>
              <w:right w:val="single" w:color="auto" w:sz="8" w:space="0"/>
            </w:tcBorders>
            <w:vAlign w:val="center"/>
          </w:tcPr>
          <w:p w14:paraId="080A1FE6">
            <w:pPr>
              <w:rPr>
                <w:color w:val="auto"/>
              </w:rPr>
            </w:pPr>
            <w:r>
              <w:rPr>
                <w:rFonts w:hint="eastAsia"/>
                <w:color w:val="auto"/>
              </w:rPr>
              <w:t>一处不符扣2分；</w:t>
            </w:r>
          </w:p>
        </w:tc>
        <w:tc>
          <w:tcPr>
            <w:tcW w:w="709" w:type="dxa"/>
            <w:tcBorders>
              <w:top w:val="single" w:color="auto" w:sz="4" w:space="0"/>
              <w:left w:val="nil"/>
              <w:bottom w:val="single" w:color="auto" w:sz="8" w:space="0"/>
              <w:right w:val="single" w:color="auto" w:sz="8" w:space="0"/>
            </w:tcBorders>
            <w:vAlign w:val="center"/>
          </w:tcPr>
          <w:p w14:paraId="36D65BDD">
            <w:pPr>
              <w:rPr>
                <w:color w:val="auto"/>
              </w:rPr>
            </w:pPr>
          </w:p>
        </w:tc>
        <w:tc>
          <w:tcPr>
            <w:tcW w:w="2126" w:type="dxa"/>
            <w:tcBorders>
              <w:top w:val="single" w:color="auto" w:sz="4" w:space="0"/>
              <w:left w:val="nil"/>
              <w:bottom w:val="single" w:color="auto" w:sz="8" w:space="0"/>
              <w:right w:val="single" w:color="auto" w:sz="8" w:space="0"/>
            </w:tcBorders>
            <w:vAlign w:val="center"/>
          </w:tcPr>
          <w:p w14:paraId="70408A3A">
            <w:pPr>
              <w:rPr>
                <w:color w:val="auto"/>
              </w:rPr>
            </w:pPr>
          </w:p>
        </w:tc>
      </w:tr>
      <w:tr w14:paraId="333083F2">
        <w:tblPrEx>
          <w:tblCellMar>
            <w:top w:w="0" w:type="dxa"/>
            <w:left w:w="108" w:type="dxa"/>
            <w:bottom w:w="0" w:type="dxa"/>
            <w:right w:w="108" w:type="dxa"/>
          </w:tblCellMar>
        </w:tblPrEx>
        <w:trPr>
          <w:trHeight w:val="675" w:hRule="atLeast"/>
        </w:trPr>
        <w:tc>
          <w:tcPr>
            <w:tcW w:w="1277" w:type="dxa"/>
            <w:vMerge w:val="restart"/>
            <w:tcBorders>
              <w:top w:val="nil"/>
              <w:left w:val="single" w:color="auto" w:sz="8" w:space="0"/>
              <w:right w:val="single" w:color="auto" w:sz="4" w:space="0"/>
            </w:tcBorders>
            <w:vAlign w:val="center"/>
          </w:tcPr>
          <w:p w14:paraId="246CBDAB">
            <w:pPr>
              <w:rPr>
                <w:color w:val="auto"/>
              </w:rPr>
            </w:pPr>
            <w:r>
              <w:rPr>
                <w:rFonts w:hint="eastAsia"/>
                <w:color w:val="auto"/>
              </w:rPr>
              <w:t>居室环境（100分）</w:t>
            </w:r>
          </w:p>
        </w:tc>
        <w:tc>
          <w:tcPr>
            <w:tcW w:w="1134" w:type="dxa"/>
            <w:vMerge w:val="restart"/>
            <w:tcBorders>
              <w:top w:val="nil"/>
              <w:left w:val="single" w:color="auto" w:sz="4" w:space="0"/>
              <w:right w:val="single" w:color="auto" w:sz="4" w:space="0"/>
            </w:tcBorders>
            <w:vAlign w:val="center"/>
          </w:tcPr>
          <w:p w14:paraId="7AD5714E">
            <w:pPr>
              <w:rPr>
                <w:color w:val="auto"/>
              </w:rPr>
            </w:pPr>
            <w:r>
              <w:rPr>
                <w:rFonts w:hint="eastAsia"/>
                <w:color w:val="auto"/>
              </w:rPr>
              <w:t>实地考核</w:t>
            </w:r>
          </w:p>
        </w:tc>
        <w:tc>
          <w:tcPr>
            <w:tcW w:w="3544" w:type="dxa"/>
            <w:tcBorders>
              <w:top w:val="nil"/>
              <w:left w:val="nil"/>
              <w:bottom w:val="single" w:color="auto" w:sz="4" w:space="0"/>
              <w:right w:val="single" w:color="auto" w:sz="4" w:space="0"/>
            </w:tcBorders>
            <w:vAlign w:val="bottom"/>
          </w:tcPr>
          <w:p w14:paraId="7A8610A6">
            <w:pPr>
              <w:rPr>
                <w:color w:val="auto"/>
              </w:rPr>
            </w:pPr>
            <w:r>
              <w:rPr>
                <w:rFonts w:hint="eastAsia"/>
                <w:color w:val="auto"/>
              </w:rPr>
              <w:t>1、居室环境安静、清洁、安全，地面、阳台、走廊干燥无积水无臭味，物品摆放在指定位置，做到整洁有序，衣物悬挂在指定位置；</w:t>
            </w:r>
          </w:p>
        </w:tc>
        <w:tc>
          <w:tcPr>
            <w:tcW w:w="1842" w:type="dxa"/>
            <w:tcBorders>
              <w:top w:val="nil"/>
              <w:left w:val="nil"/>
              <w:bottom w:val="single" w:color="auto" w:sz="4" w:space="0"/>
              <w:right w:val="single" w:color="auto" w:sz="8" w:space="0"/>
            </w:tcBorders>
            <w:vAlign w:val="center"/>
          </w:tcPr>
          <w:p w14:paraId="5CCC5870">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4B22FCB3">
            <w:pPr>
              <w:rPr>
                <w:color w:val="auto"/>
              </w:rPr>
            </w:pPr>
          </w:p>
        </w:tc>
        <w:tc>
          <w:tcPr>
            <w:tcW w:w="2126" w:type="dxa"/>
            <w:tcBorders>
              <w:top w:val="single" w:color="auto" w:sz="8" w:space="0"/>
              <w:left w:val="nil"/>
              <w:bottom w:val="single" w:color="auto" w:sz="8" w:space="0"/>
              <w:right w:val="single" w:color="auto" w:sz="8" w:space="0"/>
            </w:tcBorders>
            <w:vAlign w:val="center"/>
          </w:tcPr>
          <w:p w14:paraId="4B2ACEE0">
            <w:pPr>
              <w:rPr>
                <w:color w:val="auto"/>
              </w:rPr>
            </w:pPr>
          </w:p>
        </w:tc>
      </w:tr>
      <w:tr w14:paraId="271B6FF9">
        <w:tblPrEx>
          <w:tblCellMar>
            <w:top w:w="0" w:type="dxa"/>
            <w:left w:w="108" w:type="dxa"/>
            <w:bottom w:w="0" w:type="dxa"/>
            <w:right w:w="108" w:type="dxa"/>
          </w:tblCellMar>
        </w:tblPrEx>
        <w:trPr>
          <w:trHeight w:val="360" w:hRule="atLeast"/>
        </w:trPr>
        <w:tc>
          <w:tcPr>
            <w:tcW w:w="1277" w:type="dxa"/>
            <w:vMerge w:val="continue"/>
            <w:tcBorders>
              <w:left w:val="single" w:color="auto" w:sz="8" w:space="0"/>
              <w:right w:val="single" w:color="auto" w:sz="4" w:space="0"/>
            </w:tcBorders>
            <w:vAlign w:val="center"/>
          </w:tcPr>
          <w:p w14:paraId="23D083CA">
            <w:pPr>
              <w:rPr>
                <w:color w:val="auto"/>
              </w:rPr>
            </w:pPr>
          </w:p>
        </w:tc>
        <w:tc>
          <w:tcPr>
            <w:tcW w:w="1134" w:type="dxa"/>
            <w:vMerge w:val="continue"/>
            <w:tcBorders>
              <w:left w:val="single" w:color="auto" w:sz="4" w:space="0"/>
              <w:right w:val="single" w:color="auto" w:sz="4" w:space="0"/>
            </w:tcBorders>
            <w:vAlign w:val="center"/>
          </w:tcPr>
          <w:p w14:paraId="5CAE7B08">
            <w:pPr>
              <w:rPr>
                <w:color w:val="auto"/>
              </w:rPr>
            </w:pPr>
          </w:p>
        </w:tc>
        <w:tc>
          <w:tcPr>
            <w:tcW w:w="3544" w:type="dxa"/>
            <w:tcBorders>
              <w:top w:val="nil"/>
              <w:left w:val="nil"/>
              <w:bottom w:val="single" w:color="auto" w:sz="4" w:space="0"/>
              <w:right w:val="single" w:color="auto" w:sz="4" w:space="0"/>
            </w:tcBorders>
            <w:vAlign w:val="bottom"/>
          </w:tcPr>
          <w:p w14:paraId="62C3366A">
            <w:pPr>
              <w:rPr>
                <w:color w:val="auto"/>
              </w:rPr>
            </w:pPr>
            <w:r>
              <w:rPr>
                <w:rFonts w:hint="eastAsia"/>
                <w:color w:val="auto"/>
              </w:rPr>
              <w:t>2、卫生间、盥洗室清洁无积水，下水道通畅无异味，防滑垫定期清洗消毒；</w:t>
            </w:r>
          </w:p>
        </w:tc>
        <w:tc>
          <w:tcPr>
            <w:tcW w:w="1842" w:type="dxa"/>
            <w:tcBorders>
              <w:top w:val="nil"/>
              <w:left w:val="nil"/>
              <w:bottom w:val="single" w:color="auto" w:sz="4" w:space="0"/>
              <w:right w:val="single" w:color="auto" w:sz="8" w:space="0"/>
            </w:tcBorders>
            <w:vAlign w:val="center"/>
          </w:tcPr>
          <w:p w14:paraId="1290ECF2">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ECEAAC8">
            <w:pPr>
              <w:rPr>
                <w:color w:val="auto"/>
              </w:rPr>
            </w:pPr>
          </w:p>
        </w:tc>
        <w:tc>
          <w:tcPr>
            <w:tcW w:w="2126" w:type="dxa"/>
            <w:tcBorders>
              <w:top w:val="single" w:color="auto" w:sz="8" w:space="0"/>
              <w:left w:val="nil"/>
              <w:bottom w:val="single" w:color="auto" w:sz="8" w:space="0"/>
              <w:right w:val="single" w:color="auto" w:sz="8" w:space="0"/>
            </w:tcBorders>
            <w:vAlign w:val="center"/>
          </w:tcPr>
          <w:p w14:paraId="500A6559">
            <w:pPr>
              <w:rPr>
                <w:color w:val="auto"/>
              </w:rPr>
            </w:pPr>
          </w:p>
        </w:tc>
      </w:tr>
      <w:tr w14:paraId="762D7395">
        <w:tblPrEx>
          <w:tblCellMar>
            <w:top w:w="0" w:type="dxa"/>
            <w:left w:w="108" w:type="dxa"/>
            <w:bottom w:w="0" w:type="dxa"/>
            <w:right w:w="108" w:type="dxa"/>
          </w:tblCellMar>
        </w:tblPrEx>
        <w:trPr>
          <w:trHeight w:val="285" w:hRule="atLeast"/>
        </w:trPr>
        <w:tc>
          <w:tcPr>
            <w:tcW w:w="1277" w:type="dxa"/>
            <w:vMerge w:val="continue"/>
            <w:tcBorders>
              <w:left w:val="single" w:color="auto" w:sz="8" w:space="0"/>
              <w:right w:val="single" w:color="auto" w:sz="4" w:space="0"/>
            </w:tcBorders>
            <w:vAlign w:val="center"/>
          </w:tcPr>
          <w:p w14:paraId="76B4DCE4">
            <w:pPr>
              <w:rPr>
                <w:color w:val="auto"/>
              </w:rPr>
            </w:pPr>
          </w:p>
        </w:tc>
        <w:tc>
          <w:tcPr>
            <w:tcW w:w="1134" w:type="dxa"/>
            <w:vMerge w:val="continue"/>
            <w:tcBorders>
              <w:left w:val="single" w:color="auto" w:sz="4" w:space="0"/>
              <w:right w:val="single" w:color="auto" w:sz="4" w:space="0"/>
            </w:tcBorders>
            <w:vAlign w:val="center"/>
          </w:tcPr>
          <w:p w14:paraId="6085EFE5">
            <w:pPr>
              <w:rPr>
                <w:color w:val="auto"/>
              </w:rPr>
            </w:pPr>
          </w:p>
        </w:tc>
        <w:tc>
          <w:tcPr>
            <w:tcW w:w="3544" w:type="dxa"/>
            <w:tcBorders>
              <w:top w:val="nil"/>
              <w:left w:val="nil"/>
              <w:bottom w:val="single" w:color="auto" w:sz="4" w:space="0"/>
              <w:right w:val="single" w:color="auto" w:sz="4" w:space="0"/>
            </w:tcBorders>
            <w:vAlign w:val="bottom"/>
          </w:tcPr>
          <w:p w14:paraId="17BEF17A">
            <w:pPr>
              <w:rPr>
                <w:color w:val="auto"/>
              </w:rPr>
            </w:pPr>
            <w:r>
              <w:rPr>
                <w:rFonts w:hint="eastAsia"/>
                <w:color w:val="auto"/>
              </w:rPr>
              <w:t>3、居室、走廊、阳台、楼道通畅不放杂物，无蜘蛛网，各通道畅通无阻；</w:t>
            </w:r>
          </w:p>
        </w:tc>
        <w:tc>
          <w:tcPr>
            <w:tcW w:w="1842" w:type="dxa"/>
            <w:tcBorders>
              <w:top w:val="nil"/>
              <w:left w:val="nil"/>
              <w:bottom w:val="single" w:color="auto" w:sz="4" w:space="0"/>
              <w:right w:val="single" w:color="auto" w:sz="8" w:space="0"/>
            </w:tcBorders>
            <w:vAlign w:val="center"/>
          </w:tcPr>
          <w:p w14:paraId="7CB0D38B">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0DCB481">
            <w:pPr>
              <w:rPr>
                <w:color w:val="auto"/>
              </w:rPr>
            </w:pPr>
          </w:p>
        </w:tc>
        <w:tc>
          <w:tcPr>
            <w:tcW w:w="2126" w:type="dxa"/>
            <w:tcBorders>
              <w:top w:val="single" w:color="auto" w:sz="8" w:space="0"/>
              <w:left w:val="nil"/>
              <w:bottom w:val="single" w:color="auto" w:sz="8" w:space="0"/>
              <w:right w:val="single" w:color="auto" w:sz="8" w:space="0"/>
            </w:tcBorders>
            <w:vAlign w:val="center"/>
          </w:tcPr>
          <w:p w14:paraId="36A91C2E">
            <w:pPr>
              <w:rPr>
                <w:color w:val="auto"/>
              </w:rPr>
            </w:pPr>
          </w:p>
        </w:tc>
      </w:tr>
      <w:tr w14:paraId="65C27908">
        <w:tblPrEx>
          <w:tblCellMar>
            <w:top w:w="0" w:type="dxa"/>
            <w:left w:w="108" w:type="dxa"/>
            <w:bottom w:w="0" w:type="dxa"/>
            <w:right w:w="108" w:type="dxa"/>
          </w:tblCellMar>
        </w:tblPrEx>
        <w:trPr>
          <w:trHeight w:val="450" w:hRule="atLeast"/>
        </w:trPr>
        <w:tc>
          <w:tcPr>
            <w:tcW w:w="1277" w:type="dxa"/>
            <w:vMerge w:val="continue"/>
            <w:tcBorders>
              <w:left w:val="single" w:color="auto" w:sz="8" w:space="0"/>
              <w:right w:val="single" w:color="auto" w:sz="4" w:space="0"/>
            </w:tcBorders>
            <w:vAlign w:val="center"/>
          </w:tcPr>
          <w:p w14:paraId="787C2B05">
            <w:pPr>
              <w:rPr>
                <w:color w:val="auto"/>
              </w:rPr>
            </w:pPr>
          </w:p>
        </w:tc>
        <w:tc>
          <w:tcPr>
            <w:tcW w:w="1134" w:type="dxa"/>
            <w:vMerge w:val="continue"/>
            <w:tcBorders>
              <w:left w:val="single" w:color="auto" w:sz="4" w:space="0"/>
              <w:right w:val="single" w:color="auto" w:sz="4" w:space="0"/>
            </w:tcBorders>
            <w:vAlign w:val="center"/>
          </w:tcPr>
          <w:p w14:paraId="5BAFE965">
            <w:pPr>
              <w:rPr>
                <w:color w:val="auto"/>
              </w:rPr>
            </w:pPr>
          </w:p>
        </w:tc>
        <w:tc>
          <w:tcPr>
            <w:tcW w:w="3544" w:type="dxa"/>
            <w:tcBorders>
              <w:top w:val="nil"/>
              <w:left w:val="nil"/>
              <w:bottom w:val="single" w:color="auto" w:sz="4" w:space="0"/>
              <w:right w:val="single" w:color="auto" w:sz="4" w:space="0"/>
            </w:tcBorders>
            <w:vAlign w:val="bottom"/>
          </w:tcPr>
          <w:p w14:paraId="07FDCDCA">
            <w:pPr>
              <w:rPr>
                <w:color w:val="auto"/>
              </w:rPr>
            </w:pPr>
            <w:r>
              <w:rPr>
                <w:rFonts w:hint="eastAsia"/>
                <w:color w:val="auto"/>
              </w:rPr>
              <w:t>4、床旁柜清洁，抽屉内不放危险物品，用物摆放整齐；</w:t>
            </w:r>
          </w:p>
        </w:tc>
        <w:tc>
          <w:tcPr>
            <w:tcW w:w="1842" w:type="dxa"/>
            <w:tcBorders>
              <w:top w:val="nil"/>
              <w:left w:val="nil"/>
              <w:bottom w:val="single" w:color="auto" w:sz="4" w:space="0"/>
              <w:right w:val="single" w:color="auto" w:sz="8" w:space="0"/>
            </w:tcBorders>
            <w:vAlign w:val="center"/>
          </w:tcPr>
          <w:p w14:paraId="7BD2655B">
            <w:pPr>
              <w:rPr>
                <w:color w:val="auto"/>
              </w:rPr>
            </w:pPr>
            <w:r>
              <w:rPr>
                <w:rFonts w:hint="eastAsia"/>
                <w:color w:val="auto"/>
              </w:rPr>
              <w:t>一处不符扣2分，发现危险物品扣5分；</w:t>
            </w:r>
          </w:p>
        </w:tc>
        <w:tc>
          <w:tcPr>
            <w:tcW w:w="709" w:type="dxa"/>
            <w:tcBorders>
              <w:top w:val="single" w:color="auto" w:sz="8" w:space="0"/>
              <w:left w:val="nil"/>
              <w:bottom w:val="single" w:color="auto" w:sz="8" w:space="0"/>
              <w:right w:val="single" w:color="auto" w:sz="8" w:space="0"/>
            </w:tcBorders>
            <w:vAlign w:val="center"/>
          </w:tcPr>
          <w:p w14:paraId="5C8D992A">
            <w:pPr>
              <w:rPr>
                <w:color w:val="auto"/>
              </w:rPr>
            </w:pPr>
          </w:p>
        </w:tc>
        <w:tc>
          <w:tcPr>
            <w:tcW w:w="2126" w:type="dxa"/>
            <w:tcBorders>
              <w:top w:val="single" w:color="auto" w:sz="8" w:space="0"/>
              <w:left w:val="nil"/>
              <w:bottom w:val="single" w:color="auto" w:sz="8" w:space="0"/>
              <w:right w:val="single" w:color="auto" w:sz="8" w:space="0"/>
            </w:tcBorders>
            <w:vAlign w:val="center"/>
          </w:tcPr>
          <w:p w14:paraId="33C08F46">
            <w:pPr>
              <w:rPr>
                <w:color w:val="auto"/>
              </w:rPr>
            </w:pPr>
          </w:p>
        </w:tc>
      </w:tr>
      <w:tr w14:paraId="2563063D">
        <w:tblPrEx>
          <w:tblCellMar>
            <w:top w:w="0" w:type="dxa"/>
            <w:left w:w="108" w:type="dxa"/>
            <w:bottom w:w="0" w:type="dxa"/>
            <w:right w:w="108" w:type="dxa"/>
          </w:tblCellMar>
        </w:tblPrEx>
        <w:trPr>
          <w:trHeight w:val="285" w:hRule="atLeast"/>
        </w:trPr>
        <w:tc>
          <w:tcPr>
            <w:tcW w:w="1277" w:type="dxa"/>
            <w:vMerge w:val="continue"/>
            <w:tcBorders>
              <w:left w:val="single" w:color="auto" w:sz="8" w:space="0"/>
              <w:right w:val="single" w:color="auto" w:sz="4" w:space="0"/>
            </w:tcBorders>
            <w:vAlign w:val="center"/>
          </w:tcPr>
          <w:p w14:paraId="5F3735A2">
            <w:pPr>
              <w:rPr>
                <w:color w:val="auto"/>
              </w:rPr>
            </w:pPr>
          </w:p>
        </w:tc>
        <w:tc>
          <w:tcPr>
            <w:tcW w:w="1134" w:type="dxa"/>
            <w:vMerge w:val="continue"/>
            <w:tcBorders>
              <w:left w:val="single" w:color="auto" w:sz="4" w:space="0"/>
              <w:right w:val="single" w:color="auto" w:sz="4" w:space="0"/>
            </w:tcBorders>
            <w:vAlign w:val="center"/>
          </w:tcPr>
          <w:p w14:paraId="3596F3DD">
            <w:pPr>
              <w:rPr>
                <w:color w:val="auto"/>
              </w:rPr>
            </w:pPr>
          </w:p>
        </w:tc>
        <w:tc>
          <w:tcPr>
            <w:tcW w:w="3544" w:type="dxa"/>
            <w:tcBorders>
              <w:top w:val="nil"/>
              <w:left w:val="nil"/>
              <w:bottom w:val="single" w:color="auto" w:sz="4" w:space="0"/>
              <w:right w:val="single" w:color="auto" w:sz="4" w:space="0"/>
            </w:tcBorders>
            <w:vAlign w:val="bottom"/>
          </w:tcPr>
          <w:p w14:paraId="3B0408BC">
            <w:pPr>
              <w:rPr>
                <w:color w:val="auto"/>
              </w:rPr>
            </w:pPr>
            <w:r>
              <w:rPr>
                <w:rFonts w:hint="eastAsia"/>
                <w:color w:val="auto"/>
              </w:rPr>
              <w:t>5、居室墙面整洁，不乱涂乱画乱贴；</w:t>
            </w:r>
          </w:p>
        </w:tc>
        <w:tc>
          <w:tcPr>
            <w:tcW w:w="1842" w:type="dxa"/>
            <w:tcBorders>
              <w:top w:val="nil"/>
              <w:left w:val="nil"/>
              <w:bottom w:val="single" w:color="auto" w:sz="4" w:space="0"/>
              <w:right w:val="single" w:color="auto" w:sz="8" w:space="0"/>
            </w:tcBorders>
            <w:vAlign w:val="center"/>
          </w:tcPr>
          <w:p w14:paraId="2EF0E6E1">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08B30820">
            <w:pPr>
              <w:rPr>
                <w:color w:val="auto"/>
              </w:rPr>
            </w:pPr>
          </w:p>
        </w:tc>
        <w:tc>
          <w:tcPr>
            <w:tcW w:w="2126" w:type="dxa"/>
            <w:tcBorders>
              <w:top w:val="single" w:color="auto" w:sz="8" w:space="0"/>
              <w:left w:val="nil"/>
              <w:bottom w:val="single" w:color="auto" w:sz="8" w:space="0"/>
              <w:right w:val="single" w:color="auto" w:sz="8" w:space="0"/>
            </w:tcBorders>
            <w:vAlign w:val="center"/>
          </w:tcPr>
          <w:p w14:paraId="79B3E774">
            <w:pPr>
              <w:rPr>
                <w:color w:val="auto"/>
              </w:rPr>
            </w:pPr>
          </w:p>
        </w:tc>
      </w:tr>
      <w:tr w14:paraId="6F3C44EC">
        <w:tblPrEx>
          <w:tblCellMar>
            <w:top w:w="0" w:type="dxa"/>
            <w:left w:w="108" w:type="dxa"/>
            <w:bottom w:w="0" w:type="dxa"/>
            <w:right w:w="108" w:type="dxa"/>
          </w:tblCellMar>
        </w:tblPrEx>
        <w:trPr>
          <w:trHeight w:val="300" w:hRule="atLeast"/>
        </w:trPr>
        <w:tc>
          <w:tcPr>
            <w:tcW w:w="1277" w:type="dxa"/>
            <w:vMerge w:val="continue"/>
            <w:tcBorders>
              <w:left w:val="single" w:color="auto" w:sz="8" w:space="0"/>
              <w:right w:val="single" w:color="auto" w:sz="4" w:space="0"/>
            </w:tcBorders>
            <w:vAlign w:val="center"/>
          </w:tcPr>
          <w:p w14:paraId="7728A969">
            <w:pPr>
              <w:rPr>
                <w:color w:val="auto"/>
              </w:rPr>
            </w:pPr>
          </w:p>
        </w:tc>
        <w:tc>
          <w:tcPr>
            <w:tcW w:w="1134" w:type="dxa"/>
            <w:vMerge w:val="continue"/>
            <w:tcBorders>
              <w:left w:val="single" w:color="auto" w:sz="4" w:space="0"/>
              <w:right w:val="single" w:color="auto" w:sz="4" w:space="0"/>
            </w:tcBorders>
            <w:vAlign w:val="center"/>
          </w:tcPr>
          <w:p w14:paraId="6CD08977">
            <w:pPr>
              <w:rPr>
                <w:color w:val="auto"/>
              </w:rPr>
            </w:pPr>
          </w:p>
        </w:tc>
        <w:tc>
          <w:tcPr>
            <w:tcW w:w="3544" w:type="dxa"/>
            <w:tcBorders>
              <w:top w:val="nil"/>
              <w:left w:val="nil"/>
              <w:bottom w:val="single" w:color="auto" w:sz="8" w:space="0"/>
              <w:right w:val="single" w:color="auto" w:sz="4" w:space="0"/>
            </w:tcBorders>
            <w:vAlign w:val="bottom"/>
          </w:tcPr>
          <w:p w14:paraId="1B4A9482">
            <w:pPr>
              <w:rPr>
                <w:color w:val="auto"/>
              </w:rPr>
            </w:pPr>
            <w:r>
              <w:rPr>
                <w:rFonts w:hint="eastAsia"/>
                <w:color w:val="auto"/>
              </w:rPr>
              <w:t>6、照明灯灯泡无损坏，公共物品无损坏；</w:t>
            </w:r>
          </w:p>
        </w:tc>
        <w:tc>
          <w:tcPr>
            <w:tcW w:w="1842" w:type="dxa"/>
            <w:tcBorders>
              <w:top w:val="nil"/>
              <w:left w:val="nil"/>
              <w:bottom w:val="single" w:color="auto" w:sz="8" w:space="0"/>
              <w:right w:val="single" w:color="auto" w:sz="8" w:space="0"/>
            </w:tcBorders>
            <w:vAlign w:val="center"/>
          </w:tcPr>
          <w:p w14:paraId="2AC4BC99">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B95EE73">
            <w:pPr>
              <w:rPr>
                <w:color w:val="auto"/>
              </w:rPr>
            </w:pPr>
          </w:p>
        </w:tc>
        <w:tc>
          <w:tcPr>
            <w:tcW w:w="2126" w:type="dxa"/>
            <w:tcBorders>
              <w:top w:val="single" w:color="auto" w:sz="8" w:space="0"/>
              <w:left w:val="nil"/>
              <w:bottom w:val="single" w:color="auto" w:sz="8" w:space="0"/>
              <w:right w:val="single" w:color="auto" w:sz="8" w:space="0"/>
            </w:tcBorders>
            <w:vAlign w:val="center"/>
          </w:tcPr>
          <w:p w14:paraId="251D1F16">
            <w:pPr>
              <w:rPr>
                <w:color w:val="auto"/>
              </w:rPr>
            </w:pPr>
          </w:p>
        </w:tc>
      </w:tr>
      <w:tr w14:paraId="45CD7BA0">
        <w:tblPrEx>
          <w:tblCellMar>
            <w:top w:w="0" w:type="dxa"/>
            <w:left w:w="108" w:type="dxa"/>
            <w:bottom w:w="0" w:type="dxa"/>
            <w:right w:w="108" w:type="dxa"/>
          </w:tblCellMar>
        </w:tblPrEx>
        <w:trPr>
          <w:trHeight w:val="300" w:hRule="atLeast"/>
        </w:trPr>
        <w:tc>
          <w:tcPr>
            <w:tcW w:w="1277" w:type="dxa"/>
            <w:vMerge w:val="continue"/>
            <w:tcBorders>
              <w:left w:val="single" w:color="auto" w:sz="8" w:space="0"/>
              <w:bottom w:val="single" w:color="000000" w:sz="8" w:space="0"/>
              <w:right w:val="single" w:color="auto" w:sz="4" w:space="0"/>
            </w:tcBorders>
            <w:vAlign w:val="center"/>
          </w:tcPr>
          <w:p w14:paraId="4FB99C44">
            <w:pPr>
              <w:rPr>
                <w:color w:val="auto"/>
              </w:rPr>
            </w:pPr>
          </w:p>
        </w:tc>
        <w:tc>
          <w:tcPr>
            <w:tcW w:w="1134" w:type="dxa"/>
            <w:vMerge w:val="continue"/>
            <w:tcBorders>
              <w:left w:val="single" w:color="auto" w:sz="4" w:space="0"/>
              <w:bottom w:val="single" w:color="000000" w:sz="8" w:space="0"/>
              <w:right w:val="single" w:color="auto" w:sz="4" w:space="0"/>
            </w:tcBorders>
            <w:vAlign w:val="center"/>
          </w:tcPr>
          <w:p w14:paraId="6EE5C527">
            <w:pPr>
              <w:rPr>
                <w:color w:val="auto"/>
              </w:rPr>
            </w:pPr>
          </w:p>
        </w:tc>
        <w:tc>
          <w:tcPr>
            <w:tcW w:w="3544" w:type="dxa"/>
            <w:tcBorders>
              <w:top w:val="nil"/>
              <w:left w:val="nil"/>
              <w:bottom w:val="single" w:color="auto" w:sz="8" w:space="0"/>
              <w:right w:val="single" w:color="auto" w:sz="4" w:space="0"/>
            </w:tcBorders>
            <w:vAlign w:val="bottom"/>
          </w:tcPr>
          <w:p w14:paraId="3CA8000A">
            <w:pPr>
              <w:rPr>
                <w:color w:val="auto"/>
              </w:rPr>
            </w:pPr>
            <w:r>
              <w:rPr>
                <w:rFonts w:hint="eastAsia"/>
                <w:color w:val="auto"/>
              </w:rPr>
              <w:t>7、抹布、拖把、扫帚等保洁工具分类标记（居室、厕所、办公室），整洁统一，悬挂固定，晾晒规范；</w:t>
            </w:r>
          </w:p>
        </w:tc>
        <w:tc>
          <w:tcPr>
            <w:tcW w:w="1842" w:type="dxa"/>
            <w:tcBorders>
              <w:top w:val="nil"/>
              <w:left w:val="nil"/>
              <w:bottom w:val="single" w:color="auto" w:sz="8" w:space="0"/>
              <w:right w:val="single" w:color="auto" w:sz="8" w:space="0"/>
            </w:tcBorders>
            <w:vAlign w:val="center"/>
          </w:tcPr>
          <w:p w14:paraId="6CF80165">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48B34495">
            <w:pPr>
              <w:rPr>
                <w:color w:val="auto"/>
              </w:rPr>
            </w:pPr>
          </w:p>
        </w:tc>
        <w:tc>
          <w:tcPr>
            <w:tcW w:w="2126" w:type="dxa"/>
            <w:tcBorders>
              <w:top w:val="single" w:color="auto" w:sz="8" w:space="0"/>
              <w:left w:val="nil"/>
              <w:bottom w:val="single" w:color="auto" w:sz="8" w:space="0"/>
              <w:right w:val="single" w:color="auto" w:sz="8" w:space="0"/>
            </w:tcBorders>
            <w:vAlign w:val="center"/>
          </w:tcPr>
          <w:p w14:paraId="5168101C">
            <w:pPr>
              <w:rPr>
                <w:color w:val="auto"/>
              </w:rPr>
            </w:pPr>
          </w:p>
        </w:tc>
      </w:tr>
      <w:tr w14:paraId="172C13FC">
        <w:tblPrEx>
          <w:tblCellMar>
            <w:top w:w="0" w:type="dxa"/>
            <w:left w:w="108" w:type="dxa"/>
            <w:bottom w:w="0" w:type="dxa"/>
            <w:right w:w="108" w:type="dxa"/>
          </w:tblCellMar>
        </w:tblPrEx>
        <w:trPr>
          <w:trHeight w:val="450" w:hRule="atLeast"/>
        </w:trPr>
        <w:tc>
          <w:tcPr>
            <w:tcW w:w="1277" w:type="dxa"/>
            <w:vMerge w:val="restart"/>
            <w:tcBorders>
              <w:top w:val="nil"/>
              <w:left w:val="single" w:color="auto" w:sz="8" w:space="0"/>
              <w:right w:val="single" w:color="auto" w:sz="4" w:space="0"/>
            </w:tcBorders>
            <w:vAlign w:val="center"/>
          </w:tcPr>
          <w:p w14:paraId="01F24355">
            <w:pPr>
              <w:rPr>
                <w:color w:val="auto"/>
              </w:rPr>
            </w:pPr>
            <w:r>
              <w:rPr>
                <w:rFonts w:hint="eastAsia"/>
                <w:color w:val="auto"/>
              </w:rPr>
              <w:t>护理员管理（100分）</w:t>
            </w:r>
          </w:p>
        </w:tc>
        <w:tc>
          <w:tcPr>
            <w:tcW w:w="1134" w:type="dxa"/>
            <w:vMerge w:val="restart"/>
            <w:tcBorders>
              <w:top w:val="nil"/>
              <w:left w:val="single" w:color="auto" w:sz="4" w:space="0"/>
              <w:right w:val="single" w:color="auto" w:sz="4" w:space="0"/>
            </w:tcBorders>
            <w:vAlign w:val="center"/>
          </w:tcPr>
          <w:p w14:paraId="05886812">
            <w:pPr>
              <w:rPr>
                <w:color w:val="auto"/>
              </w:rPr>
            </w:pPr>
            <w:r>
              <w:rPr>
                <w:rFonts w:hint="eastAsia"/>
                <w:color w:val="auto"/>
              </w:rPr>
              <w:t>实地考核</w:t>
            </w:r>
          </w:p>
        </w:tc>
        <w:tc>
          <w:tcPr>
            <w:tcW w:w="3544" w:type="dxa"/>
            <w:tcBorders>
              <w:top w:val="nil"/>
              <w:left w:val="nil"/>
              <w:bottom w:val="single" w:color="auto" w:sz="4" w:space="0"/>
              <w:right w:val="single" w:color="auto" w:sz="4" w:space="0"/>
            </w:tcBorders>
            <w:vAlign w:val="bottom"/>
          </w:tcPr>
          <w:p w14:paraId="02B10EBF">
            <w:pPr>
              <w:rPr>
                <w:color w:val="auto"/>
              </w:rPr>
            </w:pPr>
            <w:r>
              <w:rPr>
                <w:rFonts w:hint="eastAsia"/>
                <w:color w:val="auto"/>
              </w:rPr>
              <w:t>1、仪表、着装符合要求（不穿高跟鞋、不穿私服、不配戴戒指等尖锐首饰以免伤到托养人员、其他首饰若有意外损坏不予赔偿，不留长指甲）；</w:t>
            </w:r>
          </w:p>
        </w:tc>
        <w:tc>
          <w:tcPr>
            <w:tcW w:w="1842" w:type="dxa"/>
            <w:tcBorders>
              <w:top w:val="nil"/>
              <w:left w:val="nil"/>
              <w:bottom w:val="single" w:color="auto" w:sz="4" w:space="0"/>
              <w:right w:val="single" w:color="auto" w:sz="8" w:space="0"/>
            </w:tcBorders>
            <w:vAlign w:val="center"/>
          </w:tcPr>
          <w:p w14:paraId="5023930C">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496643B0">
            <w:pPr>
              <w:rPr>
                <w:color w:val="auto"/>
              </w:rPr>
            </w:pPr>
          </w:p>
        </w:tc>
        <w:tc>
          <w:tcPr>
            <w:tcW w:w="2126" w:type="dxa"/>
            <w:tcBorders>
              <w:top w:val="single" w:color="auto" w:sz="8" w:space="0"/>
              <w:left w:val="nil"/>
              <w:bottom w:val="single" w:color="auto" w:sz="8" w:space="0"/>
              <w:right w:val="single" w:color="auto" w:sz="8" w:space="0"/>
            </w:tcBorders>
            <w:vAlign w:val="center"/>
          </w:tcPr>
          <w:p w14:paraId="699B62AA">
            <w:pPr>
              <w:rPr>
                <w:color w:val="auto"/>
              </w:rPr>
            </w:pPr>
          </w:p>
        </w:tc>
      </w:tr>
      <w:tr w14:paraId="3860BE75">
        <w:tblPrEx>
          <w:tblCellMar>
            <w:top w:w="0" w:type="dxa"/>
            <w:left w:w="108" w:type="dxa"/>
            <w:bottom w:w="0" w:type="dxa"/>
            <w:right w:w="108" w:type="dxa"/>
          </w:tblCellMar>
        </w:tblPrEx>
        <w:trPr>
          <w:trHeight w:val="675" w:hRule="atLeast"/>
        </w:trPr>
        <w:tc>
          <w:tcPr>
            <w:tcW w:w="1277" w:type="dxa"/>
            <w:vMerge w:val="continue"/>
            <w:tcBorders>
              <w:left w:val="single" w:color="auto" w:sz="8" w:space="0"/>
              <w:right w:val="single" w:color="auto" w:sz="4" w:space="0"/>
            </w:tcBorders>
            <w:vAlign w:val="center"/>
          </w:tcPr>
          <w:p w14:paraId="3F924692">
            <w:pPr>
              <w:rPr>
                <w:color w:val="auto"/>
              </w:rPr>
            </w:pPr>
          </w:p>
        </w:tc>
        <w:tc>
          <w:tcPr>
            <w:tcW w:w="1134" w:type="dxa"/>
            <w:vMerge w:val="continue"/>
            <w:tcBorders>
              <w:left w:val="single" w:color="auto" w:sz="4" w:space="0"/>
              <w:right w:val="single" w:color="auto" w:sz="4" w:space="0"/>
            </w:tcBorders>
            <w:vAlign w:val="center"/>
          </w:tcPr>
          <w:p w14:paraId="001BC3F2">
            <w:pPr>
              <w:rPr>
                <w:color w:val="auto"/>
              </w:rPr>
            </w:pPr>
          </w:p>
        </w:tc>
        <w:tc>
          <w:tcPr>
            <w:tcW w:w="3544" w:type="dxa"/>
            <w:tcBorders>
              <w:top w:val="nil"/>
              <w:left w:val="nil"/>
              <w:bottom w:val="single" w:color="auto" w:sz="4" w:space="0"/>
              <w:right w:val="single" w:color="auto" w:sz="4" w:space="0"/>
            </w:tcBorders>
            <w:vAlign w:val="bottom"/>
          </w:tcPr>
          <w:p w14:paraId="40F61C25">
            <w:pPr>
              <w:rPr>
                <w:color w:val="auto"/>
              </w:rPr>
            </w:pPr>
            <w:r>
              <w:rPr>
                <w:rFonts w:hint="eastAsia"/>
                <w:color w:val="auto"/>
              </w:rPr>
              <w:t>2、微笑、挂牌服务；文明用语，平等对待残疾人，关心爱护尊重残疾人，严禁辱骂殴打残疾人；</w:t>
            </w:r>
          </w:p>
        </w:tc>
        <w:tc>
          <w:tcPr>
            <w:tcW w:w="1842" w:type="dxa"/>
            <w:tcBorders>
              <w:top w:val="nil"/>
              <w:left w:val="nil"/>
              <w:bottom w:val="single" w:color="auto" w:sz="4" w:space="0"/>
              <w:right w:val="single" w:color="auto" w:sz="8" w:space="0"/>
            </w:tcBorders>
            <w:vAlign w:val="center"/>
          </w:tcPr>
          <w:p w14:paraId="60649799">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7705A9A2">
            <w:pPr>
              <w:rPr>
                <w:color w:val="auto"/>
              </w:rPr>
            </w:pPr>
          </w:p>
        </w:tc>
        <w:tc>
          <w:tcPr>
            <w:tcW w:w="2126" w:type="dxa"/>
            <w:tcBorders>
              <w:top w:val="single" w:color="auto" w:sz="8" w:space="0"/>
              <w:left w:val="nil"/>
              <w:bottom w:val="single" w:color="auto" w:sz="8" w:space="0"/>
              <w:right w:val="single" w:color="auto" w:sz="8" w:space="0"/>
            </w:tcBorders>
            <w:vAlign w:val="center"/>
          </w:tcPr>
          <w:p w14:paraId="55EFF4B6">
            <w:pPr>
              <w:rPr>
                <w:color w:val="auto"/>
              </w:rPr>
            </w:pPr>
          </w:p>
        </w:tc>
      </w:tr>
      <w:tr w14:paraId="5D157EEC">
        <w:tblPrEx>
          <w:tblCellMar>
            <w:top w:w="0" w:type="dxa"/>
            <w:left w:w="108" w:type="dxa"/>
            <w:bottom w:w="0" w:type="dxa"/>
            <w:right w:w="108" w:type="dxa"/>
          </w:tblCellMar>
        </w:tblPrEx>
        <w:trPr>
          <w:trHeight w:val="690" w:hRule="atLeast"/>
        </w:trPr>
        <w:tc>
          <w:tcPr>
            <w:tcW w:w="1277" w:type="dxa"/>
            <w:vMerge w:val="continue"/>
            <w:tcBorders>
              <w:left w:val="single" w:color="auto" w:sz="8" w:space="0"/>
              <w:right w:val="single" w:color="auto" w:sz="4" w:space="0"/>
            </w:tcBorders>
            <w:vAlign w:val="center"/>
          </w:tcPr>
          <w:p w14:paraId="7A41704E">
            <w:pPr>
              <w:rPr>
                <w:color w:val="auto"/>
              </w:rPr>
            </w:pPr>
          </w:p>
        </w:tc>
        <w:tc>
          <w:tcPr>
            <w:tcW w:w="1134" w:type="dxa"/>
            <w:vMerge w:val="continue"/>
            <w:tcBorders>
              <w:left w:val="single" w:color="auto" w:sz="4" w:space="0"/>
              <w:right w:val="single" w:color="auto" w:sz="4" w:space="0"/>
            </w:tcBorders>
            <w:vAlign w:val="center"/>
          </w:tcPr>
          <w:p w14:paraId="26A6D796">
            <w:pPr>
              <w:rPr>
                <w:color w:val="auto"/>
              </w:rPr>
            </w:pPr>
          </w:p>
        </w:tc>
        <w:tc>
          <w:tcPr>
            <w:tcW w:w="3544" w:type="dxa"/>
            <w:tcBorders>
              <w:top w:val="nil"/>
              <w:left w:val="nil"/>
              <w:bottom w:val="single" w:color="auto" w:sz="8" w:space="0"/>
              <w:right w:val="single" w:color="auto" w:sz="4" w:space="0"/>
            </w:tcBorders>
            <w:vAlign w:val="bottom"/>
          </w:tcPr>
          <w:p w14:paraId="6E3CA8BD">
            <w:pPr>
              <w:rPr>
                <w:color w:val="auto"/>
              </w:rPr>
            </w:pPr>
            <w:r>
              <w:rPr>
                <w:rFonts w:hint="eastAsia"/>
                <w:color w:val="auto"/>
              </w:rPr>
              <w:t>3、准时上岗，不干私活，不擅自离岗，不聚堆聊天，不在吸烟区外聚堆吸烟，不长时间打私人电话，不玩手机，不高声谈笑，不提早下班，不在托养区内洗澡，不把私人物品放在残疾人房间，不拿残疾人财物，不吃残疾人食物，认真清点残疾人人数并做好相关记录。</w:t>
            </w:r>
          </w:p>
        </w:tc>
        <w:tc>
          <w:tcPr>
            <w:tcW w:w="1842" w:type="dxa"/>
            <w:tcBorders>
              <w:top w:val="nil"/>
              <w:left w:val="nil"/>
              <w:bottom w:val="single" w:color="auto" w:sz="8" w:space="0"/>
              <w:right w:val="single" w:color="auto" w:sz="8" w:space="0"/>
            </w:tcBorders>
            <w:vAlign w:val="center"/>
          </w:tcPr>
          <w:p w14:paraId="026A18C2">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3982A136">
            <w:pPr>
              <w:rPr>
                <w:color w:val="auto"/>
              </w:rPr>
            </w:pPr>
          </w:p>
        </w:tc>
        <w:tc>
          <w:tcPr>
            <w:tcW w:w="2126" w:type="dxa"/>
            <w:tcBorders>
              <w:top w:val="single" w:color="auto" w:sz="8" w:space="0"/>
              <w:left w:val="nil"/>
              <w:bottom w:val="single" w:color="auto" w:sz="8" w:space="0"/>
              <w:right w:val="single" w:color="auto" w:sz="8" w:space="0"/>
            </w:tcBorders>
            <w:vAlign w:val="center"/>
          </w:tcPr>
          <w:p w14:paraId="5338F55D">
            <w:pPr>
              <w:rPr>
                <w:color w:val="auto"/>
              </w:rPr>
            </w:pPr>
          </w:p>
        </w:tc>
      </w:tr>
      <w:tr w14:paraId="4CB33D89">
        <w:tblPrEx>
          <w:tblCellMar>
            <w:top w:w="0" w:type="dxa"/>
            <w:left w:w="108" w:type="dxa"/>
            <w:bottom w:w="0" w:type="dxa"/>
            <w:right w:w="108" w:type="dxa"/>
          </w:tblCellMar>
        </w:tblPrEx>
        <w:trPr>
          <w:trHeight w:val="690" w:hRule="atLeast"/>
        </w:trPr>
        <w:tc>
          <w:tcPr>
            <w:tcW w:w="1277" w:type="dxa"/>
            <w:vMerge w:val="continue"/>
            <w:tcBorders>
              <w:left w:val="single" w:color="auto" w:sz="8" w:space="0"/>
              <w:right w:val="single" w:color="auto" w:sz="4" w:space="0"/>
            </w:tcBorders>
            <w:vAlign w:val="center"/>
          </w:tcPr>
          <w:p w14:paraId="7D740528">
            <w:pPr>
              <w:rPr>
                <w:color w:val="auto"/>
              </w:rPr>
            </w:pPr>
          </w:p>
        </w:tc>
        <w:tc>
          <w:tcPr>
            <w:tcW w:w="1134" w:type="dxa"/>
            <w:vMerge w:val="continue"/>
            <w:tcBorders>
              <w:left w:val="single" w:color="auto" w:sz="4" w:space="0"/>
              <w:right w:val="single" w:color="auto" w:sz="4" w:space="0"/>
            </w:tcBorders>
            <w:vAlign w:val="center"/>
          </w:tcPr>
          <w:p w14:paraId="04243904">
            <w:pPr>
              <w:rPr>
                <w:color w:val="auto"/>
              </w:rPr>
            </w:pPr>
          </w:p>
        </w:tc>
        <w:tc>
          <w:tcPr>
            <w:tcW w:w="3544" w:type="dxa"/>
            <w:tcBorders>
              <w:top w:val="single" w:color="auto" w:sz="8" w:space="0"/>
              <w:left w:val="nil"/>
              <w:bottom w:val="single" w:color="auto" w:sz="8" w:space="0"/>
              <w:right w:val="single" w:color="auto" w:sz="4" w:space="0"/>
            </w:tcBorders>
            <w:vAlign w:val="bottom"/>
          </w:tcPr>
          <w:p w14:paraId="18AEE00C">
            <w:pPr>
              <w:rPr>
                <w:color w:val="auto"/>
              </w:rPr>
            </w:pPr>
            <w:r>
              <w:rPr>
                <w:rFonts w:hint="eastAsia"/>
                <w:color w:val="auto"/>
              </w:rPr>
              <w:t>4、上班时做到四轻（说话轻、走路轻、操作轻、开关门窗轻），上班时间不得私自外出办私事；</w:t>
            </w:r>
          </w:p>
        </w:tc>
        <w:tc>
          <w:tcPr>
            <w:tcW w:w="1842" w:type="dxa"/>
            <w:tcBorders>
              <w:top w:val="single" w:color="auto" w:sz="8" w:space="0"/>
              <w:left w:val="nil"/>
              <w:bottom w:val="single" w:color="auto" w:sz="8" w:space="0"/>
              <w:right w:val="single" w:color="auto" w:sz="8" w:space="0"/>
            </w:tcBorders>
            <w:vAlign w:val="center"/>
          </w:tcPr>
          <w:p w14:paraId="2EF37C92">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EAF4FA3">
            <w:pPr>
              <w:rPr>
                <w:color w:val="auto"/>
              </w:rPr>
            </w:pPr>
          </w:p>
        </w:tc>
        <w:tc>
          <w:tcPr>
            <w:tcW w:w="2126" w:type="dxa"/>
            <w:tcBorders>
              <w:top w:val="single" w:color="auto" w:sz="8" w:space="0"/>
              <w:left w:val="nil"/>
              <w:bottom w:val="single" w:color="auto" w:sz="8" w:space="0"/>
              <w:right w:val="single" w:color="auto" w:sz="8" w:space="0"/>
            </w:tcBorders>
            <w:vAlign w:val="center"/>
          </w:tcPr>
          <w:p w14:paraId="461B4A4C">
            <w:pPr>
              <w:rPr>
                <w:color w:val="auto"/>
              </w:rPr>
            </w:pPr>
          </w:p>
        </w:tc>
      </w:tr>
      <w:tr w14:paraId="61811933">
        <w:tblPrEx>
          <w:tblCellMar>
            <w:top w:w="0" w:type="dxa"/>
            <w:left w:w="108" w:type="dxa"/>
            <w:bottom w:w="0" w:type="dxa"/>
            <w:right w:w="108" w:type="dxa"/>
          </w:tblCellMar>
        </w:tblPrEx>
        <w:trPr>
          <w:trHeight w:val="690" w:hRule="atLeast"/>
        </w:trPr>
        <w:tc>
          <w:tcPr>
            <w:tcW w:w="1277" w:type="dxa"/>
            <w:vMerge w:val="continue"/>
            <w:tcBorders>
              <w:left w:val="single" w:color="auto" w:sz="8" w:space="0"/>
              <w:right w:val="single" w:color="auto" w:sz="4" w:space="0"/>
            </w:tcBorders>
            <w:vAlign w:val="center"/>
          </w:tcPr>
          <w:p w14:paraId="4331B47B">
            <w:pPr>
              <w:rPr>
                <w:color w:val="auto"/>
              </w:rPr>
            </w:pPr>
          </w:p>
        </w:tc>
        <w:tc>
          <w:tcPr>
            <w:tcW w:w="1134" w:type="dxa"/>
            <w:vMerge w:val="continue"/>
            <w:tcBorders>
              <w:left w:val="single" w:color="auto" w:sz="4" w:space="0"/>
              <w:right w:val="single" w:color="auto" w:sz="4" w:space="0"/>
            </w:tcBorders>
            <w:vAlign w:val="center"/>
          </w:tcPr>
          <w:p w14:paraId="5303D7C4">
            <w:pPr>
              <w:rPr>
                <w:color w:val="auto"/>
              </w:rPr>
            </w:pPr>
          </w:p>
        </w:tc>
        <w:tc>
          <w:tcPr>
            <w:tcW w:w="3544" w:type="dxa"/>
            <w:tcBorders>
              <w:top w:val="single" w:color="auto" w:sz="8" w:space="0"/>
              <w:left w:val="nil"/>
              <w:bottom w:val="single" w:color="auto" w:sz="8" w:space="0"/>
              <w:right w:val="single" w:color="auto" w:sz="4" w:space="0"/>
            </w:tcBorders>
          </w:tcPr>
          <w:p w14:paraId="298EC37C">
            <w:pPr>
              <w:rPr>
                <w:color w:val="auto"/>
              </w:rPr>
            </w:pPr>
            <w:r>
              <w:rPr>
                <w:rFonts w:hint="eastAsia"/>
                <w:color w:val="auto"/>
              </w:rPr>
              <w:t>5、护理文书根据实际情况按规定时间、格式、内容书写，用语恰当准确，书写必须客观、真实、正确、及时、完整，不得出现漏记、造假、未按要求书写等情况。</w:t>
            </w:r>
          </w:p>
        </w:tc>
        <w:tc>
          <w:tcPr>
            <w:tcW w:w="1842" w:type="dxa"/>
            <w:tcBorders>
              <w:top w:val="single" w:color="auto" w:sz="8" w:space="0"/>
              <w:left w:val="nil"/>
              <w:bottom w:val="single" w:color="auto" w:sz="8" w:space="0"/>
              <w:right w:val="single" w:color="auto" w:sz="8" w:space="0"/>
            </w:tcBorders>
            <w:vAlign w:val="center"/>
          </w:tcPr>
          <w:p w14:paraId="06EC01D2">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337E6023">
            <w:pPr>
              <w:rPr>
                <w:color w:val="auto"/>
              </w:rPr>
            </w:pPr>
          </w:p>
        </w:tc>
        <w:tc>
          <w:tcPr>
            <w:tcW w:w="2126" w:type="dxa"/>
            <w:tcBorders>
              <w:top w:val="single" w:color="auto" w:sz="8" w:space="0"/>
              <w:left w:val="nil"/>
              <w:bottom w:val="single" w:color="auto" w:sz="8" w:space="0"/>
              <w:right w:val="single" w:color="auto" w:sz="8" w:space="0"/>
            </w:tcBorders>
            <w:vAlign w:val="center"/>
          </w:tcPr>
          <w:p w14:paraId="68AA7203">
            <w:pPr>
              <w:rPr>
                <w:color w:val="auto"/>
              </w:rPr>
            </w:pPr>
          </w:p>
        </w:tc>
      </w:tr>
      <w:tr w14:paraId="47AA248E">
        <w:tblPrEx>
          <w:tblCellMar>
            <w:top w:w="0" w:type="dxa"/>
            <w:left w:w="108" w:type="dxa"/>
            <w:bottom w:w="0" w:type="dxa"/>
            <w:right w:w="108" w:type="dxa"/>
          </w:tblCellMar>
        </w:tblPrEx>
        <w:trPr>
          <w:trHeight w:val="690" w:hRule="atLeast"/>
        </w:trPr>
        <w:tc>
          <w:tcPr>
            <w:tcW w:w="1277" w:type="dxa"/>
            <w:vMerge w:val="continue"/>
            <w:tcBorders>
              <w:left w:val="single" w:color="auto" w:sz="8" w:space="0"/>
              <w:right w:val="single" w:color="auto" w:sz="4" w:space="0"/>
            </w:tcBorders>
            <w:vAlign w:val="center"/>
          </w:tcPr>
          <w:p w14:paraId="2F41E0F4">
            <w:pPr>
              <w:rPr>
                <w:color w:val="auto"/>
              </w:rPr>
            </w:pPr>
          </w:p>
        </w:tc>
        <w:tc>
          <w:tcPr>
            <w:tcW w:w="1134" w:type="dxa"/>
            <w:vMerge w:val="continue"/>
            <w:tcBorders>
              <w:left w:val="single" w:color="auto" w:sz="4" w:space="0"/>
              <w:right w:val="single" w:color="auto" w:sz="4" w:space="0"/>
            </w:tcBorders>
            <w:vAlign w:val="center"/>
          </w:tcPr>
          <w:p w14:paraId="7FB5461E">
            <w:pPr>
              <w:rPr>
                <w:color w:val="auto"/>
              </w:rPr>
            </w:pPr>
          </w:p>
        </w:tc>
        <w:tc>
          <w:tcPr>
            <w:tcW w:w="3544" w:type="dxa"/>
            <w:tcBorders>
              <w:top w:val="single" w:color="auto" w:sz="8" w:space="0"/>
              <w:left w:val="nil"/>
              <w:bottom w:val="single" w:color="auto" w:sz="8" w:space="0"/>
              <w:right w:val="single" w:color="auto" w:sz="4" w:space="0"/>
            </w:tcBorders>
          </w:tcPr>
          <w:p w14:paraId="3387DD39">
            <w:pPr>
              <w:rPr>
                <w:color w:val="auto"/>
              </w:rPr>
            </w:pPr>
            <w:r>
              <w:rPr>
                <w:rFonts w:hint="eastAsia"/>
                <w:color w:val="auto"/>
              </w:rPr>
              <w:t>6、书写规定内容：心理精神状态、生活自理程度、睡眠情况、大小便情况、身体状况、向下一班交代的注意事项及其它事项；</w:t>
            </w:r>
          </w:p>
        </w:tc>
        <w:tc>
          <w:tcPr>
            <w:tcW w:w="1842" w:type="dxa"/>
            <w:tcBorders>
              <w:top w:val="single" w:color="auto" w:sz="8" w:space="0"/>
              <w:left w:val="nil"/>
              <w:bottom w:val="single" w:color="auto" w:sz="8" w:space="0"/>
              <w:right w:val="single" w:color="auto" w:sz="8" w:space="0"/>
            </w:tcBorders>
            <w:vAlign w:val="center"/>
          </w:tcPr>
          <w:p w14:paraId="75F09464">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661B1BC2">
            <w:pPr>
              <w:rPr>
                <w:color w:val="auto"/>
              </w:rPr>
            </w:pPr>
          </w:p>
        </w:tc>
        <w:tc>
          <w:tcPr>
            <w:tcW w:w="2126" w:type="dxa"/>
            <w:tcBorders>
              <w:top w:val="single" w:color="auto" w:sz="8" w:space="0"/>
              <w:left w:val="nil"/>
              <w:bottom w:val="single" w:color="auto" w:sz="8" w:space="0"/>
              <w:right w:val="single" w:color="auto" w:sz="8" w:space="0"/>
            </w:tcBorders>
            <w:vAlign w:val="center"/>
          </w:tcPr>
          <w:p w14:paraId="73C7A72F">
            <w:pPr>
              <w:rPr>
                <w:color w:val="auto"/>
              </w:rPr>
            </w:pPr>
          </w:p>
        </w:tc>
      </w:tr>
      <w:tr w14:paraId="1BF6F26E">
        <w:tblPrEx>
          <w:tblCellMar>
            <w:top w:w="0" w:type="dxa"/>
            <w:left w:w="108" w:type="dxa"/>
            <w:bottom w:w="0" w:type="dxa"/>
            <w:right w:w="108" w:type="dxa"/>
          </w:tblCellMar>
        </w:tblPrEx>
        <w:trPr>
          <w:trHeight w:val="690" w:hRule="atLeast"/>
        </w:trPr>
        <w:tc>
          <w:tcPr>
            <w:tcW w:w="1277" w:type="dxa"/>
            <w:vMerge w:val="continue"/>
            <w:tcBorders>
              <w:left w:val="single" w:color="auto" w:sz="8" w:space="0"/>
              <w:right w:val="single" w:color="auto" w:sz="4" w:space="0"/>
            </w:tcBorders>
            <w:vAlign w:val="center"/>
          </w:tcPr>
          <w:p w14:paraId="6E607F12">
            <w:pPr>
              <w:rPr>
                <w:color w:val="auto"/>
              </w:rPr>
            </w:pPr>
          </w:p>
        </w:tc>
        <w:tc>
          <w:tcPr>
            <w:tcW w:w="1134" w:type="dxa"/>
            <w:vMerge w:val="continue"/>
            <w:tcBorders>
              <w:left w:val="single" w:color="auto" w:sz="4" w:space="0"/>
              <w:right w:val="single" w:color="auto" w:sz="4" w:space="0"/>
            </w:tcBorders>
            <w:vAlign w:val="center"/>
          </w:tcPr>
          <w:p w14:paraId="0DC808CB">
            <w:pPr>
              <w:rPr>
                <w:color w:val="auto"/>
              </w:rPr>
            </w:pPr>
          </w:p>
        </w:tc>
        <w:tc>
          <w:tcPr>
            <w:tcW w:w="3544" w:type="dxa"/>
            <w:tcBorders>
              <w:top w:val="single" w:color="auto" w:sz="8" w:space="0"/>
              <w:left w:val="nil"/>
              <w:bottom w:val="single" w:color="auto" w:sz="8" w:space="0"/>
              <w:right w:val="single" w:color="auto" w:sz="4" w:space="0"/>
            </w:tcBorders>
          </w:tcPr>
          <w:p w14:paraId="79DCF149">
            <w:pPr>
              <w:rPr>
                <w:color w:val="auto"/>
              </w:rPr>
            </w:pPr>
            <w:r>
              <w:rPr>
                <w:rFonts w:hint="eastAsia"/>
                <w:color w:val="auto"/>
              </w:rPr>
              <w:t>7、护理台不放私人物品，物品放置统一规范，保持整洁干净，护理员值班室保持清洁有序，护理员家属不得留宿；</w:t>
            </w:r>
          </w:p>
        </w:tc>
        <w:tc>
          <w:tcPr>
            <w:tcW w:w="1842" w:type="dxa"/>
            <w:tcBorders>
              <w:top w:val="single" w:color="auto" w:sz="8" w:space="0"/>
              <w:left w:val="nil"/>
              <w:bottom w:val="single" w:color="auto" w:sz="8" w:space="0"/>
              <w:right w:val="single" w:color="auto" w:sz="8" w:space="0"/>
            </w:tcBorders>
            <w:vAlign w:val="center"/>
          </w:tcPr>
          <w:p w14:paraId="47F14C9D">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7B825C91">
            <w:pPr>
              <w:rPr>
                <w:color w:val="auto"/>
              </w:rPr>
            </w:pPr>
          </w:p>
        </w:tc>
        <w:tc>
          <w:tcPr>
            <w:tcW w:w="2126" w:type="dxa"/>
            <w:tcBorders>
              <w:top w:val="single" w:color="auto" w:sz="8" w:space="0"/>
              <w:left w:val="nil"/>
              <w:bottom w:val="single" w:color="auto" w:sz="8" w:space="0"/>
              <w:right w:val="single" w:color="auto" w:sz="8" w:space="0"/>
            </w:tcBorders>
            <w:vAlign w:val="center"/>
          </w:tcPr>
          <w:p w14:paraId="3A1CC649">
            <w:pPr>
              <w:rPr>
                <w:color w:val="auto"/>
              </w:rPr>
            </w:pPr>
          </w:p>
        </w:tc>
      </w:tr>
      <w:tr w14:paraId="0594F7B2">
        <w:tblPrEx>
          <w:tblCellMar>
            <w:top w:w="0" w:type="dxa"/>
            <w:left w:w="108" w:type="dxa"/>
            <w:bottom w:w="0" w:type="dxa"/>
            <w:right w:w="108" w:type="dxa"/>
          </w:tblCellMar>
        </w:tblPrEx>
        <w:trPr>
          <w:trHeight w:val="339" w:hRule="atLeast"/>
        </w:trPr>
        <w:tc>
          <w:tcPr>
            <w:tcW w:w="1277" w:type="dxa"/>
            <w:vMerge w:val="continue"/>
            <w:tcBorders>
              <w:left w:val="single" w:color="auto" w:sz="8" w:space="0"/>
              <w:right w:val="single" w:color="auto" w:sz="4" w:space="0"/>
            </w:tcBorders>
            <w:vAlign w:val="center"/>
          </w:tcPr>
          <w:p w14:paraId="017C7B68">
            <w:pPr>
              <w:rPr>
                <w:color w:val="auto"/>
              </w:rPr>
            </w:pPr>
          </w:p>
        </w:tc>
        <w:tc>
          <w:tcPr>
            <w:tcW w:w="1134" w:type="dxa"/>
            <w:vMerge w:val="continue"/>
            <w:tcBorders>
              <w:left w:val="single" w:color="auto" w:sz="4" w:space="0"/>
              <w:right w:val="single" w:color="auto" w:sz="4" w:space="0"/>
            </w:tcBorders>
            <w:vAlign w:val="center"/>
          </w:tcPr>
          <w:p w14:paraId="4285E62F">
            <w:pPr>
              <w:rPr>
                <w:color w:val="auto"/>
              </w:rPr>
            </w:pPr>
          </w:p>
        </w:tc>
        <w:tc>
          <w:tcPr>
            <w:tcW w:w="3544" w:type="dxa"/>
            <w:tcBorders>
              <w:top w:val="nil"/>
              <w:left w:val="nil"/>
              <w:bottom w:val="single" w:color="auto" w:sz="8" w:space="0"/>
              <w:right w:val="single" w:color="auto" w:sz="4" w:space="0"/>
            </w:tcBorders>
          </w:tcPr>
          <w:p w14:paraId="6AF3DFE7">
            <w:pPr>
              <w:rPr>
                <w:color w:val="auto"/>
              </w:rPr>
            </w:pPr>
            <w:r>
              <w:rPr>
                <w:rFonts w:hint="eastAsia"/>
                <w:color w:val="auto"/>
              </w:rPr>
              <w:t>8、未经允许，不会客、留客；</w:t>
            </w:r>
          </w:p>
        </w:tc>
        <w:tc>
          <w:tcPr>
            <w:tcW w:w="1842" w:type="dxa"/>
            <w:tcBorders>
              <w:top w:val="nil"/>
              <w:left w:val="nil"/>
              <w:bottom w:val="single" w:color="auto" w:sz="8" w:space="0"/>
              <w:right w:val="single" w:color="auto" w:sz="8" w:space="0"/>
            </w:tcBorders>
            <w:vAlign w:val="center"/>
          </w:tcPr>
          <w:p w14:paraId="1B1ADE4D">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6AF4BB35">
            <w:pPr>
              <w:rPr>
                <w:color w:val="auto"/>
              </w:rPr>
            </w:pPr>
          </w:p>
        </w:tc>
        <w:tc>
          <w:tcPr>
            <w:tcW w:w="2126" w:type="dxa"/>
            <w:tcBorders>
              <w:top w:val="single" w:color="auto" w:sz="8" w:space="0"/>
              <w:left w:val="nil"/>
              <w:bottom w:val="single" w:color="auto" w:sz="8" w:space="0"/>
              <w:right w:val="single" w:color="auto" w:sz="8" w:space="0"/>
            </w:tcBorders>
            <w:vAlign w:val="center"/>
          </w:tcPr>
          <w:p w14:paraId="60D6F53A">
            <w:pPr>
              <w:rPr>
                <w:color w:val="auto"/>
              </w:rPr>
            </w:pPr>
          </w:p>
        </w:tc>
      </w:tr>
      <w:tr w14:paraId="41503FDB">
        <w:tblPrEx>
          <w:tblCellMar>
            <w:top w:w="0" w:type="dxa"/>
            <w:left w:w="108" w:type="dxa"/>
            <w:bottom w:w="0" w:type="dxa"/>
            <w:right w:w="108" w:type="dxa"/>
          </w:tblCellMar>
        </w:tblPrEx>
        <w:trPr>
          <w:trHeight w:val="339" w:hRule="atLeast"/>
        </w:trPr>
        <w:tc>
          <w:tcPr>
            <w:tcW w:w="1277" w:type="dxa"/>
            <w:vMerge w:val="continue"/>
            <w:tcBorders>
              <w:left w:val="single" w:color="auto" w:sz="8" w:space="0"/>
              <w:right w:val="single" w:color="auto" w:sz="4" w:space="0"/>
            </w:tcBorders>
            <w:vAlign w:val="center"/>
          </w:tcPr>
          <w:p w14:paraId="6ED2CBF6">
            <w:pPr>
              <w:rPr>
                <w:color w:val="auto"/>
              </w:rPr>
            </w:pPr>
          </w:p>
        </w:tc>
        <w:tc>
          <w:tcPr>
            <w:tcW w:w="1134" w:type="dxa"/>
            <w:vMerge w:val="continue"/>
            <w:tcBorders>
              <w:left w:val="single" w:color="auto" w:sz="4" w:space="0"/>
              <w:right w:val="single" w:color="auto" w:sz="4" w:space="0"/>
            </w:tcBorders>
            <w:vAlign w:val="center"/>
          </w:tcPr>
          <w:p w14:paraId="73F1739D">
            <w:pPr>
              <w:rPr>
                <w:color w:val="auto"/>
              </w:rPr>
            </w:pPr>
          </w:p>
        </w:tc>
        <w:tc>
          <w:tcPr>
            <w:tcW w:w="3544" w:type="dxa"/>
            <w:tcBorders>
              <w:top w:val="nil"/>
              <w:left w:val="nil"/>
              <w:bottom w:val="single" w:color="auto" w:sz="8" w:space="0"/>
              <w:right w:val="single" w:color="auto" w:sz="4" w:space="0"/>
            </w:tcBorders>
          </w:tcPr>
          <w:p w14:paraId="7C577C27">
            <w:pPr>
              <w:rPr>
                <w:color w:val="auto"/>
              </w:rPr>
            </w:pPr>
            <w:r>
              <w:rPr>
                <w:rFonts w:hint="eastAsia"/>
                <w:color w:val="auto"/>
              </w:rPr>
              <w:t>9、家属或托养人员反映对护理不满意，经查属实；</w:t>
            </w:r>
          </w:p>
        </w:tc>
        <w:tc>
          <w:tcPr>
            <w:tcW w:w="1842" w:type="dxa"/>
            <w:tcBorders>
              <w:top w:val="nil"/>
              <w:left w:val="nil"/>
              <w:bottom w:val="single" w:color="auto" w:sz="8" w:space="0"/>
              <w:right w:val="single" w:color="auto" w:sz="8" w:space="0"/>
            </w:tcBorders>
            <w:vAlign w:val="center"/>
          </w:tcPr>
          <w:p w14:paraId="14ED23E5">
            <w:pPr>
              <w:rPr>
                <w:color w:val="auto"/>
              </w:rPr>
            </w:pPr>
            <w:r>
              <w:rPr>
                <w:rFonts w:hint="eastAsia"/>
                <w:color w:val="auto"/>
              </w:rPr>
              <w:t>一例扣5分；</w:t>
            </w:r>
          </w:p>
        </w:tc>
        <w:tc>
          <w:tcPr>
            <w:tcW w:w="709" w:type="dxa"/>
            <w:tcBorders>
              <w:top w:val="single" w:color="auto" w:sz="8" w:space="0"/>
              <w:left w:val="nil"/>
              <w:bottom w:val="single" w:color="auto" w:sz="8" w:space="0"/>
              <w:right w:val="single" w:color="auto" w:sz="8" w:space="0"/>
            </w:tcBorders>
            <w:vAlign w:val="center"/>
          </w:tcPr>
          <w:p w14:paraId="684ACF59">
            <w:pPr>
              <w:rPr>
                <w:color w:val="auto"/>
              </w:rPr>
            </w:pPr>
          </w:p>
        </w:tc>
        <w:tc>
          <w:tcPr>
            <w:tcW w:w="2126" w:type="dxa"/>
            <w:tcBorders>
              <w:top w:val="single" w:color="auto" w:sz="8" w:space="0"/>
              <w:left w:val="nil"/>
              <w:bottom w:val="single" w:color="auto" w:sz="8" w:space="0"/>
              <w:right w:val="single" w:color="auto" w:sz="8" w:space="0"/>
            </w:tcBorders>
            <w:vAlign w:val="center"/>
          </w:tcPr>
          <w:p w14:paraId="56A31D79">
            <w:pPr>
              <w:rPr>
                <w:color w:val="auto"/>
              </w:rPr>
            </w:pPr>
          </w:p>
        </w:tc>
      </w:tr>
      <w:tr w14:paraId="5068BDD9">
        <w:tblPrEx>
          <w:tblCellMar>
            <w:top w:w="0" w:type="dxa"/>
            <w:left w:w="108" w:type="dxa"/>
            <w:bottom w:w="0" w:type="dxa"/>
            <w:right w:w="108" w:type="dxa"/>
          </w:tblCellMar>
        </w:tblPrEx>
        <w:trPr>
          <w:trHeight w:val="371" w:hRule="atLeast"/>
        </w:trPr>
        <w:tc>
          <w:tcPr>
            <w:tcW w:w="1277" w:type="dxa"/>
            <w:vMerge w:val="continue"/>
            <w:tcBorders>
              <w:left w:val="single" w:color="auto" w:sz="8" w:space="0"/>
              <w:bottom w:val="single" w:color="auto" w:sz="4" w:space="0"/>
              <w:right w:val="single" w:color="auto" w:sz="4" w:space="0"/>
            </w:tcBorders>
            <w:vAlign w:val="center"/>
          </w:tcPr>
          <w:p w14:paraId="41D7F297">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5E4FC509">
            <w:pPr>
              <w:rPr>
                <w:color w:val="auto"/>
              </w:rPr>
            </w:pPr>
          </w:p>
        </w:tc>
        <w:tc>
          <w:tcPr>
            <w:tcW w:w="3544" w:type="dxa"/>
            <w:tcBorders>
              <w:top w:val="nil"/>
              <w:left w:val="nil"/>
              <w:bottom w:val="single" w:color="auto" w:sz="8" w:space="0"/>
              <w:right w:val="single" w:color="auto" w:sz="4" w:space="0"/>
            </w:tcBorders>
          </w:tcPr>
          <w:p w14:paraId="5DFD6434">
            <w:pPr>
              <w:rPr>
                <w:color w:val="auto"/>
              </w:rPr>
            </w:pPr>
            <w:r>
              <w:rPr>
                <w:rFonts w:hint="eastAsia"/>
                <w:color w:val="auto"/>
              </w:rPr>
              <w:t>10、护理员人数要达到合同要求的比例。</w:t>
            </w:r>
          </w:p>
        </w:tc>
        <w:tc>
          <w:tcPr>
            <w:tcW w:w="1842" w:type="dxa"/>
            <w:tcBorders>
              <w:top w:val="nil"/>
              <w:left w:val="nil"/>
              <w:bottom w:val="single" w:color="auto" w:sz="8" w:space="0"/>
              <w:right w:val="single" w:color="auto" w:sz="8" w:space="0"/>
            </w:tcBorders>
            <w:vAlign w:val="center"/>
          </w:tcPr>
          <w:p w14:paraId="306CE299">
            <w:pPr>
              <w:rPr>
                <w:color w:val="auto"/>
              </w:rPr>
            </w:pPr>
            <w:r>
              <w:rPr>
                <w:rFonts w:hint="eastAsia"/>
                <w:color w:val="auto"/>
              </w:rPr>
              <w:t>少一人扣7分；</w:t>
            </w:r>
          </w:p>
        </w:tc>
        <w:tc>
          <w:tcPr>
            <w:tcW w:w="709" w:type="dxa"/>
            <w:tcBorders>
              <w:top w:val="single" w:color="auto" w:sz="8" w:space="0"/>
              <w:left w:val="nil"/>
              <w:bottom w:val="single" w:color="auto" w:sz="8" w:space="0"/>
              <w:right w:val="single" w:color="auto" w:sz="8" w:space="0"/>
            </w:tcBorders>
            <w:vAlign w:val="center"/>
          </w:tcPr>
          <w:p w14:paraId="7EF63AB5">
            <w:pPr>
              <w:rPr>
                <w:color w:val="auto"/>
              </w:rPr>
            </w:pPr>
          </w:p>
        </w:tc>
        <w:tc>
          <w:tcPr>
            <w:tcW w:w="2126" w:type="dxa"/>
            <w:tcBorders>
              <w:top w:val="single" w:color="auto" w:sz="8" w:space="0"/>
              <w:left w:val="nil"/>
              <w:bottom w:val="single" w:color="auto" w:sz="8" w:space="0"/>
              <w:right w:val="single" w:color="auto" w:sz="8" w:space="0"/>
            </w:tcBorders>
            <w:vAlign w:val="center"/>
          </w:tcPr>
          <w:p w14:paraId="7F265956">
            <w:pPr>
              <w:rPr>
                <w:color w:val="auto"/>
              </w:rPr>
            </w:pPr>
          </w:p>
        </w:tc>
      </w:tr>
      <w:tr w14:paraId="6A4E0EEA">
        <w:tblPrEx>
          <w:tblCellMar>
            <w:top w:w="0" w:type="dxa"/>
            <w:left w:w="108" w:type="dxa"/>
            <w:bottom w:w="0" w:type="dxa"/>
            <w:right w:w="108" w:type="dxa"/>
          </w:tblCellMar>
        </w:tblPrEx>
        <w:trPr>
          <w:trHeight w:val="1317" w:hRule="atLeast"/>
        </w:trPr>
        <w:tc>
          <w:tcPr>
            <w:tcW w:w="1277" w:type="dxa"/>
            <w:vMerge w:val="restart"/>
            <w:tcBorders>
              <w:top w:val="single" w:color="auto" w:sz="4" w:space="0"/>
              <w:left w:val="single" w:color="auto" w:sz="8" w:space="0"/>
              <w:bottom w:val="single" w:color="auto" w:sz="4" w:space="0"/>
              <w:right w:val="single" w:color="auto" w:sz="4" w:space="0"/>
            </w:tcBorders>
            <w:vAlign w:val="center"/>
          </w:tcPr>
          <w:p w14:paraId="549E1A13">
            <w:pPr>
              <w:rPr>
                <w:color w:val="auto"/>
              </w:rPr>
            </w:pPr>
            <w:r>
              <w:rPr>
                <w:rFonts w:hint="eastAsia"/>
                <w:color w:val="auto"/>
              </w:rPr>
              <w:t>安全管理（100分）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A74174B">
            <w:pPr>
              <w:rPr>
                <w:color w:val="auto"/>
              </w:rPr>
            </w:pPr>
            <w:r>
              <w:rPr>
                <w:rFonts w:hint="eastAsia"/>
                <w:color w:val="auto"/>
              </w:rPr>
              <w:t>实地考核</w:t>
            </w:r>
          </w:p>
        </w:tc>
        <w:tc>
          <w:tcPr>
            <w:tcW w:w="3544" w:type="dxa"/>
            <w:tcBorders>
              <w:top w:val="nil"/>
              <w:left w:val="nil"/>
              <w:bottom w:val="single" w:color="auto" w:sz="4" w:space="0"/>
              <w:right w:val="single" w:color="auto" w:sz="4" w:space="0"/>
            </w:tcBorders>
          </w:tcPr>
          <w:p w14:paraId="370FEC04">
            <w:pPr>
              <w:rPr>
                <w:color w:val="auto"/>
              </w:rPr>
            </w:pPr>
            <w:r>
              <w:rPr>
                <w:rFonts w:hint="eastAsia"/>
                <w:color w:val="auto"/>
              </w:rPr>
              <w:t>1、禁止携带危险物品进入残疾人居室，如：刀具，剪刀，打火机，针线，玻璃器具等，并做好残疾人及家属携带物品的安全检查工作及解释工作；</w:t>
            </w:r>
          </w:p>
        </w:tc>
        <w:tc>
          <w:tcPr>
            <w:tcW w:w="1842" w:type="dxa"/>
            <w:tcBorders>
              <w:top w:val="nil"/>
              <w:left w:val="nil"/>
              <w:bottom w:val="single" w:color="auto" w:sz="4" w:space="0"/>
              <w:right w:val="single" w:color="auto" w:sz="8" w:space="0"/>
            </w:tcBorders>
            <w:vAlign w:val="center"/>
          </w:tcPr>
          <w:p w14:paraId="179CEA0E">
            <w:pPr>
              <w:rPr>
                <w:color w:val="auto"/>
              </w:rPr>
            </w:pPr>
            <w:r>
              <w:rPr>
                <w:rFonts w:hint="eastAsia"/>
                <w:color w:val="auto"/>
              </w:rPr>
              <w:t>专柜上锁保管危险物品，发现危险物品，每件扣5分；如有残疾人利用危险物品自伤伤人者，视情节扣5-10分；</w:t>
            </w:r>
          </w:p>
        </w:tc>
        <w:tc>
          <w:tcPr>
            <w:tcW w:w="709" w:type="dxa"/>
            <w:tcBorders>
              <w:top w:val="single" w:color="auto" w:sz="8" w:space="0"/>
              <w:left w:val="nil"/>
              <w:bottom w:val="single" w:color="auto" w:sz="8" w:space="0"/>
              <w:right w:val="single" w:color="auto" w:sz="8" w:space="0"/>
            </w:tcBorders>
            <w:vAlign w:val="center"/>
          </w:tcPr>
          <w:p w14:paraId="08612858">
            <w:pPr>
              <w:rPr>
                <w:color w:val="auto"/>
              </w:rPr>
            </w:pPr>
          </w:p>
        </w:tc>
        <w:tc>
          <w:tcPr>
            <w:tcW w:w="2126" w:type="dxa"/>
            <w:tcBorders>
              <w:top w:val="single" w:color="auto" w:sz="8" w:space="0"/>
              <w:left w:val="nil"/>
              <w:bottom w:val="single" w:color="auto" w:sz="8" w:space="0"/>
              <w:right w:val="single" w:color="auto" w:sz="8" w:space="0"/>
            </w:tcBorders>
            <w:vAlign w:val="center"/>
          </w:tcPr>
          <w:p w14:paraId="7FBB141E">
            <w:pPr>
              <w:rPr>
                <w:color w:val="auto"/>
              </w:rPr>
            </w:pPr>
          </w:p>
        </w:tc>
      </w:tr>
      <w:tr w14:paraId="4EC89BDB">
        <w:tblPrEx>
          <w:tblCellMar>
            <w:top w:w="0" w:type="dxa"/>
            <w:left w:w="108" w:type="dxa"/>
            <w:bottom w:w="0" w:type="dxa"/>
            <w:right w:w="108" w:type="dxa"/>
          </w:tblCellMar>
        </w:tblPrEx>
        <w:trPr>
          <w:trHeight w:val="1684" w:hRule="atLeast"/>
        </w:trPr>
        <w:tc>
          <w:tcPr>
            <w:tcW w:w="1277" w:type="dxa"/>
            <w:vMerge w:val="continue"/>
            <w:tcBorders>
              <w:left w:val="single" w:color="auto" w:sz="8" w:space="0"/>
              <w:bottom w:val="single" w:color="auto" w:sz="4" w:space="0"/>
              <w:right w:val="single" w:color="auto" w:sz="4" w:space="0"/>
            </w:tcBorders>
            <w:vAlign w:val="center"/>
          </w:tcPr>
          <w:p w14:paraId="762DCD7D">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57D889A4">
            <w:pPr>
              <w:rPr>
                <w:color w:val="auto"/>
              </w:rPr>
            </w:pPr>
          </w:p>
        </w:tc>
        <w:tc>
          <w:tcPr>
            <w:tcW w:w="3544" w:type="dxa"/>
            <w:tcBorders>
              <w:top w:val="nil"/>
              <w:left w:val="nil"/>
              <w:bottom w:val="single" w:color="auto" w:sz="4" w:space="0"/>
              <w:right w:val="single" w:color="auto" w:sz="4" w:space="0"/>
            </w:tcBorders>
          </w:tcPr>
          <w:p w14:paraId="3F13667C">
            <w:pPr>
              <w:rPr>
                <w:color w:val="auto"/>
              </w:rPr>
            </w:pPr>
            <w:r>
              <w:rPr>
                <w:rFonts w:hint="eastAsia"/>
                <w:color w:val="auto"/>
              </w:rPr>
              <w:t>2、专柜上锁，分类保管各类危险物品如：针线、剪刀、洗洁精，洗厕液、消毒液，约束带及残疾人口服药等；定点放置常规用物：热水瓶；开水间铁门随时上锁；</w:t>
            </w:r>
          </w:p>
        </w:tc>
        <w:tc>
          <w:tcPr>
            <w:tcW w:w="1842" w:type="dxa"/>
            <w:tcBorders>
              <w:top w:val="nil"/>
              <w:left w:val="nil"/>
              <w:bottom w:val="single" w:color="auto" w:sz="4" w:space="0"/>
              <w:right w:val="single" w:color="auto" w:sz="8" w:space="0"/>
            </w:tcBorders>
            <w:vAlign w:val="center"/>
          </w:tcPr>
          <w:p w14:paraId="6A85929A">
            <w:pPr>
              <w:rPr>
                <w:color w:val="auto"/>
              </w:rPr>
            </w:pPr>
            <w:r>
              <w:rPr>
                <w:rFonts w:hint="eastAsia"/>
                <w:color w:val="auto"/>
              </w:rPr>
              <w:t>专柜上锁保管危险物品，发现危险物品，每件扣5分；如有残疾人利用危险物品自伤伤人者，视情节扣5-10分；</w:t>
            </w:r>
          </w:p>
        </w:tc>
        <w:tc>
          <w:tcPr>
            <w:tcW w:w="709" w:type="dxa"/>
            <w:tcBorders>
              <w:top w:val="single" w:color="auto" w:sz="8" w:space="0"/>
              <w:left w:val="nil"/>
              <w:bottom w:val="single" w:color="auto" w:sz="8" w:space="0"/>
              <w:right w:val="single" w:color="auto" w:sz="8" w:space="0"/>
            </w:tcBorders>
            <w:vAlign w:val="center"/>
          </w:tcPr>
          <w:p w14:paraId="66AFD748">
            <w:pPr>
              <w:rPr>
                <w:color w:val="auto"/>
              </w:rPr>
            </w:pPr>
          </w:p>
        </w:tc>
        <w:tc>
          <w:tcPr>
            <w:tcW w:w="2126" w:type="dxa"/>
            <w:tcBorders>
              <w:top w:val="single" w:color="auto" w:sz="8" w:space="0"/>
              <w:left w:val="nil"/>
              <w:bottom w:val="single" w:color="auto" w:sz="8" w:space="0"/>
              <w:right w:val="single" w:color="auto" w:sz="8" w:space="0"/>
            </w:tcBorders>
            <w:vAlign w:val="center"/>
          </w:tcPr>
          <w:p w14:paraId="190BEC8A">
            <w:pPr>
              <w:rPr>
                <w:color w:val="auto"/>
              </w:rPr>
            </w:pPr>
          </w:p>
        </w:tc>
      </w:tr>
      <w:tr w14:paraId="38D4FEA0">
        <w:tblPrEx>
          <w:tblCellMar>
            <w:top w:w="0" w:type="dxa"/>
            <w:left w:w="108" w:type="dxa"/>
            <w:bottom w:w="0" w:type="dxa"/>
            <w:right w:w="108" w:type="dxa"/>
          </w:tblCellMar>
        </w:tblPrEx>
        <w:trPr>
          <w:trHeight w:val="1155" w:hRule="atLeast"/>
        </w:trPr>
        <w:tc>
          <w:tcPr>
            <w:tcW w:w="1277" w:type="dxa"/>
            <w:vMerge w:val="continue"/>
            <w:tcBorders>
              <w:left w:val="single" w:color="auto" w:sz="8" w:space="0"/>
              <w:bottom w:val="single" w:color="auto" w:sz="4" w:space="0"/>
              <w:right w:val="single" w:color="auto" w:sz="4" w:space="0"/>
            </w:tcBorders>
            <w:vAlign w:val="center"/>
          </w:tcPr>
          <w:p w14:paraId="078169B3">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192B1E44">
            <w:pPr>
              <w:rPr>
                <w:color w:val="auto"/>
              </w:rPr>
            </w:pPr>
          </w:p>
        </w:tc>
        <w:tc>
          <w:tcPr>
            <w:tcW w:w="3544" w:type="dxa"/>
            <w:tcBorders>
              <w:top w:val="nil"/>
              <w:left w:val="nil"/>
              <w:bottom w:val="single" w:color="auto" w:sz="4" w:space="0"/>
              <w:right w:val="single" w:color="auto" w:sz="4" w:space="0"/>
            </w:tcBorders>
            <w:vAlign w:val="bottom"/>
          </w:tcPr>
          <w:p w14:paraId="6410D7BB">
            <w:pPr>
              <w:rPr>
                <w:color w:val="auto"/>
              </w:rPr>
            </w:pPr>
            <w:r>
              <w:rPr>
                <w:rFonts w:hint="eastAsia"/>
                <w:color w:val="auto"/>
              </w:rPr>
              <w:t>3、每班交接清点残疾人人数、留去情况，做到准确无误；对残疾人要熟记面貌与姓名要求护理员六知道（床号、姓名、身体状况及用药、护理要点、饮食、心理）；</w:t>
            </w:r>
          </w:p>
        </w:tc>
        <w:tc>
          <w:tcPr>
            <w:tcW w:w="1842" w:type="dxa"/>
            <w:tcBorders>
              <w:top w:val="nil"/>
              <w:left w:val="nil"/>
              <w:bottom w:val="single" w:color="auto" w:sz="4" w:space="0"/>
              <w:right w:val="single" w:color="auto" w:sz="8" w:space="0"/>
            </w:tcBorders>
            <w:vAlign w:val="center"/>
          </w:tcPr>
          <w:p w14:paraId="22A816B0">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29D54EEC">
            <w:pPr>
              <w:rPr>
                <w:color w:val="auto"/>
              </w:rPr>
            </w:pPr>
          </w:p>
        </w:tc>
        <w:tc>
          <w:tcPr>
            <w:tcW w:w="2126" w:type="dxa"/>
            <w:tcBorders>
              <w:top w:val="single" w:color="auto" w:sz="8" w:space="0"/>
              <w:left w:val="nil"/>
              <w:bottom w:val="single" w:color="auto" w:sz="8" w:space="0"/>
              <w:right w:val="single" w:color="auto" w:sz="8" w:space="0"/>
            </w:tcBorders>
            <w:vAlign w:val="center"/>
          </w:tcPr>
          <w:p w14:paraId="6BDE0EFF">
            <w:pPr>
              <w:rPr>
                <w:color w:val="auto"/>
              </w:rPr>
            </w:pPr>
          </w:p>
        </w:tc>
      </w:tr>
      <w:tr w14:paraId="28BC9893">
        <w:tblPrEx>
          <w:tblCellMar>
            <w:top w:w="0" w:type="dxa"/>
            <w:left w:w="108" w:type="dxa"/>
            <w:bottom w:w="0" w:type="dxa"/>
            <w:right w:w="108" w:type="dxa"/>
          </w:tblCellMar>
        </w:tblPrEx>
        <w:trPr>
          <w:trHeight w:val="450" w:hRule="atLeast"/>
        </w:trPr>
        <w:tc>
          <w:tcPr>
            <w:tcW w:w="1277" w:type="dxa"/>
            <w:vMerge w:val="continue"/>
            <w:tcBorders>
              <w:left w:val="single" w:color="auto" w:sz="8" w:space="0"/>
              <w:bottom w:val="single" w:color="auto" w:sz="4" w:space="0"/>
              <w:right w:val="single" w:color="auto" w:sz="4" w:space="0"/>
            </w:tcBorders>
            <w:vAlign w:val="center"/>
          </w:tcPr>
          <w:p w14:paraId="33517CE5">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7239ED32">
            <w:pPr>
              <w:rPr>
                <w:color w:val="auto"/>
              </w:rPr>
            </w:pPr>
          </w:p>
        </w:tc>
        <w:tc>
          <w:tcPr>
            <w:tcW w:w="3544" w:type="dxa"/>
            <w:tcBorders>
              <w:top w:val="nil"/>
              <w:left w:val="nil"/>
              <w:bottom w:val="single" w:color="auto" w:sz="4" w:space="0"/>
              <w:right w:val="single" w:color="auto" w:sz="4" w:space="0"/>
            </w:tcBorders>
            <w:vAlign w:val="bottom"/>
          </w:tcPr>
          <w:p w14:paraId="5285FC9A">
            <w:pPr>
              <w:rPr>
                <w:color w:val="auto"/>
              </w:rPr>
            </w:pPr>
            <w:r>
              <w:rPr>
                <w:rFonts w:hint="eastAsia"/>
                <w:color w:val="auto"/>
              </w:rPr>
              <w:t>4、无菌物品及消毒液正确保存，注明开启时间，按有效期使用；</w:t>
            </w:r>
          </w:p>
        </w:tc>
        <w:tc>
          <w:tcPr>
            <w:tcW w:w="1842" w:type="dxa"/>
            <w:tcBorders>
              <w:top w:val="nil"/>
              <w:left w:val="nil"/>
              <w:bottom w:val="single" w:color="auto" w:sz="4" w:space="0"/>
              <w:right w:val="single" w:color="auto" w:sz="8" w:space="0"/>
            </w:tcBorders>
            <w:vAlign w:val="center"/>
          </w:tcPr>
          <w:p w14:paraId="27BAC5E8">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3A1CE0E2">
            <w:pPr>
              <w:rPr>
                <w:color w:val="auto"/>
              </w:rPr>
            </w:pPr>
          </w:p>
        </w:tc>
        <w:tc>
          <w:tcPr>
            <w:tcW w:w="2126" w:type="dxa"/>
            <w:tcBorders>
              <w:top w:val="single" w:color="auto" w:sz="8" w:space="0"/>
              <w:left w:val="nil"/>
              <w:bottom w:val="single" w:color="auto" w:sz="8" w:space="0"/>
              <w:right w:val="single" w:color="auto" w:sz="8" w:space="0"/>
            </w:tcBorders>
            <w:vAlign w:val="center"/>
          </w:tcPr>
          <w:p w14:paraId="589C4914">
            <w:pPr>
              <w:rPr>
                <w:color w:val="auto"/>
              </w:rPr>
            </w:pPr>
          </w:p>
        </w:tc>
      </w:tr>
      <w:tr w14:paraId="4C2B07EE">
        <w:tblPrEx>
          <w:tblCellMar>
            <w:top w:w="0" w:type="dxa"/>
            <w:left w:w="108" w:type="dxa"/>
            <w:bottom w:w="0" w:type="dxa"/>
            <w:right w:w="108" w:type="dxa"/>
          </w:tblCellMar>
        </w:tblPrEx>
        <w:trPr>
          <w:trHeight w:val="450" w:hRule="atLeast"/>
        </w:trPr>
        <w:tc>
          <w:tcPr>
            <w:tcW w:w="1277" w:type="dxa"/>
            <w:vMerge w:val="continue"/>
            <w:tcBorders>
              <w:left w:val="single" w:color="auto" w:sz="8" w:space="0"/>
              <w:bottom w:val="single" w:color="auto" w:sz="4" w:space="0"/>
              <w:right w:val="single" w:color="auto" w:sz="4" w:space="0"/>
            </w:tcBorders>
            <w:vAlign w:val="center"/>
          </w:tcPr>
          <w:p w14:paraId="18B7596B">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27ECAB86">
            <w:pPr>
              <w:rPr>
                <w:color w:val="auto"/>
              </w:rPr>
            </w:pPr>
          </w:p>
        </w:tc>
        <w:tc>
          <w:tcPr>
            <w:tcW w:w="3544" w:type="dxa"/>
            <w:tcBorders>
              <w:top w:val="nil"/>
              <w:left w:val="nil"/>
              <w:bottom w:val="single" w:color="auto" w:sz="4" w:space="0"/>
              <w:right w:val="single" w:color="auto" w:sz="4" w:space="0"/>
            </w:tcBorders>
            <w:vAlign w:val="bottom"/>
          </w:tcPr>
          <w:p w14:paraId="15745B01">
            <w:pPr>
              <w:rPr>
                <w:color w:val="auto"/>
              </w:rPr>
            </w:pPr>
            <w:r>
              <w:rPr>
                <w:rFonts w:hint="eastAsia"/>
                <w:color w:val="auto"/>
              </w:rPr>
              <w:t>5、物品消毒方式正确，记录真实、及时。坐便器、地面、床头柜及各台面每天消毒一次；紫外线灯灯管每周消毒一次；</w:t>
            </w:r>
          </w:p>
        </w:tc>
        <w:tc>
          <w:tcPr>
            <w:tcW w:w="1842" w:type="dxa"/>
            <w:tcBorders>
              <w:top w:val="nil"/>
              <w:left w:val="nil"/>
              <w:bottom w:val="single" w:color="auto" w:sz="4" w:space="0"/>
              <w:right w:val="single" w:color="auto" w:sz="8" w:space="0"/>
            </w:tcBorders>
            <w:vAlign w:val="center"/>
          </w:tcPr>
          <w:p w14:paraId="75F8ADD4">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39D05F3">
            <w:pPr>
              <w:rPr>
                <w:color w:val="auto"/>
              </w:rPr>
            </w:pPr>
          </w:p>
        </w:tc>
        <w:tc>
          <w:tcPr>
            <w:tcW w:w="2126" w:type="dxa"/>
            <w:tcBorders>
              <w:top w:val="single" w:color="auto" w:sz="8" w:space="0"/>
              <w:left w:val="nil"/>
              <w:bottom w:val="single" w:color="auto" w:sz="8" w:space="0"/>
              <w:right w:val="single" w:color="auto" w:sz="8" w:space="0"/>
            </w:tcBorders>
            <w:vAlign w:val="center"/>
          </w:tcPr>
          <w:p w14:paraId="1A058650">
            <w:pPr>
              <w:rPr>
                <w:color w:val="auto"/>
              </w:rPr>
            </w:pPr>
          </w:p>
        </w:tc>
      </w:tr>
      <w:tr w14:paraId="070FA388">
        <w:tblPrEx>
          <w:tblCellMar>
            <w:top w:w="0" w:type="dxa"/>
            <w:left w:w="108" w:type="dxa"/>
            <w:bottom w:w="0" w:type="dxa"/>
            <w:right w:w="108" w:type="dxa"/>
          </w:tblCellMar>
        </w:tblPrEx>
        <w:trPr>
          <w:trHeight w:val="450" w:hRule="atLeast"/>
        </w:trPr>
        <w:tc>
          <w:tcPr>
            <w:tcW w:w="1277" w:type="dxa"/>
            <w:vMerge w:val="continue"/>
            <w:tcBorders>
              <w:left w:val="single" w:color="auto" w:sz="8" w:space="0"/>
              <w:bottom w:val="single" w:color="auto" w:sz="4" w:space="0"/>
              <w:right w:val="single" w:color="auto" w:sz="4" w:space="0"/>
            </w:tcBorders>
            <w:vAlign w:val="center"/>
          </w:tcPr>
          <w:p w14:paraId="25F84461">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1A73D08C">
            <w:pPr>
              <w:rPr>
                <w:color w:val="auto"/>
              </w:rPr>
            </w:pPr>
          </w:p>
        </w:tc>
        <w:tc>
          <w:tcPr>
            <w:tcW w:w="3544" w:type="dxa"/>
            <w:tcBorders>
              <w:top w:val="single" w:color="auto" w:sz="4" w:space="0"/>
              <w:left w:val="nil"/>
              <w:bottom w:val="single" w:color="auto" w:sz="4" w:space="0"/>
              <w:right w:val="single" w:color="auto" w:sz="4" w:space="0"/>
            </w:tcBorders>
            <w:vAlign w:val="bottom"/>
          </w:tcPr>
          <w:p w14:paraId="7DC2066E">
            <w:pPr>
              <w:rPr>
                <w:color w:val="auto"/>
              </w:rPr>
            </w:pPr>
            <w:r>
              <w:rPr>
                <w:rFonts w:hint="eastAsia"/>
                <w:color w:val="auto"/>
              </w:rPr>
              <w:t>6、居室每日通风；室内每周一次紫外线照射消毒，紫外线灯操作熟练；</w:t>
            </w:r>
          </w:p>
        </w:tc>
        <w:tc>
          <w:tcPr>
            <w:tcW w:w="1842" w:type="dxa"/>
            <w:tcBorders>
              <w:top w:val="nil"/>
              <w:left w:val="nil"/>
              <w:bottom w:val="single" w:color="auto" w:sz="4" w:space="0"/>
              <w:right w:val="single" w:color="auto" w:sz="8" w:space="0"/>
            </w:tcBorders>
            <w:vAlign w:val="center"/>
          </w:tcPr>
          <w:p w14:paraId="28883A9D">
            <w:pPr>
              <w:rPr>
                <w:color w:val="auto"/>
              </w:rPr>
            </w:pPr>
            <w:r>
              <w:rPr>
                <w:rFonts w:hint="eastAsia"/>
                <w:color w:val="auto"/>
              </w:rPr>
              <w:t>一处不符扣2分；</w:t>
            </w:r>
          </w:p>
        </w:tc>
        <w:tc>
          <w:tcPr>
            <w:tcW w:w="709" w:type="dxa"/>
            <w:tcBorders>
              <w:top w:val="single" w:color="auto" w:sz="8" w:space="0"/>
              <w:left w:val="nil"/>
              <w:bottom w:val="single" w:color="auto" w:sz="4" w:space="0"/>
              <w:right w:val="single" w:color="auto" w:sz="8" w:space="0"/>
            </w:tcBorders>
            <w:vAlign w:val="center"/>
          </w:tcPr>
          <w:p w14:paraId="5E58E715">
            <w:pPr>
              <w:rPr>
                <w:color w:val="auto"/>
              </w:rPr>
            </w:pPr>
          </w:p>
        </w:tc>
        <w:tc>
          <w:tcPr>
            <w:tcW w:w="2126" w:type="dxa"/>
            <w:tcBorders>
              <w:top w:val="single" w:color="auto" w:sz="8" w:space="0"/>
              <w:left w:val="nil"/>
              <w:bottom w:val="single" w:color="auto" w:sz="4" w:space="0"/>
              <w:right w:val="single" w:color="auto" w:sz="8" w:space="0"/>
            </w:tcBorders>
            <w:vAlign w:val="center"/>
          </w:tcPr>
          <w:p w14:paraId="4DEE715F">
            <w:pPr>
              <w:rPr>
                <w:color w:val="auto"/>
              </w:rPr>
            </w:pPr>
          </w:p>
        </w:tc>
      </w:tr>
      <w:tr w14:paraId="07237484">
        <w:tblPrEx>
          <w:tblCellMar>
            <w:top w:w="0" w:type="dxa"/>
            <w:left w:w="108" w:type="dxa"/>
            <w:bottom w:w="0" w:type="dxa"/>
            <w:right w:w="108" w:type="dxa"/>
          </w:tblCellMar>
        </w:tblPrEx>
        <w:trPr>
          <w:trHeight w:val="264" w:hRule="atLeast"/>
        </w:trPr>
        <w:tc>
          <w:tcPr>
            <w:tcW w:w="1277" w:type="dxa"/>
            <w:vMerge w:val="continue"/>
            <w:tcBorders>
              <w:left w:val="single" w:color="auto" w:sz="8" w:space="0"/>
              <w:bottom w:val="single" w:color="auto" w:sz="4" w:space="0"/>
              <w:right w:val="single" w:color="auto" w:sz="4" w:space="0"/>
            </w:tcBorders>
            <w:vAlign w:val="center"/>
          </w:tcPr>
          <w:p w14:paraId="6BFC312F">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0CB66E87">
            <w:pPr>
              <w:rPr>
                <w:color w:val="auto"/>
              </w:rPr>
            </w:pPr>
          </w:p>
        </w:tc>
        <w:tc>
          <w:tcPr>
            <w:tcW w:w="3544" w:type="dxa"/>
            <w:tcBorders>
              <w:top w:val="single" w:color="auto" w:sz="4" w:space="0"/>
              <w:left w:val="single" w:color="auto" w:sz="4" w:space="0"/>
              <w:bottom w:val="single" w:color="auto" w:sz="4" w:space="0"/>
              <w:right w:val="single" w:color="auto" w:sz="4" w:space="0"/>
            </w:tcBorders>
            <w:vAlign w:val="bottom"/>
          </w:tcPr>
          <w:p w14:paraId="581F388F">
            <w:pPr>
              <w:rPr>
                <w:color w:val="auto"/>
              </w:rPr>
            </w:pPr>
            <w:r>
              <w:rPr>
                <w:rFonts w:hint="eastAsia"/>
                <w:color w:val="auto"/>
              </w:rPr>
              <w:t>7、传染病可疑者要及时进行隔离，并立即上报作进一步检查，用过的物品要严格消毒，托养员的排泄物和分泌物按要求处理；</w:t>
            </w:r>
          </w:p>
        </w:tc>
        <w:tc>
          <w:tcPr>
            <w:tcW w:w="1842" w:type="dxa"/>
            <w:tcBorders>
              <w:top w:val="single" w:color="auto" w:sz="4" w:space="0"/>
              <w:left w:val="nil"/>
              <w:bottom w:val="single" w:color="auto" w:sz="4" w:space="0"/>
              <w:right w:val="single" w:color="auto" w:sz="8" w:space="0"/>
            </w:tcBorders>
            <w:vAlign w:val="center"/>
          </w:tcPr>
          <w:p w14:paraId="6B279389">
            <w:pPr>
              <w:rPr>
                <w:color w:val="auto"/>
              </w:rPr>
            </w:pPr>
            <w:r>
              <w:rPr>
                <w:rFonts w:hint="eastAsia"/>
                <w:color w:val="auto"/>
              </w:rPr>
              <w:t>一处不符扣2分；</w:t>
            </w:r>
          </w:p>
        </w:tc>
        <w:tc>
          <w:tcPr>
            <w:tcW w:w="709" w:type="dxa"/>
            <w:tcBorders>
              <w:top w:val="single" w:color="auto" w:sz="4" w:space="0"/>
              <w:left w:val="nil"/>
              <w:bottom w:val="single" w:color="auto" w:sz="4" w:space="0"/>
              <w:right w:val="single" w:color="auto" w:sz="8" w:space="0"/>
            </w:tcBorders>
            <w:vAlign w:val="center"/>
          </w:tcPr>
          <w:p w14:paraId="07D21176">
            <w:pPr>
              <w:rPr>
                <w:color w:val="auto"/>
              </w:rPr>
            </w:pPr>
          </w:p>
        </w:tc>
        <w:tc>
          <w:tcPr>
            <w:tcW w:w="2126" w:type="dxa"/>
            <w:tcBorders>
              <w:top w:val="single" w:color="auto" w:sz="4" w:space="0"/>
              <w:left w:val="nil"/>
              <w:bottom w:val="single" w:color="auto" w:sz="4" w:space="0"/>
              <w:right w:val="single" w:color="auto" w:sz="4" w:space="0"/>
            </w:tcBorders>
            <w:vAlign w:val="center"/>
          </w:tcPr>
          <w:p w14:paraId="75CCA9E6">
            <w:pPr>
              <w:rPr>
                <w:color w:val="auto"/>
              </w:rPr>
            </w:pPr>
          </w:p>
        </w:tc>
      </w:tr>
      <w:tr w14:paraId="34E3E686">
        <w:tblPrEx>
          <w:tblCellMar>
            <w:top w:w="0" w:type="dxa"/>
            <w:left w:w="108" w:type="dxa"/>
            <w:bottom w:w="0" w:type="dxa"/>
            <w:right w:w="108" w:type="dxa"/>
          </w:tblCellMar>
        </w:tblPrEx>
        <w:trPr>
          <w:trHeight w:val="975" w:hRule="atLeast"/>
        </w:trPr>
        <w:tc>
          <w:tcPr>
            <w:tcW w:w="1277" w:type="dxa"/>
            <w:vMerge w:val="continue"/>
            <w:tcBorders>
              <w:left w:val="single" w:color="auto" w:sz="8" w:space="0"/>
              <w:bottom w:val="single" w:color="auto" w:sz="4" w:space="0"/>
              <w:right w:val="single" w:color="auto" w:sz="4" w:space="0"/>
            </w:tcBorders>
            <w:vAlign w:val="center"/>
          </w:tcPr>
          <w:p w14:paraId="036AEACA">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408F36BB">
            <w:pPr>
              <w:rPr>
                <w:color w:val="auto"/>
              </w:rPr>
            </w:pPr>
          </w:p>
        </w:tc>
        <w:tc>
          <w:tcPr>
            <w:tcW w:w="3544" w:type="dxa"/>
            <w:tcBorders>
              <w:top w:val="single" w:color="auto" w:sz="4" w:space="0"/>
              <w:left w:val="nil"/>
              <w:bottom w:val="single" w:color="auto" w:sz="4" w:space="0"/>
              <w:right w:val="single" w:color="auto" w:sz="4" w:space="0"/>
            </w:tcBorders>
          </w:tcPr>
          <w:p w14:paraId="3D4BEF96">
            <w:pPr>
              <w:rPr>
                <w:color w:val="auto"/>
              </w:rPr>
            </w:pPr>
            <w:r>
              <w:rPr>
                <w:rFonts w:hint="eastAsia"/>
                <w:color w:val="auto"/>
              </w:rPr>
              <w:t>8、避免残疾人可能会发生的意外，如跌跤，噎食，打架，自杀，逃跑等，如有意外发生做到紧急处理；</w:t>
            </w:r>
          </w:p>
        </w:tc>
        <w:tc>
          <w:tcPr>
            <w:tcW w:w="1842" w:type="dxa"/>
            <w:tcBorders>
              <w:top w:val="single" w:color="auto" w:sz="4" w:space="0"/>
              <w:left w:val="nil"/>
              <w:bottom w:val="single" w:color="auto" w:sz="4" w:space="0"/>
              <w:right w:val="single" w:color="auto" w:sz="8" w:space="0"/>
            </w:tcBorders>
            <w:vAlign w:val="center"/>
          </w:tcPr>
          <w:p w14:paraId="5F130D0A">
            <w:pPr>
              <w:rPr>
                <w:color w:val="auto"/>
              </w:rPr>
            </w:pPr>
            <w:r>
              <w:rPr>
                <w:rFonts w:hint="eastAsia"/>
                <w:color w:val="auto"/>
              </w:rPr>
              <w:t>发生逃跑、自杀等严重行为一次扣10分，一处不符扣2-5分，瞒报扣5分；</w:t>
            </w:r>
          </w:p>
        </w:tc>
        <w:tc>
          <w:tcPr>
            <w:tcW w:w="709" w:type="dxa"/>
            <w:tcBorders>
              <w:top w:val="single" w:color="auto" w:sz="4" w:space="0"/>
              <w:left w:val="nil"/>
              <w:bottom w:val="single" w:color="auto" w:sz="8" w:space="0"/>
              <w:right w:val="single" w:color="auto" w:sz="8" w:space="0"/>
            </w:tcBorders>
            <w:vAlign w:val="center"/>
          </w:tcPr>
          <w:p w14:paraId="75FB6D32">
            <w:pPr>
              <w:rPr>
                <w:color w:val="auto"/>
              </w:rPr>
            </w:pPr>
          </w:p>
        </w:tc>
        <w:tc>
          <w:tcPr>
            <w:tcW w:w="2126" w:type="dxa"/>
            <w:tcBorders>
              <w:top w:val="single" w:color="auto" w:sz="4" w:space="0"/>
              <w:left w:val="nil"/>
              <w:bottom w:val="single" w:color="auto" w:sz="8" w:space="0"/>
              <w:right w:val="single" w:color="auto" w:sz="8" w:space="0"/>
            </w:tcBorders>
            <w:vAlign w:val="center"/>
          </w:tcPr>
          <w:p w14:paraId="266FCAB6">
            <w:pPr>
              <w:rPr>
                <w:color w:val="auto"/>
              </w:rPr>
            </w:pPr>
          </w:p>
        </w:tc>
      </w:tr>
      <w:tr w14:paraId="6156F987">
        <w:tblPrEx>
          <w:tblCellMar>
            <w:top w:w="0" w:type="dxa"/>
            <w:left w:w="108" w:type="dxa"/>
            <w:bottom w:w="0" w:type="dxa"/>
            <w:right w:w="108" w:type="dxa"/>
          </w:tblCellMar>
        </w:tblPrEx>
        <w:trPr>
          <w:trHeight w:val="975" w:hRule="atLeast"/>
        </w:trPr>
        <w:tc>
          <w:tcPr>
            <w:tcW w:w="1277" w:type="dxa"/>
            <w:vMerge w:val="continue"/>
            <w:tcBorders>
              <w:left w:val="single" w:color="auto" w:sz="8" w:space="0"/>
              <w:bottom w:val="single" w:color="auto" w:sz="4" w:space="0"/>
              <w:right w:val="single" w:color="auto" w:sz="4" w:space="0"/>
            </w:tcBorders>
            <w:vAlign w:val="center"/>
          </w:tcPr>
          <w:p w14:paraId="29520515">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028CA7F5">
            <w:pPr>
              <w:rPr>
                <w:color w:val="auto"/>
              </w:rPr>
            </w:pPr>
          </w:p>
        </w:tc>
        <w:tc>
          <w:tcPr>
            <w:tcW w:w="3544" w:type="dxa"/>
            <w:tcBorders>
              <w:top w:val="nil"/>
              <w:left w:val="nil"/>
              <w:bottom w:val="single" w:color="auto" w:sz="4" w:space="0"/>
              <w:right w:val="single" w:color="auto" w:sz="4" w:space="0"/>
            </w:tcBorders>
            <w:vAlign w:val="bottom"/>
          </w:tcPr>
          <w:p w14:paraId="4612E70D">
            <w:pPr>
              <w:rPr>
                <w:color w:val="auto"/>
              </w:rPr>
            </w:pPr>
            <w:r>
              <w:rPr>
                <w:rFonts w:hint="eastAsia"/>
                <w:color w:val="auto"/>
              </w:rPr>
              <w:t>9、熟练掌握，规范应用各项操作技能，如残疾人保护带的使用，更换体位的方法等；需要约束的残疾人按约束技术妥善约束，保护约束巡视时应仔细；</w:t>
            </w:r>
          </w:p>
        </w:tc>
        <w:tc>
          <w:tcPr>
            <w:tcW w:w="1842" w:type="dxa"/>
            <w:tcBorders>
              <w:top w:val="nil"/>
              <w:left w:val="nil"/>
              <w:bottom w:val="single" w:color="auto" w:sz="4" w:space="0"/>
              <w:right w:val="single" w:color="auto" w:sz="8" w:space="0"/>
            </w:tcBorders>
            <w:vAlign w:val="center"/>
          </w:tcPr>
          <w:p w14:paraId="139DBCB9">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1E5BAEC">
            <w:pPr>
              <w:rPr>
                <w:color w:val="auto"/>
              </w:rPr>
            </w:pPr>
          </w:p>
        </w:tc>
        <w:tc>
          <w:tcPr>
            <w:tcW w:w="2126" w:type="dxa"/>
            <w:tcBorders>
              <w:top w:val="single" w:color="auto" w:sz="8" w:space="0"/>
              <w:left w:val="nil"/>
              <w:bottom w:val="single" w:color="auto" w:sz="8" w:space="0"/>
              <w:right w:val="single" w:color="auto" w:sz="8" w:space="0"/>
            </w:tcBorders>
            <w:vAlign w:val="center"/>
          </w:tcPr>
          <w:p w14:paraId="54E288A9">
            <w:pPr>
              <w:rPr>
                <w:color w:val="auto"/>
              </w:rPr>
            </w:pPr>
          </w:p>
        </w:tc>
      </w:tr>
      <w:tr w14:paraId="5DCD0433">
        <w:tblPrEx>
          <w:tblCellMar>
            <w:top w:w="0" w:type="dxa"/>
            <w:left w:w="108" w:type="dxa"/>
            <w:bottom w:w="0" w:type="dxa"/>
            <w:right w:w="108" w:type="dxa"/>
          </w:tblCellMar>
        </w:tblPrEx>
        <w:trPr>
          <w:trHeight w:val="780" w:hRule="atLeast"/>
        </w:trPr>
        <w:tc>
          <w:tcPr>
            <w:tcW w:w="1277" w:type="dxa"/>
            <w:vMerge w:val="continue"/>
            <w:tcBorders>
              <w:left w:val="single" w:color="auto" w:sz="8" w:space="0"/>
              <w:bottom w:val="single" w:color="auto" w:sz="4" w:space="0"/>
              <w:right w:val="single" w:color="auto" w:sz="4" w:space="0"/>
            </w:tcBorders>
            <w:vAlign w:val="center"/>
          </w:tcPr>
          <w:p w14:paraId="2D68FD54">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195855AA">
            <w:pPr>
              <w:rPr>
                <w:color w:val="auto"/>
              </w:rPr>
            </w:pPr>
          </w:p>
        </w:tc>
        <w:tc>
          <w:tcPr>
            <w:tcW w:w="3544" w:type="dxa"/>
            <w:tcBorders>
              <w:top w:val="nil"/>
              <w:left w:val="nil"/>
              <w:bottom w:val="single" w:color="auto" w:sz="4" w:space="0"/>
              <w:right w:val="single" w:color="auto" w:sz="4" w:space="0"/>
            </w:tcBorders>
            <w:vAlign w:val="bottom"/>
          </w:tcPr>
          <w:p w14:paraId="6E55E468">
            <w:pPr>
              <w:rPr>
                <w:color w:val="auto"/>
              </w:rPr>
            </w:pPr>
            <w:r>
              <w:rPr>
                <w:rFonts w:hint="eastAsia"/>
                <w:color w:val="auto"/>
              </w:rPr>
              <w:t>10、退托的残疾人床单位需终末消毒，床垫、棉被要曝晒，桌凳床用消毒液擦洗后备用，室内紫外线照射消毒；</w:t>
            </w:r>
          </w:p>
        </w:tc>
        <w:tc>
          <w:tcPr>
            <w:tcW w:w="1842" w:type="dxa"/>
            <w:tcBorders>
              <w:top w:val="nil"/>
              <w:left w:val="nil"/>
              <w:bottom w:val="single" w:color="auto" w:sz="4" w:space="0"/>
              <w:right w:val="single" w:color="auto" w:sz="8" w:space="0"/>
            </w:tcBorders>
            <w:vAlign w:val="center"/>
          </w:tcPr>
          <w:p w14:paraId="7209CBC1">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0B6AE23E">
            <w:pPr>
              <w:rPr>
                <w:color w:val="auto"/>
              </w:rPr>
            </w:pPr>
          </w:p>
        </w:tc>
        <w:tc>
          <w:tcPr>
            <w:tcW w:w="2126" w:type="dxa"/>
            <w:tcBorders>
              <w:top w:val="single" w:color="auto" w:sz="8" w:space="0"/>
              <w:left w:val="nil"/>
              <w:bottom w:val="single" w:color="auto" w:sz="8" w:space="0"/>
              <w:right w:val="single" w:color="auto" w:sz="8" w:space="0"/>
            </w:tcBorders>
            <w:vAlign w:val="center"/>
          </w:tcPr>
          <w:p w14:paraId="53D51E34">
            <w:pPr>
              <w:rPr>
                <w:color w:val="auto"/>
              </w:rPr>
            </w:pPr>
          </w:p>
        </w:tc>
      </w:tr>
      <w:tr w14:paraId="4D6D80F2">
        <w:tblPrEx>
          <w:tblCellMar>
            <w:top w:w="0" w:type="dxa"/>
            <w:left w:w="108" w:type="dxa"/>
            <w:bottom w:w="0" w:type="dxa"/>
            <w:right w:w="108" w:type="dxa"/>
          </w:tblCellMar>
        </w:tblPrEx>
        <w:trPr>
          <w:trHeight w:val="780" w:hRule="atLeast"/>
        </w:trPr>
        <w:tc>
          <w:tcPr>
            <w:tcW w:w="1277" w:type="dxa"/>
            <w:vMerge w:val="continue"/>
            <w:tcBorders>
              <w:left w:val="single" w:color="auto" w:sz="8" w:space="0"/>
              <w:bottom w:val="single" w:color="auto" w:sz="4" w:space="0"/>
              <w:right w:val="single" w:color="auto" w:sz="4" w:space="0"/>
            </w:tcBorders>
            <w:vAlign w:val="center"/>
          </w:tcPr>
          <w:p w14:paraId="02B66A4F">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403B2317">
            <w:pPr>
              <w:rPr>
                <w:color w:val="auto"/>
              </w:rPr>
            </w:pPr>
          </w:p>
        </w:tc>
        <w:tc>
          <w:tcPr>
            <w:tcW w:w="3544" w:type="dxa"/>
            <w:tcBorders>
              <w:top w:val="nil"/>
              <w:left w:val="nil"/>
              <w:bottom w:val="single" w:color="auto" w:sz="4" w:space="0"/>
              <w:right w:val="single" w:color="auto" w:sz="4" w:space="0"/>
            </w:tcBorders>
            <w:vAlign w:val="bottom"/>
          </w:tcPr>
          <w:p w14:paraId="726E8A3A">
            <w:pPr>
              <w:rPr>
                <w:color w:val="auto"/>
              </w:rPr>
            </w:pPr>
            <w:r>
              <w:rPr>
                <w:rFonts w:hint="eastAsia"/>
                <w:color w:val="auto"/>
              </w:rPr>
              <w:t>11、残疾人及家属带入食品应检查后由护理组长接收保管，专柜存放，并做好登记，定期发放，接受物品未及时发现过期情况；</w:t>
            </w:r>
          </w:p>
        </w:tc>
        <w:tc>
          <w:tcPr>
            <w:tcW w:w="1842" w:type="dxa"/>
            <w:tcBorders>
              <w:top w:val="nil"/>
              <w:left w:val="nil"/>
              <w:bottom w:val="single" w:color="auto" w:sz="4" w:space="0"/>
              <w:right w:val="single" w:color="auto" w:sz="8" w:space="0"/>
            </w:tcBorders>
            <w:vAlign w:val="center"/>
          </w:tcPr>
          <w:p w14:paraId="5262CB5B">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6662D04D">
            <w:pPr>
              <w:rPr>
                <w:color w:val="auto"/>
              </w:rPr>
            </w:pPr>
          </w:p>
        </w:tc>
        <w:tc>
          <w:tcPr>
            <w:tcW w:w="2126" w:type="dxa"/>
            <w:tcBorders>
              <w:top w:val="single" w:color="auto" w:sz="8" w:space="0"/>
              <w:left w:val="nil"/>
              <w:bottom w:val="single" w:color="auto" w:sz="8" w:space="0"/>
              <w:right w:val="single" w:color="auto" w:sz="8" w:space="0"/>
            </w:tcBorders>
            <w:vAlign w:val="center"/>
          </w:tcPr>
          <w:p w14:paraId="21BE93EF">
            <w:pPr>
              <w:rPr>
                <w:color w:val="auto"/>
              </w:rPr>
            </w:pPr>
          </w:p>
        </w:tc>
      </w:tr>
      <w:tr w14:paraId="661B2346">
        <w:tblPrEx>
          <w:tblCellMar>
            <w:top w:w="0" w:type="dxa"/>
            <w:left w:w="108" w:type="dxa"/>
            <w:bottom w:w="0" w:type="dxa"/>
            <w:right w:w="108" w:type="dxa"/>
          </w:tblCellMar>
        </w:tblPrEx>
        <w:trPr>
          <w:trHeight w:val="555" w:hRule="atLeast"/>
        </w:trPr>
        <w:tc>
          <w:tcPr>
            <w:tcW w:w="1277" w:type="dxa"/>
            <w:vMerge w:val="continue"/>
            <w:tcBorders>
              <w:left w:val="single" w:color="auto" w:sz="8" w:space="0"/>
              <w:bottom w:val="single" w:color="auto" w:sz="4" w:space="0"/>
              <w:right w:val="single" w:color="auto" w:sz="4" w:space="0"/>
            </w:tcBorders>
            <w:vAlign w:val="center"/>
          </w:tcPr>
          <w:p w14:paraId="411EDBE5">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6982F4DA">
            <w:pPr>
              <w:rPr>
                <w:color w:val="auto"/>
              </w:rPr>
            </w:pPr>
          </w:p>
        </w:tc>
        <w:tc>
          <w:tcPr>
            <w:tcW w:w="3544" w:type="dxa"/>
            <w:tcBorders>
              <w:top w:val="nil"/>
              <w:left w:val="nil"/>
              <w:bottom w:val="single" w:color="auto" w:sz="8" w:space="0"/>
              <w:right w:val="single" w:color="auto" w:sz="4" w:space="0"/>
            </w:tcBorders>
            <w:vAlign w:val="bottom"/>
          </w:tcPr>
          <w:p w14:paraId="15450DBD">
            <w:pPr>
              <w:rPr>
                <w:color w:val="auto"/>
              </w:rPr>
            </w:pPr>
            <w:r>
              <w:rPr>
                <w:rFonts w:hint="eastAsia"/>
                <w:color w:val="auto"/>
              </w:rPr>
              <w:t>12、零食柜食品应定期检查，不得出现食物过期、霉变等情况，零食柜需保持清洁；</w:t>
            </w:r>
          </w:p>
        </w:tc>
        <w:tc>
          <w:tcPr>
            <w:tcW w:w="1842" w:type="dxa"/>
            <w:tcBorders>
              <w:top w:val="nil"/>
              <w:left w:val="nil"/>
              <w:bottom w:val="single" w:color="auto" w:sz="8" w:space="0"/>
              <w:right w:val="single" w:color="auto" w:sz="8" w:space="0"/>
            </w:tcBorders>
            <w:vAlign w:val="center"/>
          </w:tcPr>
          <w:p w14:paraId="18F8990A">
            <w:pPr>
              <w:rPr>
                <w:color w:val="auto"/>
              </w:rPr>
            </w:pPr>
            <w:r>
              <w:rPr>
                <w:rFonts w:hint="eastAsia"/>
                <w:color w:val="auto"/>
              </w:rPr>
              <w:t>一处不符扣5分；</w:t>
            </w:r>
          </w:p>
        </w:tc>
        <w:tc>
          <w:tcPr>
            <w:tcW w:w="709" w:type="dxa"/>
            <w:tcBorders>
              <w:top w:val="single" w:color="auto" w:sz="8" w:space="0"/>
              <w:left w:val="nil"/>
              <w:bottom w:val="single" w:color="auto" w:sz="8" w:space="0"/>
              <w:right w:val="single" w:color="auto" w:sz="8" w:space="0"/>
            </w:tcBorders>
            <w:vAlign w:val="center"/>
          </w:tcPr>
          <w:p w14:paraId="268189DA">
            <w:pPr>
              <w:rPr>
                <w:color w:val="auto"/>
              </w:rPr>
            </w:pPr>
          </w:p>
        </w:tc>
        <w:tc>
          <w:tcPr>
            <w:tcW w:w="2126" w:type="dxa"/>
            <w:tcBorders>
              <w:top w:val="single" w:color="auto" w:sz="8" w:space="0"/>
              <w:left w:val="nil"/>
              <w:bottom w:val="single" w:color="auto" w:sz="8" w:space="0"/>
              <w:right w:val="single" w:color="auto" w:sz="8" w:space="0"/>
            </w:tcBorders>
            <w:vAlign w:val="center"/>
          </w:tcPr>
          <w:p w14:paraId="7B73611F">
            <w:pPr>
              <w:rPr>
                <w:color w:val="auto"/>
              </w:rPr>
            </w:pPr>
          </w:p>
        </w:tc>
      </w:tr>
      <w:tr w14:paraId="365D5214">
        <w:tblPrEx>
          <w:tblCellMar>
            <w:top w:w="0" w:type="dxa"/>
            <w:left w:w="108" w:type="dxa"/>
            <w:bottom w:w="0" w:type="dxa"/>
            <w:right w:w="108" w:type="dxa"/>
          </w:tblCellMar>
        </w:tblPrEx>
        <w:trPr>
          <w:trHeight w:val="585" w:hRule="atLeast"/>
        </w:trPr>
        <w:tc>
          <w:tcPr>
            <w:tcW w:w="1277" w:type="dxa"/>
            <w:vMerge w:val="restart"/>
            <w:tcBorders>
              <w:top w:val="single" w:color="auto" w:sz="4" w:space="0"/>
              <w:left w:val="single" w:color="auto" w:sz="8" w:space="0"/>
              <w:right w:val="single" w:color="auto" w:sz="4" w:space="0"/>
            </w:tcBorders>
            <w:vAlign w:val="center"/>
          </w:tcPr>
          <w:p w14:paraId="609183C4">
            <w:pPr>
              <w:rPr>
                <w:color w:val="auto"/>
              </w:rPr>
            </w:pPr>
            <w:r>
              <w:rPr>
                <w:rFonts w:hint="eastAsia"/>
                <w:color w:val="auto"/>
              </w:rPr>
              <w:t>康复活动（100分）</w:t>
            </w:r>
          </w:p>
        </w:tc>
        <w:tc>
          <w:tcPr>
            <w:tcW w:w="1134" w:type="dxa"/>
            <w:vMerge w:val="restart"/>
            <w:tcBorders>
              <w:top w:val="single" w:color="auto" w:sz="4" w:space="0"/>
              <w:left w:val="single" w:color="auto" w:sz="4" w:space="0"/>
              <w:right w:val="single" w:color="auto" w:sz="4" w:space="0"/>
            </w:tcBorders>
            <w:vAlign w:val="center"/>
          </w:tcPr>
          <w:p w14:paraId="017D9139">
            <w:pPr>
              <w:rPr>
                <w:color w:val="auto"/>
              </w:rPr>
            </w:pPr>
            <w:r>
              <w:rPr>
                <w:rFonts w:hint="eastAsia"/>
                <w:color w:val="auto"/>
              </w:rPr>
              <w:t>实地考核</w:t>
            </w:r>
          </w:p>
        </w:tc>
        <w:tc>
          <w:tcPr>
            <w:tcW w:w="3544" w:type="dxa"/>
            <w:tcBorders>
              <w:top w:val="nil"/>
              <w:left w:val="nil"/>
              <w:bottom w:val="single" w:color="auto" w:sz="8" w:space="0"/>
              <w:right w:val="single" w:color="auto" w:sz="4" w:space="0"/>
            </w:tcBorders>
          </w:tcPr>
          <w:p w14:paraId="62F30C36">
            <w:pPr>
              <w:rPr>
                <w:color w:val="auto"/>
              </w:rPr>
            </w:pPr>
            <w:r>
              <w:rPr>
                <w:rFonts w:hint="eastAsia"/>
                <w:color w:val="auto"/>
              </w:rPr>
              <w:t>1、定期安排残疾人进行康复训练活动，不得无故推迟或取消相关活动，康复过程中避免残疾人发生可避免的意外；</w:t>
            </w:r>
          </w:p>
        </w:tc>
        <w:tc>
          <w:tcPr>
            <w:tcW w:w="1842" w:type="dxa"/>
            <w:tcBorders>
              <w:top w:val="nil"/>
              <w:left w:val="nil"/>
              <w:bottom w:val="single" w:color="auto" w:sz="8" w:space="0"/>
              <w:right w:val="single" w:color="auto" w:sz="8" w:space="0"/>
            </w:tcBorders>
            <w:vAlign w:val="center"/>
          </w:tcPr>
          <w:p w14:paraId="2AC09047">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209E91F1">
            <w:pPr>
              <w:rPr>
                <w:color w:val="auto"/>
              </w:rPr>
            </w:pPr>
          </w:p>
        </w:tc>
        <w:tc>
          <w:tcPr>
            <w:tcW w:w="2126" w:type="dxa"/>
            <w:tcBorders>
              <w:top w:val="single" w:color="auto" w:sz="8" w:space="0"/>
              <w:left w:val="nil"/>
              <w:bottom w:val="single" w:color="auto" w:sz="8" w:space="0"/>
              <w:right w:val="single" w:color="auto" w:sz="8" w:space="0"/>
            </w:tcBorders>
            <w:vAlign w:val="center"/>
          </w:tcPr>
          <w:p w14:paraId="304B9EBB">
            <w:pPr>
              <w:rPr>
                <w:color w:val="auto"/>
              </w:rPr>
            </w:pPr>
          </w:p>
        </w:tc>
      </w:tr>
      <w:tr w14:paraId="356E22D2">
        <w:tblPrEx>
          <w:tblCellMar>
            <w:top w:w="0" w:type="dxa"/>
            <w:left w:w="108" w:type="dxa"/>
            <w:bottom w:w="0" w:type="dxa"/>
            <w:right w:w="108" w:type="dxa"/>
          </w:tblCellMar>
        </w:tblPrEx>
        <w:trPr>
          <w:trHeight w:val="465" w:hRule="atLeast"/>
        </w:trPr>
        <w:tc>
          <w:tcPr>
            <w:tcW w:w="1277" w:type="dxa"/>
            <w:vMerge w:val="continue"/>
            <w:tcBorders>
              <w:left w:val="single" w:color="auto" w:sz="8" w:space="0"/>
              <w:right w:val="single" w:color="auto" w:sz="4" w:space="0"/>
            </w:tcBorders>
            <w:vAlign w:val="center"/>
          </w:tcPr>
          <w:p w14:paraId="36888094">
            <w:pPr>
              <w:rPr>
                <w:color w:val="auto"/>
              </w:rPr>
            </w:pPr>
          </w:p>
        </w:tc>
        <w:tc>
          <w:tcPr>
            <w:tcW w:w="1134" w:type="dxa"/>
            <w:vMerge w:val="continue"/>
            <w:tcBorders>
              <w:left w:val="single" w:color="auto" w:sz="4" w:space="0"/>
              <w:right w:val="single" w:color="auto" w:sz="4" w:space="0"/>
            </w:tcBorders>
            <w:vAlign w:val="center"/>
          </w:tcPr>
          <w:p w14:paraId="287039FD">
            <w:pPr>
              <w:rPr>
                <w:color w:val="auto"/>
              </w:rPr>
            </w:pPr>
          </w:p>
        </w:tc>
        <w:tc>
          <w:tcPr>
            <w:tcW w:w="3544" w:type="dxa"/>
            <w:tcBorders>
              <w:top w:val="single" w:color="auto" w:sz="8" w:space="0"/>
              <w:left w:val="nil"/>
              <w:bottom w:val="single" w:color="auto" w:sz="8" w:space="0"/>
              <w:right w:val="single" w:color="auto" w:sz="4" w:space="0"/>
            </w:tcBorders>
            <w:vAlign w:val="bottom"/>
          </w:tcPr>
          <w:p w14:paraId="260500D6">
            <w:pPr>
              <w:rPr>
                <w:color w:val="auto"/>
              </w:rPr>
            </w:pPr>
            <w:r>
              <w:rPr>
                <w:rFonts w:hint="eastAsia"/>
                <w:color w:val="auto"/>
              </w:rPr>
              <w:t>2、护理员需陪同本分区残疾人去做康复训练，负责来回路上秩序及安全；</w:t>
            </w:r>
          </w:p>
        </w:tc>
        <w:tc>
          <w:tcPr>
            <w:tcW w:w="1842" w:type="dxa"/>
            <w:tcBorders>
              <w:top w:val="single" w:color="auto" w:sz="8" w:space="0"/>
              <w:left w:val="nil"/>
              <w:bottom w:val="single" w:color="auto" w:sz="8" w:space="0"/>
              <w:right w:val="single" w:color="auto" w:sz="8" w:space="0"/>
            </w:tcBorders>
            <w:vAlign w:val="center"/>
          </w:tcPr>
          <w:p w14:paraId="1576484F">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6B4EF8E0">
            <w:pPr>
              <w:rPr>
                <w:color w:val="auto"/>
              </w:rPr>
            </w:pPr>
          </w:p>
          <w:p w14:paraId="74D70499">
            <w:pPr>
              <w:rPr>
                <w:color w:val="auto"/>
              </w:rPr>
            </w:pPr>
          </w:p>
        </w:tc>
        <w:tc>
          <w:tcPr>
            <w:tcW w:w="2126" w:type="dxa"/>
            <w:tcBorders>
              <w:top w:val="single" w:color="auto" w:sz="8" w:space="0"/>
              <w:left w:val="nil"/>
              <w:bottom w:val="single" w:color="auto" w:sz="8" w:space="0"/>
              <w:right w:val="single" w:color="auto" w:sz="8" w:space="0"/>
            </w:tcBorders>
            <w:vAlign w:val="center"/>
          </w:tcPr>
          <w:p w14:paraId="3E20E70B">
            <w:pPr>
              <w:rPr>
                <w:color w:val="auto"/>
              </w:rPr>
            </w:pPr>
          </w:p>
          <w:p w14:paraId="6B53BC64">
            <w:pPr>
              <w:rPr>
                <w:color w:val="auto"/>
              </w:rPr>
            </w:pPr>
          </w:p>
        </w:tc>
      </w:tr>
      <w:tr w14:paraId="1C209B67">
        <w:tblPrEx>
          <w:tblCellMar>
            <w:top w:w="0" w:type="dxa"/>
            <w:left w:w="108" w:type="dxa"/>
            <w:bottom w:w="0" w:type="dxa"/>
            <w:right w:w="108" w:type="dxa"/>
          </w:tblCellMar>
        </w:tblPrEx>
        <w:trPr>
          <w:trHeight w:val="585" w:hRule="atLeast"/>
        </w:trPr>
        <w:tc>
          <w:tcPr>
            <w:tcW w:w="1277" w:type="dxa"/>
            <w:vMerge w:val="continue"/>
            <w:tcBorders>
              <w:left w:val="single" w:color="auto" w:sz="8" w:space="0"/>
              <w:right w:val="single" w:color="auto" w:sz="4" w:space="0"/>
            </w:tcBorders>
            <w:vAlign w:val="center"/>
          </w:tcPr>
          <w:p w14:paraId="6067EDD1">
            <w:pPr>
              <w:rPr>
                <w:color w:val="auto"/>
              </w:rPr>
            </w:pPr>
          </w:p>
        </w:tc>
        <w:tc>
          <w:tcPr>
            <w:tcW w:w="1134" w:type="dxa"/>
            <w:vMerge w:val="continue"/>
            <w:tcBorders>
              <w:left w:val="single" w:color="auto" w:sz="4" w:space="0"/>
              <w:right w:val="single" w:color="auto" w:sz="4" w:space="0"/>
            </w:tcBorders>
            <w:vAlign w:val="center"/>
          </w:tcPr>
          <w:p w14:paraId="447B92BE">
            <w:pPr>
              <w:rPr>
                <w:color w:val="auto"/>
              </w:rPr>
            </w:pPr>
          </w:p>
        </w:tc>
        <w:tc>
          <w:tcPr>
            <w:tcW w:w="3544" w:type="dxa"/>
            <w:tcBorders>
              <w:top w:val="single" w:color="auto" w:sz="8" w:space="0"/>
              <w:left w:val="nil"/>
              <w:bottom w:val="single" w:color="auto" w:sz="4" w:space="0"/>
              <w:right w:val="single" w:color="auto" w:sz="4" w:space="0"/>
            </w:tcBorders>
            <w:vAlign w:val="bottom"/>
          </w:tcPr>
          <w:p w14:paraId="0D7EAAF8">
            <w:pPr>
              <w:rPr>
                <w:color w:val="auto"/>
              </w:rPr>
            </w:pPr>
            <w:r>
              <w:rPr>
                <w:rFonts w:hint="eastAsia"/>
                <w:color w:val="auto"/>
              </w:rPr>
              <w:t>3、及时联系工疗产品，定期带领残疾人进行工疗，每次工疗需有2-3名工作人员陪护，不得无故推迟或取消工疗活动；</w:t>
            </w:r>
          </w:p>
        </w:tc>
        <w:tc>
          <w:tcPr>
            <w:tcW w:w="1842" w:type="dxa"/>
            <w:tcBorders>
              <w:top w:val="single" w:color="auto" w:sz="8" w:space="0"/>
              <w:left w:val="nil"/>
              <w:bottom w:val="single" w:color="auto" w:sz="4" w:space="0"/>
              <w:right w:val="single" w:color="auto" w:sz="8" w:space="0"/>
            </w:tcBorders>
            <w:vAlign w:val="center"/>
          </w:tcPr>
          <w:p w14:paraId="0EC72AA0">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4EC39CAC">
            <w:pPr>
              <w:rPr>
                <w:color w:val="auto"/>
              </w:rPr>
            </w:pPr>
          </w:p>
        </w:tc>
        <w:tc>
          <w:tcPr>
            <w:tcW w:w="2126" w:type="dxa"/>
            <w:tcBorders>
              <w:top w:val="single" w:color="auto" w:sz="8" w:space="0"/>
              <w:left w:val="nil"/>
              <w:bottom w:val="single" w:color="auto" w:sz="8" w:space="0"/>
              <w:right w:val="single" w:color="auto" w:sz="8" w:space="0"/>
            </w:tcBorders>
            <w:vAlign w:val="center"/>
          </w:tcPr>
          <w:p w14:paraId="075B459C">
            <w:pPr>
              <w:rPr>
                <w:color w:val="auto"/>
              </w:rPr>
            </w:pPr>
          </w:p>
        </w:tc>
      </w:tr>
      <w:tr w14:paraId="0BCA5421">
        <w:tblPrEx>
          <w:tblCellMar>
            <w:top w:w="0" w:type="dxa"/>
            <w:left w:w="108" w:type="dxa"/>
            <w:bottom w:w="0" w:type="dxa"/>
            <w:right w:w="108" w:type="dxa"/>
          </w:tblCellMar>
        </w:tblPrEx>
        <w:trPr>
          <w:trHeight w:val="570" w:hRule="atLeast"/>
        </w:trPr>
        <w:tc>
          <w:tcPr>
            <w:tcW w:w="1277" w:type="dxa"/>
            <w:vMerge w:val="continue"/>
            <w:tcBorders>
              <w:left w:val="single" w:color="auto" w:sz="8" w:space="0"/>
              <w:right w:val="single" w:color="auto" w:sz="4" w:space="0"/>
            </w:tcBorders>
            <w:vAlign w:val="center"/>
          </w:tcPr>
          <w:p w14:paraId="7484C7BF">
            <w:pPr>
              <w:rPr>
                <w:color w:val="auto"/>
              </w:rPr>
            </w:pPr>
          </w:p>
        </w:tc>
        <w:tc>
          <w:tcPr>
            <w:tcW w:w="1134" w:type="dxa"/>
            <w:vMerge w:val="continue"/>
            <w:tcBorders>
              <w:left w:val="single" w:color="auto" w:sz="4" w:space="0"/>
              <w:right w:val="single" w:color="auto" w:sz="4" w:space="0"/>
            </w:tcBorders>
            <w:vAlign w:val="center"/>
          </w:tcPr>
          <w:p w14:paraId="6B22A40B">
            <w:pPr>
              <w:rPr>
                <w:color w:val="auto"/>
              </w:rPr>
            </w:pPr>
          </w:p>
        </w:tc>
        <w:tc>
          <w:tcPr>
            <w:tcW w:w="3544" w:type="dxa"/>
            <w:tcBorders>
              <w:top w:val="nil"/>
              <w:left w:val="nil"/>
              <w:bottom w:val="single" w:color="auto" w:sz="4" w:space="0"/>
              <w:right w:val="single" w:color="auto" w:sz="4" w:space="0"/>
            </w:tcBorders>
            <w:vAlign w:val="bottom"/>
          </w:tcPr>
          <w:p w14:paraId="52A46591">
            <w:pPr>
              <w:rPr>
                <w:color w:val="auto"/>
              </w:rPr>
            </w:pPr>
            <w:r>
              <w:rPr>
                <w:rFonts w:hint="eastAsia"/>
                <w:color w:val="auto"/>
              </w:rPr>
              <w:t>4、定期开展各项农疗、手工等有益残疾人的活动；</w:t>
            </w:r>
          </w:p>
        </w:tc>
        <w:tc>
          <w:tcPr>
            <w:tcW w:w="1842" w:type="dxa"/>
            <w:tcBorders>
              <w:top w:val="nil"/>
              <w:left w:val="nil"/>
              <w:bottom w:val="single" w:color="auto" w:sz="4" w:space="0"/>
              <w:right w:val="single" w:color="auto" w:sz="8" w:space="0"/>
            </w:tcBorders>
            <w:vAlign w:val="center"/>
          </w:tcPr>
          <w:p w14:paraId="010746BC">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6C3DAF11">
            <w:pPr>
              <w:rPr>
                <w:color w:val="auto"/>
              </w:rPr>
            </w:pPr>
          </w:p>
        </w:tc>
        <w:tc>
          <w:tcPr>
            <w:tcW w:w="2126" w:type="dxa"/>
            <w:tcBorders>
              <w:top w:val="single" w:color="auto" w:sz="8" w:space="0"/>
              <w:left w:val="nil"/>
              <w:bottom w:val="single" w:color="auto" w:sz="8" w:space="0"/>
              <w:right w:val="single" w:color="auto" w:sz="8" w:space="0"/>
            </w:tcBorders>
            <w:vAlign w:val="center"/>
          </w:tcPr>
          <w:p w14:paraId="233E5CFC">
            <w:pPr>
              <w:rPr>
                <w:color w:val="auto"/>
              </w:rPr>
            </w:pPr>
          </w:p>
        </w:tc>
      </w:tr>
      <w:tr w14:paraId="447471FF">
        <w:tblPrEx>
          <w:tblCellMar>
            <w:top w:w="0" w:type="dxa"/>
            <w:left w:w="108" w:type="dxa"/>
            <w:bottom w:w="0" w:type="dxa"/>
            <w:right w:w="108" w:type="dxa"/>
          </w:tblCellMar>
        </w:tblPrEx>
        <w:trPr>
          <w:trHeight w:val="735" w:hRule="atLeast"/>
        </w:trPr>
        <w:tc>
          <w:tcPr>
            <w:tcW w:w="1277" w:type="dxa"/>
            <w:vMerge w:val="continue"/>
            <w:tcBorders>
              <w:left w:val="single" w:color="auto" w:sz="8" w:space="0"/>
              <w:right w:val="single" w:color="auto" w:sz="4" w:space="0"/>
            </w:tcBorders>
            <w:vAlign w:val="center"/>
          </w:tcPr>
          <w:p w14:paraId="1579ED4E">
            <w:pPr>
              <w:rPr>
                <w:color w:val="auto"/>
              </w:rPr>
            </w:pPr>
          </w:p>
        </w:tc>
        <w:tc>
          <w:tcPr>
            <w:tcW w:w="1134" w:type="dxa"/>
            <w:vMerge w:val="continue"/>
            <w:tcBorders>
              <w:left w:val="single" w:color="auto" w:sz="4" w:space="0"/>
              <w:right w:val="single" w:color="auto" w:sz="4" w:space="0"/>
            </w:tcBorders>
            <w:vAlign w:val="center"/>
          </w:tcPr>
          <w:p w14:paraId="2B3BB65F">
            <w:pPr>
              <w:rPr>
                <w:color w:val="auto"/>
              </w:rPr>
            </w:pPr>
          </w:p>
        </w:tc>
        <w:tc>
          <w:tcPr>
            <w:tcW w:w="3544" w:type="dxa"/>
            <w:tcBorders>
              <w:top w:val="nil"/>
              <w:left w:val="nil"/>
              <w:bottom w:val="single" w:color="auto" w:sz="4" w:space="0"/>
              <w:right w:val="single" w:color="auto" w:sz="4" w:space="0"/>
            </w:tcBorders>
            <w:vAlign w:val="bottom"/>
          </w:tcPr>
          <w:p w14:paraId="76949A71">
            <w:pPr>
              <w:rPr>
                <w:color w:val="auto"/>
              </w:rPr>
            </w:pPr>
            <w:r>
              <w:rPr>
                <w:rFonts w:hint="eastAsia"/>
                <w:color w:val="auto"/>
              </w:rPr>
              <w:t>5、主动配合各项活动，残疾人有需求时及时协助，如上厕所、发脾气等，活动过程工作人员全程陪同；</w:t>
            </w:r>
          </w:p>
        </w:tc>
        <w:tc>
          <w:tcPr>
            <w:tcW w:w="1842" w:type="dxa"/>
            <w:tcBorders>
              <w:top w:val="nil"/>
              <w:left w:val="nil"/>
              <w:bottom w:val="single" w:color="auto" w:sz="4" w:space="0"/>
              <w:right w:val="single" w:color="auto" w:sz="8" w:space="0"/>
            </w:tcBorders>
            <w:vAlign w:val="center"/>
          </w:tcPr>
          <w:p w14:paraId="243B3604">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7619A9FF">
            <w:pPr>
              <w:rPr>
                <w:color w:val="auto"/>
              </w:rPr>
            </w:pPr>
          </w:p>
        </w:tc>
        <w:tc>
          <w:tcPr>
            <w:tcW w:w="2126" w:type="dxa"/>
            <w:tcBorders>
              <w:top w:val="single" w:color="auto" w:sz="8" w:space="0"/>
              <w:left w:val="nil"/>
              <w:bottom w:val="single" w:color="auto" w:sz="8" w:space="0"/>
              <w:right w:val="single" w:color="auto" w:sz="8" w:space="0"/>
            </w:tcBorders>
            <w:vAlign w:val="center"/>
          </w:tcPr>
          <w:p w14:paraId="7E5FDF77">
            <w:pPr>
              <w:rPr>
                <w:color w:val="auto"/>
              </w:rPr>
            </w:pPr>
          </w:p>
        </w:tc>
      </w:tr>
      <w:tr w14:paraId="698BFFCF">
        <w:tblPrEx>
          <w:tblCellMar>
            <w:top w:w="0" w:type="dxa"/>
            <w:left w:w="108" w:type="dxa"/>
            <w:bottom w:w="0" w:type="dxa"/>
            <w:right w:w="108" w:type="dxa"/>
          </w:tblCellMar>
        </w:tblPrEx>
        <w:trPr>
          <w:trHeight w:val="465" w:hRule="atLeast"/>
        </w:trPr>
        <w:tc>
          <w:tcPr>
            <w:tcW w:w="1277" w:type="dxa"/>
            <w:vMerge w:val="continue"/>
            <w:tcBorders>
              <w:left w:val="single" w:color="auto" w:sz="8" w:space="0"/>
              <w:bottom w:val="single" w:color="000000" w:sz="8" w:space="0"/>
              <w:right w:val="single" w:color="auto" w:sz="4" w:space="0"/>
            </w:tcBorders>
            <w:vAlign w:val="center"/>
          </w:tcPr>
          <w:p w14:paraId="069346A7">
            <w:pPr>
              <w:rPr>
                <w:color w:val="auto"/>
              </w:rPr>
            </w:pPr>
          </w:p>
        </w:tc>
        <w:tc>
          <w:tcPr>
            <w:tcW w:w="1134" w:type="dxa"/>
            <w:vMerge w:val="continue"/>
            <w:tcBorders>
              <w:left w:val="single" w:color="auto" w:sz="4" w:space="0"/>
              <w:bottom w:val="single" w:color="000000" w:sz="8" w:space="0"/>
              <w:right w:val="single" w:color="auto" w:sz="4" w:space="0"/>
            </w:tcBorders>
            <w:vAlign w:val="center"/>
          </w:tcPr>
          <w:p w14:paraId="17AF1B8F">
            <w:pPr>
              <w:rPr>
                <w:color w:val="auto"/>
              </w:rPr>
            </w:pPr>
          </w:p>
        </w:tc>
        <w:tc>
          <w:tcPr>
            <w:tcW w:w="3544" w:type="dxa"/>
            <w:tcBorders>
              <w:top w:val="nil"/>
              <w:left w:val="nil"/>
              <w:bottom w:val="single" w:color="auto" w:sz="8" w:space="0"/>
              <w:right w:val="single" w:color="auto" w:sz="4" w:space="0"/>
            </w:tcBorders>
            <w:vAlign w:val="bottom"/>
          </w:tcPr>
          <w:p w14:paraId="426B3E84">
            <w:pPr>
              <w:rPr>
                <w:color w:val="auto"/>
              </w:rPr>
            </w:pPr>
            <w:r>
              <w:rPr>
                <w:rFonts w:hint="eastAsia"/>
                <w:color w:val="auto"/>
              </w:rPr>
              <w:t>6、遵守劳动纪律，不得私自聊天、玩手机等，配合维持活动秩序。</w:t>
            </w:r>
          </w:p>
        </w:tc>
        <w:tc>
          <w:tcPr>
            <w:tcW w:w="1842" w:type="dxa"/>
            <w:tcBorders>
              <w:top w:val="nil"/>
              <w:left w:val="nil"/>
              <w:bottom w:val="single" w:color="auto" w:sz="8" w:space="0"/>
              <w:right w:val="single" w:color="auto" w:sz="8" w:space="0"/>
            </w:tcBorders>
            <w:vAlign w:val="center"/>
          </w:tcPr>
          <w:p w14:paraId="05F120EA">
            <w:pPr>
              <w:rPr>
                <w:color w:val="auto"/>
              </w:rPr>
            </w:pPr>
            <w:r>
              <w:rPr>
                <w:rFonts w:hint="eastAsia"/>
                <w:color w:val="auto"/>
              </w:rPr>
              <w:t>一处不符扣2分；</w:t>
            </w:r>
          </w:p>
        </w:tc>
        <w:tc>
          <w:tcPr>
            <w:tcW w:w="709" w:type="dxa"/>
            <w:tcBorders>
              <w:top w:val="single" w:color="auto" w:sz="8" w:space="0"/>
              <w:left w:val="nil"/>
              <w:bottom w:val="single" w:color="auto" w:sz="8" w:space="0"/>
              <w:right w:val="single" w:color="auto" w:sz="8" w:space="0"/>
            </w:tcBorders>
            <w:vAlign w:val="center"/>
          </w:tcPr>
          <w:p w14:paraId="5386B3BF">
            <w:pPr>
              <w:rPr>
                <w:color w:val="auto"/>
              </w:rPr>
            </w:pPr>
          </w:p>
        </w:tc>
        <w:tc>
          <w:tcPr>
            <w:tcW w:w="2126" w:type="dxa"/>
            <w:tcBorders>
              <w:top w:val="single" w:color="auto" w:sz="8" w:space="0"/>
              <w:left w:val="nil"/>
              <w:bottom w:val="single" w:color="auto" w:sz="8" w:space="0"/>
              <w:right w:val="single" w:color="auto" w:sz="8" w:space="0"/>
            </w:tcBorders>
            <w:vAlign w:val="center"/>
          </w:tcPr>
          <w:p w14:paraId="02D54A44">
            <w:pPr>
              <w:rPr>
                <w:color w:val="auto"/>
              </w:rPr>
            </w:pPr>
          </w:p>
        </w:tc>
      </w:tr>
    </w:tbl>
    <w:p w14:paraId="0401D17A">
      <w:pPr>
        <w:rPr>
          <w:color w:val="auto"/>
        </w:rPr>
      </w:pPr>
    </w:p>
    <w:p w14:paraId="21BBE8D2">
      <w:pPr>
        <w:rPr>
          <w:color w:val="auto"/>
        </w:rPr>
      </w:pPr>
    </w:p>
    <w:p w14:paraId="6505CCFC">
      <w:pPr>
        <w:rPr>
          <w:color w:val="auto"/>
        </w:rPr>
      </w:pPr>
    </w:p>
    <w:p w14:paraId="23FBDD6F">
      <w:pPr>
        <w:rPr>
          <w:color w:val="auto"/>
        </w:rPr>
      </w:pPr>
    </w:p>
    <w:p w14:paraId="4DB49990">
      <w:pPr>
        <w:rPr>
          <w:color w:val="auto"/>
        </w:rPr>
      </w:pPr>
    </w:p>
    <w:p w14:paraId="610EFEA8">
      <w:pPr>
        <w:rPr>
          <w:color w:val="auto"/>
        </w:rPr>
      </w:pPr>
    </w:p>
    <w:p w14:paraId="219F0FC8">
      <w:pPr>
        <w:rPr>
          <w:color w:val="auto"/>
        </w:rPr>
      </w:pPr>
    </w:p>
    <w:p w14:paraId="790101B4">
      <w:pPr>
        <w:rPr>
          <w:color w:val="auto"/>
        </w:rPr>
      </w:pPr>
    </w:p>
    <w:p w14:paraId="115D1AC1">
      <w:pPr>
        <w:rPr>
          <w:color w:val="auto"/>
        </w:rPr>
      </w:pPr>
    </w:p>
    <w:p w14:paraId="366515AE">
      <w:pPr>
        <w:ind w:firstLine="1101"/>
        <w:jc w:val="center"/>
        <w:rPr>
          <w:rFonts w:ascii="华文新魏" w:eastAsia="华文新魏"/>
          <w:b/>
          <w:bCs/>
          <w:color w:val="auto"/>
          <w:sz w:val="44"/>
          <w:szCs w:val="44"/>
        </w:rPr>
        <w:sectPr>
          <w:pgSz w:w="11906" w:h="16838"/>
          <w:pgMar w:top="1440" w:right="1587" w:bottom="1440" w:left="1633" w:header="851" w:footer="992" w:gutter="0"/>
          <w:pgNumType w:fmt="decimal"/>
          <w:cols w:space="0" w:num="1"/>
          <w:docGrid w:type="lines" w:linePitch="312" w:charSpace="0"/>
        </w:sectPr>
      </w:pPr>
    </w:p>
    <w:p w14:paraId="114D8374">
      <w:pPr>
        <w:ind w:firstLine="1101"/>
        <w:jc w:val="center"/>
        <w:rPr>
          <w:rFonts w:ascii="华文新魏" w:eastAsia="华文新魏"/>
          <w:b/>
          <w:bCs/>
          <w:color w:val="auto"/>
          <w:sz w:val="44"/>
          <w:szCs w:val="44"/>
        </w:rPr>
      </w:pPr>
      <w:r>
        <w:rPr>
          <w:rFonts w:hint="eastAsia" w:ascii="华文新魏" w:eastAsia="华文新魏"/>
          <w:b/>
          <w:bCs/>
          <w:color w:val="auto"/>
          <w:sz w:val="44"/>
          <w:szCs w:val="44"/>
        </w:rPr>
        <w:t>后勤管理考核评分表</w:t>
      </w:r>
    </w:p>
    <w:tbl>
      <w:tblPr>
        <w:tblStyle w:val="26"/>
        <w:tblpPr w:leftFromText="180" w:rightFromText="180" w:vertAnchor="text" w:horzAnchor="margin" w:tblpXSpec="center" w:tblpY="618"/>
        <w:tblOverlap w:val="never"/>
        <w:tblW w:w="10625" w:type="dxa"/>
        <w:tblInd w:w="0" w:type="dxa"/>
        <w:tblLayout w:type="fixed"/>
        <w:tblCellMar>
          <w:top w:w="0" w:type="dxa"/>
          <w:left w:w="108" w:type="dxa"/>
          <w:bottom w:w="0" w:type="dxa"/>
          <w:right w:w="108" w:type="dxa"/>
        </w:tblCellMar>
      </w:tblPr>
      <w:tblGrid>
        <w:gridCol w:w="534"/>
        <w:gridCol w:w="1134"/>
        <w:gridCol w:w="3388"/>
        <w:gridCol w:w="1842"/>
        <w:gridCol w:w="993"/>
        <w:gridCol w:w="2734"/>
      </w:tblGrid>
      <w:tr w14:paraId="21116823">
        <w:tblPrEx>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6D3DF99E">
            <w:pPr>
              <w:ind w:firstLine="602"/>
              <w:rPr>
                <w:b/>
                <w:bCs/>
                <w:color w:val="auto"/>
              </w:rPr>
            </w:pPr>
            <w:r>
              <w:rPr>
                <w:rFonts w:hint="eastAsia"/>
                <w:b/>
                <w:bCs/>
                <w:color w:val="auto"/>
              </w:rPr>
              <w:t>项目</w:t>
            </w:r>
          </w:p>
        </w:tc>
        <w:tc>
          <w:tcPr>
            <w:tcW w:w="1134" w:type="dxa"/>
            <w:tcBorders>
              <w:top w:val="single" w:color="auto" w:sz="4" w:space="0"/>
              <w:left w:val="single" w:color="auto" w:sz="4" w:space="0"/>
              <w:bottom w:val="single" w:color="auto" w:sz="4" w:space="0"/>
              <w:right w:val="single" w:color="auto" w:sz="4" w:space="0"/>
            </w:tcBorders>
            <w:vAlign w:val="center"/>
          </w:tcPr>
          <w:p w14:paraId="77B136E7">
            <w:pPr>
              <w:ind w:firstLine="602"/>
              <w:rPr>
                <w:b/>
                <w:bCs/>
                <w:color w:val="auto"/>
              </w:rPr>
            </w:pPr>
            <w:r>
              <w:rPr>
                <w:b/>
                <w:bCs/>
                <w:color w:val="auto"/>
              </w:rPr>
              <w:t>检查方法</w:t>
            </w:r>
          </w:p>
        </w:tc>
        <w:tc>
          <w:tcPr>
            <w:tcW w:w="3388" w:type="dxa"/>
            <w:tcBorders>
              <w:top w:val="single" w:color="auto" w:sz="4" w:space="0"/>
              <w:left w:val="nil"/>
              <w:bottom w:val="single" w:color="auto" w:sz="4" w:space="0"/>
              <w:right w:val="single" w:color="auto" w:sz="4" w:space="0"/>
            </w:tcBorders>
            <w:vAlign w:val="center"/>
          </w:tcPr>
          <w:p w14:paraId="2B34B03C">
            <w:pPr>
              <w:ind w:firstLine="602"/>
              <w:rPr>
                <w:b/>
                <w:bCs/>
                <w:color w:val="auto"/>
              </w:rPr>
            </w:pPr>
            <w:r>
              <w:rPr>
                <w:rFonts w:hint="eastAsia"/>
                <w:b/>
                <w:bCs/>
                <w:color w:val="auto"/>
              </w:rPr>
              <w:t>标准内容</w:t>
            </w:r>
          </w:p>
        </w:tc>
        <w:tc>
          <w:tcPr>
            <w:tcW w:w="1842" w:type="dxa"/>
            <w:tcBorders>
              <w:top w:val="single" w:color="auto" w:sz="4" w:space="0"/>
              <w:left w:val="nil"/>
              <w:bottom w:val="single" w:color="auto" w:sz="4" w:space="0"/>
              <w:right w:val="single" w:color="auto" w:sz="4" w:space="0"/>
            </w:tcBorders>
            <w:vAlign w:val="center"/>
          </w:tcPr>
          <w:p w14:paraId="1AE49D60">
            <w:pPr>
              <w:ind w:firstLine="602"/>
              <w:rPr>
                <w:b/>
                <w:bCs/>
                <w:color w:val="auto"/>
              </w:rPr>
            </w:pPr>
            <w:r>
              <w:rPr>
                <w:rFonts w:hint="eastAsia"/>
                <w:b/>
                <w:bCs/>
                <w:color w:val="auto"/>
              </w:rPr>
              <w:t>评分标准</w:t>
            </w:r>
          </w:p>
        </w:tc>
        <w:tc>
          <w:tcPr>
            <w:tcW w:w="993" w:type="dxa"/>
            <w:tcBorders>
              <w:top w:val="single" w:color="auto" w:sz="4" w:space="0"/>
              <w:left w:val="nil"/>
              <w:bottom w:val="single" w:color="auto" w:sz="4" w:space="0"/>
              <w:right w:val="single" w:color="auto" w:sz="4" w:space="0"/>
            </w:tcBorders>
          </w:tcPr>
          <w:p w14:paraId="625C3A0E">
            <w:pPr>
              <w:ind w:firstLine="602"/>
              <w:rPr>
                <w:b/>
                <w:bCs/>
                <w:color w:val="auto"/>
              </w:rPr>
            </w:pPr>
            <w:r>
              <w:rPr>
                <w:rFonts w:hint="eastAsia"/>
                <w:b/>
                <w:bCs/>
                <w:color w:val="auto"/>
              </w:rPr>
              <w:t>扣分</w:t>
            </w:r>
          </w:p>
        </w:tc>
        <w:tc>
          <w:tcPr>
            <w:tcW w:w="2734" w:type="dxa"/>
            <w:tcBorders>
              <w:top w:val="single" w:color="auto" w:sz="4" w:space="0"/>
              <w:left w:val="nil"/>
              <w:bottom w:val="single" w:color="auto" w:sz="4" w:space="0"/>
              <w:right w:val="single" w:color="auto" w:sz="4" w:space="0"/>
            </w:tcBorders>
          </w:tcPr>
          <w:p w14:paraId="3CF97DB9">
            <w:pPr>
              <w:ind w:firstLine="602"/>
              <w:rPr>
                <w:b/>
                <w:bCs/>
                <w:color w:val="auto"/>
              </w:rPr>
            </w:pPr>
            <w:r>
              <w:rPr>
                <w:rFonts w:hint="eastAsia"/>
                <w:b/>
                <w:bCs/>
                <w:color w:val="auto"/>
              </w:rPr>
              <w:t>扣分原因</w:t>
            </w:r>
          </w:p>
        </w:tc>
      </w:tr>
      <w:tr w14:paraId="55DF6180">
        <w:tblPrEx>
          <w:tblCellMar>
            <w:top w:w="0" w:type="dxa"/>
            <w:left w:w="108" w:type="dxa"/>
            <w:bottom w:w="0" w:type="dxa"/>
            <w:right w:w="108" w:type="dxa"/>
          </w:tblCellMar>
        </w:tblPrEx>
        <w:trPr>
          <w:trHeight w:val="495" w:hRule="atLeast"/>
        </w:trPr>
        <w:tc>
          <w:tcPr>
            <w:tcW w:w="534" w:type="dxa"/>
            <w:vMerge w:val="restart"/>
            <w:tcBorders>
              <w:top w:val="single" w:color="auto" w:sz="4" w:space="0"/>
              <w:left w:val="single" w:color="auto" w:sz="4" w:space="0"/>
              <w:right w:val="single" w:color="auto" w:sz="4" w:space="0"/>
            </w:tcBorders>
            <w:vAlign w:val="center"/>
          </w:tcPr>
          <w:p w14:paraId="09D8615D">
            <w:pPr>
              <w:jc w:val="center"/>
              <w:rPr>
                <w:color w:val="auto"/>
              </w:rPr>
            </w:pPr>
            <w:r>
              <w:rPr>
                <w:color w:val="auto"/>
              </w:rPr>
              <w:t>食堂</w:t>
            </w:r>
            <w:r>
              <w:rPr>
                <w:rFonts w:hint="eastAsia"/>
                <w:color w:val="auto"/>
              </w:rPr>
              <w:t>管理</w:t>
            </w:r>
          </w:p>
        </w:tc>
        <w:tc>
          <w:tcPr>
            <w:tcW w:w="1134" w:type="dxa"/>
            <w:vMerge w:val="restart"/>
            <w:tcBorders>
              <w:top w:val="single" w:color="auto" w:sz="4" w:space="0"/>
              <w:left w:val="single" w:color="auto" w:sz="4" w:space="0"/>
              <w:right w:val="single" w:color="auto" w:sz="4" w:space="0"/>
            </w:tcBorders>
            <w:vAlign w:val="center"/>
          </w:tcPr>
          <w:p w14:paraId="1DF92B41">
            <w:pPr>
              <w:rPr>
                <w:color w:val="auto"/>
              </w:rPr>
            </w:pPr>
            <w:r>
              <w:rPr>
                <w:color w:val="auto"/>
              </w:rPr>
              <w:t>实地考核</w:t>
            </w:r>
          </w:p>
        </w:tc>
        <w:tc>
          <w:tcPr>
            <w:tcW w:w="3388" w:type="dxa"/>
            <w:tcBorders>
              <w:top w:val="single" w:color="auto" w:sz="4" w:space="0"/>
              <w:left w:val="nil"/>
              <w:bottom w:val="single" w:color="auto" w:sz="4" w:space="0"/>
              <w:right w:val="single" w:color="auto" w:sz="4" w:space="0"/>
            </w:tcBorders>
            <w:vAlign w:val="center"/>
          </w:tcPr>
          <w:p w14:paraId="1F1D68AD">
            <w:pPr>
              <w:rPr>
                <w:color w:val="auto"/>
              </w:rPr>
            </w:pPr>
            <w:r>
              <w:rPr>
                <w:rFonts w:hint="eastAsia"/>
                <w:color w:val="auto"/>
              </w:rPr>
              <w:t>1、仪表、着装符合要求，穿戴洁净的工作服、工作帽和口罩等，并保持个人卫生；</w:t>
            </w:r>
          </w:p>
        </w:tc>
        <w:tc>
          <w:tcPr>
            <w:tcW w:w="1842" w:type="dxa"/>
            <w:tcBorders>
              <w:top w:val="single" w:color="auto" w:sz="4" w:space="0"/>
              <w:left w:val="nil"/>
              <w:bottom w:val="single" w:color="auto" w:sz="4" w:space="0"/>
              <w:right w:val="single" w:color="auto" w:sz="4" w:space="0"/>
            </w:tcBorders>
            <w:vAlign w:val="center"/>
          </w:tcPr>
          <w:p w14:paraId="5A89F067">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7F925460">
            <w:pPr>
              <w:rPr>
                <w:color w:val="auto"/>
              </w:rPr>
            </w:pPr>
          </w:p>
        </w:tc>
        <w:tc>
          <w:tcPr>
            <w:tcW w:w="2734" w:type="dxa"/>
            <w:tcBorders>
              <w:top w:val="single" w:color="auto" w:sz="4" w:space="0"/>
              <w:left w:val="nil"/>
              <w:bottom w:val="single" w:color="auto" w:sz="4" w:space="0"/>
              <w:right w:val="single" w:color="auto" w:sz="4" w:space="0"/>
            </w:tcBorders>
          </w:tcPr>
          <w:p w14:paraId="3CC05BCC">
            <w:pPr>
              <w:rPr>
                <w:color w:val="auto"/>
              </w:rPr>
            </w:pPr>
          </w:p>
        </w:tc>
      </w:tr>
      <w:tr w14:paraId="371076AE">
        <w:tblPrEx>
          <w:tblCellMar>
            <w:top w:w="0" w:type="dxa"/>
            <w:left w:w="108" w:type="dxa"/>
            <w:bottom w:w="0" w:type="dxa"/>
            <w:right w:w="108" w:type="dxa"/>
          </w:tblCellMar>
        </w:tblPrEx>
        <w:trPr>
          <w:trHeight w:val="415" w:hRule="atLeast"/>
        </w:trPr>
        <w:tc>
          <w:tcPr>
            <w:tcW w:w="534" w:type="dxa"/>
            <w:vMerge w:val="continue"/>
            <w:tcBorders>
              <w:left w:val="single" w:color="auto" w:sz="4" w:space="0"/>
              <w:right w:val="single" w:color="auto" w:sz="4" w:space="0"/>
            </w:tcBorders>
            <w:vAlign w:val="center"/>
          </w:tcPr>
          <w:p w14:paraId="6D016A83">
            <w:pPr>
              <w:jc w:val="center"/>
              <w:rPr>
                <w:color w:val="auto"/>
              </w:rPr>
            </w:pPr>
          </w:p>
        </w:tc>
        <w:tc>
          <w:tcPr>
            <w:tcW w:w="1134" w:type="dxa"/>
            <w:vMerge w:val="continue"/>
            <w:tcBorders>
              <w:left w:val="single" w:color="auto" w:sz="4" w:space="0"/>
              <w:right w:val="single" w:color="auto" w:sz="4" w:space="0"/>
            </w:tcBorders>
            <w:vAlign w:val="center"/>
          </w:tcPr>
          <w:p w14:paraId="33A385F9">
            <w:pPr>
              <w:rPr>
                <w:color w:val="auto"/>
              </w:rPr>
            </w:pPr>
          </w:p>
        </w:tc>
        <w:tc>
          <w:tcPr>
            <w:tcW w:w="3388" w:type="dxa"/>
            <w:tcBorders>
              <w:top w:val="single" w:color="auto" w:sz="4" w:space="0"/>
              <w:left w:val="nil"/>
              <w:bottom w:val="single" w:color="auto" w:sz="4" w:space="0"/>
              <w:right w:val="single" w:color="auto" w:sz="4" w:space="0"/>
            </w:tcBorders>
            <w:vAlign w:val="center"/>
          </w:tcPr>
          <w:p w14:paraId="0D02332F">
            <w:pPr>
              <w:rPr>
                <w:color w:val="auto"/>
              </w:rPr>
            </w:pPr>
            <w:r>
              <w:rPr>
                <w:rFonts w:hint="eastAsia"/>
                <w:color w:val="auto"/>
              </w:rPr>
              <w:t>2、厨房及餐厅干净整洁，无污渍、油渍、积水，无异味，无苍蝇、飞虫等，食堂垃圾及时处理；</w:t>
            </w:r>
          </w:p>
        </w:tc>
        <w:tc>
          <w:tcPr>
            <w:tcW w:w="1842" w:type="dxa"/>
            <w:tcBorders>
              <w:top w:val="single" w:color="auto" w:sz="4" w:space="0"/>
              <w:left w:val="nil"/>
              <w:bottom w:val="single" w:color="auto" w:sz="4" w:space="0"/>
              <w:right w:val="single" w:color="auto" w:sz="4" w:space="0"/>
            </w:tcBorders>
            <w:vAlign w:val="center"/>
          </w:tcPr>
          <w:p w14:paraId="51AE7B5E">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48DE5C1A">
            <w:pPr>
              <w:rPr>
                <w:color w:val="auto"/>
              </w:rPr>
            </w:pPr>
          </w:p>
        </w:tc>
        <w:tc>
          <w:tcPr>
            <w:tcW w:w="2734" w:type="dxa"/>
            <w:tcBorders>
              <w:top w:val="single" w:color="auto" w:sz="4" w:space="0"/>
              <w:left w:val="nil"/>
              <w:bottom w:val="single" w:color="auto" w:sz="4" w:space="0"/>
              <w:right w:val="single" w:color="auto" w:sz="4" w:space="0"/>
            </w:tcBorders>
          </w:tcPr>
          <w:p w14:paraId="2C65800B">
            <w:pPr>
              <w:rPr>
                <w:color w:val="auto"/>
              </w:rPr>
            </w:pPr>
          </w:p>
        </w:tc>
      </w:tr>
      <w:tr w14:paraId="74A01154">
        <w:tblPrEx>
          <w:tblCellMar>
            <w:top w:w="0" w:type="dxa"/>
            <w:left w:w="108" w:type="dxa"/>
            <w:bottom w:w="0" w:type="dxa"/>
            <w:right w:w="108" w:type="dxa"/>
          </w:tblCellMar>
        </w:tblPrEx>
        <w:trPr>
          <w:trHeight w:val="196" w:hRule="atLeast"/>
        </w:trPr>
        <w:tc>
          <w:tcPr>
            <w:tcW w:w="534" w:type="dxa"/>
            <w:vMerge w:val="continue"/>
            <w:tcBorders>
              <w:left w:val="single" w:color="auto" w:sz="4" w:space="0"/>
              <w:right w:val="single" w:color="auto" w:sz="4" w:space="0"/>
            </w:tcBorders>
            <w:vAlign w:val="center"/>
          </w:tcPr>
          <w:p w14:paraId="6E14DE59">
            <w:pPr>
              <w:jc w:val="center"/>
              <w:rPr>
                <w:color w:val="auto"/>
              </w:rPr>
            </w:pPr>
          </w:p>
        </w:tc>
        <w:tc>
          <w:tcPr>
            <w:tcW w:w="1134" w:type="dxa"/>
            <w:vMerge w:val="continue"/>
            <w:tcBorders>
              <w:left w:val="single" w:color="auto" w:sz="4" w:space="0"/>
              <w:right w:val="single" w:color="auto" w:sz="4" w:space="0"/>
            </w:tcBorders>
            <w:vAlign w:val="center"/>
          </w:tcPr>
          <w:p w14:paraId="53E83DF7">
            <w:pPr>
              <w:rPr>
                <w:color w:val="auto"/>
              </w:rPr>
            </w:pPr>
          </w:p>
        </w:tc>
        <w:tc>
          <w:tcPr>
            <w:tcW w:w="3388" w:type="dxa"/>
            <w:tcBorders>
              <w:top w:val="single" w:color="auto" w:sz="4" w:space="0"/>
              <w:left w:val="nil"/>
              <w:bottom w:val="single" w:color="auto" w:sz="4" w:space="0"/>
              <w:right w:val="single" w:color="auto" w:sz="4" w:space="0"/>
            </w:tcBorders>
            <w:vAlign w:val="center"/>
          </w:tcPr>
          <w:p w14:paraId="2ABF6440">
            <w:pPr>
              <w:rPr>
                <w:color w:val="auto"/>
              </w:rPr>
            </w:pPr>
            <w:r>
              <w:rPr>
                <w:rFonts w:hint="eastAsia"/>
                <w:color w:val="auto"/>
              </w:rPr>
              <w:t>3、食品、材料等定期检查，不得出现过期、霉变、浪费等情况；</w:t>
            </w:r>
          </w:p>
        </w:tc>
        <w:tc>
          <w:tcPr>
            <w:tcW w:w="1842" w:type="dxa"/>
            <w:tcBorders>
              <w:top w:val="single" w:color="auto" w:sz="4" w:space="0"/>
              <w:left w:val="nil"/>
              <w:bottom w:val="single" w:color="auto" w:sz="4" w:space="0"/>
              <w:right w:val="single" w:color="auto" w:sz="4" w:space="0"/>
            </w:tcBorders>
            <w:vAlign w:val="center"/>
          </w:tcPr>
          <w:p w14:paraId="2DB989C8">
            <w:pPr>
              <w:rPr>
                <w:color w:val="auto"/>
              </w:rPr>
            </w:pPr>
            <w:r>
              <w:rPr>
                <w:rFonts w:hint="eastAsia"/>
                <w:color w:val="auto"/>
              </w:rPr>
              <w:t>一处不符扣5分；</w:t>
            </w:r>
          </w:p>
        </w:tc>
        <w:tc>
          <w:tcPr>
            <w:tcW w:w="993" w:type="dxa"/>
            <w:tcBorders>
              <w:top w:val="single" w:color="auto" w:sz="4" w:space="0"/>
              <w:left w:val="nil"/>
              <w:bottom w:val="single" w:color="auto" w:sz="4" w:space="0"/>
              <w:right w:val="single" w:color="auto" w:sz="4" w:space="0"/>
            </w:tcBorders>
          </w:tcPr>
          <w:p w14:paraId="033FBFE0">
            <w:pPr>
              <w:rPr>
                <w:color w:val="auto"/>
              </w:rPr>
            </w:pPr>
          </w:p>
        </w:tc>
        <w:tc>
          <w:tcPr>
            <w:tcW w:w="2734" w:type="dxa"/>
            <w:tcBorders>
              <w:top w:val="single" w:color="auto" w:sz="4" w:space="0"/>
              <w:left w:val="nil"/>
              <w:bottom w:val="single" w:color="auto" w:sz="4" w:space="0"/>
              <w:right w:val="single" w:color="auto" w:sz="4" w:space="0"/>
            </w:tcBorders>
          </w:tcPr>
          <w:p w14:paraId="1B83C1AF">
            <w:pPr>
              <w:rPr>
                <w:color w:val="auto"/>
              </w:rPr>
            </w:pPr>
          </w:p>
        </w:tc>
      </w:tr>
      <w:tr w14:paraId="503DD919">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3FA69C97">
            <w:pPr>
              <w:jc w:val="center"/>
              <w:rPr>
                <w:color w:val="auto"/>
              </w:rPr>
            </w:pPr>
          </w:p>
        </w:tc>
        <w:tc>
          <w:tcPr>
            <w:tcW w:w="1134" w:type="dxa"/>
            <w:vMerge w:val="continue"/>
            <w:tcBorders>
              <w:left w:val="single" w:color="auto" w:sz="4" w:space="0"/>
              <w:right w:val="single" w:color="auto" w:sz="4" w:space="0"/>
            </w:tcBorders>
            <w:vAlign w:val="center"/>
          </w:tcPr>
          <w:p w14:paraId="012DF90F">
            <w:pPr>
              <w:rPr>
                <w:color w:val="auto"/>
              </w:rPr>
            </w:pPr>
          </w:p>
        </w:tc>
        <w:tc>
          <w:tcPr>
            <w:tcW w:w="3388" w:type="dxa"/>
            <w:tcBorders>
              <w:top w:val="single" w:color="auto" w:sz="4" w:space="0"/>
              <w:left w:val="nil"/>
              <w:bottom w:val="single" w:color="auto" w:sz="4" w:space="0"/>
              <w:right w:val="single" w:color="auto" w:sz="4" w:space="0"/>
            </w:tcBorders>
            <w:vAlign w:val="center"/>
          </w:tcPr>
          <w:p w14:paraId="751EE5EE">
            <w:pPr>
              <w:rPr>
                <w:color w:val="auto"/>
              </w:rPr>
            </w:pPr>
            <w:r>
              <w:rPr>
                <w:rFonts w:hint="eastAsia"/>
                <w:color w:val="auto"/>
              </w:rPr>
              <w:t>4、餐具、食品、冰箱、消毒柜等清洗干净；</w:t>
            </w:r>
          </w:p>
        </w:tc>
        <w:tc>
          <w:tcPr>
            <w:tcW w:w="1842" w:type="dxa"/>
            <w:tcBorders>
              <w:top w:val="single" w:color="auto" w:sz="4" w:space="0"/>
              <w:left w:val="nil"/>
              <w:bottom w:val="single" w:color="auto" w:sz="4" w:space="0"/>
              <w:right w:val="single" w:color="auto" w:sz="4" w:space="0"/>
            </w:tcBorders>
            <w:vAlign w:val="center"/>
          </w:tcPr>
          <w:p w14:paraId="555FAECE">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575747DD">
            <w:pPr>
              <w:rPr>
                <w:color w:val="auto"/>
              </w:rPr>
            </w:pPr>
          </w:p>
        </w:tc>
        <w:tc>
          <w:tcPr>
            <w:tcW w:w="2734" w:type="dxa"/>
            <w:tcBorders>
              <w:top w:val="single" w:color="auto" w:sz="4" w:space="0"/>
              <w:left w:val="nil"/>
              <w:bottom w:val="single" w:color="auto" w:sz="4" w:space="0"/>
              <w:right w:val="single" w:color="auto" w:sz="4" w:space="0"/>
            </w:tcBorders>
          </w:tcPr>
          <w:p w14:paraId="592B94B5">
            <w:pPr>
              <w:rPr>
                <w:color w:val="auto"/>
              </w:rPr>
            </w:pPr>
          </w:p>
        </w:tc>
      </w:tr>
      <w:tr w14:paraId="59F8EAFF">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51F3C95">
            <w:pPr>
              <w:jc w:val="center"/>
              <w:rPr>
                <w:color w:val="auto"/>
              </w:rPr>
            </w:pPr>
          </w:p>
        </w:tc>
        <w:tc>
          <w:tcPr>
            <w:tcW w:w="1134" w:type="dxa"/>
            <w:vMerge w:val="continue"/>
            <w:tcBorders>
              <w:left w:val="single" w:color="auto" w:sz="4" w:space="0"/>
              <w:right w:val="single" w:color="auto" w:sz="4" w:space="0"/>
            </w:tcBorders>
            <w:vAlign w:val="center"/>
          </w:tcPr>
          <w:p w14:paraId="34A8E8F0">
            <w:pPr>
              <w:rPr>
                <w:color w:val="auto"/>
              </w:rPr>
            </w:pPr>
          </w:p>
        </w:tc>
        <w:tc>
          <w:tcPr>
            <w:tcW w:w="3388" w:type="dxa"/>
            <w:tcBorders>
              <w:top w:val="single" w:color="auto" w:sz="4" w:space="0"/>
              <w:left w:val="nil"/>
              <w:bottom w:val="single" w:color="auto" w:sz="4" w:space="0"/>
              <w:right w:val="single" w:color="auto" w:sz="4" w:space="0"/>
            </w:tcBorders>
            <w:vAlign w:val="center"/>
          </w:tcPr>
          <w:p w14:paraId="747F3847">
            <w:pPr>
              <w:rPr>
                <w:color w:val="auto"/>
              </w:rPr>
            </w:pPr>
            <w:r>
              <w:rPr>
                <w:rFonts w:hint="eastAsia"/>
                <w:color w:val="auto"/>
              </w:rPr>
              <w:t>5、每餐食品均需按规定留样，并做好相应记录；</w:t>
            </w:r>
          </w:p>
        </w:tc>
        <w:tc>
          <w:tcPr>
            <w:tcW w:w="1842" w:type="dxa"/>
            <w:tcBorders>
              <w:top w:val="single" w:color="auto" w:sz="4" w:space="0"/>
              <w:left w:val="nil"/>
              <w:bottom w:val="single" w:color="auto" w:sz="4" w:space="0"/>
              <w:right w:val="single" w:color="auto" w:sz="4" w:space="0"/>
            </w:tcBorders>
            <w:vAlign w:val="center"/>
          </w:tcPr>
          <w:p w14:paraId="5E134409">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1E7A28D4">
            <w:pPr>
              <w:rPr>
                <w:color w:val="auto"/>
              </w:rPr>
            </w:pPr>
          </w:p>
        </w:tc>
        <w:tc>
          <w:tcPr>
            <w:tcW w:w="2734" w:type="dxa"/>
            <w:tcBorders>
              <w:top w:val="single" w:color="auto" w:sz="4" w:space="0"/>
              <w:left w:val="nil"/>
              <w:bottom w:val="single" w:color="auto" w:sz="4" w:space="0"/>
              <w:right w:val="single" w:color="auto" w:sz="4" w:space="0"/>
            </w:tcBorders>
          </w:tcPr>
          <w:p w14:paraId="341D3054">
            <w:pPr>
              <w:rPr>
                <w:color w:val="auto"/>
              </w:rPr>
            </w:pPr>
          </w:p>
        </w:tc>
      </w:tr>
      <w:tr w14:paraId="677687DC">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291DEC0C">
            <w:pPr>
              <w:jc w:val="center"/>
              <w:rPr>
                <w:color w:val="auto"/>
              </w:rPr>
            </w:pPr>
          </w:p>
        </w:tc>
        <w:tc>
          <w:tcPr>
            <w:tcW w:w="1134" w:type="dxa"/>
            <w:vMerge w:val="continue"/>
            <w:tcBorders>
              <w:left w:val="single" w:color="auto" w:sz="4" w:space="0"/>
              <w:right w:val="single" w:color="auto" w:sz="4" w:space="0"/>
            </w:tcBorders>
            <w:vAlign w:val="center"/>
          </w:tcPr>
          <w:p w14:paraId="50EF60AC">
            <w:pPr>
              <w:rPr>
                <w:color w:val="auto"/>
              </w:rPr>
            </w:pPr>
          </w:p>
        </w:tc>
        <w:tc>
          <w:tcPr>
            <w:tcW w:w="3388" w:type="dxa"/>
            <w:tcBorders>
              <w:top w:val="single" w:color="auto" w:sz="4" w:space="0"/>
              <w:left w:val="nil"/>
              <w:bottom w:val="single" w:color="auto" w:sz="4" w:space="0"/>
              <w:right w:val="single" w:color="auto" w:sz="4" w:space="0"/>
            </w:tcBorders>
            <w:vAlign w:val="center"/>
          </w:tcPr>
          <w:p w14:paraId="3B916FB6">
            <w:pPr>
              <w:rPr>
                <w:color w:val="auto"/>
              </w:rPr>
            </w:pPr>
            <w:r>
              <w:rPr>
                <w:rFonts w:hint="eastAsia"/>
                <w:color w:val="auto"/>
              </w:rPr>
              <w:t>6、厨房食品不得外带，未经允许不得私自在厨房开伙；</w:t>
            </w:r>
          </w:p>
        </w:tc>
        <w:tc>
          <w:tcPr>
            <w:tcW w:w="1842" w:type="dxa"/>
            <w:tcBorders>
              <w:top w:val="single" w:color="auto" w:sz="4" w:space="0"/>
              <w:left w:val="nil"/>
              <w:bottom w:val="single" w:color="auto" w:sz="4" w:space="0"/>
              <w:right w:val="single" w:color="auto" w:sz="4" w:space="0"/>
            </w:tcBorders>
            <w:vAlign w:val="center"/>
          </w:tcPr>
          <w:p w14:paraId="22B2335F">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79F34B49">
            <w:pPr>
              <w:rPr>
                <w:color w:val="auto"/>
              </w:rPr>
            </w:pPr>
          </w:p>
        </w:tc>
        <w:tc>
          <w:tcPr>
            <w:tcW w:w="2734" w:type="dxa"/>
            <w:tcBorders>
              <w:top w:val="single" w:color="auto" w:sz="4" w:space="0"/>
              <w:left w:val="nil"/>
              <w:bottom w:val="single" w:color="auto" w:sz="4" w:space="0"/>
              <w:right w:val="single" w:color="auto" w:sz="4" w:space="0"/>
            </w:tcBorders>
          </w:tcPr>
          <w:p w14:paraId="123FAD74">
            <w:pPr>
              <w:rPr>
                <w:color w:val="auto"/>
              </w:rPr>
            </w:pPr>
          </w:p>
        </w:tc>
      </w:tr>
      <w:tr w14:paraId="7CC1E500">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578C1AAB">
            <w:pPr>
              <w:jc w:val="center"/>
              <w:rPr>
                <w:color w:val="auto"/>
              </w:rPr>
            </w:pPr>
          </w:p>
        </w:tc>
        <w:tc>
          <w:tcPr>
            <w:tcW w:w="1134" w:type="dxa"/>
            <w:vMerge w:val="continue"/>
            <w:tcBorders>
              <w:left w:val="single" w:color="auto" w:sz="4" w:space="0"/>
              <w:right w:val="single" w:color="auto" w:sz="4" w:space="0"/>
            </w:tcBorders>
            <w:vAlign w:val="center"/>
          </w:tcPr>
          <w:p w14:paraId="5623020E">
            <w:pPr>
              <w:rPr>
                <w:color w:val="auto"/>
              </w:rPr>
            </w:pPr>
          </w:p>
        </w:tc>
        <w:tc>
          <w:tcPr>
            <w:tcW w:w="3388" w:type="dxa"/>
            <w:tcBorders>
              <w:top w:val="single" w:color="auto" w:sz="4" w:space="0"/>
              <w:left w:val="nil"/>
              <w:bottom w:val="single" w:color="auto" w:sz="4" w:space="0"/>
              <w:right w:val="single" w:color="auto" w:sz="4" w:space="0"/>
            </w:tcBorders>
            <w:vAlign w:val="center"/>
          </w:tcPr>
          <w:p w14:paraId="39230DFB">
            <w:pPr>
              <w:rPr>
                <w:color w:val="auto"/>
              </w:rPr>
            </w:pPr>
            <w:r>
              <w:rPr>
                <w:rFonts w:hint="eastAsia"/>
                <w:color w:val="auto"/>
              </w:rPr>
              <w:t>7、厨房油烟机每日清洗，定期清理，下水道定期清理，每季度外请专业人员进行全面清理并做好留档记录；</w:t>
            </w:r>
          </w:p>
        </w:tc>
        <w:tc>
          <w:tcPr>
            <w:tcW w:w="1842" w:type="dxa"/>
            <w:tcBorders>
              <w:top w:val="single" w:color="auto" w:sz="4" w:space="0"/>
              <w:left w:val="nil"/>
              <w:bottom w:val="single" w:color="auto" w:sz="4" w:space="0"/>
              <w:right w:val="single" w:color="auto" w:sz="4" w:space="0"/>
            </w:tcBorders>
            <w:vAlign w:val="center"/>
          </w:tcPr>
          <w:p w14:paraId="75DBE426">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0053DD03">
            <w:pPr>
              <w:rPr>
                <w:color w:val="auto"/>
              </w:rPr>
            </w:pPr>
          </w:p>
        </w:tc>
        <w:tc>
          <w:tcPr>
            <w:tcW w:w="2734" w:type="dxa"/>
            <w:tcBorders>
              <w:top w:val="single" w:color="auto" w:sz="4" w:space="0"/>
              <w:left w:val="nil"/>
              <w:bottom w:val="single" w:color="auto" w:sz="4" w:space="0"/>
              <w:right w:val="single" w:color="auto" w:sz="4" w:space="0"/>
            </w:tcBorders>
          </w:tcPr>
          <w:p w14:paraId="720E24E0">
            <w:pPr>
              <w:rPr>
                <w:color w:val="auto"/>
              </w:rPr>
            </w:pPr>
          </w:p>
        </w:tc>
      </w:tr>
      <w:tr w14:paraId="1E70E60A">
        <w:tblPrEx>
          <w:tblCellMar>
            <w:top w:w="0" w:type="dxa"/>
            <w:left w:w="108" w:type="dxa"/>
            <w:bottom w:w="0" w:type="dxa"/>
            <w:right w:w="108" w:type="dxa"/>
          </w:tblCellMar>
        </w:tblPrEx>
        <w:tc>
          <w:tcPr>
            <w:tcW w:w="534" w:type="dxa"/>
            <w:vMerge w:val="continue"/>
            <w:tcBorders>
              <w:left w:val="single" w:color="auto" w:sz="4" w:space="0"/>
              <w:bottom w:val="single" w:color="auto" w:sz="4" w:space="0"/>
              <w:right w:val="single" w:color="auto" w:sz="4" w:space="0"/>
            </w:tcBorders>
            <w:vAlign w:val="center"/>
          </w:tcPr>
          <w:p w14:paraId="7203B426">
            <w:pPr>
              <w:jc w:val="center"/>
              <w:rPr>
                <w:color w:val="auto"/>
              </w:rPr>
            </w:pPr>
          </w:p>
        </w:tc>
        <w:tc>
          <w:tcPr>
            <w:tcW w:w="1134" w:type="dxa"/>
            <w:vMerge w:val="continue"/>
            <w:tcBorders>
              <w:left w:val="single" w:color="auto" w:sz="4" w:space="0"/>
              <w:bottom w:val="single" w:color="auto" w:sz="4" w:space="0"/>
              <w:right w:val="single" w:color="auto" w:sz="4" w:space="0"/>
            </w:tcBorders>
            <w:vAlign w:val="center"/>
          </w:tcPr>
          <w:p w14:paraId="7159027F">
            <w:pPr>
              <w:rPr>
                <w:color w:val="auto"/>
              </w:rPr>
            </w:pPr>
          </w:p>
        </w:tc>
        <w:tc>
          <w:tcPr>
            <w:tcW w:w="3388" w:type="dxa"/>
            <w:tcBorders>
              <w:top w:val="single" w:color="auto" w:sz="4" w:space="0"/>
              <w:left w:val="nil"/>
              <w:bottom w:val="single" w:color="auto" w:sz="4" w:space="0"/>
              <w:right w:val="single" w:color="auto" w:sz="4" w:space="0"/>
            </w:tcBorders>
            <w:vAlign w:val="center"/>
          </w:tcPr>
          <w:p w14:paraId="228A0908">
            <w:pPr>
              <w:rPr>
                <w:color w:val="auto"/>
              </w:rPr>
            </w:pPr>
            <w:r>
              <w:rPr>
                <w:rFonts w:hint="eastAsia"/>
                <w:color w:val="auto"/>
              </w:rPr>
              <w:t>8、食堂菜谱每周定期更新。</w:t>
            </w:r>
          </w:p>
        </w:tc>
        <w:tc>
          <w:tcPr>
            <w:tcW w:w="1842" w:type="dxa"/>
            <w:tcBorders>
              <w:top w:val="single" w:color="auto" w:sz="4" w:space="0"/>
              <w:left w:val="nil"/>
              <w:bottom w:val="single" w:color="auto" w:sz="4" w:space="0"/>
              <w:right w:val="single" w:color="auto" w:sz="4" w:space="0"/>
            </w:tcBorders>
            <w:vAlign w:val="center"/>
          </w:tcPr>
          <w:p w14:paraId="71F1D87C">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7DC315A1">
            <w:pPr>
              <w:rPr>
                <w:color w:val="auto"/>
              </w:rPr>
            </w:pPr>
          </w:p>
        </w:tc>
        <w:tc>
          <w:tcPr>
            <w:tcW w:w="2734" w:type="dxa"/>
            <w:tcBorders>
              <w:top w:val="single" w:color="auto" w:sz="4" w:space="0"/>
              <w:left w:val="nil"/>
              <w:bottom w:val="single" w:color="auto" w:sz="4" w:space="0"/>
              <w:right w:val="single" w:color="auto" w:sz="4" w:space="0"/>
            </w:tcBorders>
          </w:tcPr>
          <w:p w14:paraId="4E692578">
            <w:pPr>
              <w:rPr>
                <w:color w:val="auto"/>
              </w:rPr>
            </w:pPr>
          </w:p>
        </w:tc>
      </w:tr>
      <w:tr w14:paraId="19CB2327">
        <w:tblPrEx>
          <w:tblCellMar>
            <w:top w:w="0" w:type="dxa"/>
            <w:left w:w="108" w:type="dxa"/>
            <w:bottom w:w="0" w:type="dxa"/>
            <w:right w:w="108" w:type="dxa"/>
          </w:tblCellMar>
        </w:tblPrEx>
        <w:tc>
          <w:tcPr>
            <w:tcW w:w="534" w:type="dxa"/>
            <w:vMerge w:val="restart"/>
            <w:tcBorders>
              <w:top w:val="single" w:color="auto" w:sz="4" w:space="0"/>
              <w:left w:val="single" w:color="auto" w:sz="4" w:space="0"/>
              <w:right w:val="single" w:color="auto" w:sz="4" w:space="0"/>
            </w:tcBorders>
            <w:vAlign w:val="center"/>
          </w:tcPr>
          <w:p w14:paraId="4AA48D4A">
            <w:pPr>
              <w:jc w:val="center"/>
              <w:rPr>
                <w:color w:val="auto"/>
              </w:rPr>
            </w:pPr>
            <w:r>
              <w:rPr>
                <w:rFonts w:hint="eastAsia"/>
                <w:color w:val="auto"/>
              </w:rPr>
              <w:t>保安管理</w:t>
            </w:r>
          </w:p>
        </w:tc>
        <w:tc>
          <w:tcPr>
            <w:tcW w:w="1134" w:type="dxa"/>
            <w:vMerge w:val="restart"/>
            <w:tcBorders>
              <w:top w:val="single" w:color="auto" w:sz="4" w:space="0"/>
              <w:left w:val="single" w:color="auto" w:sz="4" w:space="0"/>
              <w:right w:val="single" w:color="auto" w:sz="4" w:space="0"/>
            </w:tcBorders>
            <w:vAlign w:val="center"/>
          </w:tcPr>
          <w:p w14:paraId="3698403C">
            <w:pPr>
              <w:rPr>
                <w:color w:val="auto"/>
              </w:rPr>
            </w:pPr>
            <w:r>
              <w:rPr>
                <w:color w:val="auto"/>
              </w:rPr>
              <w:t>实地考核</w:t>
            </w:r>
          </w:p>
        </w:tc>
        <w:tc>
          <w:tcPr>
            <w:tcW w:w="3388" w:type="dxa"/>
            <w:tcBorders>
              <w:top w:val="single" w:color="auto" w:sz="4" w:space="0"/>
              <w:left w:val="nil"/>
              <w:bottom w:val="single" w:color="auto" w:sz="4" w:space="0"/>
              <w:right w:val="single" w:color="auto" w:sz="4" w:space="0"/>
            </w:tcBorders>
            <w:vAlign w:val="center"/>
          </w:tcPr>
          <w:p w14:paraId="0A16E1A8">
            <w:pPr>
              <w:rPr>
                <w:color w:val="auto"/>
              </w:rPr>
            </w:pPr>
            <w:r>
              <w:rPr>
                <w:rFonts w:hint="eastAsia"/>
                <w:color w:val="auto"/>
              </w:rPr>
              <w:t>1、着工作服上岗，穿戴整洁，精神饱满；</w:t>
            </w:r>
          </w:p>
        </w:tc>
        <w:tc>
          <w:tcPr>
            <w:tcW w:w="1842" w:type="dxa"/>
            <w:tcBorders>
              <w:top w:val="single" w:color="auto" w:sz="4" w:space="0"/>
              <w:left w:val="nil"/>
              <w:bottom w:val="single" w:color="auto" w:sz="4" w:space="0"/>
              <w:right w:val="single" w:color="auto" w:sz="4" w:space="0"/>
            </w:tcBorders>
            <w:vAlign w:val="center"/>
          </w:tcPr>
          <w:p w14:paraId="3CF32020">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38186A54">
            <w:pPr>
              <w:rPr>
                <w:color w:val="auto"/>
              </w:rPr>
            </w:pPr>
          </w:p>
        </w:tc>
        <w:tc>
          <w:tcPr>
            <w:tcW w:w="2734" w:type="dxa"/>
            <w:tcBorders>
              <w:top w:val="single" w:color="auto" w:sz="4" w:space="0"/>
              <w:left w:val="nil"/>
              <w:bottom w:val="single" w:color="auto" w:sz="4" w:space="0"/>
              <w:right w:val="single" w:color="auto" w:sz="4" w:space="0"/>
            </w:tcBorders>
          </w:tcPr>
          <w:p w14:paraId="702C8F12">
            <w:pPr>
              <w:rPr>
                <w:color w:val="auto"/>
              </w:rPr>
            </w:pPr>
          </w:p>
        </w:tc>
      </w:tr>
      <w:tr w14:paraId="6196329B">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54D42FC7">
            <w:pPr>
              <w:jc w:val="center"/>
              <w:rPr>
                <w:color w:val="auto"/>
              </w:rPr>
            </w:pPr>
          </w:p>
        </w:tc>
        <w:tc>
          <w:tcPr>
            <w:tcW w:w="1134" w:type="dxa"/>
            <w:vMerge w:val="continue"/>
            <w:tcBorders>
              <w:left w:val="single" w:color="auto" w:sz="4" w:space="0"/>
              <w:right w:val="single" w:color="auto" w:sz="4" w:space="0"/>
            </w:tcBorders>
            <w:vAlign w:val="center"/>
          </w:tcPr>
          <w:p w14:paraId="1FF5A5CC">
            <w:pPr>
              <w:rPr>
                <w:color w:val="auto"/>
              </w:rPr>
            </w:pPr>
          </w:p>
        </w:tc>
        <w:tc>
          <w:tcPr>
            <w:tcW w:w="3388" w:type="dxa"/>
            <w:tcBorders>
              <w:top w:val="single" w:color="auto" w:sz="4" w:space="0"/>
              <w:left w:val="nil"/>
              <w:bottom w:val="single" w:color="auto" w:sz="4" w:space="0"/>
              <w:right w:val="single" w:color="auto" w:sz="4" w:space="0"/>
            </w:tcBorders>
            <w:vAlign w:val="center"/>
          </w:tcPr>
          <w:p w14:paraId="5046088A">
            <w:pPr>
              <w:rPr>
                <w:color w:val="auto"/>
              </w:rPr>
            </w:pPr>
            <w:r>
              <w:rPr>
                <w:rFonts w:hint="eastAsia"/>
                <w:color w:val="auto"/>
              </w:rPr>
              <w:t>2、准时上岗，不干私活、不聚堆聊天、不打私人电话、不吸烟、不随地吐痰，白班不睡觉不看电视；</w:t>
            </w:r>
          </w:p>
        </w:tc>
        <w:tc>
          <w:tcPr>
            <w:tcW w:w="1842" w:type="dxa"/>
            <w:tcBorders>
              <w:top w:val="single" w:color="auto" w:sz="4" w:space="0"/>
              <w:left w:val="nil"/>
              <w:bottom w:val="single" w:color="auto" w:sz="4" w:space="0"/>
              <w:right w:val="single" w:color="auto" w:sz="4" w:space="0"/>
            </w:tcBorders>
            <w:vAlign w:val="center"/>
          </w:tcPr>
          <w:p w14:paraId="6EA850DC">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7374832D">
            <w:pPr>
              <w:rPr>
                <w:color w:val="auto"/>
              </w:rPr>
            </w:pPr>
          </w:p>
        </w:tc>
        <w:tc>
          <w:tcPr>
            <w:tcW w:w="2734" w:type="dxa"/>
            <w:tcBorders>
              <w:top w:val="single" w:color="auto" w:sz="4" w:space="0"/>
              <w:left w:val="nil"/>
              <w:bottom w:val="single" w:color="auto" w:sz="4" w:space="0"/>
              <w:right w:val="single" w:color="auto" w:sz="4" w:space="0"/>
            </w:tcBorders>
          </w:tcPr>
          <w:p w14:paraId="50AEED01">
            <w:pPr>
              <w:rPr>
                <w:color w:val="auto"/>
              </w:rPr>
            </w:pPr>
          </w:p>
        </w:tc>
      </w:tr>
      <w:tr w14:paraId="34C52D80">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31D4409">
            <w:pPr>
              <w:jc w:val="center"/>
              <w:rPr>
                <w:color w:val="auto"/>
              </w:rPr>
            </w:pPr>
          </w:p>
        </w:tc>
        <w:tc>
          <w:tcPr>
            <w:tcW w:w="1134" w:type="dxa"/>
            <w:vMerge w:val="continue"/>
            <w:tcBorders>
              <w:left w:val="single" w:color="auto" w:sz="4" w:space="0"/>
              <w:right w:val="single" w:color="auto" w:sz="4" w:space="0"/>
            </w:tcBorders>
            <w:vAlign w:val="center"/>
          </w:tcPr>
          <w:p w14:paraId="746151EC">
            <w:pPr>
              <w:rPr>
                <w:color w:val="auto"/>
              </w:rPr>
            </w:pPr>
          </w:p>
        </w:tc>
        <w:tc>
          <w:tcPr>
            <w:tcW w:w="3388" w:type="dxa"/>
            <w:tcBorders>
              <w:top w:val="single" w:color="auto" w:sz="4" w:space="0"/>
              <w:left w:val="nil"/>
              <w:bottom w:val="single" w:color="auto" w:sz="4" w:space="0"/>
              <w:right w:val="single" w:color="auto" w:sz="4" w:space="0"/>
            </w:tcBorders>
            <w:vAlign w:val="center"/>
          </w:tcPr>
          <w:p w14:paraId="4F85C296">
            <w:pPr>
              <w:rPr>
                <w:color w:val="auto"/>
              </w:rPr>
            </w:pPr>
            <w:r>
              <w:rPr>
                <w:rFonts w:hint="eastAsia"/>
                <w:color w:val="auto"/>
              </w:rPr>
              <w:t xml:space="preserve">3、外来人员进出时做好登记工作，并及时通知相关负责人，引导车辆停放在指定区域内； </w:t>
            </w:r>
          </w:p>
        </w:tc>
        <w:tc>
          <w:tcPr>
            <w:tcW w:w="1842" w:type="dxa"/>
            <w:tcBorders>
              <w:top w:val="single" w:color="auto" w:sz="4" w:space="0"/>
              <w:left w:val="nil"/>
              <w:bottom w:val="single" w:color="auto" w:sz="4" w:space="0"/>
              <w:right w:val="single" w:color="auto" w:sz="4" w:space="0"/>
            </w:tcBorders>
            <w:vAlign w:val="center"/>
          </w:tcPr>
          <w:p w14:paraId="5293E21F">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162F1E32">
            <w:pPr>
              <w:rPr>
                <w:color w:val="auto"/>
              </w:rPr>
            </w:pPr>
          </w:p>
        </w:tc>
        <w:tc>
          <w:tcPr>
            <w:tcW w:w="2734" w:type="dxa"/>
            <w:tcBorders>
              <w:top w:val="single" w:color="auto" w:sz="4" w:space="0"/>
              <w:left w:val="nil"/>
              <w:bottom w:val="single" w:color="auto" w:sz="4" w:space="0"/>
              <w:right w:val="single" w:color="auto" w:sz="4" w:space="0"/>
            </w:tcBorders>
          </w:tcPr>
          <w:p w14:paraId="2248181C">
            <w:pPr>
              <w:rPr>
                <w:color w:val="auto"/>
              </w:rPr>
            </w:pPr>
          </w:p>
        </w:tc>
      </w:tr>
      <w:tr w14:paraId="62B3CE2F">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6C54607">
            <w:pPr>
              <w:jc w:val="center"/>
              <w:rPr>
                <w:color w:val="auto"/>
              </w:rPr>
            </w:pPr>
          </w:p>
        </w:tc>
        <w:tc>
          <w:tcPr>
            <w:tcW w:w="1134" w:type="dxa"/>
            <w:vMerge w:val="continue"/>
            <w:tcBorders>
              <w:left w:val="single" w:color="auto" w:sz="4" w:space="0"/>
              <w:right w:val="single" w:color="auto" w:sz="4" w:space="0"/>
            </w:tcBorders>
            <w:vAlign w:val="center"/>
          </w:tcPr>
          <w:p w14:paraId="435E6FFC">
            <w:pPr>
              <w:rPr>
                <w:color w:val="auto"/>
              </w:rPr>
            </w:pPr>
          </w:p>
        </w:tc>
        <w:tc>
          <w:tcPr>
            <w:tcW w:w="3388" w:type="dxa"/>
            <w:tcBorders>
              <w:top w:val="single" w:color="auto" w:sz="4" w:space="0"/>
              <w:left w:val="nil"/>
              <w:bottom w:val="single" w:color="auto" w:sz="4" w:space="0"/>
              <w:right w:val="single" w:color="auto" w:sz="4" w:space="0"/>
            </w:tcBorders>
            <w:vAlign w:val="center"/>
          </w:tcPr>
          <w:p w14:paraId="5C0D21A8">
            <w:pPr>
              <w:rPr>
                <w:color w:val="auto"/>
              </w:rPr>
            </w:pPr>
            <w:r>
              <w:rPr>
                <w:rFonts w:hint="eastAsia"/>
                <w:color w:val="auto"/>
              </w:rPr>
              <w:t xml:space="preserve">4、监控室24小时轮班在岗，观看监控画面，发现异常情况及时上报； </w:t>
            </w:r>
          </w:p>
        </w:tc>
        <w:tc>
          <w:tcPr>
            <w:tcW w:w="1842" w:type="dxa"/>
            <w:tcBorders>
              <w:top w:val="single" w:color="auto" w:sz="4" w:space="0"/>
              <w:left w:val="nil"/>
              <w:bottom w:val="single" w:color="auto" w:sz="4" w:space="0"/>
              <w:right w:val="single" w:color="auto" w:sz="4" w:space="0"/>
            </w:tcBorders>
            <w:vAlign w:val="center"/>
          </w:tcPr>
          <w:p w14:paraId="06DE2FE0">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33ABF1CC">
            <w:pPr>
              <w:rPr>
                <w:color w:val="auto"/>
              </w:rPr>
            </w:pPr>
          </w:p>
        </w:tc>
        <w:tc>
          <w:tcPr>
            <w:tcW w:w="2734" w:type="dxa"/>
            <w:tcBorders>
              <w:top w:val="single" w:color="auto" w:sz="4" w:space="0"/>
              <w:left w:val="nil"/>
              <w:bottom w:val="single" w:color="auto" w:sz="4" w:space="0"/>
              <w:right w:val="single" w:color="auto" w:sz="4" w:space="0"/>
            </w:tcBorders>
          </w:tcPr>
          <w:p w14:paraId="77132523">
            <w:pPr>
              <w:rPr>
                <w:color w:val="auto"/>
              </w:rPr>
            </w:pPr>
          </w:p>
        </w:tc>
      </w:tr>
      <w:tr w14:paraId="0FE845C7">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5BECA9B">
            <w:pPr>
              <w:jc w:val="center"/>
              <w:rPr>
                <w:color w:val="auto"/>
              </w:rPr>
            </w:pPr>
          </w:p>
        </w:tc>
        <w:tc>
          <w:tcPr>
            <w:tcW w:w="1134" w:type="dxa"/>
            <w:vMerge w:val="continue"/>
            <w:tcBorders>
              <w:left w:val="single" w:color="auto" w:sz="4" w:space="0"/>
              <w:right w:val="single" w:color="auto" w:sz="4" w:space="0"/>
            </w:tcBorders>
            <w:vAlign w:val="center"/>
          </w:tcPr>
          <w:p w14:paraId="78FC06F3">
            <w:pPr>
              <w:rPr>
                <w:color w:val="auto"/>
              </w:rPr>
            </w:pPr>
          </w:p>
        </w:tc>
        <w:tc>
          <w:tcPr>
            <w:tcW w:w="3388" w:type="dxa"/>
            <w:tcBorders>
              <w:top w:val="single" w:color="auto" w:sz="4" w:space="0"/>
              <w:left w:val="nil"/>
              <w:bottom w:val="single" w:color="auto" w:sz="4" w:space="0"/>
              <w:right w:val="single" w:color="auto" w:sz="4" w:space="0"/>
            </w:tcBorders>
            <w:vAlign w:val="center"/>
          </w:tcPr>
          <w:p w14:paraId="6D9362B7">
            <w:pPr>
              <w:rPr>
                <w:color w:val="auto"/>
              </w:rPr>
            </w:pPr>
            <w:r>
              <w:rPr>
                <w:rFonts w:hint="eastAsia"/>
                <w:color w:val="auto"/>
              </w:rPr>
              <w:t>5、按规定路线定时巡查，发现异常情况及时上报（夜间每2小时巡查一次）；</w:t>
            </w:r>
          </w:p>
        </w:tc>
        <w:tc>
          <w:tcPr>
            <w:tcW w:w="1842" w:type="dxa"/>
            <w:tcBorders>
              <w:top w:val="single" w:color="auto" w:sz="4" w:space="0"/>
              <w:left w:val="nil"/>
              <w:bottom w:val="single" w:color="auto" w:sz="4" w:space="0"/>
              <w:right w:val="single" w:color="auto" w:sz="4" w:space="0"/>
            </w:tcBorders>
            <w:vAlign w:val="center"/>
          </w:tcPr>
          <w:p w14:paraId="3B9CE1DB">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5517A2D0">
            <w:pPr>
              <w:rPr>
                <w:color w:val="auto"/>
              </w:rPr>
            </w:pPr>
          </w:p>
        </w:tc>
        <w:tc>
          <w:tcPr>
            <w:tcW w:w="2734" w:type="dxa"/>
            <w:tcBorders>
              <w:top w:val="single" w:color="auto" w:sz="4" w:space="0"/>
              <w:left w:val="nil"/>
              <w:bottom w:val="single" w:color="auto" w:sz="4" w:space="0"/>
              <w:right w:val="single" w:color="auto" w:sz="4" w:space="0"/>
            </w:tcBorders>
          </w:tcPr>
          <w:p w14:paraId="34FFB830">
            <w:pPr>
              <w:rPr>
                <w:color w:val="auto"/>
              </w:rPr>
            </w:pPr>
          </w:p>
        </w:tc>
      </w:tr>
      <w:tr w14:paraId="43164804">
        <w:tblPrEx>
          <w:tblCellMar>
            <w:top w:w="0" w:type="dxa"/>
            <w:left w:w="108" w:type="dxa"/>
            <w:bottom w:w="0" w:type="dxa"/>
            <w:right w:w="108" w:type="dxa"/>
          </w:tblCellMar>
        </w:tblPrEx>
        <w:trPr>
          <w:trHeight w:val="254" w:hRule="atLeast"/>
        </w:trPr>
        <w:tc>
          <w:tcPr>
            <w:tcW w:w="534" w:type="dxa"/>
            <w:vMerge w:val="continue"/>
            <w:tcBorders>
              <w:left w:val="single" w:color="auto" w:sz="4" w:space="0"/>
              <w:bottom w:val="single" w:color="auto" w:sz="4" w:space="0"/>
              <w:right w:val="single" w:color="auto" w:sz="4" w:space="0"/>
            </w:tcBorders>
            <w:vAlign w:val="center"/>
          </w:tcPr>
          <w:p w14:paraId="364A47FF">
            <w:pPr>
              <w:jc w:val="center"/>
              <w:rPr>
                <w:color w:val="auto"/>
              </w:rPr>
            </w:pPr>
          </w:p>
        </w:tc>
        <w:tc>
          <w:tcPr>
            <w:tcW w:w="1134" w:type="dxa"/>
            <w:vMerge w:val="continue"/>
            <w:tcBorders>
              <w:left w:val="single" w:color="auto" w:sz="4" w:space="0"/>
              <w:bottom w:val="single" w:color="auto" w:sz="4" w:space="0"/>
              <w:right w:val="single" w:color="auto" w:sz="4" w:space="0"/>
            </w:tcBorders>
            <w:vAlign w:val="center"/>
          </w:tcPr>
          <w:p w14:paraId="4DF09AC0">
            <w:pPr>
              <w:rPr>
                <w:color w:val="auto"/>
              </w:rPr>
            </w:pPr>
          </w:p>
        </w:tc>
        <w:tc>
          <w:tcPr>
            <w:tcW w:w="3388" w:type="dxa"/>
            <w:tcBorders>
              <w:top w:val="single" w:color="auto" w:sz="4" w:space="0"/>
              <w:left w:val="nil"/>
              <w:bottom w:val="single" w:color="auto" w:sz="4" w:space="0"/>
              <w:right w:val="single" w:color="auto" w:sz="4" w:space="0"/>
            </w:tcBorders>
            <w:vAlign w:val="center"/>
          </w:tcPr>
          <w:p w14:paraId="32537B2A">
            <w:pPr>
              <w:rPr>
                <w:color w:val="auto"/>
              </w:rPr>
            </w:pPr>
            <w:r>
              <w:rPr>
                <w:rFonts w:hint="eastAsia"/>
                <w:color w:val="auto"/>
              </w:rPr>
              <w:t>6、保安室保持干净整洁，无异味，无杂物堆放。</w:t>
            </w:r>
          </w:p>
        </w:tc>
        <w:tc>
          <w:tcPr>
            <w:tcW w:w="1842" w:type="dxa"/>
            <w:tcBorders>
              <w:top w:val="single" w:color="auto" w:sz="4" w:space="0"/>
              <w:left w:val="nil"/>
              <w:bottom w:val="single" w:color="auto" w:sz="4" w:space="0"/>
              <w:right w:val="single" w:color="auto" w:sz="4" w:space="0"/>
            </w:tcBorders>
            <w:vAlign w:val="center"/>
          </w:tcPr>
          <w:p w14:paraId="14B71AAB">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7936C111">
            <w:pPr>
              <w:rPr>
                <w:color w:val="auto"/>
              </w:rPr>
            </w:pPr>
          </w:p>
        </w:tc>
        <w:tc>
          <w:tcPr>
            <w:tcW w:w="2734" w:type="dxa"/>
            <w:tcBorders>
              <w:top w:val="single" w:color="auto" w:sz="4" w:space="0"/>
              <w:left w:val="nil"/>
              <w:bottom w:val="single" w:color="auto" w:sz="4" w:space="0"/>
              <w:right w:val="single" w:color="auto" w:sz="4" w:space="0"/>
            </w:tcBorders>
          </w:tcPr>
          <w:p w14:paraId="0244A8D2">
            <w:pPr>
              <w:rPr>
                <w:color w:val="auto"/>
              </w:rPr>
            </w:pPr>
          </w:p>
        </w:tc>
      </w:tr>
      <w:tr w14:paraId="12848F42">
        <w:tblPrEx>
          <w:tblCellMar>
            <w:top w:w="0" w:type="dxa"/>
            <w:left w:w="108" w:type="dxa"/>
            <w:bottom w:w="0" w:type="dxa"/>
            <w:right w:w="108" w:type="dxa"/>
          </w:tblCellMar>
        </w:tblPrEx>
        <w:tc>
          <w:tcPr>
            <w:tcW w:w="534" w:type="dxa"/>
            <w:vMerge w:val="restart"/>
            <w:tcBorders>
              <w:top w:val="single" w:color="auto" w:sz="4" w:space="0"/>
              <w:left w:val="single" w:color="auto" w:sz="4" w:space="0"/>
              <w:right w:val="single" w:color="auto" w:sz="4" w:space="0"/>
            </w:tcBorders>
            <w:vAlign w:val="center"/>
          </w:tcPr>
          <w:p w14:paraId="7CB6F00C">
            <w:pPr>
              <w:jc w:val="center"/>
              <w:rPr>
                <w:color w:val="auto"/>
              </w:rPr>
            </w:pPr>
            <w:r>
              <w:rPr>
                <w:rFonts w:hint="eastAsia"/>
                <w:color w:val="auto"/>
              </w:rPr>
              <w:t>宿舍管理</w:t>
            </w:r>
          </w:p>
        </w:tc>
        <w:tc>
          <w:tcPr>
            <w:tcW w:w="1134" w:type="dxa"/>
            <w:vMerge w:val="restart"/>
            <w:tcBorders>
              <w:top w:val="single" w:color="auto" w:sz="4" w:space="0"/>
              <w:left w:val="single" w:color="auto" w:sz="4" w:space="0"/>
              <w:right w:val="single" w:color="auto" w:sz="4" w:space="0"/>
            </w:tcBorders>
            <w:vAlign w:val="center"/>
          </w:tcPr>
          <w:p w14:paraId="7686E881">
            <w:pPr>
              <w:rPr>
                <w:color w:val="auto"/>
              </w:rPr>
            </w:pPr>
            <w:r>
              <w:rPr>
                <w:color w:val="auto"/>
              </w:rPr>
              <w:t>实地考核</w:t>
            </w:r>
          </w:p>
        </w:tc>
        <w:tc>
          <w:tcPr>
            <w:tcW w:w="3388" w:type="dxa"/>
            <w:tcBorders>
              <w:top w:val="single" w:color="auto" w:sz="4" w:space="0"/>
              <w:left w:val="nil"/>
              <w:bottom w:val="single" w:color="auto" w:sz="4" w:space="0"/>
              <w:right w:val="single" w:color="auto" w:sz="4" w:space="0"/>
            </w:tcBorders>
            <w:vAlign w:val="center"/>
          </w:tcPr>
          <w:p w14:paraId="289BCAE2">
            <w:pPr>
              <w:rPr>
                <w:color w:val="auto"/>
              </w:rPr>
            </w:pPr>
            <w:r>
              <w:rPr>
                <w:rFonts w:hint="eastAsia"/>
                <w:color w:val="auto"/>
              </w:rPr>
              <w:t>1、房间保持安静、清洁，卫生间清洁无积水，下水道通畅，无异味；</w:t>
            </w:r>
          </w:p>
        </w:tc>
        <w:tc>
          <w:tcPr>
            <w:tcW w:w="1842" w:type="dxa"/>
            <w:tcBorders>
              <w:top w:val="single" w:color="auto" w:sz="4" w:space="0"/>
              <w:left w:val="nil"/>
              <w:bottom w:val="single" w:color="auto" w:sz="4" w:space="0"/>
              <w:right w:val="single" w:color="auto" w:sz="4" w:space="0"/>
            </w:tcBorders>
            <w:vAlign w:val="center"/>
          </w:tcPr>
          <w:p w14:paraId="2721A26D">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7A54A235">
            <w:pPr>
              <w:rPr>
                <w:color w:val="auto"/>
              </w:rPr>
            </w:pPr>
          </w:p>
        </w:tc>
        <w:tc>
          <w:tcPr>
            <w:tcW w:w="2734" w:type="dxa"/>
            <w:tcBorders>
              <w:top w:val="single" w:color="auto" w:sz="4" w:space="0"/>
              <w:left w:val="nil"/>
              <w:bottom w:val="single" w:color="auto" w:sz="4" w:space="0"/>
              <w:right w:val="single" w:color="auto" w:sz="4" w:space="0"/>
            </w:tcBorders>
          </w:tcPr>
          <w:p w14:paraId="33C933AF">
            <w:pPr>
              <w:rPr>
                <w:color w:val="auto"/>
              </w:rPr>
            </w:pPr>
          </w:p>
        </w:tc>
      </w:tr>
      <w:tr w14:paraId="074DE425">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2EEF1002">
            <w:pPr>
              <w:rPr>
                <w:color w:val="auto"/>
              </w:rPr>
            </w:pPr>
          </w:p>
        </w:tc>
        <w:tc>
          <w:tcPr>
            <w:tcW w:w="1134" w:type="dxa"/>
            <w:vMerge w:val="continue"/>
            <w:tcBorders>
              <w:left w:val="single" w:color="auto" w:sz="4" w:space="0"/>
              <w:right w:val="single" w:color="auto" w:sz="4" w:space="0"/>
            </w:tcBorders>
            <w:vAlign w:val="center"/>
          </w:tcPr>
          <w:p w14:paraId="055A41CD">
            <w:pPr>
              <w:rPr>
                <w:color w:val="auto"/>
              </w:rPr>
            </w:pPr>
          </w:p>
        </w:tc>
        <w:tc>
          <w:tcPr>
            <w:tcW w:w="3388" w:type="dxa"/>
            <w:tcBorders>
              <w:top w:val="single" w:color="auto" w:sz="4" w:space="0"/>
              <w:left w:val="nil"/>
              <w:bottom w:val="single" w:color="auto" w:sz="4" w:space="0"/>
              <w:right w:val="single" w:color="auto" w:sz="4" w:space="0"/>
            </w:tcBorders>
            <w:vAlign w:val="center"/>
          </w:tcPr>
          <w:p w14:paraId="42E5A5B8">
            <w:pPr>
              <w:rPr>
                <w:color w:val="auto"/>
              </w:rPr>
            </w:pPr>
            <w:r>
              <w:rPr>
                <w:rFonts w:hint="eastAsia"/>
                <w:color w:val="auto"/>
              </w:rPr>
              <w:t>2、走廊、阳台、楼道通畅，无杂物堆放，无灰尘，无烟蒂，无蜘蛛网，无异味，公共卫生间保持清洁无异味；</w:t>
            </w:r>
          </w:p>
        </w:tc>
        <w:tc>
          <w:tcPr>
            <w:tcW w:w="1842" w:type="dxa"/>
            <w:tcBorders>
              <w:top w:val="single" w:color="auto" w:sz="4" w:space="0"/>
              <w:left w:val="nil"/>
              <w:bottom w:val="single" w:color="auto" w:sz="4" w:space="0"/>
              <w:right w:val="single" w:color="auto" w:sz="4" w:space="0"/>
            </w:tcBorders>
            <w:vAlign w:val="center"/>
          </w:tcPr>
          <w:p w14:paraId="76D45319">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770347C4">
            <w:pPr>
              <w:rPr>
                <w:color w:val="auto"/>
              </w:rPr>
            </w:pPr>
          </w:p>
        </w:tc>
        <w:tc>
          <w:tcPr>
            <w:tcW w:w="2734" w:type="dxa"/>
            <w:tcBorders>
              <w:top w:val="single" w:color="auto" w:sz="4" w:space="0"/>
              <w:left w:val="nil"/>
              <w:bottom w:val="single" w:color="auto" w:sz="4" w:space="0"/>
              <w:right w:val="single" w:color="auto" w:sz="4" w:space="0"/>
            </w:tcBorders>
          </w:tcPr>
          <w:p w14:paraId="0B306D58">
            <w:pPr>
              <w:rPr>
                <w:color w:val="auto"/>
              </w:rPr>
            </w:pPr>
          </w:p>
        </w:tc>
      </w:tr>
      <w:tr w14:paraId="015C741D">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18124A45">
            <w:pPr>
              <w:rPr>
                <w:color w:val="auto"/>
              </w:rPr>
            </w:pPr>
          </w:p>
        </w:tc>
        <w:tc>
          <w:tcPr>
            <w:tcW w:w="1134" w:type="dxa"/>
            <w:vMerge w:val="continue"/>
            <w:tcBorders>
              <w:left w:val="single" w:color="auto" w:sz="4" w:space="0"/>
              <w:right w:val="single" w:color="auto" w:sz="4" w:space="0"/>
            </w:tcBorders>
            <w:vAlign w:val="center"/>
          </w:tcPr>
          <w:p w14:paraId="4F3095DE">
            <w:pPr>
              <w:rPr>
                <w:color w:val="auto"/>
              </w:rPr>
            </w:pPr>
          </w:p>
        </w:tc>
        <w:tc>
          <w:tcPr>
            <w:tcW w:w="3388" w:type="dxa"/>
            <w:tcBorders>
              <w:top w:val="single" w:color="auto" w:sz="4" w:space="0"/>
              <w:left w:val="nil"/>
              <w:bottom w:val="single" w:color="auto" w:sz="4" w:space="0"/>
              <w:right w:val="single" w:color="auto" w:sz="4" w:space="0"/>
            </w:tcBorders>
            <w:vAlign w:val="center"/>
          </w:tcPr>
          <w:p w14:paraId="197BFA5F">
            <w:pPr>
              <w:rPr>
                <w:color w:val="auto"/>
              </w:rPr>
            </w:pPr>
            <w:r>
              <w:rPr>
                <w:rFonts w:hint="eastAsia"/>
                <w:color w:val="auto"/>
              </w:rPr>
              <w:t>3、未经允许不得会客、留客；</w:t>
            </w:r>
          </w:p>
        </w:tc>
        <w:tc>
          <w:tcPr>
            <w:tcW w:w="1842" w:type="dxa"/>
            <w:tcBorders>
              <w:top w:val="single" w:color="auto" w:sz="4" w:space="0"/>
              <w:left w:val="nil"/>
              <w:bottom w:val="single" w:color="auto" w:sz="4" w:space="0"/>
              <w:right w:val="single" w:color="auto" w:sz="4" w:space="0"/>
            </w:tcBorders>
            <w:vAlign w:val="center"/>
          </w:tcPr>
          <w:p w14:paraId="565DCE8B">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1CE4267F">
            <w:pPr>
              <w:rPr>
                <w:color w:val="auto"/>
              </w:rPr>
            </w:pPr>
          </w:p>
        </w:tc>
        <w:tc>
          <w:tcPr>
            <w:tcW w:w="2734" w:type="dxa"/>
            <w:tcBorders>
              <w:top w:val="single" w:color="auto" w:sz="4" w:space="0"/>
              <w:left w:val="nil"/>
              <w:bottom w:val="single" w:color="auto" w:sz="4" w:space="0"/>
              <w:right w:val="single" w:color="auto" w:sz="4" w:space="0"/>
            </w:tcBorders>
          </w:tcPr>
          <w:p w14:paraId="7D6F7845">
            <w:pPr>
              <w:rPr>
                <w:color w:val="auto"/>
              </w:rPr>
            </w:pPr>
          </w:p>
        </w:tc>
      </w:tr>
      <w:tr w14:paraId="75650FB8">
        <w:tblPrEx>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5AD34123">
            <w:pPr>
              <w:rPr>
                <w:color w:val="auto"/>
              </w:rPr>
            </w:pPr>
          </w:p>
        </w:tc>
        <w:tc>
          <w:tcPr>
            <w:tcW w:w="1134" w:type="dxa"/>
            <w:vMerge w:val="continue"/>
            <w:tcBorders>
              <w:left w:val="single" w:color="auto" w:sz="4" w:space="0"/>
              <w:right w:val="single" w:color="auto" w:sz="4" w:space="0"/>
            </w:tcBorders>
            <w:vAlign w:val="center"/>
          </w:tcPr>
          <w:p w14:paraId="1322AEBC">
            <w:pPr>
              <w:rPr>
                <w:color w:val="auto"/>
              </w:rPr>
            </w:pPr>
          </w:p>
        </w:tc>
        <w:tc>
          <w:tcPr>
            <w:tcW w:w="3388" w:type="dxa"/>
            <w:tcBorders>
              <w:top w:val="single" w:color="auto" w:sz="4" w:space="0"/>
              <w:left w:val="nil"/>
              <w:bottom w:val="single" w:color="auto" w:sz="4" w:space="0"/>
              <w:right w:val="single" w:color="auto" w:sz="4" w:space="0"/>
            </w:tcBorders>
            <w:vAlign w:val="center"/>
          </w:tcPr>
          <w:p w14:paraId="10B55E07">
            <w:pPr>
              <w:rPr>
                <w:color w:val="auto"/>
              </w:rPr>
            </w:pPr>
            <w:r>
              <w:rPr>
                <w:rFonts w:hint="eastAsia"/>
                <w:color w:val="auto"/>
              </w:rPr>
              <w:t>4、未经允许不得将食堂餐具带入宿舍；</w:t>
            </w:r>
          </w:p>
        </w:tc>
        <w:tc>
          <w:tcPr>
            <w:tcW w:w="1842" w:type="dxa"/>
            <w:tcBorders>
              <w:top w:val="single" w:color="auto" w:sz="4" w:space="0"/>
              <w:left w:val="nil"/>
              <w:bottom w:val="single" w:color="auto" w:sz="4" w:space="0"/>
              <w:right w:val="single" w:color="auto" w:sz="4" w:space="0"/>
            </w:tcBorders>
            <w:vAlign w:val="center"/>
          </w:tcPr>
          <w:p w14:paraId="7186C063">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6E137669">
            <w:pPr>
              <w:rPr>
                <w:color w:val="auto"/>
              </w:rPr>
            </w:pPr>
          </w:p>
        </w:tc>
        <w:tc>
          <w:tcPr>
            <w:tcW w:w="2734" w:type="dxa"/>
            <w:tcBorders>
              <w:top w:val="single" w:color="auto" w:sz="4" w:space="0"/>
              <w:left w:val="nil"/>
              <w:bottom w:val="single" w:color="auto" w:sz="4" w:space="0"/>
              <w:right w:val="single" w:color="auto" w:sz="4" w:space="0"/>
            </w:tcBorders>
          </w:tcPr>
          <w:p w14:paraId="5955738A">
            <w:pPr>
              <w:rPr>
                <w:color w:val="auto"/>
              </w:rPr>
            </w:pPr>
          </w:p>
        </w:tc>
      </w:tr>
      <w:tr w14:paraId="65AD4943">
        <w:tblPrEx>
          <w:tblCellMar>
            <w:top w:w="0" w:type="dxa"/>
            <w:left w:w="108" w:type="dxa"/>
            <w:bottom w:w="0" w:type="dxa"/>
            <w:right w:w="108" w:type="dxa"/>
          </w:tblCellMar>
        </w:tblPrEx>
        <w:trPr>
          <w:trHeight w:val="455" w:hRule="atLeast"/>
        </w:trPr>
        <w:tc>
          <w:tcPr>
            <w:tcW w:w="534" w:type="dxa"/>
            <w:vMerge w:val="continue"/>
            <w:tcBorders>
              <w:left w:val="single" w:color="auto" w:sz="4" w:space="0"/>
              <w:bottom w:val="single" w:color="auto" w:sz="4" w:space="0"/>
              <w:right w:val="single" w:color="auto" w:sz="4" w:space="0"/>
            </w:tcBorders>
            <w:vAlign w:val="center"/>
          </w:tcPr>
          <w:p w14:paraId="63D3BFBA">
            <w:pPr>
              <w:rPr>
                <w:color w:val="auto"/>
              </w:rPr>
            </w:pPr>
          </w:p>
        </w:tc>
        <w:tc>
          <w:tcPr>
            <w:tcW w:w="1134" w:type="dxa"/>
            <w:vMerge w:val="continue"/>
            <w:tcBorders>
              <w:left w:val="single" w:color="auto" w:sz="4" w:space="0"/>
              <w:bottom w:val="single" w:color="auto" w:sz="4" w:space="0"/>
              <w:right w:val="single" w:color="auto" w:sz="4" w:space="0"/>
            </w:tcBorders>
            <w:vAlign w:val="center"/>
          </w:tcPr>
          <w:p w14:paraId="6CE039E4">
            <w:pPr>
              <w:rPr>
                <w:color w:val="auto"/>
              </w:rPr>
            </w:pPr>
          </w:p>
        </w:tc>
        <w:tc>
          <w:tcPr>
            <w:tcW w:w="3388" w:type="dxa"/>
            <w:tcBorders>
              <w:top w:val="single" w:color="auto" w:sz="4" w:space="0"/>
              <w:left w:val="nil"/>
              <w:bottom w:val="single" w:color="auto" w:sz="4" w:space="0"/>
              <w:right w:val="single" w:color="auto" w:sz="4" w:space="0"/>
            </w:tcBorders>
            <w:vAlign w:val="center"/>
          </w:tcPr>
          <w:p w14:paraId="028621C6">
            <w:pPr>
              <w:rPr>
                <w:color w:val="auto"/>
              </w:rPr>
            </w:pPr>
            <w:r>
              <w:rPr>
                <w:rFonts w:hint="eastAsia"/>
                <w:color w:val="auto"/>
              </w:rPr>
              <w:t>5、未经允许不得使用电水壶、电热毯和电磁炉等电器；</w:t>
            </w:r>
          </w:p>
        </w:tc>
        <w:tc>
          <w:tcPr>
            <w:tcW w:w="1842" w:type="dxa"/>
            <w:tcBorders>
              <w:top w:val="single" w:color="auto" w:sz="4" w:space="0"/>
              <w:left w:val="nil"/>
              <w:bottom w:val="single" w:color="auto" w:sz="4" w:space="0"/>
              <w:right w:val="single" w:color="auto" w:sz="4" w:space="0"/>
            </w:tcBorders>
            <w:vAlign w:val="center"/>
          </w:tcPr>
          <w:p w14:paraId="18B28851">
            <w:pPr>
              <w:rPr>
                <w:color w:val="auto"/>
              </w:rPr>
            </w:pPr>
            <w:r>
              <w:rPr>
                <w:rFonts w:hint="eastAsia"/>
                <w:color w:val="auto"/>
              </w:rPr>
              <w:t>一处不符扣2分；</w:t>
            </w:r>
          </w:p>
        </w:tc>
        <w:tc>
          <w:tcPr>
            <w:tcW w:w="993" w:type="dxa"/>
            <w:tcBorders>
              <w:top w:val="single" w:color="auto" w:sz="4" w:space="0"/>
              <w:left w:val="nil"/>
              <w:bottom w:val="single" w:color="auto" w:sz="4" w:space="0"/>
              <w:right w:val="single" w:color="auto" w:sz="4" w:space="0"/>
            </w:tcBorders>
          </w:tcPr>
          <w:p w14:paraId="004980AB">
            <w:pPr>
              <w:rPr>
                <w:color w:val="auto"/>
              </w:rPr>
            </w:pPr>
          </w:p>
        </w:tc>
        <w:tc>
          <w:tcPr>
            <w:tcW w:w="2734" w:type="dxa"/>
            <w:tcBorders>
              <w:top w:val="single" w:color="auto" w:sz="4" w:space="0"/>
              <w:left w:val="nil"/>
              <w:bottom w:val="single" w:color="auto" w:sz="4" w:space="0"/>
              <w:right w:val="single" w:color="auto" w:sz="4" w:space="0"/>
            </w:tcBorders>
          </w:tcPr>
          <w:p w14:paraId="7C15EEAE">
            <w:pPr>
              <w:rPr>
                <w:color w:val="auto"/>
              </w:rPr>
            </w:pPr>
          </w:p>
        </w:tc>
      </w:tr>
    </w:tbl>
    <w:p w14:paraId="30DF58A7">
      <w:pPr>
        <w:rPr>
          <w:color w:val="auto"/>
        </w:rPr>
      </w:pPr>
      <w:r>
        <w:rPr>
          <w:color w:val="auto"/>
        </w:rPr>
        <w:t>注</w:t>
      </w:r>
      <w:r>
        <w:rPr>
          <w:rFonts w:hint="eastAsia"/>
          <w:color w:val="auto"/>
        </w:rPr>
        <w:t>：</w:t>
      </w:r>
      <w:r>
        <w:rPr>
          <w:color w:val="auto"/>
        </w:rPr>
        <w:t>本考核表满分</w:t>
      </w:r>
      <w:r>
        <w:rPr>
          <w:rFonts w:hint="eastAsia"/>
          <w:color w:val="auto"/>
        </w:rPr>
        <w:t>100分。</w:t>
      </w:r>
    </w:p>
    <w:p w14:paraId="3FAD8AF3">
      <w:pPr>
        <w:rPr>
          <w:color w:val="auto"/>
        </w:rPr>
      </w:pPr>
    </w:p>
    <w:tbl>
      <w:tblPr>
        <w:tblStyle w:val="26"/>
        <w:tblW w:w="1059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0"/>
        <w:gridCol w:w="4855"/>
      </w:tblGrid>
      <w:tr w14:paraId="384E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40" w:type="dxa"/>
          </w:tcPr>
          <w:p w14:paraId="62C5ED04">
            <w:pPr>
              <w:jc w:val="center"/>
              <w:rPr>
                <w:color w:val="auto"/>
              </w:rPr>
            </w:pPr>
            <w:r>
              <w:rPr>
                <w:color w:val="auto"/>
              </w:rPr>
              <w:t>项目名称</w:t>
            </w:r>
          </w:p>
        </w:tc>
        <w:tc>
          <w:tcPr>
            <w:tcW w:w="4855" w:type="dxa"/>
          </w:tcPr>
          <w:p w14:paraId="4A652D13">
            <w:pPr>
              <w:jc w:val="center"/>
              <w:rPr>
                <w:color w:val="auto"/>
              </w:rPr>
            </w:pPr>
            <w:r>
              <w:rPr>
                <w:color w:val="auto"/>
              </w:rPr>
              <w:t>得分情况</w:t>
            </w:r>
          </w:p>
        </w:tc>
      </w:tr>
      <w:tr w14:paraId="1701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241E061E">
            <w:pPr>
              <w:jc w:val="center"/>
              <w:rPr>
                <w:color w:val="auto"/>
              </w:rPr>
            </w:pPr>
            <w:r>
              <w:rPr>
                <w:color w:val="auto"/>
              </w:rPr>
              <w:t>服务管理考核</w:t>
            </w:r>
            <w:r>
              <w:rPr>
                <w:rFonts w:hint="eastAsia"/>
                <w:color w:val="auto"/>
              </w:rPr>
              <w:t>（100分）</w:t>
            </w:r>
          </w:p>
        </w:tc>
        <w:tc>
          <w:tcPr>
            <w:tcW w:w="4855" w:type="dxa"/>
          </w:tcPr>
          <w:p w14:paraId="5BE35467">
            <w:pPr>
              <w:jc w:val="center"/>
              <w:rPr>
                <w:color w:val="auto"/>
              </w:rPr>
            </w:pPr>
          </w:p>
        </w:tc>
      </w:tr>
      <w:tr w14:paraId="1C6D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6A1EB2FD">
            <w:pPr>
              <w:jc w:val="center"/>
              <w:rPr>
                <w:color w:val="auto"/>
              </w:rPr>
            </w:pPr>
            <w:r>
              <w:rPr>
                <w:color w:val="auto"/>
              </w:rPr>
              <w:t>护理服务</w:t>
            </w:r>
            <w:r>
              <w:rPr>
                <w:rFonts w:hint="eastAsia"/>
                <w:color w:val="auto"/>
              </w:rPr>
              <w:t>（100分）</w:t>
            </w:r>
          </w:p>
        </w:tc>
        <w:tc>
          <w:tcPr>
            <w:tcW w:w="4855" w:type="dxa"/>
          </w:tcPr>
          <w:p w14:paraId="7C7BCC11">
            <w:pPr>
              <w:jc w:val="center"/>
              <w:rPr>
                <w:color w:val="auto"/>
              </w:rPr>
            </w:pPr>
          </w:p>
        </w:tc>
      </w:tr>
      <w:tr w14:paraId="502C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08733110">
            <w:pPr>
              <w:jc w:val="center"/>
              <w:rPr>
                <w:color w:val="auto"/>
              </w:rPr>
            </w:pPr>
            <w:r>
              <w:rPr>
                <w:color w:val="auto"/>
              </w:rPr>
              <w:t>居室环境</w:t>
            </w:r>
            <w:r>
              <w:rPr>
                <w:rFonts w:hint="eastAsia"/>
                <w:color w:val="auto"/>
              </w:rPr>
              <w:t>（100分）</w:t>
            </w:r>
          </w:p>
        </w:tc>
        <w:tc>
          <w:tcPr>
            <w:tcW w:w="4855" w:type="dxa"/>
          </w:tcPr>
          <w:p w14:paraId="0927698B">
            <w:pPr>
              <w:jc w:val="center"/>
              <w:rPr>
                <w:color w:val="auto"/>
              </w:rPr>
            </w:pPr>
          </w:p>
        </w:tc>
      </w:tr>
      <w:tr w14:paraId="7964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32684525">
            <w:pPr>
              <w:jc w:val="center"/>
              <w:rPr>
                <w:color w:val="auto"/>
              </w:rPr>
            </w:pPr>
            <w:r>
              <w:rPr>
                <w:color w:val="auto"/>
              </w:rPr>
              <w:t>护理员管理</w:t>
            </w:r>
            <w:r>
              <w:rPr>
                <w:rFonts w:hint="eastAsia"/>
                <w:color w:val="auto"/>
              </w:rPr>
              <w:t>（100分）</w:t>
            </w:r>
          </w:p>
        </w:tc>
        <w:tc>
          <w:tcPr>
            <w:tcW w:w="4855" w:type="dxa"/>
          </w:tcPr>
          <w:p w14:paraId="4C54CFE7">
            <w:pPr>
              <w:jc w:val="center"/>
              <w:rPr>
                <w:color w:val="auto"/>
              </w:rPr>
            </w:pPr>
          </w:p>
        </w:tc>
      </w:tr>
      <w:tr w14:paraId="1340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1E8DA60D">
            <w:pPr>
              <w:jc w:val="center"/>
              <w:rPr>
                <w:color w:val="auto"/>
              </w:rPr>
            </w:pPr>
            <w:r>
              <w:rPr>
                <w:color w:val="auto"/>
              </w:rPr>
              <w:t>安全</w:t>
            </w:r>
            <w:r>
              <w:rPr>
                <w:rFonts w:hint="eastAsia"/>
                <w:color w:val="auto"/>
              </w:rPr>
              <w:t>管理（100分）</w:t>
            </w:r>
          </w:p>
        </w:tc>
        <w:tc>
          <w:tcPr>
            <w:tcW w:w="4855" w:type="dxa"/>
          </w:tcPr>
          <w:p w14:paraId="45D79FFA">
            <w:pPr>
              <w:jc w:val="center"/>
              <w:rPr>
                <w:color w:val="auto"/>
              </w:rPr>
            </w:pPr>
          </w:p>
        </w:tc>
      </w:tr>
      <w:tr w14:paraId="69C3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7F70F671">
            <w:pPr>
              <w:jc w:val="center"/>
              <w:rPr>
                <w:color w:val="auto"/>
              </w:rPr>
            </w:pPr>
            <w:r>
              <w:rPr>
                <w:color w:val="auto"/>
              </w:rPr>
              <w:t>康复活动</w:t>
            </w:r>
            <w:r>
              <w:rPr>
                <w:rFonts w:hint="eastAsia"/>
                <w:color w:val="auto"/>
              </w:rPr>
              <w:t>（100分）</w:t>
            </w:r>
          </w:p>
        </w:tc>
        <w:tc>
          <w:tcPr>
            <w:tcW w:w="4855" w:type="dxa"/>
          </w:tcPr>
          <w:p w14:paraId="20F0A75D">
            <w:pPr>
              <w:jc w:val="center"/>
              <w:rPr>
                <w:color w:val="auto"/>
              </w:rPr>
            </w:pPr>
          </w:p>
        </w:tc>
      </w:tr>
      <w:tr w14:paraId="2C1E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4A0EFACD">
            <w:pPr>
              <w:jc w:val="center"/>
              <w:rPr>
                <w:color w:val="auto"/>
              </w:rPr>
            </w:pPr>
            <w:r>
              <w:rPr>
                <w:color w:val="auto"/>
              </w:rPr>
              <w:t>后勤</w:t>
            </w:r>
            <w:r>
              <w:rPr>
                <w:rFonts w:hint="eastAsia"/>
                <w:color w:val="auto"/>
              </w:rPr>
              <w:t>管理（100分）</w:t>
            </w:r>
          </w:p>
        </w:tc>
        <w:tc>
          <w:tcPr>
            <w:tcW w:w="4855" w:type="dxa"/>
          </w:tcPr>
          <w:p w14:paraId="4BE0F2A8">
            <w:pPr>
              <w:jc w:val="center"/>
              <w:rPr>
                <w:color w:val="auto"/>
              </w:rPr>
            </w:pPr>
          </w:p>
        </w:tc>
      </w:tr>
      <w:tr w14:paraId="13FF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0" w:type="dxa"/>
          </w:tcPr>
          <w:p w14:paraId="1D42DF6A">
            <w:pPr>
              <w:jc w:val="center"/>
              <w:rPr>
                <w:color w:val="auto"/>
              </w:rPr>
            </w:pPr>
            <w:r>
              <w:rPr>
                <w:rFonts w:hint="eastAsia"/>
                <w:color w:val="auto"/>
              </w:rPr>
              <w:t>平均得</w:t>
            </w:r>
            <w:r>
              <w:rPr>
                <w:color w:val="auto"/>
              </w:rPr>
              <w:t>分</w:t>
            </w:r>
            <w:r>
              <w:rPr>
                <w:rFonts w:hint="eastAsia"/>
                <w:color w:val="auto"/>
              </w:rPr>
              <w:t>（100分）</w:t>
            </w:r>
          </w:p>
        </w:tc>
        <w:tc>
          <w:tcPr>
            <w:tcW w:w="4855" w:type="dxa"/>
          </w:tcPr>
          <w:p w14:paraId="673E4836">
            <w:pPr>
              <w:jc w:val="center"/>
              <w:rPr>
                <w:color w:val="auto"/>
              </w:rPr>
            </w:pPr>
          </w:p>
        </w:tc>
      </w:tr>
    </w:tbl>
    <w:p w14:paraId="37A3BCA7">
      <w:pPr>
        <w:rPr>
          <w:color w:val="auto"/>
        </w:rPr>
      </w:pPr>
      <w:r>
        <w:rPr>
          <w:color w:val="auto"/>
        </w:rPr>
        <w:t>注</w:t>
      </w:r>
      <w:r>
        <w:rPr>
          <w:rFonts w:hint="eastAsia"/>
          <w:color w:val="auto"/>
        </w:rPr>
        <w:t>：</w:t>
      </w:r>
      <w:r>
        <w:rPr>
          <w:color w:val="auto"/>
        </w:rPr>
        <w:t>最后总分按照所有项目平均分计算</w:t>
      </w:r>
      <w:r>
        <w:rPr>
          <w:rFonts w:hint="eastAsia"/>
          <w:color w:val="auto"/>
        </w:rPr>
        <w:t>。</w:t>
      </w:r>
    </w:p>
    <w:p w14:paraId="117B95FB">
      <w:pPr>
        <w:rPr>
          <w:color w:val="auto"/>
        </w:rPr>
      </w:pPr>
    </w:p>
    <w:p w14:paraId="78C32229">
      <w:pPr>
        <w:rPr>
          <w:color w:val="auto"/>
        </w:rPr>
      </w:pPr>
      <w:r>
        <w:rPr>
          <w:rFonts w:hint="eastAsia"/>
          <w:color w:val="auto"/>
        </w:rPr>
        <w:t>考核人：                                                          考核时间：</w:t>
      </w:r>
    </w:p>
    <w:p w14:paraId="2ED2C65D">
      <w:pPr>
        <w:rPr>
          <w:color w:val="auto"/>
        </w:rPr>
      </w:pPr>
    </w:p>
    <w:p w14:paraId="3E8A7B49">
      <w:pPr>
        <w:rPr>
          <w:color w:val="auto"/>
        </w:rPr>
      </w:pPr>
      <w:r>
        <w:rPr>
          <w:rFonts w:hint="eastAsia"/>
          <w:color w:val="auto"/>
        </w:rPr>
        <w:t>注：如因护理员失职或差错事故导致残疾人发生意外事件，处罚细则如下：</w:t>
      </w:r>
    </w:p>
    <w:p w14:paraId="48FCEA48">
      <w:pPr>
        <w:rPr>
          <w:color w:val="auto"/>
        </w:rPr>
      </w:pPr>
      <w:r>
        <w:rPr>
          <w:rFonts w:hint="eastAsia"/>
          <w:color w:val="auto"/>
        </w:rPr>
        <w:t>1.残疾人发生走失，按每例扣除当月考核总分2分。残疾人发生自杀，按每例扣除当月考核总分3分。残疾人发生烫伤、冻伤扣除当月考核总分2分。残疾人发生坠床、跌倒、斗殴致伤等情况扣除当月总分2分，意外事件乙方须及时上报甲方，如有隐瞒情节或上报不及时的，加倍扣分。</w:t>
      </w:r>
    </w:p>
    <w:p w14:paraId="452B0F1C">
      <w:pPr>
        <w:rPr>
          <w:color w:val="auto"/>
        </w:rPr>
        <w:sectPr>
          <w:pgSz w:w="11906" w:h="16838"/>
          <w:pgMar w:top="1440" w:right="1587" w:bottom="1440" w:left="1633" w:header="851" w:footer="992" w:gutter="0"/>
          <w:pgNumType w:fmt="decimal"/>
          <w:cols w:space="0" w:num="1"/>
          <w:docGrid w:type="lines" w:linePitch="312" w:charSpace="0"/>
        </w:sectPr>
      </w:pPr>
      <w:r>
        <w:rPr>
          <w:rFonts w:hint="eastAsia"/>
          <w:color w:val="auto"/>
        </w:rPr>
        <w:t>2.如有因乙方服务不到位，或发生差错事故和意外事件，遭残疾人或家属投诉引起纠纷索赔者，由乙方自行负责，相关费用乙方自行承担，以保证甲方在残疾人及家属索赔时不受任何责任的约束。</w:t>
      </w:r>
    </w:p>
    <w:p w14:paraId="585A9CDE">
      <w:pPr>
        <w:snapToGrid w:val="0"/>
        <w:spacing w:before="156" w:after="50" w:line="360" w:lineRule="auto"/>
        <w:ind w:firstLine="703"/>
        <w:rPr>
          <w:rStyle w:val="151"/>
          <w:rFonts w:ascii="宋体" w:hAnsi="宋体"/>
          <w:b/>
          <w:color w:val="auto"/>
          <w:sz w:val="28"/>
          <w:szCs w:val="22"/>
        </w:rPr>
      </w:pPr>
      <w:r>
        <w:rPr>
          <w:rStyle w:val="151"/>
          <w:rFonts w:hint="eastAsia" w:ascii="宋体" w:hAnsi="宋体"/>
          <w:b/>
          <w:color w:val="auto"/>
          <w:sz w:val="28"/>
          <w:szCs w:val="22"/>
        </w:rPr>
        <w:t>附件</w:t>
      </w:r>
    </w:p>
    <w:p w14:paraId="0821D6C4">
      <w:pPr>
        <w:spacing w:line="360" w:lineRule="auto"/>
        <w:ind w:firstLine="803"/>
        <w:jc w:val="center"/>
        <w:rPr>
          <w:rFonts w:ascii="仿宋" w:hAnsi="仿宋" w:eastAsia="仿宋"/>
          <w:b/>
          <w:color w:val="auto"/>
          <w:sz w:val="32"/>
          <w:szCs w:val="32"/>
        </w:rPr>
      </w:pPr>
      <w:r>
        <w:rPr>
          <w:rFonts w:hint="eastAsia" w:ascii="仿宋" w:hAnsi="仿宋" w:eastAsia="仿宋"/>
          <w:b/>
          <w:color w:val="auto"/>
          <w:sz w:val="32"/>
          <w:szCs w:val="32"/>
        </w:rPr>
        <w:t>玉环市残疾人康复和托养中心家属满意度调查</w:t>
      </w:r>
    </w:p>
    <w:p w14:paraId="5CA193CA">
      <w:pPr>
        <w:spacing w:line="360" w:lineRule="auto"/>
        <w:ind w:firstLine="803"/>
        <w:jc w:val="left"/>
        <w:rPr>
          <w:rFonts w:ascii="仿宋" w:hAnsi="仿宋" w:eastAsia="仿宋"/>
          <w:b/>
          <w:color w:val="auto"/>
          <w:sz w:val="32"/>
          <w:szCs w:val="32"/>
        </w:rPr>
      </w:pPr>
    </w:p>
    <w:p w14:paraId="616F35E2">
      <w:pPr>
        <w:spacing w:line="360" w:lineRule="auto"/>
        <w:jc w:val="left"/>
        <w:rPr>
          <w:rFonts w:ascii="仿宋" w:hAnsi="仿宋" w:eastAsia="仿宋"/>
          <w:color w:val="auto"/>
          <w:sz w:val="24"/>
          <w:szCs w:val="18"/>
        </w:rPr>
      </w:pPr>
      <w:r>
        <w:rPr>
          <w:rFonts w:hint="eastAsia" w:ascii="仿宋" w:hAnsi="仿宋" w:eastAsia="仿宋"/>
          <w:color w:val="auto"/>
          <w:sz w:val="24"/>
          <w:szCs w:val="18"/>
        </w:rPr>
        <w:t>尊敬的家属：</w:t>
      </w:r>
    </w:p>
    <w:p w14:paraId="5A4C4E71">
      <w:pPr>
        <w:spacing w:line="360" w:lineRule="auto"/>
        <w:jc w:val="left"/>
        <w:rPr>
          <w:rFonts w:ascii="仿宋" w:hAnsi="仿宋" w:eastAsia="仿宋"/>
          <w:color w:val="auto"/>
          <w:sz w:val="24"/>
          <w:szCs w:val="18"/>
        </w:rPr>
      </w:pPr>
      <w:r>
        <w:rPr>
          <w:rFonts w:hint="eastAsia" w:ascii="仿宋" w:hAnsi="仿宋" w:eastAsia="仿宋"/>
          <w:color w:val="auto"/>
          <w:sz w:val="24"/>
          <w:szCs w:val="18"/>
        </w:rPr>
        <w:t>为了持续改进护理服务质量，中心护理科将定期开展家属满意度调查，恳请您认真填写此表。您的评价和建议，将成为我们改进工作的依据。</w:t>
      </w:r>
    </w:p>
    <w:p w14:paraId="0601463F">
      <w:pPr>
        <w:spacing w:line="360" w:lineRule="auto"/>
        <w:jc w:val="left"/>
        <w:rPr>
          <w:rFonts w:ascii="仿宋" w:hAnsi="仿宋" w:eastAsia="仿宋"/>
          <w:color w:val="auto"/>
          <w:sz w:val="24"/>
          <w:szCs w:val="18"/>
        </w:rPr>
      </w:pPr>
      <w:r>
        <w:rPr>
          <w:rFonts w:hint="eastAsia" w:ascii="仿宋" w:hAnsi="仿宋" w:eastAsia="仿宋"/>
          <w:color w:val="auto"/>
          <w:sz w:val="24"/>
          <w:szCs w:val="18"/>
        </w:rPr>
        <w:t>本资料将由本中心妥为保管，用于统计分析和改进服务，谢谢配合！</w:t>
      </w:r>
      <w:r>
        <w:rPr>
          <w:rFonts w:ascii="仿宋" w:hAnsi="仿宋" w:eastAsia="仿宋"/>
          <w:color w:val="auto"/>
          <w:sz w:val="24"/>
          <w:szCs w:val="18"/>
        </w:rPr>
        <w:br w:type="textWrapping"/>
      </w:r>
      <w:r>
        <w:rPr>
          <w:rFonts w:hint="eastAsia" w:ascii="仿宋" w:hAnsi="仿宋" w:eastAsia="仿宋"/>
          <w:color w:val="auto"/>
          <w:sz w:val="24"/>
          <w:szCs w:val="18"/>
        </w:rPr>
        <w:t>您家属的名字：入住时间：</w:t>
      </w:r>
    </w:p>
    <w:p w14:paraId="2CBEB48D">
      <w:pPr>
        <w:spacing w:line="360" w:lineRule="auto"/>
        <w:ind w:firstLine="600"/>
        <w:rPr>
          <w:rFonts w:ascii="仿宋" w:hAnsi="仿宋" w:eastAsia="仿宋"/>
          <w:color w:val="auto"/>
          <w:sz w:val="28"/>
        </w:rPr>
      </w:pPr>
      <w:r>
        <w:rPr>
          <w:rFonts w:hint="eastAsia" w:ascii="仿宋" w:hAnsi="仿宋" w:eastAsia="仿宋"/>
          <w:color w:val="auto"/>
          <w:sz w:val="24"/>
        </w:rPr>
        <w:t>1、您对家属入住中心后的状况是否满意：非常满意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77C8D36E">
      <w:pPr>
        <w:spacing w:line="360" w:lineRule="auto"/>
        <w:ind w:firstLine="600"/>
        <w:rPr>
          <w:rFonts w:ascii="仿宋" w:hAnsi="仿宋" w:eastAsia="仿宋"/>
          <w:color w:val="auto"/>
          <w:sz w:val="24"/>
        </w:rPr>
      </w:pPr>
      <w:r>
        <w:rPr>
          <w:rFonts w:hint="eastAsia" w:ascii="仿宋" w:hAnsi="仿宋" w:eastAsia="仿宋"/>
          <w:color w:val="auto"/>
          <w:sz w:val="24"/>
        </w:rPr>
        <w:t>2、您对管理人员的工作态度是否满意？</w:t>
      </w:r>
    </w:p>
    <w:p w14:paraId="54D8945A">
      <w:pPr>
        <w:spacing w:line="360" w:lineRule="auto"/>
        <w:ind w:firstLine="600"/>
        <w:rPr>
          <w:rFonts w:ascii="仿宋" w:hAnsi="仿宋" w:eastAsia="仿宋"/>
          <w:color w:val="auto"/>
          <w:sz w:val="28"/>
        </w:rPr>
      </w:pPr>
      <w:r>
        <w:rPr>
          <w:rFonts w:hint="eastAsia" w:ascii="仿宋" w:hAnsi="仿宋" w:eastAsia="仿宋"/>
          <w:color w:val="auto"/>
          <w:sz w:val="24"/>
        </w:rPr>
        <w:t>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7165CFC5">
      <w:pPr>
        <w:spacing w:line="360" w:lineRule="auto"/>
        <w:ind w:firstLine="600"/>
        <w:rPr>
          <w:rFonts w:ascii="仿宋" w:hAnsi="仿宋" w:eastAsia="仿宋"/>
          <w:color w:val="auto"/>
          <w:sz w:val="24"/>
        </w:rPr>
      </w:pPr>
      <w:r>
        <w:rPr>
          <w:rFonts w:hint="eastAsia" w:ascii="仿宋" w:hAnsi="仿宋" w:eastAsia="仿宋"/>
          <w:color w:val="auto"/>
          <w:sz w:val="24"/>
        </w:rPr>
        <w:t>3、您对护理员的服务态度是否满意？</w:t>
      </w:r>
    </w:p>
    <w:p w14:paraId="62AE28DE">
      <w:pPr>
        <w:tabs>
          <w:tab w:val="left" w:pos="1260"/>
          <w:tab w:val="left" w:pos="2160"/>
          <w:tab w:val="left" w:pos="2520"/>
          <w:tab w:val="left" w:pos="3420"/>
          <w:tab w:val="left" w:pos="3780"/>
          <w:tab w:val="left" w:pos="4680"/>
        </w:tabs>
        <w:spacing w:line="360" w:lineRule="auto"/>
        <w:ind w:firstLine="240" w:firstLineChars="100"/>
        <w:jc w:val="left"/>
        <w:rPr>
          <w:rFonts w:ascii="仿宋" w:hAnsi="仿宋" w:eastAsia="仿宋"/>
          <w:color w:val="auto"/>
          <w:sz w:val="28"/>
        </w:rPr>
      </w:pPr>
      <w:r>
        <w:rPr>
          <w:rFonts w:hint="eastAsia" w:ascii="仿宋" w:hAnsi="仿宋" w:eastAsia="仿宋"/>
          <w:color w:val="auto"/>
          <w:sz w:val="24"/>
        </w:rPr>
        <w:t xml:space="preserve">     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36C50CF3">
      <w:pPr>
        <w:spacing w:line="360" w:lineRule="auto"/>
        <w:ind w:left="239" w:leftChars="114" w:firstLine="240" w:firstLineChars="100"/>
        <w:jc w:val="left"/>
        <w:rPr>
          <w:rFonts w:ascii="仿宋" w:hAnsi="仿宋" w:eastAsia="仿宋"/>
          <w:color w:val="auto"/>
          <w:sz w:val="24"/>
          <w:szCs w:val="18"/>
        </w:rPr>
      </w:pPr>
      <w:r>
        <w:rPr>
          <w:rFonts w:hint="eastAsia" w:ascii="仿宋" w:hAnsi="仿宋" w:eastAsia="仿宋"/>
          <w:color w:val="auto"/>
          <w:sz w:val="24"/>
        </w:rPr>
        <w:t>4、</w:t>
      </w:r>
      <w:r>
        <w:rPr>
          <w:rFonts w:hint="eastAsia" w:ascii="仿宋" w:hAnsi="仿宋" w:eastAsia="仿宋"/>
          <w:color w:val="auto"/>
          <w:sz w:val="24"/>
          <w:szCs w:val="18"/>
        </w:rPr>
        <w:t>您对接待家属的工作人员工作满意吗？</w:t>
      </w:r>
    </w:p>
    <w:p w14:paraId="24491CDC">
      <w:pPr>
        <w:spacing w:line="360" w:lineRule="auto"/>
        <w:ind w:firstLine="600"/>
        <w:rPr>
          <w:rFonts w:ascii="仿宋" w:hAnsi="仿宋" w:eastAsia="仿宋"/>
          <w:color w:val="auto"/>
          <w:sz w:val="28"/>
        </w:rPr>
      </w:pPr>
      <w:r>
        <w:rPr>
          <w:rFonts w:hint="eastAsia" w:ascii="仿宋" w:hAnsi="仿宋" w:eastAsia="仿宋"/>
          <w:color w:val="auto"/>
          <w:sz w:val="24"/>
        </w:rPr>
        <w:t>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3CA6DACC">
      <w:pPr>
        <w:tabs>
          <w:tab w:val="left" w:pos="1260"/>
          <w:tab w:val="left" w:pos="2160"/>
          <w:tab w:val="left" w:pos="2520"/>
          <w:tab w:val="left" w:pos="3420"/>
          <w:tab w:val="left" w:pos="3780"/>
          <w:tab w:val="left" w:pos="4680"/>
        </w:tabs>
        <w:spacing w:line="360" w:lineRule="auto"/>
        <w:ind w:firstLine="480" w:firstLineChars="200"/>
        <w:jc w:val="left"/>
        <w:rPr>
          <w:rFonts w:ascii="仿宋" w:hAnsi="仿宋" w:eastAsia="仿宋"/>
          <w:color w:val="auto"/>
          <w:sz w:val="24"/>
          <w:szCs w:val="18"/>
        </w:rPr>
      </w:pPr>
      <w:r>
        <w:rPr>
          <w:rFonts w:hint="eastAsia" w:ascii="仿宋" w:hAnsi="仿宋" w:eastAsia="仿宋"/>
          <w:color w:val="auto"/>
          <w:sz w:val="24"/>
        </w:rPr>
        <w:t>5、</w:t>
      </w:r>
      <w:r>
        <w:rPr>
          <w:rFonts w:hint="eastAsia" w:ascii="仿宋" w:hAnsi="仿宋" w:eastAsia="仿宋"/>
          <w:color w:val="auto"/>
          <w:sz w:val="24"/>
          <w:szCs w:val="18"/>
        </w:rPr>
        <w:t>护理员是否能提供及时服务？</w:t>
      </w:r>
    </w:p>
    <w:p w14:paraId="3A5F3216">
      <w:pPr>
        <w:tabs>
          <w:tab w:val="left" w:pos="1260"/>
          <w:tab w:val="left" w:pos="2160"/>
          <w:tab w:val="left" w:pos="2520"/>
          <w:tab w:val="left" w:pos="3420"/>
          <w:tab w:val="left" w:pos="3780"/>
          <w:tab w:val="left" w:pos="4680"/>
        </w:tabs>
        <w:spacing w:line="360" w:lineRule="auto"/>
        <w:ind w:firstLine="240" w:firstLineChars="100"/>
        <w:jc w:val="left"/>
        <w:rPr>
          <w:rFonts w:ascii="仿宋" w:hAnsi="仿宋" w:eastAsia="仿宋"/>
          <w:color w:val="auto"/>
          <w:sz w:val="24"/>
          <w:szCs w:val="18"/>
        </w:rPr>
      </w:pPr>
      <w:r>
        <w:rPr>
          <w:rFonts w:ascii="仿宋" w:eastAsia="仿宋"/>
          <w:color w:val="auto"/>
          <w:sz w:val="24"/>
          <w:szCs w:val="18"/>
        </w:rPr>
        <w:t> </w:t>
      </w:r>
      <w:r>
        <w:rPr>
          <w:rFonts w:hint="eastAsia" w:ascii="仿宋" w:hAnsi="仿宋" w:eastAsia="仿宋"/>
          <w:color w:val="auto"/>
          <w:sz w:val="24"/>
          <w:szCs w:val="18"/>
        </w:rPr>
        <w:t xml:space="preserve">很及时 □ </w:t>
      </w:r>
      <w:r>
        <w:rPr>
          <w:rFonts w:ascii="仿宋" w:eastAsia="仿宋"/>
          <w:color w:val="auto"/>
          <w:sz w:val="24"/>
          <w:szCs w:val="18"/>
        </w:rPr>
        <w:t> </w:t>
      </w:r>
      <w:r>
        <w:rPr>
          <w:rFonts w:hint="eastAsia" w:ascii="仿宋" w:hAnsi="仿宋" w:eastAsia="仿宋"/>
          <w:color w:val="auto"/>
          <w:sz w:val="24"/>
          <w:szCs w:val="18"/>
        </w:rPr>
        <w:t>及时 □      一般</w:t>
      </w:r>
      <w:r>
        <w:rPr>
          <w:rFonts w:ascii="仿宋" w:eastAsia="仿宋"/>
          <w:color w:val="auto"/>
          <w:sz w:val="24"/>
          <w:szCs w:val="18"/>
        </w:rPr>
        <w:t> </w:t>
      </w:r>
      <w:r>
        <w:rPr>
          <w:rFonts w:hint="eastAsia" w:ascii="仿宋" w:hAnsi="仿宋" w:eastAsia="仿宋"/>
          <w:color w:val="auto"/>
          <w:sz w:val="24"/>
          <w:szCs w:val="18"/>
        </w:rPr>
        <w:t>□ 不及时  □</w:t>
      </w:r>
    </w:p>
    <w:p w14:paraId="7FE3FE23">
      <w:pPr>
        <w:tabs>
          <w:tab w:val="left" w:pos="1260"/>
          <w:tab w:val="left" w:pos="2160"/>
          <w:tab w:val="left" w:pos="2520"/>
          <w:tab w:val="left" w:pos="3420"/>
          <w:tab w:val="left" w:pos="3780"/>
          <w:tab w:val="left" w:pos="4680"/>
        </w:tabs>
        <w:spacing w:line="360" w:lineRule="auto"/>
        <w:ind w:firstLine="480" w:firstLineChars="200"/>
        <w:jc w:val="left"/>
        <w:rPr>
          <w:rFonts w:ascii="仿宋" w:hAnsi="仿宋" w:eastAsia="仿宋"/>
          <w:color w:val="auto"/>
          <w:sz w:val="24"/>
          <w:szCs w:val="18"/>
        </w:rPr>
      </w:pPr>
      <w:r>
        <w:rPr>
          <w:rFonts w:hint="eastAsia" w:ascii="仿宋" w:hAnsi="仿宋" w:eastAsia="仿宋"/>
          <w:color w:val="auto"/>
          <w:sz w:val="24"/>
          <w:szCs w:val="18"/>
        </w:rPr>
        <w:t>6、您对护理员提供的环境清洁服务是否满意？</w:t>
      </w:r>
    </w:p>
    <w:p w14:paraId="05D17B47">
      <w:pPr>
        <w:tabs>
          <w:tab w:val="left" w:pos="1260"/>
          <w:tab w:val="left" w:pos="2160"/>
          <w:tab w:val="left" w:pos="2520"/>
          <w:tab w:val="left" w:pos="3420"/>
          <w:tab w:val="left" w:pos="3780"/>
          <w:tab w:val="left" w:pos="4680"/>
        </w:tabs>
        <w:spacing w:line="360" w:lineRule="auto"/>
        <w:ind w:firstLine="840" w:firstLineChars="350"/>
        <w:jc w:val="left"/>
        <w:rPr>
          <w:rFonts w:ascii="仿宋" w:hAnsi="仿宋" w:eastAsia="仿宋"/>
          <w:color w:val="auto"/>
          <w:sz w:val="28"/>
        </w:rPr>
      </w:pPr>
      <w:r>
        <w:rPr>
          <w:rFonts w:hint="eastAsia" w:ascii="仿宋" w:hAnsi="仿宋" w:eastAsia="仿宋"/>
          <w:color w:val="auto"/>
          <w:sz w:val="24"/>
        </w:rPr>
        <w:t>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723800EF">
      <w:pPr>
        <w:tabs>
          <w:tab w:val="left" w:pos="1260"/>
          <w:tab w:val="left" w:pos="2160"/>
          <w:tab w:val="left" w:pos="2520"/>
          <w:tab w:val="left" w:pos="3420"/>
          <w:tab w:val="left" w:pos="3780"/>
          <w:tab w:val="left" w:pos="4680"/>
        </w:tabs>
        <w:spacing w:line="360" w:lineRule="auto"/>
        <w:ind w:firstLine="480" w:firstLineChars="200"/>
        <w:jc w:val="left"/>
        <w:rPr>
          <w:rFonts w:ascii="仿宋" w:hAnsi="仿宋" w:eastAsia="仿宋"/>
          <w:color w:val="auto"/>
          <w:sz w:val="24"/>
          <w:szCs w:val="18"/>
        </w:rPr>
      </w:pPr>
      <w:r>
        <w:rPr>
          <w:rFonts w:hint="eastAsia" w:ascii="仿宋" w:hAnsi="仿宋" w:eastAsia="仿宋"/>
          <w:color w:val="auto"/>
          <w:sz w:val="24"/>
          <w:szCs w:val="18"/>
        </w:rPr>
        <w:t>7、您对护理员为养护员提供的个人卫生处置是否满意？（如洗澡、剪指甲、大小便处置等）</w:t>
      </w:r>
    </w:p>
    <w:p w14:paraId="442A5104">
      <w:pPr>
        <w:tabs>
          <w:tab w:val="left" w:pos="1260"/>
          <w:tab w:val="left" w:pos="2160"/>
          <w:tab w:val="left" w:pos="2520"/>
          <w:tab w:val="left" w:pos="3420"/>
          <w:tab w:val="left" w:pos="3780"/>
          <w:tab w:val="left" w:pos="4680"/>
        </w:tabs>
        <w:spacing w:line="360" w:lineRule="auto"/>
        <w:ind w:firstLine="840" w:firstLineChars="350"/>
        <w:jc w:val="left"/>
        <w:rPr>
          <w:rFonts w:ascii="仿宋" w:hAnsi="仿宋" w:eastAsia="仿宋"/>
          <w:color w:val="auto"/>
          <w:sz w:val="28"/>
        </w:rPr>
      </w:pPr>
      <w:r>
        <w:rPr>
          <w:rFonts w:hint="eastAsia" w:ascii="仿宋" w:hAnsi="仿宋" w:eastAsia="仿宋"/>
          <w:color w:val="auto"/>
          <w:sz w:val="24"/>
        </w:rPr>
        <w:t>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78C47453">
      <w:pPr>
        <w:tabs>
          <w:tab w:val="left" w:pos="1260"/>
          <w:tab w:val="left" w:pos="2160"/>
          <w:tab w:val="left" w:pos="2520"/>
          <w:tab w:val="left" w:pos="3420"/>
          <w:tab w:val="left" w:pos="3780"/>
          <w:tab w:val="left" w:pos="4680"/>
        </w:tabs>
        <w:spacing w:line="360" w:lineRule="auto"/>
        <w:ind w:firstLine="240" w:firstLineChars="100"/>
        <w:jc w:val="left"/>
        <w:rPr>
          <w:rFonts w:ascii="仿宋" w:hAnsi="仿宋" w:eastAsia="仿宋"/>
          <w:color w:val="auto"/>
          <w:sz w:val="24"/>
          <w:szCs w:val="18"/>
        </w:rPr>
      </w:pPr>
      <w:r>
        <w:rPr>
          <w:rFonts w:hint="eastAsia" w:ascii="仿宋" w:hAnsi="仿宋" w:eastAsia="仿宋"/>
          <w:color w:val="auto"/>
          <w:sz w:val="24"/>
        </w:rPr>
        <w:t>8、</w:t>
      </w:r>
      <w:r>
        <w:rPr>
          <w:rFonts w:hint="eastAsia" w:ascii="仿宋" w:hAnsi="仿宋" w:eastAsia="仿宋"/>
          <w:color w:val="auto"/>
          <w:sz w:val="24"/>
          <w:szCs w:val="18"/>
        </w:rPr>
        <w:t>您对护理员提供的饮食照料是否满意？（如喂食、喂水、牛奶零食等定时分发等）</w:t>
      </w:r>
    </w:p>
    <w:p w14:paraId="38154AC7">
      <w:pPr>
        <w:tabs>
          <w:tab w:val="left" w:pos="1260"/>
          <w:tab w:val="left" w:pos="2160"/>
          <w:tab w:val="left" w:pos="2520"/>
          <w:tab w:val="left" w:pos="3420"/>
          <w:tab w:val="left" w:pos="3780"/>
          <w:tab w:val="left" w:pos="4680"/>
        </w:tabs>
        <w:spacing w:line="360" w:lineRule="auto"/>
        <w:ind w:firstLine="840" w:firstLineChars="350"/>
        <w:jc w:val="left"/>
        <w:rPr>
          <w:rFonts w:ascii="仿宋" w:hAnsi="仿宋" w:eastAsia="仿宋"/>
          <w:color w:val="auto"/>
          <w:sz w:val="28"/>
        </w:rPr>
      </w:pPr>
      <w:r>
        <w:rPr>
          <w:rFonts w:hint="eastAsia" w:ascii="仿宋" w:hAnsi="仿宋" w:eastAsia="仿宋"/>
          <w:color w:val="auto"/>
          <w:sz w:val="24"/>
        </w:rPr>
        <w:t>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0FD5ED87">
      <w:pPr>
        <w:tabs>
          <w:tab w:val="left" w:pos="1260"/>
          <w:tab w:val="left" w:pos="2160"/>
          <w:tab w:val="left" w:pos="2520"/>
          <w:tab w:val="left" w:pos="3420"/>
          <w:tab w:val="left" w:pos="3780"/>
          <w:tab w:val="left" w:pos="4680"/>
        </w:tabs>
        <w:spacing w:line="360" w:lineRule="auto"/>
        <w:ind w:firstLine="240" w:firstLineChars="100"/>
        <w:jc w:val="left"/>
        <w:rPr>
          <w:rFonts w:ascii="仿宋" w:hAnsi="仿宋" w:eastAsia="仿宋"/>
          <w:color w:val="auto"/>
          <w:sz w:val="24"/>
          <w:szCs w:val="18"/>
        </w:rPr>
      </w:pPr>
      <w:r>
        <w:rPr>
          <w:rFonts w:hint="eastAsia" w:ascii="仿宋" w:hAnsi="仿宋" w:eastAsia="仿宋"/>
          <w:color w:val="auto"/>
          <w:sz w:val="24"/>
        </w:rPr>
        <w:t xml:space="preserve">  9、</w:t>
      </w:r>
      <w:r>
        <w:rPr>
          <w:rFonts w:hint="eastAsia" w:ascii="仿宋" w:hAnsi="仿宋" w:eastAsia="仿宋"/>
          <w:color w:val="auto"/>
          <w:sz w:val="24"/>
          <w:szCs w:val="18"/>
        </w:rPr>
        <w:t>当您遇到问题或提出意见时，是否得到认真有效的处理？</w:t>
      </w:r>
    </w:p>
    <w:p w14:paraId="5BE73028">
      <w:pPr>
        <w:spacing w:line="360" w:lineRule="auto"/>
        <w:rPr>
          <w:rFonts w:ascii="仿宋" w:hAnsi="仿宋" w:eastAsia="仿宋"/>
          <w:color w:val="auto"/>
          <w:sz w:val="24"/>
        </w:rPr>
      </w:pPr>
      <w:r>
        <w:rPr>
          <w:rFonts w:hint="eastAsia" w:ascii="仿宋" w:hAnsi="仿宋" w:eastAsia="仿宋"/>
          <w:color w:val="auto"/>
          <w:sz w:val="24"/>
        </w:rPr>
        <w:t>非常满意</w:t>
      </w:r>
      <w:r>
        <w:rPr>
          <w:rFonts w:ascii="仿宋" w:hAnsi="仿宋" w:eastAsia="仿宋"/>
          <w:color w:val="auto"/>
          <w:sz w:val="28"/>
        </w:rPr>
        <w:t xml:space="preserve">□    </w:t>
      </w:r>
      <w:r>
        <w:rPr>
          <w:rFonts w:hint="eastAsia" w:ascii="仿宋" w:hAnsi="仿宋" w:eastAsia="仿宋"/>
          <w:color w:val="auto"/>
          <w:sz w:val="24"/>
        </w:rPr>
        <w:t>满意</w:t>
      </w:r>
      <w:r>
        <w:rPr>
          <w:rFonts w:ascii="仿宋" w:hAnsi="仿宋" w:eastAsia="仿宋"/>
          <w:color w:val="auto"/>
          <w:sz w:val="30"/>
        </w:rPr>
        <w:t xml:space="preserve">□    </w:t>
      </w:r>
      <w:r>
        <w:rPr>
          <w:rFonts w:hint="eastAsia" w:ascii="仿宋" w:hAnsi="仿宋" w:eastAsia="仿宋"/>
          <w:color w:val="auto"/>
          <w:sz w:val="24"/>
        </w:rPr>
        <w:t>较满意</w:t>
      </w:r>
      <w:r>
        <w:rPr>
          <w:rFonts w:ascii="仿宋" w:hAnsi="仿宋" w:eastAsia="仿宋"/>
          <w:color w:val="auto"/>
          <w:sz w:val="28"/>
        </w:rPr>
        <w:t xml:space="preserve">□    </w:t>
      </w:r>
      <w:r>
        <w:rPr>
          <w:rFonts w:hint="eastAsia" w:ascii="仿宋" w:hAnsi="仿宋" w:eastAsia="仿宋"/>
          <w:color w:val="auto"/>
          <w:sz w:val="24"/>
        </w:rPr>
        <w:t>差</w:t>
      </w:r>
      <w:r>
        <w:rPr>
          <w:rFonts w:ascii="仿宋" w:hAnsi="仿宋" w:eastAsia="仿宋"/>
          <w:color w:val="auto"/>
          <w:sz w:val="28"/>
        </w:rPr>
        <w:t>□</w:t>
      </w:r>
    </w:p>
    <w:p w14:paraId="2404F9B3">
      <w:pPr>
        <w:spacing w:line="360" w:lineRule="auto"/>
        <w:ind w:firstLine="600"/>
        <w:rPr>
          <w:rFonts w:ascii="仿宋" w:hAnsi="仿宋" w:eastAsia="仿宋"/>
          <w:color w:val="auto"/>
          <w:sz w:val="24"/>
          <w:szCs w:val="18"/>
        </w:rPr>
      </w:pPr>
      <w:r>
        <w:rPr>
          <w:rFonts w:hint="eastAsia" w:ascii="仿宋" w:hAnsi="仿宋" w:eastAsia="仿宋"/>
          <w:color w:val="auto"/>
          <w:sz w:val="24"/>
        </w:rPr>
        <w:t>10、</w:t>
      </w:r>
      <w:r>
        <w:rPr>
          <w:rFonts w:hint="eastAsia" w:ascii="仿宋" w:hAnsi="仿宋" w:eastAsia="仿宋"/>
          <w:color w:val="auto"/>
          <w:sz w:val="24"/>
          <w:szCs w:val="18"/>
        </w:rPr>
        <w:t>您是否遭受工作人员索要红包或相关暗示？</w:t>
      </w:r>
    </w:p>
    <w:p w14:paraId="3C683666">
      <w:pPr>
        <w:tabs>
          <w:tab w:val="left" w:pos="1260"/>
          <w:tab w:val="left" w:pos="2160"/>
          <w:tab w:val="left" w:pos="2700"/>
          <w:tab w:val="left" w:pos="2880"/>
          <w:tab w:val="left" w:pos="3600"/>
          <w:tab w:val="left" w:pos="3780"/>
          <w:tab w:val="left" w:pos="4860"/>
          <w:tab w:val="left" w:pos="5040"/>
        </w:tabs>
        <w:spacing w:line="360" w:lineRule="auto"/>
        <w:ind w:firstLine="300" w:firstLineChars="125"/>
        <w:jc w:val="left"/>
        <w:rPr>
          <w:rFonts w:ascii="仿宋" w:hAnsi="仿宋" w:eastAsia="仿宋"/>
          <w:color w:val="auto"/>
          <w:sz w:val="24"/>
          <w:szCs w:val="18"/>
        </w:rPr>
      </w:pPr>
      <w:r>
        <w:rPr>
          <w:rFonts w:hint="eastAsia" w:ascii="仿宋" w:hAnsi="仿宋" w:eastAsia="仿宋"/>
          <w:color w:val="auto"/>
          <w:sz w:val="24"/>
          <w:szCs w:val="18"/>
        </w:rPr>
        <w:t xml:space="preserve">    从来没有 </w:t>
      </w:r>
      <w:r>
        <w:rPr>
          <w:rFonts w:ascii="仿宋" w:hAnsi="仿宋" w:eastAsia="仿宋"/>
          <w:color w:val="auto"/>
          <w:sz w:val="28"/>
        </w:rPr>
        <w:t>□</w:t>
      </w:r>
      <w:r>
        <w:rPr>
          <w:rFonts w:hint="eastAsia" w:ascii="仿宋" w:hAnsi="仿宋" w:eastAsia="仿宋"/>
          <w:color w:val="auto"/>
          <w:sz w:val="24"/>
          <w:szCs w:val="18"/>
        </w:rPr>
        <w:t xml:space="preserve">     偶尔有 </w:t>
      </w:r>
      <w:r>
        <w:rPr>
          <w:rFonts w:ascii="仿宋" w:hAnsi="仿宋" w:eastAsia="仿宋"/>
          <w:color w:val="auto"/>
          <w:sz w:val="28"/>
        </w:rPr>
        <w:t>□</w:t>
      </w:r>
      <w:r>
        <w:rPr>
          <w:rFonts w:hint="eastAsia" w:ascii="仿宋" w:hAnsi="仿宋" w:eastAsia="仿宋"/>
          <w:color w:val="auto"/>
          <w:sz w:val="24"/>
          <w:szCs w:val="18"/>
        </w:rPr>
        <w:t xml:space="preserve">经常有 </w:t>
      </w:r>
      <w:r>
        <w:rPr>
          <w:rFonts w:ascii="仿宋" w:hAnsi="仿宋" w:eastAsia="仿宋"/>
          <w:color w:val="auto"/>
          <w:sz w:val="28"/>
        </w:rPr>
        <w:t>□</w:t>
      </w:r>
    </w:p>
    <w:p w14:paraId="1508E719">
      <w:pPr>
        <w:pStyle w:val="2"/>
        <w:ind w:firstLine="241"/>
        <w:rPr>
          <w:color w:val="auto"/>
        </w:rPr>
      </w:pPr>
      <w:r>
        <w:rPr>
          <w:rFonts w:hint="eastAsia" w:ascii="仿宋" w:hAnsi="仿宋" w:eastAsia="仿宋"/>
          <w:b/>
          <w:color w:val="auto"/>
        </w:rPr>
        <w:t>注：如有不达标的视考核情况扣除考核分数。有1项不满意扣除当月考核总分1分，有2项及以上不满意扣除当月考核总分5分，每年两次调查进行统计并对其考核扣分。如有家属或托养员投诉者，查明属实，扣除当月考核总分5分。</w:t>
      </w:r>
    </w:p>
    <w:p w14:paraId="5CAC0507">
      <w:pPr>
        <w:pStyle w:val="2"/>
        <w:ind w:firstLine="240"/>
        <w:rPr>
          <w:color w:val="auto"/>
          <w:lang w:val="en-GB"/>
        </w:rPr>
      </w:pPr>
    </w:p>
    <w:sectPr>
      <w:pgSz w:w="11906" w:h="16838"/>
      <w:pgMar w:top="1440" w:right="1587" w:bottom="1440" w:left="163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宋体_x0003_...销.">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9402">
    <w:pPr>
      <w:pStyle w:val="19"/>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57F3D27">
                <w:pPr>
                  <w:pStyle w:val="19"/>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5D93">
    <w:pPr>
      <w:pStyle w:val="19"/>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C510FE">
                <w:pPr>
                  <w:pStyle w:val="19"/>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8C4A">
    <w:pPr>
      <w:pStyle w:val="20"/>
      <w:jc w:val="right"/>
    </w:pPr>
    <w:r>
      <w:rPr>
        <w:rFonts w:hint="eastAsia" w:asciiTheme="minorEastAsia" w:hAnsiTheme="minorEastAsia" w:eastAsiaTheme="minorEastAsia" w:cstheme="minorEastAsia"/>
        <w:bCs/>
        <w:iCs/>
        <w:color w:val="000000" w:themeColor="text1"/>
        <w:kern w:val="0"/>
        <w:szCs w:val="18"/>
        <w:u w:val="single"/>
      </w:rPr>
      <w:t>玉环市政府采购招标文件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B9AD">
    <w:pPr>
      <w:pStyle w:val="20"/>
      <w:jc w:val="right"/>
      <w:rPr>
        <w:rFonts w:asciiTheme="minorEastAsia" w:hAnsiTheme="minorEastAsia" w:eastAsiaTheme="minorEastAsia" w:cstheme="minorEastAsia"/>
        <w:bCs/>
        <w:iCs/>
        <w:szCs w:val="18"/>
      </w:rPr>
    </w:pPr>
    <w:r>
      <w:rPr>
        <w:rFonts w:hint="eastAsia" w:asciiTheme="minorEastAsia" w:hAnsiTheme="minorEastAsia" w:eastAsiaTheme="minorEastAsia" w:cstheme="minorEastAsia"/>
        <w:bCs/>
        <w:iCs/>
        <w:color w:val="000000" w:themeColor="text1"/>
        <w:kern w:val="0"/>
        <w:szCs w:val="18"/>
        <w:u w:val="single"/>
      </w:rPr>
      <w:t>玉环市政府采购招标文件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AEB0699"/>
    <w:multiLevelType w:val="singleLevel"/>
    <w:tmpl w:val="8AEB0699"/>
    <w:lvl w:ilvl="0" w:tentative="0">
      <w:start w:val="2"/>
      <w:numFmt w:val="decimal"/>
      <w:suff w:val="nothing"/>
      <w:lvlText w:val="（%1）"/>
      <w:lvlJc w:val="left"/>
    </w:lvl>
  </w:abstractNum>
  <w:abstractNum w:abstractNumId="2">
    <w:nsid w:val="A73DCA72"/>
    <w:multiLevelType w:val="singleLevel"/>
    <w:tmpl w:val="A73DCA72"/>
    <w:lvl w:ilvl="0" w:tentative="0">
      <w:start w:val="1"/>
      <w:numFmt w:val="decimal"/>
      <w:suff w:val="nothing"/>
      <w:lvlText w:val="%1）"/>
      <w:lvlJc w:val="left"/>
    </w:lvl>
  </w:abstractNum>
  <w:abstractNum w:abstractNumId="3">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4">
    <w:nsid w:val="AF66C6B7"/>
    <w:multiLevelType w:val="singleLevel"/>
    <w:tmpl w:val="AF66C6B7"/>
    <w:lvl w:ilvl="0" w:tentative="0">
      <w:start w:val="1"/>
      <w:numFmt w:val="chineseCounting"/>
      <w:suff w:val="nothing"/>
      <w:lvlText w:val="%1、"/>
      <w:lvlJc w:val="left"/>
      <w:rPr>
        <w:rFonts w:hint="eastAsia"/>
      </w:rPr>
    </w:lvl>
  </w:abstractNum>
  <w:abstractNum w:abstractNumId="5">
    <w:nsid w:val="1482775B"/>
    <w:multiLevelType w:val="multilevel"/>
    <w:tmpl w:val="1482775B"/>
    <w:lvl w:ilvl="0" w:tentative="0">
      <w:start w:val="1"/>
      <w:numFmt w:val="decimal"/>
      <w:pStyle w:val="5"/>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5"/>
  </w:num>
  <w:num w:numId="2">
    <w:abstractNumId w:val="3"/>
  </w:num>
  <w:num w:numId="3">
    <w:abstractNumId w:val="7"/>
  </w:num>
  <w:num w:numId="4">
    <w:abstractNumId w:val="4"/>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embedSystemFonts/>
  <w:bordersDoNotSurroundHeader w:val="1"/>
  <w:bordersDoNotSurroundFooter w:val="1"/>
  <w:hideSpellingErrors/>
  <w:documentProtection w:edit="readOnly" w:formatting="1"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MzMzM4MDhiYWYwMGU5MGRhOGE0ZjUwMjhhYTUxYTcifQ=="/>
  </w:docVars>
  <w:rsids>
    <w:rsidRoot w:val="0E970358"/>
    <w:rsid w:val="0000280F"/>
    <w:rsid w:val="000169C9"/>
    <w:rsid w:val="00016A5A"/>
    <w:rsid w:val="000206BD"/>
    <w:rsid w:val="00020961"/>
    <w:rsid w:val="00023EBB"/>
    <w:rsid w:val="00026FD4"/>
    <w:rsid w:val="00062879"/>
    <w:rsid w:val="0006294D"/>
    <w:rsid w:val="00062AB3"/>
    <w:rsid w:val="00073AAD"/>
    <w:rsid w:val="00095A8F"/>
    <w:rsid w:val="000B7C96"/>
    <w:rsid w:val="000C32BA"/>
    <w:rsid w:val="000C527E"/>
    <w:rsid w:val="000C67CC"/>
    <w:rsid w:val="000C7593"/>
    <w:rsid w:val="000E2437"/>
    <w:rsid w:val="00107BF6"/>
    <w:rsid w:val="0012584B"/>
    <w:rsid w:val="00165F2A"/>
    <w:rsid w:val="00171C2E"/>
    <w:rsid w:val="001722A3"/>
    <w:rsid w:val="00174CCD"/>
    <w:rsid w:val="001833B4"/>
    <w:rsid w:val="00195310"/>
    <w:rsid w:val="00197FBD"/>
    <w:rsid w:val="001C065F"/>
    <w:rsid w:val="001C1A64"/>
    <w:rsid w:val="001C4EE3"/>
    <w:rsid w:val="001C65F2"/>
    <w:rsid w:val="001E57D2"/>
    <w:rsid w:val="0020059A"/>
    <w:rsid w:val="002013DA"/>
    <w:rsid w:val="00201D62"/>
    <w:rsid w:val="00202449"/>
    <w:rsid w:val="0021318F"/>
    <w:rsid w:val="00216850"/>
    <w:rsid w:val="002424C4"/>
    <w:rsid w:val="002443B1"/>
    <w:rsid w:val="00263A9E"/>
    <w:rsid w:val="0028657A"/>
    <w:rsid w:val="00295461"/>
    <w:rsid w:val="002A1620"/>
    <w:rsid w:val="002C29D1"/>
    <w:rsid w:val="002E6413"/>
    <w:rsid w:val="003102FB"/>
    <w:rsid w:val="00313610"/>
    <w:rsid w:val="00332E30"/>
    <w:rsid w:val="003339A1"/>
    <w:rsid w:val="0035229E"/>
    <w:rsid w:val="00355BB6"/>
    <w:rsid w:val="00360D14"/>
    <w:rsid w:val="003728BD"/>
    <w:rsid w:val="0038116A"/>
    <w:rsid w:val="003A7693"/>
    <w:rsid w:val="003B4913"/>
    <w:rsid w:val="003C04D2"/>
    <w:rsid w:val="003C55C9"/>
    <w:rsid w:val="003C5E00"/>
    <w:rsid w:val="003D738A"/>
    <w:rsid w:val="003E1759"/>
    <w:rsid w:val="003F1CEC"/>
    <w:rsid w:val="003F236F"/>
    <w:rsid w:val="003F595C"/>
    <w:rsid w:val="003F78E0"/>
    <w:rsid w:val="00411011"/>
    <w:rsid w:val="00412B4E"/>
    <w:rsid w:val="004301EF"/>
    <w:rsid w:val="00436B21"/>
    <w:rsid w:val="00441FAE"/>
    <w:rsid w:val="00446CEF"/>
    <w:rsid w:val="0046392C"/>
    <w:rsid w:val="0046514E"/>
    <w:rsid w:val="004676B3"/>
    <w:rsid w:val="00482C5C"/>
    <w:rsid w:val="004843E2"/>
    <w:rsid w:val="0049032D"/>
    <w:rsid w:val="00491BDF"/>
    <w:rsid w:val="004A26CD"/>
    <w:rsid w:val="004A7D1E"/>
    <w:rsid w:val="004B0E12"/>
    <w:rsid w:val="004B4165"/>
    <w:rsid w:val="004C4D1C"/>
    <w:rsid w:val="004D1114"/>
    <w:rsid w:val="004E2263"/>
    <w:rsid w:val="004F2CCD"/>
    <w:rsid w:val="00514213"/>
    <w:rsid w:val="005144EF"/>
    <w:rsid w:val="00515985"/>
    <w:rsid w:val="00535B18"/>
    <w:rsid w:val="00537072"/>
    <w:rsid w:val="00544590"/>
    <w:rsid w:val="00564B6A"/>
    <w:rsid w:val="00570033"/>
    <w:rsid w:val="00573613"/>
    <w:rsid w:val="00574466"/>
    <w:rsid w:val="005B23B3"/>
    <w:rsid w:val="005B2CD0"/>
    <w:rsid w:val="005D1AAA"/>
    <w:rsid w:val="00603526"/>
    <w:rsid w:val="00607FF7"/>
    <w:rsid w:val="00610A5E"/>
    <w:rsid w:val="00616E31"/>
    <w:rsid w:val="00626935"/>
    <w:rsid w:val="00632BB1"/>
    <w:rsid w:val="00635F52"/>
    <w:rsid w:val="00654BF6"/>
    <w:rsid w:val="00655E3C"/>
    <w:rsid w:val="00674C42"/>
    <w:rsid w:val="006959A5"/>
    <w:rsid w:val="006960CA"/>
    <w:rsid w:val="006A3FDD"/>
    <w:rsid w:val="006A72B0"/>
    <w:rsid w:val="006C78FA"/>
    <w:rsid w:val="006D3690"/>
    <w:rsid w:val="006E232E"/>
    <w:rsid w:val="006F0551"/>
    <w:rsid w:val="006F4DFE"/>
    <w:rsid w:val="006F6B57"/>
    <w:rsid w:val="006F7252"/>
    <w:rsid w:val="00741932"/>
    <w:rsid w:val="00750C01"/>
    <w:rsid w:val="00766209"/>
    <w:rsid w:val="007702C8"/>
    <w:rsid w:val="00770FD6"/>
    <w:rsid w:val="00771B5D"/>
    <w:rsid w:val="00784D7E"/>
    <w:rsid w:val="007A2629"/>
    <w:rsid w:val="007A55B8"/>
    <w:rsid w:val="007B4D13"/>
    <w:rsid w:val="007C1005"/>
    <w:rsid w:val="007C74B7"/>
    <w:rsid w:val="007D4118"/>
    <w:rsid w:val="007D6CD9"/>
    <w:rsid w:val="007D73C7"/>
    <w:rsid w:val="007E6122"/>
    <w:rsid w:val="007F0ABE"/>
    <w:rsid w:val="007F303F"/>
    <w:rsid w:val="00802325"/>
    <w:rsid w:val="008140C3"/>
    <w:rsid w:val="00816ECF"/>
    <w:rsid w:val="0082291E"/>
    <w:rsid w:val="0082786A"/>
    <w:rsid w:val="00847BE5"/>
    <w:rsid w:val="00870C75"/>
    <w:rsid w:val="0088066B"/>
    <w:rsid w:val="00886E4A"/>
    <w:rsid w:val="008D0714"/>
    <w:rsid w:val="008D11FE"/>
    <w:rsid w:val="008D3A3D"/>
    <w:rsid w:val="00902653"/>
    <w:rsid w:val="00912983"/>
    <w:rsid w:val="00914AC2"/>
    <w:rsid w:val="00921F0A"/>
    <w:rsid w:val="0093502A"/>
    <w:rsid w:val="00940D55"/>
    <w:rsid w:val="00953816"/>
    <w:rsid w:val="009571CD"/>
    <w:rsid w:val="00962920"/>
    <w:rsid w:val="00966CB8"/>
    <w:rsid w:val="0097692F"/>
    <w:rsid w:val="0097760C"/>
    <w:rsid w:val="00977BF0"/>
    <w:rsid w:val="00982416"/>
    <w:rsid w:val="00985E3B"/>
    <w:rsid w:val="009A6479"/>
    <w:rsid w:val="009A7593"/>
    <w:rsid w:val="009B3E22"/>
    <w:rsid w:val="009D5C4B"/>
    <w:rsid w:val="009D7ABD"/>
    <w:rsid w:val="009E451E"/>
    <w:rsid w:val="009F2950"/>
    <w:rsid w:val="009F3459"/>
    <w:rsid w:val="009F5C74"/>
    <w:rsid w:val="00A128BC"/>
    <w:rsid w:val="00A15B43"/>
    <w:rsid w:val="00A30B75"/>
    <w:rsid w:val="00A623C1"/>
    <w:rsid w:val="00A67321"/>
    <w:rsid w:val="00A71882"/>
    <w:rsid w:val="00A730CA"/>
    <w:rsid w:val="00A91A12"/>
    <w:rsid w:val="00A9521B"/>
    <w:rsid w:val="00AA6A9A"/>
    <w:rsid w:val="00AC7DEF"/>
    <w:rsid w:val="00AD086F"/>
    <w:rsid w:val="00AD14D6"/>
    <w:rsid w:val="00AD375D"/>
    <w:rsid w:val="00AD598A"/>
    <w:rsid w:val="00AF082F"/>
    <w:rsid w:val="00AF54BF"/>
    <w:rsid w:val="00B02E4B"/>
    <w:rsid w:val="00B31815"/>
    <w:rsid w:val="00B57A23"/>
    <w:rsid w:val="00B57B00"/>
    <w:rsid w:val="00B64276"/>
    <w:rsid w:val="00B73EF0"/>
    <w:rsid w:val="00B84BB5"/>
    <w:rsid w:val="00B951D8"/>
    <w:rsid w:val="00B97C8D"/>
    <w:rsid w:val="00BA35AA"/>
    <w:rsid w:val="00BA568E"/>
    <w:rsid w:val="00BB1787"/>
    <w:rsid w:val="00BE6A57"/>
    <w:rsid w:val="00C002DC"/>
    <w:rsid w:val="00C002E5"/>
    <w:rsid w:val="00C017CF"/>
    <w:rsid w:val="00C141DE"/>
    <w:rsid w:val="00C17F3A"/>
    <w:rsid w:val="00C415AE"/>
    <w:rsid w:val="00C4198F"/>
    <w:rsid w:val="00C469EB"/>
    <w:rsid w:val="00C51936"/>
    <w:rsid w:val="00C52E14"/>
    <w:rsid w:val="00C54F22"/>
    <w:rsid w:val="00C566EB"/>
    <w:rsid w:val="00C571C9"/>
    <w:rsid w:val="00C767D4"/>
    <w:rsid w:val="00CA2A77"/>
    <w:rsid w:val="00CA6C07"/>
    <w:rsid w:val="00CB0CCB"/>
    <w:rsid w:val="00CB1985"/>
    <w:rsid w:val="00CB1DFA"/>
    <w:rsid w:val="00CB55D2"/>
    <w:rsid w:val="00CC232E"/>
    <w:rsid w:val="00CC29B4"/>
    <w:rsid w:val="00CD1804"/>
    <w:rsid w:val="00CD3469"/>
    <w:rsid w:val="00CD3D80"/>
    <w:rsid w:val="00CF2B51"/>
    <w:rsid w:val="00CF4253"/>
    <w:rsid w:val="00D143CB"/>
    <w:rsid w:val="00D16343"/>
    <w:rsid w:val="00D52A87"/>
    <w:rsid w:val="00D601CF"/>
    <w:rsid w:val="00DC47DA"/>
    <w:rsid w:val="00DD38AF"/>
    <w:rsid w:val="00DE6C56"/>
    <w:rsid w:val="00E12BED"/>
    <w:rsid w:val="00E20CB7"/>
    <w:rsid w:val="00E21498"/>
    <w:rsid w:val="00E25A81"/>
    <w:rsid w:val="00E260A4"/>
    <w:rsid w:val="00E319E7"/>
    <w:rsid w:val="00E36184"/>
    <w:rsid w:val="00E37DE2"/>
    <w:rsid w:val="00E41A5E"/>
    <w:rsid w:val="00E436C2"/>
    <w:rsid w:val="00E44ABE"/>
    <w:rsid w:val="00E83D32"/>
    <w:rsid w:val="00E94954"/>
    <w:rsid w:val="00E96434"/>
    <w:rsid w:val="00EA1958"/>
    <w:rsid w:val="00EA46F5"/>
    <w:rsid w:val="00EB1E4C"/>
    <w:rsid w:val="00EB75EA"/>
    <w:rsid w:val="00EC4F62"/>
    <w:rsid w:val="00EC79D5"/>
    <w:rsid w:val="00EE0B5E"/>
    <w:rsid w:val="00EF2797"/>
    <w:rsid w:val="00F03D42"/>
    <w:rsid w:val="00F04758"/>
    <w:rsid w:val="00F127FF"/>
    <w:rsid w:val="00F12CEA"/>
    <w:rsid w:val="00F25E81"/>
    <w:rsid w:val="00F30263"/>
    <w:rsid w:val="00F304A2"/>
    <w:rsid w:val="00F3529D"/>
    <w:rsid w:val="00F40EA2"/>
    <w:rsid w:val="00F47E90"/>
    <w:rsid w:val="00F529E3"/>
    <w:rsid w:val="00F561DD"/>
    <w:rsid w:val="00F76987"/>
    <w:rsid w:val="00FA5071"/>
    <w:rsid w:val="00FA7F5D"/>
    <w:rsid w:val="00FC18CF"/>
    <w:rsid w:val="00FC41E3"/>
    <w:rsid w:val="00FC776B"/>
    <w:rsid w:val="00FD6B8A"/>
    <w:rsid w:val="00FD79D0"/>
    <w:rsid w:val="01183CBF"/>
    <w:rsid w:val="012D0479"/>
    <w:rsid w:val="01344FCF"/>
    <w:rsid w:val="01464B61"/>
    <w:rsid w:val="01545A05"/>
    <w:rsid w:val="015C5D86"/>
    <w:rsid w:val="01753B39"/>
    <w:rsid w:val="017E2A82"/>
    <w:rsid w:val="0186799D"/>
    <w:rsid w:val="01935887"/>
    <w:rsid w:val="01962C9F"/>
    <w:rsid w:val="019D1A95"/>
    <w:rsid w:val="01A676BE"/>
    <w:rsid w:val="01AD5043"/>
    <w:rsid w:val="01AF7323"/>
    <w:rsid w:val="0210026D"/>
    <w:rsid w:val="02315CC6"/>
    <w:rsid w:val="0249783D"/>
    <w:rsid w:val="024C4A63"/>
    <w:rsid w:val="0261662C"/>
    <w:rsid w:val="02663C42"/>
    <w:rsid w:val="027E26E5"/>
    <w:rsid w:val="02840D57"/>
    <w:rsid w:val="02AB7BB3"/>
    <w:rsid w:val="02E50C77"/>
    <w:rsid w:val="02E94F88"/>
    <w:rsid w:val="032D762F"/>
    <w:rsid w:val="033D2EC6"/>
    <w:rsid w:val="036B5288"/>
    <w:rsid w:val="03D16390"/>
    <w:rsid w:val="042F2E34"/>
    <w:rsid w:val="04742E81"/>
    <w:rsid w:val="047832BE"/>
    <w:rsid w:val="049A1D0B"/>
    <w:rsid w:val="04B76B02"/>
    <w:rsid w:val="04C0140D"/>
    <w:rsid w:val="04CC341D"/>
    <w:rsid w:val="04E16300"/>
    <w:rsid w:val="04E62E18"/>
    <w:rsid w:val="04FD3DDE"/>
    <w:rsid w:val="05137CD7"/>
    <w:rsid w:val="051542A2"/>
    <w:rsid w:val="05605260"/>
    <w:rsid w:val="056A192D"/>
    <w:rsid w:val="05775004"/>
    <w:rsid w:val="05C340C1"/>
    <w:rsid w:val="05E040C9"/>
    <w:rsid w:val="05E17297"/>
    <w:rsid w:val="060B26E0"/>
    <w:rsid w:val="064239B0"/>
    <w:rsid w:val="065A7E98"/>
    <w:rsid w:val="06650188"/>
    <w:rsid w:val="066761DB"/>
    <w:rsid w:val="066F073A"/>
    <w:rsid w:val="06782196"/>
    <w:rsid w:val="06783AC4"/>
    <w:rsid w:val="068E6C3D"/>
    <w:rsid w:val="06954E62"/>
    <w:rsid w:val="06B17BA0"/>
    <w:rsid w:val="06C900C9"/>
    <w:rsid w:val="07297D38"/>
    <w:rsid w:val="073C2287"/>
    <w:rsid w:val="073D526D"/>
    <w:rsid w:val="07424EE0"/>
    <w:rsid w:val="07504E39"/>
    <w:rsid w:val="077B289D"/>
    <w:rsid w:val="077F6C40"/>
    <w:rsid w:val="0798011D"/>
    <w:rsid w:val="079B604B"/>
    <w:rsid w:val="07B42829"/>
    <w:rsid w:val="07FE2056"/>
    <w:rsid w:val="082C0DD3"/>
    <w:rsid w:val="0843482A"/>
    <w:rsid w:val="085C0C72"/>
    <w:rsid w:val="085E716A"/>
    <w:rsid w:val="088B0BF4"/>
    <w:rsid w:val="089B56F2"/>
    <w:rsid w:val="08A13C26"/>
    <w:rsid w:val="08A4716C"/>
    <w:rsid w:val="08BA5FC5"/>
    <w:rsid w:val="08D564DE"/>
    <w:rsid w:val="09287C77"/>
    <w:rsid w:val="095204DA"/>
    <w:rsid w:val="0959611C"/>
    <w:rsid w:val="09663F26"/>
    <w:rsid w:val="097134A1"/>
    <w:rsid w:val="0985783E"/>
    <w:rsid w:val="09C17799"/>
    <w:rsid w:val="09D16488"/>
    <w:rsid w:val="09E65669"/>
    <w:rsid w:val="0A1E51E4"/>
    <w:rsid w:val="0A5C7382"/>
    <w:rsid w:val="0A604E0C"/>
    <w:rsid w:val="0A71658C"/>
    <w:rsid w:val="0A8A75A6"/>
    <w:rsid w:val="0A9F58AD"/>
    <w:rsid w:val="0AB948DC"/>
    <w:rsid w:val="0AEC6CAF"/>
    <w:rsid w:val="0AFF57B1"/>
    <w:rsid w:val="0B130F7C"/>
    <w:rsid w:val="0B964B78"/>
    <w:rsid w:val="0B9E444D"/>
    <w:rsid w:val="0BA645FA"/>
    <w:rsid w:val="0BA965BC"/>
    <w:rsid w:val="0BC1228B"/>
    <w:rsid w:val="0BCD4D32"/>
    <w:rsid w:val="0BF24A4D"/>
    <w:rsid w:val="0C1E2BA0"/>
    <w:rsid w:val="0C2415D3"/>
    <w:rsid w:val="0C5862C4"/>
    <w:rsid w:val="0C6536A6"/>
    <w:rsid w:val="0C765CB2"/>
    <w:rsid w:val="0CA90A15"/>
    <w:rsid w:val="0CF4479D"/>
    <w:rsid w:val="0D100DF3"/>
    <w:rsid w:val="0D1136B2"/>
    <w:rsid w:val="0D4B6EEB"/>
    <w:rsid w:val="0D54132D"/>
    <w:rsid w:val="0D5575AF"/>
    <w:rsid w:val="0D686CB9"/>
    <w:rsid w:val="0D8E1831"/>
    <w:rsid w:val="0DAA71D7"/>
    <w:rsid w:val="0DB37DA9"/>
    <w:rsid w:val="0DC4358A"/>
    <w:rsid w:val="0DCE0AE1"/>
    <w:rsid w:val="0DCE1EEF"/>
    <w:rsid w:val="0DD13B75"/>
    <w:rsid w:val="0DE55F05"/>
    <w:rsid w:val="0DF81C92"/>
    <w:rsid w:val="0E470E52"/>
    <w:rsid w:val="0E5D56DB"/>
    <w:rsid w:val="0E635713"/>
    <w:rsid w:val="0E794CFD"/>
    <w:rsid w:val="0E970358"/>
    <w:rsid w:val="0E99586D"/>
    <w:rsid w:val="0EA36BC1"/>
    <w:rsid w:val="0EA85548"/>
    <w:rsid w:val="0EAB1E8E"/>
    <w:rsid w:val="0EAF5E7A"/>
    <w:rsid w:val="0EC3404C"/>
    <w:rsid w:val="0EC34E5B"/>
    <w:rsid w:val="0EE63629"/>
    <w:rsid w:val="0F06132A"/>
    <w:rsid w:val="0F09087E"/>
    <w:rsid w:val="0F0B0D44"/>
    <w:rsid w:val="0F286945"/>
    <w:rsid w:val="0F2B662B"/>
    <w:rsid w:val="0F530A77"/>
    <w:rsid w:val="0F6552E2"/>
    <w:rsid w:val="0FAA16FA"/>
    <w:rsid w:val="0FD94249"/>
    <w:rsid w:val="100E024A"/>
    <w:rsid w:val="101E532A"/>
    <w:rsid w:val="10311F50"/>
    <w:rsid w:val="1034712E"/>
    <w:rsid w:val="10392EAE"/>
    <w:rsid w:val="105B0B5E"/>
    <w:rsid w:val="105F6E96"/>
    <w:rsid w:val="10706EC2"/>
    <w:rsid w:val="10A10151"/>
    <w:rsid w:val="10DC2EC4"/>
    <w:rsid w:val="110B79BB"/>
    <w:rsid w:val="1121582E"/>
    <w:rsid w:val="11317B11"/>
    <w:rsid w:val="113D64B6"/>
    <w:rsid w:val="1150096A"/>
    <w:rsid w:val="118673A3"/>
    <w:rsid w:val="11A402E3"/>
    <w:rsid w:val="11AA53FF"/>
    <w:rsid w:val="11D16BFE"/>
    <w:rsid w:val="11E30076"/>
    <w:rsid w:val="121224AA"/>
    <w:rsid w:val="121511E1"/>
    <w:rsid w:val="124D2044"/>
    <w:rsid w:val="12615F79"/>
    <w:rsid w:val="12635AA8"/>
    <w:rsid w:val="12807280"/>
    <w:rsid w:val="12B32B75"/>
    <w:rsid w:val="130F70C0"/>
    <w:rsid w:val="134F62A3"/>
    <w:rsid w:val="135202B8"/>
    <w:rsid w:val="13595AEC"/>
    <w:rsid w:val="13740FA6"/>
    <w:rsid w:val="13781EA1"/>
    <w:rsid w:val="13785966"/>
    <w:rsid w:val="13A0020C"/>
    <w:rsid w:val="13BA6F1B"/>
    <w:rsid w:val="13DF748B"/>
    <w:rsid w:val="13FF3340"/>
    <w:rsid w:val="140A1013"/>
    <w:rsid w:val="140C543C"/>
    <w:rsid w:val="14290ADE"/>
    <w:rsid w:val="14346C0C"/>
    <w:rsid w:val="14383442"/>
    <w:rsid w:val="14506B5E"/>
    <w:rsid w:val="14577DBF"/>
    <w:rsid w:val="1481490C"/>
    <w:rsid w:val="148463E6"/>
    <w:rsid w:val="14883A59"/>
    <w:rsid w:val="149363ED"/>
    <w:rsid w:val="1499656E"/>
    <w:rsid w:val="14AF42C1"/>
    <w:rsid w:val="14B46A8F"/>
    <w:rsid w:val="14D20D9B"/>
    <w:rsid w:val="14DE1C1C"/>
    <w:rsid w:val="15063063"/>
    <w:rsid w:val="15287094"/>
    <w:rsid w:val="15351B4D"/>
    <w:rsid w:val="153B6675"/>
    <w:rsid w:val="154150C9"/>
    <w:rsid w:val="154A0774"/>
    <w:rsid w:val="15565D98"/>
    <w:rsid w:val="156D234F"/>
    <w:rsid w:val="15866A94"/>
    <w:rsid w:val="159350A4"/>
    <w:rsid w:val="159509A4"/>
    <w:rsid w:val="15A72BED"/>
    <w:rsid w:val="15E2359A"/>
    <w:rsid w:val="15E92C35"/>
    <w:rsid w:val="15FB249C"/>
    <w:rsid w:val="161004F0"/>
    <w:rsid w:val="1621170E"/>
    <w:rsid w:val="163F43D4"/>
    <w:rsid w:val="166C737A"/>
    <w:rsid w:val="16787AC2"/>
    <w:rsid w:val="168D7598"/>
    <w:rsid w:val="16E033D4"/>
    <w:rsid w:val="16E713AE"/>
    <w:rsid w:val="171D2119"/>
    <w:rsid w:val="172D620A"/>
    <w:rsid w:val="17416A4D"/>
    <w:rsid w:val="17424826"/>
    <w:rsid w:val="176C53FF"/>
    <w:rsid w:val="17727BE7"/>
    <w:rsid w:val="17AC038B"/>
    <w:rsid w:val="17BA4933"/>
    <w:rsid w:val="17F22323"/>
    <w:rsid w:val="18261AC5"/>
    <w:rsid w:val="18314080"/>
    <w:rsid w:val="18910D9F"/>
    <w:rsid w:val="189A5F9C"/>
    <w:rsid w:val="189B7CF8"/>
    <w:rsid w:val="189C0753"/>
    <w:rsid w:val="18A137CE"/>
    <w:rsid w:val="18B91D2B"/>
    <w:rsid w:val="18BF4FB5"/>
    <w:rsid w:val="18C40414"/>
    <w:rsid w:val="18D53478"/>
    <w:rsid w:val="18EB740A"/>
    <w:rsid w:val="18F71114"/>
    <w:rsid w:val="19232FD4"/>
    <w:rsid w:val="19310D44"/>
    <w:rsid w:val="19D016DA"/>
    <w:rsid w:val="19DA52CC"/>
    <w:rsid w:val="1A29763F"/>
    <w:rsid w:val="1A3B20D5"/>
    <w:rsid w:val="1A5C7C4C"/>
    <w:rsid w:val="1A6A6D44"/>
    <w:rsid w:val="1A7563C0"/>
    <w:rsid w:val="1A7F222D"/>
    <w:rsid w:val="1A817123"/>
    <w:rsid w:val="1A880D79"/>
    <w:rsid w:val="1A98650B"/>
    <w:rsid w:val="1A9B5FFB"/>
    <w:rsid w:val="1AE930D3"/>
    <w:rsid w:val="1B0C75BD"/>
    <w:rsid w:val="1B1821F0"/>
    <w:rsid w:val="1B2F50C2"/>
    <w:rsid w:val="1B430B6D"/>
    <w:rsid w:val="1B6641E5"/>
    <w:rsid w:val="1B915F81"/>
    <w:rsid w:val="1B936A5D"/>
    <w:rsid w:val="1BD83AE2"/>
    <w:rsid w:val="1BDEBEAC"/>
    <w:rsid w:val="1BE23DA9"/>
    <w:rsid w:val="1C093ECB"/>
    <w:rsid w:val="1C23418B"/>
    <w:rsid w:val="1C34223F"/>
    <w:rsid w:val="1C4137F1"/>
    <w:rsid w:val="1C54514E"/>
    <w:rsid w:val="1C546C48"/>
    <w:rsid w:val="1C5D78ED"/>
    <w:rsid w:val="1C7A21C4"/>
    <w:rsid w:val="1C924B41"/>
    <w:rsid w:val="1CB77F1B"/>
    <w:rsid w:val="1CC21F65"/>
    <w:rsid w:val="1CE4433A"/>
    <w:rsid w:val="1CEC3DD9"/>
    <w:rsid w:val="1D1218AC"/>
    <w:rsid w:val="1D2E3157"/>
    <w:rsid w:val="1D320E99"/>
    <w:rsid w:val="1D454E36"/>
    <w:rsid w:val="1D456C27"/>
    <w:rsid w:val="1D5E3757"/>
    <w:rsid w:val="1D6C565A"/>
    <w:rsid w:val="1D752A5A"/>
    <w:rsid w:val="1D7D16F3"/>
    <w:rsid w:val="1D894E59"/>
    <w:rsid w:val="1DA43419"/>
    <w:rsid w:val="1DA64144"/>
    <w:rsid w:val="1DB52BB9"/>
    <w:rsid w:val="1DBC7B5E"/>
    <w:rsid w:val="1DDE1728"/>
    <w:rsid w:val="1DF93765"/>
    <w:rsid w:val="1E0A2076"/>
    <w:rsid w:val="1E2608CF"/>
    <w:rsid w:val="1E2F0335"/>
    <w:rsid w:val="1E432094"/>
    <w:rsid w:val="1EA741CF"/>
    <w:rsid w:val="1EAF32E2"/>
    <w:rsid w:val="1EE84AA8"/>
    <w:rsid w:val="1EEA2E7E"/>
    <w:rsid w:val="1EFA425F"/>
    <w:rsid w:val="1EFFF4B3"/>
    <w:rsid w:val="1F412F6B"/>
    <w:rsid w:val="1F45179B"/>
    <w:rsid w:val="1F4E6A8F"/>
    <w:rsid w:val="1F645556"/>
    <w:rsid w:val="1F693425"/>
    <w:rsid w:val="1F6D7D7C"/>
    <w:rsid w:val="1F77199B"/>
    <w:rsid w:val="1F7D3F22"/>
    <w:rsid w:val="1F8453B0"/>
    <w:rsid w:val="1FA3607E"/>
    <w:rsid w:val="1FC341F0"/>
    <w:rsid w:val="1FC944FC"/>
    <w:rsid w:val="200C30D8"/>
    <w:rsid w:val="20370574"/>
    <w:rsid w:val="2044395B"/>
    <w:rsid w:val="2047449C"/>
    <w:rsid w:val="205E7E2B"/>
    <w:rsid w:val="205F2CC3"/>
    <w:rsid w:val="207D7829"/>
    <w:rsid w:val="208F6602"/>
    <w:rsid w:val="208F7F21"/>
    <w:rsid w:val="20A756FA"/>
    <w:rsid w:val="20A9056C"/>
    <w:rsid w:val="20E86C94"/>
    <w:rsid w:val="20F46465"/>
    <w:rsid w:val="20F876A0"/>
    <w:rsid w:val="21047E63"/>
    <w:rsid w:val="211A582E"/>
    <w:rsid w:val="213F3D1C"/>
    <w:rsid w:val="216430E4"/>
    <w:rsid w:val="21894835"/>
    <w:rsid w:val="2190618E"/>
    <w:rsid w:val="21B603B0"/>
    <w:rsid w:val="21BC5C5A"/>
    <w:rsid w:val="21D3227E"/>
    <w:rsid w:val="21F04E7F"/>
    <w:rsid w:val="22057055"/>
    <w:rsid w:val="221F3FA0"/>
    <w:rsid w:val="222666A3"/>
    <w:rsid w:val="222B4109"/>
    <w:rsid w:val="223B6626"/>
    <w:rsid w:val="225E08FC"/>
    <w:rsid w:val="2265172F"/>
    <w:rsid w:val="22676D84"/>
    <w:rsid w:val="226E2BA4"/>
    <w:rsid w:val="22792F57"/>
    <w:rsid w:val="228447E5"/>
    <w:rsid w:val="229D4A1D"/>
    <w:rsid w:val="22DD328F"/>
    <w:rsid w:val="22F369D5"/>
    <w:rsid w:val="22F662B8"/>
    <w:rsid w:val="22F82880"/>
    <w:rsid w:val="22F8427E"/>
    <w:rsid w:val="23096E64"/>
    <w:rsid w:val="23294AA4"/>
    <w:rsid w:val="23424F53"/>
    <w:rsid w:val="235C79C9"/>
    <w:rsid w:val="236E14E2"/>
    <w:rsid w:val="23757EF1"/>
    <w:rsid w:val="237B3513"/>
    <w:rsid w:val="239E1D07"/>
    <w:rsid w:val="23B109F1"/>
    <w:rsid w:val="23ED67F6"/>
    <w:rsid w:val="242B4894"/>
    <w:rsid w:val="242F739C"/>
    <w:rsid w:val="24317671"/>
    <w:rsid w:val="24541EF5"/>
    <w:rsid w:val="24723495"/>
    <w:rsid w:val="247C0C4C"/>
    <w:rsid w:val="24816262"/>
    <w:rsid w:val="248535F3"/>
    <w:rsid w:val="24B87374"/>
    <w:rsid w:val="24C05495"/>
    <w:rsid w:val="24CA3855"/>
    <w:rsid w:val="24E46BED"/>
    <w:rsid w:val="24E508F1"/>
    <w:rsid w:val="24FE3537"/>
    <w:rsid w:val="250224DD"/>
    <w:rsid w:val="251C05A7"/>
    <w:rsid w:val="25251B00"/>
    <w:rsid w:val="2539070B"/>
    <w:rsid w:val="25485D1E"/>
    <w:rsid w:val="255660F7"/>
    <w:rsid w:val="25597084"/>
    <w:rsid w:val="257A6F15"/>
    <w:rsid w:val="25887690"/>
    <w:rsid w:val="25A55F80"/>
    <w:rsid w:val="25B94B74"/>
    <w:rsid w:val="25C24E5E"/>
    <w:rsid w:val="25D24223"/>
    <w:rsid w:val="25D60E1A"/>
    <w:rsid w:val="25E93BCF"/>
    <w:rsid w:val="25EF43AC"/>
    <w:rsid w:val="26045C30"/>
    <w:rsid w:val="2610789E"/>
    <w:rsid w:val="26115EDF"/>
    <w:rsid w:val="263B3E8C"/>
    <w:rsid w:val="263C6F42"/>
    <w:rsid w:val="265A0151"/>
    <w:rsid w:val="26771884"/>
    <w:rsid w:val="267A23FE"/>
    <w:rsid w:val="26817B4D"/>
    <w:rsid w:val="268502F9"/>
    <w:rsid w:val="26AD45F6"/>
    <w:rsid w:val="26B463A2"/>
    <w:rsid w:val="26BC1DEE"/>
    <w:rsid w:val="26CF5E74"/>
    <w:rsid w:val="26F0780F"/>
    <w:rsid w:val="27013002"/>
    <w:rsid w:val="2702368A"/>
    <w:rsid w:val="271044E9"/>
    <w:rsid w:val="2748136E"/>
    <w:rsid w:val="274E3067"/>
    <w:rsid w:val="275C2DDA"/>
    <w:rsid w:val="277C7BE6"/>
    <w:rsid w:val="27953D04"/>
    <w:rsid w:val="27AB4DCE"/>
    <w:rsid w:val="27B8643F"/>
    <w:rsid w:val="27BE1281"/>
    <w:rsid w:val="27D00FE1"/>
    <w:rsid w:val="27D2748F"/>
    <w:rsid w:val="27F61E5E"/>
    <w:rsid w:val="27F76B28"/>
    <w:rsid w:val="285E7E64"/>
    <w:rsid w:val="28655363"/>
    <w:rsid w:val="288978C6"/>
    <w:rsid w:val="28CA5CD7"/>
    <w:rsid w:val="28D07FED"/>
    <w:rsid w:val="28E264AD"/>
    <w:rsid w:val="290F1147"/>
    <w:rsid w:val="29196A28"/>
    <w:rsid w:val="291C01CD"/>
    <w:rsid w:val="291D018E"/>
    <w:rsid w:val="29340E7B"/>
    <w:rsid w:val="29C84EDD"/>
    <w:rsid w:val="29D148D0"/>
    <w:rsid w:val="29E60F26"/>
    <w:rsid w:val="29F36ABA"/>
    <w:rsid w:val="29FE5D55"/>
    <w:rsid w:val="2A070C07"/>
    <w:rsid w:val="2A137BE3"/>
    <w:rsid w:val="2A162D55"/>
    <w:rsid w:val="2A1A4439"/>
    <w:rsid w:val="2A7D70A8"/>
    <w:rsid w:val="2A8628A1"/>
    <w:rsid w:val="2A9902D1"/>
    <w:rsid w:val="2AB91068"/>
    <w:rsid w:val="2AC803DC"/>
    <w:rsid w:val="2ACB26E3"/>
    <w:rsid w:val="2AF07BEC"/>
    <w:rsid w:val="2AF8679E"/>
    <w:rsid w:val="2B383833"/>
    <w:rsid w:val="2B5E3126"/>
    <w:rsid w:val="2B7B7EAF"/>
    <w:rsid w:val="2B9576D5"/>
    <w:rsid w:val="2B99658A"/>
    <w:rsid w:val="2B9E6091"/>
    <w:rsid w:val="2BD85454"/>
    <w:rsid w:val="2BE62957"/>
    <w:rsid w:val="2BF74094"/>
    <w:rsid w:val="2C44226D"/>
    <w:rsid w:val="2C5F5948"/>
    <w:rsid w:val="2C6911C0"/>
    <w:rsid w:val="2C8C1715"/>
    <w:rsid w:val="2CAE6CF6"/>
    <w:rsid w:val="2CB830B1"/>
    <w:rsid w:val="2CC032E4"/>
    <w:rsid w:val="2CE7722F"/>
    <w:rsid w:val="2CED7328"/>
    <w:rsid w:val="2CF14F43"/>
    <w:rsid w:val="2D72354B"/>
    <w:rsid w:val="2D7A4B45"/>
    <w:rsid w:val="2D8D01A6"/>
    <w:rsid w:val="2DBF2AD5"/>
    <w:rsid w:val="2DC74409"/>
    <w:rsid w:val="2E1D349F"/>
    <w:rsid w:val="2E495166"/>
    <w:rsid w:val="2E712518"/>
    <w:rsid w:val="2EA40BAA"/>
    <w:rsid w:val="2EAB0B7A"/>
    <w:rsid w:val="2ED6310B"/>
    <w:rsid w:val="2EE62CA1"/>
    <w:rsid w:val="2EEB19B1"/>
    <w:rsid w:val="2EF13EC6"/>
    <w:rsid w:val="2F0D7070"/>
    <w:rsid w:val="2F223892"/>
    <w:rsid w:val="2F2257D4"/>
    <w:rsid w:val="2F392FFF"/>
    <w:rsid w:val="2F3A39FA"/>
    <w:rsid w:val="2F406CF6"/>
    <w:rsid w:val="2F465B30"/>
    <w:rsid w:val="2F5A0DD9"/>
    <w:rsid w:val="2F6B2D40"/>
    <w:rsid w:val="2F9F1F01"/>
    <w:rsid w:val="2FA9313B"/>
    <w:rsid w:val="2FAB2A22"/>
    <w:rsid w:val="2FB1758B"/>
    <w:rsid w:val="2FCE7067"/>
    <w:rsid w:val="2FD27988"/>
    <w:rsid w:val="2FFC0855"/>
    <w:rsid w:val="2FFC4ADA"/>
    <w:rsid w:val="30143D85"/>
    <w:rsid w:val="30247564"/>
    <w:rsid w:val="30435E22"/>
    <w:rsid w:val="30483FFF"/>
    <w:rsid w:val="309933F4"/>
    <w:rsid w:val="30B01340"/>
    <w:rsid w:val="30C26EA4"/>
    <w:rsid w:val="30C6523C"/>
    <w:rsid w:val="311B21D9"/>
    <w:rsid w:val="31250092"/>
    <w:rsid w:val="31396738"/>
    <w:rsid w:val="315D7742"/>
    <w:rsid w:val="3170053E"/>
    <w:rsid w:val="31752B09"/>
    <w:rsid w:val="317A3780"/>
    <w:rsid w:val="318C280D"/>
    <w:rsid w:val="31BE6D76"/>
    <w:rsid w:val="31E54937"/>
    <w:rsid w:val="31F463E8"/>
    <w:rsid w:val="320258CF"/>
    <w:rsid w:val="32147EFA"/>
    <w:rsid w:val="321D352F"/>
    <w:rsid w:val="323B5CA2"/>
    <w:rsid w:val="32472899"/>
    <w:rsid w:val="32684247"/>
    <w:rsid w:val="326861A7"/>
    <w:rsid w:val="326C41B1"/>
    <w:rsid w:val="3297173F"/>
    <w:rsid w:val="32C336B0"/>
    <w:rsid w:val="33121732"/>
    <w:rsid w:val="335D5215"/>
    <w:rsid w:val="33A25E83"/>
    <w:rsid w:val="33BE4DDD"/>
    <w:rsid w:val="341548E3"/>
    <w:rsid w:val="341F32BF"/>
    <w:rsid w:val="343C3F54"/>
    <w:rsid w:val="3440550E"/>
    <w:rsid w:val="34414D17"/>
    <w:rsid w:val="3444557E"/>
    <w:rsid w:val="346F40D7"/>
    <w:rsid w:val="34753D6B"/>
    <w:rsid w:val="34757B91"/>
    <w:rsid w:val="3476163A"/>
    <w:rsid w:val="34800E0F"/>
    <w:rsid w:val="34926131"/>
    <w:rsid w:val="349904D6"/>
    <w:rsid w:val="34C727E5"/>
    <w:rsid w:val="34D26C2F"/>
    <w:rsid w:val="34D64F95"/>
    <w:rsid w:val="34D77C7D"/>
    <w:rsid w:val="34F30AB6"/>
    <w:rsid w:val="351A5D63"/>
    <w:rsid w:val="35244791"/>
    <w:rsid w:val="35383ADB"/>
    <w:rsid w:val="353A4937"/>
    <w:rsid w:val="354F3660"/>
    <w:rsid w:val="355C13F9"/>
    <w:rsid w:val="355D2728"/>
    <w:rsid w:val="358160C2"/>
    <w:rsid w:val="35847960"/>
    <w:rsid w:val="358B07BE"/>
    <w:rsid w:val="359A54D3"/>
    <w:rsid w:val="35A573CE"/>
    <w:rsid w:val="35AE34DA"/>
    <w:rsid w:val="35C0308E"/>
    <w:rsid w:val="35C83CF1"/>
    <w:rsid w:val="35CF21E2"/>
    <w:rsid w:val="364C4B8A"/>
    <w:rsid w:val="36851BE2"/>
    <w:rsid w:val="36A007CA"/>
    <w:rsid w:val="36C333EB"/>
    <w:rsid w:val="36CB4639"/>
    <w:rsid w:val="36DB5C51"/>
    <w:rsid w:val="36DC52B0"/>
    <w:rsid w:val="36E005BE"/>
    <w:rsid w:val="36E7464B"/>
    <w:rsid w:val="370E7212"/>
    <w:rsid w:val="37121C33"/>
    <w:rsid w:val="37214865"/>
    <w:rsid w:val="372A4537"/>
    <w:rsid w:val="372B1BB0"/>
    <w:rsid w:val="3735355E"/>
    <w:rsid w:val="37481298"/>
    <w:rsid w:val="37577C14"/>
    <w:rsid w:val="37712A39"/>
    <w:rsid w:val="37755D3B"/>
    <w:rsid w:val="377A790E"/>
    <w:rsid w:val="37AE6E9C"/>
    <w:rsid w:val="37B31176"/>
    <w:rsid w:val="37B73BCA"/>
    <w:rsid w:val="37C23D28"/>
    <w:rsid w:val="37C271D1"/>
    <w:rsid w:val="37CE4F77"/>
    <w:rsid w:val="37D029A4"/>
    <w:rsid w:val="37D15460"/>
    <w:rsid w:val="37D8755F"/>
    <w:rsid w:val="37EB1512"/>
    <w:rsid w:val="37F737C1"/>
    <w:rsid w:val="37FE7BD3"/>
    <w:rsid w:val="380672F9"/>
    <w:rsid w:val="381B59F1"/>
    <w:rsid w:val="3821593A"/>
    <w:rsid w:val="382A7496"/>
    <w:rsid w:val="382C23B3"/>
    <w:rsid w:val="38593326"/>
    <w:rsid w:val="387E2D8D"/>
    <w:rsid w:val="388C36FB"/>
    <w:rsid w:val="38934A8A"/>
    <w:rsid w:val="38C875AC"/>
    <w:rsid w:val="38D91287"/>
    <w:rsid w:val="38E1357E"/>
    <w:rsid w:val="38F8623C"/>
    <w:rsid w:val="38F94B35"/>
    <w:rsid w:val="3923643F"/>
    <w:rsid w:val="39344578"/>
    <w:rsid w:val="393D49F6"/>
    <w:rsid w:val="39423DBA"/>
    <w:rsid w:val="39573B6C"/>
    <w:rsid w:val="397D2702"/>
    <w:rsid w:val="398A7550"/>
    <w:rsid w:val="39902D77"/>
    <w:rsid w:val="39A03A52"/>
    <w:rsid w:val="39C34DFC"/>
    <w:rsid w:val="39C53CD8"/>
    <w:rsid w:val="39DE2FD5"/>
    <w:rsid w:val="39EE7A9E"/>
    <w:rsid w:val="39F04DB3"/>
    <w:rsid w:val="39F34C07"/>
    <w:rsid w:val="3A0A3E2F"/>
    <w:rsid w:val="3A180020"/>
    <w:rsid w:val="3A1D1CF3"/>
    <w:rsid w:val="3A1D2170"/>
    <w:rsid w:val="3A250E91"/>
    <w:rsid w:val="3A3F5211"/>
    <w:rsid w:val="3A5B2C48"/>
    <w:rsid w:val="3A5C4E23"/>
    <w:rsid w:val="3A881CA1"/>
    <w:rsid w:val="3AAD567F"/>
    <w:rsid w:val="3AE50133"/>
    <w:rsid w:val="3AFD214B"/>
    <w:rsid w:val="3B320B47"/>
    <w:rsid w:val="3B345EA5"/>
    <w:rsid w:val="3B7D477A"/>
    <w:rsid w:val="3B957F28"/>
    <w:rsid w:val="3B9B24B3"/>
    <w:rsid w:val="3B9D76FE"/>
    <w:rsid w:val="3BA81CA6"/>
    <w:rsid w:val="3BC3017B"/>
    <w:rsid w:val="3BEA363C"/>
    <w:rsid w:val="3C020153"/>
    <w:rsid w:val="3C0F7C63"/>
    <w:rsid w:val="3C147A6B"/>
    <w:rsid w:val="3C1E0B0E"/>
    <w:rsid w:val="3C2F49DA"/>
    <w:rsid w:val="3C322DAB"/>
    <w:rsid w:val="3C355E58"/>
    <w:rsid w:val="3C50345E"/>
    <w:rsid w:val="3C535292"/>
    <w:rsid w:val="3C85293C"/>
    <w:rsid w:val="3C882CDB"/>
    <w:rsid w:val="3CA9622E"/>
    <w:rsid w:val="3CB435C9"/>
    <w:rsid w:val="3CB9732D"/>
    <w:rsid w:val="3CCD78D1"/>
    <w:rsid w:val="3CD13106"/>
    <w:rsid w:val="3CF80B5D"/>
    <w:rsid w:val="3D03379B"/>
    <w:rsid w:val="3D3575F6"/>
    <w:rsid w:val="3D7B5B5B"/>
    <w:rsid w:val="3D817FE1"/>
    <w:rsid w:val="3DB12578"/>
    <w:rsid w:val="3DB531EC"/>
    <w:rsid w:val="3DCD5DF6"/>
    <w:rsid w:val="3DCF1823"/>
    <w:rsid w:val="3DE86C6B"/>
    <w:rsid w:val="3E0958D7"/>
    <w:rsid w:val="3E1926C0"/>
    <w:rsid w:val="3E1E0CBF"/>
    <w:rsid w:val="3E26497A"/>
    <w:rsid w:val="3E3508E7"/>
    <w:rsid w:val="3E417A94"/>
    <w:rsid w:val="3E4C51CD"/>
    <w:rsid w:val="3E5E4478"/>
    <w:rsid w:val="3E985B3D"/>
    <w:rsid w:val="3EA13BEC"/>
    <w:rsid w:val="3EAD7F28"/>
    <w:rsid w:val="3EB77FC0"/>
    <w:rsid w:val="3EBB5415"/>
    <w:rsid w:val="3EC82C92"/>
    <w:rsid w:val="3ED94F9C"/>
    <w:rsid w:val="3EE5219D"/>
    <w:rsid w:val="3EEC6F56"/>
    <w:rsid w:val="3EF11399"/>
    <w:rsid w:val="3EFD547E"/>
    <w:rsid w:val="3F3C60EE"/>
    <w:rsid w:val="3F433240"/>
    <w:rsid w:val="3F4B6416"/>
    <w:rsid w:val="3F6D4A6D"/>
    <w:rsid w:val="3F7D2BCA"/>
    <w:rsid w:val="3F9022A3"/>
    <w:rsid w:val="3F994301"/>
    <w:rsid w:val="3F9E713A"/>
    <w:rsid w:val="3FAC6431"/>
    <w:rsid w:val="3FB30860"/>
    <w:rsid w:val="3FB933B6"/>
    <w:rsid w:val="3FC27A03"/>
    <w:rsid w:val="3FED5F0A"/>
    <w:rsid w:val="3FF39BA0"/>
    <w:rsid w:val="3FFD8D37"/>
    <w:rsid w:val="4045266D"/>
    <w:rsid w:val="408C0053"/>
    <w:rsid w:val="4092482D"/>
    <w:rsid w:val="40BF4C96"/>
    <w:rsid w:val="40C1415E"/>
    <w:rsid w:val="40E04855"/>
    <w:rsid w:val="40E67721"/>
    <w:rsid w:val="40EB6F44"/>
    <w:rsid w:val="410F3BB6"/>
    <w:rsid w:val="413B08D3"/>
    <w:rsid w:val="413B6F5A"/>
    <w:rsid w:val="416365AB"/>
    <w:rsid w:val="417744BC"/>
    <w:rsid w:val="41955D4D"/>
    <w:rsid w:val="41B63597"/>
    <w:rsid w:val="41C14995"/>
    <w:rsid w:val="41E01DED"/>
    <w:rsid w:val="41F7587D"/>
    <w:rsid w:val="420A29EE"/>
    <w:rsid w:val="421D4D7C"/>
    <w:rsid w:val="421D53C4"/>
    <w:rsid w:val="421E4EDC"/>
    <w:rsid w:val="42250362"/>
    <w:rsid w:val="422B60E4"/>
    <w:rsid w:val="4237349F"/>
    <w:rsid w:val="423A6905"/>
    <w:rsid w:val="4261554C"/>
    <w:rsid w:val="427475F3"/>
    <w:rsid w:val="42E82B6F"/>
    <w:rsid w:val="42F269FC"/>
    <w:rsid w:val="43036342"/>
    <w:rsid w:val="430B5334"/>
    <w:rsid w:val="43206FE7"/>
    <w:rsid w:val="43280805"/>
    <w:rsid w:val="43471696"/>
    <w:rsid w:val="436460DC"/>
    <w:rsid w:val="437754EE"/>
    <w:rsid w:val="437E0408"/>
    <w:rsid w:val="438D1989"/>
    <w:rsid w:val="43972F36"/>
    <w:rsid w:val="43A57ABB"/>
    <w:rsid w:val="43A83792"/>
    <w:rsid w:val="43AD25BF"/>
    <w:rsid w:val="43B86502"/>
    <w:rsid w:val="43BB7815"/>
    <w:rsid w:val="43DA3DFD"/>
    <w:rsid w:val="441B11DB"/>
    <w:rsid w:val="443B3CFB"/>
    <w:rsid w:val="44540FDD"/>
    <w:rsid w:val="445D1FD9"/>
    <w:rsid w:val="446E79B8"/>
    <w:rsid w:val="44791120"/>
    <w:rsid w:val="449778A1"/>
    <w:rsid w:val="449A5522"/>
    <w:rsid w:val="449F2207"/>
    <w:rsid w:val="44B632E0"/>
    <w:rsid w:val="44E26451"/>
    <w:rsid w:val="44E40AA5"/>
    <w:rsid w:val="44EC29B1"/>
    <w:rsid w:val="450B7B71"/>
    <w:rsid w:val="45107462"/>
    <w:rsid w:val="451134D0"/>
    <w:rsid w:val="45245B85"/>
    <w:rsid w:val="4563730C"/>
    <w:rsid w:val="458A1444"/>
    <w:rsid w:val="459F11D4"/>
    <w:rsid w:val="45B57E30"/>
    <w:rsid w:val="45CB53CC"/>
    <w:rsid w:val="45F84D7C"/>
    <w:rsid w:val="463B71F6"/>
    <w:rsid w:val="46822259"/>
    <w:rsid w:val="468E0131"/>
    <w:rsid w:val="468F4EFD"/>
    <w:rsid w:val="46ED5382"/>
    <w:rsid w:val="46FAF615"/>
    <w:rsid w:val="47060880"/>
    <w:rsid w:val="470D1EAB"/>
    <w:rsid w:val="472A5610"/>
    <w:rsid w:val="472B3357"/>
    <w:rsid w:val="47360A56"/>
    <w:rsid w:val="47570A03"/>
    <w:rsid w:val="4773152F"/>
    <w:rsid w:val="477E2C88"/>
    <w:rsid w:val="478333D8"/>
    <w:rsid w:val="4788640B"/>
    <w:rsid w:val="478B1022"/>
    <w:rsid w:val="47A17336"/>
    <w:rsid w:val="47BC742D"/>
    <w:rsid w:val="47D91453"/>
    <w:rsid w:val="47D94329"/>
    <w:rsid w:val="480B693A"/>
    <w:rsid w:val="48170457"/>
    <w:rsid w:val="482C618B"/>
    <w:rsid w:val="48451320"/>
    <w:rsid w:val="48573AE1"/>
    <w:rsid w:val="485C107E"/>
    <w:rsid w:val="48694FA0"/>
    <w:rsid w:val="4883270A"/>
    <w:rsid w:val="488D7D03"/>
    <w:rsid w:val="488E768B"/>
    <w:rsid w:val="48945CB4"/>
    <w:rsid w:val="48AD2FFF"/>
    <w:rsid w:val="48B40105"/>
    <w:rsid w:val="48B67F95"/>
    <w:rsid w:val="491D5CAA"/>
    <w:rsid w:val="492007AC"/>
    <w:rsid w:val="49294A32"/>
    <w:rsid w:val="49371778"/>
    <w:rsid w:val="493F267F"/>
    <w:rsid w:val="49713132"/>
    <w:rsid w:val="4991008C"/>
    <w:rsid w:val="49B6035A"/>
    <w:rsid w:val="49D41E18"/>
    <w:rsid w:val="49DA3B9B"/>
    <w:rsid w:val="49E637CB"/>
    <w:rsid w:val="49F41D5E"/>
    <w:rsid w:val="4A137E28"/>
    <w:rsid w:val="4A18651F"/>
    <w:rsid w:val="4A200E96"/>
    <w:rsid w:val="4A386FAF"/>
    <w:rsid w:val="4A5120AF"/>
    <w:rsid w:val="4A7D2EA4"/>
    <w:rsid w:val="4AC71F30"/>
    <w:rsid w:val="4ADB6432"/>
    <w:rsid w:val="4AF26C36"/>
    <w:rsid w:val="4AFC2531"/>
    <w:rsid w:val="4B0030BC"/>
    <w:rsid w:val="4B090BDC"/>
    <w:rsid w:val="4B187DAE"/>
    <w:rsid w:val="4B1E31F7"/>
    <w:rsid w:val="4B286BF4"/>
    <w:rsid w:val="4B5B5DF2"/>
    <w:rsid w:val="4B7508AB"/>
    <w:rsid w:val="4B812F58"/>
    <w:rsid w:val="4B86701D"/>
    <w:rsid w:val="4BA0420E"/>
    <w:rsid w:val="4BB03363"/>
    <w:rsid w:val="4BCB3573"/>
    <w:rsid w:val="4BD56176"/>
    <w:rsid w:val="4BDB73B0"/>
    <w:rsid w:val="4C2645F8"/>
    <w:rsid w:val="4C996AE0"/>
    <w:rsid w:val="4CC7254A"/>
    <w:rsid w:val="4CE75373"/>
    <w:rsid w:val="4D065287"/>
    <w:rsid w:val="4D2F0209"/>
    <w:rsid w:val="4D4739BA"/>
    <w:rsid w:val="4D4B54DB"/>
    <w:rsid w:val="4D580257"/>
    <w:rsid w:val="4DAE4A7E"/>
    <w:rsid w:val="4DEF02B4"/>
    <w:rsid w:val="4DF96CE5"/>
    <w:rsid w:val="4E1B1E02"/>
    <w:rsid w:val="4E2D698F"/>
    <w:rsid w:val="4E4B081F"/>
    <w:rsid w:val="4E616639"/>
    <w:rsid w:val="4E8E3117"/>
    <w:rsid w:val="4E9C1CD3"/>
    <w:rsid w:val="4EB73145"/>
    <w:rsid w:val="4EBA6201"/>
    <w:rsid w:val="4ECD7966"/>
    <w:rsid w:val="4F0E0E5C"/>
    <w:rsid w:val="4F5A7C58"/>
    <w:rsid w:val="4F687EAB"/>
    <w:rsid w:val="4F786330"/>
    <w:rsid w:val="4FAA7EC3"/>
    <w:rsid w:val="4FC53DBE"/>
    <w:rsid w:val="4FD55530"/>
    <w:rsid w:val="4FDC6724"/>
    <w:rsid w:val="4FE17D89"/>
    <w:rsid w:val="4FE73C45"/>
    <w:rsid w:val="4FF45CD5"/>
    <w:rsid w:val="500D6139"/>
    <w:rsid w:val="5019366F"/>
    <w:rsid w:val="502154B3"/>
    <w:rsid w:val="50216AEC"/>
    <w:rsid w:val="50292E64"/>
    <w:rsid w:val="503B47A4"/>
    <w:rsid w:val="50BE44F5"/>
    <w:rsid w:val="50C35A7B"/>
    <w:rsid w:val="50EF6159"/>
    <w:rsid w:val="50F6197A"/>
    <w:rsid w:val="5105788E"/>
    <w:rsid w:val="511207BD"/>
    <w:rsid w:val="5119458A"/>
    <w:rsid w:val="51255A12"/>
    <w:rsid w:val="51340057"/>
    <w:rsid w:val="517238D7"/>
    <w:rsid w:val="518435F5"/>
    <w:rsid w:val="518D599E"/>
    <w:rsid w:val="51976CDE"/>
    <w:rsid w:val="519905CF"/>
    <w:rsid w:val="519B17B5"/>
    <w:rsid w:val="519D629D"/>
    <w:rsid w:val="51AB479B"/>
    <w:rsid w:val="51CC4FB9"/>
    <w:rsid w:val="51CE60B0"/>
    <w:rsid w:val="51D175EE"/>
    <w:rsid w:val="51F13C16"/>
    <w:rsid w:val="52412A09"/>
    <w:rsid w:val="5242055C"/>
    <w:rsid w:val="525C3F94"/>
    <w:rsid w:val="52887A03"/>
    <w:rsid w:val="52B27691"/>
    <w:rsid w:val="52DB2202"/>
    <w:rsid w:val="52DD1EF6"/>
    <w:rsid w:val="52E6D006"/>
    <w:rsid w:val="531547CE"/>
    <w:rsid w:val="532E2916"/>
    <w:rsid w:val="53565C60"/>
    <w:rsid w:val="53604568"/>
    <w:rsid w:val="539D0113"/>
    <w:rsid w:val="53AE1E88"/>
    <w:rsid w:val="53B464D9"/>
    <w:rsid w:val="53F07CFC"/>
    <w:rsid w:val="546C2376"/>
    <w:rsid w:val="547C5F7A"/>
    <w:rsid w:val="548B4409"/>
    <w:rsid w:val="54936E00"/>
    <w:rsid w:val="54C47451"/>
    <w:rsid w:val="54D50D8F"/>
    <w:rsid w:val="54DA1293"/>
    <w:rsid w:val="55140FDD"/>
    <w:rsid w:val="55642F21"/>
    <w:rsid w:val="558827AB"/>
    <w:rsid w:val="55A4152E"/>
    <w:rsid w:val="55B43F91"/>
    <w:rsid w:val="55CB0E2A"/>
    <w:rsid w:val="55DE7D08"/>
    <w:rsid w:val="55EA1CA2"/>
    <w:rsid w:val="55EA4E82"/>
    <w:rsid w:val="55EF39A2"/>
    <w:rsid w:val="55F14746"/>
    <w:rsid w:val="55F41F4A"/>
    <w:rsid w:val="560B3E41"/>
    <w:rsid w:val="560E0C58"/>
    <w:rsid w:val="561C127F"/>
    <w:rsid w:val="562229A2"/>
    <w:rsid w:val="56282019"/>
    <w:rsid w:val="56492A4A"/>
    <w:rsid w:val="564C7BCE"/>
    <w:rsid w:val="566C1CD2"/>
    <w:rsid w:val="566D4B95"/>
    <w:rsid w:val="56755377"/>
    <w:rsid w:val="56A83A73"/>
    <w:rsid w:val="56C37E91"/>
    <w:rsid w:val="56D16645"/>
    <w:rsid w:val="56F21DFB"/>
    <w:rsid w:val="56FE73FB"/>
    <w:rsid w:val="571A175E"/>
    <w:rsid w:val="572656D4"/>
    <w:rsid w:val="574431E7"/>
    <w:rsid w:val="579C1DFE"/>
    <w:rsid w:val="57A32411"/>
    <w:rsid w:val="57AD595D"/>
    <w:rsid w:val="57F32CF3"/>
    <w:rsid w:val="581F5026"/>
    <w:rsid w:val="5824259C"/>
    <w:rsid w:val="58254B7B"/>
    <w:rsid w:val="58286F0C"/>
    <w:rsid w:val="58322EB5"/>
    <w:rsid w:val="58337D80"/>
    <w:rsid w:val="58670C25"/>
    <w:rsid w:val="58675193"/>
    <w:rsid w:val="58726012"/>
    <w:rsid w:val="58957CCA"/>
    <w:rsid w:val="58A67A6A"/>
    <w:rsid w:val="58AA21C4"/>
    <w:rsid w:val="58BD4DB3"/>
    <w:rsid w:val="58DD5241"/>
    <w:rsid w:val="58E2078B"/>
    <w:rsid w:val="58E87968"/>
    <w:rsid w:val="58FC0A52"/>
    <w:rsid w:val="590509E3"/>
    <w:rsid w:val="591A15FA"/>
    <w:rsid w:val="593440E0"/>
    <w:rsid w:val="594D4389"/>
    <w:rsid w:val="596D0701"/>
    <w:rsid w:val="59AD06A4"/>
    <w:rsid w:val="59AE03FF"/>
    <w:rsid w:val="59B9250D"/>
    <w:rsid w:val="59CB09CA"/>
    <w:rsid w:val="59D43B51"/>
    <w:rsid w:val="5A10004D"/>
    <w:rsid w:val="5A15672E"/>
    <w:rsid w:val="5A1C03A7"/>
    <w:rsid w:val="5A4D586D"/>
    <w:rsid w:val="5A5B27AE"/>
    <w:rsid w:val="5A6220B6"/>
    <w:rsid w:val="5A6249B0"/>
    <w:rsid w:val="5A6D1547"/>
    <w:rsid w:val="5A7D0497"/>
    <w:rsid w:val="5A9613A1"/>
    <w:rsid w:val="5A986311"/>
    <w:rsid w:val="5AD53401"/>
    <w:rsid w:val="5AF21436"/>
    <w:rsid w:val="5AF93F3D"/>
    <w:rsid w:val="5B280C0A"/>
    <w:rsid w:val="5B3F3E55"/>
    <w:rsid w:val="5B4A2D4A"/>
    <w:rsid w:val="5B543124"/>
    <w:rsid w:val="5B552733"/>
    <w:rsid w:val="5BA46BE2"/>
    <w:rsid w:val="5BA504AD"/>
    <w:rsid w:val="5BB17ECA"/>
    <w:rsid w:val="5BCB49EA"/>
    <w:rsid w:val="5C072B59"/>
    <w:rsid w:val="5C103962"/>
    <w:rsid w:val="5C1427BE"/>
    <w:rsid w:val="5C161C8F"/>
    <w:rsid w:val="5C4812B7"/>
    <w:rsid w:val="5C602626"/>
    <w:rsid w:val="5C6A7000"/>
    <w:rsid w:val="5C80357F"/>
    <w:rsid w:val="5CA50038"/>
    <w:rsid w:val="5CAC5610"/>
    <w:rsid w:val="5CC612E2"/>
    <w:rsid w:val="5CD244D4"/>
    <w:rsid w:val="5CD642D9"/>
    <w:rsid w:val="5CEC1B2A"/>
    <w:rsid w:val="5CF650A8"/>
    <w:rsid w:val="5D0635C4"/>
    <w:rsid w:val="5D253425"/>
    <w:rsid w:val="5D361098"/>
    <w:rsid w:val="5D4E2E30"/>
    <w:rsid w:val="5D6C6DE7"/>
    <w:rsid w:val="5DBA7B13"/>
    <w:rsid w:val="5DC3377B"/>
    <w:rsid w:val="5DC75EF7"/>
    <w:rsid w:val="5DC92D73"/>
    <w:rsid w:val="5E0C41C2"/>
    <w:rsid w:val="5E1654DD"/>
    <w:rsid w:val="5E19261D"/>
    <w:rsid w:val="5E453139"/>
    <w:rsid w:val="5E7C626E"/>
    <w:rsid w:val="5E7E1FAF"/>
    <w:rsid w:val="5E8237E1"/>
    <w:rsid w:val="5E866809"/>
    <w:rsid w:val="5E9C7B12"/>
    <w:rsid w:val="5EA033E6"/>
    <w:rsid w:val="5EAE1DE9"/>
    <w:rsid w:val="5EE04090"/>
    <w:rsid w:val="5EE84C68"/>
    <w:rsid w:val="5EEBC73C"/>
    <w:rsid w:val="5EF41AEB"/>
    <w:rsid w:val="5EF764CF"/>
    <w:rsid w:val="5F1D1414"/>
    <w:rsid w:val="5F59208B"/>
    <w:rsid w:val="5F593A88"/>
    <w:rsid w:val="5F5F4E16"/>
    <w:rsid w:val="5F6635B0"/>
    <w:rsid w:val="5F66E909"/>
    <w:rsid w:val="5F793B22"/>
    <w:rsid w:val="5F8C4DB7"/>
    <w:rsid w:val="5F922AF6"/>
    <w:rsid w:val="5FAB3BB8"/>
    <w:rsid w:val="5FAC2448"/>
    <w:rsid w:val="5FC574BB"/>
    <w:rsid w:val="5FDD5292"/>
    <w:rsid w:val="5FE42EC2"/>
    <w:rsid w:val="5FE5356E"/>
    <w:rsid w:val="5FFF5CB2"/>
    <w:rsid w:val="60054997"/>
    <w:rsid w:val="601A56E7"/>
    <w:rsid w:val="60425586"/>
    <w:rsid w:val="6050413A"/>
    <w:rsid w:val="607C0329"/>
    <w:rsid w:val="607E0A12"/>
    <w:rsid w:val="60A63D54"/>
    <w:rsid w:val="60BB607C"/>
    <w:rsid w:val="60CE3C88"/>
    <w:rsid w:val="6119526A"/>
    <w:rsid w:val="61210A5F"/>
    <w:rsid w:val="6136091D"/>
    <w:rsid w:val="61483DB4"/>
    <w:rsid w:val="615C17E5"/>
    <w:rsid w:val="6173748A"/>
    <w:rsid w:val="61B105CD"/>
    <w:rsid w:val="61C8686F"/>
    <w:rsid w:val="61DB0793"/>
    <w:rsid w:val="61F064E9"/>
    <w:rsid w:val="62102344"/>
    <w:rsid w:val="621D5BA4"/>
    <w:rsid w:val="622D2FAA"/>
    <w:rsid w:val="62326938"/>
    <w:rsid w:val="624551D8"/>
    <w:rsid w:val="62541937"/>
    <w:rsid w:val="625C5CC2"/>
    <w:rsid w:val="62667110"/>
    <w:rsid w:val="626861CE"/>
    <w:rsid w:val="627977A0"/>
    <w:rsid w:val="62832BCA"/>
    <w:rsid w:val="62864044"/>
    <w:rsid w:val="628D3A49"/>
    <w:rsid w:val="6299419B"/>
    <w:rsid w:val="62AC1E92"/>
    <w:rsid w:val="62C00B68"/>
    <w:rsid w:val="62EF267E"/>
    <w:rsid w:val="631602EE"/>
    <w:rsid w:val="63205611"/>
    <w:rsid w:val="63216465"/>
    <w:rsid w:val="632E0D88"/>
    <w:rsid w:val="635972AB"/>
    <w:rsid w:val="635B6748"/>
    <w:rsid w:val="637161CE"/>
    <w:rsid w:val="637C1FE2"/>
    <w:rsid w:val="63833CCB"/>
    <w:rsid w:val="638A1D6F"/>
    <w:rsid w:val="638D551F"/>
    <w:rsid w:val="63947A95"/>
    <w:rsid w:val="63A25D65"/>
    <w:rsid w:val="63B402E2"/>
    <w:rsid w:val="63C876C0"/>
    <w:rsid w:val="63D02631"/>
    <w:rsid w:val="63DA5D9C"/>
    <w:rsid w:val="63F52E0F"/>
    <w:rsid w:val="63FD5F6F"/>
    <w:rsid w:val="640E2967"/>
    <w:rsid w:val="6424412C"/>
    <w:rsid w:val="64306D81"/>
    <w:rsid w:val="64316C5D"/>
    <w:rsid w:val="644B55E8"/>
    <w:rsid w:val="64572560"/>
    <w:rsid w:val="64754794"/>
    <w:rsid w:val="648B478E"/>
    <w:rsid w:val="649A23D2"/>
    <w:rsid w:val="649D3639"/>
    <w:rsid w:val="64A92441"/>
    <w:rsid w:val="64C367E2"/>
    <w:rsid w:val="64CA4280"/>
    <w:rsid w:val="64E05610"/>
    <w:rsid w:val="64E73B37"/>
    <w:rsid w:val="64F37FA3"/>
    <w:rsid w:val="6532302B"/>
    <w:rsid w:val="653B21B8"/>
    <w:rsid w:val="657B4537"/>
    <w:rsid w:val="65AD68DC"/>
    <w:rsid w:val="65D7775C"/>
    <w:rsid w:val="65E76064"/>
    <w:rsid w:val="663025ED"/>
    <w:rsid w:val="66355850"/>
    <w:rsid w:val="663E0D74"/>
    <w:rsid w:val="667B5A46"/>
    <w:rsid w:val="668D2F91"/>
    <w:rsid w:val="669A05D9"/>
    <w:rsid w:val="66A620BB"/>
    <w:rsid w:val="66AB0A4A"/>
    <w:rsid w:val="66B6254E"/>
    <w:rsid w:val="66BF2A15"/>
    <w:rsid w:val="66C227DE"/>
    <w:rsid w:val="66C97DE2"/>
    <w:rsid w:val="66CC0FE3"/>
    <w:rsid w:val="66CF283B"/>
    <w:rsid w:val="670578BF"/>
    <w:rsid w:val="670F58EB"/>
    <w:rsid w:val="67155DF0"/>
    <w:rsid w:val="672B7FD0"/>
    <w:rsid w:val="675C1259"/>
    <w:rsid w:val="676E1FE0"/>
    <w:rsid w:val="677139F9"/>
    <w:rsid w:val="67795E36"/>
    <w:rsid w:val="67B167D1"/>
    <w:rsid w:val="67BD5C06"/>
    <w:rsid w:val="67C021CA"/>
    <w:rsid w:val="67D80A6C"/>
    <w:rsid w:val="67DA313A"/>
    <w:rsid w:val="67E81CD0"/>
    <w:rsid w:val="67EB394F"/>
    <w:rsid w:val="67ED68B4"/>
    <w:rsid w:val="680E676D"/>
    <w:rsid w:val="681F6955"/>
    <w:rsid w:val="682958E4"/>
    <w:rsid w:val="68352E87"/>
    <w:rsid w:val="684F3C7A"/>
    <w:rsid w:val="68573E66"/>
    <w:rsid w:val="68584E42"/>
    <w:rsid w:val="685F1C50"/>
    <w:rsid w:val="688D78B4"/>
    <w:rsid w:val="68A238E8"/>
    <w:rsid w:val="68C326A4"/>
    <w:rsid w:val="68E819D9"/>
    <w:rsid w:val="68F93614"/>
    <w:rsid w:val="6915497A"/>
    <w:rsid w:val="695A0B28"/>
    <w:rsid w:val="69646FD2"/>
    <w:rsid w:val="696F18D9"/>
    <w:rsid w:val="69771BA1"/>
    <w:rsid w:val="69811AFA"/>
    <w:rsid w:val="698673A3"/>
    <w:rsid w:val="698859AE"/>
    <w:rsid w:val="699022E9"/>
    <w:rsid w:val="69912B40"/>
    <w:rsid w:val="69930B57"/>
    <w:rsid w:val="69965853"/>
    <w:rsid w:val="69BB2878"/>
    <w:rsid w:val="69E15C1B"/>
    <w:rsid w:val="69E91EAC"/>
    <w:rsid w:val="69EB59B8"/>
    <w:rsid w:val="69F73007"/>
    <w:rsid w:val="6A1B7EC8"/>
    <w:rsid w:val="6A1D5EE2"/>
    <w:rsid w:val="6A565837"/>
    <w:rsid w:val="6A657C4E"/>
    <w:rsid w:val="6A714498"/>
    <w:rsid w:val="6A775358"/>
    <w:rsid w:val="6A7A3C06"/>
    <w:rsid w:val="6A9E4A45"/>
    <w:rsid w:val="6A9F256B"/>
    <w:rsid w:val="6AB109CD"/>
    <w:rsid w:val="6AB13E7B"/>
    <w:rsid w:val="6AB14936"/>
    <w:rsid w:val="6AC50223"/>
    <w:rsid w:val="6AD96B5D"/>
    <w:rsid w:val="6B0B7927"/>
    <w:rsid w:val="6B42557D"/>
    <w:rsid w:val="6B4C7487"/>
    <w:rsid w:val="6B7A54C1"/>
    <w:rsid w:val="6BAE46D2"/>
    <w:rsid w:val="6BBE538A"/>
    <w:rsid w:val="6C185A43"/>
    <w:rsid w:val="6C2A5C85"/>
    <w:rsid w:val="6C384A5F"/>
    <w:rsid w:val="6C3A254B"/>
    <w:rsid w:val="6C44124A"/>
    <w:rsid w:val="6C5D5C10"/>
    <w:rsid w:val="6C931A6F"/>
    <w:rsid w:val="6C9824CE"/>
    <w:rsid w:val="6CCD3116"/>
    <w:rsid w:val="6CDC6BF8"/>
    <w:rsid w:val="6D02011C"/>
    <w:rsid w:val="6D0F1C2A"/>
    <w:rsid w:val="6D1460BB"/>
    <w:rsid w:val="6D1B4B80"/>
    <w:rsid w:val="6D217501"/>
    <w:rsid w:val="6D386530"/>
    <w:rsid w:val="6D3B3907"/>
    <w:rsid w:val="6D535FA7"/>
    <w:rsid w:val="6D6A4B39"/>
    <w:rsid w:val="6DDD645C"/>
    <w:rsid w:val="6DE9247B"/>
    <w:rsid w:val="6DEA1BB5"/>
    <w:rsid w:val="6DF222CA"/>
    <w:rsid w:val="6DF4161F"/>
    <w:rsid w:val="6E1136A0"/>
    <w:rsid w:val="6E142511"/>
    <w:rsid w:val="6E215FE9"/>
    <w:rsid w:val="6E517167"/>
    <w:rsid w:val="6EAC6DAD"/>
    <w:rsid w:val="6ECE1671"/>
    <w:rsid w:val="6F217B52"/>
    <w:rsid w:val="6F2A4AF9"/>
    <w:rsid w:val="6F411496"/>
    <w:rsid w:val="6F524050"/>
    <w:rsid w:val="6F7F1C3B"/>
    <w:rsid w:val="6F7FEEA3"/>
    <w:rsid w:val="6FA67EF8"/>
    <w:rsid w:val="6FA81D46"/>
    <w:rsid w:val="6FC50CC6"/>
    <w:rsid w:val="6FDE1E67"/>
    <w:rsid w:val="6FDE4F78"/>
    <w:rsid w:val="6FEFC4EC"/>
    <w:rsid w:val="6FF8277D"/>
    <w:rsid w:val="700511B6"/>
    <w:rsid w:val="703F7F04"/>
    <w:rsid w:val="7043572B"/>
    <w:rsid w:val="70820A7C"/>
    <w:rsid w:val="70936C51"/>
    <w:rsid w:val="70A02B99"/>
    <w:rsid w:val="70D618A1"/>
    <w:rsid w:val="70DB219D"/>
    <w:rsid w:val="70E416ED"/>
    <w:rsid w:val="70EE5E41"/>
    <w:rsid w:val="710B79F6"/>
    <w:rsid w:val="710D1E24"/>
    <w:rsid w:val="7119558F"/>
    <w:rsid w:val="712D2AFE"/>
    <w:rsid w:val="714979B6"/>
    <w:rsid w:val="714D2D21"/>
    <w:rsid w:val="71592933"/>
    <w:rsid w:val="71710426"/>
    <w:rsid w:val="717107AB"/>
    <w:rsid w:val="717447CC"/>
    <w:rsid w:val="71B302C0"/>
    <w:rsid w:val="71CC5F17"/>
    <w:rsid w:val="71E00F57"/>
    <w:rsid w:val="720A56FA"/>
    <w:rsid w:val="721921CE"/>
    <w:rsid w:val="722021E3"/>
    <w:rsid w:val="72212A4B"/>
    <w:rsid w:val="723B526F"/>
    <w:rsid w:val="7285473C"/>
    <w:rsid w:val="72B83CC2"/>
    <w:rsid w:val="73047586"/>
    <w:rsid w:val="73147B15"/>
    <w:rsid w:val="7330503C"/>
    <w:rsid w:val="73400515"/>
    <w:rsid w:val="734E63E1"/>
    <w:rsid w:val="736E5ED8"/>
    <w:rsid w:val="73B1474B"/>
    <w:rsid w:val="73D74B24"/>
    <w:rsid w:val="73EE4BAF"/>
    <w:rsid w:val="73EF24A5"/>
    <w:rsid w:val="73F30B79"/>
    <w:rsid w:val="742972A7"/>
    <w:rsid w:val="74387705"/>
    <w:rsid w:val="745024D0"/>
    <w:rsid w:val="745919C6"/>
    <w:rsid w:val="74600618"/>
    <w:rsid w:val="74702A9A"/>
    <w:rsid w:val="74850A24"/>
    <w:rsid w:val="74AA2238"/>
    <w:rsid w:val="74E673BF"/>
    <w:rsid w:val="74ED10B4"/>
    <w:rsid w:val="74F11C15"/>
    <w:rsid w:val="74FFE614"/>
    <w:rsid w:val="750E495B"/>
    <w:rsid w:val="75BF4CFB"/>
    <w:rsid w:val="75EB3B35"/>
    <w:rsid w:val="75F55B5A"/>
    <w:rsid w:val="76170E38"/>
    <w:rsid w:val="761C2BBB"/>
    <w:rsid w:val="76257D19"/>
    <w:rsid w:val="765B457B"/>
    <w:rsid w:val="765F4246"/>
    <w:rsid w:val="766C0D71"/>
    <w:rsid w:val="76A47DA8"/>
    <w:rsid w:val="76AA7BD3"/>
    <w:rsid w:val="76AC2348"/>
    <w:rsid w:val="76CD1D34"/>
    <w:rsid w:val="76E175D9"/>
    <w:rsid w:val="76F72695"/>
    <w:rsid w:val="76FA25F3"/>
    <w:rsid w:val="770165C5"/>
    <w:rsid w:val="770B3462"/>
    <w:rsid w:val="770E6AAE"/>
    <w:rsid w:val="771A6266"/>
    <w:rsid w:val="77232C56"/>
    <w:rsid w:val="773E4D30"/>
    <w:rsid w:val="774B5506"/>
    <w:rsid w:val="77606A91"/>
    <w:rsid w:val="776A1DE8"/>
    <w:rsid w:val="776C7484"/>
    <w:rsid w:val="77773441"/>
    <w:rsid w:val="77796116"/>
    <w:rsid w:val="778843E2"/>
    <w:rsid w:val="778844DF"/>
    <w:rsid w:val="77B6F360"/>
    <w:rsid w:val="77BA67F0"/>
    <w:rsid w:val="77CC771C"/>
    <w:rsid w:val="77D7EC4F"/>
    <w:rsid w:val="77E76825"/>
    <w:rsid w:val="78046E36"/>
    <w:rsid w:val="7809318F"/>
    <w:rsid w:val="78352818"/>
    <w:rsid w:val="78395DAD"/>
    <w:rsid w:val="78587A27"/>
    <w:rsid w:val="785D00CA"/>
    <w:rsid w:val="786B519C"/>
    <w:rsid w:val="78762826"/>
    <w:rsid w:val="789D7383"/>
    <w:rsid w:val="78A339A7"/>
    <w:rsid w:val="78A57D93"/>
    <w:rsid w:val="78B437F6"/>
    <w:rsid w:val="78C444F9"/>
    <w:rsid w:val="78D2125C"/>
    <w:rsid w:val="78DE0702"/>
    <w:rsid w:val="78F42A99"/>
    <w:rsid w:val="79091796"/>
    <w:rsid w:val="792F5E7D"/>
    <w:rsid w:val="793627D1"/>
    <w:rsid w:val="79390F33"/>
    <w:rsid w:val="794A39EC"/>
    <w:rsid w:val="798F5608"/>
    <w:rsid w:val="79B81695"/>
    <w:rsid w:val="79C42C2C"/>
    <w:rsid w:val="79CC0251"/>
    <w:rsid w:val="79DB0D59"/>
    <w:rsid w:val="79DC7338"/>
    <w:rsid w:val="79DE32E4"/>
    <w:rsid w:val="79F8753A"/>
    <w:rsid w:val="7A272C42"/>
    <w:rsid w:val="7A2B2940"/>
    <w:rsid w:val="7A470AAE"/>
    <w:rsid w:val="7A535EC2"/>
    <w:rsid w:val="7A6536FD"/>
    <w:rsid w:val="7A733CE5"/>
    <w:rsid w:val="7A753267"/>
    <w:rsid w:val="7A8760D4"/>
    <w:rsid w:val="7A9B4767"/>
    <w:rsid w:val="7AC80371"/>
    <w:rsid w:val="7AD501BC"/>
    <w:rsid w:val="7AEB54A9"/>
    <w:rsid w:val="7AEB5906"/>
    <w:rsid w:val="7B1211B1"/>
    <w:rsid w:val="7B1369F8"/>
    <w:rsid w:val="7B152B01"/>
    <w:rsid w:val="7B49185E"/>
    <w:rsid w:val="7B5D2ADF"/>
    <w:rsid w:val="7B5F9255"/>
    <w:rsid w:val="7B6B7D4D"/>
    <w:rsid w:val="7B760F57"/>
    <w:rsid w:val="7B8F7683"/>
    <w:rsid w:val="7B904351"/>
    <w:rsid w:val="7BB0323E"/>
    <w:rsid w:val="7BB8523E"/>
    <w:rsid w:val="7BCD552D"/>
    <w:rsid w:val="7BDA1655"/>
    <w:rsid w:val="7BDF2C97"/>
    <w:rsid w:val="7BE64654"/>
    <w:rsid w:val="7C076BB0"/>
    <w:rsid w:val="7C261614"/>
    <w:rsid w:val="7C305F74"/>
    <w:rsid w:val="7C465E6F"/>
    <w:rsid w:val="7C5C5AFF"/>
    <w:rsid w:val="7C6246D7"/>
    <w:rsid w:val="7C731113"/>
    <w:rsid w:val="7C89B142"/>
    <w:rsid w:val="7C8C36C0"/>
    <w:rsid w:val="7CAB59E6"/>
    <w:rsid w:val="7CE027F5"/>
    <w:rsid w:val="7CEF4A31"/>
    <w:rsid w:val="7D095886"/>
    <w:rsid w:val="7D0C7F34"/>
    <w:rsid w:val="7D107E15"/>
    <w:rsid w:val="7D110AE4"/>
    <w:rsid w:val="7D121F53"/>
    <w:rsid w:val="7D21004D"/>
    <w:rsid w:val="7D400B00"/>
    <w:rsid w:val="7D641FE5"/>
    <w:rsid w:val="7D9C7747"/>
    <w:rsid w:val="7DB506D7"/>
    <w:rsid w:val="7DBB739A"/>
    <w:rsid w:val="7DC4536C"/>
    <w:rsid w:val="7DC97DB5"/>
    <w:rsid w:val="7DDD6CEA"/>
    <w:rsid w:val="7DE47C5B"/>
    <w:rsid w:val="7DFF81C2"/>
    <w:rsid w:val="7E0966C3"/>
    <w:rsid w:val="7E0D7EF2"/>
    <w:rsid w:val="7E2F7CAD"/>
    <w:rsid w:val="7E3161D8"/>
    <w:rsid w:val="7E3829BB"/>
    <w:rsid w:val="7E4E9CF6"/>
    <w:rsid w:val="7E5366E6"/>
    <w:rsid w:val="7E590F57"/>
    <w:rsid w:val="7E636E14"/>
    <w:rsid w:val="7E751303"/>
    <w:rsid w:val="7E8249E0"/>
    <w:rsid w:val="7E8452E6"/>
    <w:rsid w:val="7E93651E"/>
    <w:rsid w:val="7EBF7B56"/>
    <w:rsid w:val="7EC97F4F"/>
    <w:rsid w:val="7EE15F38"/>
    <w:rsid w:val="7EE465C3"/>
    <w:rsid w:val="7EE67F4B"/>
    <w:rsid w:val="7F3376E9"/>
    <w:rsid w:val="7F402124"/>
    <w:rsid w:val="7F47442A"/>
    <w:rsid w:val="7F4C1689"/>
    <w:rsid w:val="7F614348"/>
    <w:rsid w:val="7F687334"/>
    <w:rsid w:val="7F8399F7"/>
    <w:rsid w:val="7F8A5D9E"/>
    <w:rsid w:val="7F8F3DDD"/>
    <w:rsid w:val="7FAF4BA7"/>
    <w:rsid w:val="7FBD51CD"/>
    <w:rsid w:val="7FC60CF6"/>
    <w:rsid w:val="7FCC5451"/>
    <w:rsid w:val="7FCD90D6"/>
    <w:rsid w:val="7FDF651F"/>
    <w:rsid w:val="7FDFB87E"/>
    <w:rsid w:val="7FE9668E"/>
    <w:rsid w:val="7FF1600D"/>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6">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spacing w:line="360" w:lineRule="auto"/>
      <w:outlineLvl w:val="3"/>
    </w:pPr>
    <w:rPr>
      <w:rFonts w:ascii="Cambria" w:hAnsi="Cambria" w:cs="宋体"/>
      <w:b/>
      <w:iCs/>
    </w:rPr>
  </w:style>
  <w:style w:type="paragraph" w:styleId="9">
    <w:name w:val="heading 5"/>
    <w:basedOn w:val="1"/>
    <w:next w:val="1"/>
    <w:unhideWhenUsed/>
    <w:qFormat/>
    <w:uiPriority w:val="1"/>
    <w:pPr>
      <w:ind w:left="758"/>
      <w:outlineLvl w:val="4"/>
    </w:pPr>
    <w:rPr>
      <w:rFonts w:hint="eastAsia"/>
      <w:b/>
      <w:sz w:val="24"/>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link w:val="108"/>
    <w:autoRedefine/>
    <w:qFormat/>
    <w:uiPriority w:val="0"/>
    <w:pPr>
      <w:spacing w:line="360" w:lineRule="exact"/>
    </w:pPr>
    <w:rPr>
      <w:sz w:val="24"/>
    </w:rPr>
  </w:style>
  <w:style w:type="paragraph" w:styleId="4">
    <w:name w:val="toc 6"/>
    <w:basedOn w:val="1"/>
    <w:next w:val="1"/>
    <w:autoRedefine/>
    <w:qFormat/>
    <w:uiPriority w:val="0"/>
    <w:pPr>
      <w:ind w:left="2100"/>
    </w:pPr>
    <w:rPr>
      <w:szCs w:val="20"/>
    </w:rPr>
  </w:style>
  <w:style w:type="paragraph" w:styleId="10">
    <w:name w:val="List Number"/>
    <w:basedOn w:val="1"/>
    <w:autoRedefine/>
    <w:qFormat/>
    <w:uiPriority w:val="0"/>
    <w:pPr>
      <w:numPr>
        <w:ilvl w:val="0"/>
        <w:numId w:val="2"/>
      </w:numPr>
    </w:pPr>
  </w:style>
  <w:style w:type="paragraph" w:styleId="11">
    <w:name w:val="Normal Indent"/>
    <w:basedOn w:val="1"/>
    <w:autoRedefine/>
    <w:qFormat/>
    <w:uiPriority w:val="0"/>
    <w:pPr>
      <w:ind w:firstLine="420"/>
    </w:pPr>
    <w:rPr>
      <w:szCs w:val="20"/>
    </w:rPr>
  </w:style>
  <w:style w:type="paragraph" w:styleId="12">
    <w:name w:val="annotation text"/>
    <w:basedOn w:val="1"/>
    <w:link w:val="60"/>
    <w:autoRedefine/>
    <w:qFormat/>
    <w:uiPriority w:val="0"/>
    <w:pPr>
      <w:jc w:val="left"/>
    </w:pPr>
  </w:style>
  <w:style w:type="paragraph" w:styleId="13">
    <w:name w:val="Body Text Indent"/>
    <w:basedOn w:val="1"/>
    <w:next w:val="14"/>
    <w:link w:val="63"/>
    <w:autoRedefine/>
    <w:qFormat/>
    <w:uiPriority w:val="0"/>
    <w:pPr>
      <w:spacing w:after="120"/>
      <w:ind w:left="420" w:leftChars="200"/>
    </w:pPr>
  </w:style>
  <w:style w:type="paragraph" w:styleId="14">
    <w:name w:val="Body Text First Indent 2"/>
    <w:basedOn w:val="13"/>
    <w:next w:val="2"/>
    <w:link w:val="110"/>
    <w:autoRedefine/>
    <w:unhideWhenUsed/>
    <w:qFormat/>
    <w:uiPriority w:val="99"/>
    <w:pPr>
      <w:ind w:firstLine="420" w:firstLineChars="200"/>
    </w:pPr>
  </w:style>
  <w:style w:type="paragraph" w:styleId="15">
    <w:name w:val="Plain Text"/>
    <w:basedOn w:val="1"/>
    <w:next w:val="1"/>
    <w:link w:val="109"/>
    <w:autoRedefine/>
    <w:qFormat/>
    <w:uiPriority w:val="99"/>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ody Text Indent 2"/>
    <w:basedOn w:val="1"/>
    <w:autoRedefine/>
    <w:qFormat/>
    <w:uiPriority w:val="0"/>
    <w:pPr>
      <w:widowControl/>
      <w:spacing w:line="480" w:lineRule="auto"/>
      <w:ind w:firstLine="560"/>
      <w:jc w:val="left"/>
    </w:pPr>
    <w:rPr>
      <w:sz w:val="28"/>
    </w:rPr>
  </w:style>
  <w:style w:type="paragraph" w:styleId="18">
    <w:name w:val="Balloon Text"/>
    <w:basedOn w:val="1"/>
    <w:link w:val="62"/>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4"/>
    <w:basedOn w:val="1"/>
    <w:next w:val="1"/>
    <w:autoRedefine/>
    <w:qFormat/>
    <w:uiPriority w:val="0"/>
    <w:pPr>
      <w:wordWrap w:val="0"/>
      <w:ind w:left="850"/>
    </w:pPr>
    <w:rPr>
      <w:rFonts w:ascii="Calibri" w:hAnsi="Calibri"/>
    </w:rPr>
  </w:style>
  <w:style w:type="paragraph" w:styleId="22">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spacing w:before="240" w:after="60"/>
      <w:jc w:val="center"/>
      <w:outlineLvl w:val="0"/>
    </w:pPr>
    <w:rPr>
      <w:rFonts w:ascii="Cambria" w:hAnsi="Cambria" w:eastAsia="仿宋_GB2312"/>
      <w:b/>
      <w:bCs/>
      <w:sz w:val="36"/>
      <w:szCs w:val="32"/>
    </w:rPr>
  </w:style>
  <w:style w:type="paragraph" w:styleId="25">
    <w:name w:val="annotation subject"/>
    <w:basedOn w:val="12"/>
    <w:next w:val="12"/>
    <w:link w:val="61"/>
    <w:autoRedefine/>
    <w:qFormat/>
    <w:uiPriority w:val="0"/>
    <w:rPr>
      <w:b/>
      <w:bCs/>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FollowedHyperlink"/>
    <w:basedOn w:val="28"/>
    <w:autoRedefine/>
    <w:qFormat/>
    <w:uiPriority w:val="0"/>
    <w:rPr>
      <w:color w:val="000000"/>
      <w:u w:val="none"/>
    </w:rPr>
  </w:style>
  <w:style w:type="character" w:styleId="31">
    <w:name w:val="Emphasis"/>
    <w:basedOn w:val="28"/>
    <w:autoRedefine/>
    <w:qFormat/>
    <w:uiPriority w:val="0"/>
  </w:style>
  <w:style w:type="character" w:styleId="32">
    <w:name w:val="HTML Definition"/>
    <w:basedOn w:val="28"/>
    <w:autoRedefine/>
    <w:qFormat/>
    <w:uiPriority w:val="0"/>
  </w:style>
  <w:style w:type="character" w:styleId="33">
    <w:name w:val="HTML Acronym"/>
    <w:basedOn w:val="28"/>
    <w:autoRedefine/>
    <w:qFormat/>
    <w:uiPriority w:val="0"/>
  </w:style>
  <w:style w:type="character" w:styleId="34">
    <w:name w:val="HTML Variable"/>
    <w:basedOn w:val="28"/>
    <w:autoRedefine/>
    <w:qFormat/>
    <w:uiPriority w:val="0"/>
  </w:style>
  <w:style w:type="character" w:styleId="35">
    <w:name w:val="Hyperlink"/>
    <w:basedOn w:val="28"/>
    <w:autoRedefine/>
    <w:qFormat/>
    <w:uiPriority w:val="0"/>
    <w:rPr>
      <w:color w:val="000000"/>
      <w:u w:val="none"/>
    </w:rPr>
  </w:style>
  <w:style w:type="character" w:styleId="36">
    <w:name w:val="HTML Code"/>
    <w:basedOn w:val="28"/>
    <w:autoRedefine/>
    <w:qFormat/>
    <w:uiPriority w:val="0"/>
    <w:rPr>
      <w:rFonts w:ascii="Segoe UI" w:hAnsi="Segoe UI" w:eastAsia="Segoe UI" w:cs="Segoe UI"/>
      <w:sz w:val="21"/>
      <w:szCs w:val="21"/>
    </w:rPr>
  </w:style>
  <w:style w:type="character" w:styleId="37">
    <w:name w:val="annotation reference"/>
    <w:basedOn w:val="28"/>
    <w:autoRedefine/>
    <w:qFormat/>
    <w:uiPriority w:val="99"/>
    <w:rPr>
      <w:sz w:val="21"/>
      <w:szCs w:val="21"/>
    </w:rPr>
  </w:style>
  <w:style w:type="character" w:styleId="38">
    <w:name w:val="HTML Cite"/>
    <w:basedOn w:val="28"/>
    <w:autoRedefine/>
    <w:qFormat/>
    <w:uiPriority w:val="0"/>
  </w:style>
  <w:style w:type="character" w:styleId="39">
    <w:name w:val="HTML Keyboard"/>
    <w:basedOn w:val="28"/>
    <w:qFormat/>
    <w:uiPriority w:val="0"/>
    <w:rPr>
      <w:rFonts w:hint="default" w:ascii="Segoe UI" w:hAnsi="Segoe UI" w:eastAsia="Segoe UI" w:cs="Segoe UI"/>
      <w:sz w:val="21"/>
      <w:szCs w:val="21"/>
    </w:rPr>
  </w:style>
  <w:style w:type="character" w:styleId="40">
    <w:name w:val="HTML Sample"/>
    <w:basedOn w:val="28"/>
    <w:autoRedefine/>
    <w:qFormat/>
    <w:uiPriority w:val="0"/>
    <w:rPr>
      <w:rFonts w:hint="default" w:ascii="Segoe UI" w:hAnsi="Segoe UI" w:eastAsia="Segoe UI" w:cs="Segoe UI"/>
      <w:sz w:val="21"/>
      <w:szCs w:val="21"/>
    </w:rPr>
  </w:style>
  <w:style w:type="paragraph" w:customStyle="1" w:styleId="41">
    <w:name w:val="正文首行缩进 21"/>
    <w:autoRedefine/>
    <w:qFormat/>
    <w:uiPriority w:val="0"/>
    <w:pPr>
      <w:ind w:firstLine="420"/>
    </w:pPr>
    <w:rPr>
      <w:rFonts w:ascii="Times New Roman" w:hAnsi="Times New Roman" w:eastAsia="Times New Roman" w:cs="Times New Roman"/>
      <w:lang w:val="en-US" w:eastAsia="zh-CN" w:bidi="ar-SA"/>
    </w:rPr>
  </w:style>
  <w:style w:type="paragraph" w:customStyle="1" w:styleId="42">
    <w:name w:val="表格文字"/>
    <w:basedOn w:val="1"/>
    <w:next w:val="3"/>
    <w:autoRedefine/>
    <w:qFormat/>
    <w:uiPriority w:val="0"/>
    <w:pPr>
      <w:adjustRightInd w:val="0"/>
      <w:spacing w:line="420" w:lineRule="atLeast"/>
      <w:jc w:val="left"/>
      <w:textAlignment w:val="baseline"/>
    </w:pPr>
    <w:rPr>
      <w:kern w:val="0"/>
    </w:rPr>
  </w:style>
  <w:style w:type="paragraph" w:customStyle="1" w:styleId="4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44">
    <w:name w:val="列表段落1"/>
    <w:basedOn w:val="1"/>
    <w:autoRedefine/>
    <w:qFormat/>
    <w:uiPriority w:val="34"/>
    <w:pPr>
      <w:ind w:firstLine="420" w:firstLineChars="200"/>
    </w:pPr>
    <w:rPr>
      <w:rFonts w:ascii="Calibri" w:hAnsi="Calibri"/>
      <w:szCs w:val="22"/>
    </w:rPr>
  </w:style>
  <w:style w:type="paragraph" w:customStyle="1" w:styleId="45">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46">
    <w:name w:val="列出段落1"/>
    <w:basedOn w:val="1"/>
    <w:autoRedefine/>
    <w:qFormat/>
    <w:uiPriority w:val="0"/>
    <w:pPr>
      <w:ind w:firstLine="420" w:firstLineChars="200"/>
    </w:pPr>
    <w:rPr>
      <w:rFonts w:ascii="Calibri" w:hAnsi="Calibri"/>
      <w:kern w:val="0"/>
      <w:szCs w:val="20"/>
    </w:rPr>
  </w:style>
  <w:style w:type="paragraph" w:customStyle="1" w:styleId="47">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4"/>
    <w:autoRedefine/>
    <w:qFormat/>
    <w:uiPriority w:val="0"/>
    <w:rPr>
      <w:rFonts w:ascii="Times New Roman" w:hAnsi="Times New Roman" w:eastAsia="宋体" w:cs="Times New Roman"/>
      <w:sz w:val="21"/>
      <w:szCs w:val="22"/>
      <w:lang w:val="en-US" w:eastAsia="zh-CN" w:bidi="ar-SA"/>
    </w:rPr>
  </w:style>
  <w:style w:type="paragraph" w:customStyle="1" w:styleId="5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3"/>
    <w:basedOn w:val="53"/>
    <w:autoRedefine/>
    <w:qFormat/>
    <w:uiPriority w:val="0"/>
    <w:pPr>
      <w:widowControl/>
      <w:jc w:val="left"/>
    </w:pPr>
    <w:rPr>
      <w:rFonts w:ascii="宋体" w:hAnsi="Courier New" w:eastAsiaTheme="minorEastAsia" w:cstheme="minorBidi"/>
      <w:szCs w:val="21"/>
    </w:rPr>
  </w:style>
  <w:style w:type="paragraph" w:customStyle="1" w:styleId="55">
    <w:name w:val="纯文本_0_1"/>
    <w:basedOn w:val="1"/>
    <w:autoRedefine/>
    <w:qFormat/>
    <w:uiPriority w:val="0"/>
    <w:pPr>
      <w:widowControl/>
      <w:jc w:val="left"/>
    </w:pPr>
    <w:rPr>
      <w:rFonts w:ascii="宋体" w:hAnsi="Courier New" w:eastAsiaTheme="minorEastAsia" w:cstheme="minorBidi"/>
      <w:szCs w:val="21"/>
    </w:rPr>
  </w:style>
  <w:style w:type="paragraph" w:customStyle="1" w:styleId="5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28"/>
    <w:link w:val="12"/>
    <w:autoRedefine/>
    <w:qFormat/>
    <w:uiPriority w:val="0"/>
    <w:rPr>
      <w:rFonts w:ascii="Times New Roman" w:hAnsi="Times New Roman" w:eastAsia="宋体" w:cs="Times New Roman"/>
      <w:kern w:val="2"/>
      <w:sz w:val="21"/>
      <w:szCs w:val="24"/>
    </w:rPr>
  </w:style>
  <w:style w:type="character" w:customStyle="1" w:styleId="61">
    <w:name w:val="批注主题 Char"/>
    <w:basedOn w:val="60"/>
    <w:link w:val="25"/>
    <w:autoRedefine/>
    <w:qFormat/>
    <w:uiPriority w:val="0"/>
    <w:rPr>
      <w:rFonts w:ascii="Times New Roman" w:hAnsi="Times New Roman" w:eastAsia="宋体" w:cs="Times New Roman"/>
      <w:b/>
      <w:bCs/>
      <w:kern w:val="2"/>
      <w:sz w:val="21"/>
      <w:szCs w:val="24"/>
    </w:rPr>
  </w:style>
  <w:style w:type="character" w:customStyle="1" w:styleId="62">
    <w:name w:val="批注框文本 Char"/>
    <w:basedOn w:val="28"/>
    <w:link w:val="18"/>
    <w:autoRedefine/>
    <w:qFormat/>
    <w:uiPriority w:val="0"/>
    <w:rPr>
      <w:rFonts w:ascii="Times New Roman" w:hAnsi="Times New Roman" w:eastAsia="宋体" w:cs="Times New Roman"/>
      <w:kern w:val="2"/>
      <w:sz w:val="18"/>
      <w:szCs w:val="18"/>
    </w:rPr>
  </w:style>
  <w:style w:type="character" w:customStyle="1" w:styleId="63">
    <w:name w:val="正文文本缩进 Char"/>
    <w:basedOn w:val="28"/>
    <w:link w:val="13"/>
    <w:autoRedefine/>
    <w:qFormat/>
    <w:uiPriority w:val="0"/>
    <w:rPr>
      <w:kern w:val="2"/>
      <w:sz w:val="21"/>
      <w:szCs w:val="24"/>
    </w:rPr>
  </w:style>
  <w:style w:type="character" w:customStyle="1" w:styleId="64">
    <w:name w:val="s1"/>
    <w:basedOn w:val="28"/>
    <w:autoRedefine/>
    <w:qFormat/>
    <w:uiPriority w:val="0"/>
    <w:rPr>
      <w:rFonts w:ascii="Helvetica" w:hAnsi="Helvetica" w:eastAsia="Helvetica" w:cs="Helvetica"/>
      <w:sz w:val="24"/>
      <w:szCs w:val="24"/>
    </w:rPr>
  </w:style>
  <w:style w:type="paragraph" w:customStyle="1" w:styleId="65">
    <w:name w:val="p2"/>
    <w:basedOn w:val="1"/>
    <w:autoRedefine/>
    <w:qFormat/>
    <w:uiPriority w:val="0"/>
    <w:pPr>
      <w:jc w:val="left"/>
    </w:pPr>
    <w:rPr>
      <w:rFonts w:ascii="pingfang sc" w:hAnsi="pingfang sc" w:eastAsia="pingfang sc"/>
      <w:kern w:val="0"/>
      <w:sz w:val="24"/>
    </w:rPr>
  </w:style>
  <w:style w:type="paragraph" w:customStyle="1" w:styleId="66">
    <w:name w:val="p1"/>
    <w:basedOn w:val="1"/>
    <w:autoRedefine/>
    <w:qFormat/>
    <w:uiPriority w:val="0"/>
    <w:pPr>
      <w:jc w:val="left"/>
    </w:pPr>
    <w:rPr>
      <w:rFonts w:ascii="pingfang sc" w:hAnsi="pingfang sc" w:eastAsia="pingfang sc"/>
      <w:kern w:val="0"/>
      <w:sz w:val="24"/>
    </w:rPr>
  </w:style>
  <w:style w:type="paragraph" w:customStyle="1" w:styleId="67">
    <w:name w:val="Char"/>
    <w:basedOn w:val="1"/>
    <w:autoRedefine/>
    <w:qFormat/>
    <w:uiPriority w:val="0"/>
    <w:pPr>
      <w:spacing w:line="440" w:lineRule="exact"/>
      <w:ind w:left="510" w:firstLine="480" w:firstLineChars="200"/>
    </w:pPr>
    <w:rPr>
      <w:rFonts w:ascii="宋体" w:hAnsi="宋体"/>
      <w:sz w:val="24"/>
    </w:rPr>
  </w:style>
  <w:style w:type="character" w:customStyle="1" w:styleId="68">
    <w:name w:val="font01"/>
    <w:basedOn w:val="28"/>
    <w:autoRedefine/>
    <w:qFormat/>
    <w:uiPriority w:val="0"/>
    <w:rPr>
      <w:rFonts w:hint="eastAsia" w:ascii="宋体" w:hAnsi="宋体" w:eastAsia="宋体" w:cs="宋体"/>
      <w:b/>
      <w:color w:val="000000"/>
      <w:sz w:val="24"/>
      <w:szCs w:val="24"/>
      <w:u w:val="none"/>
    </w:rPr>
  </w:style>
  <w:style w:type="character" w:customStyle="1" w:styleId="69">
    <w:name w:val="font21"/>
    <w:basedOn w:val="28"/>
    <w:autoRedefine/>
    <w:qFormat/>
    <w:uiPriority w:val="0"/>
    <w:rPr>
      <w:rFonts w:hint="eastAsia" w:ascii="宋体" w:hAnsi="宋体" w:eastAsia="宋体" w:cs="宋体"/>
      <w:color w:val="000000"/>
      <w:sz w:val="24"/>
      <w:szCs w:val="24"/>
      <w:u w:val="none"/>
    </w:rPr>
  </w:style>
  <w:style w:type="character" w:customStyle="1" w:styleId="70">
    <w:name w:val="text-overflow"/>
    <w:basedOn w:val="28"/>
    <w:autoRedefine/>
    <w:qFormat/>
    <w:uiPriority w:val="0"/>
  </w:style>
  <w:style w:type="character" w:customStyle="1" w:styleId="71">
    <w:name w:val="text-overflow1"/>
    <w:basedOn w:val="28"/>
    <w:autoRedefine/>
    <w:qFormat/>
    <w:uiPriority w:val="0"/>
  </w:style>
  <w:style w:type="character" w:customStyle="1" w:styleId="72">
    <w:name w:val="publishtime"/>
    <w:basedOn w:val="28"/>
    <w:autoRedefine/>
    <w:qFormat/>
    <w:uiPriority w:val="0"/>
    <w:rPr>
      <w:color w:val="999999"/>
    </w:rPr>
  </w:style>
  <w:style w:type="character" w:customStyle="1" w:styleId="73">
    <w:name w:val="publishtime1"/>
    <w:basedOn w:val="28"/>
    <w:autoRedefine/>
    <w:qFormat/>
    <w:uiPriority w:val="0"/>
    <w:rPr>
      <w:color w:val="666666"/>
    </w:rPr>
  </w:style>
  <w:style w:type="character" w:customStyle="1" w:styleId="74">
    <w:name w:val="first-child"/>
    <w:basedOn w:val="28"/>
    <w:autoRedefine/>
    <w:qFormat/>
    <w:uiPriority w:val="0"/>
  </w:style>
  <w:style w:type="character" w:customStyle="1" w:styleId="75">
    <w:name w:val="hover9"/>
    <w:basedOn w:val="28"/>
    <w:autoRedefine/>
    <w:qFormat/>
    <w:uiPriority w:val="0"/>
    <w:rPr>
      <w:color w:val="23527C"/>
      <w:shd w:val="clear" w:color="auto" w:fill="EEEEEE"/>
    </w:rPr>
  </w:style>
  <w:style w:type="character" w:customStyle="1" w:styleId="76">
    <w:name w:val="hover10"/>
    <w:basedOn w:val="28"/>
    <w:autoRedefine/>
    <w:qFormat/>
    <w:uiPriority w:val="0"/>
    <w:rPr>
      <w:color w:val="777777"/>
      <w:shd w:val="clear" w:color="auto" w:fill="FFFFFF"/>
    </w:rPr>
  </w:style>
  <w:style w:type="character" w:customStyle="1" w:styleId="77">
    <w:name w:val="second-line"/>
    <w:basedOn w:val="28"/>
    <w:autoRedefine/>
    <w:qFormat/>
    <w:uiPriority w:val="0"/>
    <w:rPr>
      <w:color w:val="727272"/>
    </w:rPr>
  </w:style>
  <w:style w:type="character" w:customStyle="1" w:styleId="78">
    <w:name w:val="time"/>
    <w:basedOn w:val="28"/>
    <w:autoRedefine/>
    <w:qFormat/>
    <w:uiPriority w:val="0"/>
    <w:rPr>
      <w:sz w:val="21"/>
      <w:szCs w:val="21"/>
    </w:rPr>
  </w:style>
  <w:style w:type="character" w:customStyle="1" w:styleId="79">
    <w:name w:val="focus2"/>
    <w:basedOn w:val="28"/>
    <w:autoRedefine/>
    <w:qFormat/>
    <w:uiPriority w:val="0"/>
    <w:rPr>
      <w:color w:val="23527C"/>
      <w:shd w:val="clear" w:color="auto" w:fill="EEEEEE"/>
    </w:rPr>
  </w:style>
  <w:style w:type="character" w:customStyle="1" w:styleId="80">
    <w:name w:val="focus3"/>
    <w:basedOn w:val="28"/>
    <w:autoRedefine/>
    <w:qFormat/>
    <w:uiPriority w:val="0"/>
    <w:rPr>
      <w:color w:val="777777"/>
      <w:shd w:val="clear" w:color="auto" w:fill="FFFFFF"/>
    </w:rPr>
  </w:style>
  <w:style w:type="character" w:customStyle="1" w:styleId="81">
    <w:name w:val="first-child1"/>
    <w:basedOn w:val="28"/>
    <w:autoRedefine/>
    <w:qFormat/>
    <w:uiPriority w:val="0"/>
  </w:style>
  <w:style w:type="character" w:customStyle="1" w:styleId="82">
    <w:name w:val="focus"/>
    <w:basedOn w:val="28"/>
    <w:autoRedefine/>
    <w:qFormat/>
    <w:uiPriority w:val="0"/>
    <w:rPr>
      <w:color w:val="23527C"/>
      <w:shd w:val="clear" w:color="auto" w:fill="EEEEEE"/>
    </w:rPr>
  </w:style>
  <w:style w:type="character" w:customStyle="1" w:styleId="83">
    <w:name w:val="focus1"/>
    <w:basedOn w:val="28"/>
    <w:autoRedefine/>
    <w:qFormat/>
    <w:uiPriority w:val="0"/>
    <w:rPr>
      <w:color w:val="777777"/>
      <w:shd w:val="clear" w:color="auto" w:fill="FFFFFF"/>
    </w:rPr>
  </w:style>
  <w:style w:type="character" w:customStyle="1" w:styleId="84">
    <w:name w:val="hover35"/>
    <w:basedOn w:val="28"/>
    <w:autoRedefine/>
    <w:qFormat/>
    <w:uiPriority w:val="0"/>
    <w:rPr>
      <w:color w:val="3EAF0E"/>
    </w:rPr>
  </w:style>
  <w:style w:type="character" w:customStyle="1" w:styleId="85">
    <w:name w:val="mr-prof"/>
    <w:basedOn w:val="28"/>
    <w:autoRedefine/>
    <w:qFormat/>
    <w:uiPriority w:val="0"/>
  </w:style>
  <w:style w:type="character" w:customStyle="1" w:styleId="86">
    <w:name w:val="s16"/>
    <w:basedOn w:val="28"/>
    <w:autoRedefine/>
    <w:qFormat/>
    <w:uiPriority w:val="0"/>
    <w:rPr>
      <w:color w:val="DDDDDD"/>
      <w:sz w:val="18"/>
      <w:szCs w:val="18"/>
    </w:rPr>
  </w:style>
  <w:style w:type="character" w:customStyle="1" w:styleId="87">
    <w:name w:val="hover33"/>
    <w:basedOn w:val="28"/>
    <w:autoRedefine/>
    <w:qFormat/>
    <w:uiPriority w:val="0"/>
    <w:rPr>
      <w:color w:val="3EAF0E"/>
    </w:rPr>
  </w:style>
  <w:style w:type="character" w:customStyle="1" w:styleId="88">
    <w:name w:val="hover31"/>
    <w:basedOn w:val="28"/>
    <w:autoRedefine/>
    <w:qFormat/>
    <w:uiPriority w:val="0"/>
    <w:rPr>
      <w:color w:val="3EAF0E"/>
    </w:rPr>
  </w:style>
  <w:style w:type="paragraph" w:customStyle="1" w:styleId="89">
    <w:name w:val="_Style 2"/>
    <w:basedOn w:val="1"/>
    <w:autoRedefine/>
    <w:qFormat/>
    <w:uiPriority w:val="99"/>
    <w:pPr>
      <w:adjustRightInd w:val="0"/>
      <w:snapToGrid w:val="0"/>
    </w:pPr>
    <w:rPr>
      <w:rFonts w:ascii="Tahoma" w:hAnsi="Tahoma" w:eastAsia="微软雅黑" w:cs="Tahoma"/>
      <w:sz w:val="22"/>
      <w:szCs w:val="22"/>
    </w:rPr>
  </w:style>
  <w:style w:type="character" w:customStyle="1" w:styleId="90">
    <w:name w:val="r-text"/>
    <w:basedOn w:val="28"/>
    <w:autoRedefine/>
    <w:qFormat/>
    <w:uiPriority w:val="0"/>
    <w:rPr>
      <w:color w:val="00349B"/>
    </w:rPr>
  </w:style>
  <w:style w:type="character" w:customStyle="1" w:styleId="91">
    <w:name w:val="r-time"/>
    <w:basedOn w:val="28"/>
    <w:autoRedefine/>
    <w:qFormat/>
    <w:uiPriority w:val="0"/>
    <w:rPr>
      <w:color w:val="B30000"/>
    </w:rPr>
  </w:style>
  <w:style w:type="character" w:customStyle="1" w:styleId="92">
    <w:name w:val="index-headcontent-0ccba"/>
    <w:basedOn w:val="28"/>
    <w:autoRedefine/>
    <w:qFormat/>
    <w:uiPriority w:val="0"/>
    <w:rPr>
      <w:vanish/>
    </w:rPr>
  </w:style>
  <w:style w:type="character" w:customStyle="1" w:styleId="93">
    <w:name w:val="index-name-935ff"/>
    <w:basedOn w:val="28"/>
    <w:autoRedefine/>
    <w:qFormat/>
    <w:uiPriority w:val="0"/>
    <w:rPr>
      <w:sz w:val="24"/>
      <w:szCs w:val="24"/>
    </w:rPr>
  </w:style>
  <w:style w:type="character" w:customStyle="1" w:styleId="94">
    <w:name w:val="hover36"/>
    <w:basedOn w:val="28"/>
    <w:autoRedefine/>
    <w:qFormat/>
    <w:uiPriority w:val="0"/>
    <w:rPr>
      <w:color w:val="1632EF"/>
      <w:u w:val="single"/>
    </w:rPr>
  </w:style>
  <w:style w:type="character" w:customStyle="1" w:styleId="95">
    <w:name w:val="hover37"/>
    <w:basedOn w:val="28"/>
    <w:autoRedefine/>
    <w:qFormat/>
    <w:uiPriority w:val="0"/>
    <w:rPr>
      <w:shd w:val="clear" w:color="auto" w:fill="F6F6F6"/>
    </w:rPr>
  </w:style>
  <w:style w:type="character" w:customStyle="1" w:styleId="96">
    <w:name w:val="hover38"/>
    <w:basedOn w:val="28"/>
    <w:autoRedefine/>
    <w:qFormat/>
    <w:uiPriority w:val="0"/>
    <w:rPr>
      <w:color w:val="3C88FF"/>
    </w:rPr>
  </w:style>
  <w:style w:type="character" w:customStyle="1" w:styleId="97">
    <w:name w:val="hover39"/>
    <w:basedOn w:val="28"/>
    <w:autoRedefine/>
    <w:qFormat/>
    <w:uiPriority w:val="0"/>
    <w:rPr>
      <w:color w:val="1632EF"/>
      <w:u w:val="single"/>
    </w:rPr>
  </w:style>
  <w:style w:type="character" w:customStyle="1" w:styleId="98">
    <w:name w:val="nth-child(1)1"/>
    <w:basedOn w:val="28"/>
    <w:autoRedefine/>
    <w:qFormat/>
    <w:uiPriority w:val="0"/>
  </w:style>
  <w:style w:type="character" w:customStyle="1" w:styleId="99">
    <w:name w:val="nth-child(1)2"/>
    <w:basedOn w:val="28"/>
    <w:autoRedefine/>
    <w:qFormat/>
    <w:uiPriority w:val="0"/>
  </w:style>
  <w:style w:type="character" w:customStyle="1" w:styleId="100">
    <w:name w:val="text"/>
    <w:basedOn w:val="28"/>
    <w:autoRedefine/>
    <w:qFormat/>
    <w:uiPriority w:val="0"/>
    <w:rPr>
      <w:color w:val="666666"/>
    </w:rPr>
  </w:style>
  <w:style w:type="character" w:customStyle="1" w:styleId="101">
    <w:name w:val="text1"/>
    <w:basedOn w:val="28"/>
    <w:autoRedefine/>
    <w:qFormat/>
    <w:uiPriority w:val="0"/>
    <w:rPr>
      <w:color w:val="666666"/>
    </w:rPr>
  </w:style>
  <w:style w:type="character" w:customStyle="1" w:styleId="102">
    <w:name w:val="back"/>
    <w:basedOn w:val="28"/>
    <w:autoRedefine/>
    <w:qFormat/>
    <w:uiPriority w:val="0"/>
    <w:rPr>
      <w:shd w:val="clear" w:color="auto" w:fill="111111"/>
    </w:rPr>
  </w:style>
  <w:style w:type="character" w:customStyle="1" w:styleId="103">
    <w:name w:val="back1"/>
    <w:basedOn w:val="28"/>
    <w:autoRedefine/>
    <w:qFormat/>
    <w:uiPriority w:val="0"/>
    <w:rPr>
      <w:shd w:val="clear" w:color="auto" w:fill="111111"/>
    </w:rPr>
  </w:style>
  <w:style w:type="character" w:customStyle="1" w:styleId="104">
    <w:name w:val="nth-child(1)"/>
    <w:basedOn w:val="28"/>
    <w:autoRedefine/>
    <w:qFormat/>
    <w:uiPriority w:val="0"/>
  </w:style>
  <w:style w:type="paragraph" w:customStyle="1" w:styleId="105">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styleId="106">
    <w:name w:val="List Paragraph"/>
    <w:basedOn w:val="1"/>
    <w:link w:val="140"/>
    <w:autoRedefine/>
    <w:qFormat/>
    <w:uiPriority w:val="0"/>
    <w:pPr>
      <w:ind w:firstLine="420" w:firstLineChars="200"/>
    </w:pPr>
  </w:style>
  <w:style w:type="paragraph" w:customStyle="1" w:styleId="107">
    <w:name w:val="p0"/>
    <w:basedOn w:val="1"/>
    <w:autoRedefine/>
    <w:qFormat/>
    <w:uiPriority w:val="0"/>
    <w:pPr>
      <w:widowControl/>
    </w:pPr>
    <w:rPr>
      <w:rFonts w:ascii="Calibri" w:hAnsi="Calibri" w:cs="宋体"/>
      <w:kern w:val="0"/>
      <w:szCs w:val="21"/>
    </w:rPr>
  </w:style>
  <w:style w:type="character" w:customStyle="1" w:styleId="108">
    <w:name w:val="正文文本 Char"/>
    <w:basedOn w:val="28"/>
    <w:link w:val="3"/>
    <w:autoRedefine/>
    <w:qFormat/>
    <w:uiPriority w:val="0"/>
    <w:rPr>
      <w:kern w:val="2"/>
      <w:sz w:val="21"/>
      <w:szCs w:val="24"/>
    </w:rPr>
  </w:style>
  <w:style w:type="character" w:customStyle="1" w:styleId="109">
    <w:name w:val="纯文本 Char"/>
    <w:basedOn w:val="28"/>
    <w:link w:val="15"/>
    <w:autoRedefine/>
    <w:qFormat/>
    <w:uiPriority w:val="99"/>
    <w:rPr>
      <w:rFonts w:hint="eastAsia" w:ascii="宋体" w:hAnsi="Courier New" w:eastAsia="宋体" w:cs="Times New Roman"/>
      <w:kern w:val="2"/>
      <w:sz w:val="21"/>
      <w:szCs w:val="24"/>
    </w:rPr>
  </w:style>
  <w:style w:type="character" w:customStyle="1" w:styleId="110">
    <w:name w:val="正文首行缩进 2 Char"/>
    <w:basedOn w:val="63"/>
    <w:link w:val="14"/>
    <w:autoRedefine/>
    <w:qFormat/>
    <w:uiPriority w:val="99"/>
    <w:rPr>
      <w:kern w:val="2"/>
      <w:sz w:val="21"/>
      <w:szCs w:val="24"/>
    </w:rPr>
  </w:style>
  <w:style w:type="character" w:customStyle="1" w:styleId="111">
    <w:name w:val="hover"/>
    <w:basedOn w:val="28"/>
    <w:autoRedefine/>
    <w:qFormat/>
    <w:uiPriority w:val="0"/>
    <w:rPr>
      <w:shd w:val="clear" w:color="auto" w:fill="EEEEEE"/>
    </w:rPr>
  </w:style>
  <w:style w:type="character" w:customStyle="1" w:styleId="112">
    <w:name w:val="old"/>
    <w:basedOn w:val="28"/>
    <w:autoRedefine/>
    <w:qFormat/>
    <w:uiPriority w:val="0"/>
    <w:rPr>
      <w:color w:val="999999"/>
    </w:rPr>
  </w:style>
  <w:style w:type="character" w:customStyle="1" w:styleId="113">
    <w:name w:val="hour_am"/>
    <w:basedOn w:val="28"/>
    <w:autoRedefine/>
    <w:qFormat/>
    <w:uiPriority w:val="0"/>
  </w:style>
  <w:style w:type="character" w:customStyle="1" w:styleId="114">
    <w:name w:val="hour_pm"/>
    <w:basedOn w:val="28"/>
    <w:autoRedefine/>
    <w:qFormat/>
    <w:uiPriority w:val="0"/>
  </w:style>
  <w:style w:type="character" w:customStyle="1" w:styleId="115">
    <w:name w:val="adalbumlist-btn-841bd"/>
    <w:basedOn w:val="28"/>
    <w:autoRedefine/>
    <w:qFormat/>
    <w:uiPriority w:val="0"/>
    <w:rPr>
      <w:color w:val="FFFFFF"/>
      <w:shd w:val="clear" w:color="auto" w:fill="3D91FF"/>
    </w:rPr>
  </w:style>
  <w:style w:type="character" w:customStyle="1" w:styleId="116">
    <w:name w:val="nth-child(1)3"/>
    <w:basedOn w:val="28"/>
    <w:autoRedefine/>
    <w:qFormat/>
    <w:uiPriority w:val="0"/>
  </w:style>
  <w:style w:type="character" w:customStyle="1" w:styleId="117">
    <w:name w:val="nth-child(6)"/>
    <w:basedOn w:val="28"/>
    <w:autoRedefine/>
    <w:qFormat/>
    <w:uiPriority w:val="0"/>
    <w:rPr>
      <w:color w:val="FFFFFF"/>
    </w:rPr>
  </w:style>
  <w:style w:type="character" w:customStyle="1" w:styleId="118">
    <w:name w:val="index-name-935ff1"/>
    <w:basedOn w:val="28"/>
    <w:autoRedefine/>
    <w:qFormat/>
    <w:uiPriority w:val="0"/>
    <w:rPr>
      <w:sz w:val="24"/>
      <w:szCs w:val="24"/>
    </w:rPr>
  </w:style>
  <w:style w:type="character" w:customStyle="1" w:styleId="119">
    <w:name w:val="nth-child(2)"/>
    <w:basedOn w:val="28"/>
    <w:autoRedefine/>
    <w:qFormat/>
    <w:uiPriority w:val="0"/>
  </w:style>
  <w:style w:type="character" w:customStyle="1" w:styleId="120">
    <w:name w:val="nth-child(2)1"/>
    <w:basedOn w:val="28"/>
    <w:autoRedefine/>
    <w:qFormat/>
    <w:uiPriority w:val="0"/>
  </w:style>
  <w:style w:type="character" w:customStyle="1" w:styleId="121">
    <w:name w:val="hover43"/>
    <w:basedOn w:val="28"/>
    <w:autoRedefine/>
    <w:qFormat/>
    <w:uiPriority w:val="0"/>
    <w:rPr>
      <w:color w:val="1632EF"/>
      <w:u w:val="single"/>
    </w:rPr>
  </w:style>
  <w:style w:type="character" w:customStyle="1" w:styleId="122">
    <w:name w:val="hover44"/>
    <w:basedOn w:val="28"/>
    <w:autoRedefine/>
    <w:qFormat/>
    <w:uiPriority w:val="0"/>
    <w:rPr>
      <w:u w:val="none"/>
    </w:rPr>
  </w:style>
  <w:style w:type="character" w:customStyle="1" w:styleId="123">
    <w:name w:val="hover45"/>
    <w:basedOn w:val="28"/>
    <w:autoRedefine/>
    <w:qFormat/>
    <w:uiPriority w:val="0"/>
    <w:rPr>
      <w:shd w:val="clear" w:color="auto" w:fill="F6F6F6"/>
    </w:rPr>
  </w:style>
  <w:style w:type="character" w:customStyle="1" w:styleId="124">
    <w:name w:val="hover46"/>
    <w:basedOn w:val="28"/>
    <w:autoRedefine/>
    <w:qFormat/>
    <w:uiPriority w:val="0"/>
    <w:rPr>
      <w:color w:val="1632EF"/>
      <w:u w:val="single"/>
    </w:rPr>
  </w:style>
  <w:style w:type="character" w:customStyle="1" w:styleId="125">
    <w:name w:val="hover47"/>
    <w:basedOn w:val="28"/>
    <w:autoRedefine/>
    <w:qFormat/>
    <w:uiPriority w:val="0"/>
    <w:rPr>
      <w:color w:val="3C88FF"/>
    </w:rPr>
  </w:style>
  <w:style w:type="character" w:customStyle="1" w:styleId="126">
    <w:name w:val="hover48"/>
    <w:basedOn w:val="28"/>
    <w:autoRedefine/>
    <w:qFormat/>
    <w:uiPriority w:val="0"/>
    <w:rPr>
      <w:color w:val="3C88FF"/>
    </w:rPr>
  </w:style>
  <w:style w:type="character" w:customStyle="1" w:styleId="127">
    <w:name w:val="nth-child(5)"/>
    <w:basedOn w:val="28"/>
    <w:autoRedefine/>
    <w:qFormat/>
    <w:uiPriority w:val="0"/>
    <w:rPr>
      <w:color w:val="666666"/>
    </w:rPr>
  </w:style>
  <w:style w:type="character" w:customStyle="1" w:styleId="128">
    <w:name w:val="nth-child(5)1"/>
    <w:basedOn w:val="28"/>
    <w:autoRedefine/>
    <w:qFormat/>
    <w:uiPriority w:val="0"/>
    <w:rPr>
      <w:color w:val="666666"/>
    </w:rPr>
  </w:style>
  <w:style w:type="character" w:customStyle="1" w:styleId="129">
    <w:name w:val="nth-child(3)"/>
    <w:basedOn w:val="28"/>
    <w:autoRedefine/>
    <w:qFormat/>
    <w:uiPriority w:val="0"/>
    <w:rPr>
      <w:color w:val="000000"/>
    </w:rPr>
  </w:style>
  <w:style w:type="character" w:customStyle="1" w:styleId="130">
    <w:name w:val="nth-child(3)1"/>
    <w:basedOn w:val="28"/>
    <w:autoRedefine/>
    <w:qFormat/>
    <w:uiPriority w:val="0"/>
    <w:rPr>
      <w:color w:val="222222"/>
    </w:rPr>
  </w:style>
  <w:style w:type="character" w:customStyle="1" w:styleId="131">
    <w:name w:val="nth-child(4)"/>
    <w:basedOn w:val="28"/>
    <w:autoRedefine/>
    <w:qFormat/>
    <w:uiPriority w:val="0"/>
    <w:rPr>
      <w:color w:val="222222"/>
    </w:rPr>
  </w:style>
  <w:style w:type="character" w:customStyle="1" w:styleId="132">
    <w:name w:val="nth-child(4)1"/>
    <w:basedOn w:val="28"/>
    <w:autoRedefine/>
    <w:qFormat/>
    <w:uiPriority w:val="0"/>
    <w:rPr>
      <w:color w:val="222222"/>
    </w:rPr>
  </w:style>
  <w:style w:type="character" w:customStyle="1" w:styleId="133">
    <w:name w:val="before8"/>
    <w:basedOn w:val="28"/>
    <w:autoRedefine/>
    <w:qFormat/>
    <w:uiPriority w:val="0"/>
    <w:rPr>
      <w:shd w:val="clear" w:color="auto" w:fill="EEEEEE"/>
    </w:rPr>
  </w:style>
  <w:style w:type="character" w:customStyle="1" w:styleId="134">
    <w:name w:val="adalbumlist-album_ads_tip-3c9b7"/>
    <w:basedOn w:val="28"/>
    <w:autoRedefine/>
    <w:qFormat/>
    <w:uiPriority w:val="0"/>
    <w:rPr>
      <w:color w:val="FFFFFF"/>
    </w:rPr>
  </w:style>
  <w:style w:type="character" w:customStyle="1" w:styleId="135">
    <w:name w:val="nth-child(1)4"/>
    <w:basedOn w:val="28"/>
    <w:autoRedefine/>
    <w:qFormat/>
    <w:uiPriority w:val="0"/>
    <w:rPr>
      <w:color w:val="999999"/>
    </w:rPr>
  </w:style>
  <w:style w:type="character" w:customStyle="1" w:styleId="136">
    <w:name w:val="nth-child(1)5"/>
    <w:basedOn w:val="28"/>
    <w:autoRedefine/>
    <w:qFormat/>
    <w:uiPriority w:val="0"/>
  </w:style>
  <w:style w:type="character" w:customStyle="1" w:styleId="137">
    <w:name w:val="before6"/>
    <w:basedOn w:val="28"/>
    <w:autoRedefine/>
    <w:qFormat/>
    <w:uiPriority w:val="0"/>
    <w:rPr>
      <w:shd w:val="clear" w:color="auto" w:fill="EEEEEE"/>
    </w:rPr>
  </w:style>
  <w:style w:type="paragraph" w:customStyle="1" w:styleId="138">
    <w:name w:val="表格内容"/>
    <w:basedOn w:val="1"/>
    <w:autoRedefine/>
    <w:qFormat/>
    <w:uiPriority w:val="2"/>
    <w:pPr>
      <w:widowControl/>
      <w:jc w:val="center"/>
    </w:pPr>
    <w:rPr>
      <w:kern w:val="0"/>
      <w:sz w:val="24"/>
      <w:szCs w:val="28"/>
    </w:rPr>
  </w:style>
  <w:style w:type="paragraph" w:customStyle="1" w:styleId="139">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0">
    <w:name w:val="列出段落 Char"/>
    <w:basedOn w:val="28"/>
    <w:link w:val="106"/>
    <w:autoRedefine/>
    <w:qFormat/>
    <w:uiPriority w:val="0"/>
    <w:rPr>
      <w:kern w:val="2"/>
      <w:sz w:val="21"/>
      <w:szCs w:val="24"/>
    </w:rPr>
  </w:style>
  <w:style w:type="paragraph" w:customStyle="1" w:styleId="141">
    <w:name w:val="Body text|1"/>
    <w:basedOn w:val="1"/>
    <w:autoRedefine/>
    <w:qFormat/>
    <w:uiPriority w:val="0"/>
    <w:pPr>
      <w:spacing w:line="331" w:lineRule="auto"/>
      <w:ind w:firstLine="400"/>
    </w:pPr>
    <w:rPr>
      <w:rFonts w:ascii="宋体" w:hAnsi="宋体" w:cs="宋体"/>
      <w:sz w:val="22"/>
      <w:szCs w:val="22"/>
      <w:lang w:val="zh-TW" w:eastAsia="zh-TW" w:bidi="zh-TW"/>
    </w:rPr>
  </w:style>
  <w:style w:type="paragraph" w:customStyle="1" w:styleId="142">
    <w:name w:val="Table Paragraph"/>
    <w:basedOn w:val="1"/>
    <w:autoRedefine/>
    <w:qFormat/>
    <w:uiPriority w:val="1"/>
    <w:rPr>
      <w:rFonts w:ascii="宋体" w:hAnsi="宋体" w:cs="宋体"/>
      <w:lang w:eastAsia="en-US" w:bidi="en-US"/>
    </w:rPr>
  </w:style>
  <w:style w:type="paragraph" w:customStyle="1" w:styleId="143">
    <w:name w:val="Default"/>
    <w:qFormat/>
    <w:uiPriority w:val="0"/>
    <w:pPr>
      <w:widowControl w:val="0"/>
      <w:autoSpaceDE w:val="0"/>
      <w:autoSpaceDN w:val="0"/>
      <w:adjustRightInd w:val="0"/>
    </w:pPr>
    <w:rPr>
      <w:rFonts w:ascii="宋体_x0003_...销." w:hAnsi="Times New Roman" w:eastAsia="宋体_x0003_...销." w:cs="宋体_x0003_...销."/>
      <w:color w:val="000000"/>
      <w:sz w:val="24"/>
      <w:szCs w:val="24"/>
      <w:lang w:val="en-US" w:eastAsia="zh-CN" w:bidi="ar-SA"/>
    </w:rPr>
  </w:style>
  <w:style w:type="table" w:customStyle="1" w:styleId="144">
    <w:name w:val="Table Normal"/>
    <w:unhideWhenUsed/>
    <w:qFormat/>
    <w:uiPriority w:val="0"/>
    <w:tblPr>
      <w:tblCellMar>
        <w:top w:w="0" w:type="dxa"/>
        <w:left w:w="0" w:type="dxa"/>
        <w:bottom w:w="0" w:type="dxa"/>
        <w:right w:w="0" w:type="dxa"/>
      </w:tblCellMar>
    </w:tblPr>
  </w:style>
  <w:style w:type="paragraph" w:customStyle="1" w:styleId="145">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font11"/>
    <w:basedOn w:val="28"/>
    <w:qFormat/>
    <w:uiPriority w:val="0"/>
    <w:rPr>
      <w:rFonts w:hint="eastAsia" w:ascii="宋体" w:hAnsi="宋体" w:eastAsia="宋体" w:cs="宋体"/>
      <w:color w:val="000000"/>
      <w:sz w:val="24"/>
      <w:szCs w:val="24"/>
      <w:u w:val="none"/>
    </w:rPr>
  </w:style>
  <w:style w:type="paragraph" w:customStyle="1" w:styleId="147">
    <w:name w:val="[Normal]"/>
    <w:qFormat/>
    <w:uiPriority w:val="99"/>
    <w:rPr>
      <w:rFonts w:ascii="宋体" w:hAnsi="宋体" w:eastAsia="宋体" w:cs="Times New Roman"/>
      <w:sz w:val="24"/>
      <w:szCs w:val="22"/>
      <w:lang w:val="zh-CN" w:eastAsia="zh-CN" w:bidi="ar-SA"/>
    </w:rPr>
  </w:style>
  <w:style w:type="paragraph" w:customStyle="1" w:styleId="148">
    <w:name w:val="无间隔2"/>
    <w:qFormat/>
    <w:uiPriority w:val="0"/>
    <w:rPr>
      <w:rFonts w:ascii="Calibri" w:hAnsi="Calibri" w:eastAsia="宋体" w:cs="Times New Roman"/>
      <w:sz w:val="22"/>
      <w:szCs w:val="22"/>
      <w:lang w:val="en-US" w:eastAsia="en-US" w:bidi="ar-SA"/>
    </w:rPr>
  </w:style>
  <w:style w:type="paragraph" w:customStyle="1" w:styleId="149">
    <w:name w:val="表内文字"/>
    <w:basedOn w:val="1"/>
    <w:qFormat/>
    <w:uiPriority w:val="0"/>
    <w:pPr>
      <w:spacing w:line="500" w:lineRule="atLeast"/>
      <w:jc w:val="center"/>
    </w:pPr>
    <w:rPr>
      <w:rFonts w:ascii="Arial" w:hAnsi="Arial" w:eastAsia="楷体_GB2312"/>
      <w:sz w:val="28"/>
      <w:szCs w:val="22"/>
    </w:rPr>
  </w:style>
  <w:style w:type="paragraph" w:customStyle="1" w:styleId="150">
    <w:name w:val="No Spacing1"/>
    <w:qFormat/>
    <w:uiPriority w:val="99"/>
    <w:rPr>
      <w:rFonts w:ascii="Calibri" w:hAnsi="Calibri" w:eastAsia="宋体" w:cs="Times New Roman"/>
      <w:sz w:val="22"/>
      <w:szCs w:val="22"/>
      <w:lang w:val="en-US" w:eastAsia="en-US" w:bidi="ar-SA"/>
    </w:rPr>
  </w:style>
  <w:style w:type="character" w:customStyle="1" w:styleId="151">
    <w:name w:val="NormalCharacter"/>
    <w:semiHidden/>
    <w:qFormat/>
    <w:uiPriority w:val="0"/>
  </w:style>
  <w:style w:type="paragraph" w:customStyle="1" w:styleId="152">
    <w:name w:val="￥正文"/>
    <w:basedOn w:val="1"/>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textRotate="1"/>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B5D77-7C8D-4095-81D6-0EBD77E1126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94</Pages>
  <Words>19496</Words>
  <Characters>20627</Characters>
  <Lines>61</Lines>
  <Paragraphs>117</Paragraphs>
  <TotalTime>1</TotalTime>
  <ScaleCrop>false</ScaleCrop>
  <LinksUpToDate>false</LinksUpToDate>
  <CharactersWithSpaces>20804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2023-04-13T07:02:00Z</dcterms:created>
  <dc:creator>吴珊珊</dc:creator>
  <cp:lastModifiedBy>什么样的胖子</cp:lastModifiedBy>
  <cp:lastPrinted>2023-07-19T02:20:00Z</cp:lastPrinted>
  <dcterms:modified xsi:type="dcterms:W3CDTF">2024-10-22T07:19:43Z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6C90B7D4553043AE866C55D174C1C3C1</vt:lpwstr>
  </property>
</Properties>
</file>