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5D665">
      <w:pPr>
        <w:keepNext w:val="0"/>
        <w:keepLines w:val="0"/>
        <w:pageBreakBefore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left="0" w:right="0" w:firstLine="0" w:firstLineChars="0"/>
        <w:jc w:val="center"/>
        <w:textAlignment w:val="auto"/>
        <w:rPr>
          <w:rFonts w:hint="eastAsia" w:ascii="宋体"/>
          <w:b/>
          <w:color w:val="auto"/>
          <w:kern w:val="0"/>
          <w:sz w:val="52"/>
          <w:szCs w:val="52"/>
          <w:highlight w:val="none"/>
        </w:rPr>
      </w:pPr>
      <w:r>
        <w:rPr>
          <w:rFonts w:hint="eastAsia" w:ascii="宋体" w:hAnsi="宋体" w:eastAsia="宋体" w:cs="宋体"/>
          <w:b/>
          <w:kern w:val="0"/>
          <w:sz w:val="32"/>
          <w:highlight w:val="none"/>
          <w:lang w:val="en-US" w:eastAsia="zh-CN"/>
        </w:rPr>
        <w:drawing>
          <wp:inline distT="0" distB="0" distL="114300" distR="114300">
            <wp:extent cx="2647950" cy="2038350"/>
            <wp:effectExtent l="0" t="0" r="0" b="0"/>
            <wp:docPr id="1" name="图片 1" descr="440d810284c0c45987a283c39afb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0d810284c0c45987a283c39afbb87"/>
                    <pic:cNvPicPr>
                      <a:picLocks noChangeAspect="1"/>
                    </pic:cNvPicPr>
                  </pic:nvPicPr>
                  <pic:blipFill>
                    <a:blip r:embed="rId8"/>
                    <a:stretch>
                      <a:fillRect/>
                    </a:stretch>
                  </pic:blipFill>
                  <pic:spPr>
                    <a:xfrm>
                      <a:off x="0" y="0"/>
                      <a:ext cx="2647950" cy="2038350"/>
                    </a:xfrm>
                    <a:prstGeom prst="rect">
                      <a:avLst/>
                    </a:prstGeom>
                    <a:noFill/>
                    <a:ln>
                      <a:noFill/>
                    </a:ln>
                  </pic:spPr>
                </pic:pic>
              </a:graphicData>
            </a:graphic>
          </wp:inline>
        </w:drawing>
      </w:r>
    </w:p>
    <w:p w14:paraId="2CAD90BD">
      <w:pPr>
        <w:keepNext w:val="0"/>
        <w:keepLines w:val="0"/>
        <w:pageBreakBefore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left="0" w:right="0" w:firstLine="0" w:firstLineChars="0"/>
        <w:jc w:val="center"/>
        <w:textAlignment w:val="auto"/>
        <w:rPr>
          <w:rFonts w:ascii="宋体"/>
          <w:b/>
          <w:color w:val="auto"/>
          <w:kern w:val="0"/>
          <w:sz w:val="52"/>
          <w:szCs w:val="52"/>
          <w:highlight w:val="none"/>
        </w:rPr>
      </w:pPr>
      <w:r>
        <w:rPr>
          <w:rFonts w:hint="eastAsia" w:ascii="宋体"/>
          <w:b/>
          <w:color w:val="auto"/>
          <w:kern w:val="0"/>
          <w:sz w:val="52"/>
          <w:szCs w:val="52"/>
          <w:highlight w:val="none"/>
        </w:rPr>
        <w:t>政府采购招标文件</w:t>
      </w:r>
    </w:p>
    <w:p w14:paraId="26EC686D">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left="0" w:right="0" w:firstLine="0" w:firstLineChars="0"/>
        <w:jc w:val="center"/>
        <w:textAlignment w:val="auto"/>
        <w:rPr>
          <w:rFonts w:ascii="宋体"/>
          <w:color w:val="auto"/>
          <w:kern w:val="0"/>
          <w:sz w:val="24"/>
          <w:highlight w:val="none"/>
        </w:rPr>
      </w:pPr>
      <w:r>
        <w:rPr>
          <w:rFonts w:hint="eastAsia" w:ascii="宋体"/>
          <w:b/>
          <w:color w:val="auto"/>
          <w:sz w:val="36"/>
          <w:highlight w:val="none"/>
        </w:rPr>
        <w:t>（线上电子招投标）</w:t>
      </w:r>
    </w:p>
    <w:p w14:paraId="6A61D835">
      <w:pPr>
        <w:keepNext w:val="0"/>
        <w:keepLines w:val="0"/>
        <w:pageBreakBefore w:val="0"/>
        <w:tabs>
          <w:tab w:val="left" w:pos="7050"/>
        </w:tabs>
        <w:kinsoku/>
        <w:wordWrap/>
        <w:overflowPunct/>
        <w:topLinePunct w:val="0"/>
        <w:autoSpaceDE w:val="0"/>
        <w:autoSpaceDN w:val="0"/>
        <w:bidi w:val="0"/>
        <w:adjustRightInd w:val="0"/>
        <w:spacing w:line="360" w:lineRule="auto"/>
        <w:ind w:left="0" w:right="0" w:firstLine="0" w:firstLineChars="0"/>
        <w:jc w:val="center"/>
        <w:textAlignment w:val="auto"/>
        <w:rPr>
          <w:rFonts w:hint="eastAsia" w:ascii="宋体"/>
          <w:color w:val="auto"/>
          <w:kern w:val="0"/>
          <w:sz w:val="28"/>
          <w:highlight w:val="none"/>
        </w:rPr>
      </w:pPr>
    </w:p>
    <w:p w14:paraId="36FF0D23">
      <w:pPr>
        <w:keepNext w:val="0"/>
        <w:keepLines w:val="0"/>
        <w:pageBreakBefore w:val="0"/>
        <w:tabs>
          <w:tab w:val="left" w:pos="7050"/>
        </w:tabs>
        <w:kinsoku/>
        <w:wordWrap/>
        <w:overflowPunct/>
        <w:topLinePunct w:val="0"/>
        <w:autoSpaceDE w:val="0"/>
        <w:autoSpaceDN w:val="0"/>
        <w:bidi w:val="0"/>
        <w:adjustRightInd w:val="0"/>
        <w:spacing w:line="360" w:lineRule="auto"/>
        <w:ind w:left="0" w:right="0" w:firstLine="0" w:firstLineChars="0"/>
        <w:jc w:val="center"/>
        <w:textAlignment w:val="auto"/>
        <w:rPr>
          <w:rFonts w:hint="eastAsia" w:ascii="宋体"/>
          <w:color w:val="auto"/>
          <w:kern w:val="0"/>
          <w:sz w:val="28"/>
          <w:highlight w:val="none"/>
          <w:u w:val="none"/>
        </w:rPr>
      </w:pPr>
      <w:r>
        <w:rPr>
          <w:rFonts w:hint="eastAsia" w:ascii="宋体"/>
          <w:color w:val="auto"/>
          <w:kern w:val="0"/>
          <w:sz w:val="28"/>
          <w:highlight w:val="none"/>
        </w:rPr>
        <w:t>项目编号：</w:t>
      </w:r>
      <w:r>
        <w:rPr>
          <w:rFonts w:hint="eastAsia" w:ascii="宋体"/>
          <w:color w:val="auto"/>
          <w:kern w:val="0"/>
          <w:sz w:val="28"/>
          <w:highlight w:val="none"/>
          <w:u w:val="none"/>
          <w:lang w:eastAsia="zh-CN"/>
        </w:rPr>
        <w:t>tzzy-2024013号</w:t>
      </w:r>
    </w:p>
    <w:p w14:paraId="257A32E5">
      <w:pPr>
        <w:pStyle w:val="42"/>
        <w:keepNext w:val="0"/>
        <w:keepLines w:val="0"/>
        <w:pageBreakBefore w:val="0"/>
        <w:kinsoku/>
        <w:wordWrap/>
        <w:overflowPunct/>
        <w:topLinePunct w:val="0"/>
        <w:bidi w:val="0"/>
        <w:ind w:left="0" w:right="0" w:firstLine="0" w:firstLineChars="0"/>
        <w:jc w:val="both"/>
        <w:textAlignment w:val="auto"/>
        <w:rPr>
          <w:rFonts w:hint="eastAsia" w:ascii="宋体"/>
          <w:color w:val="auto"/>
          <w:kern w:val="0"/>
          <w:sz w:val="28"/>
          <w:highlight w:val="none"/>
          <w:u w:val="none"/>
        </w:rPr>
      </w:pPr>
    </w:p>
    <w:p w14:paraId="77E5C36C">
      <w:pPr>
        <w:pStyle w:val="42"/>
        <w:keepNext w:val="0"/>
        <w:keepLines w:val="0"/>
        <w:pageBreakBefore w:val="0"/>
        <w:kinsoku/>
        <w:wordWrap/>
        <w:overflowPunct/>
        <w:topLinePunct w:val="0"/>
        <w:bidi w:val="0"/>
        <w:ind w:left="0" w:right="0" w:firstLine="0" w:firstLineChars="0"/>
        <w:jc w:val="center"/>
        <w:textAlignment w:val="auto"/>
        <w:rPr>
          <w:rFonts w:hint="eastAsia" w:ascii="宋体"/>
          <w:color w:val="auto"/>
          <w:kern w:val="0"/>
          <w:sz w:val="28"/>
          <w:highlight w:val="none"/>
          <w:u w:val="none"/>
        </w:rPr>
      </w:pPr>
    </w:p>
    <w:p w14:paraId="6204CD0F">
      <w:pPr>
        <w:pStyle w:val="42"/>
        <w:keepNext w:val="0"/>
        <w:keepLines w:val="0"/>
        <w:pageBreakBefore w:val="0"/>
        <w:kinsoku/>
        <w:wordWrap/>
        <w:overflowPunct/>
        <w:topLinePunct w:val="0"/>
        <w:bidi w:val="0"/>
        <w:ind w:left="0" w:right="0" w:firstLine="0" w:firstLineChars="0"/>
        <w:jc w:val="center"/>
        <w:textAlignment w:val="auto"/>
        <w:rPr>
          <w:rFonts w:hint="eastAsia" w:ascii="宋体"/>
          <w:color w:val="auto"/>
          <w:kern w:val="0"/>
          <w:sz w:val="28"/>
          <w:highlight w:val="none"/>
          <w:u w:val="none"/>
        </w:rPr>
      </w:pPr>
    </w:p>
    <w:p w14:paraId="50BC9A2C">
      <w:pPr>
        <w:keepNext w:val="0"/>
        <w:keepLines w:val="0"/>
        <w:pageBreakBefore w:val="0"/>
        <w:kinsoku/>
        <w:wordWrap/>
        <w:overflowPunct/>
        <w:topLinePunct w:val="0"/>
        <w:autoSpaceDE w:val="0"/>
        <w:autoSpaceDN w:val="0"/>
        <w:bidi w:val="0"/>
        <w:adjustRightInd w:val="0"/>
        <w:spacing w:line="360" w:lineRule="auto"/>
        <w:ind w:left="0" w:right="0" w:firstLine="280" w:firstLineChars="100"/>
        <w:jc w:val="both"/>
        <w:textAlignment w:val="auto"/>
        <w:rPr>
          <w:rFonts w:hint="eastAsia" w:ascii="宋体"/>
          <w:color w:val="auto"/>
          <w:kern w:val="0"/>
          <w:sz w:val="28"/>
          <w:highlight w:val="none"/>
          <w:lang w:eastAsia="zh-CN"/>
        </w:rPr>
      </w:pPr>
      <w:r>
        <w:rPr>
          <w:rFonts w:hint="eastAsia" w:ascii="宋体"/>
          <w:color w:val="auto"/>
          <w:kern w:val="0"/>
          <w:sz w:val="28"/>
          <w:highlight w:val="none"/>
        </w:rPr>
        <w:t>采购项目：</w:t>
      </w:r>
      <w:r>
        <w:rPr>
          <w:rFonts w:hint="eastAsia" w:ascii="宋体"/>
          <w:color w:val="auto"/>
          <w:kern w:val="0"/>
          <w:sz w:val="28"/>
          <w:highlight w:val="none"/>
          <w:lang w:eastAsia="zh-CN"/>
        </w:rPr>
        <w:t>海虹街道排水设施排查养护项目</w:t>
      </w:r>
    </w:p>
    <w:p w14:paraId="0AE59201">
      <w:pPr>
        <w:keepNext w:val="0"/>
        <w:keepLines w:val="0"/>
        <w:pageBreakBefore w:val="0"/>
        <w:kinsoku/>
        <w:wordWrap/>
        <w:overflowPunct/>
        <w:topLinePunct w:val="0"/>
        <w:autoSpaceDE w:val="0"/>
        <w:autoSpaceDN w:val="0"/>
        <w:bidi w:val="0"/>
        <w:adjustRightInd w:val="0"/>
        <w:spacing w:line="360" w:lineRule="auto"/>
        <w:ind w:left="0" w:right="0" w:firstLine="280" w:firstLineChars="100"/>
        <w:jc w:val="both"/>
        <w:textAlignment w:val="auto"/>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lang w:eastAsia="zh-CN"/>
        </w:rPr>
        <w:t>台州市椒江区人民政府海虹街道办事处</w:t>
      </w:r>
      <w:r>
        <w:rPr>
          <w:rFonts w:hint="eastAsia" w:ascii="宋体"/>
          <w:color w:val="auto"/>
          <w:kern w:val="0"/>
          <w:sz w:val="28"/>
          <w:highlight w:val="none"/>
        </w:rPr>
        <w:t>（盖章）</w:t>
      </w:r>
    </w:p>
    <w:p w14:paraId="7121D1DA">
      <w:pPr>
        <w:pStyle w:val="42"/>
        <w:keepNext w:val="0"/>
        <w:keepLines w:val="0"/>
        <w:pageBreakBefore w:val="0"/>
        <w:kinsoku/>
        <w:wordWrap/>
        <w:overflowPunct/>
        <w:topLinePunct w:val="0"/>
        <w:bidi w:val="0"/>
        <w:ind w:left="0" w:right="0" w:firstLine="0" w:firstLineChars="0"/>
        <w:jc w:val="center"/>
        <w:textAlignment w:val="auto"/>
        <w:rPr>
          <w:rFonts w:ascii="宋体"/>
          <w:color w:val="auto"/>
          <w:kern w:val="0"/>
          <w:sz w:val="28"/>
          <w:highlight w:val="none"/>
        </w:rPr>
      </w:pPr>
    </w:p>
    <w:p w14:paraId="2AD12323">
      <w:pPr>
        <w:pStyle w:val="42"/>
        <w:keepNext w:val="0"/>
        <w:keepLines w:val="0"/>
        <w:pageBreakBefore w:val="0"/>
        <w:kinsoku/>
        <w:wordWrap/>
        <w:overflowPunct/>
        <w:topLinePunct w:val="0"/>
        <w:bidi w:val="0"/>
        <w:ind w:left="0" w:right="0" w:firstLine="0" w:firstLineChars="0"/>
        <w:jc w:val="center"/>
        <w:textAlignment w:val="auto"/>
        <w:rPr>
          <w:rFonts w:ascii="宋体"/>
          <w:color w:val="auto"/>
          <w:kern w:val="0"/>
          <w:sz w:val="28"/>
          <w:highlight w:val="none"/>
        </w:rPr>
      </w:pPr>
    </w:p>
    <w:p w14:paraId="14E967FC">
      <w:pPr>
        <w:pStyle w:val="42"/>
        <w:keepNext w:val="0"/>
        <w:keepLines w:val="0"/>
        <w:pageBreakBefore w:val="0"/>
        <w:kinsoku/>
        <w:wordWrap/>
        <w:overflowPunct/>
        <w:topLinePunct w:val="0"/>
        <w:bidi w:val="0"/>
        <w:ind w:left="0" w:right="0" w:firstLine="0" w:firstLineChars="0"/>
        <w:jc w:val="center"/>
        <w:textAlignment w:val="auto"/>
        <w:rPr>
          <w:rFonts w:ascii="宋体"/>
          <w:color w:val="auto"/>
          <w:kern w:val="0"/>
          <w:sz w:val="28"/>
          <w:highlight w:val="none"/>
        </w:rPr>
      </w:pPr>
    </w:p>
    <w:p w14:paraId="79F8A8F7">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240" w:lineRule="atLeast"/>
        <w:ind w:left="0" w:right="0" w:firstLine="0" w:firstLineChars="0"/>
        <w:jc w:val="center"/>
        <w:textAlignment w:val="auto"/>
        <w:rPr>
          <w:rFonts w:ascii="宋体"/>
          <w:color w:val="auto"/>
          <w:kern w:val="0"/>
          <w:sz w:val="28"/>
          <w:highlight w:val="none"/>
        </w:rPr>
      </w:pPr>
    </w:p>
    <w:p w14:paraId="30660A52">
      <w:pPr>
        <w:pStyle w:val="18"/>
      </w:pPr>
    </w:p>
    <w:p w14:paraId="61A77EC7">
      <w:pPr>
        <w:pStyle w:val="8"/>
        <w:keepNext w:val="0"/>
        <w:keepLines w:val="0"/>
        <w:pageBreakBefore w:val="0"/>
        <w:kinsoku/>
        <w:wordWrap/>
        <w:overflowPunct/>
        <w:topLinePunct w:val="0"/>
        <w:bidi w:val="0"/>
        <w:ind w:left="0" w:right="0" w:firstLine="0" w:firstLineChars="0"/>
        <w:jc w:val="center"/>
        <w:textAlignment w:val="auto"/>
        <w:rPr>
          <w:color w:val="auto"/>
          <w:highlight w:val="none"/>
        </w:rPr>
      </w:pPr>
    </w:p>
    <w:p w14:paraId="1FC5E087">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240" w:lineRule="atLeast"/>
        <w:ind w:left="0" w:right="0" w:firstLine="0" w:firstLineChars="0"/>
        <w:jc w:val="center"/>
        <w:textAlignment w:val="auto"/>
        <w:rPr>
          <w:rFonts w:hint="eastAsia" w:ascii="宋体" w:eastAsia="宋体"/>
          <w:color w:val="auto"/>
          <w:kern w:val="0"/>
          <w:sz w:val="28"/>
          <w:highlight w:val="none"/>
          <w:lang w:val="en-US" w:eastAsia="zh-CN"/>
        </w:rPr>
      </w:pPr>
      <w:r>
        <w:rPr>
          <w:rFonts w:hint="eastAsia" w:ascii="宋体"/>
          <w:color w:val="auto"/>
          <w:kern w:val="0"/>
          <w:sz w:val="28"/>
          <w:highlight w:val="none"/>
        </w:rPr>
        <w:t>招标代理：台州中亿工程管理有限公司（盖章）</w:t>
      </w:r>
    </w:p>
    <w:p w14:paraId="596EEC86">
      <w:pPr>
        <w:keepNext w:val="0"/>
        <w:keepLines w:val="0"/>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left="0" w:right="0" w:firstLine="0" w:firstLineChars="0"/>
        <w:jc w:val="center"/>
        <w:textAlignment w:val="auto"/>
        <w:rPr>
          <w:rFonts w:ascii="宋体"/>
          <w:color w:val="auto"/>
          <w:kern w:val="0"/>
          <w:sz w:val="28"/>
          <w:highlight w:val="none"/>
        </w:rPr>
      </w:pPr>
      <w:r>
        <w:rPr>
          <w:rFonts w:hint="eastAsia" w:ascii="宋体"/>
          <w:color w:val="auto"/>
          <w:kern w:val="0"/>
          <w:sz w:val="28"/>
          <w:highlight w:val="none"/>
        </w:rPr>
        <w:t>202</w:t>
      </w:r>
      <w:r>
        <w:rPr>
          <w:rFonts w:hint="eastAsia" w:ascii="宋体"/>
          <w:color w:val="auto"/>
          <w:kern w:val="0"/>
          <w:sz w:val="28"/>
          <w:highlight w:val="none"/>
          <w:lang w:val="en-US" w:eastAsia="zh-CN"/>
        </w:rPr>
        <w:t>4</w:t>
      </w:r>
      <w:r>
        <w:rPr>
          <w:rFonts w:hint="eastAsia" w:ascii="宋体"/>
          <w:color w:val="auto"/>
          <w:kern w:val="0"/>
          <w:sz w:val="28"/>
          <w:highlight w:val="none"/>
        </w:rPr>
        <w:t>年</w:t>
      </w:r>
      <w:r>
        <w:rPr>
          <w:rFonts w:hint="eastAsia" w:ascii="宋体"/>
          <w:color w:val="auto"/>
          <w:kern w:val="0"/>
          <w:sz w:val="28"/>
          <w:highlight w:val="none"/>
          <w:lang w:val="en-US" w:eastAsia="zh-CN"/>
        </w:rPr>
        <w:t>09</w:t>
      </w:r>
      <w:r>
        <w:rPr>
          <w:rFonts w:hint="eastAsia" w:ascii="宋体"/>
          <w:color w:val="auto"/>
          <w:kern w:val="0"/>
          <w:sz w:val="28"/>
          <w:highlight w:val="none"/>
        </w:rPr>
        <w:t>月</w:t>
      </w:r>
    </w:p>
    <w:p w14:paraId="116B5D27">
      <w:pPr>
        <w:widowControl/>
        <w:jc w:val="left"/>
        <w:rPr>
          <w:rFonts w:ascii="宋体" w:cs="Arial"/>
          <w:b/>
          <w:bCs/>
          <w:color w:val="auto"/>
          <w:sz w:val="36"/>
          <w:szCs w:val="36"/>
          <w:highlight w:val="none"/>
        </w:rPr>
      </w:pPr>
    </w:p>
    <w:p w14:paraId="4A0FF131">
      <w:pPr>
        <w:widowControl/>
        <w:jc w:val="left"/>
        <w:rPr>
          <w:rFonts w:ascii="宋体" w:cs="Arial"/>
          <w:b/>
          <w:bCs/>
          <w:color w:val="auto"/>
          <w:sz w:val="36"/>
          <w:szCs w:val="36"/>
          <w:highlight w:val="none"/>
        </w:rPr>
      </w:pPr>
    </w:p>
    <w:p w14:paraId="347D72B8">
      <w:pPr>
        <w:pStyle w:val="18"/>
      </w:pPr>
    </w:p>
    <w:p w14:paraId="2C53A930">
      <w:pPr>
        <w:jc w:val="center"/>
        <w:rPr>
          <w:rFonts w:ascii="宋体" w:cs="Arial"/>
          <w:b/>
          <w:bCs/>
          <w:color w:val="auto"/>
          <w:sz w:val="36"/>
          <w:szCs w:val="36"/>
          <w:highlight w:val="none"/>
        </w:rPr>
      </w:pPr>
      <w:r>
        <w:rPr>
          <w:rFonts w:hint="eastAsia" w:ascii="宋体" w:cs="Arial"/>
          <w:b/>
          <w:bCs/>
          <w:color w:val="auto"/>
          <w:sz w:val="36"/>
          <w:szCs w:val="36"/>
          <w:highlight w:val="none"/>
        </w:rPr>
        <w:t>目    录</w:t>
      </w:r>
    </w:p>
    <w:p w14:paraId="3C192D9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b/>
          <w:color w:val="auto"/>
          <w:sz w:val="36"/>
          <w:highlight w:val="none"/>
        </w:rPr>
      </w:pPr>
    </w:p>
    <w:sdt>
      <w:sdtPr>
        <w:rPr>
          <w:rFonts w:ascii="Times New Roman" w:hAnsi="Times New Roman"/>
          <w:b w:val="0"/>
          <w:bCs w:val="0"/>
          <w:color w:val="auto"/>
          <w:kern w:val="2"/>
          <w:sz w:val="21"/>
          <w:szCs w:val="24"/>
          <w:highlight w:val="none"/>
          <w:lang w:val="zh-CN"/>
        </w:rPr>
        <w:id w:val="68585372"/>
        <w:docPartObj>
          <w:docPartGallery w:val="Table of Contents"/>
          <w:docPartUnique/>
        </w:docPartObj>
      </w:sdtPr>
      <w:sdtEndPr>
        <w:rPr>
          <w:rFonts w:ascii="Times New Roman" w:hAnsi="Times New Roman"/>
          <w:b w:val="0"/>
          <w:bCs w:val="0"/>
          <w:color w:val="auto"/>
          <w:kern w:val="2"/>
          <w:sz w:val="21"/>
          <w:szCs w:val="24"/>
          <w:highlight w:val="none"/>
          <w:lang w:val="en-US"/>
        </w:rPr>
      </w:sdtEndPr>
      <w:sdtContent>
        <w:p w14:paraId="4B5D8D2C">
          <w:pPr>
            <w:pStyle w:val="84"/>
            <w:rPr>
              <w:color w:val="auto"/>
              <w:highlight w:val="none"/>
            </w:rPr>
          </w:pPr>
        </w:p>
        <w:p w14:paraId="0B5341DD">
          <w:pPr>
            <w:pStyle w:val="28"/>
            <w:tabs>
              <w:tab w:val="right" w:leader="dot" w:pos="8306"/>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"_Toc2950" </w:instrText>
          </w:r>
          <w:r>
            <w:rPr>
              <w:color w:val="auto"/>
              <w:highlight w:val="none"/>
            </w:rPr>
            <w:fldChar w:fldCharType="separate"/>
          </w:r>
          <w:r>
            <w:rPr>
              <w:rFonts w:hint="eastAsia" w:ascii="宋体"/>
              <w:color w:val="auto"/>
              <w:kern w:val="0"/>
              <w:szCs w:val="36"/>
              <w:highlight w:val="none"/>
            </w:rPr>
            <w:t>第一章  公开</w:t>
          </w:r>
          <w:r>
            <w:rPr>
              <w:rFonts w:hint="eastAsia" w:ascii="宋体"/>
              <w:color w:val="auto"/>
              <w:szCs w:val="36"/>
              <w:highlight w:val="none"/>
            </w:rPr>
            <w:t>招标采购公告</w:t>
          </w:r>
          <w:r>
            <w:rPr>
              <w:color w:val="auto"/>
              <w:highlight w:val="none"/>
            </w:rPr>
            <w:tab/>
          </w:r>
          <w:r>
            <w:rPr>
              <w:color w:val="auto"/>
              <w:highlight w:val="none"/>
            </w:rPr>
            <w:t>3</w:t>
          </w:r>
          <w:r>
            <w:rPr>
              <w:color w:val="auto"/>
              <w:highlight w:val="none"/>
            </w:rPr>
            <w:fldChar w:fldCharType="end"/>
          </w:r>
        </w:p>
        <w:p w14:paraId="7732D2B2">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"_Toc26425" </w:instrText>
          </w:r>
          <w:r>
            <w:rPr>
              <w:color w:val="auto"/>
              <w:highlight w:val="none"/>
            </w:rPr>
            <w:fldChar w:fldCharType="separate"/>
          </w:r>
          <w:r>
            <w:rPr>
              <w:rFonts w:hint="eastAsia" w:ascii="宋体"/>
              <w:color w:val="auto"/>
              <w:szCs w:val="36"/>
              <w:highlight w:val="none"/>
            </w:rPr>
            <w:t>第二章 投标人须知</w:t>
          </w:r>
          <w:r>
            <w:rPr>
              <w:color w:val="auto"/>
              <w:highlight w:val="none"/>
            </w:rPr>
            <w:tab/>
          </w:r>
          <w:r>
            <w:rPr>
              <w:rFonts w:hint="eastAsia"/>
              <w:color w:val="auto"/>
              <w:highlight w:val="none"/>
              <w:lang w:val="en-US" w:eastAsia="zh-CN"/>
            </w:rPr>
            <w:t>9</w:t>
          </w:r>
          <w:r>
            <w:rPr>
              <w:color w:val="auto"/>
              <w:highlight w:val="none"/>
            </w:rPr>
            <w:fldChar w:fldCharType="end"/>
          </w:r>
        </w:p>
        <w:p w14:paraId="49BC4F86">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"_Toc21204" </w:instrText>
          </w:r>
          <w:r>
            <w:rPr>
              <w:color w:val="auto"/>
              <w:highlight w:val="none"/>
            </w:rPr>
            <w:fldChar w:fldCharType="separate"/>
          </w:r>
          <w:r>
            <w:rPr>
              <w:rFonts w:hint="eastAsia" w:ascii="宋体"/>
              <w:color w:val="auto"/>
              <w:szCs w:val="36"/>
              <w:highlight w:val="none"/>
            </w:rPr>
            <w:t>第三章 评标办法及评分标准</w:t>
          </w:r>
          <w:r>
            <w:rPr>
              <w:color w:val="auto"/>
              <w:highlight w:val="none"/>
            </w:rPr>
            <w:tab/>
          </w:r>
          <w:r>
            <w:rPr>
              <w:color w:val="auto"/>
              <w:highlight w:val="none"/>
            </w:rPr>
            <w:t>2</w:t>
          </w:r>
          <w:r>
            <w:rPr>
              <w:rFonts w:hint="eastAsia"/>
              <w:color w:val="auto"/>
              <w:highlight w:val="none"/>
              <w:lang w:val="en-US" w:eastAsia="zh-CN"/>
            </w:rPr>
            <w:t>5</w:t>
          </w:r>
          <w:r>
            <w:rPr>
              <w:color w:val="auto"/>
              <w:highlight w:val="none"/>
            </w:rPr>
            <w:fldChar w:fldCharType="end"/>
          </w:r>
        </w:p>
        <w:p w14:paraId="259B1F67">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"_Toc124" </w:instrText>
          </w:r>
          <w:r>
            <w:rPr>
              <w:color w:val="auto"/>
              <w:highlight w:val="none"/>
            </w:rPr>
            <w:fldChar w:fldCharType="separate"/>
          </w:r>
          <w:r>
            <w:rPr>
              <w:rFonts w:hint="eastAsia" w:ascii="宋体"/>
              <w:color w:val="auto"/>
              <w:szCs w:val="36"/>
              <w:highlight w:val="none"/>
            </w:rPr>
            <w:t>第四章 招标需求</w:t>
          </w:r>
          <w:r>
            <w:rPr>
              <w:color w:val="auto"/>
              <w:highlight w:val="none"/>
            </w:rPr>
            <w:tab/>
          </w:r>
          <w:r>
            <w:rPr>
              <w:color w:val="auto"/>
              <w:highlight w:val="none"/>
            </w:rPr>
            <w:t>2</w:t>
          </w:r>
          <w:r>
            <w:rPr>
              <w:rFonts w:hint="eastAsia"/>
              <w:color w:val="auto"/>
              <w:highlight w:val="none"/>
              <w:lang w:val="en-US" w:eastAsia="zh-CN"/>
            </w:rPr>
            <w:t>9</w:t>
          </w:r>
          <w:r>
            <w:rPr>
              <w:color w:val="auto"/>
              <w:highlight w:val="none"/>
            </w:rPr>
            <w:fldChar w:fldCharType="end"/>
          </w:r>
        </w:p>
        <w:p w14:paraId="6B090F4F">
          <w:pPr>
            <w:pStyle w:val="28"/>
            <w:tabs>
              <w:tab w:val="right" w:leader="dot" w:pos="8306"/>
            </w:tabs>
            <w:rPr>
              <w:color w:val="auto"/>
              <w:highlight w:val="none"/>
            </w:rPr>
          </w:pPr>
          <w:r>
            <w:rPr>
              <w:color w:val="auto"/>
              <w:highlight w:val="none"/>
            </w:rPr>
            <w:fldChar w:fldCharType="begin"/>
          </w:r>
          <w:r>
            <w:rPr>
              <w:color w:val="auto"/>
              <w:highlight w:val="none"/>
            </w:rPr>
            <w:instrText xml:space="preserve"> HYPERLINK \l "_Toc4283" </w:instrText>
          </w:r>
          <w:r>
            <w:rPr>
              <w:color w:val="auto"/>
              <w:highlight w:val="none"/>
            </w:rPr>
            <w:fldChar w:fldCharType="separate"/>
          </w:r>
          <w:r>
            <w:rPr>
              <w:rFonts w:hint="eastAsia" w:ascii="宋体"/>
              <w:color w:val="auto"/>
              <w:szCs w:val="36"/>
              <w:highlight w:val="none"/>
            </w:rPr>
            <w:t>第五章 合同书</w:t>
          </w:r>
          <w:r>
            <w:rPr>
              <w:color w:val="auto"/>
              <w:highlight w:val="none"/>
            </w:rPr>
            <w:tab/>
          </w:r>
          <w:r>
            <w:rPr>
              <w:color w:val="auto"/>
              <w:highlight w:val="none"/>
            </w:rPr>
            <w:t>3</w:t>
          </w:r>
          <w:r>
            <w:rPr>
              <w:rFonts w:hint="eastAsia"/>
              <w:color w:val="auto"/>
              <w:highlight w:val="none"/>
              <w:lang w:val="en-US" w:eastAsia="zh-CN"/>
            </w:rPr>
            <w:t>9</w:t>
          </w:r>
          <w:r>
            <w:rPr>
              <w:color w:val="auto"/>
              <w:highlight w:val="none"/>
            </w:rPr>
            <w:fldChar w:fldCharType="end"/>
          </w:r>
        </w:p>
        <w:p w14:paraId="1AAEF7FE">
          <w:pPr>
            <w:pStyle w:val="28"/>
            <w:tabs>
              <w:tab w:val="right" w:leader="dot" w:pos="8306"/>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"_Toc11529" </w:instrText>
          </w:r>
          <w:r>
            <w:rPr>
              <w:color w:val="auto"/>
              <w:highlight w:val="none"/>
            </w:rPr>
            <w:fldChar w:fldCharType="separate"/>
          </w:r>
          <w:r>
            <w:rPr>
              <w:rFonts w:hint="eastAsia" w:ascii="宋体"/>
              <w:color w:val="auto"/>
              <w:szCs w:val="36"/>
              <w:highlight w:val="none"/>
            </w:rPr>
            <w:t>第六章 投标文件格式附件</w:t>
          </w:r>
          <w:r>
            <w:rPr>
              <w:color w:val="auto"/>
              <w:highlight w:val="none"/>
            </w:rPr>
            <w:tab/>
          </w:r>
          <w:r>
            <w:rPr>
              <w:rFonts w:hint="eastAsia"/>
              <w:color w:val="auto"/>
              <w:highlight w:val="none"/>
              <w:lang w:val="en-US" w:eastAsia="zh-CN"/>
            </w:rPr>
            <w:t>4</w:t>
          </w:r>
          <w:r>
            <w:rPr>
              <w:color w:val="auto"/>
              <w:highlight w:val="none"/>
            </w:rPr>
            <w:fldChar w:fldCharType="end"/>
          </w:r>
          <w:r>
            <w:rPr>
              <w:rFonts w:hint="eastAsia"/>
              <w:color w:val="auto"/>
              <w:highlight w:val="none"/>
              <w:lang w:val="en-US" w:eastAsia="zh-CN"/>
            </w:rPr>
            <w:t>8</w:t>
          </w:r>
        </w:p>
        <w:p w14:paraId="098A11B1">
          <w:pPr>
            <w:pStyle w:val="28"/>
            <w:tabs>
              <w:tab w:val="right" w:leader="dot" w:pos="8296"/>
            </w:tabs>
            <w:rPr>
              <w:rFonts w:ascii="Calibri" w:hAnsi="Calibri" w:cs="Arial"/>
              <w:color w:val="auto"/>
              <w:szCs w:val="22"/>
              <w:highlight w:val="none"/>
            </w:rPr>
          </w:pPr>
          <w:r>
            <w:rPr>
              <w:color w:val="auto"/>
              <w:highlight w:val="none"/>
            </w:rPr>
            <w:fldChar w:fldCharType="end"/>
          </w:r>
        </w:p>
        <w:p w14:paraId="4ED50207">
          <w:pPr>
            <w:rPr>
              <w:color w:val="auto"/>
              <w:highlight w:val="none"/>
            </w:rPr>
          </w:pPr>
          <w:r>
            <w:rPr>
              <w:color w:val="auto"/>
              <w:highlight w:val="none"/>
            </w:rPr>
            <w:fldChar w:fldCharType="end"/>
          </w:r>
        </w:p>
      </w:sdtContent>
    </w:sdt>
    <w:p w14:paraId="0C1C0679">
      <w:pPr>
        <w:widowControl/>
        <w:jc w:val="left"/>
        <w:rPr>
          <w:rFonts w:hint="default" w:ascii="宋体" w:eastAsia="宋体"/>
          <w:b/>
          <w:color w:val="auto"/>
          <w:kern w:val="0"/>
          <w:sz w:val="36"/>
          <w:szCs w:val="36"/>
          <w:highlight w:val="none"/>
          <w:lang w:val="en-US" w:eastAsia="zh-CN"/>
        </w:rPr>
      </w:pPr>
      <w:r>
        <w:rPr>
          <w:rFonts w:ascii="宋体"/>
          <w:b/>
          <w:color w:val="auto"/>
          <w:kern w:val="0"/>
          <w:sz w:val="36"/>
          <w:szCs w:val="36"/>
          <w:highlight w:val="none"/>
        </w:rPr>
        <w:br w:type="page"/>
      </w:r>
    </w:p>
    <w:p w14:paraId="49B706E0">
      <w:pPr>
        <w:pStyle w:val="3"/>
        <w:keepNext/>
        <w:keepLines/>
        <w:pageBreakBefore w:val="0"/>
        <w:widowControl w:val="0"/>
        <w:kinsoku/>
        <w:wordWrap/>
        <w:overflowPunct/>
        <w:topLinePunct w:val="0"/>
        <w:autoSpaceDE/>
        <w:autoSpaceDN/>
        <w:bidi w:val="0"/>
        <w:adjustRightInd/>
        <w:snapToGrid/>
        <w:spacing w:after="0" w:line="579" w:lineRule="auto"/>
        <w:jc w:val="center"/>
        <w:textAlignment w:val="auto"/>
        <w:rPr>
          <w:rFonts w:ascii="宋体"/>
          <w:b w:val="0"/>
          <w:color w:val="auto"/>
          <w:kern w:val="0"/>
          <w:sz w:val="36"/>
          <w:szCs w:val="36"/>
          <w:highlight w:val="none"/>
        </w:rPr>
      </w:pPr>
      <w:bookmarkStart w:id="0" w:name="_Toc68703352"/>
      <w:r>
        <w:rPr>
          <w:rFonts w:hint="eastAsia" w:ascii="宋体"/>
          <w:b w:val="0"/>
          <w:color w:val="auto"/>
          <w:kern w:val="0"/>
          <w:sz w:val="36"/>
          <w:szCs w:val="36"/>
          <w:highlight w:val="none"/>
        </w:rPr>
        <w:t>第一章  公开</w:t>
      </w:r>
      <w:r>
        <w:rPr>
          <w:rFonts w:hint="eastAsia" w:ascii="宋体"/>
          <w:b w:val="0"/>
          <w:color w:val="auto"/>
          <w:sz w:val="36"/>
          <w:szCs w:val="36"/>
          <w:highlight w:val="none"/>
        </w:rPr>
        <w:t>招标采购公告</w:t>
      </w:r>
      <w:bookmarkEnd w:id="0"/>
    </w:p>
    <w:p w14:paraId="7BA8AF1B">
      <w:pPr>
        <w:keepNext w:val="0"/>
        <w:keepLines w:val="0"/>
        <w:pageBreakBefore w:val="0"/>
        <w:widowControl/>
        <w:suppressLineNumbers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color w:val="auto"/>
          <w:kern w:val="0"/>
          <w:sz w:val="24"/>
          <w:highlight w:val="none"/>
        </w:rPr>
      </w:pPr>
      <w:r>
        <w:rPr>
          <w:rFonts w:hint="eastAsia" w:ascii="宋体"/>
          <w:color w:val="auto"/>
          <w:kern w:val="0"/>
          <w:sz w:val="24"/>
          <w:highlight w:val="none"/>
        </w:rPr>
        <w:t>根据《中华人民共和国政府采购法》、《中华人民共和国政府采购法实施条例》和《招标投标法》等有关规定, 受采购人委托，现就</w:t>
      </w:r>
      <w:r>
        <w:rPr>
          <w:rFonts w:hint="eastAsia" w:ascii="宋体"/>
          <w:color w:val="auto"/>
          <w:kern w:val="0"/>
          <w:sz w:val="24"/>
          <w:highlight w:val="none"/>
          <w:u w:val="single"/>
          <w:lang w:eastAsia="zh-CN"/>
        </w:rPr>
        <w:t>海虹街道排水设施排查养护项目</w:t>
      </w:r>
      <w:r>
        <w:rPr>
          <w:rFonts w:hint="eastAsia" w:ascii="宋体" w:hAnsi="Times New Roman" w:eastAsia="宋体" w:cs="Times New Roman"/>
          <w:color w:val="auto"/>
          <w:kern w:val="0"/>
          <w:sz w:val="24"/>
          <w:highlight w:val="none"/>
          <w:u w:val="single"/>
          <w:lang w:eastAsia="zh-CN"/>
        </w:rPr>
        <w:t>（</w:t>
      </w:r>
      <w:r>
        <w:rPr>
          <w:rFonts w:hint="eastAsia" w:ascii="宋体" w:hAnsi="Times New Roman" w:eastAsia="宋体" w:cs="Times New Roman"/>
          <w:color w:val="auto"/>
          <w:kern w:val="0"/>
          <w:sz w:val="24"/>
          <w:highlight w:val="none"/>
          <w:u w:val="single"/>
          <w:lang w:val="en-US" w:eastAsia="zh-CN"/>
        </w:rPr>
        <w:t>预算执行确认书</w:t>
      </w:r>
      <w:r>
        <w:rPr>
          <w:rFonts w:hint="eastAsia" w:ascii="宋体" w:hAnsi="Times New Roman" w:eastAsia="宋体" w:cs="Times New Roman"/>
          <w:color w:val="auto"/>
          <w:kern w:val="0"/>
          <w:sz w:val="24"/>
          <w:highlight w:val="none"/>
          <w:u w:val="single"/>
          <w:lang w:eastAsia="zh-CN"/>
        </w:rPr>
        <w:t>：</w:t>
      </w:r>
      <w:r>
        <w:rPr>
          <w:rFonts w:hint="eastAsia" w:ascii="宋体" w:hAnsi="Times New Roman" w:eastAsia="宋体" w:cs="Times New Roman"/>
          <w:color w:val="auto"/>
          <w:kern w:val="0"/>
          <w:sz w:val="24"/>
          <w:highlight w:val="none"/>
          <w:u w:val="single"/>
          <w:lang w:val="en-US" w:eastAsia="zh-CN"/>
        </w:rPr>
        <w:t>台财采确临[202</w:t>
      </w:r>
      <w:r>
        <w:rPr>
          <w:rFonts w:hint="eastAsia" w:ascii="宋体" w:cs="Times New Roman"/>
          <w:color w:val="auto"/>
          <w:kern w:val="0"/>
          <w:sz w:val="24"/>
          <w:highlight w:val="none"/>
          <w:u w:val="single"/>
          <w:lang w:val="en-US" w:eastAsia="zh-CN"/>
        </w:rPr>
        <w:t>4</w:t>
      </w:r>
      <w:r>
        <w:rPr>
          <w:rFonts w:hint="eastAsia" w:ascii="宋体" w:hAnsi="Times New Roman" w:eastAsia="宋体" w:cs="Times New Roman"/>
          <w:color w:val="auto"/>
          <w:kern w:val="0"/>
          <w:sz w:val="24"/>
          <w:highlight w:val="none"/>
          <w:u w:val="single"/>
          <w:lang w:val="en-US" w:eastAsia="zh-CN"/>
        </w:rPr>
        <w:t>]</w:t>
      </w:r>
      <w:r>
        <w:rPr>
          <w:rFonts w:hint="eastAsia" w:ascii="宋体" w:cs="Times New Roman"/>
          <w:color w:val="auto"/>
          <w:kern w:val="0"/>
          <w:sz w:val="24"/>
          <w:highlight w:val="none"/>
          <w:u w:val="single"/>
          <w:lang w:val="en-US" w:eastAsia="zh-CN"/>
        </w:rPr>
        <w:t>7003</w:t>
      </w:r>
      <w:r>
        <w:rPr>
          <w:rFonts w:hint="eastAsia" w:ascii="宋体" w:hAnsi="Times New Roman" w:eastAsia="宋体" w:cs="Times New Roman"/>
          <w:color w:val="auto"/>
          <w:kern w:val="0"/>
          <w:sz w:val="24"/>
          <w:highlight w:val="none"/>
          <w:u w:val="single"/>
          <w:lang w:val="en-US" w:eastAsia="zh-CN"/>
        </w:rPr>
        <w:t>号</w:t>
      </w:r>
      <w:r>
        <w:rPr>
          <w:rFonts w:hint="eastAsia" w:ascii="宋体" w:hAnsi="Times New Roman" w:eastAsia="宋体" w:cs="Times New Roman"/>
          <w:color w:val="auto"/>
          <w:kern w:val="0"/>
          <w:sz w:val="24"/>
          <w:highlight w:val="none"/>
          <w:u w:val="single"/>
          <w:lang w:eastAsia="zh-CN"/>
        </w:rPr>
        <w:t>）</w:t>
      </w:r>
      <w:r>
        <w:rPr>
          <w:rFonts w:hint="eastAsia" w:ascii="宋体"/>
          <w:color w:val="auto"/>
          <w:kern w:val="0"/>
          <w:sz w:val="24"/>
          <w:highlight w:val="none"/>
        </w:rPr>
        <w:t>进行公开招标采购，欢迎合格供应商前来投标。</w:t>
      </w:r>
    </w:p>
    <w:p w14:paraId="76155B5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before="100" w:line="360" w:lineRule="auto"/>
        <w:ind w:left="0" w:right="0" w:firstLine="482" w:firstLineChars="200"/>
        <w:jc w:val="left"/>
        <w:textAlignment w:val="auto"/>
        <w:rPr>
          <w:rFonts w:ascii="宋体"/>
          <w:color w:val="auto"/>
          <w:kern w:val="0"/>
          <w:sz w:val="24"/>
          <w:highlight w:val="none"/>
        </w:rPr>
      </w:pPr>
      <w:r>
        <w:rPr>
          <w:rFonts w:hint="eastAsia" w:ascii="宋体"/>
          <w:b/>
          <w:color w:val="auto"/>
          <w:kern w:val="0"/>
          <w:sz w:val="24"/>
          <w:highlight w:val="none"/>
        </w:rPr>
        <w:t>一、项目编号：</w:t>
      </w:r>
      <w:r>
        <w:rPr>
          <w:rFonts w:hint="eastAsia" w:ascii="宋体"/>
          <w:color w:val="auto"/>
          <w:kern w:val="0"/>
          <w:sz w:val="24"/>
          <w:highlight w:val="none"/>
          <w:lang w:eastAsia="zh-CN"/>
        </w:rPr>
        <w:t>tzzy-2024013号</w:t>
      </w:r>
    </w:p>
    <w:p w14:paraId="1B14C646">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before="100" w:line="360" w:lineRule="auto"/>
        <w:ind w:left="0" w:right="0" w:firstLine="482" w:firstLineChars="200"/>
        <w:jc w:val="left"/>
        <w:textAlignment w:val="auto"/>
        <w:rPr>
          <w:rFonts w:ascii="宋体"/>
          <w:b/>
          <w:color w:val="auto"/>
          <w:kern w:val="0"/>
          <w:sz w:val="24"/>
          <w:highlight w:val="none"/>
        </w:rPr>
      </w:pPr>
      <w:r>
        <w:rPr>
          <w:rFonts w:hint="eastAsia" w:ascii="宋体"/>
          <w:b/>
          <w:color w:val="auto"/>
          <w:kern w:val="0"/>
          <w:sz w:val="24"/>
          <w:highlight w:val="none"/>
        </w:rPr>
        <w:t>二、采购组织类型：</w:t>
      </w:r>
      <w:r>
        <w:rPr>
          <w:rFonts w:hint="eastAsia" w:ascii="宋体"/>
          <w:color w:val="auto"/>
          <w:kern w:val="0"/>
          <w:sz w:val="24"/>
          <w:highlight w:val="none"/>
        </w:rPr>
        <w:t>分散采购</w:t>
      </w:r>
    </w:p>
    <w:p w14:paraId="062088E6">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before="100" w:line="360" w:lineRule="auto"/>
        <w:ind w:left="0" w:right="0" w:firstLine="482" w:firstLineChars="200"/>
        <w:jc w:val="left"/>
        <w:textAlignment w:val="auto"/>
        <w:rPr>
          <w:rFonts w:ascii="宋体"/>
          <w:color w:val="auto"/>
          <w:kern w:val="0"/>
          <w:sz w:val="24"/>
          <w:highlight w:val="none"/>
        </w:rPr>
      </w:pPr>
      <w:r>
        <w:rPr>
          <w:rFonts w:hint="eastAsia" w:ascii="宋体"/>
          <w:b/>
          <w:color w:val="auto"/>
          <w:kern w:val="0"/>
          <w:sz w:val="24"/>
          <w:highlight w:val="none"/>
        </w:rPr>
        <w:t>三、公告期限：</w:t>
      </w:r>
      <w:r>
        <w:rPr>
          <w:rFonts w:ascii="宋体"/>
          <w:color w:val="auto"/>
          <w:kern w:val="0"/>
          <w:sz w:val="24"/>
          <w:highlight w:val="none"/>
        </w:rPr>
        <w:t>5个工作日</w:t>
      </w:r>
    </w:p>
    <w:p w14:paraId="799D3053">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before="100" w:line="360" w:lineRule="auto"/>
        <w:ind w:left="0" w:right="0" w:firstLine="482" w:firstLineChars="200"/>
        <w:jc w:val="left"/>
        <w:textAlignment w:val="auto"/>
        <w:rPr>
          <w:rFonts w:ascii="宋体"/>
          <w:color w:val="auto"/>
          <w:sz w:val="24"/>
          <w:highlight w:val="none"/>
        </w:rPr>
      </w:pPr>
      <w:r>
        <w:rPr>
          <w:rFonts w:hint="eastAsia" w:ascii="宋体"/>
          <w:b/>
          <w:color w:val="auto"/>
          <w:kern w:val="0"/>
          <w:sz w:val="24"/>
          <w:highlight w:val="none"/>
        </w:rPr>
        <w:t>四、招标项目概况：</w:t>
      </w:r>
    </w:p>
    <w:tbl>
      <w:tblPr>
        <w:tblStyle w:val="35"/>
        <w:tblpPr w:leftFromText="181" w:rightFromText="181" w:bottomFromText="17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343"/>
        <w:gridCol w:w="1155"/>
        <w:gridCol w:w="660"/>
        <w:gridCol w:w="705"/>
        <w:gridCol w:w="1245"/>
        <w:gridCol w:w="1319"/>
        <w:gridCol w:w="1125"/>
      </w:tblGrid>
      <w:tr w14:paraId="3B09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12" w:type="dxa"/>
            <w:vAlign w:val="center"/>
          </w:tcPr>
          <w:p w14:paraId="11C9668C">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343" w:type="dxa"/>
            <w:vAlign w:val="center"/>
          </w:tcPr>
          <w:p w14:paraId="351640FA">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1155" w:type="dxa"/>
            <w:vAlign w:val="center"/>
          </w:tcPr>
          <w:p w14:paraId="04E70495">
            <w:pPr>
              <w:tabs>
                <w:tab w:val="left" w:pos="8280"/>
              </w:tabs>
              <w:autoSpaceDE w:val="0"/>
              <w:autoSpaceDN w:val="0"/>
              <w:adjustRightInd w:val="0"/>
              <w:jc w:val="center"/>
              <w:rPr>
                <w:rFonts w:hint="eastAsia" w:ascii="宋体" w:hAnsi="宋体" w:cs="宋体"/>
                <w:b/>
                <w:kern w:val="0"/>
                <w:szCs w:val="21"/>
              </w:rPr>
            </w:pPr>
            <w:r>
              <w:rPr>
                <w:rFonts w:hint="eastAsia" w:ascii="宋体" w:hAnsi="宋体" w:cs="宋体"/>
                <w:b/>
                <w:kern w:val="0"/>
                <w:szCs w:val="21"/>
              </w:rPr>
              <w:t>简</w:t>
            </w:r>
            <w:r>
              <w:rPr>
                <w:rFonts w:hint="eastAsia" w:ascii="宋体" w:hAnsi="宋体" w:cs="宋体"/>
                <w:b/>
                <w:szCs w:val="21"/>
              </w:rPr>
              <w:t>要要求</w:t>
            </w:r>
          </w:p>
        </w:tc>
        <w:tc>
          <w:tcPr>
            <w:tcW w:w="660" w:type="dxa"/>
            <w:vAlign w:val="center"/>
          </w:tcPr>
          <w:p w14:paraId="2C3A489E">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05" w:type="dxa"/>
            <w:vAlign w:val="center"/>
          </w:tcPr>
          <w:p w14:paraId="235CE4D0">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245" w:type="dxa"/>
            <w:vAlign w:val="center"/>
          </w:tcPr>
          <w:p w14:paraId="3B0E93A3">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s="宋体"/>
                <w:b/>
                <w:szCs w:val="21"/>
              </w:rPr>
              <w:t>预算</w:t>
            </w:r>
            <w:r>
              <w:rPr>
                <w:rFonts w:hint="eastAsia" w:ascii="宋体" w:hAnsi="宋体" w:cs="宋体"/>
                <w:b/>
                <w:szCs w:val="21"/>
                <w:lang w:eastAsia="zh-CN"/>
              </w:rPr>
              <w:t>金额</w:t>
            </w:r>
          </w:p>
          <w:p w14:paraId="7B48D828">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19" w:type="dxa"/>
            <w:vAlign w:val="center"/>
          </w:tcPr>
          <w:p w14:paraId="6E24C0FF">
            <w:pPr>
              <w:jc w:val="center"/>
              <w:rPr>
                <w:rFonts w:hint="eastAsia" w:ascii="宋体" w:hAnsi="宋体" w:eastAsia="宋体" w:cs="宋体"/>
                <w:b/>
                <w:szCs w:val="21"/>
                <w:lang w:eastAsia="zh-CN"/>
              </w:rPr>
            </w:pPr>
            <w:r>
              <w:rPr>
                <w:rFonts w:hint="eastAsia" w:ascii="宋体" w:hAnsi="宋体" w:cs="宋体"/>
                <w:b/>
                <w:szCs w:val="21"/>
                <w:lang w:val="en-US" w:eastAsia="zh-CN"/>
              </w:rPr>
              <w:t>综合单价结算率</w:t>
            </w:r>
            <w:r>
              <w:rPr>
                <w:rFonts w:hint="eastAsia" w:ascii="宋体" w:hAnsi="宋体" w:cs="宋体"/>
                <w:b/>
                <w:szCs w:val="21"/>
                <w:lang w:eastAsia="zh-CN"/>
              </w:rPr>
              <w:t>上限</w:t>
            </w:r>
          </w:p>
        </w:tc>
        <w:tc>
          <w:tcPr>
            <w:tcW w:w="1125" w:type="dxa"/>
            <w:vAlign w:val="center"/>
          </w:tcPr>
          <w:p w14:paraId="7EDDA619">
            <w:pPr>
              <w:jc w:val="center"/>
              <w:rPr>
                <w:rFonts w:hint="eastAsia" w:ascii="宋体" w:hAnsi="宋体" w:eastAsia="宋体" w:cs="宋体"/>
                <w:b/>
                <w:szCs w:val="21"/>
                <w:lang w:eastAsia="zh-CN"/>
              </w:rPr>
            </w:pPr>
            <w:r>
              <w:rPr>
                <w:rFonts w:hint="eastAsia" w:ascii="宋体" w:hAnsi="宋体" w:cs="宋体"/>
                <w:b/>
                <w:szCs w:val="21"/>
                <w:lang w:eastAsia="zh-CN"/>
              </w:rPr>
              <w:t>地点</w:t>
            </w:r>
          </w:p>
        </w:tc>
      </w:tr>
      <w:tr w14:paraId="58DF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12" w:type="dxa"/>
            <w:vAlign w:val="center"/>
          </w:tcPr>
          <w:p w14:paraId="2312D029">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rPr>
              <w:t>1</w:t>
            </w:r>
          </w:p>
        </w:tc>
        <w:tc>
          <w:tcPr>
            <w:tcW w:w="2343" w:type="dxa"/>
            <w:vAlign w:val="center"/>
          </w:tcPr>
          <w:p w14:paraId="44BB8620">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lang w:eastAsia="zh-CN"/>
              </w:rPr>
              <w:t>海虹街道排水设施排查养护项目</w:t>
            </w:r>
          </w:p>
        </w:tc>
        <w:tc>
          <w:tcPr>
            <w:tcW w:w="1155" w:type="dxa"/>
            <w:vAlign w:val="center"/>
          </w:tcPr>
          <w:p w14:paraId="6662AEC1">
            <w:pPr>
              <w:tabs>
                <w:tab w:val="left" w:pos="8280"/>
              </w:tabs>
              <w:autoSpaceDE w:val="0"/>
              <w:autoSpaceDN w:val="0"/>
              <w:adjustRightInd w:val="0"/>
              <w:jc w:val="center"/>
              <w:rPr>
                <w:rFonts w:hint="eastAsia" w:ascii="宋体" w:hAnsi="宋体" w:cs="宋体"/>
                <w:b w:val="0"/>
                <w:bCs/>
                <w:szCs w:val="21"/>
                <w:lang w:val="en-US" w:eastAsia="zh-CN"/>
              </w:rPr>
            </w:pPr>
            <w:r>
              <w:rPr>
                <w:rFonts w:hint="eastAsia" w:ascii="宋体" w:hAnsi="宋体" w:cs="宋体"/>
                <w:b w:val="0"/>
                <w:bCs/>
                <w:szCs w:val="21"/>
                <w:lang w:val="en-US" w:eastAsia="zh-CN"/>
              </w:rPr>
              <w:t>详见招标需求</w:t>
            </w:r>
          </w:p>
        </w:tc>
        <w:tc>
          <w:tcPr>
            <w:tcW w:w="660" w:type="dxa"/>
            <w:vAlign w:val="center"/>
          </w:tcPr>
          <w:p w14:paraId="2505A6D2">
            <w:pPr>
              <w:tabs>
                <w:tab w:val="left" w:pos="8280"/>
              </w:tabs>
              <w:autoSpaceDE w:val="0"/>
              <w:autoSpaceDN w:val="0"/>
              <w:adjustRightInd w:val="0"/>
              <w:jc w:val="center"/>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w:t>
            </w:r>
          </w:p>
        </w:tc>
        <w:tc>
          <w:tcPr>
            <w:tcW w:w="705" w:type="dxa"/>
            <w:vAlign w:val="center"/>
          </w:tcPr>
          <w:p w14:paraId="1A641D9F">
            <w:pPr>
              <w:tabs>
                <w:tab w:val="left" w:pos="8280"/>
              </w:tabs>
              <w:autoSpaceDE w:val="0"/>
              <w:autoSpaceDN w:val="0"/>
              <w:adjustRightInd w:val="0"/>
              <w:jc w:val="center"/>
              <w:rPr>
                <w:rFonts w:hint="eastAsia" w:ascii="宋体" w:hAnsi="宋体" w:eastAsia="宋体" w:cs="宋体"/>
                <w:b w:val="0"/>
                <w:bCs/>
                <w:szCs w:val="21"/>
                <w:highlight w:val="none"/>
                <w:lang w:eastAsia="zh-CN"/>
              </w:rPr>
            </w:pPr>
            <w:r>
              <w:rPr>
                <w:rFonts w:hint="eastAsia" w:ascii="宋体" w:hAnsi="宋体" w:cs="宋体"/>
                <w:b w:val="0"/>
                <w:bCs/>
                <w:szCs w:val="21"/>
                <w:highlight w:val="none"/>
                <w:lang w:eastAsia="zh-CN"/>
              </w:rPr>
              <w:t>项</w:t>
            </w:r>
          </w:p>
        </w:tc>
        <w:tc>
          <w:tcPr>
            <w:tcW w:w="1245" w:type="dxa"/>
            <w:vAlign w:val="center"/>
          </w:tcPr>
          <w:p w14:paraId="172021CA">
            <w:pPr>
              <w:tabs>
                <w:tab w:val="left" w:pos="8280"/>
              </w:tabs>
              <w:autoSpaceDE w:val="0"/>
              <w:autoSpaceDN w:val="0"/>
              <w:adjustRightInd w:val="0"/>
              <w:jc w:val="center"/>
              <w:rPr>
                <w:rFonts w:hint="default"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 xml:space="preserve">100   </w:t>
            </w:r>
          </w:p>
        </w:tc>
        <w:tc>
          <w:tcPr>
            <w:tcW w:w="1319" w:type="dxa"/>
            <w:vAlign w:val="center"/>
          </w:tcPr>
          <w:p w14:paraId="773FDE7C">
            <w:pPr>
              <w:tabs>
                <w:tab w:val="left" w:pos="8280"/>
              </w:tabs>
              <w:autoSpaceDE w:val="0"/>
              <w:autoSpaceDN w:val="0"/>
              <w:adjustRightInd w:val="0"/>
              <w:jc w:val="center"/>
              <w:rPr>
                <w:rStyle w:val="115"/>
                <w:rFonts w:hint="default" w:ascii="宋体" w:hAnsi="宋体" w:eastAsia="宋体"/>
                <w:b w:val="0"/>
                <w:bCs/>
                <w:szCs w:val="21"/>
                <w:highlight w:val="none"/>
                <w:lang w:val="en-US" w:eastAsia="zh-CN"/>
              </w:rPr>
            </w:pPr>
            <w:r>
              <w:rPr>
                <w:rStyle w:val="115"/>
                <w:rFonts w:hint="eastAsia" w:ascii="宋体" w:hAnsi="宋体"/>
                <w:b w:val="0"/>
                <w:bCs/>
                <w:szCs w:val="21"/>
                <w:highlight w:val="none"/>
                <w:lang w:val="en-US" w:eastAsia="zh-CN"/>
              </w:rPr>
              <w:t>100%</w:t>
            </w:r>
          </w:p>
        </w:tc>
        <w:tc>
          <w:tcPr>
            <w:tcW w:w="1125" w:type="dxa"/>
            <w:vAlign w:val="center"/>
          </w:tcPr>
          <w:p w14:paraId="639009AB">
            <w:pPr>
              <w:tabs>
                <w:tab w:val="left" w:pos="8280"/>
              </w:tabs>
              <w:autoSpaceDE w:val="0"/>
              <w:autoSpaceDN w:val="0"/>
              <w:adjustRightInd w:val="0"/>
              <w:jc w:val="center"/>
              <w:rPr>
                <w:rStyle w:val="115"/>
                <w:rFonts w:hint="default" w:ascii="宋体" w:hAnsi="宋体" w:eastAsia="宋体"/>
                <w:b w:val="0"/>
                <w:bCs/>
                <w:szCs w:val="21"/>
                <w:lang w:val="en-US" w:eastAsia="zh-CN"/>
              </w:rPr>
            </w:pPr>
            <w:r>
              <w:rPr>
                <w:rStyle w:val="115"/>
                <w:rFonts w:hint="default" w:ascii="宋体" w:hAnsi="宋体" w:eastAsia="宋体"/>
                <w:b w:val="0"/>
                <w:bCs/>
                <w:szCs w:val="21"/>
                <w:lang w:val="en-US" w:eastAsia="zh-CN"/>
              </w:rPr>
              <w:t>海虹街道</w:t>
            </w:r>
          </w:p>
        </w:tc>
      </w:tr>
    </w:tbl>
    <w:p w14:paraId="39EC3B7F">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auto"/>
        <w:ind w:left="0" w:leftChars="0" w:right="0" w:rightChars="0" w:firstLine="482" w:firstLineChars="200"/>
        <w:jc w:val="left"/>
        <w:textAlignment w:val="auto"/>
        <w:rPr>
          <w:rFonts w:ascii="宋体"/>
          <w:b/>
          <w:color w:val="auto"/>
          <w:kern w:val="0"/>
          <w:sz w:val="24"/>
          <w:highlight w:val="none"/>
        </w:rPr>
      </w:pPr>
      <w:r>
        <w:rPr>
          <w:rFonts w:hint="eastAsia" w:ascii="宋体"/>
          <w:b/>
          <w:color w:val="auto"/>
          <w:sz w:val="24"/>
          <w:highlight w:val="none"/>
        </w:rPr>
        <w:t>五、合格投标人的资格条件：</w:t>
      </w:r>
    </w:p>
    <w:p w14:paraId="0C52E566">
      <w:pPr>
        <w:keepNext w:val="0"/>
        <w:keepLines w:val="0"/>
        <w:pageBreakBefore w:val="0"/>
        <w:tabs>
          <w:tab w:val="left" w:pos="180"/>
          <w:tab w:val="left" w:pos="360"/>
          <w:tab w:val="left" w:pos="540"/>
        </w:tabs>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ascii="宋体"/>
          <w:color w:val="auto"/>
          <w:kern w:val="0"/>
          <w:sz w:val="24"/>
          <w:highlight w:val="none"/>
        </w:rPr>
      </w:pPr>
      <w:r>
        <w:rPr>
          <w:rFonts w:hint="eastAsia" w:ascii="宋体"/>
          <w:color w:val="auto"/>
          <w:kern w:val="0"/>
          <w:sz w:val="24"/>
          <w:highlight w:val="none"/>
        </w:rPr>
        <w:t>（一）符合《中华人民共和国政府采购法》第二十二条规定的投标人资格条件。</w:t>
      </w:r>
    </w:p>
    <w:p w14:paraId="72DD1CF0">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宋体"/>
          <w:color w:val="auto"/>
          <w:kern w:val="0"/>
          <w:sz w:val="24"/>
          <w:highlight w:val="none"/>
        </w:rPr>
      </w:pPr>
      <w:r>
        <w:rPr>
          <w:rFonts w:hint="eastAsia" w:ascii="宋体"/>
          <w:color w:val="auto"/>
          <w:kern w:val="0"/>
          <w:sz w:val="24"/>
          <w:highlight w:val="none"/>
        </w:rPr>
        <w:t>（二）未被“信用中国”（www.creditchina.gov.cn）、中国政府采购网（www.ccgp.gov.cn）列入失信被执行人、重大税收违法案件当事人名单、政府采购严重违法失信行为记录名单。</w:t>
      </w:r>
    </w:p>
    <w:p w14:paraId="6C2E9291">
      <w:pPr>
        <w:pStyle w:val="67"/>
        <w:keepNext w:val="0"/>
        <w:keepLines w:val="0"/>
        <w:pageBreakBefore w:val="0"/>
        <w:kinsoku/>
        <w:wordWrap/>
        <w:overflowPunct/>
        <w:topLinePunct w:val="0"/>
        <w:bidi w:val="0"/>
        <w:adjustRightInd w:val="0"/>
        <w:snapToGrid w:val="0"/>
        <w:spacing w:before="0" w:line="360" w:lineRule="auto"/>
        <w:ind w:left="0" w:leftChars="0" w:right="0" w:rightChars="0" w:firstLine="480" w:firstLineChars="200"/>
        <w:textAlignment w:val="auto"/>
        <w:rPr>
          <w:rFonts w:hint="eastAsia" w:ascii="宋体" w:hAnsi="宋体" w:eastAsia="宋体"/>
          <w:b/>
          <w:bCs/>
          <w:color w:val="auto"/>
          <w:sz w:val="24"/>
          <w:szCs w:val="24"/>
          <w:highlight w:val="none"/>
          <w:u w:val="single"/>
        </w:rPr>
      </w:pPr>
      <w:r>
        <w:rPr>
          <w:rFonts w:hint="eastAsia" w:ascii="宋体" w:hAnsi="宋体" w:eastAsia="宋体"/>
          <w:color w:val="auto"/>
          <w:sz w:val="24"/>
          <w:szCs w:val="24"/>
          <w:highlight w:val="none"/>
        </w:rPr>
        <w:t>（三）落实政府采购政策需满足的资格要求：本项目按照《政府采购促进中小企业发展管理办法》【财库（2020）46号】第七条规定：</w:t>
      </w:r>
      <w:r>
        <w:rPr>
          <w:rFonts w:hint="eastAsia" w:ascii="宋体" w:hAnsi="宋体" w:eastAsia="宋体"/>
          <w:b/>
          <w:bCs/>
          <w:color w:val="auto"/>
          <w:sz w:val="24"/>
          <w:szCs w:val="24"/>
          <w:highlight w:val="none"/>
          <w:u w:val="single"/>
        </w:rPr>
        <w:t>专门面向中小企业采购</w:t>
      </w:r>
      <w:r>
        <w:rPr>
          <w:rFonts w:hint="eastAsia" w:ascii="宋体" w:hAnsi="宋体" w:eastAsia="宋体" w:cs="宋体"/>
          <w:b/>
          <w:bCs/>
          <w:color w:val="auto"/>
          <w:kern w:val="0"/>
          <w:sz w:val="24"/>
          <w:highlight w:val="none"/>
          <w:u w:val="single"/>
          <w:lang w:eastAsia="zh-CN"/>
        </w:rPr>
        <w:t>（监狱企业、残疾人福利性单位视同中小型企业）</w:t>
      </w:r>
    </w:p>
    <w:p w14:paraId="4149C237">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宋体"/>
          <w:color w:val="auto"/>
          <w:kern w:val="0"/>
          <w:sz w:val="24"/>
          <w:highlight w:val="none"/>
        </w:rPr>
      </w:pPr>
      <w:r>
        <w:rPr>
          <w:rFonts w:hint="eastAsia" w:ascii="宋体"/>
          <w:color w:val="auto"/>
          <w:kern w:val="0"/>
          <w:sz w:val="24"/>
          <w:highlight w:val="none"/>
        </w:rPr>
        <w:t>（</w:t>
      </w:r>
      <w:r>
        <w:rPr>
          <w:rFonts w:hint="eastAsia" w:ascii="宋体"/>
          <w:color w:val="auto"/>
          <w:kern w:val="0"/>
          <w:sz w:val="24"/>
          <w:highlight w:val="none"/>
          <w:lang w:val="en-US" w:eastAsia="zh-CN"/>
        </w:rPr>
        <w:t>四</w:t>
      </w:r>
      <w:r>
        <w:rPr>
          <w:rFonts w:hint="eastAsia" w:ascii="宋体"/>
          <w:color w:val="auto"/>
          <w:kern w:val="0"/>
          <w:sz w:val="24"/>
          <w:highlight w:val="none"/>
        </w:rPr>
        <w:t>）本项目供应商特定条件：</w:t>
      </w:r>
    </w:p>
    <w:p w14:paraId="37344D48">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hint="eastAsia" w:ascii="宋体" w:eastAsia="宋体"/>
          <w:color w:val="auto"/>
          <w:kern w:val="0"/>
          <w:sz w:val="24"/>
          <w:highlight w:val="none"/>
          <w:lang w:val="en-US" w:eastAsia="zh-CN"/>
        </w:rPr>
      </w:pPr>
      <w:r>
        <w:rPr>
          <w:rFonts w:hint="eastAsia" w:ascii="宋体"/>
          <w:color w:val="auto"/>
          <w:kern w:val="0"/>
          <w:sz w:val="24"/>
          <w:highlight w:val="none"/>
          <w:lang w:val="en-US" w:eastAsia="zh-CN"/>
        </w:rPr>
        <w:t>1、具有市政公用工程施工总承包三级及以上资质（对应资质应在“浙江省建筑市场监管公共服务系统”上动态核查结果处于“合格”状态）</w:t>
      </w:r>
      <w:r>
        <w:rPr>
          <w:rFonts w:hint="eastAsia" w:ascii="宋体" w:hAnsi="宋体" w:cs="宋体"/>
          <w:sz w:val="24"/>
          <w:lang w:eastAsia="zh-CN"/>
        </w:rPr>
        <w:t>；</w:t>
      </w:r>
    </w:p>
    <w:p w14:paraId="1B92D881">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rPr>
        <w:t>2、</w:t>
      </w:r>
      <w:r>
        <w:rPr>
          <w:rFonts w:hint="eastAsia" w:ascii="宋体"/>
          <w:color w:val="auto"/>
          <w:kern w:val="0"/>
          <w:sz w:val="24"/>
          <w:highlight w:val="none"/>
          <w:lang w:val="en-US" w:eastAsia="zh-CN"/>
        </w:rPr>
        <w:t>具有</w:t>
      </w:r>
      <w:r>
        <w:rPr>
          <w:rFonts w:hint="eastAsia" w:ascii="宋体" w:hAnsi="宋体" w:eastAsia="宋体" w:cs="Times New Roman"/>
          <w:kern w:val="0"/>
          <w:sz w:val="24"/>
          <w:highlight w:val="none"/>
        </w:rPr>
        <w:t>有效的安全生产许可证</w:t>
      </w:r>
      <w:r>
        <w:rPr>
          <w:rFonts w:hint="eastAsia" w:ascii="宋体" w:hAnsi="宋体" w:eastAsia="宋体" w:cs="Times New Roman"/>
          <w:kern w:val="0"/>
          <w:sz w:val="24"/>
          <w:highlight w:val="none"/>
          <w:lang w:eastAsia="zh-CN"/>
        </w:rPr>
        <w:t>。</w:t>
      </w:r>
    </w:p>
    <w:p w14:paraId="5FE15D5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宋体" w:hAnsi="宋体" w:eastAsia="宋体" w:cs="Times New Roman"/>
          <w:kern w:val="0"/>
          <w:sz w:val="24"/>
          <w:highlight w:val="none"/>
        </w:rPr>
      </w:pPr>
      <w:r>
        <w:rPr>
          <w:rFonts w:hint="eastAsia" w:ascii="宋体" w:hAnsi="宋体" w:eastAsia="宋体" w:cs="Times New Roman"/>
          <w:kern w:val="0"/>
          <w:sz w:val="24"/>
          <w:highlight w:val="none"/>
        </w:rPr>
        <w:t>3、项目负责人具有</w:t>
      </w:r>
      <w:r>
        <w:rPr>
          <w:rFonts w:hint="eastAsia" w:ascii="宋体" w:hAnsi="宋体" w:eastAsia="宋体" w:cs="Times New Roman"/>
          <w:kern w:val="0"/>
          <w:sz w:val="24"/>
          <w:highlight w:val="none"/>
          <w:lang w:eastAsia="zh-CN"/>
        </w:rPr>
        <w:t>有效的</w:t>
      </w:r>
      <w:r>
        <w:rPr>
          <w:rFonts w:hint="eastAsia" w:ascii="宋体" w:hAnsi="宋体" w:eastAsia="宋体" w:cs="Times New Roman"/>
          <w:kern w:val="0"/>
          <w:sz w:val="24"/>
          <w:highlight w:val="none"/>
          <w:lang w:val="en-US" w:eastAsia="zh-CN"/>
        </w:rPr>
        <w:t>市政公用</w:t>
      </w:r>
      <w:r>
        <w:rPr>
          <w:rFonts w:hint="eastAsia" w:ascii="宋体" w:hAnsi="宋体" w:eastAsia="宋体" w:cs="Times New Roman"/>
          <w:kern w:val="0"/>
          <w:sz w:val="24"/>
          <w:highlight w:val="none"/>
          <w:lang w:eastAsia="zh-CN"/>
        </w:rPr>
        <w:t>工程</w:t>
      </w:r>
      <w:r>
        <w:rPr>
          <w:rFonts w:hint="eastAsia" w:ascii="宋体" w:hAnsi="宋体" w:eastAsia="宋体" w:cs="Times New Roman"/>
          <w:kern w:val="0"/>
          <w:sz w:val="24"/>
          <w:highlight w:val="none"/>
        </w:rPr>
        <w:t>专业注册建造师二级及以上</w:t>
      </w:r>
      <w:r>
        <w:rPr>
          <w:rFonts w:hint="eastAsia" w:ascii="宋体" w:hAnsi="宋体" w:eastAsia="宋体" w:cs="Times New Roman"/>
          <w:kern w:val="0"/>
          <w:sz w:val="24"/>
          <w:highlight w:val="none"/>
          <w:lang w:eastAsia="zh-CN"/>
        </w:rPr>
        <w:t>资格（建造师临时执业证书无效）</w:t>
      </w:r>
      <w:r>
        <w:rPr>
          <w:rFonts w:hint="eastAsia" w:ascii="宋体" w:hAnsi="宋体" w:eastAsia="宋体" w:cs="Times New Roman"/>
          <w:kern w:val="0"/>
          <w:sz w:val="24"/>
          <w:highlight w:val="none"/>
        </w:rPr>
        <w:t>和</w:t>
      </w:r>
      <w:r>
        <w:rPr>
          <w:rFonts w:hint="eastAsia" w:ascii="宋体" w:hAnsi="宋体" w:eastAsia="宋体" w:cs="Times New Roman"/>
          <w:kern w:val="0"/>
          <w:sz w:val="24"/>
          <w:highlight w:val="none"/>
          <w:lang w:eastAsia="zh-CN"/>
        </w:rPr>
        <w:t>安全生产考核合格证书</w:t>
      </w:r>
      <w:r>
        <w:rPr>
          <w:rFonts w:hint="eastAsia" w:ascii="宋体" w:hAnsi="宋体" w:eastAsia="宋体" w:cs="Times New Roman"/>
          <w:kern w:val="0"/>
          <w:sz w:val="24"/>
          <w:highlight w:val="none"/>
        </w:rPr>
        <w:t>；</w:t>
      </w:r>
      <w:r>
        <w:rPr>
          <w:rFonts w:hint="eastAsia" w:ascii="宋体" w:hAnsi="宋体" w:eastAsia="宋体" w:cs="Times New Roman"/>
          <w:kern w:val="0"/>
          <w:sz w:val="24"/>
          <w:highlight w:val="none"/>
          <w:lang w:val="en-US" w:eastAsia="zh-CN"/>
        </w:rPr>
        <w:t>注：</w:t>
      </w:r>
      <w:r>
        <w:rPr>
          <w:rFonts w:hint="eastAsia" w:ascii="宋体" w:hAnsi="宋体" w:eastAsia="宋体" w:cs="Times New Roman"/>
          <w:kern w:val="0"/>
          <w:sz w:val="24"/>
          <w:highlight w:val="none"/>
        </w:rPr>
        <w:t>其中一级建造师电子证书须执行住房和城乡建设部的文件（建办市〔2021〕40号）的相关规定。一级建造师电子证书打印后，应在个人签名处手写本人签名，未手写签名或与签名图像笔迹不一致的，该电子证书无效。</w:t>
      </w:r>
    </w:p>
    <w:p w14:paraId="6C562E97">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default" w:ascii="宋体" w:hAnsi="宋体"/>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《省外企业进浙承接业务备案证明》或“浙江省建筑市场监管公共服务系统”对外发布的通过审核形成的备案信息网页截图（仅指浙江省省外企业）</w:t>
      </w:r>
      <w:r>
        <w:rPr>
          <w:rFonts w:hint="eastAsia" w:ascii="宋体" w:hAnsi="宋体"/>
          <w:sz w:val="24"/>
          <w:highlight w:val="none"/>
          <w:lang w:val="en-US" w:eastAsia="zh-CN"/>
        </w:rPr>
        <w:t>。</w:t>
      </w:r>
    </w:p>
    <w:p w14:paraId="20C83E70">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360" w:lineRule="auto"/>
        <w:ind w:left="0" w:leftChars="0" w:right="0" w:rightChars="0" w:firstLine="480" w:firstLineChars="200"/>
        <w:jc w:val="left"/>
        <w:textAlignment w:val="auto"/>
        <w:rPr>
          <w:rFonts w:ascii="宋体"/>
          <w:color w:val="auto"/>
          <w:kern w:val="0"/>
          <w:sz w:val="24"/>
          <w:highlight w:val="none"/>
        </w:rPr>
      </w:pPr>
      <w:r>
        <w:rPr>
          <w:rFonts w:hint="eastAsia" w:ascii="宋体"/>
          <w:color w:val="auto"/>
          <w:kern w:val="0"/>
          <w:sz w:val="24"/>
          <w:highlight w:val="none"/>
          <w:lang w:val="en-US" w:eastAsia="zh-CN"/>
        </w:rPr>
        <w:t>5、</w:t>
      </w:r>
      <w:r>
        <w:rPr>
          <w:rFonts w:hint="eastAsia" w:ascii="宋体"/>
          <w:color w:val="auto"/>
          <w:kern w:val="0"/>
          <w:sz w:val="24"/>
          <w:highlight w:val="none"/>
        </w:rPr>
        <w:t>本项目不接受联合体</w:t>
      </w:r>
      <w:r>
        <w:rPr>
          <w:rFonts w:hint="eastAsia" w:ascii="宋体"/>
          <w:color w:val="auto"/>
          <w:kern w:val="0"/>
          <w:sz w:val="24"/>
          <w:highlight w:val="none"/>
          <w:lang w:eastAsia="zh-CN"/>
        </w:rPr>
        <w:t>投标</w:t>
      </w:r>
      <w:r>
        <w:rPr>
          <w:rFonts w:hint="eastAsia" w:ascii="宋体"/>
          <w:color w:val="auto"/>
          <w:kern w:val="0"/>
          <w:sz w:val="24"/>
          <w:highlight w:val="none"/>
        </w:rPr>
        <w:t>；</w:t>
      </w:r>
    </w:p>
    <w:p w14:paraId="2E10349E">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六、招标文件的获取：</w:t>
      </w:r>
    </w:p>
    <w:p w14:paraId="2F8861B0">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1、本项目招标文件实行“政府采购云平台”在线获取，不提供招标文件纸质版。供应商获取招标文件前应先完成“政府采购云平台”的账号注册；</w:t>
      </w:r>
    </w:p>
    <w:p w14:paraId="4292F20E">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2、地点：</w:t>
      </w:r>
    </w:p>
    <w:p w14:paraId="39944FBB">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（1）政采云平台（http://zfcg.czt.zj.gov.cn）；</w:t>
      </w:r>
    </w:p>
    <w:p w14:paraId="09570127">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（2）供应商网上报名操作指南：“浙江政府采购网-办事指南-省采中心-网上报名”（http://zfcg.czt.zj.gov.cn/bs_other/2018-03-30/12002.html）。</w:t>
      </w:r>
    </w:p>
    <w:p w14:paraId="5D68EC0F">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3、方式：潜在供应商登陆政采云平台，在线申请获取招标文件（进入“项目采购”应用，在获取招标文件菜单中选择项目，申请获取招标文件，本项目招标文件不收取工本费；</w:t>
      </w:r>
      <w:r>
        <w:rPr>
          <w:rFonts w:hint="eastAsia" w:ascii="宋体" w:cs="宋体"/>
          <w:b/>
          <w:bCs/>
          <w:color w:val="auto"/>
          <w:kern w:val="0"/>
          <w:sz w:val="24"/>
          <w:highlight w:val="none"/>
          <w:u w:val="single"/>
        </w:rPr>
        <w:t>仅需浏览招标文件的供应商可点击“游客，浏览招标文</w:t>
      </w:r>
      <w:r>
        <w:rPr>
          <w:rFonts w:hint="eastAsia" w:ascii="宋体" w:cs="宋体"/>
          <w:b/>
          <w:bCs/>
          <w:color w:val="auto"/>
          <w:kern w:val="0"/>
          <w:sz w:val="24"/>
          <w:highlight w:val="none"/>
        </w:rPr>
        <w:t>件”直接下载招标文件浏览）；</w:t>
      </w:r>
    </w:p>
    <w:p w14:paraId="054ECDD6">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4、供应商获取招标文件时须提交的文件资料：无；</w:t>
      </w:r>
    </w:p>
    <w:p w14:paraId="05B9F6ED">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066837F">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注：请供应商按上述要求获取招标文件，如未在“政采云”系统内完成相关流程，引起的投标无效责任自负。</w:t>
      </w:r>
    </w:p>
    <w:p w14:paraId="784652C6">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rPr>
        <w:t>七、投标截止时间：</w:t>
      </w:r>
      <w:r>
        <w:rPr>
          <w:rFonts w:hint="eastAsia" w:ascii="宋体" w:cs="宋体"/>
          <w:b/>
          <w:bCs/>
          <w:color w:val="auto"/>
          <w:kern w:val="0"/>
          <w:sz w:val="24"/>
          <w:highlight w:val="none"/>
          <w:u w:val="single"/>
          <w:lang w:val="en-US" w:eastAsia="zh-CN"/>
        </w:rPr>
        <w:t>2024年10月25日9:00（北京时间）</w:t>
      </w:r>
      <w:r>
        <w:rPr>
          <w:rFonts w:hint="eastAsia" w:ascii="宋体"/>
          <w:b/>
          <w:bCs/>
          <w:color w:val="auto"/>
          <w:sz w:val="24"/>
          <w:highlight w:val="none"/>
        </w:rPr>
        <w:t>；</w:t>
      </w:r>
      <w:r>
        <w:rPr>
          <w:rFonts w:hint="eastAsia" w:ascii="宋体" w:hAnsi="宋体" w:cs="宋体"/>
          <w:color w:val="auto"/>
          <w:sz w:val="24"/>
          <w:highlight w:val="none"/>
        </w:rPr>
        <w:t xml:space="preserve"> </w:t>
      </w:r>
    </w:p>
    <w:p w14:paraId="06D0ECEE">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b/>
          <w:bCs/>
          <w:color w:val="auto"/>
          <w:sz w:val="24"/>
          <w:highlight w:val="none"/>
        </w:rPr>
      </w:pPr>
      <w:r>
        <w:rPr>
          <w:rFonts w:hint="eastAsia" w:ascii="宋体" w:cs="宋体"/>
          <w:b/>
          <w:bCs/>
          <w:color w:val="auto"/>
          <w:kern w:val="0"/>
          <w:sz w:val="24"/>
          <w:highlight w:val="none"/>
        </w:rPr>
        <w:t>八、投标地点：详见本</w:t>
      </w:r>
      <w:r>
        <w:rPr>
          <w:rFonts w:hint="eastAsia" w:ascii="宋体" w:cs="宋体"/>
          <w:b/>
          <w:bCs/>
          <w:color w:val="auto"/>
          <w:kern w:val="0"/>
          <w:sz w:val="24"/>
          <w:highlight w:val="none"/>
          <w:lang w:eastAsia="zh-CN"/>
        </w:rPr>
        <w:t>项目</w:t>
      </w:r>
      <w:r>
        <w:rPr>
          <w:rFonts w:hint="eastAsia" w:ascii="宋体" w:cs="宋体"/>
          <w:b/>
          <w:bCs/>
          <w:color w:val="auto"/>
          <w:kern w:val="0"/>
          <w:sz w:val="24"/>
          <w:highlight w:val="none"/>
        </w:rPr>
        <w:t>招标公告</w:t>
      </w:r>
      <w:r>
        <w:rPr>
          <w:rFonts w:hint="eastAsia" w:ascii="宋体"/>
          <w:b/>
          <w:bCs/>
          <w:color w:val="auto"/>
          <w:sz w:val="24"/>
          <w:highlight w:val="none"/>
        </w:rPr>
        <w:t>；</w:t>
      </w:r>
    </w:p>
    <w:p w14:paraId="7563C12A">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b/>
          <w:bCs/>
          <w:color w:val="auto"/>
          <w:sz w:val="24"/>
          <w:highlight w:val="none"/>
        </w:rPr>
      </w:pPr>
      <w:r>
        <w:rPr>
          <w:rFonts w:hint="eastAsia" w:ascii="宋体"/>
          <w:b/>
          <w:bCs/>
          <w:color w:val="auto"/>
          <w:sz w:val="24"/>
          <w:highlight w:val="none"/>
        </w:rPr>
        <w:t>九、开标时间：</w:t>
      </w:r>
      <w:r>
        <w:rPr>
          <w:rFonts w:hint="eastAsia" w:ascii="宋体" w:cs="宋体"/>
          <w:b/>
          <w:bCs/>
          <w:color w:val="auto"/>
          <w:kern w:val="0"/>
          <w:sz w:val="24"/>
          <w:highlight w:val="none"/>
          <w:u w:val="single"/>
          <w:lang w:val="en-US" w:eastAsia="zh-CN"/>
        </w:rPr>
        <w:t>2024年10月25日9:00（北京时间）</w:t>
      </w:r>
      <w:r>
        <w:rPr>
          <w:rFonts w:hint="eastAsia" w:ascii="宋体"/>
          <w:b/>
          <w:bCs/>
          <w:color w:val="auto"/>
          <w:sz w:val="24"/>
          <w:highlight w:val="none"/>
        </w:rPr>
        <w:t>；</w:t>
      </w:r>
      <w:r>
        <w:rPr>
          <w:rFonts w:hint="eastAsia" w:ascii="宋体" w:hAnsi="宋体" w:cs="宋体"/>
          <w:color w:val="auto"/>
          <w:sz w:val="24"/>
          <w:highlight w:val="none"/>
        </w:rPr>
        <w:t xml:space="preserve"> </w:t>
      </w:r>
      <w:r>
        <w:rPr>
          <w:rFonts w:hint="eastAsia" w:ascii="宋体"/>
          <w:b/>
          <w:bCs/>
          <w:color w:val="auto"/>
          <w:sz w:val="24"/>
          <w:highlight w:val="none"/>
        </w:rPr>
        <w:t xml:space="preserve">  </w:t>
      </w:r>
    </w:p>
    <w:p w14:paraId="6AADEE79">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b/>
          <w:bCs/>
          <w:color w:val="auto"/>
          <w:sz w:val="24"/>
          <w:highlight w:val="none"/>
        </w:rPr>
      </w:pPr>
      <w:r>
        <w:rPr>
          <w:rFonts w:hint="eastAsia" w:ascii="宋体"/>
          <w:b/>
          <w:bCs/>
          <w:color w:val="auto"/>
          <w:sz w:val="24"/>
          <w:highlight w:val="none"/>
        </w:rPr>
        <w:t>十、开标地点：</w:t>
      </w:r>
      <w:r>
        <w:rPr>
          <w:rFonts w:hint="eastAsia" w:ascii="宋体" w:cs="宋体"/>
          <w:b/>
          <w:bCs/>
          <w:color w:val="auto"/>
          <w:kern w:val="0"/>
          <w:sz w:val="24"/>
          <w:highlight w:val="none"/>
        </w:rPr>
        <w:t>详见本</w:t>
      </w:r>
      <w:r>
        <w:rPr>
          <w:rFonts w:hint="eastAsia" w:ascii="宋体" w:cs="宋体"/>
          <w:b/>
          <w:bCs/>
          <w:color w:val="auto"/>
          <w:kern w:val="0"/>
          <w:sz w:val="24"/>
          <w:highlight w:val="none"/>
          <w:lang w:eastAsia="zh-CN"/>
        </w:rPr>
        <w:t>项目</w:t>
      </w:r>
      <w:r>
        <w:rPr>
          <w:rFonts w:hint="eastAsia" w:ascii="宋体" w:cs="宋体"/>
          <w:b/>
          <w:bCs/>
          <w:color w:val="auto"/>
          <w:kern w:val="0"/>
          <w:sz w:val="24"/>
          <w:highlight w:val="none"/>
        </w:rPr>
        <w:t>招标公告</w:t>
      </w:r>
      <w:r>
        <w:rPr>
          <w:rFonts w:hint="eastAsia" w:ascii="宋体"/>
          <w:b/>
          <w:bCs/>
          <w:color w:val="auto"/>
          <w:sz w:val="24"/>
          <w:highlight w:val="none"/>
        </w:rPr>
        <w:t>；</w:t>
      </w:r>
    </w:p>
    <w:p w14:paraId="368F6920">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b/>
          <w:bCs/>
          <w:color w:val="auto"/>
          <w:sz w:val="24"/>
          <w:highlight w:val="none"/>
        </w:rPr>
      </w:pPr>
      <w:r>
        <w:rPr>
          <w:rFonts w:hint="eastAsia" w:ascii="宋体"/>
          <w:b/>
          <w:bCs/>
          <w:color w:val="auto"/>
          <w:sz w:val="24"/>
          <w:highlight w:val="none"/>
        </w:rPr>
        <w:t>十一、投标保证金：不提供。</w:t>
      </w:r>
    </w:p>
    <w:p w14:paraId="239D5879">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u w:val="single"/>
        </w:rPr>
      </w:pPr>
      <w:r>
        <w:rPr>
          <w:rFonts w:hint="eastAsia" w:ascii="宋体"/>
          <w:b/>
          <w:bCs/>
          <w:color w:val="auto"/>
          <w:sz w:val="24"/>
          <w:highlight w:val="none"/>
        </w:rPr>
        <w:t>十二、在线投标响应（电子投标）说明</w:t>
      </w:r>
    </w:p>
    <w:p w14:paraId="1834250A">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u w:val="single"/>
        </w:rPr>
      </w:pPr>
      <w:r>
        <w:rPr>
          <w:rFonts w:hint="eastAsia" w:ascii="宋体" w:cs="宋体"/>
          <w:b/>
          <w:bCs/>
          <w:color w:val="auto"/>
          <w:kern w:val="0"/>
          <w:sz w:val="24"/>
          <w:highlight w:val="none"/>
          <w:u w:val="single"/>
        </w:rPr>
        <w:t>1、本项目通过“政府采购云平台（www.zcygov.cn）”实行在线投标响应（电子投标），供应商应先安装“政采云电子交易客户端”，并按照本招标文件和“政府采购云平台”的要求，通过“政采云电子交易客户端”编制并加密投标文件。</w:t>
      </w:r>
      <w:r>
        <w:rPr>
          <w:rFonts w:hint="eastAsia" w:ascii="宋体" w:hAnsi="宋体" w:eastAsia="宋体" w:cs="宋体"/>
          <w:color w:val="auto"/>
          <w:highlight w:val="none"/>
          <w:vertAlign w:val="baseline"/>
          <w:lang w:val="en-US" w:eastAsia="zh-CN"/>
        </w:rPr>
        <w:t>▲</w:t>
      </w:r>
      <w:r>
        <w:rPr>
          <w:rFonts w:hint="eastAsia" w:ascii="宋体" w:cs="宋体"/>
          <w:b/>
          <w:bCs/>
          <w:color w:val="auto"/>
          <w:kern w:val="0"/>
          <w:sz w:val="24"/>
          <w:highlight w:val="none"/>
          <w:u w:val="single"/>
        </w:rPr>
        <w:t>供应商未按规定加密的投标文件，“政府采购云平台”将予以拒收。</w:t>
      </w:r>
    </w:p>
    <w:p w14:paraId="3B191F37">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u w:val="single"/>
        </w:rPr>
      </w:pPr>
      <w:r>
        <w:rPr>
          <w:rFonts w:hint="eastAsia" w:ascii="宋体" w:cs="宋体"/>
          <w:b/>
          <w:bCs/>
          <w:color w:val="auto"/>
          <w:kern w:val="0"/>
          <w:sz w:val="24"/>
          <w:highlight w:val="none"/>
        </w:rPr>
        <w:t>“政采云电子交易客户端”请自行前往“浙江政府采购网-下载专区-电子交易客户端”进行下载；电子投标具</w:t>
      </w:r>
      <w:r>
        <w:rPr>
          <w:rFonts w:hint="eastAsia" w:ascii="宋体" w:cs="宋体"/>
          <w:b/>
          <w:bCs/>
          <w:color w:val="auto"/>
          <w:kern w:val="0"/>
          <w:sz w:val="24"/>
          <w:highlight w:val="none"/>
          <w:u w:val="single"/>
        </w:rPr>
        <w:t>体操作流程详见《供应商项目采购-电子招投标操作指南》；通过“政府采购云平台”参与在线投标时如遇平台技术问题详询</w:t>
      </w:r>
      <w:r>
        <w:rPr>
          <w:rFonts w:hint="eastAsia" w:ascii="宋体" w:cs="宋体"/>
          <w:b/>
          <w:bCs/>
          <w:color w:val="auto"/>
          <w:kern w:val="0"/>
          <w:sz w:val="24"/>
          <w:highlight w:val="none"/>
          <w:u w:val="single"/>
          <w:lang w:val="en-US" w:eastAsia="zh-CN"/>
        </w:rPr>
        <w:t>95763</w:t>
      </w:r>
      <w:r>
        <w:rPr>
          <w:rFonts w:hint="eastAsia" w:ascii="宋体" w:cs="宋体"/>
          <w:b/>
          <w:bCs/>
          <w:color w:val="auto"/>
          <w:kern w:val="0"/>
          <w:sz w:val="24"/>
          <w:highlight w:val="none"/>
          <w:u w:val="single"/>
        </w:rPr>
        <w:t>。</w:t>
      </w:r>
    </w:p>
    <w:p w14:paraId="4AF9403B">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宋体"/>
          <w:b/>
          <w:bCs/>
          <w:color w:val="auto"/>
          <w:kern w:val="0"/>
          <w:sz w:val="24"/>
          <w:highlight w:val="none"/>
          <w:u w:val="single"/>
        </w:rPr>
        <w:t>2、为确保网上操作合法、有效和安全，投标供应商应当在投标截止时间前完成在“政府采购云平台”的身份认证，确保在电子投标过程中能够对相关数据电文进行加密和使用电子签章。</w:t>
      </w:r>
      <w:r>
        <w:rPr>
          <w:rFonts w:hint="eastAsia" w:ascii="宋体" w:cs="宋体"/>
          <w:b/>
          <w:bCs/>
          <w:color w:val="auto"/>
          <w:kern w:val="0"/>
          <w:sz w:val="24"/>
          <w:highlight w:val="none"/>
        </w:rPr>
        <w:t>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宋体" w:cs="宋体"/>
          <w:b/>
          <w:bCs/>
          <w:color w:val="auto"/>
          <w:kern w:val="0"/>
          <w:sz w:val="24"/>
          <w:highlight w:val="none"/>
        </w:rPr>
        <w:t>CA驱动和申领流程</w:t>
      </w:r>
      <w:r>
        <w:rPr>
          <w:rFonts w:hint="eastAsia" w:ascii="宋体" w:cs="宋体"/>
          <w:b/>
          <w:bCs/>
          <w:color w:val="auto"/>
          <w:kern w:val="0"/>
          <w:sz w:val="24"/>
          <w:highlight w:val="none"/>
        </w:rPr>
        <w:fldChar w:fldCharType="end"/>
      </w:r>
      <w:r>
        <w:rPr>
          <w:rFonts w:hint="eastAsia" w:ascii="宋体" w:cs="宋体"/>
          <w:b/>
          <w:bCs/>
          <w:color w:val="auto"/>
          <w:kern w:val="0"/>
          <w:sz w:val="24"/>
          <w:highlight w:val="none"/>
        </w:rPr>
        <w:t>”进行查阅；</w:t>
      </w:r>
    </w:p>
    <w:p w14:paraId="6BAA64C9">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20" w:firstLineChars="200"/>
        <w:textAlignment w:val="auto"/>
        <w:rPr>
          <w:rFonts w:ascii="宋体" w:cs="宋体"/>
          <w:b/>
          <w:bCs/>
          <w:color w:val="auto"/>
          <w:kern w:val="0"/>
          <w:sz w:val="24"/>
          <w:highlight w:val="none"/>
          <w:u w:val="single"/>
        </w:rPr>
      </w:pPr>
      <w:r>
        <w:rPr>
          <w:rFonts w:hint="eastAsia" w:ascii="宋体" w:hAnsi="宋体" w:eastAsia="宋体" w:cs="宋体"/>
          <w:color w:val="auto"/>
          <w:highlight w:val="none"/>
          <w:vertAlign w:val="baseline"/>
          <w:lang w:val="en-US" w:eastAsia="zh-CN"/>
        </w:rPr>
        <w:t>▲</w:t>
      </w:r>
      <w:r>
        <w:rPr>
          <w:rFonts w:hint="eastAsia" w:ascii="宋体" w:cs="宋体"/>
          <w:b/>
          <w:bCs/>
          <w:color w:val="auto"/>
          <w:kern w:val="0"/>
          <w:sz w:val="24"/>
          <w:highlight w:val="none"/>
          <w:u w:val="single"/>
        </w:rPr>
        <w:t>3、投标供应商应当在投标截止时间前，将生成的“电子加密投标文件”上传递交至“政府采购云平台”。投标截止时间以后上传递交的投标文件将被“政府采购云平台”拒收。</w:t>
      </w:r>
    </w:p>
    <w:p w14:paraId="0005A115">
      <w:pPr>
        <w:keepNext w:val="0"/>
        <w:keepLines w:val="0"/>
        <w:pageBreakBefore w:val="0"/>
        <w:kinsoku/>
        <w:wordWrap/>
        <w:overflowPunct/>
        <w:topLinePunct w:val="0"/>
        <w:bidi w:val="0"/>
        <w:spacing w:line="360" w:lineRule="auto"/>
        <w:ind w:left="0" w:leftChars="0" w:right="0" w:rightChars="0" w:firstLine="482" w:firstLineChars="200"/>
        <w:textAlignment w:val="auto"/>
        <w:rPr>
          <w:rFonts w:ascii="宋体" w:cs="宋体"/>
          <w:b/>
          <w:bCs/>
          <w:color w:val="auto"/>
          <w:kern w:val="0"/>
          <w:sz w:val="24"/>
          <w:highlight w:val="none"/>
          <w:u w:val="single"/>
        </w:rPr>
      </w:pPr>
      <w:r>
        <w:rPr>
          <w:rFonts w:hint="eastAsia" w:ascii="宋体" w:cs="宋体"/>
          <w:b/>
          <w:bCs/>
          <w:color w:val="auto"/>
          <w:kern w:val="0"/>
          <w:sz w:val="24"/>
          <w:highlight w:val="none"/>
          <w:u w:val="single"/>
        </w:rPr>
        <w:t>4、</w:t>
      </w:r>
      <w:r>
        <w:rPr>
          <w:rFonts w:hint="eastAsia" w:ascii="宋体" w:hAnsi="Times New Roman" w:eastAsia="宋体" w:cs="宋体"/>
          <w:b/>
          <w:bCs/>
          <w:color w:val="auto"/>
          <w:kern w:val="0"/>
          <w:sz w:val="24"/>
          <w:highlight w:val="none"/>
          <w:u w:val="single"/>
        </w:rPr>
        <w:t>投标供应商在“政府采购云平台”完成“电子加密投标文件”的上传递交后，还可以在投标截止时间前递交</w:t>
      </w:r>
      <w:r>
        <w:rPr>
          <w:rFonts w:hint="eastAsia" w:ascii="宋体" w:hAnsi="Times New Roman" w:eastAsia="宋体" w:cs="宋体"/>
          <w:b/>
          <w:bCs/>
          <w:color w:val="auto"/>
          <w:kern w:val="0"/>
          <w:sz w:val="24"/>
          <w:highlight w:val="none"/>
          <w:u w:val="single"/>
          <w:lang w:eastAsia="zh-CN"/>
        </w:rPr>
        <w:t>（发送至采购代理机构指定邮箱）</w:t>
      </w:r>
      <w:r>
        <w:rPr>
          <w:rFonts w:hint="eastAsia" w:ascii="宋体" w:hAnsi="Times New Roman" w:eastAsia="宋体" w:cs="宋体"/>
          <w:b/>
          <w:bCs/>
          <w:color w:val="auto"/>
          <w:kern w:val="0"/>
          <w:sz w:val="24"/>
          <w:highlight w:val="none"/>
          <w:u w:val="single"/>
        </w:rPr>
        <w:t>经政采云平台加密处理的、以数据电文形式的 “备份投标文件”，可采用以下方式（逾期</w:t>
      </w:r>
      <w:r>
        <w:rPr>
          <w:rFonts w:hint="eastAsia" w:ascii="宋体" w:hAnsi="Times New Roman" w:eastAsia="宋体" w:cs="宋体"/>
          <w:b/>
          <w:bCs/>
          <w:color w:val="auto"/>
          <w:kern w:val="0"/>
          <w:sz w:val="24"/>
          <w:highlight w:val="none"/>
          <w:u w:val="single"/>
          <w:lang w:eastAsia="zh-CN"/>
        </w:rPr>
        <w:t>递交</w:t>
      </w:r>
      <w:r>
        <w:rPr>
          <w:rFonts w:hint="eastAsia" w:ascii="宋体" w:hAnsi="Times New Roman" w:eastAsia="宋体" w:cs="宋体"/>
          <w:b/>
          <w:bCs/>
          <w:color w:val="auto"/>
          <w:kern w:val="0"/>
          <w:sz w:val="24"/>
          <w:highlight w:val="none"/>
          <w:u w:val="single"/>
        </w:rPr>
        <w:t>将被</w:t>
      </w:r>
      <w:r>
        <w:rPr>
          <w:rFonts w:hint="eastAsia" w:ascii="宋体" w:hAnsi="Times New Roman" w:eastAsia="宋体" w:cs="宋体"/>
          <w:b/>
          <w:bCs/>
          <w:color w:val="auto"/>
          <w:kern w:val="0"/>
          <w:sz w:val="24"/>
          <w:highlight w:val="none"/>
          <w:u w:val="single"/>
          <w:lang w:eastAsia="zh-CN"/>
        </w:rPr>
        <w:t>视为未递交</w:t>
      </w:r>
      <w:r>
        <w:rPr>
          <w:rFonts w:hint="eastAsia" w:ascii="宋体" w:hAnsi="Times New Roman" w:eastAsia="宋体" w:cs="宋体"/>
          <w:b/>
          <w:bCs/>
          <w:color w:val="auto"/>
          <w:kern w:val="0"/>
          <w:sz w:val="24"/>
          <w:highlight w:val="none"/>
          <w:u w:val="single"/>
        </w:rPr>
        <w:t>）：在</w:t>
      </w:r>
      <w:r>
        <w:rPr>
          <w:rFonts w:hint="eastAsia" w:ascii="宋体" w:cs="宋体"/>
          <w:b/>
          <w:bCs/>
          <w:color w:val="auto"/>
          <w:kern w:val="0"/>
          <w:sz w:val="24"/>
          <w:highlight w:val="none"/>
          <w:u w:val="single"/>
          <w:lang w:eastAsia="zh-CN"/>
        </w:rPr>
        <w:t>投标</w:t>
      </w:r>
      <w:r>
        <w:rPr>
          <w:rFonts w:hint="eastAsia" w:ascii="宋体" w:hAnsi="Times New Roman" w:eastAsia="宋体" w:cs="宋体"/>
          <w:b/>
          <w:bCs/>
          <w:color w:val="auto"/>
          <w:kern w:val="0"/>
          <w:sz w:val="24"/>
          <w:highlight w:val="none"/>
          <w:u w:val="single"/>
        </w:rPr>
        <w:t>截止时间前</w:t>
      </w:r>
      <w:r>
        <w:rPr>
          <w:rFonts w:hint="eastAsia" w:ascii="宋体" w:hAnsi="Times New Roman" w:eastAsia="宋体" w:cs="宋体"/>
          <w:b/>
          <w:bCs/>
          <w:color w:val="auto"/>
          <w:kern w:val="0"/>
          <w:sz w:val="24"/>
          <w:highlight w:val="none"/>
          <w:u w:val="single"/>
          <w:lang w:eastAsia="zh-CN"/>
        </w:rPr>
        <w:t>递交（以邮箱收到时间为准）</w:t>
      </w:r>
      <w:r>
        <w:rPr>
          <w:rFonts w:hint="eastAsia" w:ascii="宋体" w:hAnsi="Times New Roman" w:eastAsia="宋体" w:cs="宋体"/>
          <w:b/>
          <w:bCs/>
          <w:color w:val="auto"/>
          <w:kern w:val="0"/>
          <w:sz w:val="24"/>
          <w:highlight w:val="none"/>
          <w:u w:val="single"/>
        </w:rPr>
        <w:t>到</w:t>
      </w:r>
      <w:r>
        <w:rPr>
          <w:rFonts w:hint="eastAsia" w:ascii="宋体" w:hAnsi="Times New Roman" w:eastAsia="宋体" w:cs="宋体"/>
          <w:b/>
          <w:bCs/>
          <w:color w:val="auto"/>
          <w:kern w:val="0"/>
          <w:sz w:val="24"/>
          <w:highlight w:val="none"/>
          <w:u w:val="single"/>
          <w:lang w:eastAsia="zh-CN"/>
        </w:rPr>
        <w:t>采购代理机构指定邮箱（投递邮箱：</w:t>
      </w:r>
      <w:r>
        <w:rPr>
          <w:rFonts w:hint="eastAsia" w:ascii="宋体" w:cs="宋体"/>
          <w:b/>
          <w:bCs/>
          <w:color w:val="auto"/>
          <w:kern w:val="0"/>
          <w:sz w:val="24"/>
          <w:highlight w:val="none"/>
          <w:u w:val="single"/>
          <w:lang w:val="en-US" w:eastAsia="zh-CN"/>
        </w:rPr>
        <w:t>234908526@qq.com</w:t>
      </w:r>
      <w:r>
        <w:rPr>
          <w:rFonts w:hint="default" w:ascii="宋体" w:hAnsi="Times New Roman" w:eastAsia="宋体" w:cs="宋体"/>
          <w:b/>
          <w:bCs/>
          <w:color w:val="auto"/>
          <w:kern w:val="0"/>
          <w:sz w:val="24"/>
          <w:highlight w:val="none"/>
          <w:u w:val="single"/>
          <w:lang w:eastAsia="zh-CN"/>
        </w:rPr>
        <w:t>，</w:t>
      </w:r>
      <w:r>
        <w:rPr>
          <w:rFonts w:hint="eastAsia" w:ascii="宋体" w:hAnsi="Times New Roman" w:eastAsia="宋体" w:cs="宋体"/>
          <w:b/>
          <w:bCs/>
          <w:color w:val="auto"/>
          <w:kern w:val="0"/>
          <w:sz w:val="24"/>
          <w:highlight w:val="none"/>
          <w:u w:val="single"/>
          <w:lang w:val="en-US" w:eastAsia="zh-Hans"/>
        </w:rPr>
        <w:t>邮件标题</w:t>
      </w:r>
      <w:r>
        <w:rPr>
          <w:rFonts w:hint="eastAsia" w:ascii="宋体" w:cs="宋体"/>
          <w:b/>
          <w:bCs/>
          <w:color w:val="auto"/>
          <w:kern w:val="0"/>
          <w:sz w:val="24"/>
          <w:highlight w:val="none"/>
          <w:u w:val="single"/>
          <w:lang w:val="en-US" w:eastAsia="zh-CN"/>
        </w:rPr>
        <w:t>建议</w:t>
      </w:r>
      <w:r>
        <w:rPr>
          <w:rFonts w:hint="eastAsia" w:ascii="宋体" w:hAnsi="Times New Roman" w:eastAsia="宋体" w:cs="宋体"/>
          <w:b/>
          <w:bCs/>
          <w:color w:val="auto"/>
          <w:kern w:val="0"/>
          <w:sz w:val="24"/>
          <w:highlight w:val="none"/>
          <w:u w:val="single"/>
          <w:lang w:val="en-US" w:eastAsia="zh-Hans"/>
        </w:rPr>
        <w:t>注明投标项目名称、投标单位名称</w:t>
      </w:r>
      <w:r>
        <w:rPr>
          <w:rFonts w:hint="eastAsia" w:ascii="宋体" w:hAnsi="Times New Roman" w:eastAsia="宋体" w:cs="宋体"/>
          <w:b/>
          <w:bCs/>
          <w:color w:val="auto"/>
          <w:kern w:val="0"/>
          <w:sz w:val="24"/>
          <w:highlight w:val="none"/>
          <w:u w:val="single"/>
          <w:lang w:eastAsia="zh-CN"/>
        </w:rPr>
        <w:t>）；备份响应文件由供应商自行确定是否提交，因备份响应文件未加密而造成失密等情况，采购代理机构概不负责。</w:t>
      </w:r>
      <w:r>
        <w:rPr>
          <w:rFonts w:hint="eastAsia" w:ascii="宋体" w:hAnsi="宋体" w:eastAsia="宋体" w:cs="宋体"/>
          <w:color w:val="auto"/>
          <w:highlight w:val="none"/>
          <w:vertAlign w:val="baseline"/>
          <w:lang w:val="en-US" w:eastAsia="zh-CN"/>
        </w:rPr>
        <w:t>▲</w:t>
      </w:r>
      <w:r>
        <w:rPr>
          <w:rFonts w:hint="eastAsia" w:ascii="宋体" w:hAnsi="Times New Roman" w:eastAsia="宋体" w:cs="宋体"/>
          <w:b/>
          <w:bCs/>
          <w:color w:val="auto"/>
          <w:kern w:val="0"/>
          <w:sz w:val="24"/>
          <w:highlight w:val="none"/>
          <w:u w:val="single"/>
          <w:lang w:eastAsia="zh-CN"/>
        </w:rPr>
        <w:t>未在系统上提交响应文件而仅提交备份响应文件的，其响应无效。</w:t>
      </w:r>
    </w:p>
    <w:p w14:paraId="4BB495AA">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cs="宋体"/>
          <w:b/>
          <w:bCs/>
          <w:color w:val="auto"/>
          <w:kern w:val="0"/>
          <w:sz w:val="24"/>
          <w:highlight w:val="none"/>
        </w:rPr>
      </w:pPr>
      <w:r>
        <w:rPr>
          <w:rFonts w:hint="eastAsia"/>
          <w:color w:val="auto"/>
          <w:sz w:val="24"/>
          <w:szCs w:val="24"/>
          <w:highlight w:val="none"/>
        </w:rPr>
        <w:t>▲</w:t>
      </w:r>
      <w:r>
        <w:rPr>
          <w:rFonts w:hint="eastAsia" w:ascii="宋体" w:cs="宋体"/>
          <w:b/>
          <w:bCs/>
          <w:color w:val="auto"/>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w:t>
      </w:r>
      <w:r>
        <w:rPr>
          <w:rFonts w:hint="eastAsia" w:ascii="宋体" w:cs="宋体"/>
          <w:b/>
          <w:bCs/>
          <w:color w:val="auto"/>
          <w:kern w:val="0"/>
          <w:sz w:val="24"/>
          <w:highlight w:val="none"/>
          <w:lang w:val="en-US" w:eastAsia="zh-CN"/>
        </w:rPr>
        <w:t xml:space="preserve"> </w:t>
      </w:r>
      <w:r>
        <w:rPr>
          <w:rFonts w:hint="eastAsia" w:ascii="宋体" w:cs="宋体"/>
          <w:b/>
          <w:bCs/>
          <w:color w:val="auto"/>
          <w:kern w:val="0"/>
          <w:sz w:val="24"/>
          <w:highlight w:val="none"/>
        </w:rPr>
        <w:t>仅递交备份投标文件的，投标无效。</w:t>
      </w:r>
    </w:p>
    <w:p w14:paraId="32E40C23">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2" w:firstLineChars="200"/>
        <w:textAlignment w:val="auto"/>
        <w:rPr>
          <w:rFonts w:ascii="宋体" w:cs="宋体"/>
          <w:b/>
          <w:bCs/>
          <w:color w:val="auto"/>
          <w:kern w:val="0"/>
          <w:sz w:val="24"/>
          <w:highlight w:val="none"/>
        </w:rPr>
      </w:pPr>
      <w:r>
        <w:rPr>
          <w:rFonts w:hint="eastAsia" w:ascii="宋体" w:cs="Arial"/>
          <w:b/>
          <w:bCs/>
          <w:color w:val="auto"/>
          <w:sz w:val="24"/>
          <w:highlight w:val="none"/>
        </w:rPr>
        <w:t>十三</w:t>
      </w:r>
      <w:r>
        <w:rPr>
          <w:rFonts w:ascii="宋体" w:cs="Arial"/>
          <w:b/>
          <w:bCs/>
          <w:color w:val="auto"/>
          <w:sz w:val="24"/>
          <w:highlight w:val="none"/>
        </w:rPr>
        <w:t>、</w:t>
      </w:r>
      <w:r>
        <w:rPr>
          <w:rFonts w:hint="eastAsia" w:ascii="宋体" w:cs="Arial"/>
          <w:b/>
          <w:color w:val="auto"/>
          <w:sz w:val="24"/>
          <w:highlight w:val="none"/>
        </w:rPr>
        <w:t>其他</w:t>
      </w:r>
      <w:r>
        <w:rPr>
          <w:rFonts w:hint="eastAsia" w:ascii="宋体" w:cs="宋体"/>
          <w:b/>
          <w:bCs/>
          <w:color w:val="auto"/>
          <w:kern w:val="0"/>
          <w:sz w:val="24"/>
          <w:highlight w:val="none"/>
        </w:rPr>
        <w:t>事项：</w:t>
      </w:r>
    </w:p>
    <w:p w14:paraId="20EB5D7D">
      <w:pPr>
        <w:keepNext w:val="0"/>
        <w:keepLines w:val="0"/>
        <w:pageBreakBefore w:val="0"/>
        <w:tabs>
          <w:tab w:val="left" w:pos="8620"/>
        </w:tabs>
        <w:kinsoku/>
        <w:wordWrap/>
        <w:overflowPunct/>
        <w:topLinePunct w:val="0"/>
        <w:autoSpaceDE w:val="0"/>
        <w:autoSpaceDN w:val="0"/>
        <w:bidi w:val="0"/>
        <w:adjustRightInd w:val="0"/>
        <w:spacing w:line="360" w:lineRule="auto"/>
        <w:ind w:left="0" w:leftChars="0" w:right="0" w:rightChars="0" w:firstLine="480" w:firstLineChars="200"/>
        <w:textAlignment w:val="auto"/>
        <w:rPr>
          <w:rFonts w:ascii="宋体" w:cs="宋体"/>
          <w:color w:val="auto"/>
          <w:kern w:val="0"/>
          <w:sz w:val="24"/>
          <w:highlight w:val="none"/>
        </w:rPr>
      </w:pPr>
      <w:r>
        <w:rPr>
          <w:rFonts w:hint="eastAsia" w:ascii="宋体" w:cs="宋体"/>
          <w:color w:val="auto"/>
          <w:kern w:val="0"/>
          <w:sz w:val="24"/>
          <w:highlight w:val="none"/>
        </w:rPr>
        <w:t>1、供应商认为采购文件使自己的权益受到损害的，可以自获取采购文件之日或者采购文件公告期限届满之日起7个工作日内，以书面形式一次性针对同一环节向采购人提出质疑，对其他</w:t>
      </w:r>
      <w:r>
        <w:rPr>
          <w:rFonts w:hint="eastAsia" w:ascii="宋体" w:cs="宋体"/>
          <w:color w:val="auto"/>
          <w:kern w:val="0"/>
          <w:sz w:val="24"/>
          <w:highlight w:val="none"/>
          <w:lang w:val="en-US" w:eastAsia="zh-CN"/>
        </w:rPr>
        <w:t>环节</w:t>
      </w:r>
      <w:r>
        <w:rPr>
          <w:rFonts w:hint="eastAsia" w:ascii="宋体" w:cs="宋体"/>
          <w:color w:val="auto"/>
          <w:kern w:val="0"/>
          <w:sz w:val="24"/>
          <w:highlight w:val="none"/>
        </w:rPr>
        <w:t>（如采购过程、采购结果）认为使自己的权益受到损害的，在知道或者应知其权益受到损害之日起7个工作日内，以书面形式一次性针对同一环节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929AD8">
      <w:pPr>
        <w:keepNext w:val="0"/>
        <w:keepLines w:val="0"/>
        <w:pageBreakBefore w:val="0"/>
        <w:kinsoku/>
        <w:wordWrap/>
        <w:overflowPunct/>
        <w:topLinePunct w:val="0"/>
        <w:bidi w:val="0"/>
        <w:spacing w:line="440" w:lineRule="exact"/>
        <w:ind w:left="0" w:leftChars="0" w:right="0" w:rightChars="0" w:firstLine="482" w:firstLineChars="200"/>
        <w:textAlignment w:val="auto"/>
        <w:rPr>
          <w:rFonts w:ascii="宋体"/>
          <w:b/>
          <w:color w:val="auto"/>
          <w:sz w:val="24"/>
          <w:highlight w:val="none"/>
        </w:rPr>
      </w:pPr>
      <w:r>
        <w:rPr>
          <w:rFonts w:hint="eastAsia" w:ascii="宋体"/>
          <w:b/>
          <w:color w:val="auto"/>
          <w:sz w:val="24"/>
          <w:highlight w:val="none"/>
        </w:rPr>
        <w:t>十四、联系方式：</w:t>
      </w:r>
    </w:p>
    <w:p w14:paraId="3A3F7F24">
      <w:pPr>
        <w:keepNext w:val="0"/>
        <w:keepLines w:val="0"/>
        <w:pageBreakBefore w:val="0"/>
        <w:kinsoku/>
        <w:wordWrap/>
        <w:overflowPunct/>
        <w:topLinePunct w:val="0"/>
        <w:bidi w:val="0"/>
        <w:spacing w:line="440" w:lineRule="exact"/>
        <w:ind w:left="0" w:leftChars="0" w:right="0" w:rightChars="0" w:firstLine="482" w:firstLineChars="200"/>
        <w:textAlignment w:val="auto"/>
        <w:rPr>
          <w:rFonts w:ascii="宋体"/>
          <w:b/>
          <w:color w:val="auto"/>
          <w:sz w:val="24"/>
          <w:highlight w:val="none"/>
        </w:rPr>
      </w:pPr>
      <w:r>
        <w:rPr>
          <w:rFonts w:hint="eastAsia" w:ascii="宋体"/>
          <w:b/>
          <w:color w:val="auto"/>
          <w:sz w:val="24"/>
          <w:highlight w:val="none"/>
        </w:rPr>
        <w:t>（一）采购代理机构</w:t>
      </w:r>
    </w:p>
    <w:p w14:paraId="1CA14302">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ascii="宋体"/>
          <w:b/>
          <w:color w:val="auto"/>
          <w:sz w:val="24"/>
          <w:highlight w:val="none"/>
        </w:rPr>
      </w:pPr>
      <w:r>
        <w:rPr>
          <w:rFonts w:hint="eastAsia" w:ascii="宋体" w:cs="Arial"/>
          <w:color w:val="auto"/>
          <w:sz w:val="24"/>
          <w:highlight w:val="none"/>
        </w:rPr>
        <w:t>采购代理机构名称：台州中亿工程管理有限公司</w:t>
      </w:r>
    </w:p>
    <w:p w14:paraId="6F330D39">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eastAsia="宋体" w:cs="Arial"/>
          <w:color w:val="auto"/>
          <w:sz w:val="24"/>
          <w:highlight w:val="none"/>
          <w:lang w:eastAsia="zh-CN"/>
        </w:rPr>
      </w:pPr>
      <w:r>
        <w:rPr>
          <w:rFonts w:hint="eastAsia" w:ascii="宋体" w:cs="Arial"/>
          <w:color w:val="auto"/>
          <w:sz w:val="24"/>
          <w:highlight w:val="none"/>
        </w:rPr>
        <w:t>项目联系人</w:t>
      </w:r>
      <w:r>
        <w:rPr>
          <w:rFonts w:hint="eastAsia" w:ascii="宋体" w:cs="Arial"/>
          <w:color w:val="auto"/>
          <w:sz w:val="24"/>
          <w:highlight w:val="none"/>
          <w:lang w:eastAsia="zh-Hans"/>
        </w:rPr>
        <w:t>（</w:t>
      </w:r>
      <w:r>
        <w:rPr>
          <w:rFonts w:hint="eastAsia" w:ascii="宋体" w:cs="Arial"/>
          <w:color w:val="auto"/>
          <w:sz w:val="24"/>
          <w:highlight w:val="none"/>
          <w:lang w:val="en-US" w:eastAsia="zh-Hans"/>
        </w:rPr>
        <w:t>询问等事宜）</w:t>
      </w:r>
      <w:r>
        <w:rPr>
          <w:rFonts w:hint="eastAsia" w:ascii="宋体" w:cs="Arial"/>
          <w:color w:val="auto"/>
          <w:sz w:val="24"/>
          <w:highlight w:val="none"/>
        </w:rPr>
        <w:t>：</w:t>
      </w:r>
      <w:r>
        <w:rPr>
          <w:rFonts w:hint="eastAsia" w:ascii="宋体"/>
          <w:color w:val="auto"/>
          <w:sz w:val="24"/>
          <w:highlight w:val="none"/>
          <w:lang w:val="en-US" w:eastAsia="zh-CN"/>
        </w:rPr>
        <w:t>李先生</w:t>
      </w:r>
    </w:p>
    <w:p w14:paraId="714CA503">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cs="Arial"/>
          <w:color w:val="auto"/>
          <w:sz w:val="24"/>
          <w:highlight w:val="none"/>
        </w:rPr>
      </w:pPr>
      <w:r>
        <w:rPr>
          <w:rFonts w:hint="eastAsia" w:ascii="宋体" w:cs="Arial"/>
          <w:color w:val="auto"/>
          <w:sz w:val="24"/>
          <w:highlight w:val="none"/>
        </w:rPr>
        <w:t>联系电话：</w:t>
      </w:r>
      <w:bookmarkStart w:id="1" w:name="B42_联系电话"/>
      <w:r>
        <w:rPr>
          <w:rFonts w:ascii="宋体"/>
          <w:color w:val="auto"/>
          <w:sz w:val="24"/>
          <w:highlight w:val="none"/>
        </w:rPr>
        <w:t>0576-88</w:t>
      </w:r>
      <w:bookmarkEnd w:id="1"/>
      <w:r>
        <w:rPr>
          <w:rFonts w:ascii="宋体"/>
          <w:color w:val="auto"/>
          <w:sz w:val="24"/>
          <w:highlight w:val="none"/>
        </w:rPr>
        <w:t>832068</w:t>
      </w:r>
      <w:r>
        <w:rPr>
          <w:rFonts w:hint="eastAsia" w:ascii="宋体" w:cs="Arial"/>
          <w:color w:val="auto"/>
          <w:sz w:val="24"/>
          <w:highlight w:val="none"/>
        </w:rPr>
        <w:t xml:space="preserve">     </w:t>
      </w:r>
    </w:p>
    <w:p w14:paraId="4ADB85AB">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ascii="宋体"/>
          <w:color w:val="auto"/>
          <w:kern w:val="0"/>
          <w:sz w:val="24"/>
          <w:highlight w:val="none"/>
        </w:rPr>
      </w:pPr>
      <w:r>
        <w:rPr>
          <w:rFonts w:hint="eastAsia" w:ascii="宋体" w:cs="Arial"/>
          <w:color w:val="auto"/>
          <w:sz w:val="24"/>
          <w:highlight w:val="none"/>
        </w:rPr>
        <w:t>地址：</w:t>
      </w:r>
      <w:r>
        <w:rPr>
          <w:rFonts w:hint="eastAsia" w:ascii="宋体"/>
          <w:color w:val="auto"/>
          <w:kern w:val="0"/>
          <w:sz w:val="24"/>
          <w:highlight w:val="none"/>
        </w:rPr>
        <w:t>浙江省台州市亿嘉路华中大厦</w:t>
      </w:r>
      <w:r>
        <w:rPr>
          <w:rFonts w:ascii="宋体"/>
          <w:color w:val="auto"/>
          <w:kern w:val="0"/>
          <w:sz w:val="24"/>
          <w:highlight w:val="none"/>
        </w:rPr>
        <w:t>1-701</w:t>
      </w:r>
    </w:p>
    <w:p w14:paraId="0D78EC1B">
      <w:pPr>
        <w:keepNext w:val="0"/>
        <w:keepLines w:val="0"/>
        <w:pageBreakBefore w:val="0"/>
        <w:tabs>
          <w:tab w:val="left" w:pos="426"/>
        </w:tabs>
        <w:kinsoku/>
        <w:wordWrap/>
        <w:overflowPunct/>
        <w:topLinePunct w:val="0"/>
        <w:autoSpaceDE w:val="0"/>
        <w:autoSpaceDN w:val="0"/>
        <w:bidi w:val="0"/>
        <w:adjustRightInd w:val="0"/>
        <w:spacing w:line="360" w:lineRule="auto"/>
        <w:ind w:left="0" w:leftChars="0" w:right="0" w:rightChars="0" w:firstLine="480" w:firstLineChars="200"/>
        <w:textAlignment w:val="auto"/>
        <w:rPr>
          <w:rFonts w:hint="eastAsia" w:ascii="宋体" w:eastAsia="宋体"/>
          <w:color w:val="auto"/>
          <w:kern w:val="0"/>
          <w:sz w:val="24"/>
          <w:highlight w:val="none"/>
        </w:rPr>
      </w:pPr>
      <w:r>
        <w:rPr>
          <w:rFonts w:hint="eastAsia" w:ascii="宋体" w:eastAsia="宋体"/>
          <w:color w:val="auto"/>
          <w:kern w:val="0"/>
          <w:sz w:val="24"/>
          <w:highlight w:val="none"/>
        </w:rPr>
        <w:t>质疑接收人：戴林平</w:t>
      </w:r>
    </w:p>
    <w:p w14:paraId="192235F7">
      <w:pPr>
        <w:keepNext w:val="0"/>
        <w:keepLines w:val="0"/>
        <w:pageBreakBefore w:val="0"/>
        <w:tabs>
          <w:tab w:val="left" w:pos="426"/>
        </w:tabs>
        <w:kinsoku/>
        <w:wordWrap/>
        <w:overflowPunct/>
        <w:topLinePunct w:val="0"/>
        <w:autoSpaceDE w:val="0"/>
        <w:autoSpaceDN w:val="0"/>
        <w:bidi w:val="0"/>
        <w:adjustRightInd w:val="0"/>
        <w:spacing w:line="360" w:lineRule="auto"/>
        <w:ind w:left="0" w:leftChars="0" w:right="0" w:rightChars="0" w:firstLine="480" w:firstLineChars="200"/>
        <w:textAlignment w:val="auto"/>
        <w:rPr>
          <w:rFonts w:hint="eastAsia" w:ascii="宋体" w:eastAsia="宋体"/>
          <w:color w:val="auto"/>
          <w:kern w:val="0"/>
          <w:sz w:val="24"/>
          <w:highlight w:val="none"/>
        </w:rPr>
      </w:pPr>
      <w:r>
        <w:rPr>
          <w:rFonts w:hint="eastAsia" w:ascii="宋体" w:eastAsia="宋体"/>
          <w:color w:val="auto"/>
          <w:kern w:val="0"/>
          <w:sz w:val="24"/>
          <w:highlight w:val="none"/>
        </w:rPr>
        <w:t>联系电话：13736686963</w:t>
      </w:r>
    </w:p>
    <w:p w14:paraId="24D5455E">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ascii="宋体"/>
          <w:color w:val="auto"/>
          <w:kern w:val="0"/>
          <w:sz w:val="24"/>
          <w:highlight w:val="none"/>
        </w:rPr>
      </w:pPr>
      <w:r>
        <w:rPr>
          <w:rFonts w:hint="eastAsia" w:ascii="宋体" w:cs="Arial"/>
          <w:color w:val="auto"/>
          <w:sz w:val="24"/>
          <w:highlight w:val="none"/>
        </w:rPr>
        <w:t>地址：</w:t>
      </w:r>
      <w:r>
        <w:rPr>
          <w:rFonts w:hint="eastAsia" w:ascii="宋体"/>
          <w:color w:val="auto"/>
          <w:kern w:val="0"/>
          <w:sz w:val="24"/>
          <w:highlight w:val="none"/>
        </w:rPr>
        <w:t>浙江省台州市亿嘉路华中大厦</w:t>
      </w:r>
      <w:r>
        <w:rPr>
          <w:rFonts w:ascii="宋体"/>
          <w:color w:val="auto"/>
          <w:kern w:val="0"/>
          <w:sz w:val="24"/>
          <w:highlight w:val="none"/>
        </w:rPr>
        <w:t>1-701</w:t>
      </w:r>
    </w:p>
    <w:p w14:paraId="66D08266">
      <w:pPr>
        <w:keepNext w:val="0"/>
        <w:keepLines w:val="0"/>
        <w:pageBreakBefore w:val="0"/>
        <w:kinsoku/>
        <w:wordWrap/>
        <w:overflowPunct/>
        <w:topLinePunct w:val="0"/>
        <w:bidi w:val="0"/>
        <w:snapToGrid w:val="0"/>
        <w:spacing w:line="440" w:lineRule="exact"/>
        <w:ind w:left="0" w:leftChars="0" w:right="0" w:rightChars="0" w:firstLine="482" w:firstLineChars="200"/>
        <w:textAlignment w:val="auto"/>
        <w:rPr>
          <w:rFonts w:ascii="宋体"/>
          <w:b/>
          <w:color w:val="auto"/>
          <w:sz w:val="24"/>
          <w:highlight w:val="none"/>
        </w:rPr>
      </w:pPr>
      <w:r>
        <w:rPr>
          <w:rFonts w:hint="eastAsia" w:ascii="宋体"/>
          <w:b/>
          <w:color w:val="auto"/>
          <w:sz w:val="24"/>
          <w:highlight w:val="none"/>
        </w:rPr>
        <w:t>（二）采购人</w:t>
      </w:r>
    </w:p>
    <w:p w14:paraId="4343D584">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cs="Arial"/>
          <w:color w:val="auto"/>
          <w:sz w:val="24"/>
          <w:highlight w:val="none"/>
          <w:lang w:eastAsia="zh-CN"/>
        </w:rPr>
      </w:pPr>
      <w:r>
        <w:rPr>
          <w:rFonts w:hint="eastAsia" w:ascii="宋体" w:cs="Arial"/>
          <w:color w:val="auto"/>
          <w:sz w:val="24"/>
          <w:highlight w:val="none"/>
        </w:rPr>
        <w:t>采购人名称：</w:t>
      </w:r>
      <w:r>
        <w:rPr>
          <w:rFonts w:hint="eastAsia" w:ascii="宋体" w:cs="Arial"/>
          <w:color w:val="auto"/>
          <w:sz w:val="24"/>
          <w:highlight w:val="none"/>
          <w:lang w:eastAsia="zh-CN"/>
        </w:rPr>
        <w:t>台州市椒江区人民政府海虹街道办事处</w:t>
      </w:r>
    </w:p>
    <w:p w14:paraId="37F0EE27">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cs="Arial"/>
          <w:color w:val="auto"/>
          <w:sz w:val="24"/>
          <w:highlight w:val="none"/>
        </w:rPr>
      </w:pPr>
      <w:r>
        <w:rPr>
          <w:rFonts w:hint="eastAsia" w:ascii="宋体" w:cs="Arial"/>
          <w:color w:val="auto"/>
          <w:sz w:val="24"/>
          <w:highlight w:val="none"/>
        </w:rPr>
        <w:t>联系人</w:t>
      </w:r>
      <w:r>
        <w:rPr>
          <w:rFonts w:hint="eastAsia" w:ascii="宋体" w:cs="Arial"/>
          <w:color w:val="auto"/>
          <w:sz w:val="24"/>
          <w:highlight w:val="none"/>
          <w:lang w:eastAsia="zh-Hans"/>
        </w:rPr>
        <w:t>（</w:t>
      </w:r>
      <w:r>
        <w:rPr>
          <w:rFonts w:hint="eastAsia" w:ascii="宋体" w:cs="Arial"/>
          <w:color w:val="auto"/>
          <w:sz w:val="24"/>
          <w:highlight w:val="none"/>
          <w:lang w:val="en-US" w:eastAsia="zh-Hans"/>
        </w:rPr>
        <w:t>询问等事宜）</w:t>
      </w:r>
      <w:r>
        <w:rPr>
          <w:rFonts w:hint="eastAsia" w:ascii="宋体" w:cs="Arial"/>
          <w:color w:val="auto"/>
          <w:sz w:val="24"/>
          <w:highlight w:val="none"/>
        </w:rPr>
        <w:t>：</w:t>
      </w:r>
      <w:r>
        <w:rPr>
          <w:rFonts w:hint="eastAsia" w:ascii="宋体" w:cs="Arial"/>
          <w:color w:val="auto"/>
          <w:sz w:val="24"/>
          <w:highlight w:val="none"/>
          <w:lang w:val="en-US" w:eastAsia="zh-CN"/>
        </w:rPr>
        <w:t xml:space="preserve">陈先生   </w:t>
      </w:r>
      <w:r>
        <w:rPr>
          <w:rFonts w:hint="eastAsia" w:ascii="宋体" w:cs="Arial"/>
          <w:color w:val="auto"/>
          <w:sz w:val="24"/>
          <w:highlight w:val="none"/>
        </w:rPr>
        <w:t xml:space="preserve">  </w:t>
      </w:r>
    </w:p>
    <w:p w14:paraId="10A90875">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cs="Arial"/>
          <w:color w:val="auto"/>
          <w:sz w:val="24"/>
          <w:highlight w:val="none"/>
        </w:rPr>
      </w:pPr>
      <w:r>
        <w:rPr>
          <w:rFonts w:hint="eastAsia" w:ascii="宋体" w:cs="Arial"/>
          <w:color w:val="auto"/>
          <w:sz w:val="24"/>
          <w:highlight w:val="none"/>
        </w:rPr>
        <w:t>联系电话</w:t>
      </w:r>
      <w:r>
        <w:rPr>
          <w:rFonts w:hint="eastAsia" w:ascii="宋体" w:cs="Arial"/>
          <w:color w:val="auto"/>
          <w:sz w:val="24"/>
          <w:highlight w:val="none"/>
          <w:lang w:eastAsia="zh-CN"/>
        </w:rPr>
        <w:t>：</w:t>
      </w:r>
      <w:r>
        <w:rPr>
          <w:rFonts w:hint="eastAsia" w:ascii="宋体" w:cs="Arial"/>
          <w:color w:val="auto"/>
          <w:sz w:val="24"/>
          <w:highlight w:val="none"/>
          <w:lang w:val="en-US" w:eastAsia="zh-CN"/>
        </w:rPr>
        <w:t>0576-88865227</w:t>
      </w:r>
      <w:r>
        <w:rPr>
          <w:rFonts w:hint="eastAsia" w:ascii="宋体" w:cs="Arial"/>
          <w:color w:val="auto"/>
          <w:sz w:val="24"/>
          <w:highlight w:val="none"/>
        </w:rPr>
        <w:t xml:space="preserve">   </w:t>
      </w:r>
    </w:p>
    <w:p w14:paraId="0E271295">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cs="Arial"/>
          <w:color w:val="auto"/>
          <w:sz w:val="24"/>
          <w:highlight w:val="none"/>
        </w:rPr>
      </w:pPr>
      <w:r>
        <w:rPr>
          <w:rFonts w:hint="eastAsia" w:ascii="宋体" w:cs="Arial"/>
          <w:color w:val="auto"/>
          <w:sz w:val="24"/>
          <w:highlight w:val="none"/>
        </w:rPr>
        <w:t>采购人地址：</w:t>
      </w:r>
      <w:r>
        <w:rPr>
          <w:rFonts w:hint="eastAsia" w:ascii="宋体" w:cs="Arial"/>
          <w:color w:val="auto"/>
          <w:sz w:val="24"/>
          <w:highlight w:val="none"/>
          <w:lang w:val="en-US" w:eastAsia="zh-CN"/>
        </w:rPr>
        <w:t>台州市开发大道东段818号</w:t>
      </w:r>
      <w:r>
        <w:rPr>
          <w:rFonts w:hint="eastAsia" w:ascii="宋体" w:cs="Arial"/>
          <w:color w:val="auto"/>
          <w:sz w:val="24"/>
          <w:highlight w:val="none"/>
        </w:rPr>
        <w:t xml:space="preserve"> </w:t>
      </w:r>
      <w:r>
        <w:rPr>
          <w:rFonts w:hint="eastAsia" w:ascii="宋体" w:cs="Arial"/>
          <w:color w:val="auto"/>
          <w:sz w:val="24"/>
          <w:highlight w:val="none"/>
          <w:lang w:val="en-US" w:eastAsia="zh-CN"/>
        </w:rPr>
        <w:t xml:space="preserve"> </w:t>
      </w:r>
      <w:r>
        <w:rPr>
          <w:rFonts w:hint="eastAsia" w:ascii="宋体" w:cs="Arial"/>
          <w:color w:val="auto"/>
          <w:sz w:val="24"/>
          <w:highlight w:val="none"/>
        </w:rPr>
        <w:t xml:space="preserve">       </w:t>
      </w:r>
    </w:p>
    <w:p w14:paraId="1D6A7E62">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default" w:ascii="宋体" w:cs="Arial"/>
          <w:color w:val="auto"/>
          <w:sz w:val="24"/>
          <w:highlight w:val="none"/>
          <w:lang w:val="en-US" w:eastAsia="zh-CN"/>
        </w:rPr>
      </w:pPr>
      <w:r>
        <w:rPr>
          <w:rFonts w:hint="eastAsia" w:ascii="宋体" w:cs="Arial"/>
          <w:color w:val="auto"/>
          <w:sz w:val="24"/>
          <w:highlight w:val="none"/>
        </w:rPr>
        <w:t>质疑接收人：</w:t>
      </w:r>
      <w:r>
        <w:rPr>
          <w:rFonts w:hint="eastAsia" w:ascii="宋体" w:cs="Arial"/>
          <w:color w:val="auto"/>
          <w:sz w:val="24"/>
          <w:highlight w:val="none"/>
          <w:lang w:val="en-US" w:eastAsia="zh-CN"/>
        </w:rPr>
        <w:t xml:space="preserve">王国平 </w:t>
      </w:r>
    </w:p>
    <w:p w14:paraId="2756AC45">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cs="Arial"/>
          <w:color w:val="auto"/>
          <w:sz w:val="24"/>
          <w:highlight w:val="none"/>
        </w:rPr>
      </w:pPr>
      <w:r>
        <w:rPr>
          <w:rFonts w:hint="eastAsia" w:ascii="宋体" w:cs="Arial"/>
          <w:color w:val="auto"/>
          <w:sz w:val="24"/>
          <w:highlight w:val="none"/>
        </w:rPr>
        <w:t>联系电话：</w:t>
      </w:r>
      <w:r>
        <w:rPr>
          <w:rFonts w:hint="eastAsia" w:ascii="宋体" w:cs="Arial"/>
          <w:color w:val="auto"/>
          <w:sz w:val="24"/>
          <w:highlight w:val="none"/>
          <w:lang w:val="en-US" w:eastAsia="zh-CN"/>
        </w:rPr>
        <w:t>13867601582</w:t>
      </w:r>
      <w:r>
        <w:rPr>
          <w:rFonts w:hint="eastAsia" w:ascii="宋体" w:cs="Arial"/>
          <w:color w:val="auto"/>
          <w:sz w:val="24"/>
          <w:highlight w:val="none"/>
        </w:rPr>
        <w:t xml:space="preserve">  </w:t>
      </w:r>
    </w:p>
    <w:p w14:paraId="673964E9">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cs="Arial"/>
          <w:color w:val="auto"/>
          <w:sz w:val="24"/>
          <w:highlight w:val="none"/>
        </w:rPr>
      </w:pPr>
      <w:r>
        <w:rPr>
          <w:rFonts w:hint="eastAsia" w:ascii="宋体" w:cs="Arial"/>
          <w:color w:val="auto"/>
          <w:sz w:val="24"/>
          <w:highlight w:val="none"/>
        </w:rPr>
        <w:t>采购人地址：</w:t>
      </w:r>
      <w:r>
        <w:rPr>
          <w:rFonts w:hint="eastAsia" w:ascii="宋体" w:cs="Arial"/>
          <w:color w:val="auto"/>
          <w:sz w:val="24"/>
          <w:highlight w:val="none"/>
          <w:lang w:val="en-US" w:eastAsia="zh-CN"/>
        </w:rPr>
        <w:t>台州市开发大道东段818号</w:t>
      </w:r>
      <w:r>
        <w:rPr>
          <w:rFonts w:hint="eastAsia" w:ascii="宋体" w:cs="Arial"/>
          <w:color w:val="auto"/>
          <w:sz w:val="24"/>
          <w:highlight w:val="none"/>
        </w:rPr>
        <w:t xml:space="preserve"> </w:t>
      </w:r>
    </w:p>
    <w:p w14:paraId="42841424">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ascii="宋体"/>
          <w:b/>
          <w:color w:val="auto"/>
          <w:sz w:val="24"/>
          <w:highlight w:val="none"/>
        </w:rPr>
      </w:pPr>
      <w:r>
        <w:rPr>
          <w:rFonts w:hint="eastAsia" w:ascii="宋体" w:hAnsi="Times New Roman" w:eastAsia="宋体" w:cs="Arial"/>
          <w:color w:val="auto"/>
          <w:sz w:val="24"/>
          <w:highlight w:val="none"/>
          <w:lang w:val="en-US" w:eastAsia="zh-CN"/>
        </w:rPr>
        <w:t xml:space="preserve"> </w:t>
      </w:r>
      <w:r>
        <w:rPr>
          <w:rFonts w:hint="eastAsia" w:ascii="宋体"/>
          <w:b/>
          <w:color w:val="auto"/>
          <w:sz w:val="24"/>
          <w:highlight w:val="none"/>
        </w:rPr>
        <w:t>（三）同级政府采购监督管理部门</w:t>
      </w:r>
    </w:p>
    <w:p w14:paraId="0EB57C6B">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eastAsia="宋体" w:cs="Arial"/>
          <w:sz w:val="24"/>
          <w:highlight w:val="none"/>
        </w:rPr>
      </w:pPr>
      <w:r>
        <w:rPr>
          <w:rFonts w:hint="eastAsia" w:ascii="宋体" w:eastAsia="宋体" w:cs="Arial"/>
          <w:sz w:val="24"/>
          <w:highlight w:val="none"/>
        </w:rPr>
        <w:t>名称：台州市财政局政府采购监管处</w:t>
      </w:r>
    </w:p>
    <w:p w14:paraId="0CDF627E">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eastAsia="宋体" w:cs="Arial"/>
          <w:sz w:val="24"/>
          <w:highlight w:val="none"/>
        </w:rPr>
      </w:pPr>
      <w:r>
        <w:rPr>
          <w:rFonts w:hint="eastAsia" w:ascii="宋体" w:eastAsia="宋体" w:cs="Arial"/>
          <w:sz w:val="24"/>
          <w:highlight w:val="none"/>
        </w:rPr>
        <w:t xml:space="preserve">联系人：陈女士    </w:t>
      </w:r>
    </w:p>
    <w:p w14:paraId="5AC9A2D1">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hint="eastAsia" w:ascii="宋体" w:hAnsi="Times New Roman" w:eastAsia="宋体" w:cs="Arial"/>
          <w:color w:val="auto"/>
          <w:sz w:val="24"/>
          <w:highlight w:val="none"/>
          <w:lang w:eastAsia="zh-CN"/>
        </w:rPr>
      </w:pPr>
      <w:r>
        <w:rPr>
          <w:rFonts w:hint="eastAsia" w:ascii="宋体" w:eastAsia="宋体" w:cs="Arial"/>
          <w:sz w:val="24"/>
          <w:highlight w:val="none"/>
        </w:rPr>
        <w:t>监督投诉电话：0576-88206705</w:t>
      </w:r>
      <w:r>
        <w:rPr>
          <w:rFonts w:hint="eastAsia" w:ascii="宋体" w:hAnsi="宋体" w:cs="宋体"/>
          <w:color w:val="auto"/>
          <w:kern w:val="0"/>
          <w:sz w:val="24"/>
          <w:highlight w:val="none"/>
          <w:lang w:val="en-US" w:eastAsia="zh-CN"/>
        </w:rPr>
        <w:t xml:space="preserve"> </w:t>
      </w:r>
    </w:p>
    <w:p w14:paraId="6A032819">
      <w:pPr>
        <w:keepNext w:val="0"/>
        <w:keepLines w:val="0"/>
        <w:pageBreakBefore w:val="0"/>
        <w:kinsoku/>
        <w:wordWrap/>
        <w:overflowPunct/>
        <w:topLinePunct w:val="0"/>
        <w:bidi w:val="0"/>
        <w:snapToGrid w:val="0"/>
        <w:spacing w:line="440" w:lineRule="exact"/>
        <w:ind w:left="0" w:leftChars="0" w:right="0" w:rightChars="0" w:firstLine="482" w:firstLineChars="200"/>
        <w:textAlignment w:val="auto"/>
        <w:rPr>
          <w:rFonts w:ascii="宋体"/>
          <w:b/>
          <w:color w:val="auto"/>
          <w:sz w:val="24"/>
          <w:highlight w:val="none"/>
        </w:rPr>
      </w:pPr>
      <w:r>
        <w:rPr>
          <w:rFonts w:ascii="宋体"/>
          <w:b/>
          <w:color w:val="auto"/>
          <w:sz w:val="24"/>
          <w:highlight w:val="none"/>
        </w:rPr>
        <w:t>（四）其余事项</w:t>
      </w:r>
    </w:p>
    <w:p w14:paraId="6B9E7F33">
      <w:pPr>
        <w:keepNext w:val="0"/>
        <w:keepLines w:val="0"/>
        <w:pageBreakBefore w:val="0"/>
        <w:kinsoku/>
        <w:wordWrap/>
        <w:overflowPunct/>
        <w:topLinePunct w:val="0"/>
        <w:bidi w:val="0"/>
        <w:snapToGrid w:val="0"/>
        <w:spacing w:line="440" w:lineRule="exact"/>
        <w:ind w:left="0" w:leftChars="0" w:right="0" w:rightChars="0" w:firstLine="480" w:firstLineChars="200"/>
        <w:textAlignment w:val="auto"/>
        <w:rPr>
          <w:rFonts w:ascii="宋体"/>
          <w:b/>
          <w:color w:val="auto"/>
          <w:sz w:val="24"/>
          <w:highlight w:val="none"/>
        </w:rPr>
      </w:pPr>
      <w:r>
        <w:rPr>
          <w:rFonts w:hint="eastAsia" w:ascii="宋体" w:cs="Arial"/>
          <w:color w:val="auto"/>
          <w:sz w:val="24"/>
          <w:highlight w:val="none"/>
        </w:rPr>
        <w:t>中标人可根据项目情况及自身需求向以下银行申请企业贷款，利率从优。</w:t>
      </w:r>
      <w:r>
        <w:rPr>
          <w:rFonts w:eastAsia="微软雅黑"/>
          <w:color w:val="auto"/>
          <w:kern w:val="0"/>
          <w:sz w:val="23"/>
          <w:szCs w:val="23"/>
          <w:highlight w:val="none"/>
        </w:rPr>
        <w:t> </w:t>
      </w:r>
    </w:p>
    <w:tbl>
      <w:tblPr>
        <w:tblStyle w:val="35"/>
        <w:tblpPr w:leftFromText="180" w:rightFromText="180" w:vertAnchor="text" w:horzAnchor="page" w:tblpXSpec="center" w:tblpY="458"/>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585"/>
        <w:gridCol w:w="1677"/>
        <w:gridCol w:w="2550"/>
      </w:tblGrid>
      <w:tr w14:paraId="2A66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085" w:type="dxa"/>
            <w:vAlign w:val="center"/>
          </w:tcPr>
          <w:p w14:paraId="44096DB6">
            <w:pPr>
              <w:spacing w:line="360" w:lineRule="auto"/>
              <w:jc w:val="center"/>
              <w:rPr>
                <w:rFonts w:ascii="宋体" w:cs="宋体"/>
                <w:color w:val="auto"/>
                <w:szCs w:val="21"/>
                <w:highlight w:val="none"/>
              </w:rPr>
            </w:pPr>
            <w:r>
              <w:rPr>
                <w:rFonts w:hint="eastAsia" w:ascii="宋体" w:cs="宋体"/>
                <w:color w:val="auto"/>
                <w:szCs w:val="21"/>
                <w:highlight w:val="none"/>
              </w:rPr>
              <w:t>银行</w:t>
            </w:r>
          </w:p>
        </w:tc>
        <w:tc>
          <w:tcPr>
            <w:tcW w:w="1585" w:type="dxa"/>
            <w:vAlign w:val="center"/>
          </w:tcPr>
          <w:p w14:paraId="0CF8EF89">
            <w:pPr>
              <w:spacing w:line="360" w:lineRule="auto"/>
              <w:jc w:val="center"/>
              <w:rPr>
                <w:rFonts w:ascii="宋体" w:cs="宋体"/>
                <w:color w:val="auto"/>
                <w:szCs w:val="21"/>
                <w:highlight w:val="none"/>
              </w:rPr>
            </w:pPr>
            <w:r>
              <w:rPr>
                <w:rFonts w:hint="eastAsia" w:ascii="宋体" w:cs="宋体"/>
                <w:color w:val="auto"/>
                <w:szCs w:val="21"/>
                <w:highlight w:val="none"/>
              </w:rPr>
              <w:t>贷款年利率</w:t>
            </w:r>
          </w:p>
        </w:tc>
        <w:tc>
          <w:tcPr>
            <w:tcW w:w="1677" w:type="dxa"/>
            <w:vAlign w:val="center"/>
          </w:tcPr>
          <w:p w14:paraId="7C13FB4C">
            <w:pPr>
              <w:spacing w:line="360" w:lineRule="auto"/>
              <w:jc w:val="center"/>
              <w:rPr>
                <w:rFonts w:ascii="宋体" w:cs="宋体"/>
                <w:color w:val="auto"/>
                <w:szCs w:val="21"/>
                <w:highlight w:val="none"/>
              </w:rPr>
            </w:pPr>
            <w:r>
              <w:rPr>
                <w:rFonts w:hint="eastAsia" w:ascii="宋体" w:cs="宋体"/>
                <w:color w:val="auto"/>
                <w:szCs w:val="21"/>
                <w:highlight w:val="none"/>
              </w:rPr>
              <w:t>联系人</w:t>
            </w:r>
          </w:p>
        </w:tc>
        <w:tc>
          <w:tcPr>
            <w:tcW w:w="2550" w:type="dxa"/>
            <w:vAlign w:val="center"/>
          </w:tcPr>
          <w:p w14:paraId="64A9143E">
            <w:pPr>
              <w:spacing w:line="360" w:lineRule="auto"/>
              <w:jc w:val="center"/>
              <w:rPr>
                <w:rFonts w:ascii="宋体" w:cs="宋体"/>
                <w:color w:val="auto"/>
                <w:szCs w:val="21"/>
                <w:highlight w:val="none"/>
              </w:rPr>
            </w:pPr>
            <w:r>
              <w:rPr>
                <w:rFonts w:hint="eastAsia" w:ascii="宋体" w:cs="宋体"/>
                <w:color w:val="auto"/>
                <w:szCs w:val="21"/>
                <w:highlight w:val="none"/>
              </w:rPr>
              <w:t>联系电话</w:t>
            </w:r>
          </w:p>
        </w:tc>
      </w:tr>
      <w:tr w14:paraId="47C4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5" w:type="dxa"/>
            <w:vAlign w:val="center"/>
          </w:tcPr>
          <w:p w14:paraId="20A1154F">
            <w:pPr>
              <w:spacing w:line="360" w:lineRule="auto"/>
              <w:jc w:val="center"/>
              <w:rPr>
                <w:rFonts w:ascii="宋体" w:cs="宋体"/>
                <w:color w:val="auto"/>
                <w:szCs w:val="21"/>
                <w:highlight w:val="none"/>
              </w:rPr>
            </w:pPr>
            <w:r>
              <w:rPr>
                <w:rFonts w:hint="eastAsia" w:ascii="宋体" w:cs="宋体"/>
                <w:color w:val="auto"/>
                <w:szCs w:val="21"/>
                <w:highlight w:val="none"/>
              </w:rPr>
              <w:t>中国工商银行</w:t>
            </w:r>
          </w:p>
        </w:tc>
        <w:tc>
          <w:tcPr>
            <w:tcW w:w="1585" w:type="dxa"/>
            <w:vAlign w:val="center"/>
          </w:tcPr>
          <w:p w14:paraId="23C4ACCB">
            <w:pPr>
              <w:spacing w:line="360" w:lineRule="auto"/>
              <w:jc w:val="center"/>
              <w:rPr>
                <w:rFonts w:ascii="宋体" w:cs="宋体"/>
                <w:color w:val="auto"/>
                <w:szCs w:val="21"/>
                <w:highlight w:val="none"/>
              </w:rPr>
            </w:pPr>
            <w:r>
              <w:rPr>
                <w:rFonts w:hint="eastAsia" w:ascii="宋体" w:cs="宋体"/>
                <w:color w:val="auto"/>
                <w:szCs w:val="21"/>
                <w:highlight w:val="none"/>
              </w:rPr>
              <w:t>3.8%起</w:t>
            </w:r>
          </w:p>
        </w:tc>
        <w:tc>
          <w:tcPr>
            <w:tcW w:w="1677" w:type="dxa"/>
            <w:vAlign w:val="center"/>
          </w:tcPr>
          <w:p w14:paraId="3B70EF48">
            <w:pPr>
              <w:spacing w:line="360" w:lineRule="auto"/>
              <w:jc w:val="center"/>
              <w:rPr>
                <w:rFonts w:ascii="宋体" w:cs="宋体"/>
                <w:color w:val="auto"/>
                <w:szCs w:val="21"/>
                <w:highlight w:val="none"/>
              </w:rPr>
            </w:pPr>
            <w:r>
              <w:rPr>
                <w:rFonts w:hint="eastAsia" w:ascii="宋体" w:cs="宋体"/>
                <w:color w:val="auto"/>
                <w:szCs w:val="21"/>
                <w:highlight w:val="none"/>
              </w:rPr>
              <w:t>卢嘉诚</w:t>
            </w:r>
          </w:p>
        </w:tc>
        <w:tc>
          <w:tcPr>
            <w:tcW w:w="2550" w:type="dxa"/>
            <w:vAlign w:val="center"/>
          </w:tcPr>
          <w:p w14:paraId="60302416">
            <w:pPr>
              <w:spacing w:line="360" w:lineRule="auto"/>
              <w:jc w:val="center"/>
              <w:rPr>
                <w:rFonts w:ascii="宋体" w:cs="宋体"/>
                <w:color w:val="auto"/>
                <w:szCs w:val="21"/>
                <w:highlight w:val="none"/>
              </w:rPr>
            </w:pPr>
            <w:r>
              <w:rPr>
                <w:rFonts w:hint="eastAsia" w:ascii="宋体" w:cs="宋体"/>
                <w:color w:val="auto"/>
                <w:szCs w:val="21"/>
                <w:highlight w:val="none"/>
              </w:rPr>
              <w:t>13867658508</w:t>
            </w:r>
          </w:p>
        </w:tc>
      </w:tr>
      <w:tr w14:paraId="6CCC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7F8B3EEA">
            <w:pPr>
              <w:spacing w:line="360" w:lineRule="auto"/>
              <w:jc w:val="center"/>
              <w:rPr>
                <w:rFonts w:ascii="宋体" w:cs="宋体"/>
                <w:color w:val="auto"/>
                <w:szCs w:val="21"/>
                <w:highlight w:val="none"/>
              </w:rPr>
            </w:pPr>
            <w:r>
              <w:rPr>
                <w:rFonts w:hint="eastAsia" w:ascii="宋体" w:cs="宋体"/>
                <w:color w:val="auto"/>
                <w:szCs w:val="21"/>
                <w:highlight w:val="none"/>
              </w:rPr>
              <w:t>中国农业银行</w:t>
            </w:r>
          </w:p>
        </w:tc>
        <w:tc>
          <w:tcPr>
            <w:tcW w:w="1585" w:type="dxa"/>
            <w:vAlign w:val="center"/>
          </w:tcPr>
          <w:p w14:paraId="196BBEE9">
            <w:pPr>
              <w:spacing w:line="360" w:lineRule="auto"/>
              <w:jc w:val="center"/>
              <w:rPr>
                <w:rFonts w:ascii="宋体" w:cs="宋体"/>
                <w:color w:val="auto"/>
                <w:szCs w:val="21"/>
                <w:highlight w:val="none"/>
              </w:rPr>
            </w:pPr>
            <w:r>
              <w:rPr>
                <w:rFonts w:hint="eastAsia" w:ascii="宋体" w:cs="宋体"/>
                <w:color w:val="auto"/>
                <w:szCs w:val="21"/>
                <w:highlight w:val="none"/>
              </w:rPr>
              <w:t>3.8%起</w:t>
            </w:r>
          </w:p>
        </w:tc>
        <w:tc>
          <w:tcPr>
            <w:tcW w:w="1677" w:type="dxa"/>
            <w:vAlign w:val="center"/>
          </w:tcPr>
          <w:p w14:paraId="3B3397E6">
            <w:pPr>
              <w:spacing w:line="360" w:lineRule="auto"/>
              <w:jc w:val="center"/>
              <w:rPr>
                <w:rFonts w:ascii="宋体" w:cs="宋体"/>
                <w:color w:val="auto"/>
                <w:szCs w:val="21"/>
                <w:highlight w:val="none"/>
              </w:rPr>
            </w:pPr>
            <w:r>
              <w:rPr>
                <w:rFonts w:hint="eastAsia" w:ascii="宋体" w:cs="宋体"/>
                <w:color w:val="auto"/>
                <w:szCs w:val="21"/>
                <w:highlight w:val="none"/>
              </w:rPr>
              <w:t>龚盛</w:t>
            </w:r>
          </w:p>
        </w:tc>
        <w:tc>
          <w:tcPr>
            <w:tcW w:w="2550" w:type="dxa"/>
            <w:vAlign w:val="center"/>
          </w:tcPr>
          <w:p w14:paraId="2173ADDA">
            <w:pPr>
              <w:spacing w:line="360" w:lineRule="auto"/>
              <w:jc w:val="center"/>
              <w:rPr>
                <w:rFonts w:ascii="宋体" w:cs="宋体"/>
                <w:color w:val="auto"/>
                <w:szCs w:val="21"/>
                <w:highlight w:val="none"/>
              </w:rPr>
            </w:pPr>
            <w:r>
              <w:rPr>
                <w:rFonts w:hint="eastAsia" w:ascii="宋体" w:cs="宋体"/>
                <w:color w:val="auto"/>
                <w:szCs w:val="21"/>
                <w:highlight w:val="none"/>
              </w:rPr>
              <w:t>15858682216</w:t>
            </w:r>
          </w:p>
        </w:tc>
      </w:tr>
      <w:tr w14:paraId="587A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085" w:type="dxa"/>
            <w:vAlign w:val="center"/>
          </w:tcPr>
          <w:p w14:paraId="322F4813">
            <w:pPr>
              <w:spacing w:line="360" w:lineRule="auto"/>
              <w:jc w:val="center"/>
              <w:rPr>
                <w:rFonts w:ascii="宋体" w:cs="宋体"/>
                <w:color w:val="auto"/>
                <w:szCs w:val="21"/>
                <w:highlight w:val="none"/>
              </w:rPr>
            </w:pPr>
            <w:r>
              <w:rPr>
                <w:rFonts w:hint="eastAsia" w:ascii="宋体" w:cs="宋体"/>
                <w:color w:val="auto"/>
                <w:szCs w:val="21"/>
                <w:highlight w:val="none"/>
              </w:rPr>
              <w:t>中国建设银行</w:t>
            </w:r>
          </w:p>
        </w:tc>
        <w:tc>
          <w:tcPr>
            <w:tcW w:w="1585" w:type="dxa"/>
            <w:vAlign w:val="center"/>
          </w:tcPr>
          <w:p w14:paraId="37FF1BC8">
            <w:pPr>
              <w:spacing w:line="360" w:lineRule="auto"/>
              <w:jc w:val="center"/>
              <w:rPr>
                <w:rFonts w:ascii="宋体" w:cs="宋体"/>
                <w:color w:val="auto"/>
                <w:szCs w:val="21"/>
                <w:highlight w:val="none"/>
              </w:rPr>
            </w:pPr>
            <w:r>
              <w:rPr>
                <w:rFonts w:hint="eastAsia" w:ascii="宋体" w:cs="宋体"/>
                <w:color w:val="auto"/>
                <w:szCs w:val="21"/>
                <w:highlight w:val="none"/>
              </w:rPr>
              <w:t>3.8%起</w:t>
            </w:r>
          </w:p>
        </w:tc>
        <w:tc>
          <w:tcPr>
            <w:tcW w:w="1677" w:type="dxa"/>
            <w:vAlign w:val="center"/>
          </w:tcPr>
          <w:p w14:paraId="3C5BB681">
            <w:pPr>
              <w:spacing w:line="360" w:lineRule="auto"/>
              <w:jc w:val="center"/>
              <w:rPr>
                <w:rFonts w:ascii="宋体" w:cs="宋体"/>
                <w:color w:val="auto"/>
                <w:szCs w:val="21"/>
                <w:highlight w:val="none"/>
              </w:rPr>
            </w:pPr>
            <w:r>
              <w:rPr>
                <w:rFonts w:hint="eastAsia" w:ascii="宋体" w:cs="宋体"/>
                <w:color w:val="auto"/>
                <w:szCs w:val="21"/>
                <w:highlight w:val="none"/>
              </w:rPr>
              <w:t>梅晶晶</w:t>
            </w:r>
          </w:p>
        </w:tc>
        <w:tc>
          <w:tcPr>
            <w:tcW w:w="2550" w:type="dxa"/>
            <w:vAlign w:val="center"/>
          </w:tcPr>
          <w:p w14:paraId="260F6157">
            <w:pPr>
              <w:spacing w:line="360" w:lineRule="auto"/>
              <w:rPr>
                <w:rFonts w:ascii="宋体" w:cs="宋体"/>
                <w:color w:val="auto"/>
                <w:szCs w:val="21"/>
                <w:highlight w:val="none"/>
              </w:rPr>
            </w:pPr>
            <w:r>
              <w:rPr>
                <w:rFonts w:hint="eastAsia" w:ascii="宋体" w:cs="宋体"/>
                <w:color w:val="auto"/>
                <w:szCs w:val="21"/>
                <w:highlight w:val="none"/>
              </w:rPr>
              <w:t>88525339、13736585303</w:t>
            </w:r>
          </w:p>
        </w:tc>
      </w:tr>
      <w:tr w14:paraId="1F62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3B4FDD8F">
            <w:pPr>
              <w:spacing w:line="360" w:lineRule="auto"/>
              <w:jc w:val="center"/>
              <w:rPr>
                <w:rFonts w:ascii="宋体" w:cs="宋体"/>
                <w:color w:val="auto"/>
                <w:szCs w:val="21"/>
                <w:highlight w:val="none"/>
              </w:rPr>
            </w:pPr>
            <w:r>
              <w:rPr>
                <w:rFonts w:hint="eastAsia" w:ascii="宋体" w:cs="宋体"/>
                <w:color w:val="auto"/>
                <w:szCs w:val="21"/>
                <w:highlight w:val="none"/>
              </w:rPr>
              <w:t>中国银行</w:t>
            </w:r>
          </w:p>
        </w:tc>
        <w:tc>
          <w:tcPr>
            <w:tcW w:w="1585" w:type="dxa"/>
            <w:vAlign w:val="center"/>
          </w:tcPr>
          <w:p w14:paraId="564A61B8">
            <w:pPr>
              <w:spacing w:line="360" w:lineRule="auto"/>
              <w:jc w:val="center"/>
              <w:rPr>
                <w:rFonts w:ascii="宋体" w:cs="宋体"/>
                <w:color w:val="auto"/>
                <w:szCs w:val="21"/>
                <w:highlight w:val="none"/>
              </w:rPr>
            </w:pPr>
            <w:r>
              <w:rPr>
                <w:rFonts w:hint="eastAsia" w:ascii="宋体" w:cs="宋体"/>
                <w:color w:val="auto"/>
                <w:szCs w:val="21"/>
                <w:highlight w:val="none"/>
              </w:rPr>
              <w:t>3.75%起</w:t>
            </w:r>
          </w:p>
        </w:tc>
        <w:tc>
          <w:tcPr>
            <w:tcW w:w="1677" w:type="dxa"/>
            <w:vAlign w:val="center"/>
          </w:tcPr>
          <w:p w14:paraId="3F9DB8B2">
            <w:pPr>
              <w:spacing w:line="360" w:lineRule="auto"/>
              <w:jc w:val="center"/>
              <w:rPr>
                <w:rFonts w:ascii="宋体" w:cs="宋体"/>
                <w:color w:val="auto"/>
                <w:szCs w:val="21"/>
                <w:highlight w:val="none"/>
              </w:rPr>
            </w:pPr>
            <w:r>
              <w:rPr>
                <w:rFonts w:hint="eastAsia" w:ascii="宋体" w:cs="宋体"/>
                <w:color w:val="auto"/>
                <w:szCs w:val="21"/>
                <w:highlight w:val="none"/>
              </w:rPr>
              <w:t>任茜</w:t>
            </w:r>
          </w:p>
        </w:tc>
        <w:tc>
          <w:tcPr>
            <w:tcW w:w="2550" w:type="dxa"/>
            <w:vAlign w:val="center"/>
          </w:tcPr>
          <w:p w14:paraId="1CA4CABA">
            <w:pPr>
              <w:spacing w:line="360" w:lineRule="auto"/>
              <w:jc w:val="center"/>
              <w:rPr>
                <w:rFonts w:ascii="宋体" w:cs="宋体"/>
                <w:color w:val="auto"/>
                <w:szCs w:val="21"/>
                <w:highlight w:val="none"/>
              </w:rPr>
            </w:pPr>
            <w:r>
              <w:rPr>
                <w:rFonts w:hint="eastAsia" w:ascii="宋体" w:cs="宋体"/>
                <w:color w:val="auto"/>
                <w:szCs w:val="21"/>
                <w:highlight w:val="none"/>
              </w:rPr>
              <w:t>13857695378</w:t>
            </w:r>
          </w:p>
        </w:tc>
      </w:tr>
      <w:tr w14:paraId="6209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304A20BD">
            <w:pPr>
              <w:spacing w:line="360" w:lineRule="auto"/>
              <w:jc w:val="center"/>
              <w:rPr>
                <w:rFonts w:ascii="宋体" w:cs="宋体"/>
                <w:color w:val="auto"/>
                <w:szCs w:val="21"/>
                <w:highlight w:val="none"/>
              </w:rPr>
            </w:pPr>
            <w:r>
              <w:rPr>
                <w:rFonts w:hint="eastAsia" w:ascii="宋体" w:cs="宋体"/>
                <w:color w:val="auto"/>
                <w:szCs w:val="21"/>
                <w:highlight w:val="none"/>
              </w:rPr>
              <w:t>浦发银行台州分行</w:t>
            </w:r>
          </w:p>
        </w:tc>
        <w:tc>
          <w:tcPr>
            <w:tcW w:w="1585" w:type="dxa"/>
            <w:vAlign w:val="center"/>
          </w:tcPr>
          <w:p w14:paraId="7A1D2DD2">
            <w:pPr>
              <w:spacing w:line="360" w:lineRule="auto"/>
              <w:jc w:val="center"/>
              <w:rPr>
                <w:rFonts w:ascii="宋体" w:cs="宋体"/>
                <w:color w:val="auto"/>
                <w:szCs w:val="21"/>
                <w:highlight w:val="none"/>
              </w:rPr>
            </w:pPr>
            <w:r>
              <w:rPr>
                <w:rFonts w:hint="eastAsia" w:ascii="宋体" w:cs="宋体"/>
                <w:color w:val="auto"/>
                <w:szCs w:val="21"/>
                <w:highlight w:val="none"/>
              </w:rPr>
              <w:t>4.05%起</w:t>
            </w:r>
          </w:p>
        </w:tc>
        <w:tc>
          <w:tcPr>
            <w:tcW w:w="1677" w:type="dxa"/>
            <w:vAlign w:val="center"/>
          </w:tcPr>
          <w:p w14:paraId="34EE0D58">
            <w:pPr>
              <w:spacing w:line="360" w:lineRule="auto"/>
              <w:jc w:val="center"/>
              <w:rPr>
                <w:rFonts w:ascii="宋体" w:cs="宋体"/>
                <w:color w:val="auto"/>
                <w:szCs w:val="21"/>
                <w:highlight w:val="none"/>
              </w:rPr>
            </w:pPr>
            <w:r>
              <w:rPr>
                <w:rFonts w:hint="eastAsia" w:ascii="宋体" w:cs="宋体"/>
                <w:color w:val="auto"/>
                <w:szCs w:val="21"/>
                <w:highlight w:val="none"/>
              </w:rPr>
              <w:t>王渊</w:t>
            </w:r>
          </w:p>
        </w:tc>
        <w:tc>
          <w:tcPr>
            <w:tcW w:w="2550" w:type="dxa"/>
            <w:vAlign w:val="center"/>
          </w:tcPr>
          <w:p w14:paraId="353C3C0D">
            <w:pPr>
              <w:spacing w:line="360" w:lineRule="auto"/>
              <w:jc w:val="center"/>
              <w:rPr>
                <w:rFonts w:ascii="宋体" w:cs="宋体"/>
                <w:color w:val="auto"/>
                <w:szCs w:val="21"/>
                <w:highlight w:val="none"/>
              </w:rPr>
            </w:pPr>
            <w:r>
              <w:rPr>
                <w:rFonts w:hint="eastAsia" w:ascii="宋体" w:cs="宋体"/>
                <w:color w:val="auto"/>
                <w:szCs w:val="21"/>
                <w:highlight w:val="none"/>
              </w:rPr>
              <w:t>13616676319</w:t>
            </w:r>
          </w:p>
        </w:tc>
      </w:tr>
      <w:tr w14:paraId="23C1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661173C3">
            <w:pPr>
              <w:spacing w:line="360" w:lineRule="auto"/>
              <w:jc w:val="center"/>
              <w:rPr>
                <w:rFonts w:ascii="宋体" w:cs="宋体"/>
                <w:color w:val="auto"/>
                <w:szCs w:val="21"/>
                <w:highlight w:val="none"/>
              </w:rPr>
            </w:pPr>
            <w:r>
              <w:rPr>
                <w:rFonts w:hint="eastAsia" w:ascii="宋体" w:cs="宋体"/>
                <w:color w:val="auto"/>
                <w:szCs w:val="21"/>
                <w:highlight w:val="none"/>
              </w:rPr>
              <w:t>浦发银行椒江分行</w:t>
            </w:r>
          </w:p>
        </w:tc>
        <w:tc>
          <w:tcPr>
            <w:tcW w:w="1585" w:type="dxa"/>
            <w:vAlign w:val="center"/>
          </w:tcPr>
          <w:p w14:paraId="2EAEB259">
            <w:pPr>
              <w:spacing w:line="360" w:lineRule="auto"/>
              <w:jc w:val="center"/>
              <w:rPr>
                <w:rFonts w:ascii="宋体" w:cs="宋体"/>
                <w:color w:val="auto"/>
                <w:szCs w:val="21"/>
                <w:highlight w:val="none"/>
              </w:rPr>
            </w:pPr>
            <w:r>
              <w:rPr>
                <w:rFonts w:hint="eastAsia" w:ascii="宋体" w:cs="宋体"/>
                <w:color w:val="auto"/>
                <w:szCs w:val="21"/>
                <w:highlight w:val="none"/>
              </w:rPr>
              <w:t>4.05%起</w:t>
            </w:r>
          </w:p>
        </w:tc>
        <w:tc>
          <w:tcPr>
            <w:tcW w:w="1677" w:type="dxa"/>
            <w:vAlign w:val="center"/>
          </w:tcPr>
          <w:p w14:paraId="4BAE6B3A">
            <w:pPr>
              <w:spacing w:line="360" w:lineRule="auto"/>
              <w:jc w:val="center"/>
              <w:rPr>
                <w:rFonts w:ascii="宋体" w:cs="宋体"/>
                <w:color w:val="auto"/>
                <w:szCs w:val="21"/>
                <w:highlight w:val="none"/>
              </w:rPr>
            </w:pPr>
            <w:r>
              <w:rPr>
                <w:rFonts w:hint="eastAsia" w:ascii="宋体" w:cs="宋体"/>
                <w:color w:val="auto"/>
                <w:szCs w:val="21"/>
                <w:highlight w:val="none"/>
              </w:rPr>
              <w:t>孙瑞华</w:t>
            </w:r>
          </w:p>
        </w:tc>
        <w:tc>
          <w:tcPr>
            <w:tcW w:w="2550" w:type="dxa"/>
            <w:vAlign w:val="center"/>
          </w:tcPr>
          <w:p w14:paraId="6EB4E245">
            <w:pPr>
              <w:spacing w:line="360" w:lineRule="auto"/>
              <w:jc w:val="center"/>
              <w:rPr>
                <w:rFonts w:ascii="宋体" w:cs="宋体"/>
                <w:color w:val="auto"/>
                <w:szCs w:val="21"/>
                <w:highlight w:val="none"/>
              </w:rPr>
            </w:pPr>
            <w:r>
              <w:rPr>
                <w:rFonts w:hint="eastAsia" w:ascii="宋体" w:cs="宋体"/>
                <w:color w:val="auto"/>
                <w:szCs w:val="21"/>
                <w:highlight w:val="none"/>
              </w:rPr>
              <w:t>13857688081</w:t>
            </w:r>
          </w:p>
        </w:tc>
      </w:tr>
      <w:tr w14:paraId="55E3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61454B38">
            <w:pPr>
              <w:spacing w:line="360" w:lineRule="auto"/>
              <w:jc w:val="center"/>
              <w:rPr>
                <w:rFonts w:ascii="宋体" w:cs="宋体"/>
                <w:color w:val="auto"/>
                <w:szCs w:val="21"/>
                <w:highlight w:val="none"/>
              </w:rPr>
            </w:pPr>
            <w:r>
              <w:rPr>
                <w:rFonts w:hint="eastAsia" w:ascii="宋体" w:cs="宋体"/>
                <w:color w:val="auto"/>
                <w:szCs w:val="21"/>
                <w:highlight w:val="none"/>
              </w:rPr>
              <w:t>交通银行台州分行</w:t>
            </w:r>
          </w:p>
        </w:tc>
        <w:tc>
          <w:tcPr>
            <w:tcW w:w="1585" w:type="dxa"/>
            <w:vAlign w:val="center"/>
          </w:tcPr>
          <w:p w14:paraId="619FAA72">
            <w:pPr>
              <w:spacing w:line="360" w:lineRule="auto"/>
              <w:jc w:val="center"/>
              <w:rPr>
                <w:rFonts w:ascii="宋体" w:cs="宋体"/>
                <w:color w:val="auto"/>
                <w:szCs w:val="21"/>
                <w:highlight w:val="none"/>
              </w:rPr>
            </w:pPr>
            <w:r>
              <w:rPr>
                <w:rFonts w:hint="eastAsia" w:ascii="宋体" w:cs="宋体"/>
                <w:color w:val="auto"/>
                <w:szCs w:val="21"/>
                <w:highlight w:val="none"/>
              </w:rPr>
              <w:t>3.75%起</w:t>
            </w:r>
          </w:p>
        </w:tc>
        <w:tc>
          <w:tcPr>
            <w:tcW w:w="1677" w:type="dxa"/>
            <w:vAlign w:val="center"/>
          </w:tcPr>
          <w:p w14:paraId="32F5C523">
            <w:pPr>
              <w:spacing w:line="360" w:lineRule="auto"/>
              <w:jc w:val="center"/>
              <w:rPr>
                <w:rFonts w:ascii="宋体" w:cs="宋体"/>
                <w:color w:val="auto"/>
                <w:szCs w:val="21"/>
                <w:highlight w:val="none"/>
              </w:rPr>
            </w:pPr>
            <w:r>
              <w:rPr>
                <w:rFonts w:hint="eastAsia" w:ascii="宋体" w:cs="宋体"/>
                <w:color w:val="auto"/>
                <w:szCs w:val="21"/>
                <w:highlight w:val="none"/>
              </w:rPr>
              <w:t>周翔宇</w:t>
            </w:r>
          </w:p>
        </w:tc>
        <w:tc>
          <w:tcPr>
            <w:tcW w:w="2550" w:type="dxa"/>
            <w:vAlign w:val="center"/>
          </w:tcPr>
          <w:p w14:paraId="452E7A27">
            <w:pPr>
              <w:spacing w:line="360" w:lineRule="auto"/>
              <w:jc w:val="center"/>
              <w:rPr>
                <w:rFonts w:ascii="宋体" w:cs="宋体"/>
                <w:color w:val="auto"/>
                <w:szCs w:val="21"/>
                <w:highlight w:val="none"/>
              </w:rPr>
            </w:pPr>
            <w:r>
              <w:rPr>
                <w:rFonts w:hint="eastAsia" w:ascii="宋体" w:cs="宋体"/>
                <w:color w:val="auto"/>
                <w:szCs w:val="21"/>
                <w:highlight w:val="none"/>
              </w:rPr>
              <w:t>13867697018</w:t>
            </w:r>
          </w:p>
        </w:tc>
      </w:tr>
      <w:tr w14:paraId="7548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2EEA046E">
            <w:pPr>
              <w:spacing w:line="360" w:lineRule="auto"/>
              <w:jc w:val="center"/>
              <w:rPr>
                <w:rFonts w:ascii="宋体" w:cs="宋体"/>
                <w:color w:val="auto"/>
                <w:szCs w:val="21"/>
                <w:highlight w:val="none"/>
              </w:rPr>
            </w:pPr>
            <w:r>
              <w:rPr>
                <w:rFonts w:hint="eastAsia" w:ascii="宋体" w:cs="宋体"/>
                <w:color w:val="auto"/>
                <w:szCs w:val="21"/>
                <w:highlight w:val="none"/>
              </w:rPr>
              <w:t>招商银行台州分行</w:t>
            </w:r>
          </w:p>
        </w:tc>
        <w:tc>
          <w:tcPr>
            <w:tcW w:w="1585" w:type="dxa"/>
            <w:vAlign w:val="center"/>
          </w:tcPr>
          <w:p w14:paraId="300D76D6">
            <w:pPr>
              <w:spacing w:line="360" w:lineRule="auto"/>
              <w:jc w:val="center"/>
              <w:rPr>
                <w:rFonts w:ascii="宋体" w:cs="宋体"/>
                <w:color w:val="auto"/>
                <w:szCs w:val="21"/>
                <w:highlight w:val="none"/>
              </w:rPr>
            </w:pPr>
            <w:r>
              <w:rPr>
                <w:rFonts w:hint="eastAsia" w:ascii="宋体" w:cs="宋体"/>
                <w:color w:val="auto"/>
                <w:szCs w:val="21"/>
                <w:highlight w:val="none"/>
              </w:rPr>
              <w:t>4.32%起</w:t>
            </w:r>
          </w:p>
        </w:tc>
        <w:tc>
          <w:tcPr>
            <w:tcW w:w="1677" w:type="dxa"/>
            <w:vAlign w:val="center"/>
          </w:tcPr>
          <w:p w14:paraId="55BD7533">
            <w:pPr>
              <w:spacing w:line="360" w:lineRule="auto"/>
              <w:jc w:val="center"/>
              <w:rPr>
                <w:rFonts w:ascii="宋体" w:cs="宋体"/>
                <w:color w:val="auto"/>
                <w:szCs w:val="21"/>
                <w:highlight w:val="none"/>
              </w:rPr>
            </w:pPr>
            <w:r>
              <w:rPr>
                <w:rFonts w:hint="eastAsia" w:ascii="宋体" w:cs="宋体"/>
                <w:color w:val="auto"/>
                <w:szCs w:val="21"/>
                <w:highlight w:val="none"/>
              </w:rPr>
              <w:t>王海玲</w:t>
            </w:r>
          </w:p>
        </w:tc>
        <w:tc>
          <w:tcPr>
            <w:tcW w:w="2550" w:type="dxa"/>
            <w:vAlign w:val="center"/>
          </w:tcPr>
          <w:p w14:paraId="26E936A7">
            <w:pPr>
              <w:spacing w:line="360" w:lineRule="auto"/>
              <w:jc w:val="center"/>
              <w:rPr>
                <w:rFonts w:ascii="宋体" w:cs="宋体"/>
                <w:color w:val="auto"/>
                <w:szCs w:val="21"/>
                <w:highlight w:val="none"/>
              </w:rPr>
            </w:pPr>
            <w:r>
              <w:rPr>
                <w:rFonts w:hint="eastAsia" w:ascii="宋体" w:cs="宋体"/>
                <w:color w:val="auto"/>
                <w:szCs w:val="21"/>
                <w:highlight w:val="none"/>
              </w:rPr>
              <w:t>13566413827</w:t>
            </w:r>
          </w:p>
        </w:tc>
      </w:tr>
      <w:tr w14:paraId="4A87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3085" w:type="dxa"/>
            <w:vAlign w:val="center"/>
          </w:tcPr>
          <w:p w14:paraId="5B491FF5">
            <w:pPr>
              <w:spacing w:line="360" w:lineRule="auto"/>
              <w:jc w:val="center"/>
              <w:rPr>
                <w:rFonts w:ascii="宋体" w:cs="宋体"/>
                <w:color w:val="auto"/>
                <w:szCs w:val="21"/>
                <w:highlight w:val="none"/>
              </w:rPr>
            </w:pPr>
            <w:r>
              <w:rPr>
                <w:rFonts w:hint="eastAsia" w:ascii="宋体" w:cs="宋体"/>
                <w:color w:val="auto"/>
                <w:szCs w:val="21"/>
                <w:highlight w:val="none"/>
              </w:rPr>
              <w:t>浙商银行台州分行</w:t>
            </w:r>
          </w:p>
        </w:tc>
        <w:tc>
          <w:tcPr>
            <w:tcW w:w="1585" w:type="dxa"/>
            <w:vAlign w:val="center"/>
          </w:tcPr>
          <w:p w14:paraId="1B6D4A70">
            <w:pPr>
              <w:spacing w:line="360" w:lineRule="auto"/>
              <w:jc w:val="center"/>
              <w:rPr>
                <w:rFonts w:ascii="宋体" w:cs="宋体"/>
                <w:color w:val="auto"/>
                <w:szCs w:val="21"/>
                <w:highlight w:val="none"/>
              </w:rPr>
            </w:pPr>
            <w:r>
              <w:rPr>
                <w:rFonts w:hint="eastAsia" w:ascii="宋体" w:cs="宋体"/>
                <w:color w:val="auto"/>
                <w:szCs w:val="21"/>
                <w:highlight w:val="none"/>
              </w:rPr>
              <w:t>5.01%起</w:t>
            </w:r>
          </w:p>
        </w:tc>
        <w:tc>
          <w:tcPr>
            <w:tcW w:w="1677" w:type="dxa"/>
            <w:vAlign w:val="center"/>
          </w:tcPr>
          <w:p w14:paraId="5E29B8F5">
            <w:pPr>
              <w:spacing w:line="360" w:lineRule="auto"/>
              <w:jc w:val="center"/>
              <w:rPr>
                <w:rFonts w:ascii="宋体" w:cs="宋体"/>
                <w:color w:val="auto"/>
                <w:szCs w:val="21"/>
                <w:highlight w:val="none"/>
              </w:rPr>
            </w:pPr>
            <w:r>
              <w:rPr>
                <w:rFonts w:hint="eastAsia" w:ascii="宋体" w:cs="宋体"/>
                <w:color w:val="auto"/>
                <w:szCs w:val="21"/>
                <w:highlight w:val="none"/>
              </w:rPr>
              <w:t>章涉漪</w:t>
            </w:r>
          </w:p>
        </w:tc>
        <w:tc>
          <w:tcPr>
            <w:tcW w:w="2550" w:type="dxa"/>
            <w:vAlign w:val="center"/>
          </w:tcPr>
          <w:p w14:paraId="301007A0">
            <w:pPr>
              <w:spacing w:line="360" w:lineRule="auto"/>
              <w:rPr>
                <w:rFonts w:ascii="宋体" w:cs="宋体"/>
                <w:color w:val="auto"/>
                <w:szCs w:val="21"/>
                <w:highlight w:val="none"/>
              </w:rPr>
            </w:pPr>
            <w:r>
              <w:rPr>
                <w:rFonts w:hint="eastAsia" w:ascii="宋体" w:cs="宋体"/>
                <w:color w:val="auto"/>
                <w:szCs w:val="21"/>
                <w:highlight w:val="none"/>
              </w:rPr>
              <w:t>81880185、13606681262</w:t>
            </w:r>
          </w:p>
        </w:tc>
      </w:tr>
      <w:tr w14:paraId="4BC1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15BBEB3E">
            <w:pPr>
              <w:spacing w:line="360" w:lineRule="auto"/>
              <w:jc w:val="center"/>
              <w:rPr>
                <w:rFonts w:ascii="宋体" w:cs="宋体"/>
                <w:color w:val="auto"/>
                <w:szCs w:val="21"/>
                <w:highlight w:val="none"/>
              </w:rPr>
            </w:pPr>
            <w:r>
              <w:rPr>
                <w:rFonts w:hint="eastAsia" w:ascii="宋体" w:cs="宋体"/>
                <w:color w:val="auto"/>
                <w:szCs w:val="21"/>
                <w:highlight w:val="none"/>
              </w:rPr>
              <w:t>中信银行台州分行</w:t>
            </w:r>
          </w:p>
        </w:tc>
        <w:tc>
          <w:tcPr>
            <w:tcW w:w="1585" w:type="dxa"/>
            <w:vAlign w:val="center"/>
          </w:tcPr>
          <w:p w14:paraId="775C529D">
            <w:pPr>
              <w:spacing w:line="360" w:lineRule="auto"/>
              <w:jc w:val="center"/>
              <w:rPr>
                <w:rFonts w:ascii="宋体" w:cs="宋体"/>
                <w:color w:val="auto"/>
                <w:szCs w:val="21"/>
                <w:highlight w:val="none"/>
              </w:rPr>
            </w:pPr>
            <w:r>
              <w:rPr>
                <w:rFonts w:hint="eastAsia" w:ascii="宋体" w:cs="宋体"/>
                <w:color w:val="auto"/>
                <w:szCs w:val="21"/>
                <w:highlight w:val="none"/>
              </w:rPr>
              <w:t>4.15%起</w:t>
            </w:r>
          </w:p>
        </w:tc>
        <w:tc>
          <w:tcPr>
            <w:tcW w:w="1677" w:type="dxa"/>
            <w:vAlign w:val="center"/>
          </w:tcPr>
          <w:p w14:paraId="15409CFE">
            <w:pPr>
              <w:spacing w:line="360" w:lineRule="auto"/>
              <w:jc w:val="center"/>
              <w:rPr>
                <w:rFonts w:ascii="宋体" w:cs="宋体"/>
                <w:color w:val="auto"/>
                <w:szCs w:val="21"/>
                <w:highlight w:val="none"/>
              </w:rPr>
            </w:pPr>
            <w:r>
              <w:rPr>
                <w:rFonts w:hint="eastAsia" w:ascii="宋体" w:cs="宋体"/>
                <w:color w:val="auto"/>
                <w:szCs w:val="21"/>
                <w:highlight w:val="none"/>
              </w:rPr>
              <w:t>陈金园</w:t>
            </w:r>
          </w:p>
        </w:tc>
        <w:tc>
          <w:tcPr>
            <w:tcW w:w="2550" w:type="dxa"/>
            <w:vAlign w:val="center"/>
          </w:tcPr>
          <w:p w14:paraId="73462CD7">
            <w:pPr>
              <w:spacing w:line="360" w:lineRule="auto"/>
              <w:jc w:val="center"/>
              <w:rPr>
                <w:rFonts w:ascii="宋体" w:cs="宋体"/>
                <w:color w:val="auto"/>
                <w:szCs w:val="21"/>
                <w:highlight w:val="none"/>
              </w:rPr>
            </w:pPr>
            <w:r>
              <w:rPr>
                <w:rFonts w:hint="eastAsia" w:ascii="宋体" w:cs="宋体"/>
                <w:color w:val="auto"/>
                <w:szCs w:val="21"/>
                <w:highlight w:val="none"/>
              </w:rPr>
              <w:t>13586052161</w:t>
            </w:r>
          </w:p>
        </w:tc>
      </w:tr>
      <w:tr w14:paraId="1756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85" w:type="dxa"/>
            <w:vAlign w:val="center"/>
          </w:tcPr>
          <w:p w14:paraId="1D8FF72D">
            <w:pPr>
              <w:spacing w:line="360" w:lineRule="auto"/>
              <w:jc w:val="center"/>
              <w:rPr>
                <w:rFonts w:ascii="宋体" w:cs="宋体"/>
                <w:color w:val="auto"/>
                <w:szCs w:val="21"/>
                <w:highlight w:val="none"/>
              </w:rPr>
            </w:pPr>
            <w:r>
              <w:rPr>
                <w:rFonts w:hint="eastAsia" w:ascii="宋体" w:cs="宋体"/>
                <w:color w:val="auto"/>
                <w:szCs w:val="21"/>
                <w:highlight w:val="none"/>
              </w:rPr>
              <w:t>华夏银行台州分行</w:t>
            </w:r>
          </w:p>
        </w:tc>
        <w:tc>
          <w:tcPr>
            <w:tcW w:w="1585" w:type="dxa"/>
            <w:vAlign w:val="center"/>
          </w:tcPr>
          <w:p w14:paraId="26F3C500">
            <w:pPr>
              <w:spacing w:line="360" w:lineRule="auto"/>
              <w:jc w:val="center"/>
              <w:rPr>
                <w:rFonts w:ascii="宋体" w:cs="宋体"/>
                <w:color w:val="auto"/>
                <w:szCs w:val="21"/>
                <w:highlight w:val="none"/>
              </w:rPr>
            </w:pPr>
            <w:r>
              <w:rPr>
                <w:rFonts w:hint="eastAsia" w:ascii="宋体" w:cs="宋体"/>
                <w:color w:val="auto"/>
                <w:szCs w:val="21"/>
                <w:highlight w:val="none"/>
              </w:rPr>
              <w:t>4.5%起</w:t>
            </w:r>
          </w:p>
        </w:tc>
        <w:tc>
          <w:tcPr>
            <w:tcW w:w="1677" w:type="dxa"/>
            <w:vAlign w:val="center"/>
          </w:tcPr>
          <w:p w14:paraId="6CF4B8CB">
            <w:pPr>
              <w:spacing w:line="360" w:lineRule="auto"/>
              <w:jc w:val="center"/>
              <w:rPr>
                <w:rFonts w:ascii="宋体" w:cs="宋体"/>
                <w:color w:val="auto"/>
                <w:szCs w:val="21"/>
                <w:highlight w:val="none"/>
              </w:rPr>
            </w:pPr>
            <w:r>
              <w:rPr>
                <w:rFonts w:hint="eastAsia" w:ascii="宋体" w:cs="宋体"/>
                <w:color w:val="auto"/>
                <w:szCs w:val="21"/>
                <w:highlight w:val="none"/>
              </w:rPr>
              <w:t>邱明达</w:t>
            </w:r>
          </w:p>
        </w:tc>
        <w:tc>
          <w:tcPr>
            <w:tcW w:w="2550" w:type="dxa"/>
            <w:vAlign w:val="center"/>
          </w:tcPr>
          <w:p w14:paraId="202C9A32">
            <w:pPr>
              <w:spacing w:line="360" w:lineRule="auto"/>
              <w:rPr>
                <w:rFonts w:ascii="宋体" w:cs="宋体"/>
                <w:color w:val="auto"/>
                <w:szCs w:val="21"/>
                <w:highlight w:val="none"/>
              </w:rPr>
            </w:pPr>
            <w:r>
              <w:rPr>
                <w:rFonts w:hint="eastAsia" w:ascii="宋体" w:cs="宋体"/>
                <w:color w:val="auto"/>
                <w:szCs w:val="21"/>
                <w:highlight w:val="none"/>
              </w:rPr>
              <w:t>81871518、13736252233</w:t>
            </w:r>
          </w:p>
        </w:tc>
      </w:tr>
      <w:tr w14:paraId="134A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3D4516E8">
            <w:pPr>
              <w:spacing w:line="360" w:lineRule="auto"/>
              <w:jc w:val="center"/>
              <w:rPr>
                <w:rFonts w:ascii="宋体" w:cs="宋体"/>
                <w:color w:val="auto"/>
                <w:szCs w:val="21"/>
                <w:highlight w:val="none"/>
              </w:rPr>
            </w:pPr>
            <w:r>
              <w:rPr>
                <w:rFonts w:hint="eastAsia" w:ascii="宋体" w:cs="宋体"/>
                <w:color w:val="auto"/>
                <w:szCs w:val="21"/>
                <w:highlight w:val="none"/>
              </w:rPr>
              <w:t>泰隆银行开发区支行</w:t>
            </w:r>
          </w:p>
        </w:tc>
        <w:tc>
          <w:tcPr>
            <w:tcW w:w="1585" w:type="dxa"/>
            <w:vAlign w:val="center"/>
          </w:tcPr>
          <w:p w14:paraId="0B4942BD">
            <w:pPr>
              <w:spacing w:line="360" w:lineRule="auto"/>
              <w:jc w:val="center"/>
              <w:rPr>
                <w:rFonts w:ascii="宋体" w:cs="宋体"/>
                <w:color w:val="auto"/>
                <w:szCs w:val="21"/>
                <w:highlight w:val="none"/>
              </w:rPr>
            </w:pPr>
            <w:r>
              <w:rPr>
                <w:rFonts w:hint="eastAsia" w:ascii="宋体" w:cs="宋体"/>
                <w:color w:val="auto"/>
                <w:szCs w:val="21"/>
                <w:highlight w:val="none"/>
              </w:rPr>
              <w:t>5.6%起</w:t>
            </w:r>
          </w:p>
        </w:tc>
        <w:tc>
          <w:tcPr>
            <w:tcW w:w="1677" w:type="dxa"/>
            <w:vAlign w:val="center"/>
          </w:tcPr>
          <w:p w14:paraId="29B6A021">
            <w:pPr>
              <w:spacing w:line="360" w:lineRule="auto"/>
              <w:jc w:val="center"/>
              <w:rPr>
                <w:rFonts w:ascii="宋体" w:cs="宋体"/>
                <w:color w:val="auto"/>
                <w:szCs w:val="21"/>
                <w:highlight w:val="none"/>
              </w:rPr>
            </w:pPr>
            <w:r>
              <w:rPr>
                <w:rFonts w:hint="eastAsia" w:ascii="宋体" w:cs="宋体"/>
                <w:color w:val="auto"/>
                <w:szCs w:val="21"/>
                <w:highlight w:val="none"/>
              </w:rPr>
              <w:t>梁宛莉</w:t>
            </w:r>
          </w:p>
        </w:tc>
        <w:tc>
          <w:tcPr>
            <w:tcW w:w="2550" w:type="dxa"/>
            <w:vAlign w:val="center"/>
          </w:tcPr>
          <w:p w14:paraId="37C5E056">
            <w:pPr>
              <w:spacing w:line="360" w:lineRule="auto"/>
              <w:jc w:val="center"/>
              <w:rPr>
                <w:rFonts w:ascii="宋体" w:cs="宋体"/>
                <w:color w:val="auto"/>
                <w:szCs w:val="21"/>
                <w:highlight w:val="none"/>
              </w:rPr>
            </w:pPr>
            <w:r>
              <w:rPr>
                <w:rFonts w:hint="eastAsia" w:ascii="宋体" w:cs="宋体"/>
                <w:color w:val="auto"/>
                <w:szCs w:val="21"/>
                <w:highlight w:val="none"/>
              </w:rPr>
              <w:t>13306869100</w:t>
            </w:r>
          </w:p>
        </w:tc>
      </w:tr>
      <w:tr w14:paraId="4A9A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429C9AD4">
            <w:pPr>
              <w:spacing w:line="360" w:lineRule="auto"/>
              <w:jc w:val="center"/>
              <w:rPr>
                <w:rFonts w:ascii="宋体" w:cs="宋体"/>
                <w:color w:val="auto"/>
                <w:szCs w:val="21"/>
                <w:highlight w:val="none"/>
              </w:rPr>
            </w:pPr>
            <w:r>
              <w:rPr>
                <w:rFonts w:hint="eastAsia" w:ascii="宋体" w:cs="宋体"/>
                <w:color w:val="auto"/>
                <w:szCs w:val="21"/>
                <w:highlight w:val="none"/>
              </w:rPr>
              <w:t>民泰银行椒江支行</w:t>
            </w:r>
          </w:p>
        </w:tc>
        <w:tc>
          <w:tcPr>
            <w:tcW w:w="1585" w:type="dxa"/>
            <w:vAlign w:val="center"/>
          </w:tcPr>
          <w:p w14:paraId="35409B7B">
            <w:pPr>
              <w:spacing w:line="360" w:lineRule="auto"/>
              <w:jc w:val="center"/>
              <w:rPr>
                <w:rFonts w:ascii="宋体" w:cs="宋体"/>
                <w:color w:val="auto"/>
                <w:szCs w:val="21"/>
                <w:highlight w:val="none"/>
              </w:rPr>
            </w:pPr>
            <w:r>
              <w:rPr>
                <w:rFonts w:hint="eastAsia" w:ascii="宋体" w:cs="宋体"/>
                <w:color w:val="auto"/>
                <w:szCs w:val="21"/>
                <w:highlight w:val="none"/>
              </w:rPr>
              <w:t>5.8%起</w:t>
            </w:r>
          </w:p>
        </w:tc>
        <w:tc>
          <w:tcPr>
            <w:tcW w:w="1677" w:type="dxa"/>
            <w:vAlign w:val="center"/>
          </w:tcPr>
          <w:p w14:paraId="15FC3305">
            <w:pPr>
              <w:spacing w:line="360" w:lineRule="auto"/>
              <w:jc w:val="center"/>
              <w:rPr>
                <w:rFonts w:ascii="宋体" w:cs="宋体"/>
                <w:color w:val="auto"/>
                <w:szCs w:val="21"/>
                <w:highlight w:val="none"/>
              </w:rPr>
            </w:pPr>
            <w:r>
              <w:rPr>
                <w:rFonts w:hint="eastAsia" w:ascii="宋体" w:cs="宋体"/>
                <w:color w:val="auto"/>
                <w:szCs w:val="21"/>
                <w:highlight w:val="none"/>
              </w:rPr>
              <w:t>陈慧珠</w:t>
            </w:r>
          </w:p>
        </w:tc>
        <w:tc>
          <w:tcPr>
            <w:tcW w:w="2550" w:type="dxa"/>
            <w:vAlign w:val="center"/>
          </w:tcPr>
          <w:p w14:paraId="24C2298B">
            <w:pPr>
              <w:spacing w:line="360" w:lineRule="auto"/>
              <w:jc w:val="center"/>
              <w:rPr>
                <w:rFonts w:ascii="宋体" w:cs="宋体"/>
                <w:color w:val="auto"/>
                <w:szCs w:val="21"/>
                <w:highlight w:val="none"/>
              </w:rPr>
            </w:pPr>
            <w:r>
              <w:rPr>
                <w:rFonts w:hint="eastAsia" w:ascii="宋体" w:cs="宋体"/>
                <w:color w:val="auto"/>
                <w:szCs w:val="21"/>
                <w:highlight w:val="none"/>
              </w:rPr>
              <w:t>13857699669</w:t>
            </w:r>
          </w:p>
        </w:tc>
      </w:tr>
      <w:tr w14:paraId="6813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4D00D121">
            <w:pPr>
              <w:spacing w:line="360" w:lineRule="auto"/>
              <w:jc w:val="center"/>
              <w:rPr>
                <w:rFonts w:ascii="宋体" w:cs="宋体"/>
                <w:color w:val="auto"/>
                <w:szCs w:val="21"/>
                <w:highlight w:val="none"/>
              </w:rPr>
            </w:pPr>
            <w:r>
              <w:rPr>
                <w:rFonts w:hint="eastAsia" w:ascii="宋体" w:cs="宋体"/>
                <w:color w:val="auto"/>
                <w:szCs w:val="21"/>
                <w:highlight w:val="none"/>
              </w:rPr>
              <w:t>绍兴银行台州分行</w:t>
            </w:r>
          </w:p>
        </w:tc>
        <w:tc>
          <w:tcPr>
            <w:tcW w:w="1585" w:type="dxa"/>
            <w:vAlign w:val="center"/>
          </w:tcPr>
          <w:p w14:paraId="469204D6">
            <w:pPr>
              <w:spacing w:line="360" w:lineRule="auto"/>
              <w:jc w:val="center"/>
              <w:rPr>
                <w:rFonts w:ascii="宋体" w:cs="宋体"/>
                <w:color w:val="auto"/>
                <w:szCs w:val="21"/>
                <w:highlight w:val="none"/>
              </w:rPr>
            </w:pPr>
            <w:r>
              <w:rPr>
                <w:rFonts w:hint="eastAsia" w:ascii="宋体" w:cs="宋体"/>
                <w:color w:val="auto"/>
                <w:szCs w:val="21"/>
                <w:highlight w:val="none"/>
              </w:rPr>
              <w:t>5.1%起</w:t>
            </w:r>
          </w:p>
        </w:tc>
        <w:tc>
          <w:tcPr>
            <w:tcW w:w="1677" w:type="dxa"/>
            <w:vAlign w:val="center"/>
          </w:tcPr>
          <w:p w14:paraId="732F591B">
            <w:pPr>
              <w:spacing w:line="360" w:lineRule="auto"/>
              <w:jc w:val="center"/>
              <w:rPr>
                <w:rFonts w:ascii="宋体" w:cs="宋体"/>
                <w:color w:val="auto"/>
                <w:szCs w:val="21"/>
                <w:highlight w:val="none"/>
              </w:rPr>
            </w:pPr>
            <w:r>
              <w:rPr>
                <w:rFonts w:hint="eastAsia" w:ascii="宋体" w:cs="宋体"/>
                <w:color w:val="auto"/>
                <w:szCs w:val="21"/>
                <w:highlight w:val="none"/>
              </w:rPr>
              <w:t>郭庭斌</w:t>
            </w:r>
          </w:p>
        </w:tc>
        <w:tc>
          <w:tcPr>
            <w:tcW w:w="2550" w:type="dxa"/>
            <w:vAlign w:val="center"/>
          </w:tcPr>
          <w:p w14:paraId="35C84B06">
            <w:pPr>
              <w:spacing w:line="360" w:lineRule="auto"/>
              <w:jc w:val="center"/>
              <w:rPr>
                <w:rFonts w:ascii="宋体" w:cs="宋体"/>
                <w:color w:val="auto"/>
                <w:szCs w:val="21"/>
                <w:highlight w:val="none"/>
              </w:rPr>
            </w:pPr>
            <w:r>
              <w:rPr>
                <w:rFonts w:hint="eastAsia" w:ascii="宋体" w:cs="宋体"/>
                <w:color w:val="auto"/>
                <w:szCs w:val="21"/>
                <w:highlight w:val="none"/>
              </w:rPr>
              <w:t>15958633119</w:t>
            </w:r>
          </w:p>
        </w:tc>
      </w:tr>
      <w:tr w14:paraId="462C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06E19404">
            <w:pPr>
              <w:spacing w:line="360" w:lineRule="auto"/>
              <w:jc w:val="center"/>
              <w:rPr>
                <w:rFonts w:ascii="宋体" w:cs="宋体"/>
                <w:color w:val="auto"/>
                <w:szCs w:val="21"/>
                <w:highlight w:val="none"/>
              </w:rPr>
            </w:pPr>
            <w:r>
              <w:rPr>
                <w:rFonts w:hint="eastAsia" w:ascii="宋体" w:cs="宋体"/>
                <w:color w:val="auto"/>
                <w:szCs w:val="21"/>
                <w:highlight w:val="none"/>
              </w:rPr>
              <w:t>温州银行台州分行</w:t>
            </w:r>
          </w:p>
        </w:tc>
        <w:tc>
          <w:tcPr>
            <w:tcW w:w="1585" w:type="dxa"/>
            <w:vAlign w:val="center"/>
          </w:tcPr>
          <w:p w14:paraId="587CDD11">
            <w:pPr>
              <w:spacing w:line="360" w:lineRule="auto"/>
              <w:jc w:val="center"/>
              <w:rPr>
                <w:rFonts w:ascii="宋体" w:cs="宋体"/>
                <w:color w:val="auto"/>
                <w:szCs w:val="21"/>
                <w:highlight w:val="none"/>
              </w:rPr>
            </w:pPr>
            <w:r>
              <w:rPr>
                <w:rFonts w:hint="eastAsia" w:ascii="宋体" w:cs="宋体"/>
                <w:color w:val="auto"/>
                <w:szCs w:val="21"/>
                <w:highlight w:val="none"/>
              </w:rPr>
              <w:t>4.55%起</w:t>
            </w:r>
          </w:p>
        </w:tc>
        <w:tc>
          <w:tcPr>
            <w:tcW w:w="1677" w:type="dxa"/>
            <w:vAlign w:val="center"/>
          </w:tcPr>
          <w:p w14:paraId="3E4302A5">
            <w:pPr>
              <w:spacing w:line="360" w:lineRule="auto"/>
              <w:jc w:val="center"/>
              <w:rPr>
                <w:rFonts w:ascii="宋体" w:cs="宋体"/>
                <w:color w:val="auto"/>
                <w:szCs w:val="21"/>
                <w:highlight w:val="none"/>
              </w:rPr>
            </w:pPr>
            <w:r>
              <w:rPr>
                <w:rFonts w:hint="eastAsia" w:ascii="宋体" w:cs="宋体"/>
                <w:color w:val="auto"/>
                <w:szCs w:val="21"/>
                <w:highlight w:val="none"/>
              </w:rPr>
              <w:t>王晓波</w:t>
            </w:r>
          </w:p>
        </w:tc>
        <w:tc>
          <w:tcPr>
            <w:tcW w:w="2550" w:type="dxa"/>
            <w:vAlign w:val="center"/>
          </w:tcPr>
          <w:p w14:paraId="5117325E">
            <w:pPr>
              <w:spacing w:line="360" w:lineRule="auto"/>
              <w:jc w:val="center"/>
              <w:rPr>
                <w:rFonts w:ascii="宋体" w:cs="宋体"/>
                <w:color w:val="auto"/>
                <w:szCs w:val="21"/>
                <w:highlight w:val="none"/>
              </w:rPr>
            </w:pPr>
            <w:r>
              <w:rPr>
                <w:rFonts w:hint="eastAsia" w:ascii="宋体" w:cs="宋体"/>
                <w:color w:val="auto"/>
                <w:szCs w:val="21"/>
                <w:highlight w:val="none"/>
              </w:rPr>
              <w:t>15824005475</w:t>
            </w:r>
          </w:p>
        </w:tc>
      </w:tr>
      <w:tr w14:paraId="3A72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6D4A3644">
            <w:pPr>
              <w:spacing w:line="360" w:lineRule="auto"/>
              <w:jc w:val="center"/>
              <w:rPr>
                <w:rFonts w:ascii="宋体" w:cs="宋体"/>
                <w:color w:val="auto"/>
                <w:szCs w:val="21"/>
                <w:highlight w:val="none"/>
              </w:rPr>
            </w:pPr>
            <w:r>
              <w:rPr>
                <w:rFonts w:hint="eastAsia" w:ascii="宋体" w:cs="宋体"/>
                <w:color w:val="auto"/>
                <w:szCs w:val="21"/>
                <w:highlight w:val="none"/>
              </w:rPr>
              <w:t>平安银行台州分行</w:t>
            </w:r>
          </w:p>
        </w:tc>
        <w:tc>
          <w:tcPr>
            <w:tcW w:w="1585" w:type="dxa"/>
            <w:vAlign w:val="center"/>
          </w:tcPr>
          <w:p w14:paraId="0262FB12">
            <w:pPr>
              <w:spacing w:line="360" w:lineRule="auto"/>
              <w:jc w:val="center"/>
              <w:rPr>
                <w:rFonts w:ascii="宋体" w:cs="宋体"/>
                <w:color w:val="auto"/>
                <w:szCs w:val="21"/>
                <w:highlight w:val="none"/>
              </w:rPr>
            </w:pPr>
            <w:r>
              <w:rPr>
                <w:rFonts w:hint="eastAsia" w:ascii="宋体" w:cs="宋体"/>
                <w:color w:val="auto"/>
                <w:szCs w:val="21"/>
                <w:highlight w:val="none"/>
              </w:rPr>
              <w:t>6.53%起</w:t>
            </w:r>
          </w:p>
        </w:tc>
        <w:tc>
          <w:tcPr>
            <w:tcW w:w="1677" w:type="dxa"/>
            <w:vAlign w:val="center"/>
          </w:tcPr>
          <w:p w14:paraId="03934763">
            <w:pPr>
              <w:spacing w:line="360" w:lineRule="auto"/>
              <w:jc w:val="center"/>
              <w:rPr>
                <w:rFonts w:ascii="宋体" w:cs="宋体"/>
                <w:color w:val="auto"/>
                <w:szCs w:val="21"/>
                <w:highlight w:val="none"/>
              </w:rPr>
            </w:pPr>
            <w:r>
              <w:rPr>
                <w:rFonts w:hint="eastAsia" w:ascii="宋体" w:cs="宋体"/>
                <w:color w:val="auto"/>
                <w:szCs w:val="21"/>
                <w:highlight w:val="none"/>
              </w:rPr>
              <w:t>李俊丽</w:t>
            </w:r>
          </w:p>
        </w:tc>
        <w:tc>
          <w:tcPr>
            <w:tcW w:w="2550" w:type="dxa"/>
            <w:vAlign w:val="center"/>
          </w:tcPr>
          <w:p w14:paraId="29CDFAF8">
            <w:pPr>
              <w:spacing w:line="360" w:lineRule="auto"/>
              <w:jc w:val="center"/>
              <w:rPr>
                <w:rFonts w:ascii="宋体" w:cs="宋体"/>
                <w:color w:val="auto"/>
                <w:szCs w:val="21"/>
                <w:highlight w:val="none"/>
              </w:rPr>
            </w:pPr>
            <w:r>
              <w:rPr>
                <w:rFonts w:hint="eastAsia" w:ascii="宋体" w:cs="宋体"/>
                <w:color w:val="auto"/>
                <w:szCs w:val="21"/>
                <w:highlight w:val="none"/>
              </w:rPr>
              <w:t>15906861025</w:t>
            </w:r>
          </w:p>
        </w:tc>
      </w:tr>
      <w:tr w14:paraId="25D3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17DF7315">
            <w:pPr>
              <w:spacing w:line="360" w:lineRule="auto"/>
              <w:jc w:val="center"/>
              <w:rPr>
                <w:rFonts w:ascii="宋体" w:cs="宋体"/>
                <w:color w:val="auto"/>
                <w:szCs w:val="21"/>
                <w:highlight w:val="none"/>
              </w:rPr>
            </w:pPr>
            <w:r>
              <w:rPr>
                <w:rFonts w:hint="eastAsia" w:ascii="宋体" w:cs="宋体"/>
                <w:color w:val="auto"/>
                <w:szCs w:val="21"/>
                <w:highlight w:val="none"/>
              </w:rPr>
              <w:t>宁波银行台州分行</w:t>
            </w:r>
          </w:p>
        </w:tc>
        <w:tc>
          <w:tcPr>
            <w:tcW w:w="1585" w:type="dxa"/>
            <w:vAlign w:val="center"/>
          </w:tcPr>
          <w:p w14:paraId="08621748">
            <w:pPr>
              <w:spacing w:line="360" w:lineRule="auto"/>
              <w:jc w:val="center"/>
              <w:rPr>
                <w:rFonts w:ascii="宋体" w:cs="宋体"/>
                <w:color w:val="auto"/>
                <w:szCs w:val="21"/>
                <w:highlight w:val="none"/>
              </w:rPr>
            </w:pPr>
            <w:r>
              <w:rPr>
                <w:rFonts w:hint="eastAsia" w:ascii="宋体" w:cs="宋体"/>
                <w:color w:val="auto"/>
                <w:szCs w:val="21"/>
                <w:highlight w:val="none"/>
              </w:rPr>
              <w:t>4.35%起</w:t>
            </w:r>
          </w:p>
        </w:tc>
        <w:tc>
          <w:tcPr>
            <w:tcW w:w="1677" w:type="dxa"/>
            <w:vAlign w:val="center"/>
          </w:tcPr>
          <w:p w14:paraId="773DCD21">
            <w:pPr>
              <w:spacing w:line="360" w:lineRule="auto"/>
              <w:jc w:val="center"/>
              <w:rPr>
                <w:rFonts w:ascii="宋体" w:cs="宋体"/>
                <w:color w:val="auto"/>
                <w:szCs w:val="21"/>
                <w:highlight w:val="none"/>
              </w:rPr>
            </w:pPr>
            <w:r>
              <w:rPr>
                <w:rFonts w:hint="eastAsia" w:ascii="宋体" w:cs="宋体"/>
                <w:color w:val="auto"/>
                <w:szCs w:val="21"/>
                <w:highlight w:val="none"/>
              </w:rPr>
              <w:t>戴莉丽</w:t>
            </w:r>
          </w:p>
        </w:tc>
        <w:tc>
          <w:tcPr>
            <w:tcW w:w="2550" w:type="dxa"/>
            <w:vAlign w:val="center"/>
          </w:tcPr>
          <w:p w14:paraId="4E75976D">
            <w:pPr>
              <w:spacing w:line="360" w:lineRule="auto"/>
              <w:jc w:val="center"/>
              <w:rPr>
                <w:rFonts w:ascii="宋体" w:cs="宋体"/>
                <w:color w:val="auto"/>
                <w:szCs w:val="21"/>
                <w:highlight w:val="none"/>
              </w:rPr>
            </w:pPr>
            <w:r>
              <w:rPr>
                <w:rFonts w:hint="eastAsia" w:ascii="宋体" w:cs="宋体"/>
                <w:color w:val="auto"/>
                <w:szCs w:val="21"/>
                <w:highlight w:val="none"/>
              </w:rPr>
              <w:t>13566627207</w:t>
            </w:r>
          </w:p>
        </w:tc>
      </w:tr>
      <w:tr w14:paraId="457A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085" w:type="dxa"/>
            <w:vAlign w:val="center"/>
          </w:tcPr>
          <w:p w14:paraId="54702772">
            <w:pPr>
              <w:spacing w:line="360" w:lineRule="auto"/>
              <w:jc w:val="center"/>
              <w:rPr>
                <w:rFonts w:ascii="宋体" w:cs="宋体"/>
                <w:color w:val="auto"/>
                <w:szCs w:val="21"/>
                <w:highlight w:val="none"/>
              </w:rPr>
            </w:pPr>
            <w:r>
              <w:rPr>
                <w:rFonts w:hint="eastAsia" w:ascii="宋体" w:cs="宋体"/>
                <w:color w:val="auto"/>
                <w:szCs w:val="21"/>
                <w:highlight w:val="none"/>
              </w:rPr>
              <w:t>金华银行台州分行</w:t>
            </w:r>
          </w:p>
        </w:tc>
        <w:tc>
          <w:tcPr>
            <w:tcW w:w="1585" w:type="dxa"/>
            <w:vAlign w:val="center"/>
          </w:tcPr>
          <w:p w14:paraId="72258704">
            <w:pPr>
              <w:spacing w:line="360" w:lineRule="auto"/>
              <w:jc w:val="center"/>
              <w:rPr>
                <w:rFonts w:ascii="宋体" w:cs="宋体"/>
                <w:color w:val="auto"/>
                <w:szCs w:val="21"/>
                <w:highlight w:val="none"/>
              </w:rPr>
            </w:pPr>
            <w:r>
              <w:rPr>
                <w:rFonts w:hint="eastAsia" w:ascii="宋体" w:cs="宋体"/>
                <w:color w:val="auto"/>
                <w:szCs w:val="21"/>
                <w:highlight w:val="none"/>
              </w:rPr>
              <w:t>4.05%起</w:t>
            </w:r>
          </w:p>
        </w:tc>
        <w:tc>
          <w:tcPr>
            <w:tcW w:w="1677" w:type="dxa"/>
            <w:vAlign w:val="center"/>
          </w:tcPr>
          <w:p w14:paraId="71119FF4">
            <w:pPr>
              <w:spacing w:line="360" w:lineRule="auto"/>
              <w:jc w:val="center"/>
              <w:rPr>
                <w:rFonts w:ascii="宋体" w:cs="宋体"/>
                <w:color w:val="auto"/>
                <w:szCs w:val="21"/>
                <w:highlight w:val="none"/>
              </w:rPr>
            </w:pPr>
            <w:r>
              <w:rPr>
                <w:rFonts w:hint="eastAsia" w:ascii="宋体" w:cs="宋体"/>
                <w:color w:val="auto"/>
                <w:szCs w:val="21"/>
                <w:highlight w:val="none"/>
              </w:rPr>
              <w:t>金雪婷</w:t>
            </w:r>
          </w:p>
        </w:tc>
        <w:tc>
          <w:tcPr>
            <w:tcW w:w="2550" w:type="dxa"/>
            <w:vAlign w:val="center"/>
          </w:tcPr>
          <w:p w14:paraId="71EBD2CA">
            <w:pPr>
              <w:spacing w:line="360" w:lineRule="auto"/>
              <w:rPr>
                <w:rFonts w:ascii="宋体" w:cs="宋体"/>
                <w:color w:val="auto"/>
                <w:szCs w:val="21"/>
                <w:highlight w:val="none"/>
              </w:rPr>
            </w:pPr>
            <w:r>
              <w:rPr>
                <w:rFonts w:hint="eastAsia" w:ascii="宋体" w:cs="宋体"/>
                <w:color w:val="auto"/>
                <w:szCs w:val="21"/>
                <w:highlight w:val="none"/>
              </w:rPr>
              <w:t>81886670、15968661569</w:t>
            </w:r>
          </w:p>
        </w:tc>
      </w:tr>
      <w:tr w14:paraId="1819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085" w:type="dxa"/>
            <w:vAlign w:val="center"/>
          </w:tcPr>
          <w:p w14:paraId="7A722DE2">
            <w:pPr>
              <w:spacing w:line="360" w:lineRule="auto"/>
              <w:jc w:val="center"/>
              <w:rPr>
                <w:rFonts w:ascii="宋体" w:cs="宋体"/>
                <w:color w:val="auto"/>
                <w:szCs w:val="21"/>
                <w:highlight w:val="none"/>
              </w:rPr>
            </w:pPr>
            <w:r>
              <w:rPr>
                <w:rFonts w:hint="eastAsia" w:ascii="宋体" w:cs="宋体"/>
                <w:color w:val="auto"/>
                <w:szCs w:val="21"/>
                <w:highlight w:val="none"/>
              </w:rPr>
              <w:t>台州银行</w:t>
            </w:r>
          </w:p>
        </w:tc>
        <w:tc>
          <w:tcPr>
            <w:tcW w:w="1585" w:type="dxa"/>
            <w:vAlign w:val="center"/>
          </w:tcPr>
          <w:p w14:paraId="64E37DA8">
            <w:pPr>
              <w:spacing w:line="360" w:lineRule="auto"/>
              <w:jc w:val="center"/>
              <w:rPr>
                <w:rFonts w:ascii="宋体" w:cs="宋体"/>
                <w:color w:val="auto"/>
                <w:szCs w:val="21"/>
                <w:highlight w:val="none"/>
              </w:rPr>
            </w:pPr>
            <w:r>
              <w:rPr>
                <w:rFonts w:hint="eastAsia" w:ascii="宋体" w:cs="宋体"/>
                <w:color w:val="auto"/>
                <w:szCs w:val="21"/>
                <w:highlight w:val="none"/>
              </w:rPr>
              <w:t>5.6%起</w:t>
            </w:r>
          </w:p>
        </w:tc>
        <w:tc>
          <w:tcPr>
            <w:tcW w:w="1677" w:type="dxa"/>
            <w:vAlign w:val="center"/>
          </w:tcPr>
          <w:p w14:paraId="4BD5FD8C">
            <w:pPr>
              <w:spacing w:line="360" w:lineRule="auto"/>
              <w:jc w:val="center"/>
              <w:rPr>
                <w:rFonts w:ascii="宋体" w:cs="宋体"/>
                <w:color w:val="auto"/>
                <w:szCs w:val="21"/>
                <w:highlight w:val="none"/>
              </w:rPr>
            </w:pPr>
            <w:r>
              <w:rPr>
                <w:rFonts w:hint="eastAsia" w:ascii="宋体" w:cs="宋体"/>
                <w:color w:val="auto"/>
                <w:szCs w:val="21"/>
                <w:highlight w:val="none"/>
              </w:rPr>
              <w:t>洪婷</w:t>
            </w:r>
          </w:p>
        </w:tc>
        <w:tc>
          <w:tcPr>
            <w:tcW w:w="2550" w:type="dxa"/>
            <w:vAlign w:val="center"/>
          </w:tcPr>
          <w:p w14:paraId="15A86B7F">
            <w:pPr>
              <w:spacing w:line="360" w:lineRule="auto"/>
              <w:jc w:val="center"/>
              <w:rPr>
                <w:rFonts w:ascii="宋体" w:cs="宋体"/>
                <w:color w:val="auto"/>
                <w:szCs w:val="21"/>
                <w:highlight w:val="none"/>
              </w:rPr>
            </w:pPr>
            <w:r>
              <w:rPr>
                <w:rFonts w:hint="eastAsia" w:ascii="宋体" w:cs="宋体"/>
                <w:color w:val="auto"/>
                <w:szCs w:val="21"/>
                <w:highlight w:val="none"/>
              </w:rPr>
              <w:t>15858624999</w:t>
            </w:r>
          </w:p>
        </w:tc>
      </w:tr>
      <w:tr w14:paraId="2A59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85" w:type="dxa"/>
            <w:vAlign w:val="center"/>
          </w:tcPr>
          <w:p w14:paraId="7EA1D2D4">
            <w:pPr>
              <w:spacing w:line="360" w:lineRule="auto"/>
              <w:jc w:val="center"/>
              <w:rPr>
                <w:rFonts w:ascii="宋体" w:cs="宋体"/>
                <w:color w:val="auto"/>
                <w:szCs w:val="21"/>
                <w:highlight w:val="none"/>
              </w:rPr>
            </w:pPr>
            <w:r>
              <w:rPr>
                <w:rFonts w:hint="eastAsia" w:ascii="宋体" w:cs="宋体"/>
                <w:color w:val="auto"/>
                <w:szCs w:val="21"/>
                <w:highlight w:val="none"/>
              </w:rPr>
              <w:t>邮储银行台州分行</w:t>
            </w:r>
          </w:p>
        </w:tc>
        <w:tc>
          <w:tcPr>
            <w:tcW w:w="1585" w:type="dxa"/>
            <w:vAlign w:val="center"/>
          </w:tcPr>
          <w:p w14:paraId="34A6F764">
            <w:pPr>
              <w:spacing w:line="360" w:lineRule="auto"/>
              <w:jc w:val="center"/>
              <w:rPr>
                <w:rFonts w:ascii="宋体" w:cs="宋体"/>
                <w:color w:val="auto"/>
                <w:szCs w:val="21"/>
                <w:highlight w:val="none"/>
              </w:rPr>
            </w:pPr>
            <w:r>
              <w:rPr>
                <w:rFonts w:hint="eastAsia" w:ascii="宋体" w:cs="宋体"/>
                <w:color w:val="auto"/>
                <w:szCs w:val="21"/>
                <w:highlight w:val="none"/>
              </w:rPr>
              <w:t>3.85%起</w:t>
            </w:r>
          </w:p>
        </w:tc>
        <w:tc>
          <w:tcPr>
            <w:tcW w:w="1677" w:type="dxa"/>
            <w:vAlign w:val="center"/>
          </w:tcPr>
          <w:p w14:paraId="41C747FB">
            <w:pPr>
              <w:spacing w:line="360" w:lineRule="auto"/>
              <w:jc w:val="center"/>
              <w:rPr>
                <w:rFonts w:ascii="宋体" w:cs="宋体"/>
                <w:color w:val="auto"/>
                <w:szCs w:val="21"/>
                <w:highlight w:val="none"/>
              </w:rPr>
            </w:pPr>
            <w:r>
              <w:rPr>
                <w:rFonts w:hint="eastAsia" w:ascii="宋体" w:cs="宋体"/>
                <w:color w:val="auto"/>
                <w:szCs w:val="21"/>
                <w:highlight w:val="none"/>
              </w:rPr>
              <w:t>董庆</w:t>
            </w:r>
          </w:p>
        </w:tc>
        <w:tc>
          <w:tcPr>
            <w:tcW w:w="2550" w:type="dxa"/>
            <w:vAlign w:val="center"/>
          </w:tcPr>
          <w:p w14:paraId="78959C72">
            <w:pPr>
              <w:spacing w:line="360" w:lineRule="auto"/>
              <w:rPr>
                <w:rFonts w:ascii="宋体" w:cs="宋体"/>
                <w:color w:val="auto"/>
                <w:szCs w:val="21"/>
                <w:highlight w:val="none"/>
              </w:rPr>
            </w:pPr>
            <w:r>
              <w:rPr>
                <w:rFonts w:hint="eastAsia" w:ascii="宋体" w:cs="宋体"/>
                <w:color w:val="auto"/>
                <w:szCs w:val="21"/>
                <w:highlight w:val="none"/>
              </w:rPr>
              <w:t>81888982、18957683735</w:t>
            </w:r>
          </w:p>
        </w:tc>
      </w:tr>
    </w:tbl>
    <w:p w14:paraId="0DEE256A">
      <w:pPr>
        <w:jc w:val="center"/>
        <w:rPr>
          <w:color w:val="auto"/>
          <w:sz w:val="28"/>
          <w:szCs w:val="28"/>
          <w:highlight w:val="none"/>
        </w:rPr>
      </w:pPr>
      <w:r>
        <w:rPr>
          <w:rFonts w:hint="eastAsia"/>
          <w:color w:val="auto"/>
          <w:sz w:val="28"/>
          <w:szCs w:val="28"/>
          <w:highlight w:val="none"/>
        </w:rPr>
        <w:t>合同履约保函联系方式</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6"/>
        <w:gridCol w:w="1814"/>
        <w:gridCol w:w="974"/>
        <w:gridCol w:w="1461"/>
      </w:tblGrid>
      <w:tr w14:paraId="68B6E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4676" w:type="dxa"/>
            <w:tcBorders>
              <w:top w:val="single" w:color="000000" w:sz="4" w:space="0"/>
              <w:left w:val="single" w:color="000000" w:sz="4" w:space="0"/>
              <w:bottom w:val="single" w:color="000000" w:sz="4" w:space="0"/>
              <w:right w:val="single" w:color="000000" w:sz="4" w:space="0"/>
            </w:tcBorders>
            <w:vAlign w:val="center"/>
          </w:tcPr>
          <w:p w14:paraId="6C86BC7C">
            <w:pPr>
              <w:jc w:val="center"/>
              <w:rPr>
                <w:color w:val="auto"/>
                <w:sz w:val="24"/>
                <w:highlight w:val="none"/>
              </w:rPr>
            </w:pPr>
            <w:r>
              <w:rPr>
                <w:rFonts w:hint="eastAsia"/>
                <w:color w:val="auto"/>
                <w:sz w:val="24"/>
                <w:highlight w:val="none"/>
              </w:rPr>
              <w:t>保险公司名称</w:t>
            </w:r>
          </w:p>
        </w:tc>
        <w:tc>
          <w:tcPr>
            <w:tcW w:w="1814" w:type="dxa"/>
            <w:tcBorders>
              <w:top w:val="single" w:color="000000" w:sz="4" w:space="0"/>
              <w:left w:val="single" w:color="000000" w:sz="4" w:space="0"/>
              <w:bottom w:val="single" w:color="000000" w:sz="4" w:space="0"/>
              <w:right w:val="single" w:color="000000" w:sz="4" w:space="0"/>
            </w:tcBorders>
            <w:vAlign w:val="center"/>
          </w:tcPr>
          <w:p w14:paraId="2ED1F3B8">
            <w:pPr>
              <w:jc w:val="center"/>
              <w:rPr>
                <w:color w:val="auto"/>
                <w:sz w:val="24"/>
                <w:highlight w:val="none"/>
              </w:rPr>
            </w:pPr>
            <w:r>
              <w:rPr>
                <w:rFonts w:hint="eastAsia"/>
                <w:color w:val="auto"/>
                <w:sz w:val="24"/>
                <w:highlight w:val="none"/>
              </w:rPr>
              <w:t>保费率</w:t>
            </w:r>
          </w:p>
        </w:tc>
        <w:tc>
          <w:tcPr>
            <w:tcW w:w="974" w:type="dxa"/>
            <w:tcBorders>
              <w:top w:val="single" w:color="000000" w:sz="4" w:space="0"/>
              <w:left w:val="single" w:color="000000" w:sz="4" w:space="0"/>
              <w:bottom w:val="single" w:color="000000" w:sz="4" w:space="0"/>
              <w:right w:val="single" w:color="000000" w:sz="4" w:space="0"/>
            </w:tcBorders>
            <w:vAlign w:val="center"/>
          </w:tcPr>
          <w:p w14:paraId="6FE38CA2">
            <w:pPr>
              <w:jc w:val="center"/>
              <w:rPr>
                <w:color w:val="auto"/>
                <w:sz w:val="24"/>
                <w:highlight w:val="none"/>
              </w:rPr>
            </w:pPr>
            <w:r>
              <w:rPr>
                <w:rFonts w:hint="eastAsia"/>
                <w:color w:val="auto"/>
                <w:sz w:val="24"/>
                <w:highlight w:val="none"/>
              </w:rPr>
              <w:t>联系人</w:t>
            </w:r>
          </w:p>
        </w:tc>
        <w:tc>
          <w:tcPr>
            <w:tcW w:w="1461" w:type="dxa"/>
            <w:tcBorders>
              <w:top w:val="single" w:color="000000" w:sz="4" w:space="0"/>
              <w:left w:val="single" w:color="000000" w:sz="4" w:space="0"/>
              <w:bottom w:val="single" w:color="000000" w:sz="4" w:space="0"/>
              <w:right w:val="single" w:color="000000" w:sz="4" w:space="0"/>
            </w:tcBorders>
            <w:vAlign w:val="center"/>
          </w:tcPr>
          <w:p w14:paraId="6382B102">
            <w:pPr>
              <w:jc w:val="center"/>
              <w:rPr>
                <w:color w:val="auto"/>
                <w:sz w:val="24"/>
                <w:highlight w:val="none"/>
              </w:rPr>
            </w:pPr>
            <w:r>
              <w:rPr>
                <w:rFonts w:hint="eastAsia"/>
                <w:color w:val="auto"/>
                <w:sz w:val="24"/>
                <w:highlight w:val="none"/>
              </w:rPr>
              <w:t>联系电话</w:t>
            </w:r>
          </w:p>
        </w:tc>
      </w:tr>
      <w:tr w14:paraId="40EFC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6" w:type="dxa"/>
            <w:tcBorders>
              <w:top w:val="single" w:color="000000" w:sz="4" w:space="0"/>
              <w:left w:val="single" w:color="000000" w:sz="4" w:space="0"/>
              <w:bottom w:val="single" w:color="000000" w:sz="4" w:space="0"/>
              <w:right w:val="single" w:color="000000" w:sz="4" w:space="0"/>
            </w:tcBorders>
          </w:tcPr>
          <w:p w14:paraId="76353536">
            <w:pPr>
              <w:spacing w:line="360" w:lineRule="auto"/>
              <w:jc w:val="center"/>
              <w:rPr>
                <w:rFonts w:ascii="宋体" w:cs="宋体"/>
                <w:color w:val="auto"/>
                <w:szCs w:val="21"/>
                <w:highlight w:val="none"/>
              </w:rPr>
            </w:pPr>
            <w:r>
              <w:rPr>
                <w:rFonts w:hint="eastAsia" w:ascii="宋体" w:cs="宋体"/>
                <w:color w:val="auto"/>
                <w:szCs w:val="21"/>
                <w:highlight w:val="none"/>
              </w:rPr>
              <w:t>中国人寿财产保险股份有限公司台州中心支公司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14:paraId="7C8FE389">
            <w:pPr>
              <w:spacing w:line="360" w:lineRule="auto"/>
              <w:jc w:val="center"/>
              <w:rPr>
                <w:rFonts w:ascii="宋体" w:cs="宋体"/>
                <w:color w:val="auto"/>
                <w:szCs w:val="21"/>
                <w:highlight w:val="none"/>
              </w:rPr>
            </w:pPr>
            <w:r>
              <w:rPr>
                <w:rFonts w:hint="eastAsia" w:ascii="宋体" w:cs="宋体"/>
                <w:color w:val="auto"/>
                <w:szCs w:val="21"/>
                <w:highlight w:val="none"/>
              </w:rPr>
              <w:t>年费率1%，最低保费500元</w:t>
            </w:r>
          </w:p>
        </w:tc>
        <w:tc>
          <w:tcPr>
            <w:tcW w:w="974" w:type="dxa"/>
            <w:tcBorders>
              <w:top w:val="single" w:color="000000" w:sz="4" w:space="0"/>
              <w:left w:val="single" w:color="000000" w:sz="4" w:space="0"/>
              <w:bottom w:val="single" w:color="000000" w:sz="4" w:space="0"/>
              <w:right w:val="single" w:color="000000" w:sz="4" w:space="0"/>
            </w:tcBorders>
          </w:tcPr>
          <w:p w14:paraId="416A3826">
            <w:pPr>
              <w:spacing w:line="360" w:lineRule="auto"/>
              <w:jc w:val="center"/>
              <w:rPr>
                <w:rFonts w:ascii="宋体" w:cs="宋体"/>
                <w:color w:val="auto"/>
                <w:szCs w:val="21"/>
                <w:highlight w:val="none"/>
              </w:rPr>
            </w:pPr>
            <w:r>
              <w:rPr>
                <w:rFonts w:hint="eastAsia" w:ascii="宋体" w:cs="宋体"/>
                <w:color w:val="auto"/>
                <w:szCs w:val="21"/>
                <w:highlight w:val="none"/>
              </w:rPr>
              <w:t>徐凌</w:t>
            </w:r>
          </w:p>
        </w:tc>
        <w:tc>
          <w:tcPr>
            <w:tcW w:w="1461" w:type="dxa"/>
            <w:tcBorders>
              <w:top w:val="single" w:color="000000" w:sz="4" w:space="0"/>
              <w:left w:val="single" w:color="000000" w:sz="4" w:space="0"/>
              <w:bottom w:val="single" w:color="000000" w:sz="4" w:space="0"/>
              <w:right w:val="single" w:color="000000" w:sz="4" w:space="0"/>
            </w:tcBorders>
          </w:tcPr>
          <w:p w14:paraId="5C973DA9">
            <w:pPr>
              <w:spacing w:line="360" w:lineRule="auto"/>
              <w:jc w:val="center"/>
              <w:rPr>
                <w:rFonts w:ascii="宋体" w:cs="宋体"/>
                <w:color w:val="auto"/>
                <w:szCs w:val="21"/>
                <w:highlight w:val="none"/>
              </w:rPr>
            </w:pPr>
            <w:r>
              <w:rPr>
                <w:rFonts w:hint="eastAsia" w:ascii="宋体" w:cs="宋体"/>
                <w:color w:val="auto"/>
                <w:szCs w:val="21"/>
                <w:highlight w:val="none"/>
              </w:rPr>
              <w:t>13905168070</w:t>
            </w:r>
          </w:p>
        </w:tc>
      </w:tr>
      <w:tr w14:paraId="72C74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6" w:type="dxa"/>
            <w:tcBorders>
              <w:top w:val="single" w:color="000000" w:sz="4" w:space="0"/>
              <w:left w:val="single" w:color="000000" w:sz="4" w:space="0"/>
              <w:bottom w:val="single" w:color="000000" w:sz="4" w:space="0"/>
              <w:right w:val="single" w:color="000000" w:sz="4" w:space="0"/>
            </w:tcBorders>
          </w:tcPr>
          <w:p w14:paraId="0C3861ED">
            <w:pPr>
              <w:spacing w:line="360" w:lineRule="auto"/>
              <w:jc w:val="center"/>
              <w:rPr>
                <w:rFonts w:ascii="宋体" w:cs="宋体"/>
                <w:color w:val="auto"/>
                <w:szCs w:val="21"/>
                <w:highlight w:val="none"/>
              </w:rPr>
            </w:pPr>
            <w:r>
              <w:rPr>
                <w:rFonts w:hint="eastAsia" w:ascii="宋体" w:cs="宋体"/>
                <w:color w:val="auto"/>
                <w:szCs w:val="21"/>
                <w:highlight w:val="none"/>
              </w:rPr>
              <w:t>永诚财产保险股份有限公司台州分公司</w:t>
            </w:r>
          </w:p>
        </w:tc>
        <w:tc>
          <w:tcPr>
            <w:tcW w:w="1814" w:type="dxa"/>
            <w:tcBorders>
              <w:top w:val="single" w:color="000000" w:sz="4" w:space="0"/>
              <w:left w:val="single" w:color="000000" w:sz="4" w:space="0"/>
              <w:bottom w:val="single" w:color="000000" w:sz="4" w:space="0"/>
              <w:right w:val="single" w:color="000000" w:sz="4" w:space="0"/>
            </w:tcBorders>
          </w:tcPr>
          <w:p w14:paraId="2EE8C953">
            <w:pPr>
              <w:spacing w:line="360" w:lineRule="auto"/>
              <w:jc w:val="center"/>
              <w:rPr>
                <w:rFonts w:ascii="宋体" w:cs="宋体"/>
                <w:color w:val="auto"/>
                <w:szCs w:val="21"/>
                <w:highlight w:val="none"/>
              </w:rPr>
            </w:pPr>
            <w:r>
              <w:rPr>
                <w:rFonts w:hint="eastAsia" w:ascii="宋体" w:cs="宋体"/>
                <w:color w:val="auto"/>
                <w:szCs w:val="21"/>
                <w:highlight w:val="none"/>
              </w:rPr>
              <w:t>年费率1%，最低保费1000元</w:t>
            </w:r>
          </w:p>
        </w:tc>
        <w:tc>
          <w:tcPr>
            <w:tcW w:w="974" w:type="dxa"/>
            <w:tcBorders>
              <w:top w:val="single" w:color="000000" w:sz="4" w:space="0"/>
              <w:left w:val="single" w:color="000000" w:sz="4" w:space="0"/>
              <w:bottom w:val="single" w:color="000000" w:sz="4" w:space="0"/>
              <w:right w:val="single" w:color="000000" w:sz="4" w:space="0"/>
            </w:tcBorders>
          </w:tcPr>
          <w:p w14:paraId="59060AEA">
            <w:pPr>
              <w:spacing w:line="360" w:lineRule="auto"/>
              <w:jc w:val="center"/>
              <w:rPr>
                <w:rFonts w:ascii="宋体" w:cs="宋体"/>
                <w:color w:val="auto"/>
                <w:szCs w:val="21"/>
                <w:highlight w:val="none"/>
              </w:rPr>
            </w:pPr>
            <w:r>
              <w:rPr>
                <w:rFonts w:hint="eastAsia" w:ascii="宋体" w:cs="宋体"/>
                <w:color w:val="auto"/>
                <w:szCs w:val="21"/>
                <w:highlight w:val="none"/>
              </w:rPr>
              <w:t>尹刚强</w:t>
            </w:r>
          </w:p>
        </w:tc>
        <w:tc>
          <w:tcPr>
            <w:tcW w:w="1461" w:type="dxa"/>
            <w:tcBorders>
              <w:top w:val="single" w:color="000000" w:sz="4" w:space="0"/>
              <w:left w:val="single" w:color="000000" w:sz="4" w:space="0"/>
              <w:bottom w:val="single" w:color="000000" w:sz="4" w:space="0"/>
              <w:right w:val="single" w:color="000000" w:sz="4" w:space="0"/>
            </w:tcBorders>
          </w:tcPr>
          <w:p w14:paraId="5F43EFC2">
            <w:pPr>
              <w:spacing w:line="360" w:lineRule="auto"/>
              <w:jc w:val="center"/>
              <w:rPr>
                <w:rFonts w:ascii="宋体" w:cs="宋体"/>
                <w:color w:val="auto"/>
                <w:szCs w:val="21"/>
                <w:highlight w:val="none"/>
              </w:rPr>
            </w:pPr>
            <w:r>
              <w:rPr>
                <w:rFonts w:hint="eastAsia" w:ascii="宋体" w:cs="宋体"/>
                <w:color w:val="auto"/>
                <w:szCs w:val="21"/>
                <w:highlight w:val="none"/>
              </w:rPr>
              <w:t>13750668184</w:t>
            </w:r>
          </w:p>
        </w:tc>
      </w:tr>
      <w:tr w14:paraId="70EC2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6" w:type="dxa"/>
            <w:tcBorders>
              <w:top w:val="single" w:color="000000" w:sz="4" w:space="0"/>
              <w:left w:val="single" w:color="000000" w:sz="4" w:space="0"/>
              <w:bottom w:val="single" w:color="000000" w:sz="4" w:space="0"/>
              <w:right w:val="single" w:color="000000" w:sz="4" w:space="0"/>
            </w:tcBorders>
          </w:tcPr>
          <w:p w14:paraId="3F093E6D">
            <w:pPr>
              <w:spacing w:line="360" w:lineRule="auto"/>
              <w:jc w:val="center"/>
              <w:rPr>
                <w:rFonts w:ascii="宋体" w:cs="宋体"/>
                <w:color w:val="auto"/>
                <w:szCs w:val="21"/>
                <w:highlight w:val="none"/>
              </w:rPr>
            </w:pPr>
            <w:r>
              <w:rPr>
                <w:rFonts w:hint="eastAsia" w:ascii="宋体" w:cs="宋体"/>
                <w:color w:val="auto"/>
                <w:szCs w:val="21"/>
                <w:highlight w:val="none"/>
              </w:rPr>
              <w:t>华泰财产保险有限公司台州中心支公司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14:paraId="3FB27FBC">
            <w:pPr>
              <w:spacing w:line="360" w:lineRule="auto"/>
              <w:jc w:val="center"/>
              <w:rPr>
                <w:rFonts w:ascii="宋体" w:cs="宋体"/>
                <w:color w:val="auto"/>
                <w:szCs w:val="21"/>
                <w:highlight w:val="none"/>
              </w:rPr>
            </w:pPr>
            <w:r>
              <w:rPr>
                <w:rFonts w:hint="eastAsia" w:ascii="宋体" w:cs="宋体"/>
                <w:color w:val="auto"/>
                <w:szCs w:val="21"/>
                <w:highlight w:val="none"/>
              </w:rPr>
              <w:t>年费率0.5%，最低保费1000元</w:t>
            </w:r>
          </w:p>
        </w:tc>
        <w:tc>
          <w:tcPr>
            <w:tcW w:w="974" w:type="dxa"/>
            <w:tcBorders>
              <w:top w:val="single" w:color="000000" w:sz="4" w:space="0"/>
              <w:left w:val="single" w:color="000000" w:sz="4" w:space="0"/>
              <w:bottom w:val="single" w:color="000000" w:sz="4" w:space="0"/>
              <w:right w:val="single" w:color="000000" w:sz="4" w:space="0"/>
            </w:tcBorders>
          </w:tcPr>
          <w:p w14:paraId="779C57F6">
            <w:pPr>
              <w:spacing w:line="360" w:lineRule="auto"/>
              <w:jc w:val="center"/>
              <w:rPr>
                <w:rFonts w:ascii="宋体" w:cs="宋体"/>
                <w:color w:val="auto"/>
                <w:szCs w:val="21"/>
                <w:highlight w:val="none"/>
              </w:rPr>
            </w:pPr>
            <w:r>
              <w:rPr>
                <w:rFonts w:hint="eastAsia" w:ascii="宋体" w:cs="宋体"/>
                <w:color w:val="auto"/>
                <w:szCs w:val="21"/>
                <w:highlight w:val="none"/>
              </w:rPr>
              <w:t>王灵芳</w:t>
            </w:r>
          </w:p>
        </w:tc>
        <w:tc>
          <w:tcPr>
            <w:tcW w:w="1461" w:type="dxa"/>
            <w:tcBorders>
              <w:top w:val="single" w:color="000000" w:sz="4" w:space="0"/>
              <w:left w:val="single" w:color="000000" w:sz="4" w:space="0"/>
              <w:bottom w:val="single" w:color="000000" w:sz="4" w:space="0"/>
              <w:right w:val="single" w:color="000000" w:sz="4" w:space="0"/>
            </w:tcBorders>
          </w:tcPr>
          <w:p w14:paraId="6D7AFA9D">
            <w:pPr>
              <w:spacing w:line="360" w:lineRule="auto"/>
              <w:jc w:val="center"/>
              <w:rPr>
                <w:rFonts w:ascii="宋体" w:cs="宋体"/>
                <w:color w:val="auto"/>
                <w:szCs w:val="21"/>
                <w:highlight w:val="none"/>
              </w:rPr>
            </w:pPr>
            <w:r>
              <w:rPr>
                <w:rFonts w:hint="eastAsia" w:ascii="宋体" w:cs="宋体"/>
                <w:color w:val="auto"/>
                <w:szCs w:val="21"/>
                <w:highlight w:val="none"/>
              </w:rPr>
              <w:t>88869818 13586123199</w:t>
            </w:r>
          </w:p>
        </w:tc>
      </w:tr>
      <w:tr w14:paraId="2FFEA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6" w:type="dxa"/>
            <w:tcBorders>
              <w:top w:val="single" w:color="000000" w:sz="4" w:space="0"/>
              <w:left w:val="single" w:color="000000" w:sz="4" w:space="0"/>
              <w:bottom w:val="single" w:color="000000" w:sz="4" w:space="0"/>
              <w:right w:val="single" w:color="000000" w:sz="4" w:space="0"/>
            </w:tcBorders>
          </w:tcPr>
          <w:p w14:paraId="4A59EA54">
            <w:pPr>
              <w:spacing w:line="360" w:lineRule="auto"/>
              <w:jc w:val="center"/>
              <w:rPr>
                <w:rFonts w:ascii="宋体" w:cs="宋体"/>
                <w:color w:val="auto"/>
                <w:szCs w:val="21"/>
                <w:highlight w:val="none"/>
              </w:rPr>
            </w:pPr>
            <w:r>
              <w:rPr>
                <w:rFonts w:hint="eastAsia" w:ascii="宋体" w:cs="宋体"/>
                <w:color w:val="auto"/>
                <w:szCs w:val="21"/>
                <w:highlight w:val="none"/>
              </w:rPr>
              <w:t>中国大地财产保险股份有限公司台州中心支公司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14:paraId="49F54B9E">
            <w:pPr>
              <w:spacing w:line="360" w:lineRule="auto"/>
              <w:jc w:val="center"/>
              <w:rPr>
                <w:rFonts w:ascii="宋体" w:cs="宋体"/>
                <w:color w:val="auto"/>
                <w:szCs w:val="21"/>
                <w:highlight w:val="none"/>
              </w:rPr>
            </w:pPr>
            <w:r>
              <w:rPr>
                <w:rFonts w:hint="eastAsia" w:ascii="宋体" w:cs="宋体"/>
                <w:color w:val="auto"/>
                <w:szCs w:val="21"/>
                <w:highlight w:val="none"/>
              </w:rPr>
              <w:t>年费率1.5%，最低保费1000元</w:t>
            </w:r>
          </w:p>
        </w:tc>
        <w:tc>
          <w:tcPr>
            <w:tcW w:w="974" w:type="dxa"/>
            <w:tcBorders>
              <w:top w:val="single" w:color="000000" w:sz="4" w:space="0"/>
              <w:left w:val="single" w:color="000000" w:sz="4" w:space="0"/>
              <w:bottom w:val="single" w:color="000000" w:sz="4" w:space="0"/>
              <w:right w:val="single" w:color="000000" w:sz="4" w:space="0"/>
            </w:tcBorders>
          </w:tcPr>
          <w:p w14:paraId="1D40E1AE">
            <w:pPr>
              <w:spacing w:line="360" w:lineRule="auto"/>
              <w:jc w:val="center"/>
              <w:rPr>
                <w:rFonts w:ascii="宋体" w:cs="宋体"/>
                <w:color w:val="auto"/>
                <w:szCs w:val="21"/>
                <w:highlight w:val="none"/>
              </w:rPr>
            </w:pPr>
            <w:r>
              <w:rPr>
                <w:rFonts w:hint="eastAsia" w:ascii="宋体" w:cs="宋体"/>
                <w:color w:val="auto"/>
                <w:szCs w:val="21"/>
                <w:highlight w:val="none"/>
              </w:rPr>
              <w:t>徐小明</w:t>
            </w:r>
          </w:p>
        </w:tc>
        <w:tc>
          <w:tcPr>
            <w:tcW w:w="1461" w:type="dxa"/>
            <w:tcBorders>
              <w:top w:val="single" w:color="000000" w:sz="4" w:space="0"/>
              <w:left w:val="single" w:color="000000" w:sz="4" w:space="0"/>
              <w:bottom w:val="single" w:color="000000" w:sz="4" w:space="0"/>
              <w:right w:val="single" w:color="000000" w:sz="4" w:space="0"/>
            </w:tcBorders>
          </w:tcPr>
          <w:p w14:paraId="7FCF8E4D">
            <w:pPr>
              <w:spacing w:line="360" w:lineRule="auto"/>
              <w:jc w:val="center"/>
              <w:rPr>
                <w:rFonts w:ascii="宋体" w:cs="宋体"/>
                <w:color w:val="auto"/>
                <w:szCs w:val="21"/>
                <w:highlight w:val="none"/>
              </w:rPr>
            </w:pPr>
            <w:r>
              <w:rPr>
                <w:rFonts w:hint="eastAsia" w:ascii="宋体" w:cs="宋体"/>
                <w:color w:val="auto"/>
                <w:szCs w:val="21"/>
                <w:highlight w:val="none"/>
              </w:rPr>
              <w:t>88552788      13968603112</w:t>
            </w:r>
          </w:p>
        </w:tc>
      </w:tr>
      <w:tr w14:paraId="349CE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6" w:type="dxa"/>
            <w:tcBorders>
              <w:top w:val="single" w:color="000000" w:sz="4" w:space="0"/>
              <w:left w:val="single" w:color="000000" w:sz="4" w:space="0"/>
              <w:bottom w:val="single" w:color="000000" w:sz="4" w:space="0"/>
              <w:right w:val="single" w:color="000000" w:sz="4" w:space="0"/>
            </w:tcBorders>
          </w:tcPr>
          <w:p w14:paraId="489F0F80">
            <w:pPr>
              <w:spacing w:line="360" w:lineRule="auto"/>
              <w:jc w:val="center"/>
              <w:rPr>
                <w:rFonts w:ascii="宋体" w:cs="宋体"/>
                <w:color w:val="auto"/>
                <w:szCs w:val="21"/>
                <w:highlight w:val="none"/>
              </w:rPr>
            </w:pPr>
            <w:r>
              <w:rPr>
                <w:rFonts w:hint="eastAsia" w:ascii="宋体" w:cs="宋体"/>
                <w:color w:val="auto"/>
                <w:szCs w:val="21"/>
                <w:highlight w:val="none"/>
              </w:rPr>
              <w:t>阳光保险台州中心支公司</w:t>
            </w:r>
          </w:p>
        </w:tc>
        <w:tc>
          <w:tcPr>
            <w:tcW w:w="1814" w:type="dxa"/>
            <w:tcBorders>
              <w:top w:val="single" w:color="000000" w:sz="4" w:space="0"/>
              <w:left w:val="single" w:color="000000" w:sz="4" w:space="0"/>
              <w:bottom w:val="single" w:color="000000" w:sz="4" w:space="0"/>
              <w:right w:val="single" w:color="000000" w:sz="4" w:space="0"/>
            </w:tcBorders>
          </w:tcPr>
          <w:p w14:paraId="1A99EDBC">
            <w:pPr>
              <w:spacing w:line="360" w:lineRule="auto"/>
              <w:jc w:val="center"/>
              <w:rPr>
                <w:rFonts w:ascii="宋体" w:cs="宋体"/>
                <w:color w:val="auto"/>
                <w:szCs w:val="21"/>
                <w:highlight w:val="none"/>
              </w:rPr>
            </w:pPr>
            <w:r>
              <w:rPr>
                <w:rFonts w:hint="eastAsia" w:ascii="宋体" w:cs="宋体"/>
                <w:color w:val="auto"/>
                <w:szCs w:val="21"/>
                <w:highlight w:val="none"/>
              </w:rPr>
              <w:t>年费率1%，最低保费500元</w:t>
            </w:r>
          </w:p>
        </w:tc>
        <w:tc>
          <w:tcPr>
            <w:tcW w:w="974" w:type="dxa"/>
            <w:tcBorders>
              <w:top w:val="single" w:color="000000" w:sz="4" w:space="0"/>
              <w:left w:val="single" w:color="000000" w:sz="4" w:space="0"/>
              <w:bottom w:val="single" w:color="000000" w:sz="4" w:space="0"/>
              <w:right w:val="single" w:color="000000" w:sz="4" w:space="0"/>
            </w:tcBorders>
          </w:tcPr>
          <w:p w14:paraId="0BF1ECBC">
            <w:pPr>
              <w:spacing w:line="360" w:lineRule="auto"/>
              <w:jc w:val="center"/>
              <w:rPr>
                <w:rFonts w:ascii="宋体" w:cs="宋体"/>
                <w:color w:val="auto"/>
                <w:szCs w:val="21"/>
                <w:highlight w:val="none"/>
              </w:rPr>
            </w:pPr>
            <w:r>
              <w:rPr>
                <w:rFonts w:hint="eastAsia" w:ascii="宋体" w:cs="宋体"/>
                <w:color w:val="auto"/>
                <w:szCs w:val="21"/>
                <w:highlight w:val="none"/>
              </w:rPr>
              <w:t>林高明</w:t>
            </w:r>
          </w:p>
        </w:tc>
        <w:tc>
          <w:tcPr>
            <w:tcW w:w="1461" w:type="dxa"/>
            <w:tcBorders>
              <w:top w:val="single" w:color="000000" w:sz="4" w:space="0"/>
              <w:left w:val="single" w:color="000000" w:sz="4" w:space="0"/>
              <w:bottom w:val="single" w:color="000000" w:sz="4" w:space="0"/>
              <w:right w:val="single" w:color="000000" w:sz="4" w:space="0"/>
            </w:tcBorders>
          </w:tcPr>
          <w:p w14:paraId="46F93F6B">
            <w:pPr>
              <w:spacing w:line="360" w:lineRule="auto"/>
              <w:jc w:val="center"/>
              <w:rPr>
                <w:rFonts w:ascii="宋体" w:cs="宋体"/>
                <w:color w:val="auto"/>
                <w:szCs w:val="21"/>
                <w:highlight w:val="none"/>
              </w:rPr>
            </w:pPr>
            <w:r>
              <w:rPr>
                <w:rFonts w:hint="eastAsia" w:ascii="宋体" w:cs="宋体"/>
                <w:color w:val="auto"/>
                <w:szCs w:val="21"/>
                <w:highlight w:val="none"/>
              </w:rPr>
              <w:t>15888682693</w:t>
            </w:r>
          </w:p>
        </w:tc>
      </w:tr>
      <w:tr w14:paraId="675D2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6" w:type="dxa"/>
            <w:tcBorders>
              <w:top w:val="single" w:color="000000" w:sz="4" w:space="0"/>
              <w:left w:val="single" w:color="000000" w:sz="4" w:space="0"/>
              <w:bottom w:val="single" w:color="000000" w:sz="4" w:space="0"/>
              <w:right w:val="single" w:color="000000" w:sz="4" w:space="0"/>
            </w:tcBorders>
          </w:tcPr>
          <w:p w14:paraId="1FCF651B">
            <w:pPr>
              <w:spacing w:line="360" w:lineRule="auto"/>
              <w:jc w:val="center"/>
              <w:rPr>
                <w:rFonts w:ascii="宋体" w:cs="宋体"/>
                <w:color w:val="auto"/>
                <w:szCs w:val="21"/>
                <w:highlight w:val="none"/>
              </w:rPr>
            </w:pPr>
            <w:r>
              <w:rPr>
                <w:rFonts w:hint="eastAsia" w:ascii="宋体" w:cs="宋体"/>
                <w:color w:val="auto"/>
                <w:szCs w:val="21"/>
                <w:highlight w:val="none"/>
              </w:rPr>
              <w:t>中华联合财产保险股份有限公司台州中心支公司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14:paraId="7423E1CA">
            <w:pPr>
              <w:spacing w:line="360" w:lineRule="auto"/>
              <w:jc w:val="center"/>
              <w:rPr>
                <w:rFonts w:ascii="宋体" w:cs="宋体"/>
                <w:color w:val="auto"/>
                <w:szCs w:val="21"/>
                <w:highlight w:val="none"/>
              </w:rPr>
            </w:pPr>
            <w:r>
              <w:rPr>
                <w:rFonts w:hint="eastAsia" w:ascii="宋体" w:cs="宋体"/>
                <w:color w:val="auto"/>
                <w:szCs w:val="21"/>
                <w:highlight w:val="none"/>
              </w:rPr>
              <w:t>年费率2%，最低保费500元</w:t>
            </w:r>
          </w:p>
        </w:tc>
        <w:tc>
          <w:tcPr>
            <w:tcW w:w="974" w:type="dxa"/>
            <w:tcBorders>
              <w:top w:val="single" w:color="000000" w:sz="4" w:space="0"/>
              <w:left w:val="single" w:color="000000" w:sz="4" w:space="0"/>
              <w:bottom w:val="single" w:color="000000" w:sz="4" w:space="0"/>
              <w:right w:val="single" w:color="000000" w:sz="4" w:space="0"/>
            </w:tcBorders>
          </w:tcPr>
          <w:p w14:paraId="3198E685">
            <w:pPr>
              <w:spacing w:line="360" w:lineRule="auto"/>
              <w:jc w:val="center"/>
              <w:rPr>
                <w:rFonts w:ascii="宋体" w:cs="宋体"/>
                <w:color w:val="auto"/>
                <w:szCs w:val="21"/>
                <w:highlight w:val="none"/>
              </w:rPr>
            </w:pPr>
            <w:r>
              <w:rPr>
                <w:rFonts w:hint="eastAsia" w:ascii="宋体" w:cs="宋体"/>
                <w:color w:val="auto"/>
                <w:szCs w:val="21"/>
                <w:highlight w:val="none"/>
              </w:rPr>
              <w:t>王仙高</w:t>
            </w:r>
          </w:p>
        </w:tc>
        <w:tc>
          <w:tcPr>
            <w:tcW w:w="1461" w:type="dxa"/>
            <w:tcBorders>
              <w:top w:val="single" w:color="000000" w:sz="4" w:space="0"/>
              <w:left w:val="single" w:color="000000" w:sz="4" w:space="0"/>
              <w:bottom w:val="single" w:color="000000" w:sz="4" w:space="0"/>
              <w:right w:val="single" w:color="000000" w:sz="4" w:space="0"/>
            </w:tcBorders>
          </w:tcPr>
          <w:p w14:paraId="2284BBB3">
            <w:pPr>
              <w:spacing w:line="360" w:lineRule="auto"/>
              <w:jc w:val="center"/>
              <w:rPr>
                <w:rFonts w:ascii="宋体" w:cs="宋体"/>
                <w:color w:val="auto"/>
                <w:szCs w:val="21"/>
                <w:highlight w:val="none"/>
              </w:rPr>
            </w:pPr>
            <w:r>
              <w:rPr>
                <w:rFonts w:hint="eastAsia" w:ascii="宋体" w:cs="宋体"/>
                <w:color w:val="auto"/>
                <w:szCs w:val="21"/>
                <w:highlight w:val="none"/>
              </w:rPr>
              <w:t>13858600221</w:t>
            </w:r>
          </w:p>
        </w:tc>
      </w:tr>
      <w:tr w14:paraId="799CA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6" w:type="dxa"/>
            <w:tcBorders>
              <w:top w:val="single" w:color="000000" w:sz="4" w:space="0"/>
              <w:left w:val="single" w:color="000000" w:sz="4" w:space="0"/>
              <w:bottom w:val="single" w:color="000000" w:sz="4" w:space="0"/>
              <w:right w:val="single" w:color="000000" w:sz="4" w:space="0"/>
            </w:tcBorders>
          </w:tcPr>
          <w:p w14:paraId="57F34B63">
            <w:pPr>
              <w:spacing w:line="360" w:lineRule="auto"/>
              <w:jc w:val="center"/>
              <w:rPr>
                <w:rFonts w:ascii="宋体" w:cs="宋体"/>
                <w:color w:val="auto"/>
                <w:szCs w:val="21"/>
                <w:highlight w:val="none"/>
              </w:rPr>
            </w:pPr>
            <w:r>
              <w:rPr>
                <w:rFonts w:hint="eastAsia" w:ascii="宋体" w:cs="宋体"/>
                <w:color w:val="auto"/>
                <w:szCs w:val="21"/>
                <w:highlight w:val="none"/>
              </w:rPr>
              <w:t>中国人民财产保险股份有限公司台州中心支公司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14:paraId="7D4B3C02">
            <w:pPr>
              <w:spacing w:line="360" w:lineRule="auto"/>
              <w:jc w:val="center"/>
              <w:rPr>
                <w:rFonts w:ascii="宋体" w:cs="宋体"/>
                <w:color w:val="auto"/>
                <w:szCs w:val="21"/>
                <w:highlight w:val="none"/>
              </w:rPr>
            </w:pPr>
            <w:r>
              <w:rPr>
                <w:rFonts w:hint="eastAsia" w:ascii="宋体" w:cs="宋体"/>
                <w:color w:val="auto"/>
                <w:szCs w:val="21"/>
                <w:highlight w:val="none"/>
              </w:rPr>
              <w:t>年费率0.3%，最低保费1000元</w:t>
            </w:r>
          </w:p>
        </w:tc>
        <w:tc>
          <w:tcPr>
            <w:tcW w:w="974" w:type="dxa"/>
            <w:tcBorders>
              <w:top w:val="single" w:color="000000" w:sz="4" w:space="0"/>
              <w:left w:val="single" w:color="000000" w:sz="4" w:space="0"/>
              <w:bottom w:val="single" w:color="000000" w:sz="4" w:space="0"/>
              <w:right w:val="single" w:color="000000" w:sz="4" w:space="0"/>
            </w:tcBorders>
          </w:tcPr>
          <w:p w14:paraId="39C1F08E">
            <w:pPr>
              <w:spacing w:line="360" w:lineRule="auto"/>
              <w:jc w:val="center"/>
              <w:rPr>
                <w:rFonts w:ascii="宋体" w:cs="宋体"/>
                <w:color w:val="auto"/>
                <w:szCs w:val="21"/>
                <w:highlight w:val="none"/>
              </w:rPr>
            </w:pPr>
            <w:r>
              <w:rPr>
                <w:rFonts w:hint="eastAsia" w:ascii="宋体" w:cs="宋体"/>
                <w:color w:val="auto"/>
                <w:szCs w:val="21"/>
                <w:highlight w:val="none"/>
              </w:rPr>
              <w:t>王仙春</w:t>
            </w:r>
          </w:p>
        </w:tc>
        <w:tc>
          <w:tcPr>
            <w:tcW w:w="1461" w:type="dxa"/>
            <w:tcBorders>
              <w:top w:val="single" w:color="000000" w:sz="4" w:space="0"/>
              <w:left w:val="single" w:color="000000" w:sz="4" w:space="0"/>
              <w:bottom w:val="single" w:color="000000" w:sz="4" w:space="0"/>
              <w:right w:val="single" w:color="000000" w:sz="4" w:space="0"/>
            </w:tcBorders>
          </w:tcPr>
          <w:p w14:paraId="6E35AF3E">
            <w:pPr>
              <w:spacing w:line="360" w:lineRule="auto"/>
              <w:jc w:val="center"/>
              <w:rPr>
                <w:rFonts w:ascii="宋体" w:cs="宋体"/>
                <w:color w:val="auto"/>
                <w:szCs w:val="21"/>
                <w:highlight w:val="none"/>
              </w:rPr>
            </w:pPr>
            <w:r>
              <w:rPr>
                <w:rFonts w:hint="eastAsia" w:ascii="宋体" w:cs="宋体"/>
                <w:color w:val="auto"/>
                <w:szCs w:val="21"/>
                <w:highlight w:val="none"/>
              </w:rPr>
              <w:t>13515769179</w:t>
            </w:r>
          </w:p>
        </w:tc>
      </w:tr>
      <w:tr w14:paraId="171CB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76" w:type="dxa"/>
            <w:tcBorders>
              <w:top w:val="single" w:color="000000" w:sz="4" w:space="0"/>
              <w:left w:val="single" w:color="000000" w:sz="4" w:space="0"/>
              <w:bottom w:val="single" w:color="000000" w:sz="4" w:space="0"/>
              <w:right w:val="single" w:color="000000" w:sz="4" w:space="0"/>
            </w:tcBorders>
          </w:tcPr>
          <w:p w14:paraId="0CB65CDC">
            <w:pPr>
              <w:spacing w:line="360" w:lineRule="auto"/>
              <w:jc w:val="center"/>
              <w:rPr>
                <w:rFonts w:ascii="宋体" w:cs="宋体"/>
                <w:color w:val="auto"/>
                <w:szCs w:val="21"/>
                <w:highlight w:val="none"/>
              </w:rPr>
            </w:pPr>
            <w:r>
              <w:rPr>
                <w:rFonts w:hint="eastAsia" w:ascii="宋体" w:cs="宋体"/>
                <w:color w:val="auto"/>
                <w:szCs w:val="21"/>
                <w:highlight w:val="none"/>
              </w:rPr>
              <w:t>永安财产保险股份有限公司台州中心支公司</w:t>
            </w:r>
          </w:p>
        </w:tc>
        <w:tc>
          <w:tcPr>
            <w:tcW w:w="1814" w:type="dxa"/>
            <w:tcBorders>
              <w:top w:val="single" w:color="000000" w:sz="4" w:space="0"/>
              <w:left w:val="single" w:color="000000" w:sz="4" w:space="0"/>
              <w:bottom w:val="single" w:color="000000" w:sz="4" w:space="0"/>
              <w:right w:val="single" w:color="000000" w:sz="4" w:space="0"/>
            </w:tcBorders>
          </w:tcPr>
          <w:p w14:paraId="04161EB0">
            <w:pPr>
              <w:spacing w:line="360" w:lineRule="auto"/>
              <w:jc w:val="center"/>
              <w:rPr>
                <w:rFonts w:ascii="宋体" w:cs="宋体"/>
                <w:color w:val="auto"/>
                <w:szCs w:val="21"/>
                <w:highlight w:val="none"/>
              </w:rPr>
            </w:pPr>
            <w:r>
              <w:rPr>
                <w:rFonts w:hint="eastAsia" w:ascii="宋体" w:cs="宋体"/>
                <w:color w:val="auto"/>
                <w:szCs w:val="21"/>
                <w:highlight w:val="none"/>
              </w:rPr>
              <w:t>年费率0.3%，最低保费1000</w:t>
            </w:r>
          </w:p>
        </w:tc>
        <w:tc>
          <w:tcPr>
            <w:tcW w:w="974" w:type="dxa"/>
            <w:tcBorders>
              <w:top w:val="single" w:color="000000" w:sz="4" w:space="0"/>
              <w:left w:val="single" w:color="000000" w:sz="4" w:space="0"/>
              <w:bottom w:val="single" w:color="000000" w:sz="4" w:space="0"/>
              <w:right w:val="single" w:color="000000" w:sz="4" w:space="0"/>
            </w:tcBorders>
          </w:tcPr>
          <w:p w14:paraId="7FBF5240">
            <w:pPr>
              <w:spacing w:line="360" w:lineRule="auto"/>
              <w:jc w:val="center"/>
              <w:rPr>
                <w:rFonts w:ascii="宋体" w:cs="宋体"/>
                <w:color w:val="auto"/>
                <w:szCs w:val="21"/>
                <w:highlight w:val="none"/>
              </w:rPr>
            </w:pPr>
            <w:r>
              <w:rPr>
                <w:rFonts w:hint="eastAsia" w:ascii="宋体" w:cs="宋体"/>
                <w:color w:val="auto"/>
                <w:szCs w:val="21"/>
                <w:highlight w:val="none"/>
              </w:rPr>
              <w:t>王春宇</w:t>
            </w:r>
          </w:p>
        </w:tc>
        <w:tc>
          <w:tcPr>
            <w:tcW w:w="1461" w:type="dxa"/>
            <w:tcBorders>
              <w:top w:val="single" w:color="000000" w:sz="4" w:space="0"/>
              <w:left w:val="single" w:color="000000" w:sz="4" w:space="0"/>
              <w:bottom w:val="single" w:color="000000" w:sz="4" w:space="0"/>
              <w:right w:val="single" w:color="000000" w:sz="4" w:space="0"/>
            </w:tcBorders>
          </w:tcPr>
          <w:p w14:paraId="3C9F9492">
            <w:pPr>
              <w:spacing w:line="360" w:lineRule="auto"/>
              <w:jc w:val="center"/>
              <w:rPr>
                <w:rFonts w:ascii="宋体" w:cs="宋体"/>
                <w:color w:val="auto"/>
                <w:szCs w:val="21"/>
                <w:highlight w:val="none"/>
              </w:rPr>
            </w:pPr>
            <w:r>
              <w:rPr>
                <w:rFonts w:hint="eastAsia" w:ascii="宋体" w:cs="宋体"/>
                <w:color w:val="auto"/>
                <w:szCs w:val="21"/>
                <w:highlight w:val="none"/>
              </w:rPr>
              <w:t>13676675331</w:t>
            </w:r>
          </w:p>
        </w:tc>
      </w:tr>
    </w:tbl>
    <w:p w14:paraId="24164680">
      <w:pPr>
        <w:ind w:firstLine="2040" w:firstLineChars="850"/>
        <w:jc w:val="center"/>
        <w:rPr>
          <w:color w:val="auto"/>
          <w:sz w:val="24"/>
          <w:highlight w:val="none"/>
        </w:rPr>
      </w:pPr>
      <w:r>
        <w:rPr>
          <w:rFonts w:hint="eastAsia"/>
          <w:color w:val="auto"/>
          <w:sz w:val="24"/>
          <w:highlight w:val="none"/>
        </w:rPr>
        <w:t>预付款保函联系方式</w:t>
      </w:r>
    </w:p>
    <w:tbl>
      <w:tblPr>
        <w:tblStyle w:val="35"/>
        <w:tblpPr w:leftFromText="180" w:rightFromText="180" w:vertAnchor="text" w:horzAnchor="page" w:tblpXSpec="center" w:tblpY="364"/>
        <w:tblOverlap w:val="never"/>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41"/>
        <w:gridCol w:w="3222"/>
        <w:gridCol w:w="851"/>
        <w:gridCol w:w="1742"/>
      </w:tblGrid>
      <w:tr w14:paraId="05DA4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3141" w:type="dxa"/>
            <w:tcBorders>
              <w:top w:val="single" w:color="000000" w:sz="4" w:space="0"/>
              <w:left w:val="single" w:color="000000" w:sz="4" w:space="0"/>
              <w:bottom w:val="single" w:color="000000" w:sz="4" w:space="0"/>
              <w:right w:val="single" w:color="000000" w:sz="4" w:space="0"/>
            </w:tcBorders>
            <w:vAlign w:val="center"/>
          </w:tcPr>
          <w:p w14:paraId="3642CA64">
            <w:pPr>
              <w:spacing w:line="360" w:lineRule="auto"/>
              <w:jc w:val="center"/>
              <w:rPr>
                <w:rFonts w:ascii="宋体" w:cs="宋体"/>
                <w:color w:val="auto"/>
                <w:szCs w:val="21"/>
                <w:highlight w:val="none"/>
              </w:rPr>
            </w:pPr>
            <w:r>
              <w:rPr>
                <w:rFonts w:hint="eastAsia" w:ascii="宋体" w:cs="宋体"/>
                <w:color w:val="auto"/>
                <w:szCs w:val="21"/>
                <w:highlight w:val="none"/>
              </w:rPr>
              <w:t>保险公司名称</w:t>
            </w:r>
          </w:p>
        </w:tc>
        <w:tc>
          <w:tcPr>
            <w:tcW w:w="3222" w:type="dxa"/>
            <w:tcBorders>
              <w:top w:val="single" w:color="000000" w:sz="4" w:space="0"/>
              <w:left w:val="single" w:color="000000" w:sz="4" w:space="0"/>
              <w:bottom w:val="single" w:color="000000" w:sz="4" w:space="0"/>
              <w:right w:val="single" w:color="000000" w:sz="4" w:space="0"/>
            </w:tcBorders>
            <w:vAlign w:val="center"/>
          </w:tcPr>
          <w:p w14:paraId="79763F68">
            <w:pPr>
              <w:spacing w:line="360" w:lineRule="auto"/>
              <w:jc w:val="center"/>
              <w:rPr>
                <w:rFonts w:ascii="宋体" w:cs="宋体"/>
                <w:color w:val="auto"/>
                <w:szCs w:val="21"/>
                <w:highlight w:val="none"/>
              </w:rPr>
            </w:pPr>
            <w:r>
              <w:rPr>
                <w:rFonts w:hint="eastAsia" w:ascii="宋体" w:cs="宋体"/>
                <w:color w:val="auto"/>
                <w:szCs w:val="21"/>
                <w:highlight w:val="none"/>
              </w:rPr>
              <w:t>保费率</w:t>
            </w:r>
          </w:p>
        </w:tc>
        <w:tc>
          <w:tcPr>
            <w:tcW w:w="851" w:type="dxa"/>
            <w:tcBorders>
              <w:top w:val="single" w:color="000000" w:sz="4" w:space="0"/>
              <w:left w:val="single" w:color="000000" w:sz="4" w:space="0"/>
              <w:bottom w:val="single" w:color="000000" w:sz="4" w:space="0"/>
              <w:right w:val="single" w:color="000000" w:sz="4" w:space="0"/>
            </w:tcBorders>
            <w:vAlign w:val="center"/>
          </w:tcPr>
          <w:p w14:paraId="57DBEB2C">
            <w:pPr>
              <w:spacing w:line="360" w:lineRule="auto"/>
              <w:jc w:val="center"/>
              <w:rPr>
                <w:rFonts w:ascii="宋体" w:cs="宋体"/>
                <w:color w:val="auto"/>
                <w:szCs w:val="21"/>
                <w:highlight w:val="none"/>
              </w:rPr>
            </w:pPr>
            <w:r>
              <w:rPr>
                <w:rFonts w:hint="eastAsia" w:ascii="宋体" w:cs="宋体"/>
                <w:color w:val="auto"/>
                <w:szCs w:val="21"/>
                <w:highlight w:val="none"/>
              </w:rPr>
              <w:t>联系人</w:t>
            </w:r>
          </w:p>
        </w:tc>
        <w:tc>
          <w:tcPr>
            <w:tcW w:w="1742" w:type="dxa"/>
            <w:tcBorders>
              <w:top w:val="single" w:color="000000" w:sz="4" w:space="0"/>
              <w:left w:val="single" w:color="000000" w:sz="4" w:space="0"/>
              <w:bottom w:val="single" w:color="000000" w:sz="4" w:space="0"/>
              <w:right w:val="single" w:color="000000" w:sz="4" w:space="0"/>
            </w:tcBorders>
            <w:vAlign w:val="center"/>
          </w:tcPr>
          <w:p w14:paraId="48CAE8FB">
            <w:pPr>
              <w:spacing w:line="360" w:lineRule="auto"/>
              <w:jc w:val="center"/>
              <w:rPr>
                <w:rFonts w:ascii="宋体" w:cs="宋体"/>
                <w:color w:val="auto"/>
                <w:szCs w:val="21"/>
                <w:highlight w:val="none"/>
              </w:rPr>
            </w:pPr>
            <w:r>
              <w:rPr>
                <w:rFonts w:hint="eastAsia" w:ascii="宋体" w:cs="宋体"/>
                <w:color w:val="auto"/>
                <w:szCs w:val="21"/>
                <w:highlight w:val="none"/>
              </w:rPr>
              <w:t>联系电话</w:t>
            </w:r>
          </w:p>
        </w:tc>
      </w:tr>
      <w:tr w14:paraId="46D95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3141" w:type="dxa"/>
            <w:tcBorders>
              <w:top w:val="single" w:color="000000" w:sz="4" w:space="0"/>
              <w:left w:val="single" w:color="000000" w:sz="4" w:space="0"/>
              <w:bottom w:val="single" w:color="000000" w:sz="4" w:space="0"/>
              <w:right w:val="single" w:color="000000" w:sz="4" w:space="0"/>
            </w:tcBorders>
          </w:tcPr>
          <w:p w14:paraId="2D494944">
            <w:pPr>
              <w:spacing w:line="360" w:lineRule="auto"/>
              <w:jc w:val="center"/>
              <w:rPr>
                <w:rFonts w:ascii="宋体" w:cs="宋体"/>
                <w:color w:val="auto"/>
                <w:szCs w:val="21"/>
                <w:highlight w:val="none"/>
              </w:rPr>
            </w:pPr>
            <w:r>
              <w:rPr>
                <w:rFonts w:hint="eastAsia" w:ascii="宋体" w:cs="宋体"/>
                <w:color w:val="auto"/>
                <w:szCs w:val="21"/>
                <w:highlight w:val="none"/>
              </w:rPr>
              <w:t>中国人寿财产保险股份有限公司台州中心支公司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14:paraId="06BBA9AB">
            <w:pPr>
              <w:spacing w:line="360" w:lineRule="auto"/>
              <w:jc w:val="center"/>
              <w:rPr>
                <w:rFonts w:ascii="宋体" w:cs="宋体"/>
                <w:color w:val="auto"/>
                <w:szCs w:val="21"/>
                <w:highlight w:val="none"/>
              </w:rPr>
            </w:pPr>
            <w:r>
              <w:rPr>
                <w:rFonts w:hint="eastAsia" w:ascii="宋体" w:cs="宋体"/>
                <w:color w:val="auto"/>
                <w:szCs w:val="21"/>
                <w:highlight w:val="none"/>
              </w:rPr>
              <w:t>年费率</w:t>
            </w:r>
            <w:r>
              <w:rPr>
                <w:rFonts w:ascii="宋体" w:cs="宋体"/>
                <w:color w:val="auto"/>
                <w:szCs w:val="21"/>
                <w:highlight w:val="none"/>
              </w:rPr>
              <w:t>3%</w:t>
            </w:r>
            <w:r>
              <w:rPr>
                <w:rFonts w:hint="eastAsia" w:ascii="宋体" w:cs="宋体"/>
                <w:color w:val="auto"/>
                <w:szCs w:val="21"/>
                <w:highlight w:val="none"/>
              </w:rPr>
              <w:t>，最低保费</w:t>
            </w:r>
            <w:r>
              <w:rPr>
                <w:rFonts w:ascii="宋体" w:cs="宋体"/>
                <w:color w:val="auto"/>
                <w:szCs w:val="21"/>
                <w:highlight w:val="none"/>
              </w:rPr>
              <w:t>500</w:t>
            </w:r>
            <w:r>
              <w:rPr>
                <w:rFonts w:hint="eastAsia" w:ascii="宋体" w:cs="宋体"/>
                <w:color w:val="auto"/>
                <w:szCs w:val="21"/>
                <w:highlight w:val="none"/>
              </w:rPr>
              <w:t>元</w:t>
            </w:r>
          </w:p>
        </w:tc>
        <w:tc>
          <w:tcPr>
            <w:tcW w:w="851" w:type="dxa"/>
            <w:tcBorders>
              <w:top w:val="single" w:color="000000" w:sz="4" w:space="0"/>
              <w:left w:val="single" w:color="000000" w:sz="4" w:space="0"/>
              <w:bottom w:val="single" w:color="000000" w:sz="4" w:space="0"/>
              <w:right w:val="single" w:color="000000" w:sz="4" w:space="0"/>
            </w:tcBorders>
          </w:tcPr>
          <w:p w14:paraId="59917851">
            <w:pPr>
              <w:spacing w:line="360" w:lineRule="auto"/>
              <w:jc w:val="center"/>
              <w:rPr>
                <w:rFonts w:ascii="宋体" w:cs="宋体"/>
                <w:color w:val="auto"/>
                <w:szCs w:val="21"/>
                <w:highlight w:val="none"/>
              </w:rPr>
            </w:pPr>
            <w:r>
              <w:rPr>
                <w:rFonts w:hint="eastAsia" w:ascii="宋体" w:cs="宋体"/>
                <w:color w:val="auto"/>
                <w:szCs w:val="21"/>
                <w:highlight w:val="none"/>
              </w:rPr>
              <w:t>徐凌</w:t>
            </w:r>
          </w:p>
        </w:tc>
        <w:tc>
          <w:tcPr>
            <w:tcW w:w="1742" w:type="dxa"/>
            <w:tcBorders>
              <w:top w:val="single" w:color="000000" w:sz="4" w:space="0"/>
              <w:left w:val="single" w:color="000000" w:sz="4" w:space="0"/>
              <w:bottom w:val="single" w:color="000000" w:sz="4" w:space="0"/>
              <w:right w:val="single" w:color="000000" w:sz="4" w:space="0"/>
            </w:tcBorders>
          </w:tcPr>
          <w:p w14:paraId="62B575DA">
            <w:pPr>
              <w:spacing w:line="360" w:lineRule="auto"/>
              <w:jc w:val="center"/>
              <w:rPr>
                <w:rFonts w:ascii="宋体" w:cs="宋体"/>
                <w:color w:val="auto"/>
                <w:szCs w:val="21"/>
                <w:highlight w:val="none"/>
              </w:rPr>
            </w:pPr>
            <w:r>
              <w:rPr>
                <w:rFonts w:ascii="宋体" w:cs="宋体"/>
                <w:color w:val="auto"/>
                <w:szCs w:val="21"/>
                <w:highlight w:val="none"/>
              </w:rPr>
              <w:t>13905168070</w:t>
            </w:r>
          </w:p>
        </w:tc>
      </w:tr>
      <w:tr w14:paraId="69AF1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3141" w:type="dxa"/>
            <w:tcBorders>
              <w:top w:val="single" w:color="000000" w:sz="4" w:space="0"/>
              <w:left w:val="single" w:color="000000" w:sz="4" w:space="0"/>
              <w:bottom w:val="single" w:color="000000" w:sz="4" w:space="0"/>
              <w:right w:val="single" w:color="000000" w:sz="4" w:space="0"/>
            </w:tcBorders>
          </w:tcPr>
          <w:p w14:paraId="58BC6886">
            <w:pPr>
              <w:spacing w:line="360" w:lineRule="auto"/>
              <w:jc w:val="center"/>
              <w:rPr>
                <w:rFonts w:ascii="宋体" w:cs="宋体"/>
                <w:color w:val="auto"/>
                <w:szCs w:val="21"/>
                <w:highlight w:val="none"/>
              </w:rPr>
            </w:pPr>
            <w:r>
              <w:rPr>
                <w:rFonts w:hint="eastAsia" w:ascii="宋体" w:cs="宋体"/>
                <w:color w:val="auto"/>
                <w:szCs w:val="21"/>
                <w:highlight w:val="none"/>
              </w:rPr>
              <w:t>阳光保险台州中心支公司</w:t>
            </w:r>
          </w:p>
        </w:tc>
        <w:tc>
          <w:tcPr>
            <w:tcW w:w="3222" w:type="dxa"/>
            <w:tcBorders>
              <w:top w:val="single" w:color="000000" w:sz="4" w:space="0"/>
              <w:left w:val="single" w:color="000000" w:sz="4" w:space="0"/>
              <w:bottom w:val="single" w:color="000000" w:sz="4" w:space="0"/>
              <w:right w:val="single" w:color="000000" w:sz="4" w:space="0"/>
            </w:tcBorders>
          </w:tcPr>
          <w:p w14:paraId="248A6040">
            <w:pPr>
              <w:spacing w:line="360" w:lineRule="auto"/>
              <w:jc w:val="center"/>
              <w:rPr>
                <w:rFonts w:ascii="宋体" w:cs="宋体"/>
                <w:color w:val="auto"/>
                <w:szCs w:val="21"/>
                <w:highlight w:val="none"/>
              </w:rPr>
            </w:pPr>
            <w:r>
              <w:rPr>
                <w:rFonts w:hint="eastAsia" w:ascii="宋体" w:cs="宋体"/>
                <w:color w:val="auto"/>
                <w:szCs w:val="21"/>
                <w:highlight w:val="none"/>
              </w:rPr>
              <w:t>年费率</w:t>
            </w:r>
            <w:r>
              <w:rPr>
                <w:rFonts w:ascii="宋体" w:cs="宋体"/>
                <w:color w:val="auto"/>
                <w:szCs w:val="21"/>
                <w:highlight w:val="none"/>
              </w:rPr>
              <w:t>1%</w:t>
            </w:r>
            <w:r>
              <w:rPr>
                <w:rFonts w:hint="eastAsia" w:ascii="宋体" w:cs="宋体"/>
                <w:color w:val="auto"/>
                <w:szCs w:val="21"/>
                <w:highlight w:val="none"/>
              </w:rPr>
              <w:t>，最低保费</w:t>
            </w:r>
            <w:r>
              <w:rPr>
                <w:rFonts w:ascii="宋体" w:cs="宋体"/>
                <w:color w:val="auto"/>
                <w:szCs w:val="21"/>
                <w:highlight w:val="none"/>
              </w:rPr>
              <w:t>500</w:t>
            </w:r>
            <w:r>
              <w:rPr>
                <w:rFonts w:hint="eastAsia" w:ascii="宋体" w:cs="宋体"/>
                <w:color w:val="auto"/>
                <w:szCs w:val="21"/>
                <w:highlight w:val="none"/>
              </w:rPr>
              <w:t>元</w:t>
            </w:r>
          </w:p>
        </w:tc>
        <w:tc>
          <w:tcPr>
            <w:tcW w:w="851" w:type="dxa"/>
            <w:tcBorders>
              <w:top w:val="single" w:color="000000" w:sz="4" w:space="0"/>
              <w:left w:val="single" w:color="000000" w:sz="4" w:space="0"/>
              <w:bottom w:val="single" w:color="000000" w:sz="4" w:space="0"/>
              <w:right w:val="single" w:color="000000" w:sz="4" w:space="0"/>
            </w:tcBorders>
          </w:tcPr>
          <w:p w14:paraId="3EA4129C">
            <w:pPr>
              <w:spacing w:line="360" w:lineRule="auto"/>
              <w:jc w:val="center"/>
              <w:rPr>
                <w:rFonts w:ascii="宋体" w:cs="宋体"/>
                <w:color w:val="auto"/>
                <w:szCs w:val="21"/>
                <w:highlight w:val="none"/>
              </w:rPr>
            </w:pPr>
            <w:r>
              <w:rPr>
                <w:rFonts w:hint="eastAsia" w:ascii="宋体" w:cs="宋体"/>
                <w:color w:val="auto"/>
                <w:szCs w:val="21"/>
                <w:highlight w:val="none"/>
              </w:rPr>
              <w:t>林高明</w:t>
            </w:r>
          </w:p>
        </w:tc>
        <w:tc>
          <w:tcPr>
            <w:tcW w:w="1742" w:type="dxa"/>
            <w:tcBorders>
              <w:top w:val="single" w:color="000000" w:sz="4" w:space="0"/>
              <w:left w:val="single" w:color="000000" w:sz="4" w:space="0"/>
              <w:bottom w:val="single" w:color="000000" w:sz="4" w:space="0"/>
              <w:right w:val="single" w:color="000000" w:sz="4" w:space="0"/>
            </w:tcBorders>
          </w:tcPr>
          <w:p w14:paraId="43D09F8E">
            <w:pPr>
              <w:spacing w:line="360" w:lineRule="auto"/>
              <w:jc w:val="center"/>
              <w:rPr>
                <w:rFonts w:ascii="宋体" w:cs="宋体"/>
                <w:color w:val="auto"/>
                <w:szCs w:val="21"/>
                <w:highlight w:val="none"/>
              </w:rPr>
            </w:pPr>
            <w:r>
              <w:rPr>
                <w:rFonts w:ascii="宋体" w:cs="宋体"/>
                <w:color w:val="auto"/>
                <w:szCs w:val="21"/>
                <w:highlight w:val="none"/>
              </w:rPr>
              <w:t>15888682693</w:t>
            </w:r>
          </w:p>
        </w:tc>
      </w:tr>
      <w:tr w14:paraId="25C41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3141" w:type="dxa"/>
            <w:tcBorders>
              <w:top w:val="single" w:color="000000" w:sz="4" w:space="0"/>
              <w:left w:val="single" w:color="000000" w:sz="4" w:space="0"/>
              <w:bottom w:val="single" w:color="000000" w:sz="4" w:space="0"/>
              <w:right w:val="single" w:color="000000" w:sz="4" w:space="0"/>
            </w:tcBorders>
          </w:tcPr>
          <w:p w14:paraId="01FCC6C3">
            <w:pPr>
              <w:spacing w:line="360" w:lineRule="auto"/>
              <w:jc w:val="center"/>
              <w:rPr>
                <w:rFonts w:ascii="宋体" w:cs="宋体"/>
                <w:color w:val="auto"/>
                <w:szCs w:val="21"/>
                <w:highlight w:val="none"/>
              </w:rPr>
            </w:pPr>
            <w:r>
              <w:rPr>
                <w:rFonts w:hint="eastAsia" w:ascii="宋体" w:cs="宋体"/>
                <w:color w:val="auto"/>
                <w:szCs w:val="21"/>
                <w:highlight w:val="none"/>
              </w:rPr>
              <w:t>天安财产保险股份有限公司台州中心支公司</w:t>
            </w:r>
          </w:p>
        </w:tc>
        <w:tc>
          <w:tcPr>
            <w:tcW w:w="3222" w:type="dxa"/>
            <w:tcBorders>
              <w:top w:val="single" w:color="000000" w:sz="4" w:space="0"/>
              <w:left w:val="single" w:color="000000" w:sz="4" w:space="0"/>
              <w:bottom w:val="single" w:color="000000" w:sz="4" w:space="0"/>
              <w:right w:val="single" w:color="000000" w:sz="4" w:space="0"/>
            </w:tcBorders>
          </w:tcPr>
          <w:p w14:paraId="7EDF7EAB">
            <w:pPr>
              <w:spacing w:line="360" w:lineRule="auto"/>
              <w:jc w:val="center"/>
              <w:rPr>
                <w:rFonts w:ascii="宋体" w:cs="宋体"/>
                <w:color w:val="auto"/>
                <w:szCs w:val="21"/>
                <w:highlight w:val="none"/>
              </w:rPr>
            </w:pPr>
            <w:r>
              <w:rPr>
                <w:rFonts w:hint="eastAsia" w:ascii="宋体" w:cs="宋体"/>
                <w:color w:val="auto"/>
                <w:szCs w:val="21"/>
                <w:highlight w:val="none"/>
              </w:rPr>
              <w:t>年费率</w:t>
            </w:r>
            <w:r>
              <w:rPr>
                <w:rFonts w:ascii="宋体" w:cs="宋体"/>
                <w:color w:val="auto"/>
                <w:szCs w:val="21"/>
                <w:highlight w:val="none"/>
              </w:rPr>
              <w:t>1%-2%</w:t>
            </w:r>
            <w:r>
              <w:rPr>
                <w:rFonts w:hint="eastAsia" w:ascii="宋体" w:cs="宋体"/>
                <w:color w:val="auto"/>
                <w:szCs w:val="21"/>
                <w:highlight w:val="none"/>
              </w:rPr>
              <w:t>，最低保费</w:t>
            </w:r>
            <w:r>
              <w:rPr>
                <w:rFonts w:ascii="宋体" w:cs="宋体"/>
                <w:color w:val="auto"/>
                <w:szCs w:val="21"/>
                <w:highlight w:val="none"/>
              </w:rPr>
              <w:t>500</w:t>
            </w:r>
            <w:r>
              <w:rPr>
                <w:rFonts w:hint="eastAsia" w:ascii="宋体" w:cs="宋体"/>
                <w:color w:val="auto"/>
                <w:szCs w:val="21"/>
                <w:highlight w:val="none"/>
              </w:rPr>
              <w:t>元</w:t>
            </w:r>
          </w:p>
        </w:tc>
        <w:tc>
          <w:tcPr>
            <w:tcW w:w="851" w:type="dxa"/>
            <w:tcBorders>
              <w:top w:val="single" w:color="000000" w:sz="4" w:space="0"/>
              <w:left w:val="single" w:color="000000" w:sz="4" w:space="0"/>
              <w:bottom w:val="single" w:color="000000" w:sz="4" w:space="0"/>
              <w:right w:val="single" w:color="000000" w:sz="4" w:space="0"/>
            </w:tcBorders>
          </w:tcPr>
          <w:p w14:paraId="60747DC9">
            <w:pPr>
              <w:spacing w:line="360" w:lineRule="auto"/>
              <w:jc w:val="center"/>
              <w:rPr>
                <w:rFonts w:ascii="宋体" w:cs="宋体"/>
                <w:color w:val="auto"/>
                <w:szCs w:val="21"/>
                <w:highlight w:val="none"/>
              </w:rPr>
            </w:pPr>
            <w:r>
              <w:rPr>
                <w:rFonts w:hint="eastAsia" w:ascii="宋体" w:cs="宋体"/>
                <w:color w:val="auto"/>
                <w:szCs w:val="21"/>
                <w:highlight w:val="none"/>
              </w:rPr>
              <w:t>罗赛</w:t>
            </w:r>
          </w:p>
        </w:tc>
        <w:tc>
          <w:tcPr>
            <w:tcW w:w="1742" w:type="dxa"/>
            <w:tcBorders>
              <w:top w:val="single" w:color="000000" w:sz="4" w:space="0"/>
              <w:left w:val="single" w:color="000000" w:sz="4" w:space="0"/>
              <w:bottom w:val="single" w:color="000000" w:sz="4" w:space="0"/>
              <w:right w:val="single" w:color="000000" w:sz="4" w:space="0"/>
            </w:tcBorders>
          </w:tcPr>
          <w:p w14:paraId="4CBDF5F6">
            <w:pPr>
              <w:spacing w:line="360" w:lineRule="auto"/>
              <w:jc w:val="center"/>
              <w:rPr>
                <w:rFonts w:ascii="宋体" w:cs="宋体"/>
                <w:color w:val="auto"/>
                <w:szCs w:val="21"/>
                <w:highlight w:val="none"/>
              </w:rPr>
            </w:pPr>
            <w:r>
              <w:rPr>
                <w:rFonts w:ascii="宋体" w:cs="宋体"/>
                <w:color w:val="auto"/>
                <w:szCs w:val="21"/>
                <w:highlight w:val="none"/>
              </w:rPr>
              <w:t>13736605643</w:t>
            </w:r>
          </w:p>
        </w:tc>
      </w:tr>
    </w:tbl>
    <w:p w14:paraId="55870085">
      <w:pPr>
        <w:snapToGrid w:val="0"/>
        <w:spacing w:line="440" w:lineRule="exact"/>
        <w:ind w:right="480" w:firstLine="600" w:firstLineChars="250"/>
        <w:jc w:val="right"/>
        <w:rPr>
          <w:rFonts w:ascii="宋体" w:cs="Arial"/>
          <w:color w:val="auto"/>
          <w:sz w:val="24"/>
          <w:highlight w:val="none"/>
        </w:rPr>
      </w:pPr>
      <w:r>
        <w:rPr>
          <w:rFonts w:hint="eastAsia" w:ascii="宋体" w:cs="Arial"/>
          <w:color w:val="auto"/>
          <w:sz w:val="24"/>
          <w:highlight w:val="none"/>
        </w:rPr>
        <w:t>台州中亿工程管理有限公司</w:t>
      </w:r>
    </w:p>
    <w:p w14:paraId="6FBFD47C">
      <w:pPr>
        <w:pStyle w:val="2"/>
        <w:rPr>
          <w:rFonts w:ascii="宋体"/>
          <w:b w:val="0"/>
          <w:bCs w:val="0"/>
          <w:color w:val="auto"/>
          <w:sz w:val="24"/>
          <w:szCs w:val="24"/>
          <w:highlight w:val="none"/>
        </w:rPr>
      </w:pPr>
      <w:r>
        <w:rPr>
          <w:rFonts w:ascii="宋体"/>
          <w:b w:val="0"/>
          <w:bCs w:val="0"/>
          <w:color w:val="auto"/>
          <w:sz w:val="24"/>
          <w:szCs w:val="24"/>
          <w:highlight w:val="none"/>
        </w:rPr>
        <w:t xml:space="preserve">                                 </w:t>
      </w:r>
      <w:bookmarkStart w:id="2" w:name="_Hlk71188987"/>
      <w:r>
        <w:rPr>
          <w:rFonts w:ascii="宋体"/>
          <w:b w:val="0"/>
          <w:bCs w:val="0"/>
          <w:color w:val="auto"/>
          <w:sz w:val="24"/>
          <w:szCs w:val="24"/>
          <w:highlight w:val="none"/>
        </w:rPr>
        <w:t xml:space="preserve">    </w:t>
      </w:r>
      <w:r>
        <w:rPr>
          <w:rFonts w:hint="eastAsia" w:ascii="宋体"/>
          <w:b w:val="0"/>
          <w:bCs w:val="0"/>
          <w:color w:val="auto"/>
          <w:sz w:val="24"/>
          <w:szCs w:val="24"/>
          <w:highlight w:val="none"/>
        </w:rPr>
        <w:t>2</w:t>
      </w:r>
      <w:r>
        <w:rPr>
          <w:rFonts w:ascii="宋体"/>
          <w:b w:val="0"/>
          <w:bCs w:val="0"/>
          <w:color w:val="auto"/>
          <w:sz w:val="24"/>
          <w:szCs w:val="24"/>
          <w:highlight w:val="none"/>
        </w:rPr>
        <w:t>0</w:t>
      </w:r>
      <w:r>
        <w:rPr>
          <w:rFonts w:hint="eastAsia" w:ascii="宋体"/>
          <w:b w:val="0"/>
          <w:bCs w:val="0"/>
          <w:color w:val="auto"/>
          <w:sz w:val="24"/>
          <w:szCs w:val="24"/>
          <w:highlight w:val="none"/>
        </w:rPr>
        <w:t>2</w:t>
      </w:r>
      <w:r>
        <w:rPr>
          <w:rFonts w:hint="eastAsia" w:ascii="宋体"/>
          <w:b w:val="0"/>
          <w:bCs w:val="0"/>
          <w:color w:val="auto"/>
          <w:sz w:val="24"/>
          <w:szCs w:val="24"/>
          <w:highlight w:val="none"/>
          <w:lang w:val="en-US" w:eastAsia="zh-CN"/>
        </w:rPr>
        <w:t>4</w:t>
      </w:r>
      <w:r>
        <w:rPr>
          <w:rFonts w:hint="eastAsia" w:ascii="宋体"/>
          <w:b w:val="0"/>
          <w:bCs w:val="0"/>
          <w:color w:val="auto"/>
          <w:sz w:val="24"/>
          <w:szCs w:val="24"/>
          <w:highlight w:val="none"/>
        </w:rPr>
        <w:t>年</w:t>
      </w:r>
      <w:r>
        <w:rPr>
          <w:rFonts w:hint="eastAsia" w:ascii="宋体"/>
          <w:b w:val="0"/>
          <w:bCs w:val="0"/>
          <w:color w:val="auto"/>
          <w:sz w:val="24"/>
          <w:szCs w:val="24"/>
          <w:highlight w:val="none"/>
          <w:lang w:val="en-US" w:eastAsia="zh-CN"/>
        </w:rPr>
        <w:t>9</w:t>
      </w:r>
      <w:r>
        <w:rPr>
          <w:rFonts w:hint="eastAsia" w:ascii="宋体"/>
          <w:b w:val="0"/>
          <w:bCs w:val="0"/>
          <w:color w:val="auto"/>
          <w:sz w:val="24"/>
          <w:szCs w:val="24"/>
          <w:highlight w:val="none"/>
        </w:rPr>
        <w:t>月</w:t>
      </w:r>
      <w:bookmarkEnd w:id="2"/>
    </w:p>
    <w:p w14:paraId="02D892A8">
      <w:pPr>
        <w:pStyle w:val="3"/>
        <w:spacing w:line="360" w:lineRule="auto"/>
        <w:jc w:val="center"/>
        <w:rPr>
          <w:rFonts w:ascii="宋体"/>
          <w:b w:val="0"/>
          <w:color w:val="auto"/>
          <w:sz w:val="36"/>
          <w:szCs w:val="36"/>
          <w:highlight w:val="none"/>
        </w:rPr>
      </w:pPr>
      <w:r>
        <w:rPr>
          <w:rFonts w:ascii="宋体"/>
          <w:b w:val="0"/>
          <w:color w:val="auto"/>
          <w:sz w:val="36"/>
          <w:szCs w:val="36"/>
          <w:highlight w:val="none"/>
        </w:rPr>
        <w:br w:type="page"/>
      </w:r>
      <w:bookmarkStart w:id="3" w:name="_Toc68703353"/>
      <w:r>
        <w:rPr>
          <w:rFonts w:hint="eastAsia" w:ascii="宋体"/>
          <w:b w:val="0"/>
          <w:color w:val="auto"/>
          <w:sz w:val="36"/>
          <w:szCs w:val="36"/>
          <w:highlight w:val="none"/>
        </w:rPr>
        <w:t>第二章 投标人须知</w:t>
      </w:r>
      <w:bookmarkEnd w:id="3"/>
    </w:p>
    <w:p w14:paraId="11B05E9B">
      <w:pPr>
        <w:spacing w:line="360" w:lineRule="auto"/>
        <w:jc w:val="center"/>
        <w:rPr>
          <w:rFonts w:ascii="宋体"/>
          <w:b/>
          <w:color w:val="auto"/>
          <w:kern w:val="44"/>
          <w:sz w:val="36"/>
          <w:szCs w:val="36"/>
          <w:highlight w:val="none"/>
        </w:rPr>
      </w:pPr>
      <w:r>
        <w:rPr>
          <w:rFonts w:hint="eastAsia" w:ascii="宋体"/>
          <w:b/>
          <w:color w:val="auto"/>
          <w:kern w:val="44"/>
          <w:sz w:val="36"/>
          <w:szCs w:val="36"/>
          <w:highlight w:val="none"/>
        </w:rPr>
        <w:t>前附表</w:t>
      </w:r>
    </w:p>
    <w:tbl>
      <w:tblPr>
        <w:tblStyle w:val="3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34"/>
        <w:gridCol w:w="5990"/>
      </w:tblGrid>
      <w:tr w14:paraId="3546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90597C8">
            <w:pPr>
              <w:spacing w:line="360" w:lineRule="auto"/>
              <w:jc w:val="center"/>
              <w:rPr>
                <w:rFonts w:ascii="宋体" w:cs="宋体"/>
                <w:color w:val="auto"/>
                <w:sz w:val="24"/>
                <w:highlight w:val="none"/>
              </w:rPr>
            </w:pPr>
            <w:r>
              <w:rPr>
                <w:rFonts w:hint="eastAsia" w:ascii="宋体" w:cs="宋体"/>
                <w:color w:val="auto"/>
                <w:sz w:val="24"/>
                <w:highlight w:val="none"/>
              </w:rPr>
              <w:t>序号</w:t>
            </w:r>
          </w:p>
        </w:tc>
        <w:tc>
          <w:tcPr>
            <w:tcW w:w="2034" w:type="dxa"/>
            <w:tcBorders>
              <w:top w:val="single" w:color="auto" w:sz="4" w:space="0"/>
              <w:left w:val="single" w:color="auto" w:sz="4" w:space="0"/>
              <w:bottom w:val="single" w:color="auto" w:sz="4" w:space="0"/>
              <w:right w:val="single" w:color="auto" w:sz="4" w:space="0"/>
            </w:tcBorders>
            <w:vAlign w:val="center"/>
          </w:tcPr>
          <w:p w14:paraId="5304BDFB">
            <w:pPr>
              <w:spacing w:line="360" w:lineRule="auto"/>
              <w:jc w:val="center"/>
              <w:rPr>
                <w:rFonts w:ascii="宋体" w:cs="宋体"/>
                <w:color w:val="auto"/>
                <w:sz w:val="24"/>
                <w:highlight w:val="none"/>
              </w:rPr>
            </w:pPr>
            <w:r>
              <w:rPr>
                <w:rFonts w:hint="eastAsia" w:ascii="宋体" w:cs="宋体"/>
                <w:color w:val="auto"/>
                <w:sz w:val="24"/>
                <w:highlight w:val="none"/>
              </w:rPr>
              <w:t>项    目</w:t>
            </w:r>
          </w:p>
        </w:tc>
        <w:tc>
          <w:tcPr>
            <w:tcW w:w="5990" w:type="dxa"/>
            <w:tcBorders>
              <w:top w:val="single" w:color="auto" w:sz="4" w:space="0"/>
              <w:left w:val="single" w:color="auto" w:sz="4" w:space="0"/>
              <w:bottom w:val="single" w:color="auto" w:sz="4" w:space="0"/>
              <w:right w:val="single" w:color="auto" w:sz="4" w:space="0"/>
            </w:tcBorders>
            <w:vAlign w:val="center"/>
          </w:tcPr>
          <w:p w14:paraId="37E34B24">
            <w:pPr>
              <w:spacing w:line="360" w:lineRule="auto"/>
              <w:jc w:val="center"/>
              <w:rPr>
                <w:rFonts w:ascii="宋体" w:cs="宋体"/>
                <w:color w:val="auto"/>
                <w:sz w:val="24"/>
                <w:highlight w:val="none"/>
              </w:rPr>
            </w:pPr>
            <w:r>
              <w:rPr>
                <w:rFonts w:hint="eastAsia" w:ascii="宋体" w:cs="宋体"/>
                <w:color w:val="auto"/>
                <w:sz w:val="24"/>
                <w:highlight w:val="none"/>
              </w:rPr>
              <w:t>内                 容</w:t>
            </w:r>
          </w:p>
        </w:tc>
      </w:tr>
      <w:tr w14:paraId="6C13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3BAF65C">
            <w:pPr>
              <w:spacing w:line="360" w:lineRule="auto"/>
              <w:jc w:val="center"/>
              <w:rPr>
                <w:rFonts w:ascii="宋体" w:cs="宋体"/>
                <w:color w:val="auto"/>
                <w:sz w:val="24"/>
                <w:highlight w:val="none"/>
              </w:rPr>
            </w:pPr>
            <w:r>
              <w:rPr>
                <w:rFonts w:hint="eastAsia" w:ascii="宋体" w:cs="宋体"/>
                <w:color w:val="auto"/>
                <w:sz w:val="24"/>
                <w:highlight w:val="none"/>
              </w:rPr>
              <w:t>1</w:t>
            </w:r>
          </w:p>
        </w:tc>
        <w:tc>
          <w:tcPr>
            <w:tcW w:w="2034" w:type="dxa"/>
            <w:tcBorders>
              <w:top w:val="single" w:color="auto" w:sz="4" w:space="0"/>
              <w:left w:val="single" w:color="auto" w:sz="4" w:space="0"/>
              <w:bottom w:val="single" w:color="auto" w:sz="4" w:space="0"/>
              <w:right w:val="single" w:color="auto" w:sz="4" w:space="0"/>
            </w:tcBorders>
            <w:vAlign w:val="center"/>
          </w:tcPr>
          <w:p w14:paraId="13C0AC9F">
            <w:pPr>
              <w:spacing w:line="360" w:lineRule="auto"/>
              <w:jc w:val="center"/>
              <w:rPr>
                <w:rFonts w:ascii="宋体" w:cs="宋体"/>
                <w:color w:val="auto"/>
                <w:sz w:val="24"/>
                <w:highlight w:val="none"/>
              </w:rPr>
            </w:pPr>
            <w:r>
              <w:rPr>
                <w:rFonts w:hint="eastAsia" w:ascii="宋体" w:cs="宋体"/>
                <w:color w:val="auto"/>
                <w:sz w:val="24"/>
                <w:highlight w:val="none"/>
              </w:rPr>
              <w:t>供应商特定资格要求</w:t>
            </w:r>
          </w:p>
        </w:tc>
        <w:tc>
          <w:tcPr>
            <w:tcW w:w="5990" w:type="dxa"/>
            <w:tcBorders>
              <w:top w:val="single" w:color="auto" w:sz="4" w:space="0"/>
              <w:left w:val="single" w:color="auto" w:sz="4" w:space="0"/>
              <w:bottom w:val="single" w:color="auto" w:sz="4" w:space="0"/>
              <w:right w:val="single" w:color="auto" w:sz="4" w:space="0"/>
            </w:tcBorders>
            <w:vAlign w:val="center"/>
          </w:tcPr>
          <w:p w14:paraId="261033BD">
            <w:pPr>
              <w:spacing w:line="360" w:lineRule="auto"/>
              <w:rPr>
                <w:rFonts w:ascii="宋体" w:cs="宋体"/>
                <w:color w:val="auto"/>
                <w:sz w:val="24"/>
                <w:highlight w:val="none"/>
              </w:rPr>
            </w:pPr>
            <w:r>
              <w:rPr>
                <w:rFonts w:hint="eastAsia" w:ascii="宋体" w:cs="宋体"/>
                <w:color w:val="auto"/>
                <w:sz w:val="24"/>
                <w:highlight w:val="none"/>
              </w:rPr>
              <w:t>符合招标公告资格要求的供应商</w:t>
            </w:r>
          </w:p>
        </w:tc>
      </w:tr>
      <w:tr w14:paraId="7356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F4D7E29">
            <w:pPr>
              <w:spacing w:line="360" w:lineRule="auto"/>
              <w:jc w:val="center"/>
              <w:rPr>
                <w:rFonts w:ascii="宋体" w:cs="宋体"/>
                <w:color w:val="auto"/>
                <w:sz w:val="24"/>
                <w:highlight w:val="none"/>
              </w:rPr>
            </w:pPr>
            <w:r>
              <w:rPr>
                <w:rFonts w:hint="eastAsia" w:ascii="宋体" w:cs="宋体"/>
                <w:color w:val="auto"/>
                <w:sz w:val="24"/>
                <w:highlight w:val="none"/>
              </w:rPr>
              <w:t>2</w:t>
            </w:r>
          </w:p>
        </w:tc>
        <w:tc>
          <w:tcPr>
            <w:tcW w:w="2034" w:type="dxa"/>
            <w:tcBorders>
              <w:top w:val="single" w:color="auto" w:sz="4" w:space="0"/>
              <w:left w:val="single" w:color="auto" w:sz="4" w:space="0"/>
              <w:bottom w:val="single" w:color="auto" w:sz="4" w:space="0"/>
              <w:right w:val="single" w:color="auto" w:sz="4" w:space="0"/>
            </w:tcBorders>
            <w:vAlign w:val="center"/>
          </w:tcPr>
          <w:p w14:paraId="1D0B740C">
            <w:pPr>
              <w:spacing w:line="360" w:lineRule="auto"/>
              <w:jc w:val="center"/>
              <w:rPr>
                <w:rFonts w:ascii="宋体" w:cs="宋体"/>
                <w:color w:val="auto"/>
                <w:sz w:val="24"/>
                <w:highlight w:val="none"/>
              </w:rPr>
            </w:pPr>
            <w:r>
              <w:rPr>
                <w:rFonts w:hint="eastAsia" w:ascii="宋体" w:cs="宋体"/>
                <w:color w:val="auto"/>
                <w:kern w:val="0"/>
                <w:sz w:val="24"/>
                <w:highlight w:val="none"/>
              </w:rPr>
              <w:t>答疑会或</w:t>
            </w:r>
            <w:r>
              <w:rPr>
                <w:rFonts w:hint="eastAsia" w:ascii="宋体" w:cs="宋体"/>
                <w:color w:val="auto"/>
                <w:sz w:val="24"/>
                <w:highlight w:val="none"/>
              </w:rPr>
              <w:t>现场踏勘</w:t>
            </w:r>
          </w:p>
        </w:tc>
        <w:tc>
          <w:tcPr>
            <w:tcW w:w="5990" w:type="dxa"/>
            <w:tcBorders>
              <w:top w:val="single" w:color="auto" w:sz="4" w:space="0"/>
              <w:left w:val="single" w:color="auto" w:sz="4" w:space="0"/>
              <w:bottom w:val="single" w:color="auto" w:sz="4" w:space="0"/>
              <w:right w:val="single" w:color="auto" w:sz="4" w:space="0"/>
            </w:tcBorders>
            <w:vAlign w:val="center"/>
          </w:tcPr>
          <w:p w14:paraId="2E57E418">
            <w:pPr>
              <w:spacing w:line="360" w:lineRule="auto"/>
              <w:rPr>
                <w:rFonts w:ascii="宋体" w:cs="宋体"/>
                <w:color w:val="auto"/>
                <w:sz w:val="24"/>
                <w:highlight w:val="none"/>
              </w:rPr>
            </w:pPr>
            <w:r>
              <w:rPr>
                <w:rFonts w:hint="eastAsia" w:ascii="宋体" w:cs="Arial"/>
                <w:color w:val="auto"/>
                <w:sz w:val="24"/>
                <w:highlight w:val="none"/>
              </w:rPr>
              <w:t>不组织</w:t>
            </w:r>
          </w:p>
        </w:tc>
      </w:tr>
      <w:tr w14:paraId="5790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A0C1D8">
            <w:pPr>
              <w:spacing w:line="360" w:lineRule="auto"/>
              <w:jc w:val="center"/>
              <w:rPr>
                <w:rFonts w:ascii="宋体" w:cs="宋体"/>
                <w:color w:val="auto"/>
                <w:sz w:val="24"/>
                <w:highlight w:val="none"/>
              </w:rPr>
            </w:pPr>
            <w:r>
              <w:rPr>
                <w:rFonts w:ascii="宋体" w:cs="宋体"/>
                <w:color w:val="auto"/>
                <w:sz w:val="24"/>
                <w:highlight w:val="none"/>
              </w:rPr>
              <w:t>3</w:t>
            </w:r>
          </w:p>
        </w:tc>
        <w:tc>
          <w:tcPr>
            <w:tcW w:w="2034" w:type="dxa"/>
            <w:tcBorders>
              <w:top w:val="single" w:color="auto" w:sz="4" w:space="0"/>
              <w:left w:val="single" w:color="auto" w:sz="4" w:space="0"/>
              <w:bottom w:val="single" w:color="auto" w:sz="4" w:space="0"/>
              <w:right w:val="single" w:color="auto" w:sz="4" w:space="0"/>
            </w:tcBorders>
            <w:vAlign w:val="center"/>
          </w:tcPr>
          <w:p w14:paraId="4596DF44">
            <w:pPr>
              <w:spacing w:line="360" w:lineRule="auto"/>
              <w:jc w:val="center"/>
              <w:rPr>
                <w:rFonts w:ascii="宋体" w:cs="宋体"/>
                <w:color w:val="auto"/>
                <w:sz w:val="24"/>
                <w:highlight w:val="none"/>
              </w:rPr>
            </w:pPr>
            <w:r>
              <w:rPr>
                <w:rFonts w:hint="eastAsia" w:ascii="宋体" w:cs="宋体"/>
                <w:b/>
                <w:bCs/>
                <w:color w:val="auto"/>
                <w:sz w:val="24"/>
                <w:highlight w:val="none"/>
              </w:rPr>
              <w:t>投标文件的编制</w:t>
            </w:r>
          </w:p>
        </w:tc>
        <w:tc>
          <w:tcPr>
            <w:tcW w:w="5990" w:type="dxa"/>
            <w:tcBorders>
              <w:top w:val="single" w:color="auto" w:sz="4" w:space="0"/>
              <w:left w:val="single" w:color="auto" w:sz="4" w:space="0"/>
              <w:bottom w:val="single" w:color="auto" w:sz="4" w:space="0"/>
              <w:right w:val="single" w:color="auto" w:sz="4" w:space="0"/>
            </w:tcBorders>
            <w:vAlign w:val="center"/>
          </w:tcPr>
          <w:p w14:paraId="07D1E030">
            <w:pPr>
              <w:spacing w:line="360" w:lineRule="auto"/>
              <w:rPr>
                <w:rFonts w:ascii="宋体" w:cs="宋体"/>
                <w:color w:val="auto"/>
                <w:sz w:val="24"/>
                <w:highlight w:val="none"/>
              </w:rPr>
            </w:pPr>
            <w:r>
              <w:rPr>
                <w:rFonts w:hint="eastAsia" w:ascii="宋体" w:cs="宋体"/>
                <w:color w:val="auto"/>
                <w:sz w:val="24"/>
                <w:highlight w:val="none"/>
              </w:rPr>
              <w:t>供应商应先安装“政采云电子交易客户端”，并按照本招标文件和“政府采购云平台”的要求，通过“政采云电子交易客户端”编制并加密投标文件。</w:t>
            </w:r>
          </w:p>
        </w:tc>
      </w:tr>
      <w:tr w14:paraId="0F23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6ADB261">
            <w:pPr>
              <w:spacing w:line="360" w:lineRule="auto"/>
              <w:jc w:val="center"/>
              <w:rPr>
                <w:rFonts w:ascii="宋体" w:cs="宋体"/>
                <w:color w:val="auto"/>
                <w:sz w:val="24"/>
                <w:highlight w:val="none"/>
              </w:rPr>
            </w:pPr>
            <w:r>
              <w:rPr>
                <w:rFonts w:hint="eastAsia" w:ascii="宋体" w:cs="宋体"/>
                <w:color w:val="auto"/>
                <w:sz w:val="24"/>
                <w:highlight w:val="none"/>
              </w:rPr>
              <w:t>4</w:t>
            </w:r>
          </w:p>
        </w:tc>
        <w:tc>
          <w:tcPr>
            <w:tcW w:w="2034" w:type="dxa"/>
            <w:tcBorders>
              <w:top w:val="single" w:color="auto" w:sz="4" w:space="0"/>
              <w:left w:val="single" w:color="auto" w:sz="4" w:space="0"/>
              <w:bottom w:val="single" w:color="auto" w:sz="4" w:space="0"/>
              <w:right w:val="single" w:color="auto" w:sz="4" w:space="0"/>
            </w:tcBorders>
            <w:vAlign w:val="center"/>
          </w:tcPr>
          <w:p w14:paraId="631F12E1">
            <w:pPr>
              <w:spacing w:line="360" w:lineRule="auto"/>
              <w:jc w:val="center"/>
              <w:rPr>
                <w:rFonts w:ascii="宋体" w:cs="宋体"/>
                <w:b/>
                <w:bCs/>
                <w:color w:val="auto"/>
                <w:sz w:val="24"/>
                <w:highlight w:val="none"/>
              </w:rPr>
            </w:pPr>
            <w:r>
              <w:rPr>
                <w:rFonts w:hint="eastAsia" w:ascii="宋体" w:cs="宋体"/>
                <w:b/>
                <w:bCs/>
                <w:color w:val="auto"/>
                <w:sz w:val="24"/>
                <w:highlight w:val="none"/>
              </w:rPr>
              <w:t>投标文件的签章</w:t>
            </w:r>
          </w:p>
        </w:tc>
        <w:tc>
          <w:tcPr>
            <w:tcW w:w="5990" w:type="dxa"/>
            <w:tcBorders>
              <w:top w:val="single" w:color="auto" w:sz="4" w:space="0"/>
              <w:left w:val="single" w:color="auto" w:sz="4" w:space="0"/>
              <w:bottom w:val="single" w:color="auto" w:sz="4" w:space="0"/>
              <w:right w:val="single" w:color="auto" w:sz="4" w:space="0"/>
            </w:tcBorders>
            <w:vAlign w:val="center"/>
          </w:tcPr>
          <w:p w14:paraId="558BB988">
            <w:pPr>
              <w:spacing w:line="360" w:lineRule="auto"/>
              <w:rPr>
                <w:rFonts w:ascii="宋体" w:cs="宋体"/>
                <w:color w:val="auto"/>
                <w:sz w:val="24"/>
                <w:highlight w:val="none"/>
              </w:rPr>
            </w:pPr>
            <w:r>
              <w:rPr>
                <w:rFonts w:hint="eastAsia" w:ascii="宋体" w:cs="宋体"/>
                <w:color w:val="auto"/>
                <w:sz w:val="24"/>
                <w:highlight w:val="none"/>
              </w:rPr>
              <w:t>电子签章</w:t>
            </w:r>
          </w:p>
        </w:tc>
      </w:tr>
      <w:tr w14:paraId="7718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D005D08">
            <w:pPr>
              <w:spacing w:line="360" w:lineRule="auto"/>
              <w:jc w:val="center"/>
              <w:rPr>
                <w:rFonts w:ascii="宋体" w:cs="宋体"/>
                <w:color w:val="auto"/>
                <w:sz w:val="24"/>
                <w:highlight w:val="none"/>
              </w:rPr>
            </w:pPr>
            <w:r>
              <w:rPr>
                <w:rFonts w:hint="eastAsia" w:ascii="宋体" w:cs="宋体"/>
                <w:color w:val="auto"/>
                <w:sz w:val="24"/>
                <w:highlight w:val="none"/>
              </w:rPr>
              <w:t>5</w:t>
            </w:r>
          </w:p>
        </w:tc>
        <w:tc>
          <w:tcPr>
            <w:tcW w:w="2034" w:type="dxa"/>
            <w:tcBorders>
              <w:top w:val="single" w:color="auto" w:sz="4" w:space="0"/>
              <w:left w:val="single" w:color="auto" w:sz="4" w:space="0"/>
              <w:bottom w:val="single" w:color="auto" w:sz="4" w:space="0"/>
              <w:right w:val="single" w:color="auto" w:sz="4" w:space="0"/>
            </w:tcBorders>
            <w:vAlign w:val="center"/>
          </w:tcPr>
          <w:p w14:paraId="76CFC07B">
            <w:pPr>
              <w:spacing w:line="360" w:lineRule="auto"/>
              <w:jc w:val="center"/>
              <w:rPr>
                <w:rFonts w:ascii="宋体" w:cs="宋体"/>
                <w:b/>
                <w:bCs/>
                <w:color w:val="auto"/>
                <w:sz w:val="24"/>
                <w:highlight w:val="none"/>
              </w:rPr>
            </w:pPr>
            <w:r>
              <w:rPr>
                <w:rFonts w:hint="eastAsia" w:ascii="宋体" w:cs="宋体"/>
                <w:b/>
                <w:bCs/>
                <w:color w:val="auto"/>
                <w:sz w:val="24"/>
                <w:highlight w:val="none"/>
              </w:rPr>
              <w:t>投标文件的形式</w:t>
            </w:r>
          </w:p>
        </w:tc>
        <w:tc>
          <w:tcPr>
            <w:tcW w:w="5990" w:type="dxa"/>
            <w:tcBorders>
              <w:top w:val="single" w:color="auto" w:sz="4" w:space="0"/>
              <w:left w:val="single" w:color="auto" w:sz="4" w:space="0"/>
              <w:bottom w:val="single" w:color="auto" w:sz="4" w:space="0"/>
              <w:right w:val="single" w:color="auto" w:sz="4" w:space="0"/>
            </w:tcBorders>
            <w:vAlign w:val="center"/>
          </w:tcPr>
          <w:p w14:paraId="137673D4">
            <w:pPr>
              <w:spacing w:line="360" w:lineRule="auto"/>
              <w:rPr>
                <w:rFonts w:ascii="宋体" w:cs="宋体"/>
                <w:color w:val="auto"/>
                <w:sz w:val="24"/>
                <w:highlight w:val="none"/>
              </w:rPr>
            </w:pPr>
            <w:r>
              <w:rPr>
                <w:rFonts w:ascii="Segoe UI Emoji" w:hAnsi="Segoe UI Emoji" w:cs="Segoe UI Emoji"/>
                <w:color w:val="auto"/>
                <w:sz w:val="24"/>
                <w:highlight w:val="none"/>
              </w:rPr>
              <w:t>☑</w:t>
            </w:r>
            <w:r>
              <w:rPr>
                <w:rFonts w:hint="eastAsia" w:ascii="宋体" w:cs="宋体"/>
                <w:color w:val="auto"/>
                <w:sz w:val="24"/>
                <w:highlight w:val="none"/>
              </w:rPr>
              <w:t>电子投标文件（包括“电子加密投标文件”和“备份投标文件”，在投标文件编制完成后同时生成）；</w:t>
            </w:r>
          </w:p>
          <w:p w14:paraId="7407AD8A">
            <w:pPr>
              <w:spacing w:line="360" w:lineRule="auto"/>
              <w:rPr>
                <w:rFonts w:ascii="宋体" w:cs="宋体"/>
                <w:color w:val="auto"/>
                <w:sz w:val="24"/>
                <w:highlight w:val="none"/>
              </w:rPr>
            </w:pPr>
            <w:r>
              <w:rPr>
                <w:rFonts w:hint="eastAsia" w:ascii="宋体" w:cs="宋体"/>
                <w:color w:val="auto"/>
                <w:sz w:val="24"/>
                <w:highlight w:val="none"/>
              </w:rPr>
              <w:t>（1）“电子加密投标文件”是指通过“政采云电子交易客户端”完成投标文件编制后生成并加密的数据电文形式的投标文件。</w:t>
            </w:r>
          </w:p>
          <w:p w14:paraId="372C0E7E">
            <w:pPr>
              <w:spacing w:line="360" w:lineRule="auto"/>
              <w:rPr>
                <w:rFonts w:ascii="宋体" w:cs="宋体"/>
                <w:color w:val="auto"/>
                <w:sz w:val="24"/>
                <w:highlight w:val="none"/>
              </w:rPr>
            </w:pPr>
            <w:r>
              <w:rPr>
                <w:rFonts w:hint="eastAsia" w:ascii="宋体" w:cs="宋体"/>
                <w:color w:val="auto"/>
                <w:sz w:val="24"/>
                <w:highlight w:val="none"/>
              </w:rPr>
              <w:t>（2）“备份投标文件”是指与“电子加密投标文件”同时生成的数据电文形式的电子文件（备份标书），其他方式编制的备份投标文件视为无效备份投标文件。</w:t>
            </w:r>
          </w:p>
          <w:p w14:paraId="25E6872D">
            <w:pPr>
              <w:spacing w:line="360" w:lineRule="auto"/>
              <w:rPr>
                <w:rFonts w:ascii="宋体" w:cs="宋体"/>
                <w:color w:val="auto"/>
                <w:sz w:val="24"/>
                <w:highlight w:val="none"/>
              </w:rPr>
            </w:pPr>
            <w:r>
              <w:rPr>
                <w:rFonts w:hint="eastAsia" w:ascii="宋体" w:cs="宋体"/>
                <w:b/>
                <w:bCs/>
                <w:color w:val="auto"/>
                <w:kern w:val="0"/>
                <w:sz w:val="24"/>
                <w:szCs w:val="22"/>
                <w:highlight w:val="none"/>
              </w:rPr>
              <w:t>（3）中标供应商中标后需提供纸质投标文件给招标代理机构作为备案存档，纸质投标文件系电子投标文件纸质版，两者内容应一致，若提供的纸质不一致导致发生的所有法律责任由中标供应商承担；数量为：资格证明文件6份；资格及商务技术文件6份；报价文件6份。</w:t>
            </w:r>
          </w:p>
        </w:tc>
      </w:tr>
      <w:tr w14:paraId="282E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45478D9">
            <w:pPr>
              <w:spacing w:line="360" w:lineRule="auto"/>
              <w:jc w:val="center"/>
              <w:rPr>
                <w:rFonts w:ascii="宋体" w:cs="宋体"/>
                <w:color w:val="auto"/>
                <w:sz w:val="24"/>
                <w:highlight w:val="none"/>
              </w:rPr>
            </w:pPr>
            <w:r>
              <w:rPr>
                <w:rFonts w:hint="eastAsia" w:ascii="宋体" w:cs="宋体"/>
                <w:color w:val="auto"/>
                <w:sz w:val="24"/>
                <w:highlight w:val="none"/>
              </w:rPr>
              <w:t>6</w:t>
            </w:r>
          </w:p>
        </w:tc>
        <w:tc>
          <w:tcPr>
            <w:tcW w:w="2034" w:type="dxa"/>
            <w:tcBorders>
              <w:top w:val="single" w:color="auto" w:sz="4" w:space="0"/>
              <w:left w:val="single" w:color="auto" w:sz="4" w:space="0"/>
              <w:bottom w:val="single" w:color="auto" w:sz="4" w:space="0"/>
              <w:right w:val="single" w:color="auto" w:sz="4" w:space="0"/>
            </w:tcBorders>
            <w:vAlign w:val="center"/>
          </w:tcPr>
          <w:p w14:paraId="40976B57">
            <w:pPr>
              <w:spacing w:line="360" w:lineRule="auto"/>
              <w:rPr>
                <w:rFonts w:ascii="宋体" w:cs="宋体"/>
                <w:b/>
                <w:bCs/>
                <w:color w:val="auto"/>
                <w:sz w:val="24"/>
                <w:highlight w:val="none"/>
              </w:rPr>
            </w:pPr>
            <w:r>
              <w:rPr>
                <w:rFonts w:hint="eastAsia" w:ascii="宋体" w:cs="宋体"/>
                <w:b/>
                <w:bCs/>
                <w:color w:val="auto"/>
                <w:sz w:val="24"/>
                <w:highlight w:val="none"/>
              </w:rPr>
              <w:t>投标文件份数</w:t>
            </w:r>
          </w:p>
        </w:tc>
        <w:tc>
          <w:tcPr>
            <w:tcW w:w="5990" w:type="dxa"/>
            <w:tcBorders>
              <w:top w:val="single" w:color="auto" w:sz="4" w:space="0"/>
              <w:left w:val="single" w:color="auto" w:sz="4" w:space="0"/>
              <w:bottom w:val="single" w:color="auto" w:sz="4" w:space="0"/>
              <w:right w:val="single" w:color="auto" w:sz="4" w:space="0"/>
            </w:tcBorders>
            <w:vAlign w:val="center"/>
          </w:tcPr>
          <w:p w14:paraId="11963BC5">
            <w:pPr>
              <w:spacing w:line="360" w:lineRule="auto"/>
              <w:rPr>
                <w:rFonts w:hint="eastAsia" w:ascii="宋体" w:eastAsia="宋体" w:cs="宋体"/>
                <w:color w:val="auto"/>
                <w:sz w:val="24"/>
                <w:highlight w:val="none"/>
              </w:rPr>
            </w:pPr>
            <w:r>
              <w:rPr>
                <w:rFonts w:hint="eastAsia" w:ascii="宋体" w:eastAsia="宋体" w:cs="宋体"/>
                <w:color w:val="auto"/>
                <w:sz w:val="24"/>
                <w:highlight w:val="none"/>
              </w:rPr>
              <w:t>（1）“电子加密投标文件”：在线上传递交、一份。</w:t>
            </w:r>
          </w:p>
          <w:p w14:paraId="262BDB9D">
            <w:pPr>
              <w:spacing w:line="360" w:lineRule="auto"/>
              <w:rPr>
                <w:rFonts w:hint="default"/>
                <w:color w:val="auto"/>
                <w:highlight w:val="none"/>
                <w:lang w:val="en-US"/>
              </w:rPr>
            </w:pPr>
            <w:r>
              <w:rPr>
                <w:rFonts w:hint="eastAsia" w:ascii="宋体" w:eastAsia="宋体" w:cs="宋体"/>
                <w:color w:val="auto"/>
                <w:sz w:val="24"/>
                <w:highlight w:val="none"/>
              </w:rPr>
              <w:t>（2）“备份投标文件”：于投标截止时间前递交</w:t>
            </w:r>
            <w:r>
              <w:rPr>
                <w:rFonts w:hint="eastAsia" w:ascii="宋体" w:eastAsia="宋体" w:cs="宋体"/>
                <w:color w:val="auto"/>
                <w:sz w:val="24"/>
                <w:highlight w:val="none"/>
                <w:lang w:eastAsia="zh-CN"/>
              </w:rPr>
              <w:t>至采购代理机构指定邮箱</w:t>
            </w:r>
            <w:r>
              <w:rPr>
                <w:rFonts w:hint="eastAsia" w:ascii="宋体" w:eastAsia="宋体" w:cs="宋体"/>
                <w:color w:val="auto"/>
                <w:sz w:val="24"/>
                <w:highlight w:val="none"/>
              </w:rPr>
              <w:t>。</w:t>
            </w:r>
          </w:p>
        </w:tc>
      </w:tr>
      <w:tr w14:paraId="5D30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B764CCB">
            <w:pPr>
              <w:spacing w:line="360" w:lineRule="auto"/>
              <w:jc w:val="center"/>
              <w:rPr>
                <w:rFonts w:ascii="宋体" w:cs="宋体"/>
                <w:color w:val="auto"/>
                <w:sz w:val="24"/>
                <w:highlight w:val="none"/>
              </w:rPr>
            </w:pPr>
            <w:r>
              <w:rPr>
                <w:rFonts w:hint="eastAsia" w:ascii="宋体" w:cs="宋体"/>
                <w:color w:val="auto"/>
                <w:sz w:val="24"/>
                <w:highlight w:val="none"/>
              </w:rPr>
              <w:t>7</w:t>
            </w:r>
          </w:p>
        </w:tc>
        <w:tc>
          <w:tcPr>
            <w:tcW w:w="2034" w:type="dxa"/>
            <w:tcBorders>
              <w:top w:val="single" w:color="auto" w:sz="4" w:space="0"/>
              <w:left w:val="single" w:color="auto" w:sz="4" w:space="0"/>
              <w:bottom w:val="single" w:color="auto" w:sz="4" w:space="0"/>
              <w:right w:val="single" w:color="auto" w:sz="4" w:space="0"/>
            </w:tcBorders>
            <w:vAlign w:val="center"/>
          </w:tcPr>
          <w:p w14:paraId="48E87631">
            <w:pPr>
              <w:spacing w:line="360" w:lineRule="auto"/>
              <w:rPr>
                <w:rFonts w:ascii="宋体" w:cs="宋体"/>
                <w:b/>
                <w:bCs/>
                <w:color w:val="auto"/>
                <w:sz w:val="24"/>
                <w:highlight w:val="none"/>
              </w:rPr>
            </w:pPr>
            <w:r>
              <w:rPr>
                <w:rFonts w:hint="eastAsia" w:ascii="宋体" w:cs="宋体"/>
                <w:b/>
                <w:bCs/>
                <w:color w:val="auto"/>
                <w:sz w:val="24"/>
                <w:highlight w:val="none"/>
              </w:rPr>
              <w:t>投标文件的上传和递交：</w:t>
            </w:r>
          </w:p>
        </w:tc>
        <w:tc>
          <w:tcPr>
            <w:tcW w:w="5990" w:type="dxa"/>
            <w:tcBorders>
              <w:top w:val="single" w:color="auto" w:sz="4" w:space="0"/>
              <w:left w:val="single" w:color="auto" w:sz="4" w:space="0"/>
              <w:bottom w:val="single" w:color="auto" w:sz="4" w:space="0"/>
              <w:right w:val="single" w:color="auto" w:sz="4" w:space="0"/>
            </w:tcBorders>
            <w:vAlign w:val="center"/>
          </w:tcPr>
          <w:p w14:paraId="46F87FFA">
            <w:pPr>
              <w:spacing w:line="360" w:lineRule="auto"/>
              <w:rPr>
                <w:color w:val="auto"/>
                <w:sz w:val="24"/>
                <w:szCs w:val="24"/>
                <w:highlight w:val="none"/>
              </w:rPr>
            </w:pPr>
            <w:r>
              <w:rPr>
                <w:rFonts w:hint="eastAsia"/>
                <w:color w:val="auto"/>
                <w:sz w:val="24"/>
                <w:szCs w:val="24"/>
                <w:highlight w:val="none"/>
              </w:rPr>
              <w:t>（1）“电子加密投标文件”的上传、递交：</w:t>
            </w:r>
          </w:p>
          <w:p w14:paraId="757F1CDF">
            <w:pPr>
              <w:spacing w:line="360" w:lineRule="auto"/>
              <w:rPr>
                <w:color w:val="auto"/>
                <w:sz w:val="24"/>
                <w:szCs w:val="24"/>
                <w:highlight w:val="none"/>
              </w:rPr>
            </w:pPr>
            <w:r>
              <w:rPr>
                <w:rFonts w:hint="eastAsia"/>
                <w:color w:val="auto"/>
                <w:sz w:val="24"/>
                <w:szCs w:val="24"/>
                <w:highlight w:val="none"/>
              </w:rPr>
              <w:t>▲a.投标供应商应在投标截止时间前将“电子加密投标文件”成功上传递交至“政府采购云平台”，否则投标无效。</w:t>
            </w:r>
          </w:p>
          <w:p w14:paraId="5923E421">
            <w:pPr>
              <w:spacing w:line="360" w:lineRule="auto"/>
              <w:rPr>
                <w:color w:val="auto"/>
                <w:sz w:val="24"/>
                <w:szCs w:val="24"/>
                <w:highlight w:val="none"/>
              </w:rPr>
            </w:pPr>
            <w:r>
              <w:rPr>
                <w:rFonts w:hint="eastAsia"/>
                <w:color w:val="auto"/>
                <w:sz w:val="24"/>
                <w:szCs w:val="24"/>
                <w:highlight w:val="none"/>
              </w:rPr>
              <w:t>b.“电子加密投标文件”成功上传递交后，供应商可自行打印投标文件接收回执。</w:t>
            </w:r>
          </w:p>
          <w:p w14:paraId="7EF30CC6">
            <w:pPr>
              <w:spacing w:line="360" w:lineRule="auto"/>
              <w:rPr>
                <w:color w:val="auto"/>
                <w:sz w:val="24"/>
                <w:szCs w:val="24"/>
                <w:highlight w:val="none"/>
              </w:rPr>
            </w:pPr>
            <w:r>
              <w:rPr>
                <w:rFonts w:hint="eastAsia"/>
                <w:color w:val="auto"/>
                <w:sz w:val="24"/>
                <w:szCs w:val="24"/>
                <w:highlight w:val="none"/>
              </w:rPr>
              <w:t>（2）“备份投标文件”的递交：</w:t>
            </w:r>
          </w:p>
          <w:p w14:paraId="033B7DEF">
            <w:pPr>
              <w:spacing w:line="360" w:lineRule="auto"/>
              <w:rPr>
                <w:color w:val="auto"/>
                <w:sz w:val="24"/>
                <w:szCs w:val="24"/>
                <w:highlight w:val="none"/>
              </w:rPr>
            </w:pPr>
            <w:r>
              <w:rPr>
                <w:rFonts w:hint="eastAsia"/>
                <w:color w:val="auto"/>
                <w:sz w:val="24"/>
                <w:szCs w:val="24"/>
                <w:highlight w:val="none"/>
              </w:rPr>
              <w:t>a.投标供应商在“政府采购云平台”完成“电子加密投标文件”的上传递交后，还可以在投标截止时间前</w:t>
            </w:r>
            <w:r>
              <w:rPr>
                <w:rFonts w:hint="eastAsia"/>
                <w:color w:val="auto"/>
                <w:sz w:val="24"/>
                <w:szCs w:val="24"/>
                <w:highlight w:val="none"/>
                <w:lang w:eastAsia="zh-CN"/>
              </w:rPr>
              <w:t>以</w:t>
            </w:r>
            <w:r>
              <w:rPr>
                <w:rFonts w:hint="eastAsia"/>
                <w:color w:val="auto"/>
                <w:sz w:val="24"/>
                <w:szCs w:val="24"/>
                <w:highlight w:val="none"/>
                <w:lang w:val="en-US" w:eastAsia="zh-CN"/>
              </w:rPr>
              <w:t>电子</w:t>
            </w:r>
            <w:r>
              <w:rPr>
                <w:rFonts w:hint="eastAsia"/>
                <w:color w:val="auto"/>
                <w:sz w:val="24"/>
                <w:szCs w:val="24"/>
                <w:highlight w:val="none"/>
                <w:lang w:eastAsia="zh-CN"/>
              </w:rPr>
              <w:t>邮件方式</w:t>
            </w:r>
            <w:r>
              <w:rPr>
                <w:rFonts w:hint="eastAsia"/>
                <w:color w:val="auto"/>
                <w:sz w:val="24"/>
                <w:szCs w:val="24"/>
                <w:highlight w:val="none"/>
              </w:rPr>
              <w:t>递交 “备份投标文件”（一份）</w:t>
            </w:r>
            <w:r>
              <w:rPr>
                <w:rFonts w:hint="eastAsia"/>
                <w:color w:val="auto"/>
                <w:sz w:val="24"/>
                <w:szCs w:val="24"/>
                <w:highlight w:val="none"/>
                <w:lang w:eastAsia="zh-CN"/>
              </w:rPr>
              <w:t>（投递邮箱：</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"mailto:450337171@qq.com" </w:instrText>
            </w:r>
            <w:r>
              <w:rPr>
                <w:rFonts w:hint="eastAsia" w:ascii="宋体" w:hAnsi="宋体" w:eastAsia="宋体" w:cs="宋体"/>
                <w:color w:val="auto"/>
                <w:sz w:val="24"/>
                <w:highlight w:val="none"/>
              </w:rPr>
              <w:fldChar w:fldCharType="separate"/>
            </w:r>
            <w:r>
              <w:rPr>
                <w:rStyle w:val="39"/>
                <w:rFonts w:hint="eastAsia" w:ascii="宋体" w:hAnsi="宋体" w:cs="宋体"/>
                <w:b/>
                <w:color w:val="auto"/>
                <w:sz w:val="24"/>
                <w:highlight w:val="none"/>
                <w:u w:val="none"/>
                <w:lang w:val="en-US" w:eastAsia="zh-CN"/>
              </w:rPr>
              <w:t>234908526</w:t>
            </w:r>
            <w:r>
              <w:rPr>
                <w:rStyle w:val="39"/>
                <w:rFonts w:hint="eastAsia" w:ascii="宋体" w:hAnsi="宋体" w:eastAsia="宋体" w:cs="宋体"/>
                <w:b/>
                <w:color w:val="auto"/>
                <w:sz w:val="24"/>
                <w:highlight w:val="none"/>
                <w:u w:val="none"/>
              </w:rPr>
              <w:t>@qq.com</w:t>
            </w:r>
            <w:r>
              <w:rPr>
                <w:rStyle w:val="39"/>
                <w:rFonts w:hint="eastAsia" w:ascii="宋体" w:hAnsi="宋体" w:eastAsia="宋体" w:cs="宋体"/>
                <w:b/>
                <w:color w:val="auto"/>
                <w:sz w:val="24"/>
                <w:highlight w:val="none"/>
                <w:u w:val="none"/>
              </w:rPr>
              <w:fldChar w:fldCharType="end"/>
            </w:r>
            <w:r>
              <w:rPr>
                <w:rFonts w:hint="default"/>
                <w:color w:val="auto"/>
                <w:sz w:val="24"/>
                <w:szCs w:val="24"/>
                <w:highlight w:val="none"/>
                <w:lang w:eastAsia="zh-CN"/>
              </w:rPr>
              <w:t>，</w:t>
            </w:r>
            <w:r>
              <w:rPr>
                <w:rFonts w:hint="eastAsia"/>
                <w:color w:val="auto"/>
                <w:sz w:val="24"/>
                <w:szCs w:val="24"/>
                <w:highlight w:val="none"/>
                <w:lang w:val="en-US" w:eastAsia="zh-Hans"/>
              </w:rPr>
              <w:t>邮件标题注明投标项目名称、投标单位名称</w:t>
            </w:r>
            <w:r>
              <w:rPr>
                <w:rFonts w:hint="eastAsia"/>
                <w:color w:val="auto"/>
                <w:sz w:val="24"/>
                <w:szCs w:val="24"/>
                <w:highlight w:val="none"/>
                <w:lang w:val="en-US" w:eastAsia="zh-CN"/>
              </w:rPr>
              <w:t>）</w:t>
            </w:r>
            <w:r>
              <w:rPr>
                <w:rFonts w:hint="eastAsia"/>
                <w:color w:val="auto"/>
                <w:sz w:val="24"/>
                <w:szCs w:val="24"/>
                <w:highlight w:val="none"/>
              </w:rPr>
              <w:t>；</w:t>
            </w:r>
          </w:p>
          <w:p w14:paraId="6BED0FBB">
            <w:pPr>
              <w:spacing w:line="360" w:lineRule="auto"/>
              <w:ind w:firstLine="480" w:firstLineChars="200"/>
              <w:rPr>
                <w:rFonts w:hint="eastAsia" w:ascii="宋体" w:cs="宋体"/>
                <w:b/>
                <w:color w:val="auto"/>
                <w:sz w:val="24"/>
                <w:highlight w:val="none"/>
              </w:rPr>
            </w:pPr>
            <w:r>
              <w:rPr>
                <w:rFonts w:hint="eastAsia" w:ascii="宋体" w:hAnsi="宋体" w:eastAsia="宋体" w:cs="宋体"/>
                <w:color w:val="auto"/>
                <w:sz w:val="24"/>
                <w:highlight w:val="none"/>
              </w:rPr>
              <w:t>备份</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由供应商自行确定是否提交，因备份</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未加密而造成失密等情况，采购代理机构概不负责。</w:t>
            </w:r>
            <w:r>
              <w:rPr>
                <w:rFonts w:hint="eastAsia" w:ascii="宋体" w:hAnsi="宋体" w:eastAsia="宋体" w:cs="宋体"/>
                <w:color w:val="auto"/>
                <w:highlight w:val="none"/>
                <w:vertAlign w:val="baseline"/>
                <w:lang w:val="en-US" w:eastAsia="zh-CN"/>
              </w:rPr>
              <w:t>▲</w:t>
            </w:r>
            <w:r>
              <w:rPr>
                <w:rFonts w:hint="eastAsia" w:ascii="宋体" w:hAnsi="宋体" w:eastAsia="宋体" w:cs="宋体"/>
                <w:color w:val="auto"/>
                <w:sz w:val="24"/>
                <w:highlight w:val="none"/>
              </w:rPr>
              <w:t>未在系统上提交</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而</w:t>
            </w:r>
            <w:r>
              <w:rPr>
                <w:rFonts w:hint="eastAsia" w:ascii="宋体" w:hAnsi="宋体" w:cs="宋体"/>
                <w:color w:val="auto"/>
                <w:sz w:val="24"/>
                <w:highlight w:val="none"/>
              </w:rPr>
              <w:t>仅提交备份</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的，其响应无效。</w:t>
            </w:r>
          </w:p>
          <w:p w14:paraId="1734AFB5">
            <w:pPr>
              <w:spacing w:line="360" w:lineRule="auto"/>
              <w:rPr>
                <w:rFonts w:hint="eastAsia" w:eastAsia="宋体"/>
                <w:color w:val="auto"/>
                <w:highlight w:val="none"/>
                <w:lang w:eastAsia="zh-CN"/>
              </w:rPr>
            </w:pPr>
            <w:r>
              <w:rPr>
                <w:rFonts w:hint="eastAsia" w:ascii="宋体" w:cs="宋体"/>
                <w:b/>
                <w:color w:val="auto"/>
                <w:sz w:val="24"/>
                <w:highlight w:val="none"/>
              </w:rPr>
              <w:t>▲</w:t>
            </w:r>
            <w:r>
              <w:rPr>
                <w:rFonts w:hint="eastAsia" w:ascii="宋体" w:cs="宋体"/>
                <w:color w:val="auto"/>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895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38C1635">
            <w:pPr>
              <w:spacing w:line="360" w:lineRule="auto"/>
              <w:jc w:val="center"/>
              <w:rPr>
                <w:rFonts w:ascii="宋体" w:cs="宋体"/>
                <w:color w:val="auto"/>
                <w:sz w:val="24"/>
                <w:highlight w:val="none"/>
              </w:rPr>
            </w:pPr>
            <w:r>
              <w:rPr>
                <w:rFonts w:hint="eastAsia" w:ascii="宋体" w:cs="宋体"/>
                <w:color w:val="auto"/>
                <w:sz w:val="24"/>
                <w:highlight w:val="none"/>
              </w:rPr>
              <w:t>8</w:t>
            </w:r>
          </w:p>
        </w:tc>
        <w:tc>
          <w:tcPr>
            <w:tcW w:w="2034" w:type="dxa"/>
            <w:tcBorders>
              <w:top w:val="single" w:color="auto" w:sz="4" w:space="0"/>
              <w:left w:val="single" w:color="auto" w:sz="4" w:space="0"/>
              <w:bottom w:val="single" w:color="auto" w:sz="4" w:space="0"/>
              <w:right w:val="single" w:color="auto" w:sz="4" w:space="0"/>
            </w:tcBorders>
            <w:vAlign w:val="center"/>
          </w:tcPr>
          <w:p w14:paraId="58568D52">
            <w:pPr>
              <w:spacing w:line="360" w:lineRule="auto"/>
              <w:rPr>
                <w:rFonts w:ascii="宋体" w:cs="宋体"/>
                <w:b/>
                <w:bCs/>
                <w:color w:val="auto"/>
                <w:sz w:val="24"/>
                <w:highlight w:val="none"/>
              </w:rPr>
            </w:pPr>
            <w:r>
              <w:rPr>
                <w:rFonts w:hint="eastAsia" w:ascii="宋体" w:cs="宋体"/>
                <w:b/>
                <w:bCs/>
                <w:color w:val="auto"/>
                <w:sz w:val="24"/>
                <w:highlight w:val="none"/>
              </w:rPr>
              <w:t>电子加密投标文件的解密和异常情况处理：</w:t>
            </w:r>
          </w:p>
          <w:p w14:paraId="2E65673C">
            <w:pPr>
              <w:spacing w:line="360" w:lineRule="auto"/>
              <w:rPr>
                <w:rFonts w:ascii="宋体" w:cs="宋体"/>
                <w:b/>
                <w:bCs/>
                <w:color w:val="auto"/>
                <w:sz w:val="24"/>
                <w:highlight w:val="none"/>
              </w:rPr>
            </w:pPr>
          </w:p>
        </w:tc>
        <w:tc>
          <w:tcPr>
            <w:tcW w:w="5990" w:type="dxa"/>
            <w:tcBorders>
              <w:top w:val="single" w:color="auto" w:sz="4" w:space="0"/>
              <w:left w:val="single" w:color="auto" w:sz="4" w:space="0"/>
              <w:bottom w:val="single" w:color="auto" w:sz="4" w:space="0"/>
              <w:right w:val="single" w:color="auto" w:sz="4" w:space="0"/>
            </w:tcBorders>
            <w:vAlign w:val="center"/>
          </w:tcPr>
          <w:p w14:paraId="709C08C2">
            <w:pPr>
              <w:spacing w:line="360" w:lineRule="auto"/>
              <w:rPr>
                <w:rFonts w:ascii="宋体" w:cs="宋体"/>
                <w:color w:val="auto"/>
                <w:sz w:val="24"/>
                <w:highlight w:val="none"/>
              </w:rPr>
            </w:pPr>
            <w:r>
              <w:rPr>
                <w:rFonts w:hint="eastAsia" w:ascii="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6A117BCC">
            <w:pPr>
              <w:spacing w:line="360" w:lineRule="auto"/>
              <w:rPr>
                <w:rFonts w:ascii="宋体" w:cs="宋体"/>
                <w:color w:val="auto"/>
                <w:sz w:val="24"/>
                <w:highlight w:val="none"/>
              </w:rPr>
            </w:pPr>
            <w:r>
              <w:rPr>
                <w:rFonts w:hint="eastAsia" w:ascii="宋体" w:hAnsi="宋体" w:eastAsia="宋体" w:cs="宋体"/>
                <w:color w:val="auto"/>
                <w:highlight w:val="none"/>
                <w:vertAlign w:val="baseline"/>
                <w:lang w:val="en-US" w:eastAsia="zh-CN"/>
              </w:rPr>
              <w:t>▲</w:t>
            </w:r>
            <w:r>
              <w:rPr>
                <w:rFonts w:hint="eastAsia" w:ascii="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0D9897C">
            <w:pPr>
              <w:spacing w:line="360" w:lineRule="auto"/>
              <w:rPr>
                <w:rFonts w:ascii="宋体" w:cs="宋体"/>
                <w:color w:val="auto"/>
                <w:sz w:val="24"/>
                <w:highlight w:val="none"/>
              </w:rPr>
            </w:pPr>
            <w:r>
              <w:rPr>
                <w:rFonts w:hint="eastAsia" w:ascii="宋体" w:cs="宋体"/>
                <w:b/>
                <w:color w:val="auto"/>
                <w:sz w:val="24"/>
                <w:highlight w:val="none"/>
              </w:rPr>
              <w:t>▲</w:t>
            </w:r>
            <w:r>
              <w:rPr>
                <w:rFonts w:hint="eastAsia" w:ascii="宋体" w:cs="宋体"/>
                <w:color w:val="auto"/>
                <w:sz w:val="24"/>
                <w:highlight w:val="none"/>
              </w:rPr>
              <w:t>（3）投标截止时间前，投标供应商仅递交了“备份投标文件”而未将电子加密投标文件上传至“政府采购云平台”的，投标无效。</w:t>
            </w:r>
          </w:p>
        </w:tc>
      </w:tr>
      <w:tr w14:paraId="7F8F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358FDA">
            <w:pPr>
              <w:spacing w:line="360" w:lineRule="auto"/>
              <w:jc w:val="center"/>
              <w:rPr>
                <w:rFonts w:ascii="宋体" w:cs="宋体"/>
                <w:color w:val="auto"/>
                <w:sz w:val="24"/>
                <w:highlight w:val="none"/>
              </w:rPr>
            </w:pPr>
            <w:r>
              <w:rPr>
                <w:rFonts w:hint="eastAsia" w:ascii="宋体" w:cs="宋体"/>
                <w:color w:val="auto"/>
                <w:sz w:val="24"/>
                <w:highlight w:val="none"/>
              </w:rPr>
              <w:t>9</w:t>
            </w:r>
          </w:p>
        </w:tc>
        <w:tc>
          <w:tcPr>
            <w:tcW w:w="2034" w:type="dxa"/>
            <w:tcBorders>
              <w:top w:val="single" w:color="auto" w:sz="4" w:space="0"/>
              <w:left w:val="single" w:color="auto" w:sz="4" w:space="0"/>
              <w:bottom w:val="single" w:color="auto" w:sz="4" w:space="0"/>
              <w:right w:val="single" w:color="auto" w:sz="4" w:space="0"/>
            </w:tcBorders>
            <w:vAlign w:val="center"/>
          </w:tcPr>
          <w:p w14:paraId="0A7A6AA6">
            <w:pPr>
              <w:spacing w:line="360" w:lineRule="auto"/>
              <w:jc w:val="center"/>
              <w:rPr>
                <w:rFonts w:ascii="宋体" w:cs="宋体"/>
                <w:color w:val="auto"/>
                <w:sz w:val="24"/>
                <w:highlight w:val="none"/>
              </w:rPr>
            </w:pPr>
            <w:r>
              <w:rPr>
                <w:rFonts w:hint="eastAsia" w:ascii="宋体" w:cs="宋体"/>
                <w:color w:val="auto"/>
                <w:sz w:val="24"/>
                <w:highlight w:val="none"/>
              </w:rPr>
              <w:t>投标有效期</w:t>
            </w:r>
          </w:p>
        </w:tc>
        <w:tc>
          <w:tcPr>
            <w:tcW w:w="5990" w:type="dxa"/>
            <w:tcBorders>
              <w:top w:val="single" w:color="auto" w:sz="4" w:space="0"/>
              <w:left w:val="single" w:color="auto" w:sz="4" w:space="0"/>
              <w:bottom w:val="single" w:color="auto" w:sz="4" w:space="0"/>
              <w:right w:val="single" w:color="auto" w:sz="4" w:space="0"/>
            </w:tcBorders>
            <w:vAlign w:val="center"/>
          </w:tcPr>
          <w:p w14:paraId="4C0A6330">
            <w:pPr>
              <w:spacing w:line="360" w:lineRule="auto"/>
              <w:rPr>
                <w:rFonts w:ascii="宋体" w:cs="宋体"/>
                <w:color w:val="auto"/>
                <w:sz w:val="24"/>
                <w:highlight w:val="none"/>
              </w:rPr>
            </w:pPr>
            <w:r>
              <w:rPr>
                <w:rFonts w:hint="eastAsia" w:ascii="宋体" w:hAnsi="宋体" w:eastAsia="宋体" w:cs="宋体"/>
                <w:color w:val="auto"/>
                <w:highlight w:val="none"/>
                <w:vertAlign w:val="baseline"/>
                <w:lang w:val="en-US" w:eastAsia="zh-CN"/>
              </w:rPr>
              <w:t>▲</w:t>
            </w:r>
            <w:r>
              <w:rPr>
                <w:rFonts w:hint="eastAsia" w:ascii="宋体" w:cs="宋体"/>
                <w:color w:val="auto"/>
                <w:sz w:val="24"/>
                <w:highlight w:val="none"/>
              </w:rPr>
              <w:t>投标有效期为</w:t>
            </w:r>
            <w:r>
              <w:rPr>
                <w:rFonts w:ascii="宋体" w:cs="宋体"/>
                <w:color w:val="auto"/>
                <w:sz w:val="24"/>
                <w:highlight w:val="none"/>
              </w:rPr>
              <w:t>90天，</w:t>
            </w:r>
            <w:r>
              <w:rPr>
                <w:rFonts w:hint="eastAsia" w:ascii="宋体" w:cs="宋体"/>
                <w:color w:val="auto"/>
                <w:kern w:val="0"/>
                <w:sz w:val="24"/>
                <w:highlight w:val="none"/>
              </w:rPr>
              <w:t>投标有效期从提交投标文件的截止之日起算。</w:t>
            </w:r>
          </w:p>
        </w:tc>
      </w:tr>
      <w:tr w14:paraId="136C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A2E96B">
            <w:pPr>
              <w:spacing w:line="360" w:lineRule="auto"/>
              <w:jc w:val="center"/>
              <w:rPr>
                <w:rFonts w:ascii="宋体" w:cs="宋体"/>
                <w:color w:val="auto"/>
                <w:sz w:val="24"/>
                <w:highlight w:val="none"/>
              </w:rPr>
            </w:pPr>
            <w:r>
              <w:rPr>
                <w:rFonts w:hint="eastAsia" w:ascii="宋体" w:cs="宋体"/>
                <w:color w:val="auto"/>
                <w:sz w:val="24"/>
                <w:highlight w:val="none"/>
              </w:rPr>
              <w:t>10</w:t>
            </w:r>
          </w:p>
        </w:tc>
        <w:tc>
          <w:tcPr>
            <w:tcW w:w="2034" w:type="dxa"/>
            <w:tcBorders>
              <w:top w:val="single" w:color="auto" w:sz="4" w:space="0"/>
              <w:left w:val="single" w:color="auto" w:sz="4" w:space="0"/>
              <w:bottom w:val="single" w:color="auto" w:sz="4" w:space="0"/>
              <w:right w:val="single" w:color="auto" w:sz="4" w:space="0"/>
            </w:tcBorders>
            <w:vAlign w:val="center"/>
          </w:tcPr>
          <w:p w14:paraId="74A770EE">
            <w:pPr>
              <w:spacing w:line="360" w:lineRule="auto"/>
              <w:jc w:val="center"/>
              <w:rPr>
                <w:rFonts w:ascii="宋体" w:cs="宋体"/>
                <w:color w:val="auto"/>
                <w:sz w:val="24"/>
                <w:highlight w:val="none"/>
              </w:rPr>
            </w:pPr>
            <w:r>
              <w:rPr>
                <w:rFonts w:hint="eastAsia" w:ascii="宋体" w:cs="宋体"/>
                <w:color w:val="auto"/>
                <w:sz w:val="24"/>
                <w:highlight w:val="none"/>
              </w:rPr>
              <w:t>投标文件递交</w:t>
            </w:r>
          </w:p>
        </w:tc>
        <w:tc>
          <w:tcPr>
            <w:tcW w:w="5990" w:type="dxa"/>
            <w:tcBorders>
              <w:top w:val="single" w:color="auto" w:sz="4" w:space="0"/>
              <w:left w:val="single" w:color="auto" w:sz="4" w:space="0"/>
              <w:bottom w:val="single" w:color="auto" w:sz="4" w:space="0"/>
              <w:right w:val="single" w:color="auto" w:sz="4" w:space="0"/>
            </w:tcBorders>
            <w:vAlign w:val="center"/>
          </w:tcPr>
          <w:p w14:paraId="7EA34F6B">
            <w:pPr>
              <w:spacing w:line="360" w:lineRule="auto"/>
              <w:rPr>
                <w:rFonts w:ascii="宋体" w:cs="宋体"/>
                <w:color w:val="auto"/>
                <w:sz w:val="24"/>
                <w:highlight w:val="none"/>
              </w:rPr>
            </w:pPr>
            <w:r>
              <w:rPr>
                <w:rFonts w:hint="eastAsia" w:ascii="宋体" w:cs="宋体"/>
                <w:color w:val="auto"/>
                <w:sz w:val="24"/>
                <w:highlight w:val="none"/>
              </w:rPr>
              <w:t>截止时间：详见公告</w:t>
            </w:r>
          </w:p>
          <w:p w14:paraId="1A84F099">
            <w:pPr>
              <w:spacing w:line="360" w:lineRule="auto"/>
              <w:rPr>
                <w:rFonts w:ascii="宋体" w:cs="宋体"/>
                <w:color w:val="auto"/>
                <w:sz w:val="24"/>
                <w:highlight w:val="none"/>
              </w:rPr>
            </w:pPr>
            <w:r>
              <w:rPr>
                <w:rFonts w:hint="eastAsia" w:ascii="宋体" w:cs="宋体"/>
                <w:color w:val="auto"/>
                <w:sz w:val="24"/>
                <w:highlight w:val="none"/>
              </w:rPr>
              <w:t>递交地点：</w:t>
            </w:r>
            <w:r>
              <w:rPr>
                <w:rFonts w:hint="eastAsia" w:ascii="宋体" w:cs="宋体"/>
                <w:b/>
                <w:color w:val="auto"/>
                <w:sz w:val="24"/>
                <w:highlight w:val="none"/>
              </w:rPr>
              <w:t>通过“政府采购云平台（</w:t>
            </w:r>
            <w:r>
              <w:rPr>
                <w:rFonts w:ascii="宋体" w:cs="宋体"/>
                <w:b/>
                <w:color w:val="auto"/>
                <w:sz w:val="24"/>
                <w:highlight w:val="none"/>
              </w:rPr>
              <w:t>www.zcygov.cn）”实行在线投标响应。</w:t>
            </w:r>
          </w:p>
        </w:tc>
      </w:tr>
      <w:tr w14:paraId="4FD4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E196E75">
            <w:pPr>
              <w:spacing w:line="360" w:lineRule="auto"/>
              <w:jc w:val="center"/>
              <w:rPr>
                <w:rFonts w:ascii="宋体" w:cs="宋体"/>
                <w:color w:val="auto"/>
                <w:sz w:val="24"/>
                <w:highlight w:val="none"/>
              </w:rPr>
            </w:pPr>
            <w:r>
              <w:rPr>
                <w:rFonts w:hint="eastAsia" w:ascii="宋体" w:cs="宋体"/>
                <w:color w:val="auto"/>
                <w:sz w:val="24"/>
                <w:highlight w:val="none"/>
              </w:rPr>
              <w:t>11</w:t>
            </w:r>
          </w:p>
        </w:tc>
        <w:tc>
          <w:tcPr>
            <w:tcW w:w="2034" w:type="dxa"/>
            <w:tcBorders>
              <w:top w:val="single" w:color="auto" w:sz="4" w:space="0"/>
              <w:left w:val="single" w:color="auto" w:sz="4" w:space="0"/>
              <w:bottom w:val="single" w:color="auto" w:sz="4" w:space="0"/>
              <w:right w:val="single" w:color="auto" w:sz="4" w:space="0"/>
            </w:tcBorders>
            <w:vAlign w:val="center"/>
          </w:tcPr>
          <w:p w14:paraId="6BDCFEF0">
            <w:pPr>
              <w:spacing w:line="360" w:lineRule="auto"/>
              <w:rPr>
                <w:rFonts w:ascii="宋体" w:cs="宋体"/>
                <w:color w:val="auto"/>
                <w:sz w:val="24"/>
                <w:highlight w:val="none"/>
              </w:rPr>
            </w:pPr>
            <w:r>
              <w:rPr>
                <w:rFonts w:hint="eastAsia" w:ascii="宋体" w:cs="宋体"/>
                <w:color w:val="auto"/>
                <w:sz w:val="24"/>
                <w:highlight w:val="none"/>
              </w:rPr>
              <w:t>开标时间及地点</w:t>
            </w:r>
          </w:p>
        </w:tc>
        <w:tc>
          <w:tcPr>
            <w:tcW w:w="5990" w:type="dxa"/>
            <w:tcBorders>
              <w:top w:val="single" w:color="auto" w:sz="4" w:space="0"/>
              <w:left w:val="single" w:color="auto" w:sz="4" w:space="0"/>
              <w:bottom w:val="single" w:color="auto" w:sz="4" w:space="0"/>
              <w:right w:val="single" w:color="auto" w:sz="4" w:space="0"/>
            </w:tcBorders>
            <w:vAlign w:val="center"/>
          </w:tcPr>
          <w:p w14:paraId="2E239C5E">
            <w:pPr>
              <w:spacing w:line="360" w:lineRule="auto"/>
              <w:rPr>
                <w:rFonts w:ascii="宋体" w:cs="宋体"/>
                <w:color w:val="auto"/>
                <w:sz w:val="24"/>
                <w:highlight w:val="none"/>
              </w:rPr>
            </w:pPr>
            <w:r>
              <w:rPr>
                <w:rFonts w:hint="eastAsia" w:ascii="宋体" w:cs="宋体"/>
                <w:color w:val="auto"/>
                <w:sz w:val="24"/>
                <w:highlight w:val="none"/>
              </w:rPr>
              <w:t>时间：同投标截止时间与地点</w:t>
            </w:r>
          </w:p>
        </w:tc>
      </w:tr>
      <w:tr w14:paraId="78BB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AC9717C">
            <w:pPr>
              <w:spacing w:line="360" w:lineRule="auto"/>
              <w:jc w:val="center"/>
              <w:rPr>
                <w:rFonts w:ascii="宋体" w:cs="宋体"/>
                <w:color w:val="auto"/>
                <w:sz w:val="24"/>
                <w:highlight w:val="none"/>
              </w:rPr>
            </w:pPr>
            <w:r>
              <w:rPr>
                <w:rFonts w:hint="eastAsia" w:ascii="宋体" w:cs="宋体"/>
                <w:color w:val="auto"/>
                <w:sz w:val="24"/>
                <w:highlight w:val="none"/>
              </w:rPr>
              <w:t>12</w:t>
            </w:r>
          </w:p>
        </w:tc>
        <w:tc>
          <w:tcPr>
            <w:tcW w:w="2034" w:type="dxa"/>
            <w:tcBorders>
              <w:top w:val="single" w:color="auto" w:sz="4" w:space="0"/>
              <w:left w:val="single" w:color="auto" w:sz="4" w:space="0"/>
              <w:bottom w:val="single" w:color="auto" w:sz="4" w:space="0"/>
              <w:right w:val="single" w:color="auto" w:sz="4" w:space="0"/>
            </w:tcBorders>
            <w:vAlign w:val="center"/>
          </w:tcPr>
          <w:p w14:paraId="73046F73">
            <w:pPr>
              <w:spacing w:line="360" w:lineRule="auto"/>
              <w:jc w:val="center"/>
              <w:rPr>
                <w:rFonts w:ascii="宋体" w:cs="宋体"/>
                <w:color w:val="auto"/>
                <w:sz w:val="24"/>
                <w:highlight w:val="none"/>
              </w:rPr>
            </w:pPr>
            <w:r>
              <w:rPr>
                <w:rFonts w:hint="eastAsia" w:ascii="宋体" w:cs="宋体"/>
                <w:color w:val="auto"/>
                <w:sz w:val="24"/>
                <w:highlight w:val="none"/>
              </w:rPr>
              <w:t>投标保证金</w:t>
            </w:r>
          </w:p>
        </w:tc>
        <w:tc>
          <w:tcPr>
            <w:tcW w:w="5990" w:type="dxa"/>
            <w:tcBorders>
              <w:top w:val="single" w:color="auto" w:sz="4" w:space="0"/>
              <w:left w:val="single" w:color="auto" w:sz="4" w:space="0"/>
              <w:bottom w:val="single" w:color="auto" w:sz="4" w:space="0"/>
              <w:right w:val="single" w:color="auto" w:sz="4" w:space="0"/>
            </w:tcBorders>
            <w:vAlign w:val="center"/>
          </w:tcPr>
          <w:p w14:paraId="09C4A05B">
            <w:pPr>
              <w:spacing w:line="360" w:lineRule="auto"/>
              <w:rPr>
                <w:rFonts w:ascii="宋体" w:cs="宋体"/>
                <w:color w:val="auto"/>
                <w:sz w:val="24"/>
                <w:highlight w:val="none"/>
              </w:rPr>
            </w:pPr>
            <w:r>
              <w:rPr>
                <w:rFonts w:hint="eastAsia" w:ascii="宋体" w:cs="宋体"/>
                <w:color w:val="auto"/>
                <w:sz w:val="24"/>
                <w:highlight w:val="none"/>
              </w:rPr>
              <w:t>投标保证金：</w:t>
            </w:r>
            <w:r>
              <w:rPr>
                <w:rFonts w:ascii="宋体" w:cs="宋体"/>
                <w:color w:val="auto"/>
                <w:sz w:val="24"/>
                <w:highlight w:val="none"/>
              </w:rPr>
              <w:t>0元</w:t>
            </w:r>
          </w:p>
          <w:p w14:paraId="790522A8">
            <w:pPr>
              <w:spacing w:line="360" w:lineRule="auto"/>
              <w:rPr>
                <w:rFonts w:ascii="宋体"/>
                <w:color w:val="auto"/>
                <w:szCs w:val="21"/>
                <w:highlight w:val="none"/>
              </w:rPr>
            </w:pPr>
            <w:r>
              <w:rPr>
                <w:rFonts w:hint="eastAsia" w:ascii="宋体" w:cs="宋体"/>
                <w:color w:val="auto"/>
                <w:sz w:val="24"/>
                <w:highlight w:val="none"/>
              </w:rPr>
              <w:t>交付方式</w:t>
            </w:r>
            <w:r>
              <w:rPr>
                <w:rFonts w:ascii="宋体" w:cs="宋体"/>
                <w:color w:val="auto"/>
                <w:sz w:val="24"/>
                <w:highlight w:val="none"/>
              </w:rPr>
              <w:t xml:space="preserve">: </w:t>
            </w:r>
            <w:r>
              <w:rPr>
                <w:rFonts w:hint="eastAsia" w:ascii="宋体" w:cs="宋体"/>
                <w:color w:val="auto"/>
                <w:sz w:val="24"/>
                <w:highlight w:val="none"/>
              </w:rPr>
              <w:t>见公告</w:t>
            </w:r>
          </w:p>
        </w:tc>
      </w:tr>
      <w:tr w14:paraId="49B0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3E3D549">
            <w:pPr>
              <w:spacing w:line="360" w:lineRule="auto"/>
              <w:jc w:val="center"/>
              <w:rPr>
                <w:rFonts w:ascii="宋体" w:cs="宋体"/>
                <w:color w:val="auto"/>
                <w:sz w:val="24"/>
                <w:highlight w:val="none"/>
              </w:rPr>
            </w:pPr>
            <w:r>
              <w:rPr>
                <w:rFonts w:hint="eastAsia" w:ascii="宋体" w:cs="宋体"/>
                <w:color w:val="auto"/>
                <w:sz w:val="24"/>
                <w:highlight w:val="none"/>
              </w:rPr>
              <w:t>13</w:t>
            </w:r>
          </w:p>
        </w:tc>
        <w:tc>
          <w:tcPr>
            <w:tcW w:w="2034" w:type="dxa"/>
            <w:tcBorders>
              <w:top w:val="single" w:color="auto" w:sz="4" w:space="0"/>
              <w:left w:val="single" w:color="auto" w:sz="4" w:space="0"/>
              <w:bottom w:val="single" w:color="auto" w:sz="4" w:space="0"/>
              <w:right w:val="single" w:color="auto" w:sz="4" w:space="0"/>
            </w:tcBorders>
            <w:vAlign w:val="center"/>
          </w:tcPr>
          <w:p w14:paraId="458A8560">
            <w:pPr>
              <w:spacing w:line="360" w:lineRule="auto"/>
              <w:jc w:val="center"/>
              <w:rPr>
                <w:rFonts w:ascii="宋体" w:cs="宋体"/>
                <w:color w:val="auto"/>
                <w:sz w:val="24"/>
                <w:highlight w:val="none"/>
              </w:rPr>
            </w:pPr>
            <w:r>
              <w:rPr>
                <w:rFonts w:hint="eastAsia" w:ascii="宋体" w:cs="宋体"/>
                <w:color w:val="auto"/>
                <w:sz w:val="24"/>
                <w:highlight w:val="none"/>
              </w:rPr>
              <w:t>履约保证金</w:t>
            </w:r>
          </w:p>
        </w:tc>
        <w:tc>
          <w:tcPr>
            <w:tcW w:w="5990" w:type="dxa"/>
            <w:tcBorders>
              <w:top w:val="single" w:color="auto" w:sz="4" w:space="0"/>
              <w:left w:val="single" w:color="auto" w:sz="4" w:space="0"/>
              <w:bottom w:val="single" w:color="auto" w:sz="4" w:space="0"/>
              <w:right w:val="single" w:color="auto" w:sz="4" w:space="0"/>
            </w:tcBorders>
            <w:vAlign w:val="center"/>
          </w:tcPr>
          <w:p w14:paraId="1BC6F3B1">
            <w:pPr>
              <w:pStyle w:val="21"/>
              <w:snapToGrid w:val="0"/>
              <w:spacing w:line="360" w:lineRule="auto"/>
              <w:rPr>
                <w:rFonts w:ascii="宋体" w:cs="宋体"/>
                <w:color w:val="auto"/>
                <w:sz w:val="24"/>
                <w:highlight w:val="none"/>
              </w:rPr>
            </w:pPr>
            <w:r>
              <w:rPr>
                <w:rFonts w:hint="eastAsia" w:ascii="宋体" w:hAnsi="宋体" w:eastAsia="宋体" w:cs="Times New Roman"/>
                <w:color w:val="auto"/>
                <w:kern w:val="2"/>
                <w:sz w:val="24"/>
                <w:szCs w:val="24"/>
                <w:highlight w:val="none"/>
                <w:lang w:val="en-US" w:eastAsia="zh-CN" w:bidi="ar-SA"/>
              </w:rPr>
              <w:t>合同价的1%，</w:t>
            </w:r>
            <w:r>
              <w:rPr>
                <w:rFonts w:hint="eastAsia" w:ascii="宋体" w:hAnsi="宋体" w:eastAsia="宋体" w:cs="宋体"/>
                <w:color w:val="auto"/>
                <w:sz w:val="24"/>
                <w:szCs w:val="24"/>
                <w:highlight w:val="none"/>
              </w:rPr>
              <w:t>供应商应当以支票、汇票、本票或者金融机构、担保机构出具的保函等非现金形式提交（采用保函的，应保证其有效期超过项目履行期届满之日</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zh-CN"/>
              </w:rPr>
              <w:t>）</w:t>
            </w:r>
            <w:r>
              <w:rPr>
                <w:rFonts w:hint="eastAsia" w:ascii="宋体" w:hAnsi="宋体" w:eastAsia="宋体" w:cs="Times New Roman"/>
                <w:color w:val="auto"/>
                <w:kern w:val="2"/>
                <w:sz w:val="24"/>
                <w:szCs w:val="24"/>
                <w:highlight w:val="none"/>
                <w:lang w:val="en-US" w:eastAsia="zh-CN" w:bidi="ar-SA"/>
              </w:rPr>
              <w:t>。</w:t>
            </w:r>
          </w:p>
        </w:tc>
      </w:tr>
      <w:tr w14:paraId="16C0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2C2135">
            <w:pPr>
              <w:spacing w:line="360" w:lineRule="auto"/>
              <w:jc w:val="center"/>
              <w:rPr>
                <w:rFonts w:ascii="宋体" w:cs="宋体"/>
                <w:color w:val="auto"/>
                <w:sz w:val="24"/>
                <w:highlight w:val="none"/>
              </w:rPr>
            </w:pPr>
            <w:r>
              <w:rPr>
                <w:rFonts w:hint="eastAsia" w:ascii="宋体" w:cs="宋体"/>
                <w:color w:val="auto"/>
                <w:sz w:val="24"/>
                <w:highlight w:val="none"/>
              </w:rPr>
              <w:t>14</w:t>
            </w:r>
          </w:p>
        </w:tc>
        <w:tc>
          <w:tcPr>
            <w:tcW w:w="2034" w:type="dxa"/>
            <w:tcBorders>
              <w:top w:val="single" w:color="auto" w:sz="4" w:space="0"/>
              <w:left w:val="single" w:color="auto" w:sz="4" w:space="0"/>
              <w:bottom w:val="single" w:color="auto" w:sz="4" w:space="0"/>
              <w:right w:val="single" w:color="auto" w:sz="4" w:space="0"/>
            </w:tcBorders>
            <w:vAlign w:val="center"/>
          </w:tcPr>
          <w:p w14:paraId="67C616E8">
            <w:pPr>
              <w:autoSpaceDE w:val="0"/>
              <w:autoSpaceDN w:val="0"/>
              <w:adjustRightInd w:val="0"/>
              <w:spacing w:line="360" w:lineRule="auto"/>
              <w:jc w:val="center"/>
              <w:rPr>
                <w:rFonts w:ascii="宋体" w:cs="宋体"/>
                <w:color w:val="auto"/>
                <w:sz w:val="24"/>
                <w:highlight w:val="none"/>
                <w:lang w:val="zh-CN"/>
              </w:rPr>
            </w:pPr>
            <w:r>
              <w:rPr>
                <w:rFonts w:hint="eastAsia" w:ascii="宋体" w:cs="宋体"/>
                <w:color w:val="auto"/>
                <w:sz w:val="24"/>
                <w:highlight w:val="none"/>
                <w:lang w:val="zh-CN"/>
              </w:rPr>
              <w:t>实质性条款</w:t>
            </w:r>
          </w:p>
        </w:tc>
        <w:tc>
          <w:tcPr>
            <w:tcW w:w="5990" w:type="dxa"/>
            <w:tcBorders>
              <w:top w:val="single" w:color="auto" w:sz="4" w:space="0"/>
              <w:left w:val="single" w:color="auto" w:sz="4" w:space="0"/>
              <w:bottom w:val="single" w:color="auto" w:sz="4" w:space="0"/>
              <w:right w:val="single" w:color="auto" w:sz="4" w:space="0"/>
            </w:tcBorders>
            <w:vAlign w:val="center"/>
          </w:tcPr>
          <w:p w14:paraId="5D8AA1D9">
            <w:pPr>
              <w:autoSpaceDE w:val="0"/>
              <w:autoSpaceDN w:val="0"/>
              <w:adjustRightInd w:val="0"/>
              <w:spacing w:line="360" w:lineRule="auto"/>
              <w:rPr>
                <w:rFonts w:ascii="宋体" w:cs="宋体"/>
                <w:color w:val="auto"/>
                <w:kern w:val="0"/>
                <w:sz w:val="24"/>
                <w:highlight w:val="none"/>
                <w:lang w:val="zh-CN"/>
              </w:rPr>
            </w:pPr>
            <w:r>
              <w:rPr>
                <w:rFonts w:hint="eastAsia" w:ascii="宋体" w:cs="宋体"/>
                <w:color w:val="auto"/>
                <w:kern w:val="0"/>
                <w:sz w:val="24"/>
                <w:highlight w:val="none"/>
                <w:lang w:val="zh-CN"/>
              </w:rPr>
              <w:t>带“</w:t>
            </w:r>
            <w:r>
              <w:rPr>
                <w:rFonts w:hint="eastAsia" w:ascii="宋体" w:cs="宋体"/>
                <w:bCs/>
                <w:color w:val="auto"/>
                <w:sz w:val="24"/>
                <w:highlight w:val="none"/>
              </w:rPr>
              <w:t>▲”的条款是实质性条款，投标文件须作出实质性响应，否则作无效投标处理。</w:t>
            </w:r>
          </w:p>
        </w:tc>
      </w:tr>
      <w:tr w14:paraId="2CCD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7A3DBB7">
            <w:pPr>
              <w:spacing w:line="360" w:lineRule="auto"/>
              <w:jc w:val="center"/>
              <w:rPr>
                <w:rFonts w:ascii="宋体" w:cs="宋体"/>
                <w:color w:val="auto"/>
                <w:sz w:val="24"/>
                <w:highlight w:val="none"/>
              </w:rPr>
            </w:pPr>
            <w:r>
              <w:rPr>
                <w:rFonts w:hint="eastAsia" w:ascii="宋体" w:cs="宋体"/>
                <w:color w:val="auto"/>
                <w:sz w:val="24"/>
                <w:highlight w:val="none"/>
              </w:rPr>
              <w:t>15</w:t>
            </w:r>
          </w:p>
        </w:tc>
        <w:tc>
          <w:tcPr>
            <w:tcW w:w="2034" w:type="dxa"/>
            <w:tcBorders>
              <w:top w:val="single" w:color="auto" w:sz="4" w:space="0"/>
              <w:left w:val="single" w:color="auto" w:sz="4" w:space="0"/>
              <w:bottom w:val="single" w:color="auto" w:sz="4" w:space="0"/>
              <w:right w:val="single" w:color="auto" w:sz="4" w:space="0"/>
            </w:tcBorders>
            <w:vAlign w:val="center"/>
          </w:tcPr>
          <w:p w14:paraId="295D3ADD">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解释权</w:t>
            </w:r>
          </w:p>
        </w:tc>
        <w:tc>
          <w:tcPr>
            <w:tcW w:w="5990" w:type="dxa"/>
            <w:tcBorders>
              <w:top w:val="single" w:color="auto" w:sz="4" w:space="0"/>
              <w:left w:val="single" w:color="auto" w:sz="4" w:space="0"/>
              <w:bottom w:val="single" w:color="auto" w:sz="4" w:space="0"/>
              <w:right w:val="single" w:color="auto" w:sz="4" w:space="0"/>
            </w:tcBorders>
            <w:vAlign w:val="center"/>
          </w:tcPr>
          <w:p w14:paraId="44435461">
            <w:pPr>
              <w:autoSpaceDE w:val="0"/>
              <w:autoSpaceDN w:val="0"/>
              <w:adjustRightInd w:val="0"/>
              <w:spacing w:line="360" w:lineRule="auto"/>
              <w:rPr>
                <w:rFonts w:ascii="宋体" w:cs="宋体"/>
                <w:color w:val="auto"/>
                <w:sz w:val="24"/>
                <w:highlight w:val="none"/>
              </w:rPr>
            </w:pPr>
            <w:r>
              <w:rPr>
                <w:rFonts w:hint="eastAsia" w:ascii="宋体" w:cs="宋体"/>
                <w:color w:val="auto"/>
                <w:sz w:val="24"/>
                <w:highlight w:val="none"/>
              </w:rPr>
              <w:t>本招标文件解释权属于采购人和</w:t>
            </w:r>
            <w:r>
              <w:rPr>
                <w:rFonts w:hint="eastAsia" w:ascii="宋体" w:cs="Arial"/>
                <w:color w:val="auto"/>
                <w:sz w:val="24"/>
                <w:highlight w:val="none"/>
              </w:rPr>
              <w:t>采购代理机构</w:t>
            </w:r>
          </w:p>
        </w:tc>
      </w:tr>
      <w:tr w14:paraId="5E80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C74A00B">
            <w:pPr>
              <w:spacing w:line="360" w:lineRule="auto"/>
              <w:jc w:val="center"/>
              <w:rPr>
                <w:rFonts w:ascii="宋体" w:cs="宋体"/>
                <w:color w:val="auto"/>
                <w:sz w:val="24"/>
                <w:highlight w:val="none"/>
              </w:rPr>
            </w:pPr>
            <w:r>
              <w:rPr>
                <w:rFonts w:hint="eastAsia" w:ascii="宋体" w:cs="宋体"/>
                <w:color w:val="auto"/>
                <w:sz w:val="24"/>
                <w:highlight w:val="none"/>
              </w:rPr>
              <w:t>16</w:t>
            </w:r>
          </w:p>
        </w:tc>
        <w:tc>
          <w:tcPr>
            <w:tcW w:w="2034" w:type="dxa"/>
            <w:tcBorders>
              <w:top w:val="single" w:color="auto" w:sz="4" w:space="0"/>
              <w:left w:val="single" w:color="auto" w:sz="4" w:space="0"/>
              <w:bottom w:val="single" w:color="auto" w:sz="4" w:space="0"/>
              <w:right w:val="single" w:color="auto" w:sz="4" w:space="0"/>
            </w:tcBorders>
            <w:vAlign w:val="center"/>
          </w:tcPr>
          <w:p w14:paraId="0744B948">
            <w:pPr>
              <w:autoSpaceDE w:val="0"/>
              <w:autoSpaceDN w:val="0"/>
              <w:adjustRightInd w:val="0"/>
              <w:spacing w:line="360" w:lineRule="auto"/>
              <w:jc w:val="center"/>
              <w:rPr>
                <w:rFonts w:ascii="宋体" w:cs="宋体"/>
                <w:color w:val="auto"/>
                <w:sz w:val="24"/>
                <w:highlight w:val="none"/>
              </w:rPr>
            </w:pPr>
            <w:r>
              <w:rPr>
                <w:rFonts w:hint="eastAsia" w:ascii="宋体" w:cs="宋体"/>
                <w:color w:val="auto"/>
                <w:sz w:val="24"/>
                <w:highlight w:val="none"/>
              </w:rPr>
              <w:t>其它事项</w:t>
            </w:r>
          </w:p>
        </w:tc>
        <w:tc>
          <w:tcPr>
            <w:tcW w:w="5990" w:type="dxa"/>
            <w:tcBorders>
              <w:top w:val="single" w:color="auto" w:sz="4" w:space="0"/>
              <w:left w:val="single" w:color="auto" w:sz="4" w:space="0"/>
              <w:bottom w:val="single" w:color="auto" w:sz="4" w:space="0"/>
              <w:right w:val="single" w:color="auto" w:sz="4" w:space="0"/>
            </w:tcBorders>
            <w:vAlign w:val="center"/>
          </w:tcPr>
          <w:p w14:paraId="1888F97E">
            <w:pPr>
              <w:spacing w:line="360" w:lineRule="auto"/>
              <w:jc w:val="left"/>
              <w:rPr>
                <w:rFonts w:ascii="宋体" w:cs="宋体"/>
                <w:bCs/>
                <w:color w:val="auto"/>
                <w:sz w:val="24"/>
                <w:highlight w:val="none"/>
              </w:rPr>
            </w:pPr>
            <w:r>
              <w:rPr>
                <w:rFonts w:hint="eastAsia" w:ascii="宋体" w:cs="宋体"/>
                <w:bCs/>
                <w:color w:val="auto"/>
                <w:sz w:val="24"/>
                <w:highlight w:val="none"/>
              </w:rPr>
              <w:t>中标供应商如有融资需求，可使用政采贷服务。</w:t>
            </w:r>
          </w:p>
        </w:tc>
      </w:tr>
      <w:tr w14:paraId="7C49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0D07485">
            <w:pPr>
              <w:spacing w:line="360" w:lineRule="auto"/>
              <w:jc w:val="center"/>
              <w:rPr>
                <w:rFonts w:ascii="宋体" w:cs="宋体"/>
                <w:color w:val="auto"/>
                <w:sz w:val="24"/>
                <w:highlight w:val="none"/>
              </w:rPr>
            </w:pPr>
            <w:r>
              <w:rPr>
                <w:rFonts w:hint="eastAsia" w:ascii="宋体" w:cs="宋体"/>
                <w:color w:val="auto"/>
                <w:sz w:val="24"/>
                <w:highlight w:val="none"/>
              </w:rPr>
              <w:t>17</w:t>
            </w:r>
          </w:p>
        </w:tc>
        <w:tc>
          <w:tcPr>
            <w:tcW w:w="2034" w:type="dxa"/>
            <w:tcBorders>
              <w:top w:val="single" w:color="auto" w:sz="4" w:space="0"/>
              <w:left w:val="single" w:color="auto" w:sz="4" w:space="0"/>
              <w:bottom w:val="single" w:color="auto" w:sz="4" w:space="0"/>
              <w:right w:val="single" w:color="auto" w:sz="4" w:space="0"/>
            </w:tcBorders>
            <w:vAlign w:val="center"/>
          </w:tcPr>
          <w:p w14:paraId="267DA650">
            <w:pPr>
              <w:autoSpaceDE w:val="0"/>
              <w:autoSpaceDN w:val="0"/>
              <w:adjustRightInd w:val="0"/>
              <w:spacing w:line="400" w:lineRule="exact"/>
              <w:jc w:val="center"/>
              <w:rPr>
                <w:rFonts w:ascii="宋体" w:hAnsi="宋体" w:cs="Calibri Light"/>
                <w:color w:val="auto"/>
                <w:sz w:val="24"/>
                <w:highlight w:val="none"/>
              </w:rPr>
            </w:pPr>
            <w:r>
              <w:rPr>
                <w:rFonts w:hint="eastAsia" w:ascii="宋体" w:hAnsi="宋体" w:cs="Calibri Light"/>
                <w:color w:val="auto"/>
                <w:sz w:val="24"/>
                <w:highlight w:val="none"/>
              </w:rPr>
              <w:t>本项目所属行业</w:t>
            </w:r>
          </w:p>
        </w:tc>
        <w:tc>
          <w:tcPr>
            <w:tcW w:w="5990" w:type="dxa"/>
            <w:tcBorders>
              <w:top w:val="single" w:color="auto" w:sz="4" w:space="0"/>
              <w:left w:val="single" w:color="auto" w:sz="4" w:space="0"/>
              <w:bottom w:val="single" w:color="auto" w:sz="4" w:space="0"/>
              <w:right w:val="single" w:color="auto" w:sz="4" w:space="0"/>
            </w:tcBorders>
            <w:vAlign w:val="center"/>
          </w:tcPr>
          <w:p w14:paraId="2A862C42">
            <w:pPr>
              <w:autoSpaceDE w:val="0"/>
              <w:autoSpaceDN w:val="0"/>
              <w:adjustRightInd w:val="0"/>
              <w:spacing w:line="400" w:lineRule="exact"/>
              <w:ind w:hanging="39"/>
              <w:jc w:val="left"/>
              <w:rPr>
                <w:rFonts w:ascii="宋体" w:hAnsi="宋体" w:cs="Calibri Light"/>
                <w:color w:val="auto"/>
                <w:sz w:val="24"/>
                <w:highlight w:val="none"/>
              </w:rPr>
            </w:pPr>
            <w:r>
              <w:rPr>
                <w:rFonts w:hint="eastAsia" w:ascii="宋体" w:hAnsi="宋体" w:cs="Calibri Light"/>
                <w:bCs/>
                <w:color w:val="auto"/>
                <w:sz w:val="24"/>
                <w:highlight w:val="none"/>
              </w:rPr>
              <w:t>中小企业划型标准规定（工信部联企业</w:t>
            </w:r>
            <w:r>
              <w:rPr>
                <w:rFonts w:ascii="宋体" w:hAnsi="宋体" w:cs="Calibri Light"/>
                <w:bCs/>
                <w:color w:val="auto"/>
                <w:sz w:val="24"/>
                <w:highlight w:val="none"/>
              </w:rPr>
              <w:t>[2011]300号）：</w:t>
            </w:r>
            <w:r>
              <w:rPr>
                <w:rFonts w:hint="eastAsia" w:ascii="宋体" w:hAnsi="宋体" w:eastAsia="宋体" w:cs="Calibri Light"/>
                <w:bCs/>
                <w:color w:val="auto"/>
                <w:sz w:val="24"/>
                <w:highlight w:val="none"/>
              </w:rPr>
              <w:t>本项目采购标的对应的中小企业划分标准所属行业为</w:t>
            </w:r>
            <w:r>
              <w:rPr>
                <w:rFonts w:hint="eastAsia" w:ascii="宋体" w:hAnsi="宋体" w:cs="Calibri Light"/>
                <w:bCs/>
                <w:color w:val="auto"/>
                <w:sz w:val="24"/>
                <w:highlight w:val="none"/>
                <w:lang w:val="en-US" w:eastAsia="zh-CN"/>
              </w:rPr>
              <w:t>:</w:t>
            </w:r>
            <w:r>
              <w:rPr>
                <w:rFonts w:hint="eastAsia" w:ascii="宋体" w:hAnsi="宋体" w:cs="Calibri Light"/>
                <w:b/>
                <w:bCs w:val="0"/>
                <w:color w:val="auto"/>
                <w:sz w:val="24"/>
                <w:highlight w:val="none"/>
                <w:lang w:val="en-US" w:eastAsia="zh-CN"/>
              </w:rPr>
              <w:t>建筑业</w:t>
            </w:r>
            <w:r>
              <w:rPr>
                <w:rFonts w:hint="eastAsia" w:ascii="宋体" w:hAnsi="宋体" w:eastAsia="宋体" w:cs="Calibri Light"/>
                <w:bCs/>
                <w:color w:val="auto"/>
                <w:sz w:val="24"/>
                <w:highlight w:val="none"/>
              </w:rPr>
              <w:t>。</w:t>
            </w:r>
          </w:p>
        </w:tc>
      </w:tr>
    </w:tbl>
    <w:p w14:paraId="6DA51D6E">
      <w:pPr>
        <w:widowControl/>
        <w:jc w:val="left"/>
        <w:rPr>
          <w:rFonts w:ascii="宋体" w:cs="Arial"/>
          <w:b/>
          <w:color w:val="auto"/>
          <w:sz w:val="24"/>
          <w:highlight w:val="none"/>
        </w:rPr>
      </w:pPr>
      <w:r>
        <w:rPr>
          <w:rFonts w:ascii="宋体" w:cs="Arial"/>
          <w:b/>
          <w:color w:val="auto"/>
          <w:sz w:val="24"/>
          <w:highlight w:val="none"/>
        </w:rPr>
        <w:br w:type="page"/>
      </w:r>
    </w:p>
    <w:p w14:paraId="12C30EB9">
      <w:pPr>
        <w:pStyle w:val="21"/>
        <w:keepNext w:val="0"/>
        <w:keepLines w:val="0"/>
        <w:pageBreakBefore w:val="0"/>
        <w:widowControl w:val="0"/>
        <w:kinsoku/>
        <w:wordWrap/>
        <w:overflowPunct/>
        <w:topLinePunct w:val="0"/>
        <w:autoSpaceDE/>
        <w:autoSpaceDN/>
        <w:bidi w:val="0"/>
        <w:adjustRightInd/>
        <w:snapToGrid/>
        <w:spacing w:line="360" w:lineRule="auto"/>
        <w:textAlignment w:val="auto"/>
        <w:outlineLvl w:val="1"/>
        <w:rPr>
          <w:b/>
          <w:color w:val="auto"/>
          <w:sz w:val="24"/>
          <w:highlight w:val="none"/>
        </w:rPr>
      </w:pPr>
      <w:bookmarkStart w:id="4" w:name="_Toc68703354"/>
      <w:r>
        <w:rPr>
          <w:rFonts w:hint="eastAsia"/>
          <w:b/>
          <w:color w:val="auto"/>
          <w:sz w:val="24"/>
          <w:highlight w:val="none"/>
        </w:rPr>
        <w:t>一 、总  则</w:t>
      </w:r>
      <w:bookmarkEnd w:id="4"/>
    </w:p>
    <w:p w14:paraId="6AC12F28">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b/>
          <w:color w:val="auto"/>
          <w:sz w:val="24"/>
          <w:highlight w:val="none"/>
        </w:rPr>
      </w:pPr>
      <w:r>
        <w:rPr>
          <w:rFonts w:hint="eastAsia"/>
          <w:b/>
          <w:color w:val="auto"/>
          <w:sz w:val="24"/>
          <w:highlight w:val="none"/>
        </w:rPr>
        <w:t>（一）</w:t>
      </w:r>
      <w:r>
        <w:rPr>
          <w:b/>
          <w:color w:val="auto"/>
          <w:sz w:val="24"/>
          <w:highlight w:val="none"/>
        </w:rPr>
        <w:t xml:space="preserve"> 适用范围</w:t>
      </w:r>
    </w:p>
    <w:p w14:paraId="37B36BD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highlight w:val="none"/>
        </w:rPr>
      </w:pPr>
      <w:r>
        <w:rPr>
          <w:rFonts w:hint="eastAsia" w:ascii="宋体"/>
          <w:color w:val="auto"/>
          <w:sz w:val="24"/>
          <w:highlight w:val="none"/>
        </w:rPr>
        <w:t>本招标文件适用于</w:t>
      </w:r>
      <w:r>
        <w:rPr>
          <w:rFonts w:hint="eastAsia" w:ascii="宋体"/>
          <w:bCs/>
          <w:color w:val="auto"/>
          <w:sz w:val="24"/>
          <w:highlight w:val="none"/>
        </w:rPr>
        <w:t>本次</w:t>
      </w:r>
      <w:r>
        <w:rPr>
          <w:rFonts w:hint="eastAsia" w:ascii="宋体"/>
          <w:color w:val="auto"/>
          <w:sz w:val="24"/>
          <w:highlight w:val="none"/>
        </w:rPr>
        <w:t>项目的招标、投标、评标、定标、验收、合同履约、付款等行为（法律、法规另有规定的，从其规定）。</w:t>
      </w:r>
    </w:p>
    <w:p w14:paraId="09B4BCFD">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b/>
          <w:color w:val="auto"/>
          <w:sz w:val="24"/>
          <w:highlight w:val="none"/>
        </w:rPr>
      </w:pPr>
      <w:r>
        <w:rPr>
          <w:rFonts w:hint="eastAsia"/>
          <w:b/>
          <w:color w:val="auto"/>
          <w:sz w:val="24"/>
          <w:highlight w:val="none"/>
        </w:rPr>
        <w:t>（二）定义</w:t>
      </w:r>
    </w:p>
    <w:p w14:paraId="61EB26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color w:val="auto"/>
          <w:sz w:val="24"/>
          <w:highlight w:val="none"/>
        </w:rPr>
      </w:pPr>
      <w:r>
        <w:rPr>
          <w:rFonts w:hint="eastAsia" w:ascii="宋体"/>
          <w:color w:val="auto"/>
          <w:sz w:val="24"/>
          <w:highlight w:val="none"/>
        </w:rPr>
        <w:t>1、采购组织机构：指采购人委托组织招标的采购代理机构。</w:t>
      </w:r>
    </w:p>
    <w:p w14:paraId="0B91F1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color w:val="auto"/>
          <w:sz w:val="24"/>
          <w:highlight w:val="none"/>
        </w:rPr>
      </w:pPr>
      <w:r>
        <w:rPr>
          <w:rFonts w:hint="eastAsia" w:ascii="宋体"/>
          <w:color w:val="auto"/>
          <w:sz w:val="24"/>
          <w:highlight w:val="none"/>
        </w:rPr>
        <w:t>2、采购人：是指委托采购代理机构采购本次项目的国家机关、事业单位和团体组织。</w:t>
      </w:r>
    </w:p>
    <w:p w14:paraId="366CFE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highlight w:val="none"/>
        </w:rPr>
      </w:pPr>
      <w:r>
        <w:rPr>
          <w:rFonts w:hint="eastAsia" w:ascii="宋体"/>
          <w:color w:val="auto"/>
          <w:sz w:val="24"/>
          <w:highlight w:val="none"/>
        </w:rPr>
        <w:t>3、</w:t>
      </w:r>
      <w:r>
        <w:rPr>
          <w:rFonts w:ascii="宋体"/>
          <w:color w:val="auto"/>
          <w:sz w:val="24"/>
          <w:highlight w:val="none"/>
        </w:rPr>
        <w:t>投标人</w:t>
      </w:r>
      <w:r>
        <w:rPr>
          <w:rFonts w:hint="eastAsia" w:ascii="宋体"/>
          <w:color w:val="auto"/>
          <w:sz w:val="24"/>
          <w:highlight w:val="none"/>
        </w:rPr>
        <w:t>：是</w:t>
      </w:r>
      <w:r>
        <w:rPr>
          <w:rFonts w:ascii="宋体"/>
          <w:color w:val="auto"/>
          <w:sz w:val="24"/>
          <w:highlight w:val="none"/>
        </w:rPr>
        <w:t>指向</w:t>
      </w:r>
      <w:r>
        <w:rPr>
          <w:rFonts w:hint="eastAsia" w:ascii="宋体"/>
          <w:color w:val="auto"/>
          <w:sz w:val="24"/>
          <w:highlight w:val="none"/>
        </w:rPr>
        <w:t>采购</w:t>
      </w:r>
      <w:r>
        <w:rPr>
          <w:rFonts w:hint="eastAsia" w:ascii="宋体"/>
          <w:color w:val="auto"/>
          <w:sz w:val="24"/>
          <w:highlight w:val="none"/>
          <w:lang w:val="zh-CN"/>
        </w:rPr>
        <w:t>组织</w:t>
      </w:r>
      <w:r>
        <w:rPr>
          <w:rFonts w:hint="eastAsia" w:ascii="宋体"/>
          <w:color w:val="auto"/>
          <w:sz w:val="24"/>
          <w:highlight w:val="none"/>
        </w:rPr>
        <w:t>机构</w:t>
      </w:r>
      <w:r>
        <w:rPr>
          <w:rFonts w:ascii="宋体"/>
          <w:color w:val="auto"/>
          <w:sz w:val="24"/>
          <w:highlight w:val="none"/>
        </w:rPr>
        <w:t>提交投标文件的单位或个人。</w:t>
      </w:r>
    </w:p>
    <w:p w14:paraId="44C91B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highlight w:val="none"/>
        </w:rPr>
      </w:pPr>
      <w:r>
        <w:rPr>
          <w:rFonts w:hint="eastAsia" w:ascii="宋体"/>
          <w:color w:val="auto"/>
          <w:sz w:val="24"/>
          <w:highlight w:val="none"/>
        </w:rPr>
        <w:t>4、</w:t>
      </w:r>
      <w:r>
        <w:rPr>
          <w:rFonts w:ascii="宋体"/>
          <w:color w:val="auto"/>
          <w:sz w:val="24"/>
          <w:highlight w:val="none"/>
        </w:rPr>
        <w:t>货物</w:t>
      </w:r>
      <w:r>
        <w:rPr>
          <w:rFonts w:hint="eastAsia" w:ascii="宋体"/>
          <w:color w:val="auto"/>
          <w:sz w:val="24"/>
          <w:highlight w:val="none"/>
        </w:rPr>
        <w:t>：</w:t>
      </w:r>
      <w:r>
        <w:rPr>
          <w:rFonts w:ascii="宋体"/>
          <w:color w:val="auto"/>
          <w:sz w:val="24"/>
          <w:highlight w:val="none"/>
        </w:rPr>
        <w:t>是指各种形态和种类的物品，包括原材料、燃料、设备、产品等。</w:t>
      </w:r>
    </w:p>
    <w:p w14:paraId="49571D3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highlight w:val="none"/>
        </w:rPr>
      </w:pPr>
      <w:r>
        <w:rPr>
          <w:rFonts w:hint="eastAsia" w:ascii="宋体"/>
          <w:color w:val="auto"/>
          <w:sz w:val="24"/>
          <w:highlight w:val="none"/>
        </w:rPr>
        <w:t>5、工程：是指建设工程，包括建筑物和构筑物的新建、改建、扩建、 装修、拆除、修缮等。</w:t>
      </w:r>
    </w:p>
    <w:p w14:paraId="31CA4C6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b/>
          <w:color w:val="auto"/>
          <w:sz w:val="24"/>
          <w:highlight w:val="none"/>
        </w:rPr>
      </w:pPr>
      <w:r>
        <w:rPr>
          <w:rFonts w:hint="eastAsia" w:ascii="宋体"/>
          <w:color w:val="auto"/>
          <w:sz w:val="24"/>
          <w:highlight w:val="none"/>
        </w:rPr>
        <w:t>6、</w:t>
      </w:r>
      <w:r>
        <w:rPr>
          <w:rFonts w:ascii="宋体"/>
          <w:color w:val="auto"/>
          <w:sz w:val="24"/>
          <w:highlight w:val="none"/>
        </w:rPr>
        <w:t>服务</w:t>
      </w:r>
      <w:r>
        <w:rPr>
          <w:rFonts w:hint="eastAsia" w:ascii="宋体"/>
          <w:color w:val="auto"/>
          <w:sz w:val="24"/>
          <w:highlight w:val="none"/>
        </w:rPr>
        <w:t>：</w:t>
      </w:r>
      <w:r>
        <w:rPr>
          <w:rFonts w:ascii="宋体"/>
          <w:color w:val="auto"/>
          <w:sz w:val="24"/>
          <w:highlight w:val="none"/>
        </w:rPr>
        <w:t>是指除货物和工程以外的政府采购对象，包括各类专业服务、信息网络开发服务、金融保险服务、运输服务，以及维修与维护服务等。</w:t>
      </w:r>
    </w:p>
    <w:p w14:paraId="5D8AFE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highlight w:val="none"/>
        </w:rPr>
      </w:pPr>
      <w:r>
        <w:rPr>
          <w:rFonts w:hint="eastAsia" w:ascii="宋体"/>
          <w:color w:val="auto"/>
          <w:sz w:val="24"/>
          <w:highlight w:val="none"/>
        </w:rPr>
        <w:t>7、</w:t>
      </w:r>
      <w:r>
        <w:rPr>
          <w:rFonts w:ascii="宋体"/>
          <w:color w:val="auto"/>
          <w:sz w:val="24"/>
          <w:highlight w:val="none"/>
        </w:rPr>
        <w:t>“书面形式”包括信函、传真等。</w:t>
      </w:r>
    </w:p>
    <w:p w14:paraId="43C423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highlight w:val="none"/>
        </w:rPr>
      </w:pPr>
      <w:r>
        <w:rPr>
          <w:rFonts w:hint="eastAsia" w:ascii="宋体"/>
          <w:color w:val="auto"/>
          <w:sz w:val="24"/>
          <w:highlight w:val="none"/>
        </w:rPr>
        <w:t>8、</w:t>
      </w:r>
      <w:r>
        <w:rPr>
          <w:rFonts w:ascii="宋体"/>
          <w:color w:val="auto"/>
          <w:sz w:val="24"/>
          <w:highlight w:val="none"/>
        </w:rPr>
        <w:t>“▲”系指实质性要求条款。</w:t>
      </w:r>
    </w:p>
    <w:p w14:paraId="515171BB">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b/>
          <w:color w:val="auto"/>
          <w:sz w:val="24"/>
          <w:highlight w:val="none"/>
        </w:rPr>
      </w:pPr>
      <w:r>
        <w:rPr>
          <w:rFonts w:hint="eastAsia"/>
          <w:b/>
          <w:color w:val="auto"/>
          <w:sz w:val="24"/>
          <w:highlight w:val="none"/>
        </w:rPr>
        <w:t>（三）投标费用</w:t>
      </w:r>
    </w:p>
    <w:p w14:paraId="2809FCB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color w:val="auto"/>
          <w:sz w:val="24"/>
          <w:highlight w:val="none"/>
        </w:rPr>
      </w:pPr>
      <w:r>
        <w:rPr>
          <w:rFonts w:hint="eastAsia" w:ascii="宋体"/>
          <w:color w:val="auto"/>
          <w:sz w:val="24"/>
          <w:highlight w:val="none"/>
        </w:rPr>
        <w:t>不论投标结果如何，投标人均应自行承担所有与投标有关的全部费用（招标文件有相关规定除外）。</w:t>
      </w:r>
    </w:p>
    <w:p w14:paraId="4CD220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eastAsia="宋体"/>
          <w:sz w:val="24"/>
          <w:highlight w:val="none"/>
          <w:lang w:eastAsia="zh-CN"/>
        </w:rPr>
      </w:pPr>
      <w:r>
        <w:rPr>
          <w:rFonts w:hint="eastAsia" w:cs="Times New Roman"/>
          <w:color w:val="auto"/>
          <w:kern w:val="0"/>
          <w:sz w:val="24"/>
          <w:highlight w:val="none"/>
        </w:rPr>
        <w:t>招标代理服务费：</w:t>
      </w:r>
      <w:r>
        <w:rPr>
          <w:rFonts w:hint="eastAsia" w:ascii="宋体" w:hAnsi="宋体"/>
          <w:sz w:val="24"/>
          <w:highlight w:val="none"/>
          <w:lang w:val="en-US" w:eastAsia="zh-CN"/>
        </w:rPr>
        <w:t>10000元，</w:t>
      </w:r>
      <w:r>
        <w:rPr>
          <w:rFonts w:hint="eastAsia" w:ascii="宋体" w:hAnsi="宋体"/>
          <w:sz w:val="24"/>
          <w:highlight w:val="none"/>
        </w:rPr>
        <w:t>由中标人在领取中标通知书时一次性支付给招标代理机构</w:t>
      </w:r>
      <w:r>
        <w:rPr>
          <w:rFonts w:hint="eastAsia" w:ascii="宋体" w:hAnsi="宋体"/>
          <w:sz w:val="24"/>
          <w:highlight w:val="none"/>
          <w:lang w:eastAsia="zh-CN"/>
        </w:rPr>
        <w:t>：</w:t>
      </w:r>
    </w:p>
    <w:p w14:paraId="656C0A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sz w:val="24"/>
          <w:highlight w:val="none"/>
        </w:rPr>
      </w:pPr>
      <w:r>
        <w:rPr>
          <w:rFonts w:hint="eastAsia" w:ascii="宋体"/>
          <w:sz w:val="24"/>
          <w:highlight w:val="none"/>
        </w:rPr>
        <w:t xml:space="preserve">户名：台州中亿工程管理有限公司天台分公司  </w:t>
      </w:r>
    </w:p>
    <w:p w14:paraId="74F5D6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sz w:val="24"/>
          <w:highlight w:val="none"/>
        </w:rPr>
      </w:pPr>
      <w:r>
        <w:rPr>
          <w:rFonts w:hint="eastAsia" w:ascii="宋体"/>
          <w:sz w:val="24"/>
          <w:highlight w:val="none"/>
        </w:rPr>
        <w:t>统一信用代码：9133123MA2DWBNE88</w:t>
      </w:r>
    </w:p>
    <w:p w14:paraId="09EE533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sz w:val="24"/>
          <w:highlight w:val="none"/>
        </w:rPr>
      </w:pPr>
      <w:r>
        <w:rPr>
          <w:rFonts w:hint="eastAsia" w:ascii="宋体"/>
          <w:sz w:val="24"/>
          <w:highlight w:val="none"/>
        </w:rPr>
        <w:t>开户行：台州银行天台始丰小微企业专营支行</w:t>
      </w:r>
    </w:p>
    <w:p w14:paraId="0FABE3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宋体"/>
          <w:sz w:val="24"/>
        </w:rPr>
      </w:pPr>
      <w:r>
        <w:rPr>
          <w:rFonts w:hint="eastAsia" w:ascii="宋体"/>
          <w:sz w:val="24"/>
          <w:highlight w:val="none"/>
        </w:rPr>
        <w:t>账号：550184548300015</w:t>
      </w:r>
    </w:p>
    <w:p w14:paraId="0FD76197">
      <w:pPr>
        <w:pStyle w:val="21"/>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hint="eastAsia" w:eastAsia="宋体"/>
          <w:b/>
          <w:color w:val="auto"/>
          <w:sz w:val="24"/>
          <w:highlight w:val="none"/>
          <w:lang w:val="en-US" w:eastAsia="zh-CN"/>
        </w:rPr>
      </w:pPr>
      <w:r>
        <w:rPr>
          <w:rFonts w:hint="eastAsia"/>
          <w:b/>
          <w:color w:val="auto"/>
          <w:sz w:val="24"/>
          <w:highlight w:val="none"/>
        </w:rPr>
        <w:t>（四）特别说明</w:t>
      </w:r>
    </w:p>
    <w:p w14:paraId="1DE1A089">
      <w:pPr>
        <w:pStyle w:val="21"/>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color w:val="auto"/>
          <w:sz w:val="24"/>
          <w:highlight w:val="none"/>
        </w:rPr>
      </w:pPr>
      <w:r>
        <w:rPr>
          <w:rFonts w:hint="eastAsia"/>
          <w:color w:val="auto"/>
          <w:sz w:val="24"/>
          <w:highlight w:val="none"/>
        </w:rPr>
        <w:t>1、</w:t>
      </w:r>
      <w:r>
        <w:rPr>
          <w:color w:val="auto"/>
          <w:sz w:val="24"/>
          <w:highlight w:val="none"/>
        </w:rPr>
        <w:t>投标人投标所使用的资格、信誉、荣誉、业绩与企业认证必须为本法人所拥有。投标人投标所使用的采购项目实施人员必须为本法人员工。</w:t>
      </w:r>
      <w:r>
        <w:rPr>
          <w:rFonts w:hint="eastAsia"/>
          <w:color w:val="auto"/>
          <w:sz w:val="24"/>
          <w:highlight w:val="none"/>
          <w:lang w:val="en-US" w:eastAsia="zh-CN"/>
        </w:rPr>
        <w:t>▲其中涉及资格条件的如非本法人所拥有，则投标无效。</w:t>
      </w:r>
    </w:p>
    <w:p w14:paraId="138A4A13">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s="Arial"/>
          <w:color w:val="auto"/>
          <w:sz w:val="24"/>
          <w:highlight w:val="none"/>
        </w:rPr>
      </w:pPr>
      <w:r>
        <w:rPr>
          <w:rFonts w:hint="eastAsia" w:ascii="宋体" w:cs="Arial"/>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cs="Arial"/>
          <w:color w:val="auto"/>
          <w:sz w:val="24"/>
          <w:highlight w:val="none"/>
        </w:rPr>
        <w:tab/>
      </w:r>
    </w:p>
    <w:p w14:paraId="773D9441">
      <w:pPr>
        <w:pStyle w:val="68"/>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s="Arial"/>
          <w:color w:val="auto"/>
          <w:sz w:val="24"/>
          <w:szCs w:val="24"/>
          <w:highlight w:val="none"/>
        </w:rPr>
      </w:pPr>
      <w:r>
        <w:rPr>
          <w:rFonts w:ascii="宋体"/>
          <w:color w:val="auto"/>
          <w:sz w:val="24"/>
          <w:highlight w:val="none"/>
        </w:rPr>
        <w:t>▲</w:t>
      </w:r>
      <w:r>
        <w:rPr>
          <w:rFonts w:hint="eastAsia" w:ascii="宋体" w:cs="Arial"/>
          <w:color w:val="auto"/>
          <w:sz w:val="24"/>
          <w:szCs w:val="24"/>
          <w:highlight w:val="none"/>
        </w:rPr>
        <w:t>3、</w:t>
      </w:r>
      <w:r>
        <w:rPr>
          <w:rFonts w:ascii="宋体" w:cs="Arial"/>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宋体" w:cs="Arial"/>
          <w:color w:val="auto"/>
          <w:sz w:val="24"/>
          <w:szCs w:val="24"/>
          <w:highlight w:val="none"/>
        </w:rPr>
        <w:t>，</w:t>
      </w:r>
      <w:r>
        <w:rPr>
          <w:rFonts w:ascii="宋体" w:cs="Arial"/>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s="Arial"/>
          <w:color w:val="auto"/>
          <w:sz w:val="24"/>
          <w:szCs w:val="24"/>
          <w:highlight w:val="none"/>
        </w:rPr>
        <w:t>。</w:t>
      </w:r>
    </w:p>
    <w:p w14:paraId="605ABF57">
      <w:pPr>
        <w:keepNext w:val="0"/>
        <w:keepLines w:val="0"/>
        <w:pageBreakBefore w:val="0"/>
        <w:kinsoku/>
        <w:wordWrap/>
        <w:overflowPunct/>
        <w:topLinePunct w:val="0"/>
        <w:bidi w:val="0"/>
        <w:adjustRightInd/>
        <w:snapToGrid/>
        <w:spacing w:line="360" w:lineRule="auto"/>
        <w:ind w:right="0" w:rightChars="0" w:firstLine="480" w:firstLineChars="200"/>
        <w:textAlignment w:val="auto"/>
        <w:rPr>
          <w:rFonts w:ascii="宋体" w:cs="Arial"/>
          <w:color w:val="auto"/>
          <w:sz w:val="24"/>
          <w:highlight w:val="none"/>
        </w:rPr>
      </w:pPr>
      <w:r>
        <w:rPr>
          <w:rFonts w:ascii="宋体"/>
          <w:color w:val="auto"/>
          <w:sz w:val="24"/>
          <w:highlight w:val="none"/>
        </w:rPr>
        <w:t>▲</w:t>
      </w:r>
      <w:r>
        <w:rPr>
          <w:rFonts w:hint="eastAsia" w:ascii="宋体" w:cs="Arial"/>
          <w:color w:val="auto"/>
          <w:sz w:val="24"/>
          <w:highlight w:val="none"/>
        </w:rPr>
        <w:t xml:space="preserve"> 4、投标人不得相互串通投标报价，不得妨碍其他投标人的公平竞争，不得损害采购人或其他投标人的合法权益，投标人不得以向采购人、评标委员会成员行贿或者采取其他不正当手段谋取中标。</w:t>
      </w:r>
    </w:p>
    <w:p w14:paraId="38EB2AAF">
      <w:pPr>
        <w:keepNext w:val="0"/>
        <w:keepLines w:val="0"/>
        <w:pageBreakBefore w:val="0"/>
        <w:kinsoku/>
        <w:wordWrap/>
        <w:overflowPunct/>
        <w:topLinePunct w:val="0"/>
        <w:bidi w:val="0"/>
        <w:adjustRightInd/>
        <w:snapToGrid/>
        <w:spacing w:line="360" w:lineRule="auto"/>
        <w:ind w:right="0" w:rightChars="0" w:firstLine="480" w:firstLineChars="200"/>
        <w:textAlignment w:val="auto"/>
        <w:rPr>
          <w:rFonts w:ascii="宋体" w:cs="Arial"/>
          <w:color w:val="auto"/>
          <w:sz w:val="24"/>
          <w:highlight w:val="none"/>
        </w:rPr>
      </w:pPr>
      <w:r>
        <w:rPr>
          <w:rFonts w:ascii="宋体"/>
          <w:color w:val="auto"/>
          <w:sz w:val="24"/>
          <w:highlight w:val="none"/>
        </w:rPr>
        <w:t>▲</w:t>
      </w:r>
      <w:r>
        <w:rPr>
          <w:rFonts w:hint="eastAsia" w:ascii="宋体" w:cs="Arial"/>
          <w:color w:val="auto"/>
          <w:sz w:val="24"/>
          <w:highlight w:val="none"/>
        </w:rPr>
        <w:t>5、为采购项目提供整体设计、规范编制或者项目管理、监理、检测等服务的供应商，不得再参加该采购项目的其他采购活动。</w:t>
      </w:r>
    </w:p>
    <w:p w14:paraId="752C592A">
      <w:pPr>
        <w:keepNext w:val="0"/>
        <w:keepLines w:val="0"/>
        <w:pageBreakBefore w:val="0"/>
        <w:kinsoku/>
        <w:wordWrap/>
        <w:overflowPunct/>
        <w:topLinePunct w:val="0"/>
        <w:bidi w:val="0"/>
        <w:adjustRightInd/>
        <w:snapToGrid/>
        <w:spacing w:line="360" w:lineRule="auto"/>
        <w:ind w:right="0" w:rightChars="0" w:firstLine="480" w:firstLineChars="200"/>
        <w:textAlignment w:val="auto"/>
        <w:rPr>
          <w:rFonts w:ascii="宋体" w:cs="Arial"/>
          <w:color w:val="auto"/>
          <w:sz w:val="24"/>
          <w:highlight w:val="none"/>
        </w:rPr>
      </w:pPr>
      <w:r>
        <w:rPr>
          <w:rFonts w:hint="eastAsia" w:ascii="宋体" w:cs="Arial"/>
          <w:color w:val="auto"/>
          <w:sz w:val="24"/>
          <w:highlight w:val="none"/>
        </w:rPr>
        <w:t>6、投标文件格式中的表格式样可以根据项目差别做适当调整,但应当保持表格样式基本形态不变。</w:t>
      </w:r>
    </w:p>
    <w:p w14:paraId="4800C755">
      <w:pPr>
        <w:keepNext w:val="0"/>
        <w:keepLines w:val="0"/>
        <w:pageBreakBefore w:val="0"/>
        <w:kinsoku/>
        <w:wordWrap/>
        <w:overflowPunct/>
        <w:topLinePunct w:val="0"/>
        <w:bidi w:val="0"/>
        <w:adjustRightInd/>
        <w:snapToGrid/>
        <w:spacing w:line="360" w:lineRule="auto"/>
        <w:ind w:right="0" w:rightChars="0" w:firstLine="480" w:firstLineChars="200"/>
        <w:textAlignment w:val="auto"/>
        <w:rPr>
          <w:rFonts w:ascii="宋体" w:cs="Arial"/>
          <w:color w:val="auto"/>
          <w:sz w:val="24"/>
          <w:highlight w:val="none"/>
        </w:rPr>
      </w:pPr>
      <w:r>
        <w:rPr>
          <w:rFonts w:ascii="宋体"/>
          <w:color w:val="auto"/>
          <w:sz w:val="24"/>
          <w:highlight w:val="none"/>
        </w:rPr>
        <w:t>▲</w:t>
      </w:r>
      <w:r>
        <w:rPr>
          <w:rFonts w:hint="eastAsia" w:ascii="宋体" w:cs="Arial"/>
          <w:color w:val="auto"/>
          <w:sz w:val="24"/>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0E1A424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hAnsi="宋体" w:cs="宋体"/>
          <w:b w:val="0"/>
          <w:bCs w:val="0"/>
          <w:color w:val="auto"/>
          <w:sz w:val="24"/>
          <w:highlight w:val="none"/>
        </w:rPr>
      </w:pPr>
      <w:r>
        <w:rPr>
          <w:rFonts w:ascii="宋体"/>
          <w:color w:val="auto"/>
          <w:sz w:val="24"/>
          <w:highlight w:val="none"/>
        </w:rPr>
        <w:t>▲</w:t>
      </w:r>
      <w:r>
        <w:rPr>
          <w:rFonts w:hint="eastAsia" w:ascii="宋体" w:cs="Arial"/>
          <w:b w:val="0"/>
          <w:bCs w:val="0"/>
          <w:color w:val="auto"/>
          <w:sz w:val="24"/>
          <w:highlight w:val="none"/>
        </w:rPr>
        <w:t>8、供应商在参与政府采购活动中所签署的一切文件，包括但不限于签到表、《政府采购活动现场确认声明书》等</w:t>
      </w:r>
      <w:r>
        <w:rPr>
          <w:rFonts w:hint="eastAsia" w:ascii="宋体" w:hAnsi="宋体" w:cs="宋体"/>
          <w:b w:val="0"/>
          <w:bCs w:val="0"/>
          <w:color w:val="auto"/>
          <w:sz w:val="24"/>
          <w:highlight w:val="none"/>
        </w:rPr>
        <w:t>文件，特别是有关利害关系应如实填写、如实披露，供应商授权参与政府采购的人员视为应当知道与采购人、代理机构、其他供应商之间的利害关系。如未如实披露，则视为提供虚假材料，由供应商承担不利后果。</w:t>
      </w:r>
    </w:p>
    <w:p w14:paraId="2F30C5F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s="Arial"/>
          <w:b/>
          <w:bCs/>
          <w:color w:val="auto"/>
          <w:sz w:val="24"/>
          <w:highlight w:val="none"/>
        </w:rPr>
      </w:pPr>
      <w:r>
        <w:rPr>
          <w:rFonts w:ascii="宋体"/>
          <w:color w:val="auto"/>
          <w:sz w:val="24"/>
          <w:highlight w:val="none"/>
        </w:rPr>
        <w:t>▲</w:t>
      </w:r>
      <w:r>
        <w:rPr>
          <w:rFonts w:hint="eastAsia" w:ascii="宋体" w:cs="Arial"/>
          <w:b/>
          <w:bCs/>
          <w:color w:val="auto"/>
          <w:sz w:val="24"/>
          <w:highlight w:val="none"/>
        </w:rPr>
        <w:t>9、本项目</w:t>
      </w:r>
      <w:r>
        <w:rPr>
          <w:rFonts w:hint="eastAsia" w:ascii="宋体" w:cs="Arial"/>
          <w:b/>
          <w:bCs/>
          <w:color w:val="auto"/>
          <w:sz w:val="24"/>
          <w:highlight w:val="none"/>
          <w:lang w:val="en-US" w:eastAsia="zh-CN"/>
        </w:rPr>
        <w:t>不允许分包、转包。</w:t>
      </w:r>
    </w:p>
    <w:p w14:paraId="04B6227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color w:val="auto"/>
          <w:highlight w:val="none"/>
          <w:lang w:eastAsia="zh-CN"/>
        </w:rPr>
      </w:pPr>
      <w:r>
        <w:rPr>
          <w:rFonts w:hint="eastAsia" w:ascii="宋体" w:hAnsi="宋体" w:eastAsia="宋体" w:cs="宋体"/>
          <w:b w:val="0"/>
          <w:bCs w:val="0"/>
          <w:color w:val="auto"/>
          <w:sz w:val="24"/>
          <w:highlight w:val="none"/>
          <w:lang w:val="en-US" w:eastAsia="zh-CN"/>
        </w:rPr>
        <w:t>10、本招标文件中关于电子招标、响应内容、流程如与政采云系统中最新的内容、操作不一致的，以政采云系统中的要求为准。</w:t>
      </w:r>
    </w:p>
    <w:p w14:paraId="16499039">
      <w:pPr>
        <w:pStyle w:val="21"/>
        <w:keepNext w:val="0"/>
        <w:keepLines w:val="0"/>
        <w:pageBreakBefore w:val="0"/>
        <w:kinsoku/>
        <w:wordWrap/>
        <w:overflowPunct/>
        <w:topLinePunct w:val="0"/>
        <w:bidi w:val="0"/>
        <w:adjustRightInd/>
        <w:snapToGrid/>
        <w:spacing w:line="360" w:lineRule="auto"/>
        <w:ind w:right="0" w:rightChars="0"/>
        <w:textAlignment w:val="auto"/>
        <w:outlineLvl w:val="1"/>
        <w:rPr>
          <w:b/>
          <w:color w:val="auto"/>
          <w:sz w:val="24"/>
          <w:highlight w:val="none"/>
        </w:rPr>
      </w:pPr>
      <w:bookmarkStart w:id="5" w:name="_Toc68703355"/>
      <w:r>
        <w:rPr>
          <w:rFonts w:hint="eastAsia"/>
          <w:b/>
          <w:color w:val="auto"/>
          <w:sz w:val="24"/>
          <w:highlight w:val="none"/>
        </w:rPr>
        <w:t>二、招标文件</w:t>
      </w:r>
      <w:bookmarkEnd w:id="5"/>
    </w:p>
    <w:p w14:paraId="56B98BE1">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（一）招标文件由招标文件总目录所列内容组成。</w:t>
      </w:r>
    </w:p>
    <w:p w14:paraId="0380FFE2">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（二）招标文件的澄清或修改</w:t>
      </w:r>
    </w:p>
    <w:p w14:paraId="2A5339BB">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02837348">
      <w:pPr>
        <w:keepNext w:val="0"/>
        <w:keepLines w:val="0"/>
        <w:pageBreakBefore w:val="0"/>
        <w:tabs>
          <w:tab w:val="left" w:pos="426"/>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2、</w:t>
      </w:r>
      <w:r>
        <w:rPr>
          <w:rFonts w:ascii="宋体"/>
          <w:color w:val="auto"/>
          <w:kern w:val="0"/>
          <w:sz w:val="24"/>
          <w:highlight w:val="none"/>
        </w:rPr>
        <w:t>投标人在规定的时间内未对招标文件提出疑问、质疑或要求澄清的，将视其为无异议。</w:t>
      </w:r>
    </w:p>
    <w:p w14:paraId="13F33A9D">
      <w:pPr>
        <w:pStyle w:val="21"/>
        <w:keepNext w:val="0"/>
        <w:keepLines w:val="0"/>
        <w:pageBreakBefore w:val="0"/>
        <w:kinsoku/>
        <w:wordWrap/>
        <w:overflowPunct/>
        <w:topLinePunct w:val="0"/>
        <w:bidi w:val="0"/>
        <w:adjustRightInd/>
        <w:snapToGrid/>
        <w:spacing w:line="360" w:lineRule="auto"/>
        <w:ind w:right="0" w:rightChars="0"/>
        <w:textAlignment w:val="auto"/>
        <w:rPr>
          <w:b/>
          <w:color w:val="auto"/>
          <w:sz w:val="24"/>
          <w:highlight w:val="none"/>
        </w:rPr>
      </w:pPr>
      <w:bookmarkStart w:id="6" w:name="_Toc68703356"/>
      <w:r>
        <w:rPr>
          <w:rFonts w:hint="eastAsia"/>
          <w:b/>
          <w:color w:val="auto"/>
          <w:sz w:val="24"/>
          <w:highlight w:val="none"/>
        </w:rPr>
        <w:t>三、投标文件</w:t>
      </w:r>
      <w:bookmarkEnd w:id="6"/>
    </w:p>
    <w:p w14:paraId="1C93469E">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bCs/>
          <w:color w:val="auto"/>
          <w:sz w:val="24"/>
          <w:highlight w:val="none"/>
        </w:rPr>
      </w:pPr>
      <w:bookmarkStart w:id="7" w:name="_Toc57114436"/>
      <w:bookmarkStart w:id="8" w:name="_Toc57114326"/>
      <w:bookmarkStart w:id="9" w:name="_Toc68703357"/>
      <w:bookmarkStart w:id="10" w:name="_Toc57114524"/>
      <w:r>
        <w:rPr>
          <w:rFonts w:hint="eastAsia" w:ascii="宋体"/>
          <w:b/>
          <w:bCs/>
          <w:color w:val="auto"/>
          <w:kern w:val="0"/>
          <w:sz w:val="24"/>
          <w:highlight w:val="none"/>
        </w:rPr>
        <w:t>（一）投标文件的组成</w:t>
      </w:r>
      <w:bookmarkEnd w:id="7"/>
      <w:bookmarkEnd w:id="8"/>
      <w:bookmarkEnd w:id="9"/>
      <w:bookmarkEnd w:id="10"/>
    </w:p>
    <w:p w14:paraId="7093471D">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bCs/>
          <w:color w:val="auto"/>
          <w:sz w:val="24"/>
          <w:highlight w:val="none"/>
        </w:rPr>
      </w:pPr>
      <w:bookmarkStart w:id="11" w:name="_Toc57114327"/>
      <w:bookmarkStart w:id="12" w:name="_Toc57114437"/>
      <w:bookmarkStart w:id="13" w:name="_Toc68703358"/>
      <w:bookmarkStart w:id="14" w:name="_Toc57114525"/>
      <w:r>
        <w:rPr>
          <w:rFonts w:hint="eastAsia" w:ascii="宋体" w:cs="Arial"/>
          <w:b/>
          <w:bCs/>
          <w:color w:val="auto"/>
          <w:sz w:val="24"/>
          <w:highlight w:val="none"/>
        </w:rPr>
        <w:t>投标人接到招标文件后，按照采购组织机构的要求提供：资格证明文件、商务与技术文件和报价文件。</w:t>
      </w:r>
      <w:bookmarkEnd w:id="11"/>
      <w:bookmarkEnd w:id="12"/>
      <w:bookmarkEnd w:id="13"/>
      <w:bookmarkEnd w:id="14"/>
    </w:p>
    <w:p w14:paraId="2581415E">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bCs/>
          <w:color w:val="auto"/>
          <w:sz w:val="24"/>
          <w:highlight w:val="none"/>
        </w:rPr>
      </w:pPr>
      <w:r>
        <w:rPr>
          <w:rFonts w:hint="eastAsia" w:ascii="宋体" w:cs="Arial"/>
          <w:b/>
          <w:bCs/>
          <w:color w:val="auto"/>
          <w:sz w:val="24"/>
          <w:highlight w:val="none"/>
        </w:rPr>
        <w:t>▲1、资格证明文件的组成：</w:t>
      </w:r>
    </w:p>
    <w:p w14:paraId="58DD00C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s="Arial"/>
          <w:color w:val="auto"/>
          <w:sz w:val="24"/>
          <w:highlight w:val="none"/>
        </w:rPr>
      </w:pPr>
      <w:r>
        <w:rPr>
          <w:rFonts w:hint="eastAsia" w:ascii="宋体" w:cs="Arial"/>
          <w:color w:val="auto"/>
          <w:sz w:val="24"/>
          <w:highlight w:val="none"/>
        </w:rPr>
        <w:t>（1）投标声明书（详见附件）；</w:t>
      </w:r>
    </w:p>
    <w:p w14:paraId="3EF0A1D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s="Arial"/>
          <w:color w:val="auto"/>
          <w:sz w:val="24"/>
          <w:highlight w:val="none"/>
        </w:rPr>
      </w:pPr>
      <w:r>
        <w:rPr>
          <w:rFonts w:hint="eastAsia" w:ascii="宋体" w:cs="Arial"/>
          <w:color w:val="auto"/>
          <w:sz w:val="24"/>
          <w:highlight w:val="none"/>
        </w:rPr>
        <w:t>（2）授权委托书（法定代表人亲自办理投标事宜的，则无需提交)</w:t>
      </w:r>
      <w:r>
        <w:rPr>
          <w:rFonts w:hint="eastAsia" w:ascii="宋体" w:hAnsi="宋体" w:cs="宋体"/>
          <w:color w:val="auto"/>
          <w:sz w:val="24"/>
          <w:highlight w:val="none"/>
        </w:rPr>
        <w:t>（详见附件）</w:t>
      </w:r>
      <w:r>
        <w:rPr>
          <w:rFonts w:hint="eastAsia" w:ascii="宋体" w:cs="Arial"/>
          <w:color w:val="auto"/>
          <w:sz w:val="24"/>
          <w:highlight w:val="none"/>
        </w:rPr>
        <w:t>；</w:t>
      </w:r>
    </w:p>
    <w:p w14:paraId="1E2FE24E">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s="Arial"/>
          <w:color w:val="auto"/>
          <w:sz w:val="24"/>
          <w:highlight w:val="none"/>
        </w:rPr>
      </w:pPr>
      <w:r>
        <w:rPr>
          <w:rFonts w:hint="eastAsia" w:ascii="宋体" w:cs="Arial"/>
          <w:color w:val="auto"/>
          <w:sz w:val="24"/>
          <w:highlight w:val="none"/>
        </w:rPr>
        <w:t>（3）法人或者其他组织的营业执照等证明文件</w:t>
      </w:r>
      <w:r>
        <w:rPr>
          <w:rFonts w:ascii="宋体" w:cs="Arial"/>
          <w:color w:val="auto"/>
          <w:sz w:val="24"/>
          <w:highlight w:val="none"/>
        </w:rPr>
        <w:t xml:space="preserve">； </w:t>
      </w:r>
    </w:p>
    <w:p w14:paraId="3A45D0EB">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）具有符合《中华人民共和国政府采购法》第二十二条规定的供应商资格条件的承诺函（详见附件格式）；</w:t>
      </w:r>
    </w:p>
    <w:p w14:paraId="56646A2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）投标供应商提交</w:t>
      </w:r>
      <w:r>
        <w:rPr>
          <w:rFonts w:hint="eastAsia" w:ascii="宋体" w:hAnsi="宋体" w:eastAsia="宋体" w:cs="宋体"/>
          <w:color w:val="auto"/>
          <w:sz w:val="24"/>
          <w:highlight w:val="none"/>
          <w:lang w:val="en-US" w:eastAsia="zh-CN"/>
        </w:rPr>
        <w:t>没有</w:t>
      </w:r>
      <w:r>
        <w:rPr>
          <w:rFonts w:hint="eastAsia" w:ascii="宋体" w:hAnsi="宋体" w:eastAsia="宋体" w:cs="宋体"/>
          <w:color w:val="auto"/>
          <w:sz w:val="24"/>
          <w:highlight w:val="none"/>
        </w:rPr>
        <w:t>失信记录承诺函（详见附件）；</w:t>
      </w:r>
    </w:p>
    <w:p w14:paraId="1BDDC2B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）落实政府采购政策需满足资格要求声明函等[提供中小企业声明函（详见格式附件）或残疾人福利性单位声明函（详见格式附件）或监狱企业证明文件]；</w:t>
      </w:r>
    </w:p>
    <w:p w14:paraId="53299681">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ascii="宋体"/>
          <w:b/>
          <w:color w:val="auto"/>
          <w:kern w:val="0"/>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）提供采购公告中符合供应商特定条件的有效证书或证明资料扫描件（投标供应商特定条件中有要求的必须提供</w:t>
      </w:r>
      <w:r>
        <w:rPr>
          <w:rFonts w:hint="eastAsia" w:ascii="宋体" w:hAnsi="宋体" w:eastAsia="宋体" w:cs="宋体"/>
          <w:color w:val="auto"/>
          <w:sz w:val="24"/>
          <w:highlight w:val="none"/>
          <w:lang w:eastAsia="zh-CN"/>
        </w:rPr>
        <w:t>，其中</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资质动态核查结果证明”的</w:t>
      </w:r>
      <w:r>
        <w:rPr>
          <w:rFonts w:hint="eastAsia" w:ascii="宋体" w:hAnsi="宋体" w:eastAsia="宋体" w:cs="宋体"/>
          <w:b/>
          <w:bCs/>
          <w:color w:val="auto"/>
          <w:sz w:val="24"/>
          <w:highlight w:val="none"/>
          <w:lang w:eastAsia="zh-CN"/>
        </w:rPr>
        <w:t>核查发布日期须为</w:t>
      </w:r>
      <w:r>
        <w:rPr>
          <w:rFonts w:hint="eastAsia" w:ascii="宋体" w:hAnsi="宋体" w:eastAsia="宋体" w:cs="宋体"/>
          <w:b/>
          <w:bCs/>
          <w:color w:val="FF0000"/>
          <w:sz w:val="24"/>
          <w:highlight w:val="none"/>
          <w:u w:val="single"/>
          <w:lang w:val="en-US" w:eastAsia="zh-CN"/>
        </w:rPr>
        <w:t>2024</w:t>
      </w:r>
      <w:r>
        <w:rPr>
          <w:rFonts w:hint="eastAsia" w:ascii="宋体" w:hAnsi="宋体" w:eastAsia="宋体" w:cs="宋体"/>
          <w:b/>
          <w:bCs/>
          <w:color w:val="FF0000"/>
          <w:sz w:val="24"/>
          <w:highlight w:val="none"/>
          <w:u w:val="single"/>
          <w:lang w:eastAsia="zh-CN"/>
        </w:rPr>
        <w:t>年</w:t>
      </w:r>
      <w:r>
        <w:rPr>
          <w:rFonts w:hint="eastAsia" w:ascii="宋体" w:hAnsi="宋体" w:cs="宋体"/>
          <w:b/>
          <w:bCs/>
          <w:color w:val="FF0000"/>
          <w:sz w:val="24"/>
          <w:highlight w:val="none"/>
          <w:u w:val="single"/>
          <w:lang w:val="en-US" w:eastAsia="zh-CN"/>
        </w:rPr>
        <w:t>10</w:t>
      </w:r>
      <w:r>
        <w:rPr>
          <w:rFonts w:hint="eastAsia" w:ascii="宋体" w:hAnsi="宋体" w:eastAsia="宋体" w:cs="宋体"/>
          <w:b/>
          <w:bCs/>
          <w:color w:val="FF0000"/>
          <w:sz w:val="24"/>
          <w:highlight w:val="none"/>
          <w:u w:val="single"/>
          <w:lang w:eastAsia="zh-CN"/>
        </w:rPr>
        <w:t>月</w:t>
      </w:r>
      <w:r>
        <w:rPr>
          <w:rFonts w:hint="eastAsia" w:ascii="宋体" w:hAnsi="宋体" w:cs="宋体"/>
          <w:b/>
          <w:bCs/>
          <w:color w:val="FF0000"/>
          <w:sz w:val="24"/>
          <w:highlight w:val="none"/>
          <w:u w:val="single"/>
          <w:lang w:val="en-US" w:eastAsia="zh-CN"/>
        </w:rPr>
        <w:t>21</w:t>
      </w:r>
      <w:r>
        <w:rPr>
          <w:rFonts w:hint="eastAsia" w:ascii="宋体" w:hAnsi="宋体" w:eastAsia="宋体" w:cs="宋体"/>
          <w:b/>
          <w:bCs/>
          <w:color w:val="FF0000"/>
          <w:sz w:val="24"/>
          <w:highlight w:val="none"/>
          <w:u w:val="single"/>
          <w:lang w:eastAsia="zh-CN"/>
        </w:rPr>
        <w:t>日</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，以及需要说明的其他资料；</w:t>
      </w:r>
    </w:p>
    <w:p w14:paraId="51290339">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2、商务与技术文件的组成：</w:t>
      </w:r>
    </w:p>
    <w:p w14:paraId="38547E81">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（1）商务及技术需求响应表（详见附件）；</w:t>
      </w:r>
    </w:p>
    <w:p w14:paraId="71A20FA5">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（2）供应商基本情况表（详见附件）；</w:t>
      </w:r>
    </w:p>
    <w:p w14:paraId="6BD56520">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color w:val="auto"/>
          <w:kern w:val="0"/>
          <w:sz w:val="24"/>
          <w:highlight w:val="none"/>
        </w:rPr>
      </w:pPr>
      <w:r>
        <w:rPr>
          <w:rFonts w:hint="eastAsia" w:ascii="宋体"/>
          <w:color w:val="auto"/>
          <w:kern w:val="0"/>
          <w:sz w:val="24"/>
          <w:highlight w:val="none"/>
        </w:rPr>
        <w:t>（</w:t>
      </w:r>
      <w:r>
        <w:rPr>
          <w:rFonts w:ascii="宋体"/>
          <w:color w:val="auto"/>
          <w:kern w:val="0"/>
          <w:sz w:val="24"/>
          <w:highlight w:val="none"/>
        </w:rPr>
        <w:t>3</w:t>
      </w:r>
      <w:r>
        <w:rPr>
          <w:rFonts w:hint="eastAsia" w:ascii="宋体"/>
          <w:color w:val="auto"/>
          <w:kern w:val="0"/>
          <w:sz w:val="24"/>
          <w:highlight w:val="none"/>
        </w:rPr>
        <w:t>）其余内容根据评标办法自拟（详见附件）；</w:t>
      </w:r>
    </w:p>
    <w:p w14:paraId="42030A63">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hint="eastAsia" w:ascii="宋体"/>
          <w:color w:val="auto"/>
          <w:kern w:val="0"/>
          <w:sz w:val="24"/>
          <w:highlight w:val="none"/>
        </w:rPr>
      </w:pPr>
      <w:r>
        <w:rPr>
          <w:rFonts w:hint="eastAsia" w:ascii="宋体"/>
          <w:color w:val="auto"/>
          <w:kern w:val="0"/>
          <w:sz w:val="24"/>
          <w:highlight w:val="none"/>
        </w:rPr>
        <w:t>（4）投标人认为需要提供的其他资料。</w:t>
      </w:r>
    </w:p>
    <w:p w14:paraId="391EB8C4">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3、报价文件的组成</w:t>
      </w:r>
    </w:p>
    <w:p w14:paraId="61B0CEAB">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（1）开标一览表（报价函）；</w:t>
      </w:r>
    </w:p>
    <w:p w14:paraId="710EFBA5">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▲此报价为投标人一次性报出唯一的最终价格，包含其它一切所要涉及到的费用，有选择的报价将被拒绝。</w:t>
      </w:r>
    </w:p>
    <w:p w14:paraId="3D113141">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hAnsi="宋体" w:eastAsia="宋体" w:cs="宋体"/>
          <w:kern w:val="0"/>
          <w:sz w:val="24"/>
          <w:highlight w:val="none"/>
        </w:rPr>
        <w:t>投标报价是指完全履行</w:t>
      </w:r>
      <w:r>
        <w:rPr>
          <w:rFonts w:hint="eastAsia" w:ascii="宋体" w:hAnsi="宋体" w:eastAsia="宋体" w:cs="宋体"/>
          <w:kern w:val="0"/>
          <w:sz w:val="24"/>
          <w:highlight w:val="none"/>
          <w:lang w:eastAsia="zh-CN"/>
        </w:rPr>
        <w:t>招标</w:t>
      </w:r>
      <w:r>
        <w:rPr>
          <w:rFonts w:hint="eastAsia" w:ascii="宋体" w:hAnsi="宋体" w:eastAsia="宋体" w:cs="宋体"/>
          <w:kern w:val="0"/>
          <w:sz w:val="24"/>
          <w:highlight w:val="none"/>
        </w:rPr>
        <w:t>内容及要求的价格体现，报价中须包括</w:t>
      </w:r>
      <w:r>
        <w:rPr>
          <w:rFonts w:hint="eastAsia" w:ascii="宋体" w:hAnsi="宋体"/>
          <w:bCs/>
          <w:spacing w:val="-4"/>
          <w:sz w:val="24"/>
          <w:lang w:bidi="ar"/>
        </w:rPr>
        <w:t>所有一切人员工资、各种加班费、节假日补贴、各种社会保险、安全保险、食宿与交通、材料费、机械费、人工费、辅助材料费、建筑垃圾清运费、保险费、管理费、规费等政策性文件规定及合同包含的所有风险、责任等所有费用。</w:t>
      </w:r>
    </w:p>
    <w:p w14:paraId="6A27930D">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▲相关报价单需打印或用不褪色的墨水填写，投标报价单不得涂改和增删，如有错漏必须修改，修改处须由同一签署人签字或盖章。由于字迹模糊或表达不清引起的后果由投标人负责。</w:t>
      </w:r>
    </w:p>
    <w:p w14:paraId="2209A52D">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ascii="宋体"/>
          <w:color w:val="auto"/>
          <w:kern w:val="0"/>
          <w:sz w:val="24"/>
          <w:highlight w:val="none"/>
        </w:rPr>
        <w:t>投标报价应按招标文件中相关附表格式填写。</w:t>
      </w:r>
    </w:p>
    <w:p w14:paraId="1C2A7844">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（二）投标文件的制作、签章、形式、份数</w:t>
      </w:r>
    </w:p>
    <w:p w14:paraId="04948258">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bCs/>
          <w:color w:val="auto"/>
          <w:sz w:val="24"/>
          <w:highlight w:val="none"/>
        </w:rPr>
      </w:pPr>
      <w:r>
        <w:rPr>
          <w:rFonts w:ascii="宋体"/>
          <w:b/>
          <w:bCs/>
          <w:color w:val="auto"/>
          <w:sz w:val="24"/>
          <w:highlight w:val="none"/>
        </w:rPr>
        <w:t>1、投标文件的制作要求</w:t>
      </w:r>
    </w:p>
    <w:p w14:paraId="78D6E91A">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color w:val="auto"/>
          <w:sz w:val="24"/>
          <w:highlight w:val="none"/>
        </w:rPr>
      </w:pPr>
      <w:r>
        <w:rPr>
          <w:rFonts w:hint="eastAsia" w:ascii="宋体" w:cs="Arial"/>
          <w:b/>
          <w:color w:val="auto"/>
          <w:kern w:val="0"/>
          <w:sz w:val="24"/>
          <w:highlight w:val="none"/>
        </w:rPr>
        <w:t>（1）</w:t>
      </w:r>
      <w:r>
        <w:rPr>
          <w:rFonts w:hint="eastAsia" w:ascii="宋体" w:cs="Arial"/>
          <w:b/>
          <w:color w:val="auto"/>
          <w:sz w:val="24"/>
          <w:highlight w:val="none"/>
        </w:rPr>
        <w:t>本项目通过“政府采购云平台（</w:t>
      </w:r>
      <w:r>
        <w:rPr>
          <w:rFonts w:ascii="宋体" w:cs="Arial"/>
          <w:b/>
          <w:color w:val="auto"/>
          <w:sz w:val="24"/>
          <w:highlight w:val="none"/>
        </w:rPr>
        <w:t>www.</w:t>
      </w:r>
      <w:r>
        <w:rPr>
          <w:rFonts w:hint="eastAsia" w:ascii="宋体" w:cs="Arial"/>
          <w:b/>
          <w:color w:val="auto"/>
          <w:sz w:val="24"/>
          <w:highlight w:val="none"/>
        </w:rPr>
        <w:t>zcy</w:t>
      </w:r>
      <w:r>
        <w:rPr>
          <w:rFonts w:ascii="宋体" w:cs="Arial"/>
          <w:b/>
          <w:color w:val="auto"/>
          <w:sz w:val="24"/>
          <w:highlight w:val="none"/>
        </w:rPr>
        <w:t>gov.cn</w:t>
      </w:r>
      <w:r>
        <w:rPr>
          <w:rFonts w:hint="eastAsia" w:ascii="宋体" w:cs="Arial"/>
          <w:b/>
          <w:color w:val="auto"/>
          <w:sz w:val="24"/>
          <w:highlight w:val="none"/>
        </w:rPr>
        <w:t>）”实行在线投标响应（电子投标）。供应商应通过“政采云电子交易客户端”，并按照本招标文件和“政府采购云平台”的要求编制并加密投标文件。</w:t>
      </w:r>
    </w:p>
    <w:p w14:paraId="6666DC1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s="Arial"/>
          <w:b/>
          <w:color w:val="auto"/>
          <w:kern w:val="0"/>
          <w:sz w:val="24"/>
          <w:highlight w:val="none"/>
        </w:rPr>
      </w:pPr>
      <w:r>
        <w:rPr>
          <w:rFonts w:hint="eastAsia" w:ascii="宋体"/>
          <w:color w:val="auto"/>
          <w:kern w:val="0"/>
          <w:sz w:val="24"/>
          <w:highlight w:val="none"/>
        </w:rPr>
        <w:t>▲</w:t>
      </w:r>
      <w:r>
        <w:rPr>
          <w:rFonts w:hint="eastAsia" w:ascii="宋体" w:cs="Arial"/>
          <w:b/>
          <w:color w:val="auto"/>
          <w:kern w:val="0"/>
          <w:sz w:val="24"/>
          <w:highlight w:val="none"/>
        </w:rPr>
        <w:t>（2）投标供应商应当按照</w:t>
      </w:r>
      <w:r>
        <w:rPr>
          <w:rFonts w:ascii="宋体" w:cs="Arial"/>
          <w:b/>
          <w:color w:val="auto"/>
          <w:kern w:val="0"/>
          <w:sz w:val="24"/>
          <w:highlight w:val="none"/>
        </w:rPr>
        <w:t>本</w:t>
      </w:r>
      <w:r>
        <w:rPr>
          <w:rFonts w:hint="eastAsia" w:ascii="宋体" w:cs="Arial"/>
          <w:b/>
          <w:color w:val="auto"/>
          <w:kern w:val="0"/>
          <w:sz w:val="24"/>
          <w:highlight w:val="none"/>
        </w:rPr>
        <w:t>章节 “投标文件组成”规定的内容及顺序在“政采云电子交易客户端”编制投标文件。其中《资格证明文件》和《商务技术文件》中不得出现本项目投标报价，如因投标人原因提前泄露投标报价，是投标人的责任。</w:t>
      </w:r>
    </w:p>
    <w:p w14:paraId="4C966920">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sz w:val="24"/>
          <w:highlight w:val="none"/>
        </w:rPr>
      </w:pPr>
      <w:r>
        <w:rPr>
          <w:rFonts w:hint="eastAsia" w:ascii="宋体"/>
          <w:b/>
          <w:color w:val="auto"/>
          <w:sz w:val="24"/>
          <w:highlight w:val="none"/>
        </w:rPr>
        <w:t>（3）本文件《第六部分  应提交的有关格式范例》中有</w:t>
      </w:r>
      <w:r>
        <w:rPr>
          <w:rFonts w:ascii="宋体"/>
          <w:b/>
          <w:color w:val="auto"/>
          <w:sz w:val="24"/>
          <w:highlight w:val="none"/>
        </w:rPr>
        <w:t>提供格式的，投标</w:t>
      </w:r>
      <w:r>
        <w:rPr>
          <w:rFonts w:hint="eastAsia" w:ascii="宋体"/>
          <w:b/>
          <w:color w:val="auto"/>
          <w:sz w:val="24"/>
          <w:highlight w:val="none"/>
        </w:rPr>
        <w:t>供应商须参</w:t>
      </w:r>
      <w:r>
        <w:rPr>
          <w:rFonts w:ascii="宋体"/>
          <w:b/>
          <w:color w:val="auto"/>
          <w:sz w:val="24"/>
          <w:highlight w:val="none"/>
        </w:rPr>
        <w:t>照格式</w:t>
      </w:r>
      <w:r>
        <w:rPr>
          <w:rFonts w:hint="eastAsia" w:ascii="宋体"/>
          <w:b/>
          <w:color w:val="auto"/>
          <w:sz w:val="24"/>
          <w:highlight w:val="none"/>
        </w:rPr>
        <w:t>进行编制（格式中要求提供相关证明材料的还需后附相关证明材料），并按格式要求在指定位置根据要求进行电子签章，否则视为未提供；本文件《第六部分  应提交的有关格式范例》</w:t>
      </w:r>
      <w:r>
        <w:rPr>
          <w:rFonts w:ascii="宋体"/>
          <w:b/>
          <w:color w:val="auto"/>
          <w:sz w:val="24"/>
          <w:highlight w:val="none"/>
        </w:rPr>
        <w:t>未提供格式的，请各投标单位自行拟定格式</w:t>
      </w:r>
    </w:p>
    <w:p w14:paraId="495924C7">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sz w:val="24"/>
          <w:highlight w:val="none"/>
        </w:rPr>
      </w:pPr>
      <w:r>
        <w:rPr>
          <w:rFonts w:hint="eastAsia" w:ascii="宋体"/>
          <w:color w:val="auto"/>
          <w:sz w:val="24"/>
          <w:highlight w:val="none"/>
        </w:rPr>
        <w:t>（</w:t>
      </w:r>
      <w:r>
        <w:rPr>
          <w:rFonts w:ascii="宋体"/>
          <w:color w:val="auto"/>
          <w:sz w:val="24"/>
          <w:highlight w:val="none"/>
        </w:rPr>
        <w:t>4）投标人应对所提供的全部资料的真实性承担法律责任</w:t>
      </w:r>
      <w:r>
        <w:rPr>
          <w:rFonts w:hint="eastAsia" w:ascii="宋体"/>
          <w:color w:val="auto"/>
          <w:sz w:val="24"/>
          <w:highlight w:val="none"/>
        </w:rPr>
        <w:t>。</w:t>
      </w:r>
    </w:p>
    <w:p w14:paraId="38B5E367">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sz w:val="24"/>
          <w:highlight w:val="none"/>
        </w:rPr>
      </w:pPr>
      <w:r>
        <w:rPr>
          <w:rFonts w:hint="eastAsia" w:ascii="宋体"/>
          <w:color w:val="auto"/>
          <w:sz w:val="24"/>
          <w:highlight w:val="none"/>
        </w:rPr>
        <w:t>（</w:t>
      </w:r>
      <w:r>
        <w:rPr>
          <w:rFonts w:ascii="宋体"/>
          <w:color w:val="auto"/>
          <w:sz w:val="24"/>
          <w:highlight w:val="none"/>
        </w:rPr>
        <w:t>5</w:t>
      </w:r>
      <w:r>
        <w:rPr>
          <w:rFonts w:hint="eastAsia" w:ascii="宋体"/>
          <w:color w:val="auto"/>
          <w:sz w:val="24"/>
          <w:highlight w:val="none"/>
        </w:rPr>
        <w:t>）</w:t>
      </w:r>
      <w:r>
        <w:rPr>
          <w:rFonts w:ascii="宋体"/>
          <w:color w:val="auto"/>
          <w:sz w:val="24"/>
          <w:highlight w:val="none"/>
        </w:rPr>
        <w:t>投标文件以及投标人与</w:t>
      </w:r>
      <w:r>
        <w:rPr>
          <w:rFonts w:hint="eastAsia" w:ascii="宋体"/>
          <w:color w:val="auto"/>
          <w:sz w:val="24"/>
          <w:highlight w:val="none"/>
        </w:rPr>
        <w:t>采购组织机构</w:t>
      </w:r>
      <w:r>
        <w:rPr>
          <w:rFonts w:ascii="宋体"/>
          <w:color w:val="auto"/>
          <w:sz w:val="24"/>
          <w:highlight w:val="none"/>
        </w:rPr>
        <w:t>就有关投标事宜的所有来往函电，均应以中文汉语书写。</w:t>
      </w:r>
      <w:r>
        <w:rPr>
          <w:rFonts w:hint="eastAsia" w:ascii="宋体"/>
          <w:color w:val="auto"/>
          <w:kern w:val="0"/>
          <w:sz w:val="24"/>
          <w:highlight w:val="none"/>
        </w:rPr>
        <w:t>▲</w:t>
      </w:r>
      <w:r>
        <w:rPr>
          <w:rFonts w:ascii="宋体"/>
          <w:color w:val="auto"/>
          <w:sz w:val="24"/>
          <w:highlight w:val="none"/>
        </w:rPr>
        <w:t>除</w:t>
      </w:r>
      <w:r>
        <w:rPr>
          <w:rFonts w:hint="eastAsia" w:ascii="宋体"/>
          <w:color w:val="auto"/>
          <w:sz w:val="24"/>
          <w:highlight w:val="none"/>
        </w:rPr>
        <w:t>签字</w:t>
      </w:r>
      <w:r>
        <w:rPr>
          <w:rFonts w:ascii="宋体"/>
          <w:color w:val="auto"/>
          <w:sz w:val="24"/>
          <w:highlight w:val="none"/>
        </w:rPr>
        <w:t>、盖章、专用名称等特殊情形外，以中文汉语以外的文字表述的投标文件视同未提供。</w:t>
      </w:r>
    </w:p>
    <w:p w14:paraId="4D59E20B">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color w:val="auto"/>
          <w:sz w:val="24"/>
          <w:highlight w:val="none"/>
        </w:rPr>
      </w:pPr>
      <w:r>
        <w:rPr>
          <w:rFonts w:hint="eastAsia" w:ascii="宋体"/>
          <w:color w:val="auto"/>
          <w:sz w:val="24"/>
          <w:highlight w:val="none"/>
        </w:rPr>
        <w:t>（6</w:t>
      </w:r>
      <w:r>
        <w:rPr>
          <w:rFonts w:ascii="宋体"/>
          <w:color w:val="auto"/>
          <w:sz w:val="24"/>
          <w:highlight w:val="none"/>
        </w:rPr>
        <w:t>）投标计量单位，招标文件已有明确规定的，使用招标文件规定的计量单位；招标文件没有规定的，应采用中华人民共和国法定计量单位（货币单位：人民币元）。</w:t>
      </w:r>
    </w:p>
    <w:p w14:paraId="21F5BB81">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sz w:val="24"/>
          <w:highlight w:val="none"/>
        </w:rPr>
      </w:pPr>
      <w:r>
        <w:rPr>
          <w:rFonts w:hint="eastAsia" w:ascii="宋体"/>
          <w:color w:val="auto"/>
          <w:sz w:val="24"/>
          <w:highlight w:val="none"/>
        </w:rPr>
        <w:t>（7</w:t>
      </w:r>
      <w:r>
        <w:rPr>
          <w:rFonts w:ascii="宋体"/>
          <w:color w:val="auto"/>
          <w:sz w:val="24"/>
          <w:highlight w:val="none"/>
        </w:rPr>
        <w:t>）若投标人不按招标文件的要求提供资格审查材料，其风险由投标人自行承担。</w:t>
      </w:r>
    </w:p>
    <w:p w14:paraId="2E077547">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sz w:val="24"/>
          <w:highlight w:val="none"/>
        </w:rPr>
      </w:pPr>
      <w:r>
        <w:rPr>
          <w:rFonts w:hint="eastAsia" w:ascii="宋体"/>
          <w:color w:val="auto"/>
          <w:kern w:val="0"/>
          <w:sz w:val="24"/>
          <w:highlight w:val="none"/>
        </w:rPr>
        <w:t>（8</w:t>
      </w:r>
      <w:r>
        <w:rPr>
          <w:rFonts w:ascii="宋体"/>
          <w:color w:val="auto"/>
          <w:kern w:val="0"/>
          <w:sz w:val="24"/>
          <w:highlight w:val="none"/>
        </w:rPr>
        <w:t>）</w:t>
      </w:r>
      <w:r>
        <w:rPr>
          <w:rFonts w:hint="eastAsia" w:ascii="宋体"/>
          <w:color w:val="auto"/>
          <w:sz w:val="24"/>
          <w:highlight w:val="none"/>
        </w:rPr>
        <w:t>与本次投标无关的内容请不要制作在内，确保投标文件有针对性、简洁明了。</w:t>
      </w:r>
    </w:p>
    <w:p w14:paraId="111A9EB1">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ascii="宋体"/>
          <w:b/>
          <w:color w:val="auto"/>
          <w:kern w:val="0"/>
          <w:sz w:val="24"/>
          <w:highlight w:val="none"/>
        </w:rPr>
        <w:t>2、</w:t>
      </w:r>
      <w:r>
        <w:rPr>
          <w:rFonts w:hint="eastAsia" w:ascii="宋体"/>
          <w:b/>
          <w:color w:val="auto"/>
          <w:kern w:val="0"/>
          <w:sz w:val="24"/>
          <w:highlight w:val="none"/>
        </w:rPr>
        <w:t>投标文件的签章</w:t>
      </w:r>
    </w:p>
    <w:p w14:paraId="1A7D07B0">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color w:val="auto"/>
          <w:kern w:val="0"/>
          <w:sz w:val="24"/>
          <w:highlight w:val="none"/>
        </w:rPr>
      </w:pPr>
      <w:r>
        <w:rPr>
          <w:rFonts w:hint="eastAsia" w:ascii="宋体" w:cs="Arial"/>
          <w:b/>
          <w:color w:val="auto"/>
          <w:kern w:val="0"/>
          <w:sz w:val="24"/>
          <w:highlight w:val="none"/>
        </w:rPr>
        <w:t>（1）《</w:t>
      </w:r>
      <w:r>
        <w:rPr>
          <w:rFonts w:ascii="宋体" w:cs="Arial"/>
          <w:b/>
          <w:color w:val="auto"/>
          <w:kern w:val="0"/>
          <w:sz w:val="24"/>
          <w:highlight w:val="none"/>
        </w:rPr>
        <w:t>投标文件</w:t>
      </w:r>
      <w:r>
        <w:rPr>
          <w:rFonts w:hint="eastAsia" w:ascii="宋体" w:cs="Arial"/>
          <w:b/>
          <w:color w:val="auto"/>
          <w:kern w:val="0"/>
          <w:sz w:val="24"/>
          <w:highlight w:val="none"/>
        </w:rPr>
        <w:t>》的签章：</w:t>
      </w:r>
      <w:r>
        <w:rPr>
          <w:rFonts w:hint="eastAsia" w:ascii="宋体"/>
          <w:b/>
          <w:color w:val="auto"/>
          <w:sz w:val="24"/>
          <w:highlight w:val="none"/>
        </w:rPr>
        <w:t>见《前附表》；</w:t>
      </w:r>
    </w:p>
    <w:p w14:paraId="3BBEA566">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color w:val="auto"/>
          <w:kern w:val="0"/>
          <w:sz w:val="24"/>
          <w:highlight w:val="none"/>
        </w:rPr>
      </w:pPr>
      <w:r>
        <w:rPr>
          <w:rFonts w:hint="eastAsia" w:ascii="宋体" w:cs="宋体"/>
          <w:b/>
          <w:color w:val="auto"/>
          <w:sz w:val="24"/>
          <w:highlight w:val="none"/>
        </w:rPr>
        <w:t>▲</w:t>
      </w:r>
      <w:r>
        <w:rPr>
          <w:rFonts w:hint="eastAsia" w:ascii="宋体" w:cs="Arial"/>
          <w:b/>
          <w:color w:val="auto"/>
          <w:kern w:val="0"/>
          <w:sz w:val="24"/>
          <w:highlight w:val="none"/>
        </w:rPr>
        <w:t>（2）</w:t>
      </w:r>
      <w:r>
        <w:rPr>
          <w:rFonts w:hint="default" w:ascii="宋体" w:hAnsi="Times New Roman" w:eastAsia="宋体" w:cs="Arial"/>
          <w:b/>
          <w:color w:val="auto"/>
          <w:kern w:val="0"/>
          <w:sz w:val="24"/>
          <w:highlight w:val="none"/>
        </w:rPr>
        <w:t>《</w:t>
      </w:r>
      <w:r>
        <w:rPr>
          <w:rFonts w:hint="eastAsia" w:ascii="宋体" w:hAnsi="Times New Roman" w:eastAsia="宋体" w:cs="Arial"/>
          <w:b/>
          <w:color w:val="auto"/>
          <w:kern w:val="0"/>
          <w:sz w:val="24"/>
          <w:highlight w:val="none"/>
        </w:rPr>
        <w:t>投标文件</w:t>
      </w:r>
      <w:r>
        <w:rPr>
          <w:rFonts w:hint="default" w:ascii="宋体" w:hAnsi="Times New Roman" w:eastAsia="宋体" w:cs="Arial"/>
          <w:b/>
          <w:color w:val="auto"/>
          <w:kern w:val="0"/>
          <w:sz w:val="24"/>
          <w:highlight w:val="none"/>
        </w:rPr>
        <w:t>》</w:t>
      </w:r>
      <w:r>
        <w:rPr>
          <w:rFonts w:hint="default" w:ascii="宋体" w:hAnsi="Times New Roman" w:eastAsia="宋体" w:cs="Arial"/>
          <w:b/>
          <w:color w:val="auto"/>
          <w:kern w:val="0"/>
          <w:sz w:val="24"/>
          <w:szCs w:val="24"/>
          <w:highlight w:val="none"/>
          <w:lang w:val="zh-CN"/>
        </w:rPr>
        <w:t>中</w:t>
      </w:r>
      <w:r>
        <w:rPr>
          <w:rFonts w:hint="eastAsia" w:ascii="宋体" w:hAnsi="Times New Roman" w:eastAsia="宋体" w:cs="Arial"/>
          <w:b/>
          <w:color w:val="auto"/>
          <w:kern w:val="0"/>
          <w:sz w:val="24"/>
          <w:szCs w:val="24"/>
          <w:highlight w:val="none"/>
          <w:lang w:val="zh-CN"/>
        </w:rPr>
        <w:t>有要求盖章或签字的地方，必须加盖投标人的公章以及法定代表人或授权委托代理人盖章或签字。</w:t>
      </w:r>
    </w:p>
    <w:p w14:paraId="5F7ED0C2">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color w:val="auto"/>
          <w:sz w:val="24"/>
          <w:highlight w:val="none"/>
        </w:rPr>
      </w:pPr>
      <w:r>
        <w:rPr>
          <w:rFonts w:hint="eastAsia" w:ascii="宋体" w:cs="Arial"/>
          <w:b/>
          <w:color w:val="auto"/>
          <w:kern w:val="0"/>
          <w:sz w:val="24"/>
          <w:highlight w:val="none"/>
        </w:rPr>
        <w:t>（</w:t>
      </w:r>
      <w:r>
        <w:rPr>
          <w:rFonts w:ascii="宋体" w:cs="Arial"/>
          <w:b/>
          <w:color w:val="auto"/>
          <w:kern w:val="0"/>
          <w:sz w:val="24"/>
          <w:highlight w:val="none"/>
        </w:rPr>
        <w:t>3</w:t>
      </w:r>
      <w:r>
        <w:rPr>
          <w:rFonts w:hint="eastAsia" w:ascii="宋体" w:cs="Arial"/>
          <w:b/>
          <w:color w:val="auto"/>
          <w:kern w:val="0"/>
          <w:sz w:val="24"/>
          <w:highlight w:val="none"/>
        </w:rPr>
        <w:t>）电子签章操作指南详见</w:t>
      </w:r>
      <w:r>
        <w:rPr>
          <w:rFonts w:hint="eastAsia" w:ascii="宋体" w:cs="Arial"/>
          <w:b/>
          <w:color w:val="auto"/>
          <w:sz w:val="24"/>
          <w:highlight w:val="none"/>
        </w:rPr>
        <w:t>《供应商项目采购-电子招投标操作指南》</w:t>
      </w:r>
      <w:r>
        <w:rPr>
          <w:rFonts w:hint="eastAsia" w:ascii="宋体" w:cs="Arial"/>
          <w:color w:val="auto"/>
          <w:sz w:val="24"/>
          <w:highlight w:val="none"/>
        </w:rPr>
        <w:t>。</w:t>
      </w:r>
    </w:p>
    <w:p w14:paraId="56BEF06D">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3、投标文件的形式</w:t>
      </w:r>
    </w:p>
    <w:p w14:paraId="7E7ED595">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color w:val="auto"/>
          <w:sz w:val="24"/>
          <w:highlight w:val="none"/>
        </w:rPr>
      </w:pPr>
      <w:r>
        <w:rPr>
          <w:rFonts w:hint="eastAsia" w:ascii="宋体" w:cs="Arial"/>
          <w:b/>
          <w:color w:val="auto"/>
          <w:sz w:val="24"/>
          <w:highlight w:val="none"/>
        </w:rPr>
        <w:t>（1）投标文件的形式：</w:t>
      </w:r>
      <w:r>
        <w:rPr>
          <w:rFonts w:hint="eastAsia" w:ascii="宋体"/>
          <w:b/>
          <w:color w:val="auto"/>
          <w:sz w:val="24"/>
          <w:highlight w:val="none"/>
        </w:rPr>
        <w:t>见《前附表》；</w:t>
      </w:r>
    </w:p>
    <w:p w14:paraId="161692F9">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color w:val="auto"/>
          <w:sz w:val="24"/>
          <w:highlight w:val="none"/>
        </w:rPr>
      </w:pPr>
      <w:r>
        <w:rPr>
          <w:rFonts w:hint="eastAsia" w:ascii="宋体" w:cs="Arial"/>
          <w:b/>
          <w:color w:val="auto"/>
          <w:sz w:val="24"/>
          <w:highlight w:val="none"/>
        </w:rPr>
        <w:t>（2）“电子加密投标文件”：“电子加密投标文件”是指通过“政采云电子交易客户端”完成投标文件编制后生成并加密的数据电文形式的投标文件。</w:t>
      </w:r>
    </w:p>
    <w:p w14:paraId="2BE4299B">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color w:val="auto"/>
          <w:sz w:val="24"/>
          <w:highlight w:val="none"/>
        </w:rPr>
      </w:pPr>
      <w:r>
        <w:rPr>
          <w:rFonts w:hint="eastAsia" w:ascii="宋体" w:cs="Arial"/>
          <w:b/>
          <w:color w:val="auto"/>
          <w:sz w:val="24"/>
          <w:highlight w:val="none"/>
        </w:rPr>
        <w:t>（3）“备份投标文件”：“备份投标文件”是指与“电子加密投标文件”同时生成的数据电文形式的电子文件（备份标书），其他方式编制的“备份投标文件”视为无效的“备份投标文件”。</w:t>
      </w:r>
    </w:p>
    <w:p w14:paraId="4014A5BA">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4、投标文件的份数</w:t>
      </w:r>
    </w:p>
    <w:p w14:paraId="2BB6DD25">
      <w:pPr>
        <w:keepNext w:val="0"/>
        <w:keepLines w:val="0"/>
        <w:pageBreakBefore w:val="0"/>
        <w:tabs>
          <w:tab w:val="left" w:pos="1418"/>
        </w:tabs>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color w:val="auto"/>
          <w:kern w:val="0"/>
          <w:sz w:val="24"/>
          <w:highlight w:val="none"/>
        </w:rPr>
      </w:pPr>
      <w:r>
        <w:rPr>
          <w:rFonts w:hint="eastAsia" w:ascii="宋体" w:cs="Arial"/>
          <w:b/>
          <w:color w:val="auto"/>
          <w:sz w:val="24"/>
          <w:highlight w:val="none"/>
        </w:rPr>
        <w:t>4.1投标文件的份数：</w:t>
      </w:r>
      <w:r>
        <w:rPr>
          <w:rFonts w:hint="eastAsia" w:ascii="宋体"/>
          <w:b/>
          <w:color w:val="auto"/>
          <w:sz w:val="24"/>
          <w:highlight w:val="none"/>
        </w:rPr>
        <w:t>见《前附表》</w:t>
      </w:r>
      <w:r>
        <w:rPr>
          <w:rFonts w:hint="eastAsia" w:ascii="宋体" w:cs="Arial"/>
          <w:b/>
          <w:color w:val="auto"/>
          <w:sz w:val="24"/>
          <w:highlight w:val="none"/>
        </w:rPr>
        <w:t>。</w:t>
      </w:r>
    </w:p>
    <w:p w14:paraId="13FF2AC7">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b/>
          <w:color w:val="auto"/>
          <w:kern w:val="0"/>
          <w:sz w:val="24"/>
          <w:highlight w:val="none"/>
        </w:rPr>
      </w:pPr>
      <w:r>
        <w:rPr>
          <w:rFonts w:hint="eastAsia" w:ascii="宋体"/>
          <w:color w:val="auto"/>
          <w:kern w:val="0"/>
          <w:sz w:val="24"/>
          <w:highlight w:val="none"/>
        </w:rPr>
        <w:t>（三）投标文件的有效期</w:t>
      </w:r>
    </w:p>
    <w:p w14:paraId="641EEDF0">
      <w:pPr>
        <w:pStyle w:val="7"/>
        <w:keepNext w:val="0"/>
        <w:keepLines w:val="0"/>
        <w:pageBreakBefore w:val="0"/>
        <w:numPr>
          <w:ilvl w:val="0"/>
          <w:numId w:val="0"/>
        </w:numPr>
        <w:tabs>
          <w:tab w:val="left" w:pos="720"/>
          <w:tab w:val="left" w:pos="1200"/>
        </w:tabs>
        <w:kinsoku/>
        <w:wordWrap/>
        <w:overflowPunct/>
        <w:topLinePunct w:val="0"/>
        <w:bidi w:val="0"/>
        <w:adjustRightInd/>
        <w:snapToGrid/>
        <w:spacing w:line="360" w:lineRule="auto"/>
        <w:ind w:left="0" w:leftChars="0" w:right="0" w:rightChars="0" w:firstLine="482" w:firstLineChars="200"/>
        <w:textAlignment w:val="auto"/>
        <w:rPr>
          <w:rFonts w:ascii="宋体"/>
          <w:color w:val="auto"/>
          <w:sz w:val="24"/>
          <w:highlight w:val="none"/>
          <w:lang w:val="en-GB"/>
        </w:rPr>
      </w:pPr>
      <w:r>
        <w:rPr>
          <w:rFonts w:hint="eastAsia" w:ascii="宋体" w:cs="宋体"/>
          <w:b/>
          <w:color w:val="auto"/>
          <w:sz w:val="24"/>
          <w:highlight w:val="none"/>
        </w:rPr>
        <w:t>▲</w:t>
      </w:r>
      <w:r>
        <w:rPr>
          <w:rFonts w:hint="eastAsia" w:ascii="宋体"/>
          <w:color w:val="auto"/>
          <w:sz w:val="24"/>
          <w:highlight w:val="none"/>
          <w:lang w:val="en-GB"/>
        </w:rPr>
        <w:t>1、自投标截止日起90天投标文件应保持有效。有效期不足的投标文件将被拒绝。</w:t>
      </w:r>
    </w:p>
    <w:p w14:paraId="1848C58F">
      <w:pPr>
        <w:pStyle w:val="7"/>
        <w:keepNext w:val="0"/>
        <w:keepLines w:val="0"/>
        <w:pageBreakBefore w:val="0"/>
        <w:numPr>
          <w:ilvl w:val="0"/>
          <w:numId w:val="0"/>
        </w:numPr>
        <w:tabs>
          <w:tab w:val="left" w:pos="720"/>
          <w:tab w:val="left" w:pos="1200"/>
        </w:tabs>
        <w:kinsoku/>
        <w:wordWrap/>
        <w:overflowPunct/>
        <w:topLinePunct w:val="0"/>
        <w:bidi w:val="0"/>
        <w:adjustRightInd/>
        <w:snapToGrid/>
        <w:spacing w:line="360" w:lineRule="auto"/>
        <w:ind w:left="0" w:leftChars="0" w:right="0" w:rightChars="0" w:firstLine="480" w:firstLineChars="200"/>
        <w:textAlignment w:val="auto"/>
        <w:rPr>
          <w:rFonts w:ascii="宋体"/>
          <w:color w:val="auto"/>
          <w:sz w:val="24"/>
          <w:highlight w:val="none"/>
          <w:lang w:val="en-GB"/>
        </w:rPr>
      </w:pPr>
      <w:r>
        <w:rPr>
          <w:rFonts w:hint="eastAsia" w:ascii="宋体"/>
          <w:color w:val="auto"/>
          <w:sz w:val="24"/>
          <w:highlight w:val="none"/>
          <w:lang w:val="en-GB"/>
        </w:rPr>
        <w:t>2、在特殊情况下，采购人可与投标人协商延长投标文件的有效期，这种要求和答复均以书面形式进行。</w:t>
      </w:r>
    </w:p>
    <w:p w14:paraId="5DCC1280">
      <w:pPr>
        <w:pStyle w:val="7"/>
        <w:keepNext w:val="0"/>
        <w:keepLines w:val="0"/>
        <w:pageBreakBefore w:val="0"/>
        <w:numPr>
          <w:ilvl w:val="0"/>
          <w:numId w:val="0"/>
        </w:numPr>
        <w:tabs>
          <w:tab w:val="left" w:pos="720"/>
          <w:tab w:val="left" w:pos="1200"/>
        </w:tabs>
        <w:kinsoku/>
        <w:wordWrap/>
        <w:overflowPunct/>
        <w:topLinePunct w:val="0"/>
        <w:bidi w:val="0"/>
        <w:adjustRightInd/>
        <w:snapToGrid/>
        <w:spacing w:line="360" w:lineRule="auto"/>
        <w:ind w:left="0" w:leftChars="0" w:right="0" w:rightChars="0" w:firstLine="480" w:firstLineChars="200"/>
        <w:textAlignment w:val="auto"/>
        <w:rPr>
          <w:rFonts w:ascii="宋体"/>
          <w:b/>
          <w:color w:val="auto"/>
          <w:sz w:val="24"/>
          <w:highlight w:val="none"/>
        </w:rPr>
      </w:pPr>
      <w:r>
        <w:rPr>
          <w:rFonts w:hint="eastAsia" w:ascii="宋体"/>
          <w:color w:val="auto"/>
          <w:sz w:val="24"/>
          <w:highlight w:val="none"/>
        </w:rPr>
        <w:t>3.</w:t>
      </w:r>
      <w:r>
        <w:rPr>
          <w:rFonts w:hint="eastAsia" w:ascii="宋体"/>
          <w:color w:val="auto"/>
          <w:sz w:val="24"/>
          <w:highlight w:val="none"/>
          <w:lang w:val="en-GB"/>
        </w:rPr>
        <w:t>投标人可拒绝接受延期要求而不会导致投标保证金被没收。同意延长有效期的投标人需要相应延长投标</w:t>
      </w:r>
      <w:r>
        <w:rPr>
          <w:rFonts w:ascii="宋体"/>
          <w:color w:val="auto"/>
          <w:sz w:val="24"/>
          <w:highlight w:val="none"/>
        </w:rPr>
        <w:t>保证金的有效期，但不能修改投标文件。</w:t>
      </w:r>
    </w:p>
    <w:p w14:paraId="6B5B2057">
      <w:pPr>
        <w:pStyle w:val="7"/>
        <w:keepNext w:val="0"/>
        <w:keepLines w:val="0"/>
        <w:pageBreakBefore w:val="0"/>
        <w:numPr>
          <w:ilvl w:val="0"/>
          <w:numId w:val="0"/>
        </w:numPr>
        <w:tabs>
          <w:tab w:val="left" w:pos="720"/>
          <w:tab w:val="left" w:pos="1200"/>
        </w:tabs>
        <w:kinsoku/>
        <w:wordWrap/>
        <w:overflowPunct/>
        <w:topLinePunct w:val="0"/>
        <w:bidi w:val="0"/>
        <w:adjustRightInd/>
        <w:snapToGrid/>
        <w:spacing w:line="360" w:lineRule="auto"/>
        <w:ind w:left="0" w:leftChars="0" w:right="0" w:rightChars="0" w:firstLine="482" w:firstLineChars="200"/>
        <w:textAlignment w:val="auto"/>
        <w:rPr>
          <w:rFonts w:ascii="宋体"/>
          <w:b/>
          <w:color w:val="auto"/>
          <w:sz w:val="24"/>
          <w:highlight w:val="none"/>
        </w:rPr>
      </w:pPr>
      <w:r>
        <w:rPr>
          <w:rFonts w:hint="eastAsia" w:ascii="宋体" w:cs="宋体"/>
          <w:b/>
          <w:color w:val="auto"/>
          <w:sz w:val="24"/>
          <w:highlight w:val="none"/>
        </w:rPr>
        <w:t>▲</w:t>
      </w:r>
      <w:r>
        <w:rPr>
          <w:rFonts w:ascii="宋体"/>
          <w:color w:val="auto"/>
          <w:sz w:val="24"/>
          <w:highlight w:val="none"/>
          <w:lang w:val="en-GB"/>
        </w:rPr>
        <w:t>4</w:t>
      </w:r>
      <w:r>
        <w:rPr>
          <w:rFonts w:hint="eastAsia" w:ascii="宋体"/>
          <w:color w:val="auto"/>
          <w:sz w:val="24"/>
          <w:highlight w:val="none"/>
          <w:lang w:val="en-GB"/>
        </w:rPr>
        <w:t>.</w:t>
      </w:r>
      <w:r>
        <w:rPr>
          <w:rFonts w:ascii="宋体"/>
          <w:color w:val="auto"/>
          <w:sz w:val="24"/>
          <w:highlight w:val="none"/>
          <w:lang w:val="en-GB"/>
        </w:rPr>
        <w:t>中标人的投标文件自开标之日起至合同履行完毕均应保持有效。</w:t>
      </w:r>
    </w:p>
    <w:p w14:paraId="30E9A5CA">
      <w:pPr>
        <w:pStyle w:val="21"/>
        <w:keepNext w:val="0"/>
        <w:keepLines w:val="0"/>
        <w:pageBreakBefore w:val="0"/>
        <w:kinsoku/>
        <w:wordWrap/>
        <w:overflowPunct/>
        <w:topLinePunct w:val="0"/>
        <w:bidi w:val="0"/>
        <w:adjustRightInd/>
        <w:snapToGrid/>
        <w:spacing w:line="360" w:lineRule="auto"/>
        <w:ind w:right="0" w:rightChars="0"/>
        <w:textAlignment w:val="auto"/>
        <w:outlineLvl w:val="1"/>
        <w:rPr>
          <w:b/>
          <w:color w:val="auto"/>
          <w:sz w:val="24"/>
          <w:highlight w:val="none"/>
        </w:rPr>
      </w:pPr>
      <w:bookmarkStart w:id="15" w:name="_Toc26438693"/>
      <w:bookmarkStart w:id="16" w:name="_Toc68703359"/>
      <w:r>
        <w:rPr>
          <w:rFonts w:hint="eastAsia"/>
          <w:b/>
          <w:color w:val="auto"/>
          <w:sz w:val="24"/>
          <w:highlight w:val="none"/>
        </w:rPr>
        <w:t>四、</w:t>
      </w:r>
      <w:bookmarkEnd w:id="15"/>
      <w:bookmarkStart w:id="17" w:name="_Toc33194391"/>
      <w:bookmarkStart w:id="18" w:name="_Toc412730341"/>
      <w:bookmarkStart w:id="19" w:name="_Toc462229099"/>
      <w:r>
        <w:rPr>
          <w:rFonts w:hint="eastAsia"/>
          <w:b/>
          <w:color w:val="auto"/>
          <w:sz w:val="24"/>
          <w:highlight w:val="none"/>
        </w:rPr>
        <w:t>投标</w:t>
      </w:r>
      <w:bookmarkEnd w:id="16"/>
      <w:bookmarkEnd w:id="17"/>
      <w:bookmarkEnd w:id="18"/>
      <w:bookmarkEnd w:id="19"/>
    </w:p>
    <w:p w14:paraId="56AF78F3">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（一）投标文件的上传和递交</w:t>
      </w:r>
    </w:p>
    <w:p w14:paraId="3647CDCC">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b/>
          <w:color w:val="auto"/>
          <w:sz w:val="24"/>
          <w:highlight w:val="none"/>
        </w:rPr>
      </w:pPr>
      <w:r>
        <w:rPr>
          <w:rFonts w:ascii="宋体" w:cs="Arial"/>
          <w:b/>
          <w:color w:val="auto"/>
          <w:kern w:val="0"/>
          <w:sz w:val="24"/>
          <w:highlight w:val="none"/>
        </w:rPr>
        <w:t>1</w:t>
      </w:r>
      <w:r>
        <w:rPr>
          <w:rFonts w:hint="eastAsia" w:ascii="宋体" w:cs="Arial"/>
          <w:b/>
          <w:color w:val="auto"/>
          <w:kern w:val="0"/>
          <w:sz w:val="24"/>
          <w:highlight w:val="none"/>
        </w:rPr>
        <w:t>.1“投标文件”的上传、递交：</w:t>
      </w:r>
      <w:r>
        <w:rPr>
          <w:rFonts w:hint="eastAsia" w:ascii="宋体"/>
          <w:b/>
          <w:color w:val="auto"/>
          <w:sz w:val="24"/>
          <w:highlight w:val="none"/>
        </w:rPr>
        <w:t>见《前附表》。</w:t>
      </w:r>
    </w:p>
    <w:p w14:paraId="73901212">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（二）“电子加密投标文件”解密和异常情况处理</w:t>
      </w:r>
    </w:p>
    <w:p w14:paraId="3749D9BB">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olor w:val="auto"/>
          <w:sz w:val="24"/>
          <w:highlight w:val="none"/>
        </w:rPr>
      </w:pPr>
      <w:r>
        <w:rPr>
          <w:rFonts w:ascii="宋体" w:cs="Arial"/>
          <w:b/>
          <w:color w:val="auto"/>
          <w:kern w:val="0"/>
          <w:sz w:val="24"/>
          <w:highlight w:val="none"/>
        </w:rPr>
        <w:t>2</w:t>
      </w:r>
      <w:r>
        <w:rPr>
          <w:rFonts w:hint="eastAsia" w:ascii="宋体" w:cs="Arial"/>
          <w:b/>
          <w:color w:val="auto"/>
          <w:kern w:val="0"/>
          <w:sz w:val="24"/>
          <w:highlight w:val="none"/>
        </w:rPr>
        <w:t>.1“电子加密投标文件”解密：</w:t>
      </w:r>
      <w:r>
        <w:rPr>
          <w:rFonts w:hint="eastAsia" w:ascii="宋体"/>
          <w:b/>
          <w:color w:val="auto"/>
          <w:sz w:val="24"/>
          <w:highlight w:val="none"/>
        </w:rPr>
        <w:t>见《前附表》。</w:t>
      </w:r>
    </w:p>
    <w:p w14:paraId="1950D5A4">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（三）投标文件的补充、修改或撤回</w:t>
      </w:r>
    </w:p>
    <w:p w14:paraId="76BE3A02">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s="Arial"/>
          <w:color w:val="auto"/>
          <w:kern w:val="0"/>
          <w:sz w:val="24"/>
          <w:highlight w:val="none"/>
        </w:rPr>
      </w:pPr>
      <w:r>
        <w:rPr>
          <w:rFonts w:hint="eastAsia" w:ascii="宋体"/>
          <w:color w:val="auto"/>
          <w:kern w:val="0"/>
          <w:sz w:val="24"/>
          <w:highlight w:val="none"/>
        </w:rPr>
        <w:t>▲</w:t>
      </w:r>
      <w:r>
        <w:rPr>
          <w:rFonts w:ascii="宋体" w:cs="Arial"/>
          <w:b/>
          <w:color w:val="auto"/>
          <w:kern w:val="0"/>
          <w:sz w:val="24"/>
          <w:highlight w:val="none"/>
        </w:rPr>
        <w:t>3</w:t>
      </w:r>
      <w:r>
        <w:rPr>
          <w:rFonts w:hint="eastAsia" w:ascii="宋体" w:cs="Arial"/>
          <w:b/>
          <w:color w:val="auto"/>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2816FE2">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color w:val="auto"/>
          <w:kern w:val="0"/>
          <w:sz w:val="24"/>
          <w:highlight w:val="none"/>
        </w:rPr>
      </w:pPr>
      <w:r>
        <w:rPr>
          <w:rFonts w:ascii="宋体" w:cs="Arial"/>
          <w:b/>
          <w:color w:val="auto"/>
          <w:kern w:val="0"/>
          <w:sz w:val="24"/>
          <w:highlight w:val="none"/>
        </w:rPr>
        <w:t>3</w:t>
      </w:r>
      <w:r>
        <w:rPr>
          <w:rFonts w:hint="eastAsia" w:ascii="宋体" w:cs="Arial"/>
          <w:b/>
          <w:color w:val="auto"/>
          <w:kern w:val="0"/>
          <w:sz w:val="24"/>
          <w:highlight w:val="none"/>
        </w:rPr>
        <w:t>.2</w:t>
      </w:r>
      <w:r>
        <w:rPr>
          <w:rFonts w:ascii="宋体" w:cs="Arial"/>
          <w:b/>
          <w:color w:val="auto"/>
          <w:kern w:val="0"/>
          <w:sz w:val="24"/>
          <w:highlight w:val="none"/>
        </w:rPr>
        <w:t>投标截止时间后，投标供应商不得撤回、修改《投标文件》</w:t>
      </w:r>
      <w:r>
        <w:rPr>
          <w:rFonts w:hint="eastAsia" w:ascii="宋体" w:cs="Arial"/>
          <w:b/>
          <w:color w:val="auto"/>
          <w:kern w:val="0"/>
          <w:sz w:val="24"/>
          <w:highlight w:val="none"/>
        </w:rPr>
        <w:t>。</w:t>
      </w:r>
    </w:p>
    <w:p w14:paraId="03486936">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（四）投标文件的备选方案</w:t>
      </w:r>
    </w:p>
    <w:p w14:paraId="096750A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b/>
          <w:color w:val="auto"/>
          <w:sz w:val="24"/>
          <w:highlight w:val="none"/>
        </w:rPr>
      </w:pPr>
      <w:r>
        <w:rPr>
          <w:rFonts w:hint="eastAsia" w:ascii="宋体"/>
          <w:color w:val="auto"/>
          <w:kern w:val="0"/>
          <w:sz w:val="24"/>
          <w:highlight w:val="none"/>
        </w:rPr>
        <w:t>▲</w:t>
      </w:r>
      <w:r>
        <w:rPr>
          <w:rFonts w:ascii="宋体"/>
          <w:b/>
          <w:color w:val="auto"/>
          <w:sz w:val="24"/>
          <w:highlight w:val="none"/>
        </w:rPr>
        <w:t>4.1</w:t>
      </w:r>
      <w:r>
        <w:rPr>
          <w:rFonts w:hint="eastAsia" w:ascii="宋体"/>
          <w:b/>
          <w:color w:val="auto"/>
          <w:sz w:val="24"/>
          <w:highlight w:val="none"/>
        </w:rPr>
        <w:t>投标供应商不得递交任何的</w:t>
      </w:r>
      <w:r>
        <w:rPr>
          <w:rFonts w:ascii="宋体" w:cs="Arial"/>
          <w:b/>
          <w:color w:val="auto"/>
          <w:kern w:val="0"/>
          <w:sz w:val="24"/>
          <w:highlight w:val="none"/>
        </w:rPr>
        <w:t>投标备选（替代）方案</w:t>
      </w:r>
      <w:r>
        <w:rPr>
          <w:rFonts w:hint="eastAsia" w:ascii="宋体"/>
          <w:b/>
          <w:color w:val="auto"/>
          <w:sz w:val="24"/>
          <w:highlight w:val="none"/>
        </w:rPr>
        <w:t>，否则其投标文件将作无效标处理。与“电子加密投标文件”同时生成的“备份投标文件”不是投标备选（替代）方案。</w:t>
      </w:r>
      <w:bookmarkStart w:id="20" w:name="_Toc26438694"/>
    </w:p>
    <w:p w14:paraId="767279A2">
      <w:pPr>
        <w:pStyle w:val="21"/>
        <w:keepNext w:val="0"/>
        <w:keepLines w:val="0"/>
        <w:pageBreakBefore w:val="0"/>
        <w:kinsoku/>
        <w:wordWrap/>
        <w:overflowPunct/>
        <w:topLinePunct w:val="0"/>
        <w:bidi w:val="0"/>
        <w:adjustRightInd/>
        <w:snapToGrid/>
        <w:spacing w:line="360" w:lineRule="auto"/>
        <w:ind w:right="0" w:rightChars="0"/>
        <w:textAlignment w:val="auto"/>
        <w:outlineLvl w:val="1"/>
        <w:rPr>
          <w:b/>
          <w:color w:val="auto"/>
          <w:sz w:val="24"/>
          <w:highlight w:val="none"/>
        </w:rPr>
      </w:pPr>
      <w:bookmarkStart w:id="21" w:name="_Toc68703360"/>
      <w:r>
        <w:rPr>
          <w:rFonts w:hint="eastAsia"/>
          <w:b/>
          <w:color w:val="auto"/>
          <w:sz w:val="24"/>
          <w:highlight w:val="none"/>
        </w:rPr>
        <w:t>五、开标</w:t>
      </w:r>
      <w:bookmarkEnd w:id="20"/>
      <w:bookmarkEnd w:id="21"/>
    </w:p>
    <w:p w14:paraId="50CB703D">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（一）开标形式</w:t>
      </w:r>
    </w:p>
    <w:p w14:paraId="3BF63562">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b/>
          <w:color w:val="auto"/>
          <w:sz w:val="24"/>
          <w:highlight w:val="none"/>
        </w:rPr>
      </w:pPr>
      <w:r>
        <w:rPr>
          <w:rFonts w:hint="eastAsia" w:ascii="宋体"/>
          <w:b/>
          <w:color w:val="auto"/>
          <w:sz w:val="24"/>
          <w:highlight w:val="none"/>
        </w:rPr>
        <w:t>1.1 采购组织机构将按照招标文件规定的时间通过“政府采购云平台”组织开标、开启投标文件，所有供应商均应当准时在线参加。</w:t>
      </w:r>
    </w:p>
    <w:p w14:paraId="4BCC0CF5">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（二）</w:t>
      </w:r>
      <w:r>
        <w:rPr>
          <w:rFonts w:ascii="宋体"/>
          <w:b/>
          <w:color w:val="auto"/>
          <w:kern w:val="0"/>
          <w:sz w:val="24"/>
          <w:highlight w:val="none"/>
        </w:rPr>
        <w:t>开标准备</w:t>
      </w:r>
    </w:p>
    <w:p w14:paraId="0FFF5C4D">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b/>
          <w:color w:val="auto"/>
          <w:sz w:val="24"/>
          <w:highlight w:val="none"/>
        </w:rPr>
      </w:pPr>
      <w:r>
        <w:rPr>
          <w:rFonts w:ascii="宋体"/>
          <w:b/>
          <w:color w:val="auto"/>
          <w:sz w:val="24"/>
          <w:highlight w:val="none"/>
        </w:rPr>
        <w:t>2</w:t>
      </w:r>
      <w:r>
        <w:rPr>
          <w:rFonts w:hint="eastAsia" w:ascii="宋体"/>
          <w:b/>
          <w:color w:val="auto"/>
          <w:sz w:val="24"/>
          <w:highlight w:val="none"/>
        </w:rPr>
        <w:t>.1开标的准备工作由采购组织机构负责落实；</w:t>
      </w:r>
    </w:p>
    <w:p w14:paraId="5BB4E7CC">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color w:val="auto"/>
          <w:kern w:val="0"/>
          <w:sz w:val="24"/>
          <w:highlight w:val="none"/>
        </w:rPr>
      </w:pPr>
      <w:r>
        <w:rPr>
          <w:rFonts w:ascii="宋体"/>
          <w:b/>
          <w:color w:val="auto"/>
          <w:sz w:val="24"/>
          <w:highlight w:val="none"/>
        </w:rPr>
        <w:t>2</w:t>
      </w:r>
      <w:r>
        <w:rPr>
          <w:rFonts w:hint="eastAsia" w:ascii="宋体"/>
          <w:b/>
          <w:color w:val="auto"/>
          <w:sz w:val="24"/>
          <w:highlight w:val="none"/>
        </w:rPr>
        <w:t>.2采购组织机构将按照招标文件规定的时间通过“政府采购云平台”组织开标、开启投标文件，所有供应商均应当准时在线参加。</w:t>
      </w:r>
      <w:r>
        <w:rPr>
          <w:rFonts w:hint="eastAsia" w:ascii="宋体" w:cs="Arial"/>
          <w:b/>
          <w:color w:val="auto"/>
          <w:kern w:val="0"/>
          <w:sz w:val="24"/>
          <w:highlight w:val="none"/>
        </w:rPr>
        <w:t>投标供应商</w:t>
      </w:r>
      <w:r>
        <w:rPr>
          <w:rFonts w:ascii="宋体" w:cs="Arial"/>
          <w:b/>
          <w:color w:val="auto"/>
          <w:kern w:val="0"/>
          <w:sz w:val="24"/>
          <w:highlight w:val="none"/>
        </w:rPr>
        <w:t>如不</w:t>
      </w:r>
      <w:r>
        <w:rPr>
          <w:rFonts w:hint="eastAsia" w:ascii="宋体" w:cs="Arial"/>
          <w:b/>
          <w:color w:val="auto"/>
          <w:kern w:val="0"/>
          <w:sz w:val="24"/>
          <w:highlight w:val="none"/>
        </w:rPr>
        <w:t>参加</w:t>
      </w:r>
      <w:r>
        <w:rPr>
          <w:rFonts w:ascii="宋体" w:cs="Arial"/>
          <w:b/>
          <w:color w:val="auto"/>
          <w:kern w:val="0"/>
          <w:sz w:val="24"/>
          <w:highlight w:val="none"/>
        </w:rPr>
        <w:t>开标大会的，</w:t>
      </w:r>
      <w:r>
        <w:rPr>
          <w:rFonts w:hint="eastAsia" w:ascii="宋体" w:cs="Arial"/>
          <w:b/>
          <w:color w:val="auto"/>
          <w:kern w:val="0"/>
          <w:sz w:val="24"/>
          <w:highlight w:val="none"/>
        </w:rPr>
        <w:t>视同认可开标结果，</w:t>
      </w:r>
      <w:r>
        <w:rPr>
          <w:rFonts w:ascii="宋体" w:cs="Arial"/>
          <w:b/>
          <w:color w:val="auto"/>
          <w:kern w:val="0"/>
          <w:sz w:val="24"/>
          <w:highlight w:val="none"/>
        </w:rPr>
        <w:t>事后不得对采购相关人员、开标过程和开标结果提出异议</w:t>
      </w:r>
      <w:r>
        <w:rPr>
          <w:rFonts w:hint="eastAsia" w:ascii="宋体" w:cs="Arial"/>
          <w:b/>
          <w:color w:val="auto"/>
          <w:kern w:val="0"/>
          <w:sz w:val="24"/>
          <w:highlight w:val="none"/>
        </w:rPr>
        <w:t>，同时投标供应商因未在线参加开标而导致投标文件无法按时解密等一切后果由供应商自己承担。</w:t>
      </w:r>
    </w:p>
    <w:p w14:paraId="1B51F082">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（三）</w:t>
      </w:r>
      <w:r>
        <w:rPr>
          <w:rFonts w:ascii="宋体"/>
          <w:b/>
          <w:color w:val="auto"/>
          <w:kern w:val="0"/>
          <w:sz w:val="24"/>
          <w:highlight w:val="none"/>
        </w:rPr>
        <w:t>开标</w:t>
      </w:r>
      <w:r>
        <w:rPr>
          <w:rFonts w:hint="eastAsia" w:ascii="宋体"/>
          <w:b/>
          <w:color w:val="auto"/>
          <w:kern w:val="0"/>
          <w:sz w:val="24"/>
          <w:highlight w:val="none"/>
        </w:rPr>
        <w:t>流程（两阶段）</w:t>
      </w:r>
    </w:p>
    <w:p w14:paraId="5943C734">
      <w:pPr>
        <w:keepNext w:val="0"/>
        <w:keepLines w:val="0"/>
        <w:pageBreakBefore w:val="0"/>
        <w:kinsoku/>
        <w:wordWrap/>
        <w:overflowPunct/>
        <w:topLinePunct w:val="0"/>
        <w:bidi w:val="0"/>
        <w:adjustRightInd/>
        <w:snapToGrid/>
        <w:spacing w:line="360" w:lineRule="auto"/>
        <w:ind w:left="0" w:leftChars="0" w:right="0" w:rightChars="0" w:firstLine="482" w:firstLineChars="200"/>
        <w:jc w:val="left"/>
        <w:textAlignment w:val="auto"/>
        <w:rPr>
          <w:rFonts w:ascii="宋体" w:cs="Arial"/>
          <w:b/>
          <w:color w:val="auto"/>
          <w:kern w:val="0"/>
          <w:sz w:val="24"/>
          <w:highlight w:val="none"/>
        </w:rPr>
      </w:pPr>
      <w:r>
        <w:rPr>
          <w:rFonts w:hint="eastAsia" w:ascii="宋体" w:cs="Arial"/>
          <w:b/>
          <w:color w:val="auto"/>
          <w:kern w:val="0"/>
          <w:sz w:val="24"/>
          <w:highlight w:val="none"/>
        </w:rPr>
        <w:t>3.1开标第一阶段</w:t>
      </w:r>
    </w:p>
    <w:p w14:paraId="13B88F4B">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cs="Arial"/>
          <w:color w:val="auto"/>
          <w:kern w:val="0"/>
          <w:sz w:val="24"/>
          <w:highlight w:val="none"/>
        </w:rPr>
      </w:pPr>
      <w:r>
        <w:rPr>
          <w:rFonts w:hint="eastAsia" w:ascii="宋体" w:cs="Arial"/>
          <w:color w:val="auto"/>
          <w:kern w:val="0"/>
          <w:sz w:val="24"/>
          <w:highlight w:val="none"/>
        </w:rPr>
        <w:t>（</w:t>
      </w:r>
      <w:r>
        <w:rPr>
          <w:rFonts w:ascii="宋体" w:cs="Arial"/>
          <w:color w:val="auto"/>
          <w:kern w:val="0"/>
          <w:sz w:val="24"/>
          <w:highlight w:val="none"/>
        </w:rPr>
        <w:t>1</w:t>
      </w:r>
      <w:r>
        <w:rPr>
          <w:rFonts w:hint="eastAsia" w:asci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FCDCB41">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rPr>
          <w:rFonts w:hint="eastAsia" w:ascii="宋体" w:hAnsi="宋体" w:cs="宋体"/>
          <w:b/>
          <w:bCs/>
          <w:color w:val="auto"/>
          <w:kern w:val="2"/>
          <w:sz w:val="24"/>
          <w:highlight w:val="none"/>
        </w:rPr>
      </w:pPr>
      <w:r>
        <w:rPr>
          <w:rFonts w:hint="default" w:ascii="宋体" w:hAnsi="宋体" w:cs="宋体"/>
          <w:b/>
          <w:bCs/>
          <w:color w:val="auto"/>
          <w:kern w:val="2"/>
          <w:sz w:val="24"/>
          <w:highlight w:val="none"/>
          <w:lang w:eastAsia="zh-CN"/>
        </w:rPr>
        <w:t>（</w:t>
      </w:r>
      <w:r>
        <w:rPr>
          <w:rFonts w:hint="default" w:ascii="宋体" w:hAnsi="宋体" w:cs="宋体"/>
          <w:b/>
          <w:bCs/>
          <w:color w:val="auto"/>
          <w:kern w:val="2"/>
          <w:sz w:val="24"/>
          <w:highlight w:val="none"/>
          <w:lang w:val="en-US" w:eastAsia="zh-CN"/>
        </w:rPr>
        <w:t>2</w:t>
      </w:r>
      <w:r>
        <w:rPr>
          <w:rFonts w:hint="default" w:ascii="宋体" w:hAnsi="宋体" w:cs="宋体"/>
          <w:b/>
          <w:bCs/>
          <w:color w:val="auto"/>
          <w:kern w:val="2"/>
          <w:sz w:val="24"/>
          <w:highlight w:val="none"/>
          <w:lang w:eastAsia="zh-CN"/>
        </w:rPr>
        <w:t>）</w:t>
      </w:r>
      <w:r>
        <w:rPr>
          <w:rFonts w:hint="eastAsia" w:ascii="宋体" w:hAnsi="宋体" w:cs="宋体"/>
          <w:b/>
          <w:bCs/>
          <w:color w:val="auto"/>
          <w:kern w:val="2"/>
          <w:sz w:val="24"/>
          <w:highlight w:val="none"/>
          <w:lang w:eastAsia="zh-CN"/>
        </w:rPr>
        <w:t>采购</w:t>
      </w:r>
      <w:r>
        <w:rPr>
          <w:rFonts w:hint="default" w:ascii="宋体" w:hAnsi="宋体" w:cs="宋体"/>
          <w:b/>
          <w:bCs/>
          <w:color w:val="auto"/>
          <w:kern w:val="2"/>
          <w:sz w:val="24"/>
          <w:highlight w:val="none"/>
        </w:rPr>
        <w:t>文件解密结束，投标人通过电子邮件形式将经授权代表签署的《政府采购活动现场确认声明书》（格式见采购文件最后一页内容）的扫描件或（图片）发至采购代理机构邮箱：</w:t>
      </w:r>
      <w:r>
        <w:rPr>
          <w:rFonts w:hint="eastAsia" w:ascii="宋体" w:hAnsi="宋体" w:cs="宋体"/>
          <w:b/>
          <w:bCs/>
          <w:color w:val="auto"/>
          <w:kern w:val="2"/>
          <w:sz w:val="24"/>
          <w:highlight w:val="none"/>
          <w:lang w:val="en-US" w:eastAsia="zh-CN"/>
        </w:rPr>
        <w:t>234908526</w:t>
      </w:r>
      <w:r>
        <w:rPr>
          <w:rFonts w:hint="eastAsia" w:ascii="宋体" w:hAnsi="宋体" w:cs="宋体"/>
          <w:b/>
          <w:bCs/>
          <w:color w:val="auto"/>
          <w:kern w:val="2"/>
          <w:sz w:val="24"/>
          <w:highlight w:val="none"/>
          <w:lang w:eastAsia="zh-CN"/>
        </w:rPr>
        <w:t>@qq.com</w:t>
      </w:r>
      <w:r>
        <w:rPr>
          <w:rFonts w:hint="default" w:ascii="宋体" w:hAnsi="宋体" w:cs="宋体"/>
          <w:b/>
          <w:bCs/>
          <w:color w:val="auto"/>
          <w:kern w:val="2"/>
          <w:sz w:val="24"/>
          <w:highlight w:val="none"/>
        </w:rPr>
        <w:t>，如没有发送的，视为对采购代理机构和采购人之间、投标人与其</w:t>
      </w:r>
      <w:r>
        <w:rPr>
          <w:rFonts w:hint="eastAsia" w:ascii="宋体" w:hAnsi="宋体" w:cs="宋体"/>
          <w:b/>
          <w:bCs/>
          <w:color w:val="auto"/>
          <w:kern w:val="2"/>
          <w:sz w:val="24"/>
          <w:highlight w:val="none"/>
        </w:rPr>
        <w:t>他供应商均不存在利害关系</w:t>
      </w:r>
    </w:p>
    <w:p w14:paraId="1A1B28AA">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cs="Arial"/>
          <w:color w:val="auto"/>
          <w:kern w:val="0"/>
          <w:sz w:val="24"/>
          <w:highlight w:val="none"/>
        </w:rPr>
      </w:pPr>
      <w:r>
        <w:rPr>
          <w:rFonts w:hint="eastAsia" w:ascii="宋体" w:cs="Arial"/>
          <w:color w:val="auto"/>
          <w:kern w:val="0"/>
          <w:sz w:val="24"/>
          <w:highlight w:val="none"/>
        </w:rPr>
        <w:t>（</w:t>
      </w:r>
      <w:r>
        <w:rPr>
          <w:rFonts w:ascii="宋体" w:cs="Arial"/>
          <w:color w:val="auto"/>
          <w:kern w:val="0"/>
          <w:sz w:val="24"/>
          <w:highlight w:val="none"/>
        </w:rPr>
        <w:t>3</w:t>
      </w:r>
      <w:r>
        <w:rPr>
          <w:rFonts w:hint="eastAsia" w:ascii="宋体" w:cs="Arial"/>
          <w:color w:val="auto"/>
          <w:kern w:val="0"/>
          <w:sz w:val="24"/>
          <w:highlight w:val="none"/>
        </w:rPr>
        <w:t>）开启投标文件，</w:t>
      </w:r>
      <w:r>
        <w:rPr>
          <w:rFonts w:hint="eastAsia" w:ascii="宋体" w:cs="Arial"/>
          <w:b/>
          <w:color w:val="auto"/>
          <w:kern w:val="0"/>
          <w:sz w:val="24"/>
          <w:highlight w:val="none"/>
        </w:rPr>
        <w:t>采购人或采购代理机构将依法对投标供应商的资格进行审查</w:t>
      </w:r>
      <w:r>
        <w:rPr>
          <w:rFonts w:hint="eastAsia" w:ascii="宋体" w:cs="Arial"/>
          <w:color w:val="auto"/>
          <w:kern w:val="0"/>
          <w:sz w:val="24"/>
          <w:highlight w:val="none"/>
        </w:rPr>
        <w:t>；</w:t>
      </w:r>
      <w:r>
        <w:rPr>
          <w:rFonts w:ascii="宋体"/>
          <w:color w:val="auto"/>
          <w:sz w:val="24"/>
          <w:highlight w:val="none"/>
        </w:rPr>
        <w:t>如发现投标</w:t>
      </w:r>
      <w:r>
        <w:rPr>
          <w:rFonts w:hint="eastAsia" w:ascii="宋体"/>
          <w:color w:val="auto"/>
          <w:sz w:val="24"/>
          <w:highlight w:val="none"/>
        </w:rPr>
        <w:t>供应商</w:t>
      </w:r>
      <w:r>
        <w:rPr>
          <w:rFonts w:ascii="宋体"/>
          <w:color w:val="auto"/>
          <w:sz w:val="24"/>
          <w:highlight w:val="none"/>
        </w:rPr>
        <w:t>所提</w:t>
      </w:r>
      <w:r>
        <w:rPr>
          <w:rFonts w:hint="eastAsia" w:ascii="宋体"/>
          <w:color w:val="auto"/>
          <w:sz w:val="24"/>
          <w:highlight w:val="none"/>
        </w:rPr>
        <w:t>交</w:t>
      </w:r>
      <w:r>
        <w:rPr>
          <w:rFonts w:ascii="宋体"/>
          <w:color w:val="auto"/>
          <w:sz w:val="24"/>
          <w:highlight w:val="none"/>
        </w:rPr>
        <w:t>的资格证明材料不合法或</w:t>
      </w:r>
      <w:r>
        <w:rPr>
          <w:rFonts w:hint="eastAsia" w:ascii="宋体"/>
          <w:color w:val="auto"/>
          <w:sz w:val="24"/>
          <w:highlight w:val="none"/>
        </w:rPr>
        <w:t>与事实不符</w:t>
      </w:r>
      <w:r>
        <w:rPr>
          <w:rFonts w:ascii="宋体"/>
          <w:color w:val="auto"/>
          <w:sz w:val="24"/>
          <w:highlight w:val="none"/>
        </w:rPr>
        <w:t>，采购人可取消</w:t>
      </w:r>
      <w:r>
        <w:rPr>
          <w:rFonts w:hint="eastAsia" w:ascii="宋体"/>
          <w:color w:val="auto"/>
          <w:sz w:val="24"/>
          <w:highlight w:val="none"/>
        </w:rPr>
        <w:t>其</w:t>
      </w:r>
      <w:r>
        <w:rPr>
          <w:rFonts w:ascii="宋体"/>
          <w:color w:val="auto"/>
          <w:sz w:val="24"/>
          <w:highlight w:val="none"/>
        </w:rPr>
        <w:t>中标资格并追究投标</w:t>
      </w:r>
      <w:r>
        <w:rPr>
          <w:rFonts w:hint="eastAsia" w:ascii="宋体"/>
          <w:color w:val="auto"/>
          <w:sz w:val="24"/>
          <w:highlight w:val="none"/>
        </w:rPr>
        <w:t>供应商</w:t>
      </w:r>
      <w:r>
        <w:rPr>
          <w:rFonts w:ascii="宋体"/>
          <w:color w:val="auto"/>
          <w:sz w:val="24"/>
          <w:highlight w:val="none"/>
        </w:rPr>
        <w:t>的法律责任。</w:t>
      </w:r>
      <w:r>
        <w:rPr>
          <w:rFonts w:hint="eastAsia" w:ascii="宋体"/>
          <w:b/>
          <w:color w:val="auto"/>
          <w:sz w:val="24"/>
          <w:highlight w:val="none"/>
        </w:rPr>
        <w:t>如投标供应商提交的资格证明材料无法证明其符合招标文件规定的“投标供应商资格要求”的，评标委员会</w:t>
      </w:r>
      <w:r>
        <w:rPr>
          <w:rFonts w:hint="eastAsia" w:ascii="宋体" w:cs="Arial"/>
          <w:b/>
          <w:color w:val="auto"/>
          <w:kern w:val="0"/>
          <w:sz w:val="24"/>
          <w:highlight w:val="none"/>
        </w:rPr>
        <w:t>将对其作资格审查不通过处理（无效投标），并不进行后续评审</w:t>
      </w:r>
      <w:r>
        <w:rPr>
          <w:rFonts w:hint="eastAsia" w:ascii="宋体" w:cs="Arial"/>
          <w:color w:val="auto"/>
          <w:kern w:val="0"/>
          <w:sz w:val="24"/>
          <w:highlight w:val="none"/>
        </w:rPr>
        <w:t>；</w:t>
      </w:r>
    </w:p>
    <w:p w14:paraId="4A4CF87A">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cs="Arial"/>
          <w:color w:val="auto"/>
          <w:kern w:val="0"/>
          <w:sz w:val="24"/>
          <w:highlight w:val="none"/>
        </w:rPr>
      </w:pPr>
      <w:r>
        <w:rPr>
          <w:rFonts w:hint="eastAsia" w:ascii="宋体" w:cs="Arial"/>
          <w:color w:val="auto"/>
          <w:kern w:val="0"/>
          <w:sz w:val="24"/>
          <w:highlight w:val="none"/>
        </w:rPr>
        <w:t>（</w:t>
      </w:r>
      <w:r>
        <w:rPr>
          <w:rFonts w:ascii="宋体" w:cs="Arial"/>
          <w:color w:val="auto"/>
          <w:kern w:val="0"/>
          <w:sz w:val="24"/>
          <w:highlight w:val="none"/>
        </w:rPr>
        <w:t>4</w:t>
      </w:r>
      <w:r>
        <w:rPr>
          <w:rFonts w:hint="eastAsia" w:ascii="宋体" w:cs="Arial"/>
          <w:color w:val="auto"/>
          <w:kern w:val="0"/>
          <w:sz w:val="24"/>
          <w:highlight w:val="none"/>
        </w:rPr>
        <w:t>）开启资格审查通过的投标供应商的商务技术文件进入符合性审查、商务技术评审；</w:t>
      </w:r>
    </w:p>
    <w:p w14:paraId="0538675E">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cs="Arial"/>
          <w:color w:val="auto"/>
          <w:kern w:val="0"/>
          <w:sz w:val="24"/>
          <w:highlight w:val="none"/>
        </w:rPr>
      </w:pPr>
      <w:r>
        <w:rPr>
          <w:rFonts w:hint="eastAsia" w:ascii="宋体" w:cs="Arial"/>
          <w:color w:val="auto"/>
          <w:kern w:val="0"/>
          <w:sz w:val="24"/>
          <w:highlight w:val="none"/>
        </w:rPr>
        <w:t>（</w:t>
      </w:r>
      <w:r>
        <w:rPr>
          <w:rFonts w:ascii="宋体" w:cs="Arial"/>
          <w:color w:val="auto"/>
          <w:kern w:val="0"/>
          <w:sz w:val="24"/>
          <w:highlight w:val="none"/>
        </w:rPr>
        <w:t>5</w:t>
      </w:r>
      <w:r>
        <w:rPr>
          <w:rFonts w:hint="eastAsia" w:ascii="宋体" w:cs="Arial"/>
          <w:color w:val="auto"/>
          <w:kern w:val="0"/>
          <w:sz w:val="24"/>
          <w:highlight w:val="none"/>
        </w:rPr>
        <w:t>）第一阶段开标结束。</w:t>
      </w:r>
    </w:p>
    <w:p w14:paraId="745FF3E2">
      <w:pPr>
        <w:keepNext w:val="0"/>
        <w:keepLines w:val="0"/>
        <w:pageBreakBefore w:val="0"/>
        <w:kinsoku/>
        <w:wordWrap/>
        <w:overflowPunct/>
        <w:topLinePunct w:val="0"/>
        <w:bidi w:val="0"/>
        <w:adjustRightInd/>
        <w:snapToGrid/>
        <w:spacing w:line="360" w:lineRule="auto"/>
        <w:ind w:left="0" w:leftChars="0" w:right="0" w:rightChars="0" w:firstLine="482" w:firstLineChars="200"/>
        <w:jc w:val="left"/>
        <w:textAlignment w:val="auto"/>
        <w:rPr>
          <w:rFonts w:ascii="宋体" w:cs="Arial"/>
          <w:b/>
          <w:color w:val="auto"/>
          <w:kern w:val="0"/>
          <w:sz w:val="24"/>
          <w:highlight w:val="none"/>
        </w:rPr>
      </w:pPr>
      <w:r>
        <w:rPr>
          <w:rFonts w:hint="eastAsia" w:ascii="宋体" w:cs="Arial"/>
          <w:b/>
          <w:color w:val="auto"/>
          <w:kern w:val="0"/>
          <w:sz w:val="24"/>
          <w:highlight w:val="none"/>
        </w:rPr>
        <w:t>3.2开标大会第二阶段</w:t>
      </w:r>
    </w:p>
    <w:p w14:paraId="731B2402">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cs="Arial"/>
          <w:color w:val="auto"/>
          <w:kern w:val="0"/>
          <w:sz w:val="24"/>
          <w:highlight w:val="none"/>
        </w:rPr>
      </w:pPr>
      <w:r>
        <w:rPr>
          <w:rFonts w:hint="eastAsia" w:ascii="宋体" w:cs="Arial"/>
          <w:color w:val="auto"/>
          <w:kern w:val="0"/>
          <w:sz w:val="24"/>
          <w:highlight w:val="none"/>
        </w:rPr>
        <w:t>（1）符合性审查、商务技术评审结束后，举行开标大会第二阶段会议。首先公布符合性审查、商务技术评审无效供应商名称及理由</w:t>
      </w:r>
      <w:r>
        <w:rPr>
          <w:rFonts w:ascii="宋体" w:cs="Arial"/>
          <w:color w:val="auto"/>
          <w:kern w:val="0"/>
          <w:sz w:val="24"/>
          <w:highlight w:val="none"/>
        </w:rPr>
        <w:t>；公布经商务技术评审</w:t>
      </w:r>
      <w:r>
        <w:rPr>
          <w:rFonts w:hint="eastAsia" w:ascii="宋体" w:cs="Arial"/>
          <w:color w:val="auto"/>
          <w:kern w:val="0"/>
          <w:sz w:val="24"/>
          <w:highlight w:val="none"/>
        </w:rPr>
        <w:t>后有效投标</w:t>
      </w:r>
      <w:r>
        <w:rPr>
          <w:rFonts w:ascii="宋体" w:cs="Arial"/>
          <w:color w:val="auto"/>
          <w:kern w:val="0"/>
          <w:sz w:val="24"/>
          <w:highlight w:val="none"/>
        </w:rPr>
        <w:t>供应商</w:t>
      </w:r>
      <w:r>
        <w:rPr>
          <w:rFonts w:hint="eastAsia" w:ascii="宋体" w:cs="Arial"/>
          <w:color w:val="auto"/>
          <w:kern w:val="0"/>
          <w:sz w:val="24"/>
          <w:highlight w:val="none"/>
        </w:rPr>
        <w:t>的</w:t>
      </w:r>
      <w:r>
        <w:rPr>
          <w:rFonts w:ascii="宋体" w:cs="Arial"/>
          <w:color w:val="auto"/>
          <w:kern w:val="0"/>
          <w:sz w:val="24"/>
          <w:highlight w:val="none"/>
        </w:rPr>
        <w:t>名单，同时公布</w:t>
      </w:r>
      <w:r>
        <w:rPr>
          <w:rFonts w:hint="eastAsia" w:ascii="宋体" w:cs="Arial"/>
          <w:color w:val="auto"/>
          <w:kern w:val="0"/>
          <w:sz w:val="24"/>
          <w:highlight w:val="none"/>
        </w:rPr>
        <w:t>其</w:t>
      </w:r>
      <w:r>
        <w:rPr>
          <w:rFonts w:ascii="宋体" w:cs="Arial"/>
          <w:color w:val="auto"/>
          <w:kern w:val="0"/>
          <w:sz w:val="24"/>
          <w:highlight w:val="none"/>
        </w:rPr>
        <w:t>商务技术</w:t>
      </w:r>
      <w:r>
        <w:rPr>
          <w:rFonts w:hint="eastAsia" w:ascii="宋体" w:cs="Arial"/>
          <w:color w:val="auto"/>
          <w:kern w:val="0"/>
          <w:sz w:val="24"/>
          <w:highlight w:val="none"/>
        </w:rPr>
        <w:t>部分</w:t>
      </w:r>
      <w:r>
        <w:rPr>
          <w:rFonts w:ascii="宋体" w:cs="Arial"/>
          <w:color w:val="auto"/>
          <w:kern w:val="0"/>
          <w:sz w:val="24"/>
          <w:highlight w:val="none"/>
        </w:rPr>
        <w:t>得分情况</w:t>
      </w:r>
      <w:r>
        <w:rPr>
          <w:rFonts w:hint="eastAsia" w:ascii="宋体" w:cs="Arial"/>
          <w:color w:val="auto"/>
          <w:kern w:val="0"/>
          <w:sz w:val="24"/>
          <w:highlight w:val="none"/>
        </w:rPr>
        <w:t>。</w:t>
      </w:r>
    </w:p>
    <w:p w14:paraId="50D36A0F">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cs="Arial"/>
          <w:color w:val="auto"/>
          <w:kern w:val="0"/>
          <w:sz w:val="24"/>
          <w:highlight w:val="none"/>
        </w:rPr>
      </w:pPr>
      <w:r>
        <w:rPr>
          <w:rFonts w:hint="eastAsia" w:ascii="宋体" w:cs="Arial"/>
          <w:color w:val="auto"/>
          <w:kern w:val="0"/>
          <w:sz w:val="24"/>
          <w:highlight w:val="none"/>
        </w:rPr>
        <w:t>（2）开启符合性审查、商务技术评审有效投标供应商的《报价文件》，公布开标一览表有关内容，同时当场制作开标记录表，供应商</w:t>
      </w:r>
      <w:r>
        <w:rPr>
          <w:rFonts w:ascii="宋体" w:cs="Arial"/>
          <w:color w:val="auto"/>
          <w:kern w:val="0"/>
          <w:sz w:val="24"/>
          <w:highlight w:val="none"/>
        </w:rPr>
        <w:t>签字确认（不予确认的应说明理由，否则视为无异议）。唱标结束后，由评标委员会对报价的合理性、准确性等进行审查核实</w:t>
      </w:r>
      <w:r>
        <w:rPr>
          <w:rFonts w:hint="eastAsia" w:ascii="宋体" w:cs="Arial"/>
          <w:color w:val="auto"/>
          <w:kern w:val="0"/>
          <w:sz w:val="24"/>
          <w:highlight w:val="none"/>
        </w:rPr>
        <w:t>。</w:t>
      </w:r>
    </w:p>
    <w:p w14:paraId="26CD61F2">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cs="Arial"/>
          <w:color w:val="auto"/>
          <w:kern w:val="0"/>
          <w:sz w:val="24"/>
          <w:highlight w:val="none"/>
        </w:rPr>
      </w:pPr>
      <w:r>
        <w:rPr>
          <w:rFonts w:hint="eastAsia" w:ascii="宋体" w:cs="Arial"/>
          <w:color w:val="auto"/>
          <w:kern w:val="0"/>
          <w:sz w:val="24"/>
          <w:highlight w:val="none"/>
        </w:rPr>
        <w:t>（3）评审结束后，公布中标（成交）候选供应商名单，及采购人最终确定中标或成交供应商名单的时间和公告方式等。</w:t>
      </w:r>
    </w:p>
    <w:p w14:paraId="18196417">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cs="Arial"/>
          <w:b/>
          <w:color w:val="auto"/>
          <w:kern w:val="0"/>
          <w:sz w:val="24"/>
          <w:highlight w:val="none"/>
        </w:rPr>
      </w:pPr>
      <w:r>
        <w:rPr>
          <w:rFonts w:hint="eastAsia" w:ascii="宋体" w:cs="Arial"/>
          <w:b/>
          <w:color w:val="auto"/>
          <w:kern w:val="0"/>
          <w:sz w:val="24"/>
          <w:highlight w:val="none"/>
        </w:rPr>
        <w:t>特别说明：如遇“政府采购云平台”电子化开标或评审程序调整的，按调整后程序执行。</w:t>
      </w:r>
    </w:p>
    <w:p w14:paraId="314D8792">
      <w:pPr>
        <w:pStyle w:val="21"/>
        <w:keepNext w:val="0"/>
        <w:keepLines w:val="0"/>
        <w:pageBreakBefore w:val="0"/>
        <w:kinsoku/>
        <w:wordWrap/>
        <w:overflowPunct/>
        <w:topLinePunct w:val="0"/>
        <w:bidi w:val="0"/>
        <w:adjustRightInd/>
        <w:snapToGrid/>
        <w:spacing w:line="360" w:lineRule="auto"/>
        <w:ind w:right="0" w:rightChars="0"/>
        <w:textAlignment w:val="auto"/>
        <w:outlineLvl w:val="1"/>
        <w:rPr>
          <w:b/>
          <w:color w:val="auto"/>
          <w:sz w:val="24"/>
          <w:highlight w:val="none"/>
        </w:rPr>
      </w:pPr>
      <w:bookmarkStart w:id="22" w:name="_Toc68703361"/>
      <w:r>
        <w:rPr>
          <w:rFonts w:hint="eastAsia"/>
          <w:b/>
          <w:color w:val="auto"/>
          <w:sz w:val="24"/>
          <w:highlight w:val="none"/>
        </w:rPr>
        <w:t>六、评标</w:t>
      </w:r>
      <w:bookmarkEnd w:id="22"/>
    </w:p>
    <w:p w14:paraId="43A6C7C8">
      <w:pPr>
        <w:pStyle w:val="21"/>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b/>
          <w:color w:val="auto"/>
          <w:sz w:val="24"/>
          <w:highlight w:val="none"/>
        </w:rPr>
      </w:pPr>
      <w:r>
        <w:rPr>
          <w:b/>
          <w:color w:val="auto"/>
          <w:sz w:val="24"/>
          <w:highlight w:val="none"/>
        </w:rPr>
        <w:t>（一）组建评标委员会</w:t>
      </w:r>
    </w:p>
    <w:p w14:paraId="27C6F91D">
      <w:pPr>
        <w:pStyle w:val="21"/>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color w:val="auto"/>
          <w:sz w:val="24"/>
          <w:highlight w:val="none"/>
        </w:rPr>
      </w:pPr>
      <w:r>
        <w:rPr>
          <w:color w:val="auto"/>
          <w:sz w:val="24"/>
          <w:highlight w:val="none"/>
        </w:rPr>
        <w:t>本项目评标委员会由政府采购评审专家</w:t>
      </w:r>
      <w:r>
        <w:rPr>
          <w:rFonts w:hint="eastAsia"/>
          <w:color w:val="auto"/>
          <w:sz w:val="24"/>
          <w:highlight w:val="none"/>
        </w:rPr>
        <w:t>和采购单位评审代表</w:t>
      </w:r>
      <w:r>
        <w:rPr>
          <w:color w:val="auto"/>
          <w:sz w:val="24"/>
          <w:highlight w:val="none"/>
        </w:rPr>
        <w:t>组成。</w:t>
      </w:r>
    </w:p>
    <w:p w14:paraId="56BE4214">
      <w:pPr>
        <w:pStyle w:val="21"/>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b/>
          <w:color w:val="auto"/>
          <w:sz w:val="24"/>
          <w:highlight w:val="none"/>
        </w:rPr>
      </w:pPr>
      <w:r>
        <w:rPr>
          <w:b/>
          <w:color w:val="auto"/>
          <w:sz w:val="24"/>
          <w:highlight w:val="none"/>
        </w:rPr>
        <w:t>（</w:t>
      </w:r>
      <w:r>
        <w:rPr>
          <w:rFonts w:hint="eastAsia"/>
          <w:b/>
          <w:color w:val="auto"/>
          <w:sz w:val="24"/>
          <w:highlight w:val="none"/>
        </w:rPr>
        <w:t>二</w:t>
      </w:r>
      <w:r>
        <w:rPr>
          <w:b/>
          <w:color w:val="auto"/>
          <w:sz w:val="24"/>
          <w:highlight w:val="none"/>
        </w:rPr>
        <w:t>）</w:t>
      </w:r>
      <w:r>
        <w:rPr>
          <w:b/>
          <w:bCs/>
          <w:color w:val="auto"/>
          <w:sz w:val="24"/>
          <w:highlight w:val="none"/>
        </w:rPr>
        <w:t>评标程序</w:t>
      </w:r>
    </w:p>
    <w:p w14:paraId="31C12A5E">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b/>
          <w:bCs/>
          <w:color w:val="auto"/>
          <w:sz w:val="24"/>
          <w:highlight w:val="none"/>
        </w:rPr>
      </w:pPr>
      <w:r>
        <w:rPr>
          <w:rFonts w:hint="eastAsia" w:ascii="宋体"/>
          <w:b/>
          <w:bCs/>
          <w:color w:val="auto"/>
          <w:sz w:val="24"/>
          <w:highlight w:val="none"/>
        </w:rPr>
        <w:t>1、资格</w:t>
      </w:r>
      <w:r>
        <w:rPr>
          <w:rFonts w:ascii="宋体"/>
          <w:b/>
          <w:bCs/>
          <w:color w:val="auto"/>
          <w:sz w:val="24"/>
          <w:highlight w:val="none"/>
        </w:rPr>
        <w:t>审查</w:t>
      </w:r>
    </w:p>
    <w:p w14:paraId="7DD6079A">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14:paraId="18912383">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2" w:firstLineChars="200"/>
        <w:jc w:val="both"/>
        <w:textAlignment w:val="auto"/>
        <w:rPr>
          <w:b/>
          <w:bCs/>
          <w:color w:val="auto"/>
          <w:highlight w:val="none"/>
        </w:rPr>
      </w:pPr>
      <w:r>
        <w:rPr>
          <w:b/>
          <w:bCs/>
          <w:color w:val="auto"/>
          <w:highlight w:val="none"/>
        </w:rPr>
        <w:t>2、符合性审查</w:t>
      </w:r>
    </w:p>
    <w:p w14:paraId="051B6F92">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1476A0E">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2" w:firstLineChars="200"/>
        <w:jc w:val="both"/>
        <w:textAlignment w:val="auto"/>
        <w:rPr>
          <w:color w:val="auto"/>
          <w:highlight w:val="none"/>
        </w:rPr>
      </w:pPr>
      <w:r>
        <w:rPr>
          <w:b/>
          <w:bCs/>
          <w:color w:val="auto"/>
          <w:highlight w:val="none"/>
        </w:rPr>
        <w:t>3、</w:t>
      </w:r>
      <w:r>
        <w:rPr>
          <w:rFonts w:ascii="Arial" w:hAnsi="Arial" w:cs="Arial"/>
          <w:b/>
          <w:bCs/>
          <w:color w:val="auto"/>
          <w:highlight w:val="none"/>
        </w:rPr>
        <w:t>综合比较与评价</w:t>
      </w:r>
    </w:p>
    <w:p w14:paraId="20521985">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（1）对于投标文件中含义不明确、同类问题表述不一致或者有明显文字和计算错误的内容，评标委员会应当以书面形式要求投标人作出必要的澄清、说明或者补正。</w:t>
      </w:r>
    </w:p>
    <w:p w14:paraId="0EA31E68">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（2）评标委员会应当按照招标文件中规定的评标方法和标准，对符合性审查合格的投标文件进行商务和技术评估，综合比较与评价。</w:t>
      </w:r>
    </w:p>
    <w:p w14:paraId="1E632189">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（3）评标时，评标委员会各成员应当独立对每个投标人的投标文件进行评价，并汇总每个投标人的得分。</w:t>
      </w:r>
    </w:p>
    <w:p w14:paraId="4E987DDB">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Arial" w:hAnsi="Arial" w:cs="Arial"/>
          <w:b/>
          <w:bCs/>
          <w:color w:val="auto"/>
          <w:sz w:val="24"/>
          <w:highlight w:val="none"/>
        </w:rPr>
      </w:pPr>
      <w:r>
        <w:rPr>
          <w:rFonts w:hint="eastAsia" w:ascii="宋体" w:hAnsi="宋体" w:eastAsia="宋体" w:cs="宋体"/>
          <w:b/>
          <w:bCs/>
          <w:color w:val="auto"/>
          <w:sz w:val="24"/>
          <w:highlight w:val="none"/>
        </w:rPr>
        <w:t>4、得分确认及评审报告编写</w:t>
      </w:r>
    </w:p>
    <w:p w14:paraId="2B0EAE91">
      <w:pPr>
        <w:pStyle w:val="21"/>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color w:val="auto"/>
          <w:sz w:val="24"/>
          <w:highlight w:val="none"/>
        </w:rPr>
      </w:pP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评标委员会对报价文件进行复核，对于系统计算出的价格分及总得分进行确认；</w:t>
      </w:r>
    </w:p>
    <w:p w14:paraId="31EF2441">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（2）评标委员会应当按照招标文件中规定的评标方法和标准，对符合性审查合格的投标文件进行商务和技术评估，综合比较与评价。</w:t>
      </w:r>
    </w:p>
    <w:p w14:paraId="4937FA8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Arial" w:hAnsi="Arial" w:cs="Arial"/>
          <w:b/>
          <w:bCs/>
          <w:color w:val="auto"/>
          <w:sz w:val="24"/>
          <w:highlight w:val="none"/>
        </w:rPr>
      </w:pPr>
      <w:r>
        <w:rPr>
          <w:rFonts w:ascii="宋体"/>
          <w:color w:val="auto"/>
          <w:sz w:val="24"/>
          <w:highlight w:val="none"/>
        </w:rPr>
        <w:t>（</w:t>
      </w:r>
      <w:r>
        <w:rPr>
          <w:rFonts w:hint="eastAsia" w:ascii="宋体"/>
          <w:color w:val="auto"/>
          <w:sz w:val="24"/>
          <w:highlight w:val="none"/>
        </w:rPr>
        <w:t>3</w:t>
      </w:r>
      <w:r>
        <w:rPr>
          <w:rFonts w:ascii="宋体"/>
          <w:color w:val="auto"/>
          <w:sz w:val="24"/>
          <w:highlight w:val="none"/>
        </w:rPr>
        <w:t>）</w:t>
      </w:r>
      <w:r>
        <w:rPr>
          <w:rFonts w:hint="eastAsia" w:ascii="宋体"/>
          <w:color w:val="auto"/>
          <w:kern w:val="0"/>
          <w:sz w:val="24"/>
          <w:highlight w:val="none"/>
        </w:rPr>
        <w:t>评标委员会</w:t>
      </w:r>
      <w:r>
        <w:rPr>
          <w:rFonts w:ascii="宋体"/>
          <w:color w:val="auto"/>
          <w:sz w:val="24"/>
          <w:highlight w:val="none"/>
        </w:rPr>
        <w:t>按评标原则</w:t>
      </w:r>
      <w:r>
        <w:rPr>
          <w:rFonts w:hint="eastAsia" w:ascii="宋体"/>
          <w:color w:val="auto"/>
          <w:sz w:val="24"/>
          <w:highlight w:val="none"/>
        </w:rPr>
        <w:t>及得分情况编写评审报告。</w:t>
      </w:r>
    </w:p>
    <w:p w14:paraId="1FF6F55F">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kern w:val="0"/>
          <w:sz w:val="24"/>
          <w:highlight w:val="none"/>
        </w:rPr>
        <w:t>5、评价</w:t>
      </w:r>
    </w:p>
    <w:p w14:paraId="49296436">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b/>
          <w:color w:val="auto"/>
          <w:kern w:val="0"/>
          <w:sz w:val="24"/>
          <w:highlight w:val="none"/>
        </w:rPr>
      </w:pPr>
      <w:r>
        <w:rPr>
          <w:rFonts w:hint="eastAsia" w:ascii="宋体"/>
          <w:color w:val="auto"/>
          <w:sz w:val="24"/>
          <w:highlight w:val="none"/>
        </w:rPr>
        <w:t>采购组织机构对评标委员会评审专家进行评价。</w:t>
      </w:r>
    </w:p>
    <w:p w14:paraId="6CD631CC">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b/>
          <w:color w:val="auto"/>
          <w:sz w:val="24"/>
          <w:highlight w:val="none"/>
        </w:rPr>
      </w:pPr>
      <w:r>
        <w:rPr>
          <w:rFonts w:hint="eastAsia" w:ascii="宋体"/>
          <w:b/>
          <w:color w:val="auto"/>
          <w:sz w:val="24"/>
          <w:highlight w:val="none"/>
        </w:rPr>
        <w:t>（三）澄清问题的形式</w:t>
      </w:r>
    </w:p>
    <w:p w14:paraId="617B5A6C">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color w:val="auto"/>
          <w:sz w:val="24"/>
          <w:highlight w:val="none"/>
        </w:rPr>
      </w:pPr>
      <w:r>
        <w:rPr>
          <w:rFonts w:hint="eastAsia" w:ascii="宋体"/>
          <w:color w:val="auto"/>
          <w:sz w:val="24"/>
          <w:highlight w:val="none"/>
        </w:rPr>
        <w:t>投标人的澄清、说明或者补正应当采用书面形式，并加盖公章，或者由法定代理人或其授权的代表签字，并不得超出投标文件的范围或者改变投标文件的实质性内容。</w:t>
      </w:r>
    </w:p>
    <w:p w14:paraId="0CAB7BFC">
      <w:pPr>
        <w:pStyle w:val="21"/>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b/>
          <w:color w:val="auto"/>
          <w:sz w:val="24"/>
          <w:highlight w:val="none"/>
        </w:rPr>
      </w:pPr>
      <w:r>
        <w:rPr>
          <w:rFonts w:hint="eastAsia"/>
          <w:b/>
          <w:color w:val="auto"/>
          <w:sz w:val="24"/>
          <w:highlight w:val="none"/>
        </w:rPr>
        <w:t>（四）错误修正</w:t>
      </w:r>
    </w:p>
    <w:p w14:paraId="563B64D1">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投标文件报价出现前后不一致的，除招标文件另有规定外，按照下列规定修正：</w:t>
      </w:r>
    </w:p>
    <w:p w14:paraId="319CF3F3">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1、投标文件中开标一览表（报价函）内容与投标文件中相应内容不一致的，以开标一览表（报价表）为准；</w:t>
      </w:r>
    </w:p>
    <w:p w14:paraId="5A3B9BC1">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2、大写金额和小写金额不一致的，以大写金额为准；</w:t>
      </w:r>
    </w:p>
    <w:p w14:paraId="2AEE0414">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3、单价金额小数点或者百分比有明显错位的，以开标一览表的总价为准，并修改单价；</w:t>
      </w:r>
    </w:p>
    <w:p w14:paraId="150B84A1">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rFonts w:hint="eastAsia"/>
          <w:color w:val="auto"/>
          <w:highlight w:val="none"/>
        </w:rPr>
        <w:t>4、政采云平台上开启的投标报价与电子投标文件中报价一览表（报价表）内容不一致的，以电子投标文件中报价一览表（报价表）为准；</w:t>
      </w:r>
    </w:p>
    <w:p w14:paraId="1D3F6F47">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w:t>
      </w:r>
      <w:r>
        <w:rPr>
          <w:rFonts w:hint="eastAsia"/>
          <w:color w:val="auto"/>
          <w:highlight w:val="none"/>
        </w:rPr>
        <w:t>5</w:t>
      </w:r>
      <w:r>
        <w:rPr>
          <w:color w:val="auto"/>
          <w:highlight w:val="none"/>
        </w:rPr>
        <w:t>、总价金额与按单价汇总金额不一致的，以单价金额计算结果为准。</w:t>
      </w:r>
    </w:p>
    <w:p w14:paraId="14E9DD3D">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w:t>
      </w:r>
      <w:r>
        <w:rPr>
          <w:rFonts w:hint="eastAsia" w:ascii="宋体"/>
          <w:color w:val="auto"/>
          <w:kern w:val="0"/>
          <w:sz w:val="24"/>
          <w:highlight w:val="none"/>
        </w:rPr>
        <w:t>▲</w:t>
      </w:r>
      <w:r>
        <w:rPr>
          <w:color w:val="auto"/>
          <w:highlight w:val="none"/>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14:paraId="7D76FC39">
      <w:pPr>
        <w:pStyle w:val="21"/>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b/>
          <w:color w:val="auto"/>
          <w:sz w:val="24"/>
          <w:highlight w:val="none"/>
        </w:rPr>
      </w:pPr>
      <w:r>
        <w:rPr>
          <w:b/>
          <w:color w:val="auto"/>
          <w:sz w:val="24"/>
          <w:highlight w:val="none"/>
        </w:rPr>
        <w:t>（五）投标人存在下列情况之一的，投标无效</w:t>
      </w:r>
    </w:p>
    <w:p w14:paraId="409D5EC2">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1、</w:t>
      </w:r>
      <w:r>
        <w:rPr>
          <w:b/>
          <w:color w:val="auto"/>
          <w:highlight w:val="none"/>
        </w:rPr>
        <w:t>仅提交“备份投标文件”的；</w:t>
      </w:r>
    </w:p>
    <w:p w14:paraId="0B983C69">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rPr>
          <w:rFonts w:ascii="宋体"/>
          <w:b/>
          <w:bCs/>
          <w:color w:val="auto"/>
          <w:sz w:val="24"/>
          <w:highlight w:val="none"/>
        </w:rPr>
      </w:pPr>
      <w:r>
        <w:rPr>
          <w:rFonts w:ascii="宋体"/>
          <w:color w:val="auto"/>
          <w:kern w:val="0"/>
          <w:sz w:val="24"/>
          <w:highlight w:val="none"/>
        </w:rPr>
        <w:t>2、</w:t>
      </w:r>
      <w:r>
        <w:rPr>
          <w:rFonts w:hint="eastAsia" w:ascii="宋体"/>
          <w:b/>
          <w:color w:val="auto"/>
          <w:sz w:val="24"/>
          <w:highlight w:val="none"/>
        </w:rPr>
        <w:t>文件组成内容不齐全，本招标文件规定必须提供而未提供的（属于资格审查范围的除外）</w:t>
      </w:r>
      <w:r>
        <w:rPr>
          <w:rFonts w:ascii="宋体"/>
          <w:b/>
          <w:bCs/>
          <w:color w:val="auto"/>
          <w:kern w:val="0"/>
          <w:sz w:val="24"/>
          <w:highlight w:val="none"/>
        </w:rPr>
        <w:t>或在资格证明文件或商务与技术文件中出现投标报价的，</w:t>
      </w:r>
      <w:r>
        <w:rPr>
          <w:rFonts w:ascii="宋体"/>
          <w:color w:val="auto"/>
          <w:kern w:val="0"/>
          <w:sz w:val="24"/>
          <w:highlight w:val="none"/>
        </w:rPr>
        <w:t>或者报价文件中报价的</w:t>
      </w:r>
      <w:r>
        <w:rPr>
          <w:rFonts w:hint="eastAsia" w:ascii="宋体"/>
          <w:color w:val="auto"/>
          <w:kern w:val="0"/>
          <w:sz w:val="24"/>
          <w:highlight w:val="none"/>
        </w:rPr>
        <w:t>工程</w:t>
      </w:r>
      <w:r>
        <w:rPr>
          <w:rFonts w:ascii="宋体"/>
          <w:color w:val="auto"/>
          <w:kern w:val="0"/>
          <w:sz w:val="24"/>
          <w:highlight w:val="none"/>
        </w:rPr>
        <w:t>跟商务与技术文件中的投标</w:t>
      </w:r>
      <w:r>
        <w:rPr>
          <w:rFonts w:hint="eastAsia" w:ascii="宋体"/>
          <w:color w:val="auto"/>
          <w:kern w:val="0"/>
          <w:sz w:val="24"/>
          <w:highlight w:val="none"/>
        </w:rPr>
        <w:t>工程</w:t>
      </w:r>
      <w:r>
        <w:rPr>
          <w:rFonts w:ascii="宋体"/>
          <w:color w:val="auto"/>
          <w:kern w:val="0"/>
          <w:sz w:val="24"/>
          <w:highlight w:val="none"/>
        </w:rPr>
        <w:t>出现重大偏差的；</w:t>
      </w:r>
    </w:p>
    <w:p w14:paraId="2605D281">
      <w:pPr>
        <w:pStyle w:val="33"/>
        <w:keepNext w:val="0"/>
        <w:keepLines w:val="0"/>
        <w:pageBreakBefore w:val="0"/>
        <w:tabs>
          <w:tab w:val="left" w:pos="7380"/>
        </w:tabs>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3、不具备招标文件中规定的资格要求的。</w:t>
      </w:r>
      <w:r>
        <w:rPr>
          <w:color w:val="auto"/>
          <w:highlight w:val="none"/>
        </w:rPr>
        <w:tab/>
      </w:r>
    </w:p>
    <w:p w14:paraId="014803B4">
      <w:pPr>
        <w:pStyle w:val="33"/>
        <w:keepNext w:val="0"/>
        <w:keepLines w:val="0"/>
        <w:pageBreakBefore w:val="0"/>
        <w:kinsoku/>
        <w:wordWrap/>
        <w:overflowPunct/>
        <w:topLinePunct w:val="0"/>
        <w:bidi w:val="0"/>
        <w:adjustRightInd/>
        <w:snapToGrid/>
        <w:spacing w:before="0" w:beforeAutospacing="0" w:after="0" w:afterAutospacing="0" w:line="360" w:lineRule="auto"/>
        <w:ind w:right="0" w:rightChars="0" w:firstLine="480" w:firstLineChars="200"/>
        <w:jc w:val="both"/>
        <w:textAlignment w:val="auto"/>
        <w:rPr>
          <w:color w:val="auto"/>
          <w:highlight w:val="none"/>
        </w:rPr>
      </w:pPr>
      <w:r>
        <w:rPr>
          <w:color w:val="auto"/>
          <w:highlight w:val="none"/>
        </w:rPr>
        <w:t>4、投标文件含有采购人不能接受的附加条件的。</w:t>
      </w:r>
    </w:p>
    <w:p w14:paraId="5A789705">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ascii="宋体"/>
          <w:bCs/>
          <w:color w:val="auto"/>
          <w:kern w:val="0"/>
          <w:sz w:val="24"/>
          <w:highlight w:val="none"/>
        </w:rPr>
      </w:pPr>
      <w:r>
        <w:rPr>
          <w:rFonts w:hint="eastAsia" w:ascii="宋体"/>
          <w:color w:val="auto"/>
          <w:kern w:val="0"/>
          <w:sz w:val="24"/>
          <w:highlight w:val="none"/>
        </w:rPr>
        <w:t>5</w:t>
      </w:r>
      <w:r>
        <w:rPr>
          <w:rFonts w:hint="eastAsia" w:ascii="宋体"/>
          <w:color w:val="auto"/>
          <w:sz w:val="24"/>
          <w:highlight w:val="none"/>
        </w:rPr>
        <w:t>、</w:t>
      </w:r>
      <w:r>
        <w:rPr>
          <w:rFonts w:hint="eastAsia" w:ascii="宋体" w:cs="宋体"/>
          <w:bCs/>
          <w:color w:val="auto"/>
          <w:sz w:val="24"/>
          <w:highlight w:val="none"/>
        </w:rPr>
        <w:t>投标文件未有效授权，法定代表人授权委托书等填写不完整或有涂改的；</w:t>
      </w:r>
    </w:p>
    <w:p w14:paraId="6EECD92B">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6、</w:t>
      </w:r>
      <w:r>
        <w:rPr>
          <w:rFonts w:cs="宋体"/>
          <w:b/>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1478DDD">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7、报价超过招标文件中规定的预算金额/最高限价。 </w:t>
      </w:r>
    </w:p>
    <w:p w14:paraId="13430C08">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8、投标参数未如实填写。</w:t>
      </w:r>
    </w:p>
    <w:p w14:paraId="1E4542EF">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 xml:space="preserve">9、投标文件提供虚假材料的。 </w:t>
      </w:r>
    </w:p>
    <w:p w14:paraId="0F03AA62">
      <w:pPr>
        <w:keepNext w:val="0"/>
        <w:keepLines w:val="0"/>
        <w:pageBreakBefore w:val="0"/>
        <w:tabs>
          <w:tab w:val="left" w:pos="1898"/>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10</w:t>
      </w:r>
      <w:r>
        <w:rPr>
          <w:rFonts w:ascii="宋体"/>
          <w:color w:val="auto"/>
          <w:kern w:val="0"/>
          <w:sz w:val="24"/>
          <w:highlight w:val="none"/>
        </w:rPr>
        <w:t>、不符合</w:t>
      </w:r>
      <w:r>
        <w:rPr>
          <w:rFonts w:hint="eastAsia" w:ascii="宋体"/>
          <w:color w:val="auto"/>
          <w:kern w:val="0"/>
          <w:sz w:val="24"/>
          <w:highlight w:val="none"/>
        </w:rPr>
        <w:t>下列</w:t>
      </w:r>
      <w:r>
        <w:rPr>
          <w:rFonts w:ascii="宋体"/>
          <w:color w:val="auto"/>
          <w:kern w:val="0"/>
          <w:sz w:val="24"/>
          <w:highlight w:val="none"/>
        </w:rPr>
        <w:t>情形之一的，视为投标人串通投标，其投标无效</w:t>
      </w:r>
      <w:r>
        <w:rPr>
          <w:rFonts w:hint="eastAsia" w:ascii="宋体"/>
          <w:color w:val="auto"/>
          <w:kern w:val="0"/>
          <w:sz w:val="24"/>
          <w:highlight w:val="none"/>
        </w:rPr>
        <w:t>，并移送采购监管部门</w:t>
      </w:r>
      <w:r>
        <w:rPr>
          <w:rFonts w:ascii="宋体"/>
          <w:color w:val="auto"/>
          <w:kern w:val="0"/>
          <w:sz w:val="24"/>
          <w:highlight w:val="none"/>
        </w:rPr>
        <w:t>：</w:t>
      </w:r>
    </w:p>
    <w:p w14:paraId="51438216">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（1）不同投标人的投标文件由同一单位或者个人编制；</w:t>
      </w:r>
    </w:p>
    <w:p w14:paraId="5401D9FD">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（2）不同投标人委托同一单位或者个人办理投标事宜；</w:t>
      </w:r>
    </w:p>
    <w:p w14:paraId="3A47598B">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（3）不同投标人的投标文件载明的项目管理成员或者联系人员为同一人；</w:t>
      </w:r>
    </w:p>
    <w:p w14:paraId="2683BE76">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（4）不同投标人的投标文件异常一致或者投标报价呈规律性差异；</w:t>
      </w:r>
    </w:p>
    <w:p w14:paraId="5BD42972">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（5）不同投标人的投标文件相互混装；</w:t>
      </w:r>
    </w:p>
    <w:p w14:paraId="14DBFC2A">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 xml:space="preserve">   （6）不同投标人的投标保证金从同一单位或者个人的账户转出。</w:t>
      </w:r>
    </w:p>
    <w:p w14:paraId="5323F1FD">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11、不符合法律、法规和招标文件中规定的其他实质性要求的（招标文件</w:t>
      </w:r>
    </w:p>
    <w:p w14:paraId="72CF0E3A">
      <w:pPr>
        <w:keepNext w:val="0"/>
        <w:keepLines w:val="0"/>
        <w:pageBreakBefore w:val="0"/>
        <w:tabs>
          <w:tab w:val="right" w:pos="8306"/>
        </w:tabs>
        <w:kinsoku/>
        <w:wordWrap/>
        <w:overflowPunct/>
        <w:topLinePunct w:val="0"/>
        <w:autoSpaceDE w:val="0"/>
        <w:autoSpaceDN w:val="0"/>
        <w:bidi w:val="0"/>
        <w:adjustRightInd/>
        <w:snapToGrid/>
        <w:spacing w:line="360" w:lineRule="auto"/>
        <w:ind w:left="0" w:leftChars="0" w:right="0" w:rightChars="0" w:firstLine="480" w:firstLineChars="200"/>
        <w:textAlignment w:val="auto"/>
        <w:rPr>
          <w:rFonts w:ascii="宋体"/>
          <w:color w:val="auto"/>
          <w:kern w:val="0"/>
          <w:sz w:val="24"/>
          <w:highlight w:val="none"/>
        </w:rPr>
      </w:pPr>
      <w:r>
        <w:rPr>
          <w:rFonts w:hint="eastAsia" w:ascii="宋体"/>
          <w:color w:val="auto"/>
          <w:kern w:val="0"/>
          <w:sz w:val="24"/>
          <w:highlight w:val="none"/>
        </w:rPr>
        <w:t>中打“▲”内容及被拒绝的条款）。</w:t>
      </w:r>
    </w:p>
    <w:p w14:paraId="73C4D586">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color w:val="auto"/>
          <w:kern w:val="0"/>
          <w:sz w:val="24"/>
          <w:highlight w:val="none"/>
        </w:rPr>
      </w:pPr>
      <w:r>
        <w:rPr>
          <w:rFonts w:hint="eastAsia" w:ascii="宋体"/>
          <w:b/>
          <w:color w:val="auto"/>
          <w:kern w:val="0"/>
          <w:sz w:val="24"/>
          <w:highlight w:val="none"/>
        </w:rPr>
        <w:t>（六）有下列情况之一的，本次招标作为废标处理</w:t>
      </w:r>
    </w:p>
    <w:p w14:paraId="718FCF05">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1、出现影响采购公正的违法、违规行为的；</w:t>
      </w:r>
    </w:p>
    <w:p w14:paraId="036CECCF">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b/>
          <w:bCs/>
          <w:color w:val="auto"/>
          <w:highlight w:val="none"/>
        </w:rPr>
      </w:pPr>
      <w:r>
        <w:rPr>
          <w:color w:val="auto"/>
          <w:highlight w:val="none"/>
        </w:rPr>
        <w:t xml:space="preserve">2、评标委员会发现招标文件存在歧义、重大缺陷导致评标工作无法进行，或者招标文件内容违反国家有关强制性规定的； </w:t>
      </w:r>
    </w:p>
    <w:p w14:paraId="7F7EEBDD">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3、因重大变故，采购任务取消的；</w:t>
      </w:r>
    </w:p>
    <w:p w14:paraId="0C8240A7">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4、法律、法规和招标文件规定的其他导致评标结果无效的。</w:t>
      </w:r>
    </w:p>
    <w:p w14:paraId="3939C7C5">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rFonts w:hint="default" w:ascii="宋体" w:hAnsi="Times New Roman" w:eastAsia="宋体" w:cs="Times New Roman"/>
          <w:color w:val="auto"/>
          <w:highlight w:val="none"/>
        </w:rPr>
        <w:t>5、因电子交易平台故障无法登录、无法正常操作等导致平台无法正常运行，或者无法保证电子交易的公平、公正和安全时，采购组织机构可中止电子交易活动</w:t>
      </w:r>
      <w:r>
        <w:rPr>
          <w:rFonts w:hint="default" w:ascii="宋体" w:hAnsi="Times New Roman" w:eastAsia="宋体" w:cs="Times New Roman"/>
          <w:color w:val="auto"/>
          <w:highlight w:val="none"/>
          <w:lang w:eastAsia="zh-CN"/>
        </w:rPr>
        <w:t>。</w:t>
      </w:r>
    </w:p>
    <w:p w14:paraId="510CE563">
      <w:pPr>
        <w:pStyle w:val="21"/>
        <w:keepNext w:val="0"/>
        <w:keepLines w:val="0"/>
        <w:pageBreakBefore w:val="0"/>
        <w:tabs>
          <w:tab w:val="left" w:pos="630"/>
        </w:tabs>
        <w:kinsoku/>
        <w:wordWrap/>
        <w:overflowPunct/>
        <w:topLinePunct w:val="0"/>
        <w:bidi w:val="0"/>
        <w:adjustRightInd/>
        <w:snapToGrid/>
        <w:spacing w:line="360" w:lineRule="auto"/>
        <w:ind w:left="0" w:leftChars="0" w:right="0" w:rightChars="0" w:firstLine="482" w:firstLineChars="200"/>
        <w:textAlignment w:val="auto"/>
        <w:rPr>
          <w:b/>
          <w:color w:val="auto"/>
          <w:sz w:val="24"/>
          <w:highlight w:val="none"/>
        </w:rPr>
      </w:pPr>
      <w:r>
        <w:rPr>
          <w:b/>
          <w:color w:val="auto"/>
          <w:sz w:val="24"/>
          <w:highlight w:val="none"/>
        </w:rPr>
        <w:t>（</w:t>
      </w:r>
      <w:r>
        <w:rPr>
          <w:rFonts w:hint="eastAsia"/>
          <w:b/>
          <w:color w:val="auto"/>
          <w:sz w:val="24"/>
          <w:highlight w:val="none"/>
        </w:rPr>
        <w:t>七</w:t>
      </w:r>
      <w:r>
        <w:rPr>
          <w:b/>
          <w:color w:val="auto"/>
          <w:sz w:val="24"/>
          <w:highlight w:val="none"/>
        </w:rPr>
        <w:t>）评标原则和评标办法</w:t>
      </w:r>
    </w:p>
    <w:p w14:paraId="1DAF24E2">
      <w:pPr>
        <w:pStyle w:val="21"/>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B298550">
      <w:pPr>
        <w:pStyle w:val="21"/>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评标办法。具体评标内容及评分标准等详见《第</w:t>
      </w:r>
      <w:r>
        <w:rPr>
          <w:rFonts w:hint="eastAsia"/>
          <w:color w:val="auto"/>
          <w:sz w:val="24"/>
          <w:highlight w:val="none"/>
        </w:rPr>
        <w:t>三章</w:t>
      </w:r>
      <w:r>
        <w:rPr>
          <w:color w:val="auto"/>
          <w:sz w:val="24"/>
          <w:highlight w:val="none"/>
        </w:rPr>
        <w:t>：评标</w:t>
      </w:r>
      <w:r>
        <w:rPr>
          <w:rFonts w:hint="eastAsia"/>
          <w:color w:val="auto"/>
          <w:sz w:val="24"/>
          <w:highlight w:val="none"/>
        </w:rPr>
        <w:t>方</w:t>
      </w:r>
      <w:r>
        <w:rPr>
          <w:color w:val="auto"/>
          <w:sz w:val="24"/>
          <w:highlight w:val="none"/>
        </w:rPr>
        <w:t>法及评分标准》。</w:t>
      </w:r>
    </w:p>
    <w:p w14:paraId="5339CD63">
      <w:pPr>
        <w:pStyle w:val="21"/>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b/>
          <w:color w:val="auto"/>
          <w:sz w:val="24"/>
          <w:highlight w:val="none"/>
        </w:rPr>
      </w:pPr>
      <w:r>
        <w:rPr>
          <w:b/>
          <w:color w:val="auto"/>
          <w:sz w:val="24"/>
          <w:highlight w:val="none"/>
        </w:rPr>
        <w:t>（</w:t>
      </w:r>
      <w:r>
        <w:rPr>
          <w:rFonts w:hint="eastAsia"/>
          <w:b/>
          <w:color w:val="auto"/>
          <w:sz w:val="24"/>
          <w:highlight w:val="none"/>
        </w:rPr>
        <w:t>八</w:t>
      </w:r>
      <w:r>
        <w:rPr>
          <w:b/>
          <w:color w:val="auto"/>
          <w:sz w:val="24"/>
          <w:highlight w:val="none"/>
        </w:rPr>
        <w:t>）评标过程的监控</w:t>
      </w:r>
    </w:p>
    <w:p w14:paraId="4277DFCF">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本项目评标过程实行全程录音、录像监控，政府采购监管部门视情进行现场监督，投标人在评标过程中所进行的试图影响评标结果的不公正活动，可能导致其投标被拒绝。</w:t>
      </w:r>
    </w:p>
    <w:p w14:paraId="18B7C358">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2" w:firstLineChars="200"/>
        <w:textAlignment w:val="auto"/>
        <w:rPr>
          <w:rFonts w:ascii="宋体" w:hAnsi="宋体"/>
          <w:b/>
          <w:color w:val="auto"/>
          <w:kern w:val="0"/>
          <w:sz w:val="24"/>
          <w:highlight w:val="none"/>
        </w:rPr>
      </w:pPr>
      <w:r>
        <w:rPr>
          <w:rFonts w:hint="eastAsia" w:ascii="宋体" w:hAnsi="宋体"/>
          <w:b/>
          <w:color w:val="auto"/>
          <w:kern w:val="0"/>
          <w:sz w:val="24"/>
          <w:highlight w:val="none"/>
        </w:rPr>
        <w:t>（九）电子交易异常情形处理</w:t>
      </w:r>
    </w:p>
    <w:p w14:paraId="471F68F5">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default"/>
          <w:color w:val="auto"/>
          <w:highlight w:val="none"/>
        </w:rPr>
      </w:pPr>
      <w:r>
        <w:rPr>
          <w:color w:val="auto"/>
          <w:highlight w:val="none"/>
        </w:rPr>
        <w:t>采购过程中出现以下情形，导致电子交易平台无法正常运行，或者无法保证电子交易的公平、公正和安全时，采购组织机构可中止电子交易活动：</w:t>
      </w:r>
    </w:p>
    <w:p w14:paraId="64712F36">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default"/>
          <w:color w:val="auto"/>
          <w:highlight w:val="none"/>
        </w:rPr>
      </w:pPr>
      <w:r>
        <w:rPr>
          <w:color w:val="auto"/>
          <w:highlight w:val="none"/>
        </w:rPr>
        <w:t>1、电子交易平台发生故障而无法登录访问的；</w:t>
      </w:r>
    </w:p>
    <w:p w14:paraId="535DCD9C">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default"/>
          <w:color w:val="auto"/>
          <w:highlight w:val="none"/>
        </w:rPr>
      </w:pPr>
      <w:r>
        <w:rPr>
          <w:color w:val="auto"/>
          <w:highlight w:val="none"/>
        </w:rPr>
        <w:t>2、电子交易平台应用或数据库出现错误，不能进行正常操作的；</w:t>
      </w:r>
    </w:p>
    <w:p w14:paraId="11E2A5FB">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default"/>
          <w:color w:val="auto"/>
          <w:highlight w:val="none"/>
        </w:rPr>
      </w:pPr>
      <w:r>
        <w:rPr>
          <w:color w:val="auto"/>
          <w:highlight w:val="none"/>
        </w:rPr>
        <w:t>3、电子交易平台发现严重安全漏洞，有潜在泄密危险的；</w:t>
      </w:r>
    </w:p>
    <w:p w14:paraId="0F1A5E1E">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default"/>
          <w:color w:val="auto"/>
          <w:highlight w:val="none"/>
        </w:rPr>
      </w:pPr>
      <w:r>
        <w:rPr>
          <w:color w:val="auto"/>
          <w:highlight w:val="none"/>
        </w:rPr>
        <w:t>4、病毒发作导致不能进行正常操作的；</w:t>
      </w:r>
    </w:p>
    <w:p w14:paraId="3E2AFB3C">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default"/>
          <w:color w:val="auto"/>
          <w:highlight w:val="none"/>
        </w:rPr>
      </w:pPr>
      <w:r>
        <w:rPr>
          <w:color w:val="auto"/>
          <w:highlight w:val="none"/>
        </w:rPr>
        <w:t>5、其他无法保证电子交易的公平、公正和安全的情况。</w:t>
      </w:r>
    </w:p>
    <w:p w14:paraId="43ABE445">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出现前款规定情形，不影响采购公平、公正性的，采购组织机构可以待上述情形消除后继续组织电子交易活动；影响或可能影响采购公平、公正性的，应当重新采购。</w:t>
      </w:r>
    </w:p>
    <w:p w14:paraId="14F137F4">
      <w:pPr>
        <w:pStyle w:val="21"/>
        <w:keepNext w:val="0"/>
        <w:keepLines w:val="0"/>
        <w:pageBreakBefore w:val="0"/>
        <w:kinsoku/>
        <w:wordWrap/>
        <w:overflowPunct/>
        <w:topLinePunct w:val="0"/>
        <w:bidi w:val="0"/>
        <w:adjustRightInd/>
        <w:snapToGrid/>
        <w:spacing w:line="360" w:lineRule="auto"/>
        <w:ind w:right="0" w:rightChars="0"/>
        <w:textAlignment w:val="auto"/>
        <w:outlineLvl w:val="1"/>
        <w:rPr>
          <w:rFonts w:cs="Times New Roman"/>
          <w:color w:val="auto"/>
          <w:kern w:val="0"/>
          <w:sz w:val="24"/>
          <w:highlight w:val="none"/>
        </w:rPr>
      </w:pPr>
      <w:bookmarkStart w:id="23" w:name="_Toc68703362"/>
      <w:r>
        <w:rPr>
          <w:b/>
          <w:color w:val="auto"/>
          <w:sz w:val="24"/>
          <w:highlight w:val="none"/>
        </w:rPr>
        <w:t>七、定标</w:t>
      </w:r>
      <w:bookmarkEnd w:id="23"/>
    </w:p>
    <w:p w14:paraId="6E855570">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bookmarkStart w:id="24" w:name="_Toc57114442"/>
      <w:bookmarkStart w:id="25" w:name="_Toc57114530"/>
      <w:r>
        <w:rPr>
          <w:color w:val="auto"/>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bookmarkEnd w:id="24"/>
      <w:bookmarkEnd w:id="25"/>
    </w:p>
    <w:p w14:paraId="043F7159">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2、发布中标结果公告。采购组织机构应当自中标人确定之日起2个工作日内，在省级以上财政部门指定的媒体及相关网站上公告中标结果，招标文件应当随中标结果同时公告。</w:t>
      </w:r>
    </w:p>
    <w:p w14:paraId="26F788E2">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3、发出中标通知书。采购组织机构在发布中标结果的同时，向中标人发出中标通知书。</w:t>
      </w:r>
    </w:p>
    <w:p w14:paraId="6984ACF0">
      <w:pPr>
        <w:pStyle w:val="21"/>
        <w:keepNext w:val="0"/>
        <w:keepLines w:val="0"/>
        <w:pageBreakBefore w:val="0"/>
        <w:kinsoku/>
        <w:wordWrap/>
        <w:overflowPunct/>
        <w:topLinePunct w:val="0"/>
        <w:bidi w:val="0"/>
        <w:adjustRightInd/>
        <w:snapToGrid/>
        <w:spacing w:line="360" w:lineRule="auto"/>
        <w:ind w:right="0" w:rightChars="0"/>
        <w:textAlignment w:val="auto"/>
        <w:outlineLvl w:val="1"/>
        <w:rPr>
          <w:b/>
          <w:color w:val="auto"/>
          <w:sz w:val="24"/>
          <w:highlight w:val="none"/>
        </w:rPr>
      </w:pPr>
      <w:bookmarkStart w:id="26" w:name="_Toc68703363"/>
      <w:r>
        <w:rPr>
          <w:b/>
          <w:color w:val="auto"/>
          <w:sz w:val="24"/>
          <w:highlight w:val="none"/>
        </w:rPr>
        <w:t>八、</w:t>
      </w:r>
      <w:r>
        <w:rPr>
          <w:rFonts w:hint="eastAsia"/>
          <w:b/>
          <w:color w:val="auto"/>
          <w:sz w:val="24"/>
          <w:highlight w:val="none"/>
        </w:rPr>
        <w:t>合同签订及公告</w:t>
      </w:r>
      <w:bookmarkEnd w:id="26"/>
    </w:p>
    <w:p w14:paraId="14094DDF">
      <w:pPr>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rFonts w:ascii="宋体"/>
          <w:b/>
          <w:color w:val="auto"/>
          <w:kern w:val="0"/>
          <w:sz w:val="24"/>
          <w:highlight w:val="none"/>
        </w:rPr>
      </w:pPr>
      <w:r>
        <w:rPr>
          <w:rFonts w:hint="eastAsia" w:ascii="宋体"/>
          <w:b/>
          <w:color w:val="auto"/>
          <w:sz w:val="24"/>
          <w:highlight w:val="none"/>
        </w:rPr>
        <w:t>（一）签订合同</w:t>
      </w:r>
    </w:p>
    <w:p w14:paraId="03047230">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4FC98F42">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2、采购人不得向中标人提出任何不合理的要求作为签订合同的条件。</w:t>
      </w:r>
    </w:p>
    <w:p w14:paraId="5D050C86">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3、中标供应商无故拖延、拒签合同的,取消中标资格。</w:t>
      </w:r>
    </w:p>
    <w:p w14:paraId="5AB71E9E">
      <w:pPr>
        <w:pStyle w:val="33"/>
        <w:keepNext w:val="0"/>
        <w:keepLines w:val="0"/>
        <w:pageBreakBefore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color w:val="auto"/>
          <w:highlight w:val="none"/>
        </w:rPr>
      </w:pPr>
      <w:r>
        <w:rPr>
          <w:color w:val="auto"/>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85D7731">
      <w:pPr>
        <w:pStyle w:val="21"/>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cs="Times New Roman"/>
          <w:color w:val="auto"/>
          <w:kern w:val="0"/>
          <w:sz w:val="24"/>
          <w:highlight w:val="none"/>
        </w:rPr>
      </w:pPr>
      <w:r>
        <w:rPr>
          <w:rFonts w:cs="Times New Roman"/>
          <w:color w:val="auto"/>
          <w:kern w:val="0"/>
          <w:sz w:val="24"/>
          <w:highlight w:val="none"/>
        </w:rPr>
        <w:t>5、询问或者质疑事项可能影响中标结果的，采购人应当暂停签订合同，已经签订合同的，应当中止履行合同（中标结果的质疑期为中标结果公告期限届满之日起七个工作日）。</w:t>
      </w:r>
    </w:p>
    <w:p w14:paraId="29E263CC">
      <w:pPr>
        <w:pStyle w:val="21"/>
        <w:keepNext w:val="0"/>
        <w:keepLines w:val="0"/>
        <w:pageBreakBefore w:val="0"/>
        <w:kinsoku/>
        <w:wordWrap/>
        <w:overflowPunct/>
        <w:topLinePunct w:val="0"/>
        <w:bidi w:val="0"/>
        <w:adjustRightInd/>
        <w:snapToGrid/>
        <w:spacing w:line="360" w:lineRule="auto"/>
        <w:ind w:left="0" w:leftChars="0" w:right="0" w:rightChars="0" w:firstLine="482" w:firstLineChars="200"/>
        <w:textAlignment w:val="auto"/>
        <w:rPr>
          <w:b/>
          <w:color w:val="auto"/>
          <w:sz w:val="24"/>
          <w:highlight w:val="none"/>
        </w:rPr>
      </w:pPr>
      <w:r>
        <w:rPr>
          <w:b/>
          <w:color w:val="auto"/>
          <w:sz w:val="24"/>
          <w:highlight w:val="none"/>
        </w:rPr>
        <w:t>（二）合同公告及备案</w:t>
      </w:r>
    </w:p>
    <w:p w14:paraId="30D45F6E">
      <w:pPr>
        <w:pStyle w:val="21"/>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cs="Times New Roman"/>
          <w:color w:val="auto"/>
          <w:kern w:val="0"/>
          <w:sz w:val="24"/>
          <w:highlight w:val="none"/>
        </w:rPr>
      </w:pPr>
      <w:r>
        <w:rPr>
          <w:rFonts w:hint="eastAsia" w:cs="Times New Roman"/>
          <w:color w:val="auto"/>
          <w:kern w:val="0"/>
          <w:sz w:val="24"/>
          <w:highlight w:val="none"/>
        </w:rPr>
        <w:t>1、采购人应当自政府采购合同签订之日起2个工作日内，</w:t>
      </w:r>
      <w:r>
        <w:rPr>
          <w:rFonts w:cs="Times New Roman"/>
          <w:color w:val="auto"/>
          <w:kern w:val="0"/>
          <w:sz w:val="24"/>
          <w:highlight w:val="none"/>
        </w:rPr>
        <w:t>在省级以上财政部门指定的</w:t>
      </w:r>
      <w:r>
        <w:rPr>
          <w:rFonts w:hint="eastAsia" w:cs="Times New Roman"/>
          <w:color w:val="auto"/>
          <w:kern w:val="0"/>
          <w:sz w:val="24"/>
          <w:highlight w:val="none"/>
        </w:rPr>
        <w:t>政府采购信息发布</w:t>
      </w:r>
      <w:r>
        <w:rPr>
          <w:rFonts w:cs="Times New Roman"/>
          <w:color w:val="auto"/>
          <w:kern w:val="0"/>
          <w:sz w:val="24"/>
          <w:highlight w:val="none"/>
        </w:rPr>
        <w:t>媒体及相关网站</w:t>
      </w:r>
      <w:r>
        <w:rPr>
          <w:rFonts w:hint="eastAsia" w:cs="Times New Roman"/>
          <w:color w:val="auto"/>
          <w:kern w:val="0"/>
          <w:sz w:val="24"/>
          <w:highlight w:val="none"/>
        </w:rPr>
        <w:t>上</w:t>
      </w:r>
      <w:r>
        <w:rPr>
          <w:rFonts w:cs="Times New Roman"/>
          <w:color w:val="auto"/>
          <w:kern w:val="0"/>
          <w:sz w:val="24"/>
          <w:highlight w:val="none"/>
        </w:rPr>
        <w:t>公告</w:t>
      </w:r>
      <w:r>
        <w:rPr>
          <w:rFonts w:hint="eastAsia" w:cs="Times New Roman"/>
          <w:color w:val="auto"/>
          <w:kern w:val="0"/>
          <w:sz w:val="24"/>
          <w:highlight w:val="none"/>
        </w:rPr>
        <w:t>。</w:t>
      </w:r>
    </w:p>
    <w:p w14:paraId="5B0A352C">
      <w:pPr>
        <w:pStyle w:val="21"/>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color w:val="auto"/>
          <w:sz w:val="24"/>
          <w:highlight w:val="none"/>
        </w:rPr>
      </w:pPr>
      <w:r>
        <w:rPr>
          <w:rFonts w:hint="eastAsia" w:cs="Times New Roman"/>
          <w:color w:val="auto"/>
          <w:kern w:val="0"/>
          <w:sz w:val="24"/>
          <w:highlight w:val="none"/>
        </w:rPr>
        <w:t>2、采购人应当自政府采购合同签订之日起7个工作日内，将政府采购合同</w:t>
      </w:r>
      <w:r>
        <w:rPr>
          <w:rFonts w:hint="eastAsia"/>
          <w:color w:val="auto"/>
          <w:sz w:val="24"/>
          <w:highlight w:val="none"/>
        </w:rPr>
        <w:t>副本报同级人民政府财政部门备案以及采购组织机构存档。</w:t>
      </w:r>
    </w:p>
    <w:p w14:paraId="6994D50F">
      <w:pPr>
        <w:widowControl/>
        <w:ind w:firstLine="1968" w:firstLineChars="700"/>
        <w:jc w:val="left"/>
        <w:rPr>
          <w:rFonts w:ascii="宋体"/>
          <w:b/>
          <w:color w:val="auto"/>
          <w:sz w:val="36"/>
          <w:szCs w:val="36"/>
          <w:highlight w:val="none"/>
        </w:rPr>
      </w:pPr>
      <w:r>
        <w:rPr>
          <w:rFonts w:ascii="宋体"/>
          <w:b/>
          <w:color w:val="auto"/>
          <w:sz w:val="28"/>
          <w:szCs w:val="28"/>
          <w:highlight w:val="none"/>
        </w:rPr>
        <w:br w:type="page"/>
      </w:r>
      <w:bookmarkStart w:id="27" w:name="_Toc68703364"/>
      <w:bookmarkStart w:id="28" w:name="_Hlk70243812"/>
      <w:r>
        <w:rPr>
          <w:rFonts w:hint="eastAsia" w:ascii="宋体"/>
          <w:b/>
          <w:color w:val="auto"/>
          <w:sz w:val="36"/>
          <w:szCs w:val="36"/>
          <w:highlight w:val="none"/>
        </w:rPr>
        <w:t>第三章 评标办法及评分标准</w:t>
      </w:r>
      <w:bookmarkEnd w:id="27"/>
    </w:p>
    <w:p w14:paraId="6F1C79FC">
      <w:pPr>
        <w:autoSpaceDE w:val="0"/>
        <w:autoSpaceDN w:val="0"/>
        <w:spacing w:line="500" w:lineRule="exact"/>
        <w:ind w:right="-340" w:rightChars="-162" w:firstLine="480" w:firstLineChars="200"/>
        <w:rPr>
          <w:rFonts w:ascii="宋体"/>
          <w:b/>
          <w:i/>
          <w:color w:val="auto"/>
          <w:kern w:val="0"/>
          <w:sz w:val="24"/>
          <w:highlight w:val="none"/>
        </w:rPr>
      </w:pPr>
      <w:r>
        <w:rPr>
          <w:rFonts w:hint="eastAsia" w:ascii="宋体"/>
          <w:color w:val="auto"/>
          <w:kern w:val="0"/>
          <w:sz w:val="24"/>
          <w:highlight w:val="none"/>
        </w:rPr>
        <w:t>一、采购组织机构将组织评标委员会，对投标人提供的投标文件进行综合评审。</w:t>
      </w:r>
    </w:p>
    <w:p w14:paraId="743ED457">
      <w:pPr>
        <w:autoSpaceDE w:val="0"/>
        <w:autoSpaceDN w:val="0"/>
        <w:spacing w:line="500" w:lineRule="exact"/>
        <w:ind w:firstLine="480" w:firstLineChars="200"/>
        <w:rPr>
          <w:rFonts w:ascii="宋体"/>
          <w:color w:val="auto"/>
          <w:kern w:val="0"/>
          <w:sz w:val="24"/>
          <w:highlight w:val="none"/>
        </w:rPr>
      </w:pPr>
      <w:r>
        <w:rPr>
          <w:rFonts w:hint="eastAsia" w:ascii="宋体"/>
          <w:color w:val="auto"/>
          <w:kern w:val="0"/>
          <w:sz w:val="24"/>
          <w:highlight w:val="none"/>
        </w:rPr>
        <w:t>二、本次招标项目的评标方法为综合评分法，总计100分。评标标准按以下内容及分值进行评审。</w:t>
      </w:r>
    </w:p>
    <w:tbl>
      <w:tblPr>
        <w:tblStyle w:val="35"/>
        <w:tblW w:w="7533"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3801"/>
      </w:tblGrid>
      <w:tr w14:paraId="794D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732" w:type="dxa"/>
            <w:tcBorders>
              <w:tl2br w:val="single" w:color="auto" w:sz="4" w:space="0"/>
            </w:tcBorders>
          </w:tcPr>
          <w:p w14:paraId="35AB61F2">
            <w:pPr>
              <w:autoSpaceDE w:val="0"/>
              <w:autoSpaceDN w:val="0"/>
              <w:adjustRightInd w:val="0"/>
              <w:spacing w:line="500" w:lineRule="exact"/>
              <w:jc w:val="left"/>
              <w:rPr>
                <w:rFonts w:ascii="宋体" w:cs="Arial"/>
                <w:color w:val="auto"/>
                <w:sz w:val="24"/>
                <w:highlight w:val="none"/>
              </w:rPr>
            </w:pPr>
            <w:r>
              <w:rPr>
                <w:rFonts w:hint="eastAsia" w:ascii="宋体" w:cs="Arial"/>
                <w:color w:val="auto"/>
                <w:sz w:val="24"/>
                <w:highlight w:val="none"/>
              </w:rPr>
              <w:t xml:space="preserve">         </w:t>
            </w:r>
            <w:r>
              <w:rPr>
                <w:rFonts w:ascii="宋体" w:cs="Arial"/>
                <w:color w:val="auto"/>
                <w:sz w:val="24"/>
                <w:highlight w:val="none"/>
              </w:rPr>
              <w:t xml:space="preserve">    </w:t>
            </w:r>
            <w:r>
              <w:rPr>
                <w:rFonts w:hint="eastAsia" w:ascii="宋体" w:cs="Arial"/>
                <w:color w:val="auto"/>
                <w:sz w:val="24"/>
                <w:highlight w:val="none"/>
              </w:rPr>
              <w:t xml:space="preserve"> 标段</w:t>
            </w:r>
          </w:p>
          <w:p w14:paraId="24A6C1EF">
            <w:pPr>
              <w:autoSpaceDE w:val="0"/>
              <w:autoSpaceDN w:val="0"/>
              <w:adjustRightInd w:val="0"/>
              <w:spacing w:line="500" w:lineRule="exact"/>
              <w:jc w:val="left"/>
              <w:rPr>
                <w:rFonts w:ascii="宋体" w:cs="Arial"/>
                <w:color w:val="auto"/>
                <w:sz w:val="24"/>
                <w:highlight w:val="none"/>
              </w:rPr>
            </w:pPr>
            <w:r>
              <w:rPr>
                <w:rFonts w:hint="eastAsia" w:ascii="宋体" w:cs="Arial"/>
                <w:color w:val="auto"/>
                <w:sz w:val="24"/>
                <w:highlight w:val="none"/>
              </w:rPr>
              <w:t>类别</w:t>
            </w:r>
          </w:p>
        </w:tc>
        <w:tc>
          <w:tcPr>
            <w:tcW w:w="3801" w:type="dxa"/>
            <w:vAlign w:val="center"/>
          </w:tcPr>
          <w:p w14:paraId="5A6C5E04">
            <w:pPr>
              <w:autoSpaceDE w:val="0"/>
              <w:autoSpaceDN w:val="0"/>
              <w:adjustRightInd w:val="0"/>
              <w:spacing w:line="500" w:lineRule="exact"/>
              <w:jc w:val="center"/>
              <w:rPr>
                <w:rFonts w:hint="default" w:ascii="宋体" w:eastAsia="宋体" w:cs="Arial"/>
                <w:color w:val="auto"/>
                <w:sz w:val="24"/>
                <w:highlight w:val="none"/>
                <w:lang w:val="en-US" w:eastAsia="zh-CN"/>
              </w:rPr>
            </w:pPr>
            <w:r>
              <w:rPr>
                <w:rFonts w:ascii="宋体" w:cs="Arial"/>
                <w:color w:val="auto"/>
                <w:sz w:val="24"/>
                <w:highlight w:val="none"/>
              </w:rPr>
              <w:fldChar w:fldCharType="begin"/>
            </w:r>
            <w:r>
              <w:rPr>
                <w:rFonts w:hint="eastAsia" w:ascii="宋体" w:cs="Arial"/>
                <w:color w:val="auto"/>
                <w:sz w:val="24"/>
                <w:highlight w:val="none"/>
              </w:rPr>
              <w:instrText xml:space="preserve">= 1 \* CHINESENUM3</w:instrText>
            </w:r>
            <w:r>
              <w:rPr>
                <w:rFonts w:ascii="宋体" w:cs="Arial"/>
                <w:color w:val="auto"/>
                <w:sz w:val="24"/>
                <w:highlight w:val="none"/>
              </w:rPr>
              <w:fldChar w:fldCharType="separate"/>
            </w:r>
            <w:r>
              <w:rPr>
                <w:rFonts w:hint="eastAsia" w:ascii="宋体" w:cs="Arial"/>
                <w:color w:val="auto"/>
                <w:sz w:val="24"/>
                <w:highlight w:val="none"/>
              </w:rPr>
              <w:t>一</w:t>
            </w:r>
            <w:r>
              <w:rPr>
                <w:rFonts w:ascii="宋体" w:cs="Arial"/>
                <w:color w:val="auto"/>
                <w:sz w:val="24"/>
                <w:highlight w:val="none"/>
              </w:rPr>
              <w:fldChar w:fldCharType="end"/>
            </w:r>
          </w:p>
        </w:tc>
      </w:tr>
      <w:tr w14:paraId="181B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732" w:type="dxa"/>
            <w:vAlign w:val="center"/>
          </w:tcPr>
          <w:p w14:paraId="4195F670">
            <w:pPr>
              <w:spacing w:line="500" w:lineRule="exact"/>
              <w:jc w:val="center"/>
              <w:rPr>
                <w:rFonts w:ascii="宋体"/>
                <w:color w:val="auto"/>
                <w:kern w:val="0"/>
                <w:sz w:val="24"/>
                <w:highlight w:val="none"/>
              </w:rPr>
            </w:pPr>
            <w:r>
              <w:rPr>
                <w:rFonts w:hint="eastAsia" w:ascii="宋体"/>
                <w:bCs/>
                <w:color w:val="auto"/>
                <w:sz w:val="24"/>
                <w:highlight w:val="none"/>
                <w:lang w:val="zh-CN"/>
              </w:rPr>
              <w:t>商务技术文件</w:t>
            </w:r>
            <w:r>
              <w:rPr>
                <w:rFonts w:hint="eastAsia" w:ascii="宋体"/>
                <w:color w:val="auto"/>
                <w:kern w:val="0"/>
                <w:sz w:val="24"/>
                <w:highlight w:val="none"/>
                <w:lang w:val="zh-CN"/>
              </w:rPr>
              <w:t>分</w:t>
            </w:r>
          </w:p>
        </w:tc>
        <w:tc>
          <w:tcPr>
            <w:tcW w:w="3801" w:type="dxa"/>
            <w:vAlign w:val="center"/>
          </w:tcPr>
          <w:p w14:paraId="5FA82319">
            <w:pPr>
              <w:autoSpaceDE w:val="0"/>
              <w:autoSpaceDN w:val="0"/>
              <w:adjustRightInd w:val="0"/>
              <w:spacing w:line="500" w:lineRule="exact"/>
              <w:jc w:val="center"/>
              <w:rPr>
                <w:rFonts w:ascii="宋体"/>
                <w:color w:val="auto"/>
                <w:kern w:val="0"/>
                <w:sz w:val="24"/>
                <w:highlight w:val="none"/>
              </w:rPr>
            </w:pPr>
            <w:r>
              <w:rPr>
                <w:rFonts w:hint="eastAsia" w:ascii="宋体"/>
                <w:color w:val="auto"/>
                <w:kern w:val="0"/>
                <w:sz w:val="24"/>
                <w:highlight w:val="none"/>
                <w:lang w:val="en-US" w:eastAsia="zh-CN"/>
              </w:rPr>
              <w:t>70</w:t>
            </w:r>
            <w:r>
              <w:rPr>
                <w:rFonts w:hint="eastAsia" w:ascii="宋体"/>
                <w:color w:val="auto"/>
                <w:kern w:val="0"/>
                <w:sz w:val="24"/>
                <w:highlight w:val="none"/>
              </w:rPr>
              <w:t>分</w:t>
            </w:r>
          </w:p>
        </w:tc>
      </w:tr>
      <w:tr w14:paraId="553E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32" w:type="dxa"/>
            <w:vAlign w:val="center"/>
          </w:tcPr>
          <w:p w14:paraId="0ED5F889">
            <w:pPr>
              <w:autoSpaceDE w:val="0"/>
              <w:autoSpaceDN w:val="0"/>
              <w:adjustRightInd w:val="0"/>
              <w:spacing w:line="500" w:lineRule="exact"/>
              <w:jc w:val="center"/>
              <w:rPr>
                <w:rFonts w:ascii="宋体"/>
                <w:color w:val="auto"/>
                <w:kern w:val="0"/>
                <w:sz w:val="24"/>
                <w:highlight w:val="none"/>
              </w:rPr>
            </w:pPr>
            <w:r>
              <w:rPr>
                <w:rFonts w:hint="eastAsia" w:ascii="宋体"/>
                <w:color w:val="auto"/>
                <w:kern w:val="0"/>
                <w:sz w:val="24"/>
                <w:highlight w:val="none"/>
              </w:rPr>
              <w:t>报价分</w:t>
            </w:r>
          </w:p>
        </w:tc>
        <w:tc>
          <w:tcPr>
            <w:tcW w:w="3801" w:type="dxa"/>
            <w:vAlign w:val="center"/>
          </w:tcPr>
          <w:p w14:paraId="26250A52">
            <w:pPr>
              <w:autoSpaceDE w:val="0"/>
              <w:autoSpaceDN w:val="0"/>
              <w:adjustRightInd w:val="0"/>
              <w:spacing w:line="500" w:lineRule="exact"/>
              <w:jc w:val="center"/>
              <w:rPr>
                <w:rFonts w:ascii="宋体"/>
                <w:color w:val="auto"/>
                <w:kern w:val="0"/>
                <w:sz w:val="24"/>
                <w:highlight w:val="none"/>
              </w:rPr>
            </w:pPr>
            <w:r>
              <w:rPr>
                <w:rFonts w:hint="eastAsia" w:ascii="宋体"/>
                <w:color w:val="auto"/>
                <w:kern w:val="0"/>
                <w:sz w:val="24"/>
                <w:highlight w:val="none"/>
                <w:lang w:val="en-US" w:eastAsia="zh-CN"/>
              </w:rPr>
              <w:t>30</w:t>
            </w:r>
            <w:r>
              <w:rPr>
                <w:rFonts w:hint="eastAsia" w:ascii="宋体"/>
                <w:color w:val="auto"/>
                <w:kern w:val="0"/>
                <w:sz w:val="24"/>
                <w:highlight w:val="none"/>
              </w:rPr>
              <w:t>分</w:t>
            </w:r>
          </w:p>
        </w:tc>
      </w:tr>
    </w:tbl>
    <w:p w14:paraId="699D1605">
      <w:pPr>
        <w:autoSpaceDE w:val="0"/>
        <w:autoSpaceDN w:val="0"/>
        <w:adjustRightInd w:val="0"/>
        <w:spacing w:line="500" w:lineRule="exact"/>
        <w:ind w:right="84" w:firstLine="472"/>
        <w:rPr>
          <w:rFonts w:ascii="宋体"/>
          <w:bCs/>
          <w:color w:val="auto"/>
          <w:sz w:val="24"/>
          <w:highlight w:val="none"/>
          <w:lang w:val="zh-CN"/>
        </w:rPr>
      </w:pPr>
      <w:r>
        <w:rPr>
          <w:rFonts w:hint="eastAsia" w:ascii="宋体"/>
          <w:bCs/>
          <w:color w:val="auto"/>
          <w:sz w:val="24"/>
          <w:highlight w:val="none"/>
          <w:lang w:val="zh-CN"/>
        </w:rPr>
        <w:t>（一）商务技术文件中的客观分打分分值应一致，由评标委员会独立打分，客观分打分不一致时，采购人及采购代理机构可以提示评审委员会复核或书面说明理由。</w:t>
      </w:r>
    </w:p>
    <w:p w14:paraId="795B8FBC">
      <w:pPr>
        <w:autoSpaceDE w:val="0"/>
        <w:autoSpaceDN w:val="0"/>
        <w:adjustRightInd w:val="0"/>
        <w:spacing w:line="500" w:lineRule="exact"/>
        <w:ind w:right="84" w:firstLine="472"/>
        <w:rPr>
          <w:rFonts w:ascii="宋体"/>
          <w:bCs/>
          <w:color w:val="auto"/>
          <w:sz w:val="24"/>
          <w:highlight w:val="none"/>
          <w:shd w:val="clear" w:color="FFFFFF" w:fill="D9D9D9"/>
          <w:lang w:val="zh-CN"/>
        </w:rPr>
      </w:pPr>
      <w:r>
        <w:rPr>
          <w:rFonts w:hint="eastAsia" w:ascii="宋体"/>
          <w:bCs/>
          <w:color w:val="auto"/>
          <w:sz w:val="24"/>
          <w:highlight w:val="none"/>
          <w:lang w:val="zh-CN"/>
        </w:rPr>
        <w:t>（二）各投标人商务技术文件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员的独立评分结果汇总后的算术平均分计算，计算公式为：</w:t>
      </w:r>
    </w:p>
    <w:p w14:paraId="7B8B1407">
      <w:pPr>
        <w:autoSpaceDE w:val="0"/>
        <w:autoSpaceDN w:val="0"/>
        <w:adjustRightInd w:val="0"/>
        <w:spacing w:line="500" w:lineRule="exact"/>
        <w:ind w:right="84" w:firstLine="472"/>
        <w:rPr>
          <w:rFonts w:ascii="宋体"/>
          <w:bCs/>
          <w:color w:val="auto"/>
          <w:sz w:val="24"/>
          <w:highlight w:val="none"/>
          <w:shd w:val="clear" w:color="FFFFFF" w:fill="D9D9D9"/>
          <w:lang w:val="zh-CN"/>
        </w:rPr>
      </w:pPr>
      <w:r>
        <w:rPr>
          <w:rFonts w:hint="eastAsia" w:ascii="宋体"/>
          <w:color w:val="auto"/>
          <w:sz w:val="24"/>
          <w:highlight w:val="none"/>
        </w:rPr>
        <w:t>商务技术文件得分</w:t>
      </w:r>
      <w:r>
        <w:rPr>
          <w:rFonts w:hint="eastAsia" w:ascii="宋体"/>
          <w:bCs/>
          <w:color w:val="auto"/>
          <w:sz w:val="24"/>
          <w:highlight w:val="none"/>
          <w:lang w:val="zh-CN"/>
        </w:rPr>
        <w:t>=评标委员会所有成员评分合计数/评标委员会组成人员数。</w:t>
      </w:r>
    </w:p>
    <w:p w14:paraId="56FC76CA">
      <w:pPr>
        <w:autoSpaceDE w:val="0"/>
        <w:autoSpaceDN w:val="0"/>
        <w:adjustRightInd w:val="0"/>
        <w:spacing w:line="500" w:lineRule="exact"/>
        <w:ind w:right="85" w:firstLine="480" w:firstLineChars="200"/>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投标报价得分采用低价优先法计算，即满足招标文件要求且经评审投标价格最低的投标报价为评标基准价，其报价得满分。其他投标人的投标报价得分按下列公式计算：</w:t>
      </w:r>
    </w:p>
    <w:p w14:paraId="0569F06C">
      <w:pPr>
        <w:autoSpaceDE w:val="0"/>
        <w:autoSpaceDN w:val="0"/>
        <w:adjustRightInd w:val="0"/>
        <w:spacing w:line="500" w:lineRule="exact"/>
        <w:ind w:right="85" w:firstLine="480" w:firstLineChars="200"/>
        <w:rPr>
          <w:rFonts w:ascii="宋体"/>
          <w:color w:val="auto"/>
          <w:sz w:val="24"/>
          <w:highlight w:val="none"/>
          <w:u w:val="single"/>
        </w:rPr>
      </w:pPr>
      <w:r>
        <w:rPr>
          <w:rFonts w:hint="eastAsia"/>
          <w:color w:val="auto"/>
          <w:sz w:val="24"/>
          <w:highlight w:val="none"/>
          <w:u w:val="single"/>
        </w:rPr>
        <w:t>投标报价得</w:t>
      </w:r>
      <w:r>
        <w:rPr>
          <w:color w:val="auto"/>
          <w:sz w:val="24"/>
          <w:highlight w:val="none"/>
          <w:u w:val="single"/>
        </w:rPr>
        <w:t>分=(评标基准价／投</w:t>
      </w:r>
      <w:r>
        <w:rPr>
          <w:rFonts w:ascii="宋体"/>
          <w:color w:val="auto"/>
          <w:sz w:val="24"/>
          <w:highlight w:val="none"/>
          <w:u w:val="single"/>
        </w:rPr>
        <w:t>标报价)×</w:t>
      </w:r>
      <w:r>
        <w:rPr>
          <w:rFonts w:hint="eastAsia" w:ascii="宋体"/>
          <w:color w:val="auto"/>
          <w:sz w:val="24"/>
          <w:highlight w:val="none"/>
          <w:u w:val="single"/>
          <w:lang w:val="en-US" w:eastAsia="zh-CN"/>
        </w:rPr>
        <w:t>30</w:t>
      </w:r>
      <w:r>
        <w:rPr>
          <w:rFonts w:hint="eastAsia" w:ascii="宋体"/>
          <w:color w:val="auto"/>
          <w:sz w:val="24"/>
          <w:highlight w:val="none"/>
          <w:u w:val="single"/>
        </w:rPr>
        <w:t>%</w:t>
      </w:r>
      <w:r>
        <w:rPr>
          <w:rFonts w:ascii="宋体"/>
          <w:color w:val="auto"/>
          <w:sz w:val="24"/>
          <w:highlight w:val="none"/>
          <w:u w:val="single"/>
        </w:rPr>
        <w:t>×100</w:t>
      </w:r>
      <w:r>
        <w:rPr>
          <w:rFonts w:hint="eastAsia" w:ascii="宋体"/>
          <w:color w:val="auto"/>
          <w:sz w:val="24"/>
          <w:highlight w:val="none"/>
          <w:u w:val="single"/>
        </w:rPr>
        <w:t>。</w:t>
      </w:r>
    </w:p>
    <w:p w14:paraId="681A099C">
      <w:pPr>
        <w:numPr>
          <w:ilvl w:val="0"/>
          <w:numId w:val="2"/>
        </w:numPr>
        <w:autoSpaceDE w:val="0"/>
        <w:autoSpaceDN w:val="0"/>
        <w:adjustRightInd w:val="0"/>
        <w:spacing w:line="520" w:lineRule="exact"/>
        <w:ind w:right="85" w:firstLine="480" w:firstLineChars="200"/>
        <w:rPr>
          <w:rFonts w:hint="eastAsia" w:ascii="宋体"/>
          <w:color w:val="auto"/>
          <w:sz w:val="24"/>
          <w:highlight w:val="none"/>
          <w:lang w:val="zh-CN"/>
        </w:rPr>
      </w:pPr>
      <w:r>
        <w:rPr>
          <w:rFonts w:hint="eastAsia" w:ascii="宋体"/>
          <w:color w:val="auto"/>
          <w:sz w:val="24"/>
          <w:highlight w:val="none"/>
          <w:lang w:val="zh-CN"/>
        </w:rPr>
        <w:t>在最大限度地满足招标文件实质性要求前提下，评标委员会按照招标文件中规定的各项因素进行综合评审后，</w:t>
      </w:r>
      <w:r>
        <w:rPr>
          <w:rFonts w:hint="eastAsia" w:ascii="宋体" w:hAnsi="宋体" w:cs="宋体"/>
          <w:color w:val="auto"/>
          <w:sz w:val="24"/>
          <w:highlight w:val="none"/>
          <w:lang w:val="zh-CN"/>
        </w:rPr>
        <w:t>以评审总得分最高的供应商为第一中标候选人，评审总得分次高的供应商为第二中标候选人</w:t>
      </w:r>
      <w:r>
        <w:rPr>
          <w:rFonts w:hint="eastAsia" w:ascii="宋体"/>
          <w:color w:val="auto"/>
          <w:sz w:val="24"/>
          <w:highlight w:val="none"/>
          <w:lang w:val="zh-CN"/>
        </w:rPr>
        <w:t>。</w:t>
      </w:r>
    </w:p>
    <w:p w14:paraId="14772537">
      <w:pPr>
        <w:numPr>
          <w:ilvl w:val="0"/>
          <w:numId w:val="2"/>
        </w:numPr>
        <w:autoSpaceDE w:val="0"/>
        <w:autoSpaceDN w:val="0"/>
        <w:adjustRightInd w:val="0"/>
        <w:spacing w:line="520" w:lineRule="exact"/>
        <w:ind w:right="85" w:firstLine="480" w:firstLineChars="200"/>
        <w:rPr>
          <w:rFonts w:ascii="宋体"/>
          <w:color w:val="auto"/>
          <w:sz w:val="24"/>
          <w:highlight w:val="none"/>
          <w:lang w:val="zh-CN"/>
        </w:rPr>
      </w:pPr>
      <w:r>
        <w:rPr>
          <w:rFonts w:hint="eastAsia" w:ascii="宋体"/>
          <w:color w:val="auto"/>
          <w:sz w:val="24"/>
          <w:highlight w:val="none"/>
          <w:lang w:val="zh-CN"/>
        </w:rPr>
        <w:t>如综合得分相同，投标报价低者为先；如综合得分且投标报价相同的，抽签确定。</w:t>
      </w:r>
    </w:p>
    <w:p w14:paraId="1D347BC0">
      <w:pPr>
        <w:numPr>
          <w:ilvl w:val="0"/>
          <w:numId w:val="2"/>
        </w:numPr>
        <w:autoSpaceDE w:val="0"/>
        <w:autoSpaceDN w:val="0"/>
        <w:adjustRightInd w:val="0"/>
        <w:spacing w:line="520" w:lineRule="exact"/>
        <w:ind w:left="0" w:leftChars="0" w:firstLine="480" w:firstLineChars="200"/>
        <w:jc w:val="left"/>
        <w:rPr>
          <w:rFonts w:hint="eastAsia" w:ascii="宋体"/>
          <w:color w:val="auto"/>
          <w:kern w:val="0"/>
          <w:sz w:val="24"/>
          <w:highlight w:val="none"/>
        </w:rPr>
      </w:pPr>
      <w:r>
        <w:rPr>
          <w:rFonts w:hint="eastAsia" w:ascii="宋体"/>
          <w:color w:val="auto"/>
          <w:kern w:val="0"/>
          <w:sz w:val="24"/>
          <w:highlight w:val="none"/>
        </w:rPr>
        <w:t>本次评分具体分值细化条款如下表：</w:t>
      </w:r>
    </w:p>
    <w:p w14:paraId="70777549">
      <w:pPr>
        <w:widowControl w:val="0"/>
        <w:numPr>
          <w:ilvl w:val="0"/>
          <w:numId w:val="0"/>
        </w:numPr>
        <w:autoSpaceDE w:val="0"/>
        <w:autoSpaceDN w:val="0"/>
        <w:adjustRightInd w:val="0"/>
        <w:spacing w:line="520" w:lineRule="exact"/>
        <w:jc w:val="left"/>
        <w:rPr>
          <w:rFonts w:hint="eastAsia" w:ascii="宋体"/>
          <w:color w:val="auto"/>
          <w:kern w:val="0"/>
          <w:sz w:val="24"/>
          <w:highlight w:val="none"/>
        </w:rPr>
      </w:pPr>
    </w:p>
    <w:p w14:paraId="167F7C1E">
      <w:pPr>
        <w:widowControl w:val="0"/>
        <w:numPr>
          <w:ilvl w:val="0"/>
          <w:numId w:val="0"/>
        </w:numPr>
        <w:autoSpaceDE w:val="0"/>
        <w:autoSpaceDN w:val="0"/>
        <w:adjustRightInd w:val="0"/>
        <w:spacing w:line="520" w:lineRule="exact"/>
        <w:jc w:val="left"/>
        <w:rPr>
          <w:rFonts w:hint="eastAsia" w:ascii="宋体"/>
          <w:color w:val="auto"/>
          <w:kern w:val="0"/>
          <w:sz w:val="24"/>
          <w:highlight w:val="none"/>
        </w:rPr>
      </w:pPr>
    </w:p>
    <w:p w14:paraId="4AF4EF19">
      <w:pPr>
        <w:widowControl w:val="0"/>
        <w:numPr>
          <w:ilvl w:val="0"/>
          <w:numId w:val="0"/>
        </w:numPr>
        <w:autoSpaceDE w:val="0"/>
        <w:autoSpaceDN w:val="0"/>
        <w:adjustRightInd w:val="0"/>
        <w:spacing w:line="520" w:lineRule="exact"/>
        <w:jc w:val="left"/>
        <w:rPr>
          <w:rFonts w:hint="eastAsia" w:ascii="宋体"/>
          <w:color w:val="auto"/>
          <w:kern w:val="0"/>
          <w:sz w:val="24"/>
          <w:highlight w:val="none"/>
        </w:rPr>
      </w:pPr>
    </w:p>
    <w:p w14:paraId="7942027A">
      <w:pPr>
        <w:widowControl w:val="0"/>
        <w:numPr>
          <w:ilvl w:val="0"/>
          <w:numId w:val="0"/>
        </w:numPr>
        <w:autoSpaceDE w:val="0"/>
        <w:autoSpaceDN w:val="0"/>
        <w:adjustRightInd w:val="0"/>
        <w:spacing w:line="520" w:lineRule="exact"/>
        <w:jc w:val="left"/>
        <w:rPr>
          <w:rFonts w:hint="eastAsia" w:ascii="宋体"/>
          <w:color w:val="auto"/>
          <w:kern w:val="0"/>
          <w:sz w:val="24"/>
          <w:highlight w:val="none"/>
        </w:rPr>
      </w:pPr>
    </w:p>
    <w:p w14:paraId="1621A040">
      <w:pPr>
        <w:autoSpaceDE w:val="0"/>
        <w:autoSpaceDN w:val="0"/>
        <w:adjustRightInd w:val="0"/>
        <w:spacing w:line="520" w:lineRule="exact"/>
        <w:jc w:val="center"/>
        <w:rPr>
          <w:rFonts w:hint="eastAsia" w:ascii="宋体"/>
          <w:b/>
          <w:bCs/>
          <w:color w:val="auto"/>
          <w:kern w:val="0"/>
          <w:sz w:val="36"/>
          <w:szCs w:val="36"/>
          <w:highlight w:val="none"/>
        </w:rPr>
      </w:pPr>
      <w:r>
        <w:rPr>
          <w:rFonts w:hint="eastAsia" w:ascii="宋体"/>
          <w:b/>
          <w:bCs/>
          <w:color w:val="auto"/>
          <w:kern w:val="0"/>
          <w:sz w:val="36"/>
          <w:szCs w:val="36"/>
          <w:highlight w:val="none"/>
        </w:rPr>
        <w:t>评分标准（技术、商务、资信，共</w:t>
      </w:r>
      <w:r>
        <w:rPr>
          <w:rFonts w:hint="eastAsia" w:ascii="宋体"/>
          <w:b/>
          <w:bCs/>
          <w:color w:val="auto"/>
          <w:kern w:val="0"/>
          <w:sz w:val="36"/>
          <w:szCs w:val="36"/>
          <w:highlight w:val="none"/>
          <w:lang w:val="en-US" w:eastAsia="zh-CN"/>
        </w:rPr>
        <w:t>70</w:t>
      </w:r>
      <w:r>
        <w:rPr>
          <w:rFonts w:hint="eastAsia" w:ascii="宋体"/>
          <w:b/>
          <w:bCs/>
          <w:color w:val="auto"/>
          <w:kern w:val="0"/>
          <w:sz w:val="36"/>
          <w:szCs w:val="36"/>
          <w:highlight w:val="none"/>
        </w:rPr>
        <w:t>分）</w:t>
      </w:r>
    </w:p>
    <w:tbl>
      <w:tblPr>
        <w:tblStyle w:val="35"/>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061"/>
        <w:gridCol w:w="6581"/>
        <w:gridCol w:w="823"/>
      </w:tblGrid>
      <w:tr w14:paraId="6A83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9" w:type="dxa"/>
            <w:vAlign w:val="center"/>
          </w:tcPr>
          <w:p w14:paraId="5791EF72">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Cs w:val="21"/>
              </w:rPr>
            </w:pPr>
            <w:r>
              <w:rPr>
                <w:rFonts w:hint="eastAsia" w:ascii="宋体" w:hAnsi="宋体" w:eastAsia="宋体" w:cs="宋体"/>
                <w:b/>
                <w:bCs/>
                <w:szCs w:val="21"/>
              </w:rPr>
              <w:t>序号</w:t>
            </w:r>
          </w:p>
        </w:tc>
        <w:tc>
          <w:tcPr>
            <w:tcW w:w="1061" w:type="dxa"/>
            <w:vAlign w:val="center"/>
          </w:tcPr>
          <w:p w14:paraId="223D7666">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Cs w:val="21"/>
              </w:rPr>
            </w:pPr>
            <w:r>
              <w:rPr>
                <w:rFonts w:hint="eastAsia" w:ascii="宋体" w:hAnsi="宋体" w:eastAsia="宋体" w:cs="宋体"/>
                <w:b/>
                <w:bCs/>
                <w:szCs w:val="21"/>
              </w:rPr>
              <w:t>评分项目</w:t>
            </w:r>
          </w:p>
        </w:tc>
        <w:tc>
          <w:tcPr>
            <w:tcW w:w="6581" w:type="dxa"/>
            <w:vAlign w:val="center"/>
          </w:tcPr>
          <w:p w14:paraId="1B9B356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Cs w:val="21"/>
              </w:rPr>
            </w:pPr>
            <w:r>
              <w:rPr>
                <w:rFonts w:hint="eastAsia" w:ascii="宋体" w:hAnsi="宋体" w:eastAsia="宋体" w:cs="宋体"/>
                <w:b/>
                <w:bCs/>
                <w:szCs w:val="21"/>
              </w:rPr>
              <w:t>评分内容</w:t>
            </w:r>
          </w:p>
        </w:tc>
        <w:tc>
          <w:tcPr>
            <w:tcW w:w="823" w:type="dxa"/>
            <w:vAlign w:val="center"/>
          </w:tcPr>
          <w:p w14:paraId="4A3B660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Cs w:val="21"/>
              </w:rPr>
            </w:pPr>
            <w:r>
              <w:rPr>
                <w:rFonts w:hint="eastAsia" w:ascii="宋体" w:hAnsi="宋体" w:eastAsia="宋体" w:cs="宋体"/>
                <w:b/>
                <w:bCs/>
                <w:szCs w:val="21"/>
              </w:rPr>
              <w:t>分值</w:t>
            </w:r>
          </w:p>
        </w:tc>
      </w:tr>
      <w:tr w14:paraId="105F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99" w:type="dxa"/>
            <w:vAlign w:val="center"/>
          </w:tcPr>
          <w:p w14:paraId="6E6E8A75">
            <w:pPr>
              <w:tabs>
                <w:tab w:val="left" w:pos="3870"/>
                <w:tab w:val="left" w:pos="4085"/>
              </w:tabs>
              <w:snapToGrid w:val="0"/>
              <w:spacing w:afterLines="50"/>
              <w:jc w:val="center"/>
              <w:rPr>
                <w:rFonts w:hint="eastAsia" w:ascii="宋体" w:hAnsi="宋体" w:eastAsia="宋体" w:cs="宋体"/>
                <w:b/>
                <w:bCs/>
                <w:szCs w:val="21"/>
                <w:lang w:val="en-US" w:eastAsia="zh-CN"/>
              </w:rPr>
            </w:pPr>
            <w:r>
              <w:rPr>
                <w:rFonts w:hint="eastAsia" w:ascii="宋体" w:hAnsi="宋体" w:eastAsia="宋体" w:cs="宋体"/>
                <w:b w:val="0"/>
                <w:bCs w:val="0"/>
                <w:szCs w:val="21"/>
                <w:lang w:val="en-US" w:eastAsia="zh-CN"/>
              </w:rPr>
              <w:t>1</w:t>
            </w:r>
          </w:p>
        </w:tc>
        <w:tc>
          <w:tcPr>
            <w:tcW w:w="1061" w:type="dxa"/>
            <w:vAlign w:val="center"/>
          </w:tcPr>
          <w:p w14:paraId="7E2C8212">
            <w:pPr>
              <w:keepNext w:val="0"/>
              <w:keepLines w:val="0"/>
              <w:pageBreakBefore w:val="0"/>
              <w:tabs>
                <w:tab w:val="left" w:pos="3870"/>
                <w:tab w:val="left" w:pos="4085"/>
              </w:tabs>
              <w:kinsoku/>
              <w:wordWrap/>
              <w:overflowPunct/>
              <w:topLinePunct w:val="0"/>
              <w:bidi w:val="0"/>
              <w:snapToGrid/>
              <w:spacing w:afterLines="50" w:line="240" w:lineRule="auto"/>
              <w:jc w:val="center"/>
              <w:rPr>
                <w:rFonts w:hint="eastAsia" w:ascii="宋体" w:hAnsi="宋体" w:eastAsia="宋体" w:cs="宋体"/>
                <w:b/>
                <w:bCs/>
                <w:szCs w:val="21"/>
              </w:rPr>
            </w:pPr>
            <w:r>
              <w:rPr>
                <w:rFonts w:hint="eastAsia" w:ascii="宋体" w:hAnsi="宋体" w:eastAsia="宋体" w:cs="宋体"/>
                <w:szCs w:val="21"/>
                <w:highlight w:val="none"/>
              </w:rPr>
              <w:t>综合实力</w:t>
            </w:r>
          </w:p>
        </w:tc>
        <w:tc>
          <w:tcPr>
            <w:tcW w:w="6581" w:type="dxa"/>
            <w:vAlign w:val="center"/>
          </w:tcPr>
          <w:p w14:paraId="2A7D3F38">
            <w:pPr>
              <w:pStyle w:val="33"/>
              <w:keepNext w:val="0"/>
              <w:keepLines w:val="0"/>
              <w:pageBreakBefore w:val="0"/>
              <w:kinsoku/>
              <w:wordWrap/>
              <w:overflowPunct/>
              <w:topLinePunct w:val="0"/>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具有依法有效资质的认证机构出具</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有效的质量管理体系认证证书、环境管理体系认证证书、职业健康安全管理体系认证证书，每项证书得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027EC66A">
            <w:pPr>
              <w:pStyle w:val="33"/>
              <w:keepNext w:val="0"/>
              <w:keepLines w:val="0"/>
              <w:pageBreakBefore w:val="0"/>
              <w:kinsoku/>
              <w:wordWrap/>
              <w:overflowPunct/>
              <w:topLinePunct w:val="0"/>
              <w:bidi w:val="0"/>
              <w:adjustRightInd/>
              <w:snapToGrid/>
              <w:spacing w:before="0" w:beforeAutospacing="0" w:after="0" w:afterAutospacing="0" w:line="360" w:lineRule="exact"/>
              <w:ind w:right="0"/>
              <w:jc w:val="both"/>
              <w:textAlignment w:val="auto"/>
              <w:rPr>
                <w:rFonts w:hint="eastAsia" w:ascii="宋体" w:hAnsi="宋体" w:eastAsia="宋体" w:cs="宋体"/>
                <w:szCs w:val="21"/>
                <w:lang w:val="zh-CN"/>
              </w:rPr>
            </w:pPr>
            <w:r>
              <w:rPr>
                <w:rFonts w:hint="eastAsia" w:ascii="宋体" w:hAnsi="宋体" w:eastAsia="宋体" w:cs="宋体"/>
                <w:b/>
                <w:bCs/>
                <w:color w:val="auto"/>
                <w:sz w:val="21"/>
                <w:szCs w:val="21"/>
                <w:highlight w:val="none"/>
                <w:lang w:val="zh-CN"/>
              </w:rPr>
              <w:t>注：</w:t>
            </w:r>
            <w:r>
              <w:rPr>
                <w:rFonts w:hint="eastAsia" w:ascii="宋体" w:hAnsi="宋体" w:eastAsia="宋体" w:cs="宋体"/>
                <w:b/>
                <w:bCs/>
                <w:color w:val="auto"/>
                <w:sz w:val="21"/>
                <w:szCs w:val="21"/>
                <w:highlight w:val="none"/>
                <w:lang w:val="en-US" w:eastAsia="zh-CN"/>
              </w:rPr>
              <w:t>提供有效期限内的体系认证证书扫描件，</w:t>
            </w:r>
            <w:r>
              <w:rPr>
                <w:rFonts w:hint="eastAsia" w:ascii="宋体" w:hAnsi="宋体" w:eastAsia="宋体" w:cs="宋体"/>
                <w:b/>
                <w:bCs/>
                <w:color w:val="auto"/>
                <w:sz w:val="21"/>
                <w:szCs w:val="21"/>
                <w:highlight w:val="none"/>
                <w:lang w:val="zh-CN"/>
              </w:rPr>
              <w:t>未按要求提供的不得分。</w:t>
            </w:r>
          </w:p>
        </w:tc>
        <w:tc>
          <w:tcPr>
            <w:tcW w:w="823" w:type="dxa"/>
            <w:vAlign w:val="center"/>
          </w:tcPr>
          <w:p w14:paraId="76DE97BD">
            <w:pPr>
              <w:tabs>
                <w:tab w:val="center" w:pos="199"/>
              </w:tabs>
              <w:autoSpaceDE w:val="0"/>
              <w:autoSpaceDN w:val="0"/>
              <w:adjustRightInd w:val="0"/>
              <w:spacing w:line="360" w:lineRule="auto"/>
              <w:ind w:right="85"/>
              <w:jc w:val="center"/>
              <w:rPr>
                <w:rFonts w:hint="eastAsia" w:ascii="宋体" w:hAnsi="宋体" w:eastAsia="宋体" w:cs="宋体"/>
                <w:b/>
                <w:bCs/>
                <w:szCs w:val="21"/>
                <w:lang w:val="en-US" w:eastAsia="zh-CN"/>
              </w:rPr>
            </w:pPr>
            <w:r>
              <w:rPr>
                <w:rFonts w:hint="eastAsia" w:ascii="宋体" w:hAnsi="宋体" w:eastAsia="宋体" w:cs="宋体"/>
                <w:b w:val="0"/>
                <w:bCs w:val="0"/>
                <w:szCs w:val="21"/>
                <w:lang w:val="en-US" w:eastAsia="zh-CN"/>
              </w:rPr>
              <w:t>6</w:t>
            </w:r>
          </w:p>
        </w:tc>
      </w:tr>
      <w:tr w14:paraId="45E3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99" w:type="dxa"/>
            <w:vAlign w:val="center"/>
          </w:tcPr>
          <w:p w14:paraId="327F86BB">
            <w:pPr>
              <w:tabs>
                <w:tab w:val="left" w:pos="3870"/>
                <w:tab w:val="left" w:pos="4085"/>
              </w:tabs>
              <w:snapToGrid w:val="0"/>
              <w:spacing w:afterLines="50"/>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1061" w:type="dxa"/>
            <w:vAlign w:val="center"/>
          </w:tcPr>
          <w:p w14:paraId="5C4221E8">
            <w:pPr>
              <w:keepNext w:val="0"/>
              <w:keepLines w:val="0"/>
              <w:pageBreakBefore w:val="0"/>
              <w:tabs>
                <w:tab w:val="left" w:pos="3870"/>
                <w:tab w:val="left" w:pos="4085"/>
              </w:tabs>
              <w:kinsoku/>
              <w:wordWrap/>
              <w:overflowPunct/>
              <w:topLinePunct w:val="0"/>
              <w:bidi w:val="0"/>
              <w:snapToGrid/>
              <w:spacing w:afterLines="50" w:line="240" w:lineRule="auto"/>
              <w:jc w:val="center"/>
              <w:rPr>
                <w:rFonts w:hint="eastAsia" w:ascii="宋体" w:hAnsi="宋体" w:eastAsia="宋体" w:cs="宋体"/>
                <w:szCs w:val="21"/>
              </w:rPr>
            </w:pPr>
            <w:r>
              <w:rPr>
                <w:rFonts w:hint="eastAsia" w:ascii="宋体" w:hAnsi="宋体" w:eastAsia="宋体" w:cs="宋体"/>
                <w:szCs w:val="21"/>
              </w:rPr>
              <w:t>业绩</w:t>
            </w:r>
          </w:p>
        </w:tc>
        <w:tc>
          <w:tcPr>
            <w:tcW w:w="6581" w:type="dxa"/>
            <w:vAlign w:val="center"/>
          </w:tcPr>
          <w:p w14:paraId="5DA99DF4">
            <w:pPr>
              <w:keepNext w:val="0"/>
              <w:keepLines w:val="0"/>
              <w:pageBreakBefore w:val="0"/>
              <w:kinsoku/>
              <w:wordWrap/>
              <w:overflowPunct/>
              <w:topLinePunct w:val="0"/>
              <w:autoSpaceDE w:val="0"/>
              <w:autoSpaceDN w:val="0"/>
              <w:bidi w:val="0"/>
              <w:adjustRightInd/>
              <w:snapToGrid/>
              <w:spacing w:line="360" w:lineRule="exact"/>
              <w:ind w:right="0"/>
              <w:textAlignment w:val="auto"/>
              <w:rPr>
                <w:rFonts w:hint="eastAsia" w:ascii="宋体" w:hAnsi="宋体" w:eastAsia="宋体" w:cs="宋体"/>
                <w:szCs w:val="21"/>
                <w:lang w:val="zh-CN"/>
              </w:rPr>
            </w:pPr>
            <w:r>
              <w:rPr>
                <w:rFonts w:hint="eastAsia" w:ascii="宋体" w:hAnsi="宋体" w:eastAsia="宋体" w:cs="宋体"/>
                <w:szCs w:val="21"/>
                <w:lang w:val="zh-CN"/>
              </w:rPr>
              <w:t>供应商在</w:t>
            </w:r>
            <w:r>
              <w:rPr>
                <w:rFonts w:hint="eastAsia" w:ascii="宋体" w:hAnsi="宋体" w:eastAsia="宋体" w:cs="宋体"/>
                <w:szCs w:val="21"/>
                <w:lang w:val="en-US" w:eastAsia="zh-CN"/>
              </w:rPr>
              <w:t>2021</w:t>
            </w:r>
            <w:r>
              <w:rPr>
                <w:rFonts w:hint="eastAsia" w:ascii="宋体" w:hAnsi="宋体" w:eastAsia="宋体" w:cs="宋体"/>
                <w:szCs w:val="21"/>
                <w:lang w:val="zh-CN"/>
              </w:rPr>
              <w:t>年1月1日以后（时间以合同签订时间为准）</w:t>
            </w:r>
            <w:r>
              <w:rPr>
                <w:rFonts w:hint="eastAsia" w:ascii="宋体" w:hAnsi="宋体" w:eastAsia="宋体" w:cs="宋体"/>
                <w:sz w:val="21"/>
                <w:szCs w:val="21"/>
              </w:rPr>
              <w:t>承接过相关</w:t>
            </w:r>
            <w:r>
              <w:rPr>
                <w:rFonts w:hint="eastAsia" w:ascii="宋体" w:hAnsi="宋体" w:eastAsia="宋体" w:cs="宋体"/>
                <w:sz w:val="21"/>
                <w:szCs w:val="21"/>
                <w:lang w:val="en-US" w:eastAsia="zh-CN"/>
              </w:rPr>
              <w:t>类似</w:t>
            </w:r>
            <w:r>
              <w:rPr>
                <w:rFonts w:hint="eastAsia" w:ascii="宋体" w:hAnsi="宋体" w:eastAsia="宋体" w:cs="宋体"/>
                <w:sz w:val="21"/>
                <w:szCs w:val="21"/>
              </w:rPr>
              <w:t>项目业绩的，每提供1个得</w:t>
            </w:r>
            <w:r>
              <w:rPr>
                <w:rFonts w:hint="eastAsia" w:ascii="宋体" w:hAnsi="宋体" w:eastAsia="宋体" w:cs="宋体"/>
                <w:sz w:val="21"/>
                <w:szCs w:val="21"/>
                <w:lang w:val="en-US" w:eastAsia="zh-CN"/>
              </w:rPr>
              <w:t>1</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Cs w:val="21"/>
                <w:lang w:val="zh-CN"/>
              </w:rPr>
              <w:t>。</w:t>
            </w:r>
          </w:p>
          <w:p w14:paraId="03BCC9AC">
            <w:pPr>
              <w:keepNext w:val="0"/>
              <w:keepLines w:val="0"/>
              <w:pageBreakBefore w:val="0"/>
              <w:kinsoku/>
              <w:wordWrap/>
              <w:overflowPunct/>
              <w:topLinePunct w:val="0"/>
              <w:autoSpaceDE w:val="0"/>
              <w:autoSpaceDN w:val="0"/>
              <w:bidi w:val="0"/>
              <w:adjustRightInd/>
              <w:snapToGrid/>
              <w:spacing w:line="360" w:lineRule="exact"/>
              <w:ind w:right="0"/>
              <w:textAlignment w:val="auto"/>
              <w:rPr>
                <w:rFonts w:hint="eastAsia" w:ascii="宋体" w:hAnsi="宋体" w:eastAsia="宋体" w:cs="宋体"/>
                <w:szCs w:val="21"/>
                <w:lang w:val="zh-CN"/>
              </w:rPr>
            </w:pPr>
            <w:r>
              <w:rPr>
                <w:rFonts w:hint="eastAsia" w:ascii="宋体" w:hAnsi="宋体" w:eastAsia="宋体" w:cs="宋体"/>
                <w:b/>
                <w:bCs/>
                <w:szCs w:val="21"/>
                <w:lang w:val="zh-CN"/>
              </w:rPr>
              <w:t>注：须提供</w:t>
            </w:r>
            <w:bookmarkStart w:id="29" w:name="_Hlk77842088"/>
            <w:r>
              <w:rPr>
                <w:rFonts w:hint="eastAsia" w:ascii="宋体" w:hAnsi="宋体" w:eastAsia="宋体" w:cs="宋体"/>
                <w:b/>
                <w:bCs/>
                <w:szCs w:val="21"/>
                <w:lang w:val="zh-CN"/>
              </w:rPr>
              <w:t>合同</w:t>
            </w:r>
            <w:bookmarkEnd w:id="29"/>
            <w:r>
              <w:rPr>
                <w:rFonts w:hint="eastAsia" w:ascii="宋体" w:hAnsi="宋体" w:eastAsia="宋体" w:cs="宋体"/>
                <w:b/>
                <w:bCs/>
                <w:szCs w:val="21"/>
                <w:lang w:val="en-US" w:eastAsia="zh-CN"/>
              </w:rPr>
              <w:t>扫描件</w:t>
            </w:r>
            <w:r>
              <w:rPr>
                <w:rFonts w:hint="eastAsia" w:ascii="宋体" w:hAnsi="宋体" w:eastAsia="宋体" w:cs="宋体"/>
                <w:b/>
                <w:bCs/>
                <w:szCs w:val="21"/>
                <w:lang w:val="zh-CN"/>
              </w:rPr>
              <w:t>，未按要求提供的不得分。</w:t>
            </w:r>
          </w:p>
        </w:tc>
        <w:tc>
          <w:tcPr>
            <w:tcW w:w="823" w:type="dxa"/>
            <w:vAlign w:val="center"/>
          </w:tcPr>
          <w:p w14:paraId="7E1C2C0C">
            <w:pPr>
              <w:tabs>
                <w:tab w:val="left" w:pos="3870"/>
                <w:tab w:val="left" w:pos="4085"/>
              </w:tabs>
              <w:snapToGrid w:val="0"/>
              <w:spacing w:afterLines="50"/>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r>
      <w:tr w14:paraId="7BDB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9" w:type="dxa"/>
            <w:vAlign w:val="center"/>
          </w:tcPr>
          <w:p w14:paraId="314AD81E">
            <w:pPr>
              <w:tabs>
                <w:tab w:val="left" w:pos="3870"/>
                <w:tab w:val="left" w:pos="4085"/>
              </w:tabs>
              <w:snapToGrid w:val="0"/>
              <w:spacing w:afterLines="50"/>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1061" w:type="dxa"/>
            <w:vAlign w:val="center"/>
          </w:tcPr>
          <w:p w14:paraId="6C7A8F61">
            <w:pPr>
              <w:keepNext w:val="0"/>
              <w:keepLines w:val="0"/>
              <w:pageBreakBefore w:val="0"/>
              <w:kinsoku/>
              <w:wordWrap/>
              <w:overflowPunct/>
              <w:topLinePunct w:val="0"/>
              <w:autoSpaceDE w:val="0"/>
              <w:autoSpaceDN w:val="0"/>
              <w:bidi w:val="0"/>
              <w:adjustRightInd w:val="0"/>
              <w:snapToGrid/>
              <w:spacing w:line="240" w:lineRule="auto"/>
              <w:ind w:right="85"/>
              <w:jc w:val="center"/>
              <w:rPr>
                <w:rFonts w:hint="eastAsia" w:ascii="宋体" w:hAnsi="宋体" w:eastAsia="宋体" w:cs="宋体"/>
                <w:szCs w:val="21"/>
                <w:lang w:val="en-US" w:eastAsia="zh-CN"/>
              </w:rPr>
            </w:pPr>
            <w:r>
              <w:rPr>
                <w:rFonts w:hint="eastAsia" w:ascii="宋体" w:hAnsi="宋体" w:eastAsia="宋体" w:cs="宋体"/>
                <w:color w:val="auto"/>
                <w:kern w:val="0"/>
                <w:szCs w:val="21"/>
                <w:highlight w:val="none"/>
              </w:rPr>
              <w:t>项目负责人</w:t>
            </w:r>
          </w:p>
        </w:tc>
        <w:tc>
          <w:tcPr>
            <w:tcW w:w="6581" w:type="dxa"/>
            <w:vAlign w:val="center"/>
          </w:tcPr>
          <w:p w14:paraId="2819CAA9">
            <w:pPr>
              <w:keepNext w:val="0"/>
              <w:keepLines w:val="0"/>
              <w:pageBreakBefore w:val="0"/>
              <w:widowControl/>
              <w:kinsoku/>
              <w:wordWrap/>
              <w:overflowPunct/>
              <w:topLinePunct w:val="0"/>
              <w:autoSpaceDE w:val="0"/>
              <w:autoSpaceDN w:val="0"/>
              <w:bidi w:val="0"/>
              <w:adjustRightInd/>
              <w:snapToGrid/>
              <w:spacing w:line="360" w:lineRule="exact"/>
              <w:ind w:right="0"/>
              <w:jc w:val="left"/>
              <w:textAlignment w:val="auto"/>
              <w:rPr>
                <w:rFonts w:hint="eastAsia" w:ascii="宋体" w:hAnsi="宋体" w:eastAsia="宋体" w:cs="宋体"/>
                <w:sz w:val="21"/>
                <w:szCs w:val="21"/>
                <w:highlight w:val="none"/>
              </w:rPr>
            </w:pPr>
            <w:r>
              <w:rPr>
                <w:rFonts w:hint="eastAsia" w:ascii="宋体" w:hAnsi="宋体" w:eastAsia="宋体" w:cs="宋体"/>
                <w:color w:val="auto"/>
                <w:kern w:val="0"/>
                <w:szCs w:val="21"/>
                <w:highlight w:val="none"/>
                <w:lang w:eastAsia="zh-CN"/>
              </w:rPr>
              <w:t>拟派的</w:t>
            </w:r>
            <w:r>
              <w:rPr>
                <w:rFonts w:hint="eastAsia" w:ascii="宋体" w:hAnsi="宋体" w:eastAsia="宋体" w:cs="宋体"/>
                <w:color w:val="auto"/>
                <w:kern w:val="0"/>
                <w:szCs w:val="21"/>
                <w:highlight w:val="none"/>
              </w:rPr>
              <w:t>项目负责人</w:t>
            </w:r>
            <w:r>
              <w:rPr>
                <w:rFonts w:hint="eastAsia" w:ascii="宋体" w:hAnsi="宋体" w:eastAsia="宋体" w:cs="宋体"/>
                <w:color w:val="auto"/>
                <w:kern w:val="0"/>
                <w:szCs w:val="21"/>
                <w:highlight w:val="none"/>
                <w:lang w:eastAsia="zh-CN"/>
              </w:rPr>
              <w:t>具有</w:t>
            </w:r>
            <w:r>
              <w:rPr>
                <w:rFonts w:hint="eastAsia" w:ascii="宋体" w:hAnsi="宋体" w:eastAsia="宋体" w:cs="宋体"/>
                <w:color w:val="auto"/>
                <w:kern w:val="0"/>
                <w:szCs w:val="21"/>
                <w:highlight w:val="none"/>
                <w:lang w:val="en-US" w:eastAsia="zh-CN"/>
              </w:rPr>
              <w:t>给排水专业工程师职称</w:t>
            </w:r>
            <w:r>
              <w:rPr>
                <w:rFonts w:hint="eastAsia" w:ascii="宋体" w:hAnsi="宋体" w:eastAsia="宋体" w:cs="宋体"/>
                <w:color w:val="auto"/>
                <w:kern w:val="0"/>
                <w:szCs w:val="21"/>
                <w:highlight w:val="none"/>
                <w:lang w:eastAsia="zh-CN"/>
              </w:rPr>
              <w:t>的得</w:t>
            </w:r>
            <w:r>
              <w:rPr>
                <w:rFonts w:hint="eastAsia" w:ascii="宋体" w:hAnsi="宋体" w:eastAsia="宋体" w:cs="宋体"/>
                <w:color w:val="auto"/>
                <w:kern w:val="0"/>
                <w:szCs w:val="21"/>
                <w:highlight w:val="none"/>
                <w:lang w:val="en-US" w:eastAsia="zh-CN"/>
              </w:rPr>
              <w:t>1分；具有给排水专业高级及以上工程师职称的得2分，本项最高得2分</w:t>
            </w:r>
            <w:r>
              <w:rPr>
                <w:rFonts w:hint="eastAsia" w:ascii="宋体" w:hAnsi="宋体" w:eastAsia="宋体" w:cs="宋体"/>
                <w:sz w:val="21"/>
                <w:szCs w:val="21"/>
                <w:highlight w:val="none"/>
              </w:rPr>
              <w:t>。</w:t>
            </w:r>
          </w:p>
          <w:p w14:paraId="46C88E97">
            <w:pPr>
              <w:pStyle w:val="18"/>
              <w:keepNext w:val="0"/>
              <w:keepLines w:val="0"/>
              <w:pageBreakBefore w:val="0"/>
              <w:kinsoku/>
              <w:wordWrap/>
              <w:overflowPunct/>
              <w:topLinePunct w:val="0"/>
              <w:autoSpaceDE w:val="0"/>
              <w:autoSpaceDN w:val="0"/>
              <w:bidi w:val="0"/>
              <w:adjustRightInd/>
              <w:snapToGrid/>
              <w:spacing w:after="0" w:line="360" w:lineRule="exact"/>
              <w:ind w:left="0" w:leftChars="0" w:right="0" w:firstLine="0" w:firstLineChars="0"/>
              <w:textAlignment w:val="auto"/>
              <w:rPr>
                <w:rFonts w:hint="eastAsia" w:ascii="宋体" w:hAnsi="宋体" w:eastAsia="宋体" w:cs="宋体"/>
                <w:szCs w:val="21"/>
                <w:lang w:val="zh-CN"/>
              </w:rPr>
            </w:pPr>
            <w:r>
              <w:rPr>
                <w:rFonts w:hint="eastAsia" w:ascii="宋体" w:hAnsi="宋体" w:eastAsia="宋体" w:cs="宋体"/>
                <w:b/>
                <w:bCs/>
                <w:sz w:val="21"/>
                <w:szCs w:val="21"/>
                <w:highlight w:val="none"/>
              </w:rPr>
              <w:t>注：提供</w:t>
            </w:r>
            <w:r>
              <w:rPr>
                <w:rFonts w:hint="eastAsia" w:ascii="宋体" w:hAnsi="宋体" w:eastAsia="宋体" w:cs="宋体"/>
                <w:b/>
                <w:bCs/>
                <w:sz w:val="21"/>
                <w:szCs w:val="21"/>
                <w:highlight w:val="none"/>
                <w:lang w:eastAsia="zh-CN"/>
              </w:rPr>
              <w:t>人员</w:t>
            </w:r>
            <w:r>
              <w:rPr>
                <w:rFonts w:hint="eastAsia" w:ascii="宋体" w:hAnsi="宋体" w:eastAsia="宋体" w:cs="宋体"/>
                <w:b/>
                <w:bCs/>
                <w:sz w:val="21"/>
                <w:szCs w:val="21"/>
                <w:highlight w:val="none"/>
              </w:rPr>
              <w:t>相关证书</w:t>
            </w:r>
            <w:r>
              <w:rPr>
                <w:rFonts w:hint="eastAsia" w:ascii="宋体" w:hAnsi="宋体" w:eastAsia="宋体" w:cs="宋体"/>
                <w:b/>
                <w:bCs/>
                <w:sz w:val="21"/>
                <w:szCs w:val="21"/>
                <w:highlight w:val="none"/>
                <w:lang w:eastAsia="zh-CN"/>
              </w:rPr>
              <w:t>扫描</w:t>
            </w:r>
            <w:r>
              <w:rPr>
                <w:rFonts w:hint="eastAsia" w:ascii="宋体" w:hAnsi="宋体" w:eastAsia="宋体" w:cs="宋体"/>
                <w:b/>
                <w:bCs/>
                <w:sz w:val="21"/>
                <w:szCs w:val="21"/>
                <w:highlight w:val="none"/>
              </w:rPr>
              <w:t>件</w:t>
            </w:r>
            <w:r>
              <w:rPr>
                <w:rFonts w:hint="eastAsia" w:ascii="宋体" w:hAnsi="宋体" w:eastAsia="宋体" w:cs="宋体"/>
                <w:b/>
                <w:bCs/>
                <w:sz w:val="21"/>
                <w:szCs w:val="21"/>
                <w:highlight w:val="none"/>
                <w:lang w:eastAsia="zh-CN"/>
              </w:rPr>
              <w:t>及</w:t>
            </w:r>
            <w:r>
              <w:rPr>
                <w:rFonts w:hint="eastAsia" w:ascii="宋体" w:hAnsi="宋体" w:eastAsia="宋体" w:cs="宋体"/>
                <w:b/>
                <w:bCs/>
                <w:sz w:val="21"/>
                <w:szCs w:val="21"/>
                <w:highlight w:val="none"/>
                <w:lang w:val="en-US" w:eastAsia="zh-CN"/>
              </w:rPr>
              <w:t>本单位缴纳的2024年</w:t>
            </w:r>
            <w:r>
              <w:rPr>
                <w:rFonts w:hint="eastAsia" w:ascii="宋体" w:hAnsi="宋体" w:cs="宋体"/>
                <w:b/>
                <w:bCs/>
                <w:sz w:val="21"/>
                <w:szCs w:val="21"/>
                <w:highlight w:val="none"/>
                <w:lang w:val="en-US" w:eastAsia="zh-CN"/>
              </w:rPr>
              <w:t>7</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8</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9</w:t>
            </w:r>
            <w:r>
              <w:rPr>
                <w:rFonts w:hint="eastAsia" w:ascii="宋体" w:hAnsi="宋体" w:eastAsia="宋体" w:cs="宋体"/>
                <w:b/>
                <w:bCs/>
                <w:sz w:val="21"/>
                <w:szCs w:val="21"/>
                <w:highlight w:val="none"/>
                <w:lang w:val="en-US" w:eastAsia="zh-CN"/>
              </w:rPr>
              <w:t>月中的任意一个月的社保证明</w:t>
            </w:r>
            <w:r>
              <w:rPr>
                <w:rFonts w:hint="eastAsia" w:ascii="宋体" w:hAnsi="宋体" w:eastAsia="宋体" w:cs="宋体"/>
                <w:b/>
                <w:bCs/>
                <w:sz w:val="21"/>
                <w:szCs w:val="21"/>
                <w:highlight w:val="none"/>
                <w:lang w:eastAsia="zh-CN"/>
              </w:rPr>
              <w:t>扫描</w:t>
            </w:r>
            <w:r>
              <w:rPr>
                <w:rFonts w:hint="eastAsia" w:ascii="宋体" w:hAnsi="宋体" w:eastAsia="宋体" w:cs="宋体"/>
                <w:b/>
                <w:bCs/>
                <w:sz w:val="21"/>
                <w:szCs w:val="21"/>
                <w:highlight w:val="none"/>
              </w:rPr>
              <w:t>件,</w:t>
            </w:r>
            <w:r>
              <w:rPr>
                <w:rFonts w:hint="eastAsia" w:ascii="宋体" w:hAnsi="宋体" w:eastAsia="宋体" w:cs="宋体"/>
                <w:b/>
                <w:bCs/>
                <w:color w:val="auto"/>
                <w:sz w:val="21"/>
                <w:szCs w:val="21"/>
                <w:highlight w:val="none"/>
                <w:lang w:val="zh-CN"/>
              </w:rPr>
              <w:t>未按要求提供的不得分</w:t>
            </w:r>
            <w:r>
              <w:rPr>
                <w:rFonts w:hint="eastAsia" w:ascii="宋体" w:hAnsi="宋体" w:eastAsia="宋体" w:cs="宋体"/>
                <w:b/>
                <w:bCs/>
                <w:sz w:val="21"/>
                <w:szCs w:val="21"/>
                <w:highlight w:val="none"/>
              </w:rPr>
              <w:t>。</w:t>
            </w:r>
          </w:p>
        </w:tc>
        <w:tc>
          <w:tcPr>
            <w:tcW w:w="823" w:type="dxa"/>
            <w:vAlign w:val="center"/>
          </w:tcPr>
          <w:p w14:paraId="0AC5FF43">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r>
      <w:tr w14:paraId="0F92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699" w:type="dxa"/>
            <w:vAlign w:val="center"/>
          </w:tcPr>
          <w:p w14:paraId="063BB8FC">
            <w:pPr>
              <w:tabs>
                <w:tab w:val="left" w:pos="3870"/>
                <w:tab w:val="left" w:pos="4085"/>
              </w:tabs>
              <w:snapToGrid w:val="0"/>
              <w:spacing w:afterLine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061" w:type="dxa"/>
            <w:vAlign w:val="center"/>
          </w:tcPr>
          <w:p w14:paraId="0E042310">
            <w:pPr>
              <w:keepNext w:val="0"/>
              <w:keepLines w:val="0"/>
              <w:pageBreakBefore w:val="0"/>
              <w:kinsoku/>
              <w:wordWrap/>
              <w:overflowPunct/>
              <w:topLinePunct w:val="0"/>
              <w:autoSpaceDE w:val="0"/>
              <w:autoSpaceDN w:val="0"/>
              <w:bidi w:val="0"/>
              <w:adjustRightInd w:val="0"/>
              <w:snapToGrid/>
              <w:spacing w:line="240" w:lineRule="auto"/>
              <w:ind w:right="85" w:firstLine="105" w:firstLineChars="50"/>
              <w:rPr>
                <w:rFonts w:hint="eastAsia" w:ascii="宋体" w:hAnsi="宋体" w:eastAsia="宋体" w:cs="宋体"/>
                <w:szCs w:val="21"/>
                <w:lang w:val="en-US"/>
              </w:rPr>
            </w:pPr>
            <w:r>
              <w:rPr>
                <w:rFonts w:hint="eastAsia" w:ascii="宋体" w:hAnsi="宋体" w:eastAsia="宋体" w:cs="宋体"/>
                <w:szCs w:val="21"/>
                <w:lang w:val="en-US" w:eastAsia="zh-CN"/>
              </w:rPr>
              <w:t>项目团队成员（除项目负责人外）</w:t>
            </w:r>
          </w:p>
        </w:tc>
        <w:tc>
          <w:tcPr>
            <w:tcW w:w="6581" w:type="dxa"/>
            <w:vAlign w:val="center"/>
          </w:tcPr>
          <w:p w14:paraId="29826D83">
            <w:pPr>
              <w:keepNext w:val="0"/>
              <w:keepLines w:val="0"/>
              <w:pageBreakBefore w:val="0"/>
              <w:kinsoku/>
              <w:wordWrap/>
              <w:overflowPunct/>
              <w:topLinePunct w:val="0"/>
              <w:autoSpaceDE w:val="0"/>
              <w:autoSpaceDN w:val="0"/>
              <w:bidi w:val="0"/>
              <w:adjustRightInd/>
              <w:snapToGrid/>
              <w:spacing w:line="360" w:lineRule="exact"/>
              <w:ind w:right="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根据投标人拟投入本项目的的人员进行评分：</w:t>
            </w:r>
          </w:p>
          <w:p w14:paraId="79EA739F">
            <w:pPr>
              <w:keepNext w:val="0"/>
              <w:keepLines w:val="0"/>
              <w:pageBreakBefore w:val="0"/>
              <w:kinsoku/>
              <w:wordWrap/>
              <w:overflowPunct/>
              <w:topLinePunct w:val="0"/>
              <w:autoSpaceDE w:val="0"/>
              <w:autoSpaceDN w:val="0"/>
              <w:bidi w:val="0"/>
              <w:adjustRightInd/>
              <w:snapToGrid/>
              <w:spacing w:line="360" w:lineRule="exact"/>
              <w:ind w:right="0"/>
              <w:textAlignment w:val="auto"/>
              <w:rPr>
                <w:rFonts w:hint="eastAsia" w:ascii="宋体" w:hAnsi="宋体" w:eastAsia="宋体" w:cs="宋体"/>
                <w:szCs w:val="21"/>
                <w:highlight w:val="yellow"/>
                <w:lang w:val="en-US" w:eastAsia="zh-CN"/>
              </w:rPr>
            </w:pPr>
            <w:r>
              <w:rPr>
                <w:rFonts w:hint="eastAsia" w:ascii="宋体" w:hAnsi="宋体" w:eastAsia="宋体" w:cs="宋体"/>
                <w:szCs w:val="21"/>
                <w:lang w:val="en-US" w:eastAsia="zh-CN"/>
              </w:rPr>
              <w:t>1、拟派人员中具有市政公用工程二级建造师注册证书的得1分，具有市政公用工程一级建造师注册证书的得2分。</w:t>
            </w:r>
          </w:p>
          <w:p w14:paraId="341D40EE">
            <w:pPr>
              <w:keepNext w:val="0"/>
              <w:keepLines w:val="0"/>
              <w:pageBreakBefore w:val="0"/>
              <w:kinsoku/>
              <w:wordWrap/>
              <w:overflowPunct/>
              <w:topLinePunct w:val="0"/>
              <w:autoSpaceDE w:val="0"/>
              <w:autoSpaceDN w:val="0"/>
              <w:bidi w:val="0"/>
              <w:adjustRightInd/>
              <w:snapToGrid/>
              <w:spacing w:line="360" w:lineRule="exact"/>
              <w:ind w:right="0"/>
              <w:textAlignment w:val="auto"/>
              <w:rPr>
                <w:rFonts w:hint="eastAsia" w:ascii="宋体" w:hAnsi="宋体" w:eastAsia="宋体" w:cs="宋体"/>
                <w:szCs w:val="21"/>
                <w:highlight w:val="none"/>
                <w:lang w:val="en-US" w:eastAsia="zh-CN"/>
              </w:rPr>
            </w:pPr>
            <w:r>
              <w:rPr>
                <w:rFonts w:hint="eastAsia" w:ascii="宋体" w:hAnsi="宋体" w:eastAsia="宋体" w:cs="宋体"/>
                <w:szCs w:val="21"/>
                <w:lang w:val="en-US" w:eastAsia="zh-CN"/>
              </w:rPr>
              <w:t>2、拟派人员中具有给排水专业工程师职称的得1分，具有给排水专业高级</w:t>
            </w:r>
            <w:r>
              <w:rPr>
                <w:rFonts w:hint="eastAsia" w:ascii="宋体" w:hAnsi="宋体" w:eastAsia="宋体" w:cs="宋体"/>
                <w:szCs w:val="21"/>
                <w:highlight w:val="none"/>
                <w:lang w:val="en-US" w:eastAsia="zh-CN"/>
              </w:rPr>
              <w:t>及以上工程师职称的得2分。</w:t>
            </w:r>
          </w:p>
          <w:p w14:paraId="07C86E24">
            <w:pPr>
              <w:keepNext w:val="0"/>
              <w:keepLines w:val="0"/>
              <w:pageBreakBefore w:val="0"/>
              <w:kinsoku/>
              <w:wordWrap/>
              <w:overflowPunct/>
              <w:topLinePunct w:val="0"/>
              <w:autoSpaceDE w:val="0"/>
              <w:autoSpaceDN w:val="0"/>
              <w:bidi w:val="0"/>
              <w:adjustRightInd/>
              <w:snapToGrid/>
              <w:spacing w:line="360" w:lineRule="exact"/>
              <w:ind w:right="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3、拟派人员中具有排水管道检测或CCTV检测证书的得每1人得1分，最高得2分。</w:t>
            </w:r>
          </w:p>
          <w:p w14:paraId="4B27A4BC">
            <w:pPr>
              <w:keepNext w:val="0"/>
              <w:keepLines w:val="0"/>
              <w:pageBreakBefore w:val="0"/>
              <w:kinsoku/>
              <w:wordWrap/>
              <w:overflowPunct/>
              <w:topLinePunct w:val="0"/>
              <w:autoSpaceDE w:val="0"/>
              <w:autoSpaceDN w:val="0"/>
              <w:bidi w:val="0"/>
              <w:adjustRightInd/>
              <w:snapToGrid/>
              <w:spacing w:line="360" w:lineRule="exact"/>
              <w:ind w:right="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4、拟派人员中具有有限空间作业人员证书的，每1人得1分，最高得2分。</w:t>
            </w:r>
          </w:p>
          <w:p w14:paraId="2AD24DD9">
            <w:pPr>
              <w:keepNext w:val="0"/>
              <w:keepLines w:val="0"/>
              <w:pageBreakBefore w:val="0"/>
              <w:kinsoku/>
              <w:wordWrap/>
              <w:overflowPunct/>
              <w:topLinePunct w:val="0"/>
              <w:autoSpaceDE w:val="0"/>
              <w:autoSpaceDN w:val="0"/>
              <w:bidi w:val="0"/>
              <w:adjustRightInd/>
              <w:snapToGrid/>
              <w:spacing w:line="360" w:lineRule="exact"/>
              <w:ind w:right="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5、持有专职安全员的安全生产考核合格证书（C证）的，每1人得1分，最高得2分。</w:t>
            </w:r>
          </w:p>
          <w:p w14:paraId="4CDA14B6">
            <w:pPr>
              <w:keepNext w:val="0"/>
              <w:keepLines w:val="0"/>
              <w:pageBreakBefore w:val="0"/>
              <w:widowControl/>
              <w:kinsoku/>
              <w:wordWrap/>
              <w:overflowPunct/>
              <w:topLinePunct w:val="0"/>
              <w:autoSpaceDE w:val="0"/>
              <w:autoSpaceDN w:val="0"/>
              <w:bidi w:val="0"/>
              <w:adjustRightInd/>
              <w:snapToGrid/>
              <w:spacing w:line="360" w:lineRule="exact"/>
              <w:jc w:val="left"/>
              <w:textAlignment w:val="auto"/>
              <w:rPr>
                <w:rFonts w:hint="eastAsia" w:ascii="宋体" w:hAnsi="宋体" w:eastAsia="宋体" w:cs="宋体"/>
                <w:szCs w:val="21"/>
                <w:lang w:val="zh-CN"/>
              </w:rPr>
            </w:pPr>
            <w:r>
              <w:rPr>
                <w:rFonts w:hint="eastAsia" w:ascii="宋体" w:hAnsi="宋体" w:eastAsia="宋体" w:cs="宋体"/>
                <w:b/>
                <w:bCs/>
                <w:sz w:val="21"/>
                <w:szCs w:val="21"/>
                <w:highlight w:val="none"/>
              </w:rPr>
              <w:t>注：提供</w:t>
            </w:r>
            <w:r>
              <w:rPr>
                <w:rFonts w:hint="eastAsia" w:ascii="宋体" w:hAnsi="宋体" w:eastAsia="宋体" w:cs="宋体"/>
                <w:b/>
                <w:bCs/>
                <w:sz w:val="21"/>
                <w:szCs w:val="21"/>
                <w:highlight w:val="none"/>
                <w:lang w:eastAsia="zh-CN"/>
              </w:rPr>
              <w:t>人员</w:t>
            </w:r>
            <w:r>
              <w:rPr>
                <w:rFonts w:hint="eastAsia" w:ascii="宋体" w:hAnsi="宋体" w:eastAsia="宋体" w:cs="宋体"/>
                <w:b/>
                <w:bCs/>
                <w:sz w:val="21"/>
                <w:szCs w:val="21"/>
                <w:highlight w:val="none"/>
              </w:rPr>
              <w:t>相关证书</w:t>
            </w:r>
            <w:r>
              <w:rPr>
                <w:rFonts w:hint="eastAsia" w:ascii="宋体" w:hAnsi="宋体" w:eastAsia="宋体" w:cs="宋体"/>
                <w:b/>
                <w:bCs/>
                <w:sz w:val="21"/>
                <w:szCs w:val="21"/>
                <w:highlight w:val="none"/>
                <w:lang w:eastAsia="zh-CN"/>
              </w:rPr>
              <w:t>扫描</w:t>
            </w:r>
            <w:r>
              <w:rPr>
                <w:rFonts w:hint="eastAsia" w:ascii="宋体" w:hAnsi="宋体" w:eastAsia="宋体" w:cs="宋体"/>
                <w:b/>
                <w:bCs/>
                <w:sz w:val="21"/>
                <w:szCs w:val="21"/>
                <w:highlight w:val="none"/>
              </w:rPr>
              <w:t>件</w:t>
            </w:r>
            <w:r>
              <w:rPr>
                <w:rFonts w:hint="eastAsia" w:ascii="宋体" w:hAnsi="宋体" w:eastAsia="宋体" w:cs="宋体"/>
                <w:b/>
                <w:bCs/>
                <w:sz w:val="21"/>
                <w:szCs w:val="21"/>
                <w:highlight w:val="none"/>
                <w:lang w:eastAsia="zh-CN"/>
              </w:rPr>
              <w:t>及</w:t>
            </w:r>
            <w:r>
              <w:rPr>
                <w:rFonts w:hint="eastAsia" w:ascii="宋体" w:hAnsi="宋体" w:eastAsia="宋体" w:cs="宋体"/>
                <w:b/>
                <w:bCs/>
                <w:sz w:val="21"/>
                <w:szCs w:val="21"/>
                <w:highlight w:val="none"/>
                <w:lang w:val="en-US" w:eastAsia="zh-CN"/>
              </w:rPr>
              <w:t>本单位缴纳的2024年</w:t>
            </w:r>
            <w:r>
              <w:rPr>
                <w:rFonts w:hint="eastAsia" w:ascii="宋体" w:hAnsi="宋体" w:cs="宋体"/>
                <w:b/>
                <w:bCs/>
                <w:sz w:val="21"/>
                <w:szCs w:val="21"/>
                <w:highlight w:val="none"/>
                <w:lang w:val="en-US" w:eastAsia="zh-CN"/>
              </w:rPr>
              <w:t>7</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8</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9</w:t>
            </w:r>
            <w:r>
              <w:rPr>
                <w:rFonts w:hint="eastAsia" w:ascii="宋体" w:hAnsi="宋体" w:eastAsia="宋体" w:cs="宋体"/>
                <w:b/>
                <w:bCs/>
                <w:sz w:val="21"/>
                <w:szCs w:val="21"/>
                <w:highlight w:val="none"/>
                <w:lang w:val="en-US" w:eastAsia="zh-CN"/>
              </w:rPr>
              <w:t>月中的任意一个月的社保证明</w:t>
            </w:r>
            <w:r>
              <w:rPr>
                <w:rFonts w:hint="eastAsia" w:ascii="宋体" w:hAnsi="宋体" w:eastAsia="宋体" w:cs="宋体"/>
                <w:b/>
                <w:bCs/>
                <w:sz w:val="21"/>
                <w:szCs w:val="21"/>
                <w:highlight w:val="none"/>
                <w:lang w:eastAsia="zh-CN"/>
              </w:rPr>
              <w:t>扫描</w:t>
            </w:r>
            <w:r>
              <w:rPr>
                <w:rFonts w:hint="eastAsia" w:ascii="宋体" w:hAnsi="宋体" w:eastAsia="宋体" w:cs="宋体"/>
                <w:b/>
                <w:bCs/>
                <w:sz w:val="21"/>
                <w:szCs w:val="21"/>
                <w:highlight w:val="none"/>
              </w:rPr>
              <w:t>件,</w:t>
            </w:r>
            <w:r>
              <w:rPr>
                <w:rFonts w:hint="eastAsia" w:ascii="宋体" w:hAnsi="宋体" w:eastAsia="宋体" w:cs="宋体"/>
                <w:b/>
                <w:bCs/>
                <w:color w:val="auto"/>
                <w:sz w:val="21"/>
                <w:szCs w:val="21"/>
                <w:highlight w:val="none"/>
                <w:lang w:val="zh-CN"/>
              </w:rPr>
              <w:t>未按要求提供的不得分</w:t>
            </w:r>
            <w:r>
              <w:rPr>
                <w:rFonts w:hint="eastAsia" w:ascii="宋体" w:hAnsi="宋体" w:eastAsia="宋体" w:cs="宋体"/>
                <w:b/>
                <w:bCs/>
                <w:sz w:val="21"/>
                <w:szCs w:val="21"/>
                <w:highlight w:val="none"/>
              </w:rPr>
              <w:t>。</w:t>
            </w:r>
          </w:p>
        </w:tc>
        <w:tc>
          <w:tcPr>
            <w:tcW w:w="823" w:type="dxa"/>
            <w:vAlign w:val="center"/>
          </w:tcPr>
          <w:p w14:paraId="70FDB76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r>
      <w:tr w14:paraId="4332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9" w:type="dxa"/>
            <w:vAlign w:val="center"/>
          </w:tcPr>
          <w:p w14:paraId="2865E2AF">
            <w:pPr>
              <w:tabs>
                <w:tab w:val="left" w:pos="3870"/>
                <w:tab w:val="left" w:pos="4085"/>
              </w:tabs>
              <w:snapToGrid w:val="0"/>
              <w:spacing w:afterLines="50"/>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1061" w:type="dxa"/>
            <w:vAlign w:val="center"/>
          </w:tcPr>
          <w:p w14:paraId="01D116BB">
            <w:pPr>
              <w:tabs>
                <w:tab w:val="left" w:pos="3870"/>
                <w:tab w:val="left" w:pos="4085"/>
              </w:tabs>
              <w:snapToGrid w:val="0"/>
              <w:spacing w:afterLines="50"/>
              <w:jc w:val="center"/>
              <w:rPr>
                <w:rFonts w:hint="eastAsia" w:ascii="宋体" w:hAnsi="宋体" w:eastAsia="宋体" w:cs="宋体"/>
                <w:szCs w:val="21"/>
              </w:rPr>
            </w:pPr>
            <w:r>
              <w:rPr>
                <w:rFonts w:hint="eastAsia" w:ascii="宋体" w:hAnsi="宋体" w:eastAsia="宋体" w:cs="宋体"/>
                <w:sz w:val="21"/>
                <w:szCs w:val="21"/>
                <w:lang w:val="en-US" w:eastAsia="zh-CN"/>
              </w:rPr>
              <w:t>拟投入本项目的设备</w:t>
            </w:r>
          </w:p>
        </w:tc>
        <w:tc>
          <w:tcPr>
            <w:tcW w:w="6581" w:type="dxa"/>
            <w:vAlign w:val="center"/>
          </w:tcPr>
          <w:p w14:paraId="1FA68E69">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根据投标人投入本项目的设备进行评分：</w:t>
            </w:r>
          </w:p>
          <w:p w14:paraId="56D69E36">
            <w:pPr>
              <w:pStyle w:val="17"/>
              <w:keepNext w:val="0"/>
              <w:keepLines w:val="0"/>
              <w:pageBreakBefore w:val="0"/>
              <w:kinsoku/>
              <w:wordWrap/>
              <w:overflowPunct/>
              <w:topLinePunct w:val="0"/>
              <w:bidi w:val="0"/>
              <w:adjustRightInd/>
              <w:snapToGrid/>
              <w:spacing w:after="0" w:line="36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000000"/>
                <w:kern w:val="2"/>
                <w:sz w:val="21"/>
                <w:szCs w:val="21"/>
                <w:lang w:val="en-US" w:eastAsia="zh-CN" w:bidi="ar-SA"/>
              </w:rPr>
              <w:t>提供CCTV检测机器人每自有一套得0.5分，最高1分。</w:t>
            </w:r>
          </w:p>
          <w:p w14:paraId="0A06C12D">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highlight w:val="none"/>
                <w:lang w:val="en-US" w:eastAsia="zh-CN"/>
              </w:rPr>
              <w:t>2、</w:t>
            </w:r>
            <w:r>
              <w:rPr>
                <w:rFonts w:hint="eastAsia" w:ascii="宋体" w:hAnsi="宋体" w:eastAsia="宋体" w:cs="宋体"/>
                <w:color w:val="000000"/>
                <w:kern w:val="2"/>
                <w:sz w:val="21"/>
                <w:szCs w:val="21"/>
                <w:lang w:val="en-US" w:eastAsia="zh-CN" w:bidi="ar-SA"/>
              </w:rPr>
              <w:t>提供QV潜望镜每自有一套得0.5分，最高得1分。</w:t>
            </w:r>
          </w:p>
          <w:p w14:paraId="735FD550">
            <w:pPr>
              <w:pStyle w:val="17"/>
              <w:keepNext w:val="0"/>
              <w:keepLines w:val="0"/>
              <w:pageBreakBefore w:val="0"/>
              <w:kinsoku/>
              <w:wordWrap/>
              <w:overflowPunct/>
              <w:topLinePunct w:val="0"/>
              <w:bidi w:val="0"/>
              <w:adjustRightInd/>
              <w:snapToGrid/>
              <w:spacing w:after="0" w:line="36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color w:val="000000"/>
                <w:kern w:val="2"/>
                <w:sz w:val="21"/>
                <w:szCs w:val="21"/>
                <w:lang w:val="en-US" w:eastAsia="zh-CN" w:bidi="ar-SA"/>
              </w:rPr>
              <w:t>3、提供毒气检测仪每自有一套得0.5分，最高得1分。</w:t>
            </w:r>
          </w:p>
          <w:p w14:paraId="05F8C44C">
            <w:pPr>
              <w:pStyle w:val="17"/>
              <w:keepNext w:val="0"/>
              <w:keepLines w:val="0"/>
              <w:pageBreakBefore w:val="0"/>
              <w:kinsoku/>
              <w:wordWrap/>
              <w:overflowPunct/>
              <w:topLinePunct w:val="0"/>
              <w:bidi w:val="0"/>
              <w:adjustRightInd/>
              <w:snapToGrid/>
              <w:spacing w:after="0" w:line="360" w:lineRule="exact"/>
              <w:ind w:left="0" w:leftChars="0" w:firstLine="0"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4、提供高压疏通车每自有一辆得1分，最高得2分。</w:t>
            </w:r>
          </w:p>
          <w:p w14:paraId="5CF5E0E2">
            <w:pPr>
              <w:pStyle w:val="17"/>
              <w:keepNext w:val="0"/>
              <w:keepLines w:val="0"/>
              <w:pageBreakBefore w:val="0"/>
              <w:kinsoku/>
              <w:wordWrap/>
              <w:overflowPunct/>
              <w:topLinePunct w:val="0"/>
              <w:bidi w:val="0"/>
              <w:adjustRightInd/>
              <w:snapToGrid/>
              <w:spacing w:after="0" w:line="360" w:lineRule="exact"/>
              <w:ind w:left="0" w:leftChars="0" w:firstLine="0"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5、提供吸污车每自有一辆得1分，最高得2分。</w:t>
            </w:r>
          </w:p>
          <w:p w14:paraId="476B0938">
            <w:pPr>
              <w:pStyle w:val="17"/>
              <w:keepNext w:val="0"/>
              <w:keepLines w:val="0"/>
              <w:pageBreakBefore w:val="0"/>
              <w:kinsoku/>
              <w:wordWrap/>
              <w:overflowPunct/>
              <w:topLinePunct w:val="0"/>
              <w:bidi w:val="0"/>
              <w:adjustRightInd/>
              <w:snapToGrid/>
              <w:spacing w:after="0" w:line="360" w:lineRule="exact"/>
              <w:ind w:left="0" w:leftChars="0" w:firstLine="0" w:firstLine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6、提供光固化修复设备每自有一套得1分，最高得2分</w:t>
            </w:r>
          </w:p>
          <w:p w14:paraId="0585B4F3">
            <w:pPr>
              <w:pStyle w:val="18"/>
              <w:keepNext w:val="0"/>
              <w:keepLines w:val="0"/>
              <w:pageBreakBefore w:val="0"/>
              <w:kinsoku/>
              <w:wordWrap/>
              <w:overflowPunct/>
              <w:topLinePunct w:val="0"/>
              <w:autoSpaceDE w:val="0"/>
              <w:autoSpaceDN w:val="0"/>
              <w:bidi w:val="0"/>
              <w:adjustRightInd/>
              <w:snapToGrid/>
              <w:spacing w:after="0" w:line="360" w:lineRule="exact"/>
              <w:ind w:left="0" w:leftChars="0" w:right="85" w:firstLine="0" w:firstLineChars="0"/>
              <w:textAlignment w:val="auto"/>
              <w:rPr>
                <w:rFonts w:hint="eastAsia" w:ascii="宋体" w:hAnsi="宋体" w:eastAsia="宋体" w:cs="宋体"/>
                <w:lang w:val="zh-CN"/>
              </w:rPr>
            </w:pPr>
            <w:r>
              <w:rPr>
                <w:rFonts w:hint="eastAsia" w:ascii="宋体" w:hAnsi="宋体" w:eastAsia="宋体" w:cs="宋体"/>
                <w:b/>
                <w:bCs/>
                <w:sz w:val="21"/>
                <w:szCs w:val="21"/>
                <w:lang w:val="en-US" w:eastAsia="zh-CN"/>
              </w:rPr>
              <w:t>注：设备和车辆为投标人所有的，投标人需提供上述所有设备和车辆的发票扫描件、同时车辆还需提供行驶证和登记证，以上证明材料均须体现投标人名称。</w:t>
            </w:r>
            <w:r>
              <w:rPr>
                <w:rFonts w:hint="eastAsia" w:ascii="宋体" w:hAnsi="宋体" w:eastAsia="宋体" w:cs="宋体"/>
                <w:b/>
                <w:bCs/>
                <w:sz w:val="21"/>
                <w:szCs w:val="21"/>
              </w:rPr>
              <w:t>否则不得分。</w:t>
            </w:r>
          </w:p>
        </w:tc>
        <w:tc>
          <w:tcPr>
            <w:tcW w:w="823" w:type="dxa"/>
            <w:vAlign w:val="center"/>
          </w:tcPr>
          <w:p w14:paraId="16156348">
            <w:pPr>
              <w:tabs>
                <w:tab w:val="left" w:pos="3870"/>
                <w:tab w:val="left" w:pos="4085"/>
              </w:tabs>
              <w:snapToGrid w:val="0"/>
              <w:spacing w:afterLine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r>
      <w:tr w14:paraId="57AA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9" w:type="dxa"/>
            <w:vAlign w:val="center"/>
          </w:tcPr>
          <w:p w14:paraId="5FE2A6AA">
            <w:pPr>
              <w:tabs>
                <w:tab w:val="left" w:pos="3870"/>
                <w:tab w:val="left" w:pos="4085"/>
              </w:tabs>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1061" w:type="dxa"/>
            <w:vAlign w:val="center"/>
          </w:tcPr>
          <w:p w14:paraId="073BF62C">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w:t>
            </w:r>
          </w:p>
          <w:p w14:paraId="54EEEDF1">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Cs w:val="21"/>
              </w:rPr>
            </w:pPr>
            <w:r>
              <w:rPr>
                <w:rFonts w:hint="eastAsia" w:ascii="宋体" w:hAnsi="宋体" w:eastAsia="宋体" w:cs="宋体"/>
                <w:sz w:val="21"/>
                <w:szCs w:val="21"/>
                <w:lang w:val="en-US" w:eastAsia="zh-CN"/>
              </w:rPr>
              <w:t>理解</w:t>
            </w:r>
          </w:p>
        </w:tc>
        <w:tc>
          <w:tcPr>
            <w:tcW w:w="6581" w:type="dxa"/>
            <w:vAlign w:val="center"/>
          </w:tcPr>
          <w:p w14:paraId="30A16107">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根据投标人对本项目的理解和分析进行打分（投标人应根据采购需求阐明的项目基本情况和服务要求，结合相关技术规范以及自身以往同类项目的经验进行理解、分析）：</w:t>
            </w:r>
          </w:p>
          <w:p w14:paraId="33FFEA4C">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1、项目理解到位，分析全面合理的得4.1-6分；</w:t>
            </w:r>
          </w:p>
          <w:p w14:paraId="5849B599">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2、项目理解基本到位，分析基本全面合理的得2.1-4分；</w:t>
            </w:r>
          </w:p>
          <w:p w14:paraId="1E069C80">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sz w:val="21"/>
                <w:szCs w:val="21"/>
                <w:highlight w:val="none"/>
                <w:lang w:val="en-US" w:eastAsia="zh-CN"/>
              </w:rPr>
              <w:t>3、项目理解分析不够全面，针对性欠缺的的得0-2分。</w:t>
            </w:r>
          </w:p>
        </w:tc>
        <w:tc>
          <w:tcPr>
            <w:tcW w:w="823" w:type="dxa"/>
            <w:vAlign w:val="center"/>
          </w:tcPr>
          <w:p w14:paraId="41E7BADB">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分</w:t>
            </w:r>
          </w:p>
        </w:tc>
      </w:tr>
      <w:tr w14:paraId="39B6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99" w:type="dxa"/>
            <w:vAlign w:val="center"/>
          </w:tcPr>
          <w:p w14:paraId="6C5156E0">
            <w:pPr>
              <w:tabs>
                <w:tab w:val="left" w:pos="3870"/>
                <w:tab w:val="left" w:pos="4085"/>
              </w:tabs>
              <w:snapToGrid w:val="0"/>
              <w:spacing w:line="34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1061" w:type="dxa"/>
            <w:vAlign w:val="center"/>
          </w:tcPr>
          <w:p w14:paraId="46019213">
            <w:pPr>
              <w:widowControl/>
              <w:jc w:val="center"/>
              <w:rPr>
                <w:rFonts w:hint="eastAsia" w:ascii="宋体" w:hAnsi="宋体" w:eastAsia="宋体" w:cs="宋体"/>
                <w:szCs w:val="21"/>
              </w:rPr>
            </w:pPr>
            <w:r>
              <w:rPr>
                <w:rFonts w:hint="eastAsia" w:ascii="宋体" w:hAnsi="宋体" w:eastAsia="宋体" w:cs="宋体"/>
                <w:color w:val="auto"/>
                <w:kern w:val="0"/>
                <w:sz w:val="21"/>
                <w:szCs w:val="21"/>
                <w:highlight w:val="none"/>
              </w:rPr>
              <w:t>项目重点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难点分析</w:t>
            </w:r>
          </w:p>
        </w:tc>
        <w:tc>
          <w:tcPr>
            <w:tcW w:w="6581" w:type="dxa"/>
            <w:vAlign w:val="center"/>
          </w:tcPr>
          <w:p w14:paraId="357833C8">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根据投标人对本项目的重点、难点分析是否全面、阐述合理、条理清晰、符合现状措施等进行打分：</w:t>
            </w:r>
          </w:p>
          <w:p w14:paraId="55155F69">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zh-CN" w:eastAsia="zh-CN"/>
              </w:rPr>
              <w:t>重点、难点分析全面、到位、合理、准确的得</w:t>
            </w:r>
            <w:r>
              <w:rPr>
                <w:rFonts w:hint="eastAsia" w:ascii="宋体" w:hAnsi="宋体" w:eastAsia="宋体" w:cs="宋体"/>
                <w:color w:val="auto"/>
                <w:kern w:val="0"/>
                <w:szCs w:val="21"/>
                <w:highlight w:val="none"/>
                <w:lang w:val="en-US" w:eastAsia="zh-CN"/>
              </w:rPr>
              <w:t>4.1-6</w:t>
            </w:r>
            <w:r>
              <w:rPr>
                <w:rFonts w:hint="eastAsia" w:ascii="宋体" w:hAnsi="宋体" w:eastAsia="宋体" w:cs="宋体"/>
                <w:color w:val="auto"/>
                <w:kern w:val="0"/>
                <w:szCs w:val="21"/>
                <w:highlight w:val="none"/>
                <w:lang w:val="zh-CN" w:eastAsia="zh-CN"/>
              </w:rPr>
              <w:t>分；</w:t>
            </w:r>
          </w:p>
          <w:p w14:paraId="472BDE41">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eastAsia="zh-CN"/>
              </w:rPr>
              <w:t>重点、难点分析基本全面、到位、合理、准确的得</w:t>
            </w:r>
            <w:r>
              <w:rPr>
                <w:rFonts w:hint="eastAsia" w:ascii="宋体" w:hAnsi="宋体" w:eastAsia="宋体" w:cs="宋体"/>
                <w:color w:val="auto"/>
                <w:kern w:val="0"/>
                <w:szCs w:val="21"/>
                <w:highlight w:val="none"/>
                <w:lang w:val="en-US" w:eastAsia="zh-CN"/>
              </w:rPr>
              <w:t>2.1-4</w:t>
            </w:r>
            <w:r>
              <w:rPr>
                <w:rFonts w:hint="eastAsia" w:ascii="宋体" w:hAnsi="宋体" w:eastAsia="宋体" w:cs="宋体"/>
                <w:color w:val="auto"/>
                <w:kern w:val="0"/>
                <w:szCs w:val="21"/>
                <w:highlight w:val="none"/>
                <w:lang w:val="zh-CN" w:eastAsia="zh-CN"/>
              </w:rPr>
              <w:t>分；</w:t>
            </w:r>
          </w:p>
          <w:p w14:paraId="78DDDCBE">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eastAsia="zh-CN"/>
              </w:rPr>
              <w:t>重点、难点分析有明显缺陷的得</w:t>
            </w:r>
            <w:r>
              <w:rPr>
                <w:rFonts w:hint="eastAsia" w:ascii="宋体" w:hAnsi="宋体" w:eastAsia="宋体" w:cs="宋体"/>
                <w:color w:val="auto"/>
                <w:kern w:val="0"/>
                <w:szCs w:val="21"/>
                <w:highlight w:val="none"/>
                <w:lang w:val="en-US" w:eastAsia="zh-CN"/>
              </w:rPr>
              <w:t>0-2</w:t>
            </w:r>
            <w:r>
              <w:rPr>
                <w:rFonts w:hint="eastAsia" w:ascii="宋体" w:hAnsi="宋体" w:eastAsia="宋体" w:cs="宋体"/>
                <w:color w:val="auto"/>
                <w:kern w:val="0"/>
                <w:szCs w:val="21"/>
                <w:highlight w:val="none"/>
                <w:lang w:val="zh-CN" w:eastAsia="zh-CN"/>
              </w:rPr>
              <w:t>分。</w:t>
            </w:r>
          </w:p>
        </w:tc>
        <w:tc>
          <w:tcPr>
            <w:tcW w:w="823" w:type="dxa"/>
            <w:vAlign w:val="center"/>
          </w:tcPr>
          <w:p w14:paraId="5132AEC7">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分</w:t>
            </w:r>
          </w:p>
        </w:tc>
      </w:tr>
      <w:tr w14:paraId="56D0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699" w:type="dxa"/>
            <w:vAlign w:val="center"/>
          </w:tcPr>
          <w:p w14:paraId="19E4BCC5">
            <w:pPr>
              <w:tabs>
                <w:tab w:val="left" w:pos="3870"/>
                <w:tab w:val="left" w:pos="4085"/>
              </w:tabs>
              <w:snapToGrid w:val="0"/>
              <w:spacing w:line="3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061" w:type="dxa"/>
            <w:vAlign w:val="center"/>
          </w:tcPr>
          <w:p w14:paraId="5BAEC0A5">
            <w:pPr>
              <w:tabs>
                <w:tab w:val="left" w:pos="1680"/>
              </w:tabs>
              <w:spacing w:line="320" w:lineRule="exact"/>
              <w:rPr>
                <w:rFonts w:hint="eastAsia" w:ascii="宋体" w:hAnsi="宋体" w:eastAsia="宋体" w:cs="宋体"/>
                <w:szCs w:val="21"/>
                <w:lang w:val="en-US" w:eastAsia="zh-CN"/>
              </w:rPr>
            </w:pPr>
            <w:r>
              <w:rPr>
                <w:rFonts w:hint="eastAsia" w:ascii="宋体" w:hAnsi="宋体" w:eastAsia="宋体" w:cs="宋体"/>
                <w:color w:val="auto"/>
                <w:kern w:val="0"/>
                <w:szCs w:val="21"/>
                <w:highlight w:val="none"/>
                <w:lang w:val="zh-CN" w:eastAsia="zh-CN"/>
              </w:rPr>
              <w:t>巡查养护方案</w:t>
            </w:r>
          </w:p>
        </w:tc>
        <w:tc>
          <w:tcPr>
            <w:tcW w:w="6581" w:type="dxa"/>
            <w:vAlign w:val="center"/>
          </w:tcPr>
          <w:p w14:paraId="0A508390">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根据投标人的巡查养护方案（包括但不限于养护维修人员配置、养护巡查、养护维修等方面）进行打分：</w:t>
            </w:r>
          </w:p>
          <w:p w14:paraId="63254826">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zh-CN" w:eastAsia="zh-CN"/>
              </w:rPr>
              <w:t>巡查养护管理方案明确，内容具体，合理可行的得</w:t>
            </w:r>
            <w:r>
              <w:rPr>
                <w:rFonts w:hint="eastAsia" w:ascii="宋体" w:hAnsi="宋体" w:eastAsia="宋体" w:cs="宋体"/>
                <w:color w:val="auto"/>
                <w:kern w:val="0"/>
                <w:szCs w:val="21"/>
                <w:highlight w:val="none"/>
                <w:lang w:val="en-US" w:eastAsia="zh-CN"/>
              </w:rPr>
              <w:t>6.1-9分；</w:t>
            </w:r>
          </w:p>
          <w:p w14:paraId="5E2217A8">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eastAsia="zh-CN"/>
              </w:rPr>
              <w:t>巡查养护管理方案较明确，内容较具体，基本合理可行的得</w:t>
            </w:r>
            <w:r>
              <w:rPr>
                <w:rFonts w:hint="eastAsia" w:ascii="宋体" w:hAnsi="宋体" w:eastAsia="宋体" w:cs="宋体"/>
                <w:color w:val="auto"/>
                <w:kern w:val="0"/>
                <w:szCs w:val="21"/>
                <w:highlight w:val="none"/>
                <w:lang w:val="en-US" w:eastAsia="zh-CN"/>
              </w:rPr>
              <w:t>3.1-6</w:t>
            </w:r>
            <w:r>
              <w:rPr>
                <w:rFonts w:hint="eastAsia" w:ascii="宋体" w:hAnsi="宋体" w:eastAsia="宋体" w:cs="宋体"/>
                <w:color w:val="auto"/>
                <w:kern w:val="0"/>
                <w:szCs w:val="21"/>
                <w:highlight w:val="none"/>
                <w:lang w:val="zh-CN" w:eastAsia="zh-CN"/>
              </w:rPr>
              <w:t>分；</w:t>
            </w:r>
          </w:p>
          <w:p w14:paraId="112DFF6C">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4"/>
                <w:lang w:val="zh-CN"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eastAsia="zh-CN"/>
              </w:rPr>
              <w:t>巡查养护管理方案</w:t>
            </w:r>
            <w:r>
              <w:rPr>
                <w:rFonts w:hint="eastAsia" w:ascii="宋体" w:hAnsi="宋体" w:eastAsia="宋体" w:cs="宋体"/>
                <w:color w:val="auto"/>
                <w:kern w:val="0"/>
                <w:szCs w:val="21"/>
                <w:highlight w:val="none"/>
                <w:lang w:val="en-US" w:eastAsia="zh-CN"/>
              </w:rPr>
              <w:t>基本</w:t>
            </w:r>
            <w:r>
              <w:rPr>
                <w:rFonts w:hint="eastAsia" w:ascii="宋体" w:hAnsi="宋体" w:eastAsia="宋体" w:cs="宋体"/>
                <w:color w:val="auto"/>
                <w:kern w:val="0"/>
                <w:szCs w:val="21"/>
                <w:highlight w:val="none"/>
                <w:lang w:val="zh-CN" w:eastAsia="zh-CN"/>
              </w:rPr>
              <w:t>明确，内容不够具体，</w:t>
            </w:r>
            <w:r>
              <w:rPr>
                <w:rFonts w:hint="eastAsia" w:ascii="宋体" w:hAnsi="宋体" w:eastAsia="宋体" w:cs="宋体"/>
                <w:color w:val="auto"/>
                <w:kern w:val="0"/>
                <w:szCs w:val="21"/>
                <w:highlight w:val="none"/>
                <w:lang w:val="en-US" w:eastAsia="zh-CN"/>
              </w:rPr>
              <w:t>可行</w:t>
            </w:r>
            <w:r>
              <w:rPr>
                <w:rFonts w:hint="eastAsia" w:ascii="宋体" w:hAnsi="宋体" w:eastAsia="宋体" w:cs="宋体"/>
                <w:color w:val="auto"/>
                <w:kern w:val="0"/>
                <w:szCs w:val="21"/>
                <w:highlight w:val="none"/>
                <w:lang w:val="zh-CN" w:eastAsia="zh-CN"/>
              </w:rPr>
              <w:t>性</w:t>
            </w:r>
            <w:r>
              <w:rPr>
                <w:rFonts w:hint="eastAsia" w:ascii="宋体" w:hAnsi="宋体" w:eastAsia="宋体" w:cs="宋体"/>
                <w:color w:val="auto"/>
                <w:kern w:val="0"/>
                <w:szCs w:val="21"/>
                <w:highlight w:val="none"/>
                <w:lang w:val="en-US" w:eastAsia="zh-CN"/>
              </w:rPr>
              <w:t>一般</w:t>
            </w:r>
            <w:r>
              <w:rPr>
                <w:rFonts w:hint="eastAsia" w:ascii="宋体" w:hAnsi="宋体" w:eastAsia="宋体" w:cs="宋体"/>
                <w:color w:val="auto"/>
                <w:kern w:val="0"/>
                <w:szCs w:val="21"/>
                <w:highlight w:val="none"/>
                <w:lang w:val="zh-CN" w:eastAsia="zh-CN"/>
              </w:rPr>
              <w:t>的得</w:t>
            </w:r>
            <w:r>
              <w:rPr>
                <w:rFonts w:hint="eastAsia" w:ascii="宋体" w:hAnsi="宋体" w:eastAsia="宋体" w:cs="宋体"/>
                <w:color w:val="auto"/>
                <w:kern w:val="0"/>
                <w:szCs w:val="21"/>
                <w:highlight w:val="none"/>
                <w:lang w:val="en-US" w:eastAsia="zh-CN"/>
              </w:rPr>
              <w:t>0-3分。</w:t>
            </w:r>
          </w:p>
        </w:tc>
        <w:tc>
          <w:tcPr>
            <w:tcW w:w="823" w:type="dxa"/>
            <w:vAlign w:val="center"/>
          </w:tcPr>
          <w:p w14:paraId="46C86BA9">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szCs w:val="21"/>
                <w:lang w:val="en-US" w:eastAsia="zh-CN"/>
              </w:rPr>
            </w:pPr>
            <w:r>
              <w:rPr>
                <w:rFonts w:hint="eastAsia" w:ascii="宋体" w:hAnsi="宋体" w:eastAsia="宋体" w:cs="宋体"/>
                <w:kern w:val="0"/>
                <w:sz w:val="21"/>
                <w:szCs w:val="21"/>
                <w:highlight w:val="none"/>
                <w:lang w:val="en-US" w:eastAsia="zh-CN"/>
              </w:rPr>
              <w:t>9</w:t>
            </w:r>
            <w:r>
              <w:rPr>
                <w:rFonts w:hint="eastAsia" w:ascii="宋体" w:hAnsi="宋体" w:eastAsia="宋体" w:cs="宋体"/>
                <w:b w:val="0"/>
                <w:bCs w:val="0"/>
                <w:sz w:val="21"/>
                <w:szCs w:val="21"/>
              </w:rPr>
              <w:t>分</w:t>
            </w:r>
          </w:p>
        </w:tc>
      </w:tr>
      <w:tr w14:paraId="09C9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99" w:type="dxa"/>
            <w:vAlign w:val="center"/>
          </w:tcPr>
          <w:p w14:paraId="6B96E818">
            <w:pPr>
              <w:tabs>
                <w:tab w:val="left" w:pos="3870"/>
                <w:tab w:val="left" w:pos="4085"/>
              </w:tabs>
              <w:snapToGrid w:val="0"/>
              <w:spacing w:afterLines="50"/>
              <w:jc w:val="center"/>
              <w:rPr>
                <w:rFonts w:hint="eastAsia" w:ascii="宋体" w:hAnsi="宋体" w:eastAsia="宋体" w:cs="宋体"/>
                <w:szCs w:val="21"/>
                <w:lang w:eastAsia="zh-CN"/>
              </w:rPr>
            </w:pPr>
            <w:r>
              <w:rPr>
                <w:rFonts w:hint="eastAsia" w:ascii="宋体" w:hAnsi="宋体" w:eastAsia="宋体" w:cs="宋体"/>
                <w:szCs w:val="21"/>
                <w:lang w:val="en-US" w:eastAsia="zh-CN"/>
              </w:rPr>
              <w:t>9</w:t>
            </w:r>
          </w:p>
        </w:tc>
        <w:tc>
          <w:tcPr>
            <w:tcW w:w="1061" w:type="dxa"/>
            <w:vAlign w:val="center"/>
          </w:tcPr>
          <w:p w14:paraId="01D8B677">
            <w:pPr>
              <w:tabs>
                <w:tab w:val="left" w:pos="1680"/>
              </w:tabs>
              <w:spacing w:line="320" w:lineRule="exact"/>
              <w:rPr>
                <w:rFonts w:hint="eastAsia" w:ascii="宋体" w:hAnsi="宋体" w:eastAsia="宋体" w:cs="宋体"/>
                <w:szCs w:val="21"/>
              </w:rPr>
            </w:pPr>
            <w:r>
              <w:rPr>
                <w:rFonts w:hint="eastAsia" w:ascii="宋体" w:hAnsi="宋体" w:eastAsia="宋体" w:cs="宋体"/>
                <w:color w:val="auto"/>
                <w:kern w:val="0"/>
                <w:szCs w:val="21"/>
                <w:highlight w:val="none"/>
                <w:lang w:val="en-US" w:eastAsia="zh-CN"/>
              </w:rPr>
              <w:t>检测方案</w:t>
            </w:r>
          </w:p>
        </w:tc>
        <w:tc>
          <w:tcPr>
            <w:tcW w:w="6581" w:type="dxa"/>
            <w:vAlign w:val="center"/>
          </w:tcPr>
          <w:p w14:paraId="1740D84D">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根据投标人的检测方案进行打分：</w:t>
            </w:r>
          </w:p>
          <w:p w14:paraId="461D3A48">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val="zh-CN" w:eastAsia="zh-CN"/>
              </w:rPr>
              <w:t>检测方案全面，内容具体，合理可行的得</w:t>
            </w:r>
            <w:r>
              <w:rPr>
                <w:rFonts w:hint="eastAsia" w:ascii="宋体" w:hAnsi="宋体" w:eastAsia="宋体" w:cs="宋体"/>
                <w:color w:val="auto"/>
                <w:kern w:val="0"/>
                <w:szCs w:val="21"/>
                <w:highlight w:val="none"/>
                <w:lang w:val="en-US" w:eastAsia="zh-CN"/>
              </w:rPr>
              <w:t>6.1-9分；</w:t>
            </w:r>
          </w:p>
          <w:p w14:paraId="57B93E21">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eastAsia="zh-CN"/>
              </w:rPr>
              <w:t>检测方案基本全面，内容较具体，基本合理可行的得</w:t>
            </w:r>
            <w:r>
              <w:rPr>
                <w:rFonts w:hint="eastAsia" w:ascii="宋体" w:hAnsi="宋体" w:eastAsia="宋体" w:cs="宋体"/>
                <w:color w:val="auto"/>
                <w:kern w:val="0"/>
                <w:szCs w:val="21"/>
                <w:highlight w:val="none"/>
                <w:lang w:val="en-US" w:eastAsia="zh-CN"/>
              </w:rPr>
              <w:t>3.1-6</w:t>
            </w:r>
            <w:r>
              <w:rPr>
                <w:rFonts w:hint="eastAsia" w:ascii="宋体" w:hAnsi="宋体" w:eastAsia="宋体" w:cs="宋体"/>
                <w:color w:val="auto"/>
                <w:kern w:val="0"/>
                <w:szCs w:val="21"/>
                <w:highlight w:val="none"/>
                <w:lang w:val="zh-CN" w:eastAsia="zh-CN"/>
              </w:rPr>
              <w:t>分；</w:t>
            </w:r>
          </w:p>
          <w:p w14:paraId="7DD167B6">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eastAsia="zh-CN"/>
              </w:rPr>
              <w:t>检测方案</w:t>
            </w:r>
            <w:r>
              <w:rPr>
                <w:rFonts w:hint="eastAsia" w:ascii="宋体" w:hAnsi="宋体" w:eastAsia="宋体" w:cs="宋体"/>
                <w:color w:val="auto"/>
                <w:kern w:val="0"/>
                <w:szCs w:val="21"/>
                <w:highlight w:val="none"/>
                <w:lang w:val="en-US" w:eastAsia="zh-CN"/>
              </w:rPr>
              <w:t>不够全面</w:t>
            </w:r>
            <w:r>
              <w:rPr>
                <w:rFonts w:hint="eastAsia" w:ascii="宋体" w:hAnsi="宋体" w:eastAsia="宋体" w:cs="宋体"/>
                <w:color w:val="auto"/>
                <w:kern w:val="0"/>
                <w:szCs w:val="21"/>
                <w:highlight w:val="none"/>
                <w:lang w:val="zh-CN" w:eastAsia="zh-CN"/>
              </w:rPr>
              <w:t>，内容不够具体，</w:t>
            </w:r>
            <w:r>
              <w:rPr>
                <w:rFonts w:hint="eastAsia" w:ascii="宋体" w:hAnsi="宋体" w:eastAsia="宋体" w:cs="宋体"/>
                <w:color w:val="auto"/>
                <w:kern w:val="0"/>
                <w:szCs w:val="21"/>
                <w:highlight w:val="none"/>
                <w:lang w:val="en-US" w:eastAsia="zh-CN"/>
              </w:rPr>
              <w:t>可行</w:t>
            </w:r>
            <w:r>
              <w:rPr>
                <w:rFonts w:hint="eastAsia" w:ascii="宋体" w:hAnsi="宋体" w:eastAsia="宋体" w:cs="宋体"/>
                <w:color w:val="auto"/>
                <w:kern w:val="0"/>
                <w:szCs w:val="21"/>
                <w:highlight w:val="none"/>
                <w:lang w:val="zh-CN" w:eastAsia="zh-CN"/>
              </w:rPr>
              <w:t>性</w:t>
            </w:r>
            <w:r>
              <w:rPr>
                <w:rFonts w:hint="eastAsia" w:ascii="宋体" w:hAnsi="宋体" w:eastAsia="宋体" w:cs="宋体"/>
                <w:color w:val="auto"/>
                <w:kern w:val="0"/>
                <w:szCs w:val="21"/>
                <w:highlight w:val="none"/>
                <w:lang w:val="en-US" w:eastAsia="zh-CN"/>
              </w:rPr>
              <w:t>一般</w:t>
            </w:r>
            <w:r>
              <w:rPr>
                <w:rFonts w:hint="eastAsia" w:ascii="宋体" w:hAnsi="宋体" w:eastAsia="宋体" w:cs="宋体"/>
                <w:color w:val="auto"/>
                <w:kern w:val="0"/>
                <w:szCs w:val="21"/>
                <w:highlight w:val="none"/>
                <w:lang w:val="zh-CN" w:eastAsia="zh-CN"/>
              </w:rPr>
              <w:t>的得</w:t>
            </w:r>
            <w:r>
              <w:rPr>
                <w:rFonts w:hint="eastAsia" w:ascii="宋体" w:hAnsi="宋体" w:eastAsia="宋体" w:cs="宋体"/>
                <w:color w:val="auto"/>
                <w:kern w:val="0"/>
                <w:szCs w:val="21"/>
                <w:highlight w:val="none"/>
                <w:lang w:val="en-US" w:eastAsia="zh-CN"/>
              </w:rPr>
              <w:t>0-3分。</w:t>
            </w:r>
          </w:p>
        </w:tc>
        <w:tc>
          <w:tcPr>
            <w:tcW w:w="823" w:type="dxa"/>
            <w:vAlign w:val="center"/>
          </w:tcPr>
          <w:p w14:paraId="19BD8DA0">
            <w:pPr>
              <w:keepNext w:val="0"/>
              <w:keepLines w:val="0"/>
              <w:pageBreakBefore w:val="0"/>
              <w:widowControl/>
              <w:kinsoku/>
              <w:wordWrap/>
              <w:overflowPunct/>
              <w:topLinePunct w:val="0"/>
              <w:bidi w:val="0"/>
              <w:adjustRightInd/>
              <w:snapToGrid/>
              <w:spacing w:line="240" w:lineRule="auto"/>
              <w:jc w:val="center"/>
              <w:rPr>
                <w:rFonts w:hint="eastAsia" w:ascii="宋体" w:hAnsi="宋体" w:eastAsia="宋体" w:cs="宋体"/>
                <w:szCs w:val="21"/>
                <w:lang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val="0"/>
                <w:bCs w:val="0"/>
                <w:sz w:val="21"/>
                <w:szCs w:val="21"/>
              </w:rPr>
              <w:t>分</w:t>
            </w:r>
          </w:p>
        </w:tc>
      </w:tr>
      <w:tr w14:paraId="2C97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99" w:type="dxa"/>
            <w:vAlign w:val="center"/>
          </w:tcPr>
          <w:p w14:paraId="3E996743">
            <w:pPr>
              <w:tabs>
                <w:tab w:val="left" w:pos="3870"/>
                <w:tab w:val="left" w:pos="4085"/>
              </w:tabs>
              <w:snapToGrid w:val="0"/>
              <w:spacing w:afterLines="5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061" w:type="dxa"/>
            <w:vAlign w:val="center"/>
          </w:tcPr>
          <w:p w14:paraId="14FFBAEE">
            <w:pPr>
              <w:tabs>
                <w:tab w:val="left" w:pos="1680"/>
              </w:tabs>
              <w:spacing w:line="320" w:lineRule="exact"/>
              <w:rPr>
                <w:rFonts w:hint="eastAsia" w:ascii="宋体" w:hAnsi="宋体" w:eastAsia="宋体" w:cs="宋体"/>
                <w:szCs w:val="21"/>
              </w:rPr>
            </w:pPr>
            <w:r>
              <w:rPr>
                <w:rFonts w:hint="eastAsia" w:ascii="宋体" w:hAnsi="宋体" w:eastAsia="宋体" w:cs="宋体"/>
                <w:color w:val="auto"/>
                <w:kern w:val="0"/>
                <w:szCs w:val="21"/>
                <w:highlight w:val="none"/>
                <w:lang w:val="zh-CN" w:eastAsia="zh-CN"/>
              </w:rPr>
              <w:t>质量、安全保证措施</w:t>
            </w:r>
          </w:p>
        </w:tc>
        <w:tc>
          <w:tcPr>
            <w:tcW w:w="6581" w:type="dxa"/>
            <w:vAlign w:val="center"/>
          </w:tcPr>
          <w:p w14:paraId="270F020B">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根据投标人日常养护过程中的质量、安全保证措施进行打分：</w:t>
            </w:r>
          </w:p>
          <w:p w14:paraId="6FC58703">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1、质量、安全保证措施明确，内容具体，合理可行的得4.1-</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分；</w:t>
            </w:r>
          </w:p>
          <w:p w14:paraId="7CC5ACEA">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2、质量、安全保证措施基本明确，内容基本具体，基本合理可行的得2.1-4分；</w:t>
            </w:r>
          </w:p>
          <w:p w14:paraId="4BBF9C4C">
            <w:pPr>
              <w:keepNext w:val="0"/>
              <w:keepLines w:val="0"/>
              <w:pageBreakBefore w:val="0"/>
              <w:tabs>
                <w:tab w:val="left" w:pos="1680"/>
              </w:tabs>
              <w:kinsoku/>
              <w:wordWrap/>
              <w:overflowPunct/>
              <w:topLinePunct w:val="0"/>
              <w:bidi w:val="0"/>
              <w:adjustRightInd/>
              <w:snapToGrid/>
              <w:spacing w:line="360" w:lineRule="exact"/>
              <w:textAlignment w:val="auto"/>
              <w:rPr>
                <w:rFonts w:hint="eastAsia" w:ascii="宋体" w:hAnsi="宋体" w:eastAsia="宋体" w:cs="宋体"/>
              </w:rPr>
            </w:pPr>
            <w:r>
              <w:rPr>
                <w:rFonts w:hint="eastAsia" w:ascii="宋体" w:hAnsi="宋体" w:eastAsia="宋体" w:cs="宋体"/>
                <w:color w:val="auto"/>
                <w:kern w:val="0"/>
                <w:szCs w:val="21"/>
                <w:highlight w:val="none"/>
                <w:lang w:val="en-US" w:eastAsia="zh-CN"/>
              </w:rPr>
              <w:t>3、质量、安全保证措施不够明确，内容不够具体，可行性一般的得0-2分。</w:t>
            </w:r>
          </w:p>
        </w:tc>
        <w:tc>
          <w:tcPr>
            <w:tcW w:w="823" w:type="dxa"/>
            <w:vAlign w:val="center"/>
          </w:tcPr>
          <w:p w14:paraId="1EB484CE">
            <w:pPr>
              <w:keepNext w:val="0"/>
              <w:keepLines w:val="0"/>
              <w:pageBreakBefore w:val="0"/>
              <w:widowControl/>
              <w:kinsoku/>
              <w:wordWrap/>
              <w:overflowPunct/>
              <w:topLinePunct w:val="0"/>
              <w:bidi w:val="0"/>
              <w:adjustRightInd/>
              <w:snapToGrid/>
              <w:spacing w:line="240" w:lineRule="auto"/>
              <w:ind w:left="0" w:leftChars="0" w:firstLine="0" w:firstLineChars="0"/>
              <w:jc w:val="center"/>
              <w:rPr>
                <w:rFonts w:hint="eastAsia" w:ascii="宋体" w:hAnsi="宋体" w:eastAsia="宋体" w:cs="宋体"/>
                <w:szCs w:val="21"/>
                <w:lang w:eastAsia="zh-CN"/>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分</w:t>
            </w:r>
          </w:p>
        </w:tc>
      </w:tr>
      <w:tr w14:paraId="7182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99" w:type="dxa"/>
            <w:vAlign w:val="center"/>
          </w:tcPr>
          <w:p w14:paraId="1254027F">
            <w:pPr>
              <w:tabs>
                <w:tab w:val="left" w:pos="3870"/>
                <w:tab w:val="left" w:pos="4085"/>
              </w:tabs>
              <w:snapToGrid w:val="0"/>
              <w:spacing w:afterLines="50"/>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1061" w:type="dxa"/>
            <w:vAlign w:val="center"/>
          </w:tcPr>
          <w:p w14:paraId="6E5B3153">
            <w:pPr>
              <w:pStyle w:val="31"/>
              <w:keepNext w:val="0"/>
              <w:keepLines w:val="0"/>
              <w:pageBreakBefore w:val="0"/>
              <w:kinsoku/>
              <w:wordWrap/>
              <w:overflowPunct/>
              <w:topLinePunct w:val="0"/>
              <w:autoSpaceDE/>
              <w:autoSpaceDN/>
              <w:bidi w:val="0"/>
              <w:adjustRightInd/>
              <w:ind w:left="0" w:leftChars="0"/>
              <w:jc w:val="center"/>
              <w:textAlignment w:val="auto"/>
              <w:rPr>
                <w:rFonts w:hint="eastAsia" w:ascii="宋体" w:hAnsi="宋体" w:eastAsia="宋体" w:cs="宋体"/>
                <w:szCs w:val="21"/>
                <w:highlight w:val="yellow"/>
              </w:rPr>
            </w:pPr>
            <w:r>
              <w:rPr>
                <w:rFonts w:hint="eastAsia" w:ascii="宋体" w:hAnsi="宋体" w:eastAsia="宋体" w:cs="宋体"/>
                <w:kern w:val="0"/>
                <w:sz w:val="21"/>
                <w:szCs w:val="21"/>
                <w:highlight w:val="none"/>
              </w:rPr>
              <w:t>应急预案</w:t>
            </w:r>
          </w:p>
        </w:tc>
        <w:tc>
          <w:tcPr>
            <w:tcW w:w="6581" w:type="dxa"/>
            <w:vAlign w:val="center"/>
          </w:tcPr>
          <w:p w14:paraId="20964384">
            <w:pPr>
              <w:keepNext w:val="0"/>
              <w:keepLines w:val="0"/>
              <w:pageBreakBefore w:val="0"/>
              <w:widowControl/>
              <w:kinsoku/>
              <w:wordWrap/>
              <w:overflowPunct/>
              <w:topLinePunct w:val="0"/>
              <w:autoSpaceDE/>
              <w:autoSpaceDN/>
              <w:bidi w:val="0"/>
              <w:adjustRightInd/>
              <w:snapToGrid/>
              <w:ind w:right="0" w:rightChars="0"/>
              <w:jc w:val="left"/>
              <w:textAlignment w:val="auto"/>
              <w:rPr>
                <w:rFonts w:hint="eastAsia" w:ascii="宋体" w:hAnsi="宋体" w:eastAsia="宋体" w:cs="宋体"/>
                <w:szCs w:val="24"/>
                <w:highlight w:val="none"/>
                <w:lang w:bidi="ar"/>
              </w:rPr>
            </w:pPr>
            <w:r>
              <w:rPr>
                <w:rFonts w:hint="eastAsia" w:ascii="宋体" w:hAnsi="宋体" w:eastAsia="宋体" w:cs="宋体"/>
                <w:szCs w:val="24"/>
                <w:highlight w:val="none"/>
                <w:lang w:val="en-US" w:eastAsia="zh-CN" w:bidi="ar"/>
              </w:rPr>
              <w:t>根据</w:t>
            </w:r>
            <w:r>
              <w:rPr>
                <w:rFonts w:hint="eastAsia" w:ascii="宋体" w:hAnsi="宋体" w:eastAsia="宋体" w:cs="宋体"/>
                <w:szCs w:val="24"/>
                <w:highlight w:val="none"/>
                <w:lang w:bidi="ar"/>
              </w:rPr>
              <w:t>针对本项目的应急预案进行打分。</w:t>
            </w:r>
          </w:p>
          <w:p w14:paraId="6F7C605B">
            <w:pPr>
              <w:keepNext w:val="0"/>
              <w:keepLines w:val="0"/>
              <w:pageBreakBefore w:val="0"/>
              <w:numPr>
                <w:ilvl w:val="0"/>
                <w:numId w:val="0"/>
              </w:numPr>
              <w:kinsoku/>
              <w:wordWrap/>
              <w:overflowPunct/>
              <w:topLinePunct w:val="0"/>
              <w:autoSpaceDE/>
              <w:autoSpaceDN/>
              <w:bidi w:val="0"/>
              <w:adjustRightInd/>
              <w:snapToGrid/>
              <w:spacing w:after="0"/>
              <w:ind w:firstLine="0"/>
              <w:jc w:val="left"/>
              <w:textAlignment w:val="auto"/>
              <w:rPr>
                <w:rFonts w:hint="eastAsia" w:ascii="宋体" w:hAnsi="宋体" w:eastAsia="宋体" w:cs="宋体"/>
                <w:szCs w:val="24"/>
                <w:highlight w:val="none"/>
                <w:lang w:bidi="ar"/>
              </w:rPr>
            </w:pPr>
            <w:r>
              <w:rPr>
                <w:rFonts w:hint="eastAsia" w:ascii="宋体" w:hAnsi="宋体" w:eastAsia="宋体" w:cs="宋体"/>
                <w:szCs w:val="24"/>
                <w:highlight w:val="none"/>
                <w:lang w:val="en-US" w:eastAsia="zh-CN" w:bidi="ar"/>
              </w:rPr>
              <w:t>1、</w:t>
            </w:r>
            <w:r>
              <w:rPr>
                <w:rFonts w:hint="eastAsia" w:ascii="宋体" w:hAnsi="宋体" w:eastAsia="宋体" w:cs="宋体"/>
                <w:szCs w:val="24"/>
                <w:highlight w:val="none"/>
                <w:lang w:bidi="ar"/>
              </w:rPr>
              <w:t>应急预案</w:t>
            </w:r>
            <w:r>
              <w:rPr>
                <w:rFonts w:hint="eastAsia" w:ascii="宋体" w:hAnsi="宋体" w:eastAsia="宋体" w:cs="宋体"/>
                <w:szCs w:val="24"/>
                <w:highlight w:val="none"/>
                <w:lang w:val="en-US" w:eastAsia="zh-CN" w:bidi="ar"/>
              </w:rPr>
              <w:t>科学合理、可操作性高、全面</w:t>
            </w:r>
            <w:r>
              <w:rPr>
                <w:rFonts w:hint="eastAsia" w:ascii="宋体" w:hAnsi="宋体" w:eastAsia="宋体" w:cs="宋体"/>
                <w:szCs w:val="24"/>
                <w:highlight w:val="none"/>
                <w:lang w:bidi="ar"/>
              </w:rPr>
              <w:t>的得</w:t>
            </w:r>
            <w:r>
              <w:rPr>
                <w:rFonts w:hint="eastAsia" w:ascii="宋体" w:hAnsi="宋体" w:eastAsia="宋体" w:cs="宋体"/>
                <w:szCs w:val="24"/>
                <w:highlight w:val="none"/>
                <w:lang w:val="en-US" w:eastAsia="zh-CN" w:bidi="ar"/>
              </w:rPr>
              <w:t>3.1-4</w:t>
            </w:r>
            <w:r>
              <w:rPr>
                <w:rFonts w:hint="eastAsia" w:ascii="宋体" w:hAnsi="宋体" w:eastAsia="宋体" w:cs="宋体"/>
                <w:szCs w:val="24"/>
                <w:highlight w:val="none"/>
                <w:lang w:bidi="ar"/>
              </w:rPr>
              <w:t>分；</w:t>
            </w:r>
          </w:p>
          <w:p w14:paraId="4F5B149D">
            <w:pPr>
              <w:keepNext w:val="0"/>
              <w:keepLines w:val="0"/>
              <w:pageBreakBefore w:val="0"/>
              <w:numPr>
                <w:ilvl w:val="0"/>
                <w:numId w:val="0"/>
              </w:numPr>
              <w:kinsoku/>
              <w:wordWrap/>
              <w:overflowPunct/>
              <w:topLinePunct w:val="0"/>
              <w:autoSpaceDE/>
              <w:autoSpaceDN/>
              <w:bidi w:val="0"/>
              <w:adjustRightInd/>
              <w:snapToGrid/>
              <w:spacing w:after="0"/>
              <w:ind w:firstLine="0"/>
              <w:jc w:val="left"/>
              <w:textAlignment w:val="auto"/>
              <w:rPr>
                <w:rFonts w:hint="eastAsia" w:ascii="宋体" w:hAnsi="宋体" w:eastAsia="宋体" w:cs="宋体"/>
                <w:szCs w:val="24"/>
                <w:highlight w:val="none"/>
                <w:lang w:bidi="ar"/>
              </w:rPr>
            </w:pPr>
            <w:r>
              <w:rPr>
                <w:rFonts w:hint="eastAsia" w:ascii="宋体" w:hAnsi="宋体" w:eastAsia="宋体" w:cs="宋体"/>
                <w:szCs w:val="24"/>
                <w:highlight w:val="none"/>
                <w:lang w:bidi="ar"/>
              </w:rPr>
              <w:t>2、应急预案</w:t>
            </w:r>
            <w:r>
              <w:rPr>
                <w:rFonts w:hint="eastAsia" w:ascii="宋体" w:hAnsi="宋体" w:eastAsia="宋体" w:cs="宋体"/>
                <w:szCs w:val="24"/>
                <w:highlight w:val="none"/>
                <w:lang w:val="en-US" w:eastAsia="zh-CN" w:bidi="ar"/>
              </w:rPr>
              <w:t>可操作性</w:t>
            </w:r>
            <w:r>
              <w:rPr>
                <w:rFonts w:hint="eastAsia" w:ascii="宋体" w:hAnsi="宋体" w:eastAsia="宋体" w:cs="宋体"/>
                <w:szCs w:val="24"/>
                <w:highlight w:val="none"/>
                <w:lang w:bidi="ar"/>
              </w:rPr>
              <w:t>一般</w:t>
            </w:r>
            <w:r>
              <w:rPr>
                <w:rFonts w:hint="eastAsia" w:ascii="宋体" w:hAnsi="宋体" w:eastAsia="宋体" w:cs="宋体"/>
                <w:szCs w:val="24"/>
                <w:highlight w:val="none"/>
                <w:lang w:eastAsia="zh-CN" w:bidi="ar"/>
              </w:rPr>
              <w:t>、</w:t>
            </w:r>
            <w:r>
              <w:rPr>
                <w:rFonts w:hint="eastAsia" w:ascii="宋体" w:hAnsi="宋体" w:eastAsia="宋体" w:cs="宋体"/>
                <w:szCs w:val="24"/>
                <w:highlight w:val="none"/>
                <w:lang w:val="en-US" w:eastAsia="zh-CN" w:bidi="ar"/>
              </w:rPr>
              <w:t>有待提高</w:t>
            </w:r>
            <w:r>
              <w:rPr>
                <w:rFonts w:hint="eastAsia" w:ascii="宋体" w:hAnsi="宋体" w:eastAsia="宋体" w:cs="宋体"/>
                <w:szCs w:val="24"/>
                <w:highlight w:val="none"/>
                <w:lang w:bidi="ar"/>
              </w:rPr>
              <w:t>的得</w:t>
            </w:r>
            <w:r>
              <w:rPr>
                <w:rFonts w:hint="eastAsia" w:ascii="宋体" w:hAnsi="宋体" w:eastAsia="宋体" w:cs="宋体"/>
                <w:szCs w:val="24"/>
                <w:highlight w:val="none"/>
                <w:lang w:val="en-US" w:eastAsia="zh-CN" w:bidi="ar"/>
              </w:rPr>
              <w:t>1.6-3</w:t>
            </w:r>
            <w:r>
              <w:rPr>
                <w:rFonts w:hint="eastAsia" w:ascii="宋体" w:hAnsi="宋体" w:eastAsia="宋体" w:cs="宋体"/>
                <w:szCs w:val="24"/>
                <w:highlight w:val="none"/>
                <w:lang w:bidi="ar"/>
              </w:rPr>
              <w:t>分；</w:t>
            </w:r>
          </w:p>
          <w:p w14:paraId="434B46AF">
            <w:pPr>
              <w:keepNext w:val="0"/>
              <w:keepLines w:val="0"/>
              <w:pageBreakBefore w:val="0"/>
              <w:kinsoku/>
              <w:wordWrap/>
              <w:overflowPunct/>
              <w:topLinePunct w:val="0"/>
              <w:autoSpaceDE/>
              <w:autoSpaceDN/>
              <w:bidi w:val="0"/>
              <w:adjustRightInd/>
              <w:spacing w:after="0"/>
              <w:ind w:left="0" w:leftChars="0" w:firstLine="0" w:firstLineChars="0"/>
              <w:jc w:val="left"/>
              <w:textAlignment w:val="auto"/>
              <w:rPr>
                <w:rFonts w:hint="eastAsia" w:ascii="宋体" w:hAnsi="宋体" w:eastAsia="宋体" w:cs="宋体"/>
                <w:highlight w:val="yellow"/>
              </w:rPr>
            </w:pPr>
            <w:r>
              <w:rPr>
                <w:rFonts w:hint="eastAsia" w:ascii="宋体" w:hAnsi="宋体" w:eastAsia="宋体" w:cs="宋体"/>
                <w:szCs w:val="24"/>
                <w:highlight w:val="none"/>
                <w:lang w:bidi="ar"/>
              </w:rPr>
              <w:t>3、应急预案</w:t>
            </w:r>
            <w:r>
              <w:rPr>
                <w:rFonts w:hint="eastAsia" w:ascii="宋体" w:hAnsi="宋体" w:eastAsia="宋体" w:cs="宋体"/>
                <w:szCs w:val="24"/>
                <w:highlight w:val="none"/>
                <w:lang w:val="en-US" w:eastAsia="zh-CN" w:bidi="ar"/>
              </w:rPr>
              <w:t>可操作性差，不够全面</w:t>
            </w:r>
            <w:r>
              <w:rPr>
                <w:rFonts w:hint="eastAsia" w:ascii="宋体" w:hAnsi="宋体" w:eastAsia="宋体" w:cs="宋体"/>
                <w:szCs w:val="24"/>
                <w:highlight w:val="none"/>
                <w:lang w:bidi="ar"/>
              </w:rPr>
              <w:t>的得</w:t>
            </w:r>
            <w:r>
              <w:rPr>
                <w:rFonts w:hint="eastAsia" w:ascii="宋体" w:hAnsi="宋体" w:eastAsia="宋体" w:cs="宋体"/>
                <w:szCs w:val="24"/>
                <w:highlight w:val="none"/>
                <w:lang w:val="en-US" w:eastAsia="zh-CN" w:bidi="ar"/>
              </w:rPr>
              <w:t>0-1.5</w:t>
            </w:r>
            <w:r>
              <w:rPr>
                <w:rFonts w:hint="eastAsia" w:ascii="宋体" w:hAnsi="宋体" w:eastAsia="宋体" w:cs="宋体"/>
                <w:szCs w:val="24"/>
                <w:highlight w:val="none"/>
                <w:lang w:bidi="ar"/>
              </w:rPr>
              <w:t>分。</w:t>
            </w:r>
          </w:p>
        </w:tc>
        <w:tc>
          <w:tcPr>
            <w:tcW w:w="823" w:type="dxa"/>
            <w:vAlign w:val="center"/>
          </w:tcPr>
          <w:p w14:paraId="33EEC252">
            <w:pPr>
              <w:keepNext w:val="0"/>
              <w:keepLines w:val="0"/>
              <w:pageBreakBefore w:val="0"/>
              <w:widowControl/>
              <w:kinsoku/>
              <w:wordWrap/>
              <w:overflowPunct/>
              <w:topLinePunct w:val="0"/>
              <w:autoSpaceDE/>
              <w:autoSpaceDN/>
              <w:bidi w:val="0"/>
              <w:adjustRightInd/>
              <w:jc w:val="center"/>
              <w:textAlignment w:val="auto"/>
              <w:rPr>
                <w:rFonts w:hint="eastAsia" w:ascii="宋体" w:hAnsi="宋体" w:eastAsia="宋体" w:cs="宋体"/>
                <w:szCs w:val="21"/>
                <w:lang w:eastAsia="zh-CN"/>
              </w:rPr>
            </w:pPr>
            <w:r>
              <w:rPr>
                <w:rFonts w:hint="eastAsia" w:ascii="宋体" w:hAnsi="宋体" w:eastAsia="宋体" w:cs="宋体"/>
                <w:szCs w:val="21"/>
                <w:highlight w:val="none"/>
                <w:lang w:val="en-US" w:eastAsia="zh-CN"/>
              </w:rPr>
              <w:t>4分</w:t>
            </w:r>
          </w:p>
        </w:tc>
      </w:tr>
    </w:tbl>
    <w:p w14:paraId="342B57FB">
      <w:pPr>
        <w:pStyle w:val="17"/>
        <w:ind w:left="0" w:leftChars="0" w:firstLine="0" w:firstLineChars="0"/>
        <w:rPr>
          <w:color w:val="auto"/>
          <w:highlight w:val="none"/>
        </w:rPr>
      </w:pPr>
    </w:p>
    <w:p w14:paraId="6F7BE06F">
      <w:pPr>
        <w:pStyle w:val="30"/>
        <w:rPr>
          <w:color w:val="auto"/>
          <w:highlight w:val="none"/>
        </w:rPr>
      </w:pPr>
    </w:p>
    <w:bookmarkEnd w:id="28"/>
    <w:p w14:paraId="6DDE3AA8">
      <w:pPr>
        <w:rPr>
          <w:rFonts w:hint="eastAsia"/>
        </w:rPr>
      </w:pPr>
      <w:bookmarkStart w:id="30" w:name="_Toc68703365"/>
    </w:p>
    <w:p w14:paraId="5F69DAE2">
      <w:pPr>
        <w:pStyle w:val="17"/>
        <w:rPr>
          <w:rFonts w:hint="eastAsia"/>
        </w:rPr>
      </w:pPr>
    </w:p>
    <w:p w14:paraId="7F4B083A">
      <w:pPr>
        <w:pStyle w:val="18"/>
        <w:rPr>
          <w:rFonts w:hint="eastAsia"/>
        </w:rPr>
      </w:pPr>
    </w:p>
    <w:p w14:paraId="77EAE101">
      <w:pPr>
        <w:pStyle w:val="19"/>
        <w:rPr>
          <w:rFonts w:hint="eastAsia"/>
        </w:rPr>
      </w:pPr>
    </w:p>
    <w:p w14:paraId="2A5925D8">
      <w:pPr>
        <w:pStyle w:val="19"/>
        <w:rPr>
          <w:rFonts w:hint="eastAsia"/>
        </w:rPr>
      </w:pPr>
    </w:p>
    <w:p w14:paraId="70F2D72E">
      <w:pPr>
        <w:pStyle w:val="19"/>
        <w:rPr>
          <w:rFonts w:hint="eastAsia"/>
        </w:rPr>
      </w:pPr>
    </w:p>
    <w:p w14:paraId="7430510E">
      <w:pPr>
        <w:pStyle w:val="19"/>
        <w:ind w:left="0" w:leftChars="0" w:firstLine="0" w:firstLineChars="0"/>
        <w:rPr>
          <w:rFonts w:hint="eastAsia"/>
        </w:rPr>
      </w:pPr>
    </w:p>
    <w:p w14:paraId="4FBCD27F">
      <w:pPr>
        <w:pStyle w:val="2"/>
        <w:jc w:val="center"/>
        <w:rPr>
          <w:rFonts w:ascii="宋体"/>
          <w:b w:val="0"/>
          <w:color w:val="auto"/>
          <w:sz w:val="36"/>
          <w:szCs w:val="36"/>
          <w:highlight w:val="none"/>
        </w:rPr>
      </w:pPr>
      <w:r>
        <w:rPr>
          <w:rFonts w:hint="eastAsia" w:ascii="宋体"/>
          <w:b w:val="0"/>
          <w:color w:val="auto"/>
          <w:sz w:val="36"/>
          <w:szCs w:val="36"/>
          <w:highlight w:val="none"/>
        </w:rPr>
        <w:t xml:space="preserve">第四章 </w:t>
      </w:r>
      <w:bookmarkStart w:id="31" w:name="_Hlk91081611"/>
      <w:r>
        <w:rPr>
          <w:rFonts w:hint="eastAsia" w:ascii="宋体"/>
          <w:b w:val="0"/>
          <w:color w:val="auto"/>
          <w:sz w:val="36"/>
          <w:szCs w:val="36"/>
          <w:highlight w:val="none"/>
        </w:rPr>
        <w:t>招标需求</w:t>
      </w:r>
      <w:bookmarkEnd w:id="30"/>
    </w:p>
    <w:bookmarkEnd w:id="31"/>
    <w:p w14:paraId="4D09A030">
      <w:pPr>
        <w:pStyle w:val="21"/>
        <w:keepNext w:val="0"/>
        <w:keepLines w:val="0"/>
        <w:pageBreakBefore w:val="0"/>
        <w:kinsoku/>
        <w:wordWrap/>
        <w:overflowPunct/>
        <w:topLinePunct w:val="0"/>
        <w:bidi w:val="0"/>
        <w:spacing w:line="480" w:lineRule="exact"/>
        <w:rPr>
          <w:rFonts w:hAnsi="宋体" w:cs="宋体"/>
          <w:b/>
          <w:color w:val="auto"/>
          <w:szCs w:val="21"/>
          <w:highlight w:val="none"/>
        </w:rPr>
      </w:pPr>
      <w:r>
        <w:rPr>
          <w:rFonts w:hint="eastAsia" w:hAnsi="宋体" w:cs="宋体"/>
          <w:b/>
          <w:color w:val="auto"/>
          <w:sz w:val="28"/>
          <w:szCs w:val="28"/>
          <w:highlight w:val="none"/>
        </w:rPr>
        <w:t>一、招标项目一览表</w:t>
      </w:r>
    </w:p>
    <w:p w14:paraId="35DBE8C8">
      <w:pPr>
        <w:pStyle w:val="21"/>
        <w:keepNext w:val="0"/>
        <w:keepLines w:val="0"/>
        <w:pageBreakBefore w:val="0"/>
        <w:kinsoku/>
        <w:wordWrap/>
        <w:overflowPunct/>
        <w:topLinePunct w:val="0"/>
        <w:bidi w:val="0"/>
        <w:spacing w:line="480" w:lineRule="exact"/>
        <w:rPr>
          <w:rFonts w:hint="eastAsia" w:hAnsi="宋体" w:cs="宋体"/>
          <w:b/>
          <w:color w:val="auto"/>
          <w:sz w:val="28"/>
          <w:szCs w:val="28"/>
          <w:highlight w:val="none"/>
        </w:rPr>
      </w:pPr>
      <w:r>
        <w:rPr>
          <w:rFonts w:hint="eastAsia" w:hAnsi="宋体" w:cs="宋体"/>
          <w:b/>
          <w:color w:val="auto"/>
          <w:sz w:val="28"/>
          <w:szCs w:val="28"/>
          <w:highlight w:val="none"/>
        </w:rPr>
        <w:t xml:space="preserve">  本次招标项目，具体内容如下表：</w:t>
      </w:r>
    </w:p>
    <w:tbl>
      <w:tblPr>
        <w:tblStyle w:val="35"/>
        <w:tblpPr w:leftFromText="181" w:rightFromText="181" w:bottomFromText="170" w:vertAnchor="text" w:tblpXSpec="center" w:tblpY="1"/>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343"/>
        <w:gridCol w:w="1155"/>
        <w:gridCol w:w="660"/>
        <w:gridCol w:w="705"/>
        <w:gridCol w:w="1245"/>
        <w:gridCol w:w="1319"/>
        <w:gridCol w:w="1125"/>
      </w:tblGrid>
      <w:tr w14:paraId="2FB6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12" w:type="dxa"/>
            <w:vAlign w:val="center"/>
          </w:tcPr>
          <w:p w14:paraId="413F083D">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2343" w:type="dxa"/>
            <w:vAlign w:val="center"/>
          </w:tcPr>
          <w:p w14:paraId="76543887">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1155" w:type="dxa"/>
            <w:vAlign w:val="center"/>
          </w:tcPr>
          <w:p w14:paraId="42FCCD9B">
            <w:pPr>
              <w:tabs>
                <w:tab w:val="left" w:pos="8280"/>
              </w:tabs>
              <w:autoSpaceDE w:val="0"/>
              <w:autoSpaceDN w:val="0"/>
              <w:adjustRightInd w:val="0"/>
              <w:jc w:val="center"/>
              <w:rPr>
                <w:rFonts w:hint="eastAsia" w:ascii="宋体" w:hAnsi="宋体" w:cs="宋体"/>
                <w:b/>
                <w:kern w:val="0"/>
                <w:szCs w:val="21"/>
              </w:rPr>
            </w:pPr>
            <w:r>
              <w:rPr>
                <w:rFonts w:hint="eastAsia" w:ascii="宋体" w:hAnsi="宋体" w:cs="宋体"/>
                <w:b/>
                <w:kern w:val="0"/>
                <w:szCs w:val="21"/>
              </w:rPr>
              <w:t>简</w:t>
            </w:r>
            <w:r>
              <w:rPr>
                <w:rFonts w:hint="eastAsia" w:ascii="宋体" w:hAnsi="宋体" w:cs="宋体"/>
                <w:b/>
                <w:szCs w:val="21"/>
              </w:rPr>
              <w:t>要要求</w:t>
            </w:r>
          </w:p>
        </w:tc>
        <w:tc>
          <w:tcPr>
            <w:tcW w:w="660" w:type="dxa"/>
            <w:vAlign w:val="center"/>
          </w:tcPr>
          <w:p w14:paraId="22D109A3">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05" w:type="dxa"/>
            <w:vAlign w:val="center"/>
          </w:tcPr>
          <w:p w14:paraId="29107A4B">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245" w:type="dxa"/>
            <w:vAlign w:val="center"/>
          </w:tcPr>
          <w:p w14:paraId="34D26577">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s="宋体"/>
                <w:b/>
                <w:szCs w:val="21"/>
              </w:rPr>
              <w:t>预算</w:t>
            </w:r>
            <w:r>
              <w:rPr>
                <w:rFonts w:hint="eastAsia" w:ascii="宋体" w:hAnsi="宋体" w:cs="宋体"/>
                <w:b/>
                <w:szCs w:val="21"/>
                <w:lang w:eastAsia="zh-CN"/>
              </w:rPr>
              <w:t>金额</w:t>
            </w:r>
          </w:p>
          <w:p w14:paraId="2FF0E1AD">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19" w:type="dxa"/>
            <w:vAlign w:val="center"/>
          </w:tcPr>
          <w:p w14:paraId="2DA6ADF9">
            <w:pPr>
              <w:jc w:val="center"/>
              <w:rPr>
                <w:rFonts w:hint="eastAsia" w:ascii="宋体" w:hAnsi="宋体" w:eastAsia="宋体" w:cs="宋体"/>
                <w:b/>
                <w:szCs w:val="21"/>
                <w:lang w:eastAsia="zh-CN"/>
              </w:rPr>
            </w:pPr>
            <w:r>
              <w:rPr>
                <w:rFonts w:hint="eastAsia" w:ascii="宋体" w:hAnsi="宋体" w:cs="宋体"/>
                <w:b/>
                <w:szCs w:val="21"/>
                <w:lang w:val="en-US" w:eastAsia="zh-CN"/>
              </w:rPr>
              <w:t>综合单价结算率</w:t>
            </w:r>
            <w:r>
              <w:rPr>
                <w:rFonts w:hint="eastAsia" w:ascii="宋体" w:hAnsi="宋体" w:cs="宋体"/>
                <w:b/>
                <w:szCs w:val="21"/>
                <w:lang w:eastAsia="zh-CN"/>
              </w:rPr>
              <w:t>上限</w:t>
            </w:r>
          </w:p>
        </w:tc>
        <w:tc>
          <w:tcPr>
            <w:tcW w:w="1125" w:type="dxa"/>
            <w:vAlign w:val="center"/>
          </w:tcPr>
          <w:p w14:paraId="266FC3EF">
            <w:pPr>
              <w:jc w:val="center"/>
              <w:rPr>
                <w:rFonts w:hint="eastAsia" w:ascii="宋体" w:hAnsi="宋体" w:eastAsia="宋体" w:cs="宋体"/>
                <w:b/>
                <w:szCs w:val="21"/>
                <w:lang w:eastAsia="zh-CN"/>
              </w:rPr>
            </w:pPr>
            <w:r>
              <w:rPr>
                <w:rFonts w:hint="eastAsia" w:ascii="宋体" w:hAnsi="宋体" w:cs="宋体"/>
                <w:b/>
                <w:szCs w:val="21"/>
                <w:lang w:eastAsia="zh-CN"/>
              </w:rPr>
              <w:t>地点</w:t>
            </w:r>
          </w:p>
        </w:tc>
      </w:tr>
      <w:tr w14:paraId="56C3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12" w:type="dxa"/>
            <w:vAlign w:val="center"/>
          </w:tcPr>
          <w:p w14:paraId="0143849E">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rPr>
              <w:t>1</w:t>
            </w:r>
          </w:p>
        </w:tc>
        <w:tc>
          <w:tcPr>
            <w:tcW w:w="2343" w:type="dxa"/>
            <w:vAlign w:val="center"/>
          </w:tcPr>
          <w:p w14:paraId="49DFA24B">
            <w:pPr>
              <w:tabs>
                <w:tab w:val="left" w:pos="8280"/>
              </w:tabs>
              <w:autoSpaceDE w:val="0"/>
              <w:autoSpaceDN w:val="0"/>
              <w:adjustRightInd w:val="0"/>
              <w:jc w:val="center"/>
              <w:rPr>
                <w:rFonts w:ascii="宋体" w:hAnsi="宋体" w:cs="宋体"/>
                <w:b w:val="0"/>
                <w:bCs/>
                <w:szCs w:val="21"/>
              </w:rPr>
            </w:pPr>
            <w:r>
              <w:rPr>
                <w:rFonts w:hint="eastAsia" w:ascii="宋体" w:hAnsi="宋体" w:cs="宋体"/>
                <w:b w:val="0"/>
                <w:bCs/>
                <w:szCs w:val="21"/>
                <w:lang w:eastAsia="zh-CN"/>
              </w:rPr>
              <w:t>海虹街道排水设施排查养护项目</w:t>
            </w:r>
          </w:p>
        </w:tc>
        <w:tc>
          <w:tcPr>
            <w:tcW w:w="1155" w:type="dxa"/>
            <w:vAlign w:val="center"/>
          </w:tcPr>
          <w:p w14:paraId="3EE97A80">
            <w:pPr>
              <w:tabs>
                <w:tab w:val="left" w:pos="8280"/>
              </w:tabs>
              <w:autoSpaceDE w:val="0"/>
              <w:autoSpaceDN w:val="0"/>
              <w:adjustRightInd w:val="0"/>
              <w:jc w:val="center"/>
              <w:rPr>
                <w:rFonts w:hint="eastAsia" w:ascii="宋体" w:hAnsi="宋体" w:cs="宋体"/>
                <w:b w:val="0"/>
                <w:bCs/>
                <w:szCs w:val="21"/>
                <w:lang w:val="en-US" w:eastAsia="zh-CN"/>
              </w:rPr>
            </w:pPr>
            <w:r>
              <w:rPr>
                <w:rFonts w:hint="eastAsia" w:ascii="宋体" w:hAnsi="宋体" w:cs="宋体"/>
                <w:b w:val="0"/>
                <w:bCs/>
                <w:szCs w:val="21"/>
                <w:lang w:val="en-US" w:eastAsia="zh-CN"/>
              </w:rPr>
              <w:t>详见招标需求</w:t>
            </w:r>
          </w:p>
        </w:tc>
        <w:tc>
          <w:tcPr>
            <w:tcW w:w="660" w:type="dxa"/>
            <w:vAlign w:val="center"/>
          </w:tcPr>
          <w:p w14:paraId="79DDB647">
            <w:pPr>
              <w:tabs>
                <w:tab w:val="left" w:pos="8280"/>
              </w:tabs>
              <w:autoSpaceDE w:val="0"/>
              <w:autoSpaceDN w:val="0"/>
              <w:adjustRightInd w:val="0"/>
              <w:jc w:val="center"/>
              <w:rPr>
                <w:rFonts w:hint="eastAsia"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1</w:t>
            </w:r>
          </w:p>
        </w:tc>
        <w:tc>
          <w:tcPr>
            <w:tcW w:w="705" w:type="dxa"/>
            <w:vAlign w:val="center"/>
          </w:tcPr>
          <w:p w14:paraId="42668A48">
            <w:pPr>
              <w:tabs>
                <w:tab w:val="left" w:pos="8280"/>
              </w:tabs>
              <w:autoSpaceDE w:val="0"/>
              <w:autoSpaceDN w:val="0"/>
              <w:adjustRightInd w:val="0"/>
              <w:jc w:val="center"/>
              <w:rPr>
                <w:rFonts w:hint="eastAsia" w:ascii="宋体" w:hAnsi="宋体" w:eastAsia="宋体" w:cs="宋体"/>
                <w:b w:val="0"/>
                <w:bCs/>
                <w:szCs w:val="21"/>
                <w:highlight w:val="none"/>
                <w:lang w:eastAsia="zh-CN"/>
              </w:rPr>
            </w:pPr>
            <w:r>
              <w:rPr>
                <w:rFonts w:hint="eastAsia" w:ascii="宋体" w:hAnsi="宋体" w:cs="宋体"/>
                <w:b w:val="0"/>
                <w:bCs/>
                <w:szCs w:val="21"/>
                <w:highlight w:val="none"/>
                <w:lang w:eastAsia="zh-CN"/>
              </w:rPr>
              <w:t>项</w:t>
            </w:r>
          </w:p>
        </w:tc>
        <w:tc>
          <w:tcPr>
            <w:tcW w:w="1245" w:type="dxa"/>
            <w:vAlign w:val="center"/>
          </w:tcPr>
          <w:p w14:paraId="646A0123">
            <w:pPr>
              <w:tabs>
                <w:tab w:val="left" w:pos="8280"/>
              </w:tabs>
              <w:autoSpaceDE w:val="0"/>
              <w:autoSpaceDN w:val="0"/>
              <w:adjustRightInd w:val="0"/>
              <w:jc w:val="center"/>
              <w:rPr>
                <w:rFonts w:hint="default" w:ascii="宋体" w:hAnsi="宋体" w:eastAsia="宋体" w:cs="宋体"/>
                <w:b w:val="0"/>
                <w:bCs/>
                <w:szCs w:val="21"/>
                <w:highlight w:val="none"/>
                <w:lang w:val="en-US" w:eastAsia="zh-CN"/>
              </w:rPr>
            </w:pPr>
            <w:r>
              <w:rPr>
                <w:rFonts w:hint="eastAsia" w:ascii="宋体" w:hAnsi="宋体" w:cs="宋体"/>
                <w:b w:val="0"/>
                <w:bCs/>
                <w:szCs w:val="21"/>
                <w:highlight w:val="none"/>
                <w:lang w:val="en-US" w:eastAsia="zh-CN"/>
              </w:rPr>
              <w:t xml:space="preserve">100   </w:t>
            </w:r>
          </w:p>
        </w:tc>
        <w:tc>
          <w:tcPr>
            <w:tcW w:w="1319" w:type="dxa"/>
            <w:vAlign w:val="center"/>
          </w:tcPr>
          <w:p w14:paraId="7AD5EA4C">
            <w:pPr>
              <w:tabs>
                <w:tab w:val="left" w:pos="8280"/>
              </w:tabs>
              <w:autoSpaceDE w:val="0"/>
              <w:autoSpaceDN w:val="0"/>
              <w:adjustRightInd w:val="0"/>
              <w:jc w:val="center"/>
              <w:rPr>
                <w:rStyle w:val="115"/>
                <w:rFonts w:hint="default" w:ascii="宋体" w:hAnsi="宋体" w:eastAsia="宋体"/>
                <w:b w:val="0"/>
                <w:bCs/>
                <w:szCs w:val="21"/>
                <w:highlight w:val="none"/>
                <w:lang w:val="en-US" w:eastAsia="zh-CN"/>
              </w:rPr>
            </w:pPr>
            <w:r>
              <w:rPr>
                <w:rStyle w:val="115"/>
                <w:rFonts w:hint="eastAsia" w:ascii="宋体" w:hAnsi="宋体"/>
                <w:b w:val="0"/>
                <w:bCs/>
                <w:szCs w:val="21"/>
                <w:highlight w:val="none"/>
                <w:lang w:val="en-US" w:eastAsia="zh-CN"/>
              </w:rPr>
              <w:t>100%</w:t>
            </w:r>
          </w:p>
        </w:tc>
        <w:tc>
          <w:tcPr>
            <w:tcW w:w="1125" w:type="dxa"/>
            <w:vAlign w:val="center"/>
          </w:tcPr>
          <w:p w14:paraId="758C7EA3">
            <w:pPr>
              <w:tabs>
                <w:tab w:val="left" w:pos="8280"/>
              </w:tabs>
              <w:autoSpaceDE w:val="0"/>
              <w:autoSpaceDN w:val="0"/>
              <w:adjustRightInd w:val="0"/>
              <w:jc w:val="center"/>
              <w:rPr>
                <w:rStyle w:val="115"/>
                <w:rFonts w:hint="default" w:ascii="宋体" w:hAnsi="宋体" w:eastAsia="宋体"/>
                <w:b w:val="0"/>
                <w:bCs/>
                <w:szCs w:val="21"/>
                <w:lang w:val="en-US" w:eastAsia="zh-CN"/>
              </w:rPr>
            </w:pPr>
            <w:r>
              <w:rPr>
                <w:rStyle w:val="115"/>
                <w:rFonts w:hint="default" w:ascii="宋体" w:hAnsi="宋体" w:eastAsia="宋体"/>
                <w:b w:val="0"/>
                <w:bCs/>
                <w:szCs w:val="21"/>
                <w:lang w:val="en-US" w:eastAsia="zh-CN"/>
              </w:rPr>
              <w:t>海虹街道</w:t>
            </w:r>
          </w:p>
        </w:tc>
      </w:tr>
    </w:tbl>
    <w:p w14:paraId="255362F4">
      <w:pPr>
        <w:pStyle w:val="68"/>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cs="宋体"/>
          <w:b/>
          <w:bCs w:val="0"/>
          <w:color w:val="auto"/>
          <w:sz w:val="24"/>
          <w:szCs w:val="24"/>
          <w:highlight w:val="none"/>
        </w:rPr>
        <w:t>二、</w:t>
      </w:r>
      <w:bookmarkStart w:id="32" w:name="_Toc68703366"/>
      <w:bookmarkStart w:id="33" w:name="_Toc68703368"/>
      <w:r>
        <w:rPr>
          <w:rFonts w:hint="eastAsia" w:ascii="宋体" w:hAnsi="宋体" w:cs="Times New Roman"/>
          <w:b/>
          <w:bCs w:val="0"/>
          <w:color w:val="auto"/>
          <w:kern w:val="2"/>
          <w:sz w:val="24"/>
          <w:szCs w:val="24"/>
          <w:highlight w:val="none"/>
          <w:lang w:val="en-US" w:eastAsia="zh-CN" w:bidi="ar-SA"/>
        </w:rPr>
        <w:t>服务内容及要求</w:t>
      </w:r>
    </w:p>
    <w:p w14:paraId="1D9DA7E8">
      <w:pPr>
        <w:pStyle w:val="68"/>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Times New Roman"/>
          <w:b/>
          <w:bCs w:val="0"/>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（一）</w:t>
      </w:r>
      <w:r>
        <w:rPr>
          <w:rFonts w:hint="eastAsia" w:ascii="宋体" w:hAnsi="宋体" w:cs="Times New Roman"/>
          <w:b/>
          <w:bCs w:val="0"/>
          <w:color w:val="auto"/>
          <w:kern w:val="2"/>
          <w:sz w:val="24"/>
          <w:szCs w:val="24"/>
          <w:highlight w:val="none"/>
          <w:lang w:val="en-US" w:eastAsia="zh-CN" w:bidi="ar-SA"/>
        </w:rPr>
        <w:t>招标范围</w:t>
      </w:r>
    </w:p>
    <w:p w14:paraId="466A6FB1">
      <w:pPr>
        <w:pStyle w:val="107"/>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Style w:val="40"/>
          <w:rFonts w:hint="eastAsia" w:ascii="宋体" w:hAnsi="宋体" w:eastAsia="宋体" w:cs="宋体"/>
          <w:b w:val="0"/>
          <w:bCs w:val="0"/>
          <w:color w:val="auto"/>
          <w:kern w:val="2"/>
          <w:sz w:val="24"/>
          <w:szCs w:val="24"/>
          <w:highlight w:val="none"/>
          <w:lang w:val="en-US" w:eastAsia="zh-CN" w:bidi="ar-SA"/>
        </w:rPr>
        <w:t>本项目主要工作内容为海虹街道范围内的排水管网及附属设施的日常养护与管理、检测与维修等，包括但不限于巡视检查、日常投诉处理、日常防涝、晴天排水口出水溯源调查、潜望镜及CCTV或QV检测、管道非开挖修复及开挖修复、管道疏通、检查井及雨水口的清捞、各类市政雨污井盖的修复、配套的管道封堵（含拆）等。在防汛抗台期间，落实应急抢修疏通队伍，确保安全度汛抗台；防汛抗台结束后，负责落实灾后恢复工作，并做好记录台账资料工作等。</w:t>
      </w:r>
    </w:p>
    <w:p w14:paraId="321043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1、做好污水管网和雨水管网的巡查和维护处理，对管网中出现的一般的堵、溢等现象进行及时冲洗疏通，产生的污物必须及时规范处置。对管网中出现的漏、坏等现象及时上报采购人，经评估后进行维修。</w:t>
      </w:r>
    </w:p>
    <w:p w14:paraId="56E540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2、雨天加强巡查，对积水严重处应采取应急排水作业，做好安全围护。</w:t>
      </w:r>
    </w:p>
    <w:p w14:paraId="6CB464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3、对雨污水检查井等进行清理，以免堵塞管井，疏挖、清洗所产生的污物必须规范处置。</w:t>
      </w:r>
    </w:p>
    <w:p w14:paraId="4AD423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4、雨污水检查井、井盖（含预留井盖）出现被盗或损坏应在24小时内对污水检查井、井盖（含预留井盖）进行补缺，有安全隐患且无法立即修复的需做好安全维护措施。</w:t>
      </w:r>
    </w:p>
    <w:p w14:paraId="5FA821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Style w:val="40"/>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5、如发现雨污合流的情况，及时排查原因并查找源头。</w:t>
      </w:r>
      <w:r>
        <w:rPr>
          <w:rFonts w:hint="eastAsia" w:ascii="宋体" w:hAnsi="宋体" w:eastAsia="宋体" w:cs="宋体"/>
          <w:sz w:val="24"/>
          <w:szCs w:val="24"/>
          <w:highlight w:val="none"/>
          <w:lang w:val="en-US" w:eastAsia="zh-CN"/>
        </w:rPr>
        <w:t>做好雨污水管日常维护台账记录及所有项目施工过程</w:t>
      </w:r>
      <w:r>
        <w:rPr>
          <w:rFonts w:hint="eastAsia" w:ascii="宋体" w:hAnsi="宋体" w:eastAsia="宋体" w:cs="宋体"/>
          <w:color w:val="auto"/>
          <w:kern w:val="2"/>
          <w:sz w:val="24"/>
          <w:szCs w:val="24"/>
          <w:highlight w:val="none"/>
          <w:lang w:val="en-US" w:eastAsia="zh-CN" w:bidi="ar-SA"/>
        </w:rPr>
        <w:t>前中后期图片影像资料</w:t>
      </w:r>
      <w:r>
        <w:rPr>
          <w:rFonts w:hint="eastAsia" w:ascii="宋体" w:hAnsi="宋体" w:eastAsia="宋体" w:cs="宋体"/>
          <w:sz w:val="24"/>
          <w:szCs w:val="24"/>
          <w:highlight w:val="none"/>
          <w:lang w:val="en-US" w:eastAsia="zh-CN"/>
        </w:rPr>
        <w:t>。根据污水处理设施的实际情况，制定具体的</w:t>
      </w:r>
      <w:r>
        <w:rPr>
          <w:rFonts w:hint="eastAsia" w:ascii="宋体" w:hAnsi="宋体" w:eastAsia="宋体" w:cs="宋体"/>
          <w:sz w:val="24"/>
          <w:szCs w:val="24"/>
          <w:lang w:val="en-US" w:eastAsia="zh-CN"/>
        </w:rPr>
        <w:t>运行维护计划，明确日常运行维护内容，落实专人进行维护管理，建立健全运行维护管理制度，做好运行维护管理记录。</w:t>
      </w:r>
    </w:p>
    <w:p w14:paraId="7836364A">
      <w:pPr>
        <w:spacing w:line="440" w:lineRule="exact"/>
        <w:ind w:firstLine="480" w:firstLineChars="200"/>
        <w:jc w:val="both"/>
        <w:rPr>
          <w:rStyle w:val="40"/>
          <w:rFonts w:hint="eastAsia" w:ascii="宋体" w:hAnsi="宋体" w:eastAsia="宋体" w:cs="宋体"/>
          <w:b w:val="0"/>
          <w:bCs w:val="0"/>
          <w:color w:val="auto"/>
          <w:kern w:val="2"/>
          <w:sz w:val="24"/>
          <w:szCs w:val="24"/>
          <w:highlight w:val="none"/>
          <w:lang w:val="en-US" w:eastAsia="zh-CN" w:bidi="ar-SA"/>
        </w:rPr>
      </w:pPr>
      <w:r>
        <w:rPr>
          <w:rStyle w:val="40"/>
          <w:rFonts w:hint="eastAsia" w:ascii="宋体" w:hAnsi="宋体" w:eastAsia="宋体" w:cs="宋体"/>
          <w:b w:val="0"/>
          <w:bCs w:val="0"/>
          <w:color w:val="auto"/>
          <w:kern w:val="2"/>
          <w:sz w:val="24"/>
          <w:szCs w:val="24"/>
          <w:highlight w:val="none"/>
          <w:lang w:val="en-US" w:eastAsia="zh-CN" w:bidi="ar-SA"/>
        </w:rPr>
        <w:t>6、采购</w:t>
      </w:r>
      <w:r>
        <w:rPr>
          <w:rFonts w:hint="eastAsia" w:ascii="宋体" w:hAnsi="宋体" w:cs="Times New Roman"/>
          <w:b w:val="0"/>
          <w:bCs w:val="0"/>
          <w:color w:val="auto"/>
          <w:kern w:val="0"/>
          <w:sz w:val="24"/>
          <w:szCs w:val="24"/>
          <w:highlight w:val="none"/>
        </w:rPr>
        <w:t>清单</w:t>
      </w:r>
      <w:r>
        <w:rPr>
          <w:rFonts w:hint="eastAsia" w:ascii="宋体" w:hAnsi="宋体" w:cs="Times New Roman"/>
          <w:b w:val="0"/>
          <w:bCs w:val="0"/>
          <w:color w:val="auto"/>
          <w:kern w:val="0"/>
          <w:sz w:val="24"/>
          <w:szCs w:val="24"/>
          <w:highlight w:val="none"/>
          <w:lang w:eastAsia="zh-CN"/>
        </w:rPr>
        <w:t>单价表如下：</w:t>
      </w:r>
    </w:p>
    <w:p w14:paraId="1D9AC820">
      <w:pPr>
        <w:spacing w:line="440" w:lineRule="exact"/>
        <w:jc w:val="center"/>
        <w:rPr>
          <w:rStyle w:val="40"/>
          <w:rFonts w:hint="eastAsia" w:ascii="宋体" w:hAnsi="宋体" w:eastAsia="宋体" w:cs="宋体"/>
          <w:b/>
          <w:bCs/>
          <w:color w:val="auto"/>
          <w:kern w:val="2"/>
          <w:sz w:val="24"/>
          <w:szCs w:val="24"/>
          <w:highlight w:val="none"/>
          <w:lang w:val="en-US" w:eastAsia="zh-CN" w:bidi="ar-SA"/>
        </w:rPr>
      </w:pPr>
    </w:p>
    <w:p w14:paraId="5855FE51">
      <w:pPr>
        <w:spacing w:line="440" w:lineRule="exact"/>
        <w:jc w:val="center"/>
        <w:rPr>
          <w:rStyle w:val="40"/>
          <w:rFonts w:hint="eastAsia" w:ascii="宋体" w:hAnsi="宋体" w:eastAsia="宋体" w:cs="宋体"/>
          <w:b/>
          <w:bCs/>
          <w:color w:val="auto"/>
          <w:kern w:val="2"/>
          <w:sz w:val="24"/>
          <w:szCs w:val="24"/>
          <w:highlight w:val="none"/>
          <w:lang w:val="en-US" w:eastAsia="zh-CN" w:bidi="ar-SA"/>
        </w:rPr>
      </w:pPr>
    </w:p>
    <w:p w14:paraId="3C7044DE">
      <w:pPr>
        <w:spacing w:line="440" w:lineRule="exact"/>
        <w:jc w:val="center"/>
        <w:rPr>
          <w:rStyle w:val="40"/>
          <w:rFonts w:hint="eastAsia" w:ascii="宋体" w:hAnsi="宋体" w:eastAsia="宋体" w:cs="宋体"/>
          <w:b w:val="0"/>
          <w:bCs w:val="0"/>
          <w:color w:val="auto"/>
          <w:kern w:val="2"/>
          <w:sz w:val="24"/>
          <w:szCs w:val="24"/>
          <w:highlight w:val="none"/>
          <w:lang w:val="en-US" w:eastAsia="zh-CN" w:bidi="ar-SA"/>
        </w:rPr>
      </w:pPr>
      <w:r>
        <w:rPr>
          <w:rStyle w:val="40"/>
          <w:rFonts w:hint="eastAsia" w:ascii="宋体" w:hAnsi="宋体" w:eastAsia="宋体" w:cs="宋体"/>
          <w:b/>
          <w:bCs/>
          <w:color w:val="auto"/>
          <w:kern w:val="2"/>
          <w:sz w:val="24"/>
          <w:szCs w:val="24"/>
          <w:highlight w:val="none"/>
          <w:lang w:val="en-US" w:eastAsia="zh-CN" w:bidi="ar-SA"/>
        </w:rPr>
        <w:t>采购清单单价表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4410"/>
        <w:gridCol w:w="1080"/>
        <w:gridCol w:w="1185"/>
        <w:gridCol w:w="1382"/>
      </w:tblGrid>
      <w:tr w14:paraId="5F00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3" w:type="dxa"/>
            <w:vAlign w:val="center"/>
          </w:tcPr>
          <w:p w14:paraId="277E5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序号</w:t>
            </w:r>
          </w:p>
        </w:tc>
        <w:tc>
          <w:tcPr>
            <w:tcW w:w="4410" w:type="dxa"/>
            <w:vAlign w:val="center"/>
          </w:tcPr>
          <w:p w14:paraId="586FE9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rPr>
              <w:t>工程名称</w:t>
            </w:r>
          </w:p>
        </w:tc>
        <w:tc>
          <w:tcPr>
            <w:tcW w:w="1080" w:type="dxa"/>
            <w:vAlign w:val="center"/>
          </w:tcPr>
          <w:p w14:paraId="2294AD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color w:val="auto"/>
                <w:kern w:val="2"/>
                <w:sz w:val="21"/>
                <w:szCs w:val="21"/>
                <w:highlight w:val="none"/>
                <w:vertAlign w:val="baseline"/>
                <w:lang w:val="en-US" w:eastAsia="zh-CN" w:bidi="ar-SA"/>
              </w:rPr>
              <w:t>单位</w:t>
            </w:r>
          </w:p>
        </w:tc>
        <w:tc>
          <w:tcPr>
            <w:tcW w:w="1185" w:type="dxa"/>
            <w:vAlign w:val="center"/>
          </w:tcPr>
          <w:p w14:paraId="10D72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综合单价</w:t>
            </w:r>
          </w:p>
          <w:p w14:paraId="3F2A57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控制价</w:t>
            </w:r>
          </w:p>
        </w:tc>
        <w:tc>
          <w:tcPr>
            <w:tcW w:w="1382" w:type="dxa"/>
            <w:vAlign w:val="center"/>
          </w:tcPr>
          <w:p w14:paraId="457C7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备注</w:t>
            </w:r>
          </w:p>
        </w:tc>
      </w:tr>
      <w:tr w14:paraId="5BA9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3" w:type="dxa"/>
            <w:vAlign w:val="center"/>
          </w:tcPr>
          <w:p w14:paraId="26FBA10C">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p>
        </w:tc>
        <w:tc>
          <w:tcPr>
            <w:tcW w:w="4410" w:type="dxa"/>
            <w:vAlign w:val="center"/>
          </w:tcPr>
          <w:p w14:paraId="7BC137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管道非开挖修复dn</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00</w:t>
            </w:r>
            <w:r>
              <w:rPr>
                <w:rFonts w:hint="eastAsia" w:ascii="宋体" w:hAnsi="宋体" w:cs="宋体"/>
                <w:i w:val="0"/>
                <w:iCs w:val="0"/>
                <w:color w:val="auto"/>
                <w:kern w:val="0"/>
                <w:sz w:val="21"/>
                <w:szCs w:val="21"/>
                <w:highlight w:val="none"/>
                <w:u w:val="none"/>
                <w:lang w:val="en-US" w:eastAsia="zh-CN" w:bidi="ar"/>
              </w:rPr>
              <w:t>及以下（含人材机）</w:t>
            </w:r>
          </w:p>
        </w:tc>
        <w:tc>
          <w:tcPr>
            <w:tcW w:w="1080" w:type="dxa"/>
            <w:vAlign w:val="center"/>
          </w:tcPr>
          <w:p w14:paraId="6C9033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环</w:t>
            </w:r>
          </w:p>
        </w:tc>
        <w:tc>
          <w:tcPr>
            <w:tcW w:w="1185" w:type="dxa"/>
            <w:vAlign w:val="center"/>
          </w:tcPr>
          <w:p w14:paraId="78718E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1420</w:t>
            </w:r>
          </w:p>
        </w:tc>
        <w:tc>
          <w:tcPr>
            <w:tcW w:w="1382" w:type="dxa"/>
            <w:vAlign w:val="center"/>
          </w:tcPr>
          <w:p w14:paraId="124A537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14:paraId="02A5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3" w:type="dxa"/>
            <w:vAlign w:val="center"/>
          </w:tcPr>
          <w:p w14:paraId="22A3E62B">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p>
        </w:tc>
        <w:tc>
          <w:tcPr>
            <w:tcW w:w="4410" w:type="dxa"/>
            <w:vAlign w:val="center"/>
          </w:tcPr>
          <w:p w14:paraId="524412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管道非开挖修复dn400</w:t>
            </w:r>
            <w:r>
              <w:rPr>
                <w:rFonts w:hint="eastAsia" w:ascii="宋体" w:hAnsi="宋体" w:cs="宋体"/>
                <w:i w:val="0"/>
                <w:iCs w:val="0"/>
                <w:color w:val="auto"/>
                <w:kern w:val="0"/>
                <w:sz w:val="21"/>
                <w:szCs w:val="21"/>
                <w:highlight w:val="none"/>
                <w:u w:val="none"/>
                <w:lang w:val="en-US" w:eastAsia="zh-CN" w:bidi="ar"/>
              </w:rPr>
              <w:t>（含人材机）</w:t>
            </w:r>
          </w:p>
        </w:tc>
        <w:tc>
          <w:tcPr>
            <w:tcW w:w="1080" w:type="dxa"/>
            <w:vAlign w:val="center"/>
          </w:tcPr>
          <w:p w14:paraId="2F64C7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环</w:t>
            </w:r>
          </w:p>
        </w:tc>
        <w:tc>
          <w:tcPr>
            <w:tcW w:w="1185" w:type="dxa"/>
            <w:vAlign w:val="center"/>
          </w:tcPr>
          <w:p w14:paraId="3F6D5F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1780</w:t>
            </w:r>
          </w:p>
        </w:tc>
        <w:tc>
          <w:tcPr>
            <w:tcW w:w="1382" w:type="dxa"/>
            <w:vAlign w:val="center"/>
          </w:tcPr>
          <w:p w14:paraId="0884F5F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r w14:paraId="4D17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3" w:type="dxa"/>
            <w:vAlign w:val="center"/>
          </w:tcPr>
          <w:p w14:paraId="2EBEAF02">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val="0"/>
                <w:bCs w:val="0"/>
                <w:color w:val="auto"/>
                <w:sz w:val="21"/>
                <w:szCs w:val="21"/>
                <w:highlight w:val="none"/>
                <w:vertAlign w:val="baseline"/>
                <w:lang w:val="en-US" w:eastAsia="zh-CN"/>
              </w:rPr>
            </w:pPr>
          </w:p>
        </w:tc>
        <w:tc>
          <w:tcPr>
            <w:tcW w:w="4410" w:type="dxa"/>
            <w:vAlign w:val="center"/>
          </w:tcPr>
          <w:p w14:paraId="7BD98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管道非开挖修复dn</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00</w:t>
            </w:r>
            <w:r>
              <w:rPr>
                <w:rFonts w:hint="eastAsia" w:ascii="宋体" w:hAnsi="宋体" w:cs="宋体"/>
                <w:i w:val="0"/>
                <w:iCs w:val="0"/>
                <w:color w:val="auto"/>
                <w:kern w:val="0"/>
                <w:sz w:val="21"/>
                <w:szCs w:val="21"/>
                <w:highlight w:val="none"/>
                <w:u w:val="none"/>
                <w:lang w:val="en-US" w:eastAsia="zh-CN" w:bidi="ar"/>
              </w:rPr>
              <w:t>（含人材机）</w:t>
            </w:r>
          </w:p>
        </w:tc>
        <w:tc>
          <w:tcPr>
            <w:tcW w:w="1080" w:type="dxa"/>
            <w:vAlign w:val="center"/>
          </w:tcPr>
          <w:p w14:paraId="4DB6D2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环</w:t>
            </w:r>
          </w:p>
        </w:tc>
        <w:tc>
          <w:tcPr>
            <w:tcW w:w="1185" w:type="dxa"/>
            <w:vAlign w:val="center"/>
          </w:tcPr>
          <w:p w14:paraId="4472CA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1800</w:t>
            </w:r>
          </w:p>
        </w:tc>
        <w:tc>
          <w:tcPr>
            <w:tcW w:w="1382" w:type="dxa"/>
            <w:vAlign w:val="center"/>
          </w:tcPr>
          <w:p w14:paraId="176E4F2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14:paraId="0164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14:paraId="0CF6AFF2">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p>
        </w:tc>
        <w:tc>
          <w:tcPr>
            <w:tcW w:w="4410" w:type="dxa"/>
            <w:vAlign w:val="center"/>
          </w:tcPr>
          <w:p w14:paraId="61C48A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管道DN300以下疏通</w:t>
            </w:r>
          </w:p>
          <w:p w14:paraId="14F8C3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（包含管道清淤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窨井、检查井及沉井清捞</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污泥、垃圾外运</w:t>
            </w:r>
            <w:r>
              <w:rPr>
                <w:rFonts w:hint="eastAsia" w:ascii="宋体" w:hAnsi="宋体" w:cs="宋体"/>
                <w:i w:val="0"/>
                <w:iCs w:val="0"/>
                <w:color w:val="auto"/>
                <w:kern w:val="0"/>
                <w:sz w:val="21"/>
                <w:szCs w:val="21"/>
                <w:highlight w:val="none"/>
                <w:u w:val="none"/>
                <w:lang w:val="en-US" w:eastAsia="zh-CN" w:bidi="ar"/>
              </w:rPr>
              <w:t>处置，</w:t>
            </w:r>
            <w:r>
              <w:rPr>
                <w:rFonts w:hint="eastAsia" w:ascii="宋体" w:hAnsi="宋体" w:eastAsia="宋体" w:cs="宋体"/>
                <w:i w:val="0"/>
                <w:iCs w:val="0"/>
                <w:color w:val="auto"/>
                <w:kern w:val="0"/>
                <w:sz w:val="21"/>
                <w:szCs w:val="21"/>
                <w:highlight w:val="none"/>
                <w:u w:val="none"/>
                <w:lang w:val="en-US" w:eastAsia="zh-CN" w:bidi="ar"/>
              </w:rPr>
              <w:t>潜望镜检测</w:t>
            </w:r>
            <w:r>
              <w:rPr>
                <w:rFonts w:hint="eastAsia" w:ascii="宋体" w:hAnsi="宋体" w:cs="宋体"/>
                <w:i w:val="0"/>
                <w:iCs w:val="0"/>
                <w:color w:val="auto"/>
                <w:kern w:val="0"/>
                <w:sz w:val="21"/>
                <w:szCs w:val="21"/>
                <w:highlight w:val="none"/>
                <w:u w:val="none"/>
                <w:lang w:val="en-US" w:eastAsia="zh-CN" w:bidi="ar"/>
              </w:rPr>
              <w:t>，配套的管道封堵，</w:t>
            </w:r>
            <w:r>
              <w:rPr>
                <w:rFonts w:hint="eastAsia" w:ascii="宋体" w:hAnsi="宋体" w:eastAsia="宋体" w:cs="宋体"/>
                <w:i w:val="0"/>
                <w:iCs w:val="0"/>
                <w:color w:val="auto"/>
                <w:kern w:val="0"/>
                <w:sz w:val="21"/>
                <w:szCs w:val="21"/>
                <w:highlight w:val="none"/>
                <w:u w:val="none"/>
                <w:lang w:val="en-US" w:eastAsia="zh-CN" w:bidi="ar"/>
              </w:rPr>
              <w:t>巡视检查</w:t>
            </w:r>
            <w:r>
              <w:rPr>
                <w:rFonts w:hint="eastAsia" w:ascii="宋体" w:hAnsi="宋体" w:cs="宋体"/>
                <w:i w:val="0"/>
                <w:iCs w:val="0"/>
                <w:color w:val="auto"/>
                <w:kern w:val="0"/>
                <w:sz w:val="21"/>
                <w:szCs w:val="21"/>
                <w:highlight w:val="none"/>
                <w:u w:val="none"/>
                <w:lang w:val="en-US" w:eastAsia="zh-CN" w:bidi="ar"/>
              </w:rPr>
              <w:t>，调查</w:t>
            </w:r>
            <w:r>
              <w:rPr>
                <w:rFonts w:hint="eastAsia" w:ascii="宋体" w:hAnsi="宋体" w:eastAsia="宋体" w:cs="宋体"/>
                <w:i w:val="0"/>
                <w:iCs w:val="0"/>
                <w:color w:val="auto"/>
                <w:kern w:val="0"/>
                <w:sz w:val="21"/>
                <w:szCs w:val="21"/>
                <w:highlight w:val="none"/>
                <w:u w:val="none"/>
                <w:lang w:val="en-US" w:eastAsia="zh-CN" w:bidi="ar"/>
              </w:rPr>
              <w:t>应急服务等内容</w:t>
            </w:r>
            <w:r>
              <w:rPr>
                <w:rFonts w:hint="eastAsia" w:ascii="宋体" w:hAnsi="宋体" w:cs="宋体"/>
                <w:i w:val="0"/>
                <w:iCs w:val="0"/>
                <w:color w:val="auto"/>
                <w:kern w:val="0"/>
                <w:sz w:val="21"/>
                <w:szCs w:val="21"/>
                <w:highlight w:val="none"/>
                <w:u w:val="none"/>
                <w:lang w:val="en-US" w:eastAsia="zh-CN" w:bidi="ar"/>
              </w:rPr>
              <w:t>（包含人工、机械等）</w:t>
            </w:r>
            <w:r>
              <w:rPr>
                <w:rFonts w:hint="eastAsia" w:ascii="宋体" w:hAnsi="宋体" w:eastAsia="宋体" w:cs="宋体"/>
                <w:i w:val="0"/>
                <w:iCs w:val="0"/>
                <w:color w:val="auto"/>
                <w:kern w:val="0"/>
                <w:sz w:val="21"/>
                <w:szCs w:val="21"/>
                <w:highlight w:val="none"/>
                <w:u w:val="none"/>
                <w:lang w:val="en-US" w:eastAsia="zh-CN" w:bidi="ar"/>
              </w:rPr>
              <w:t>，以上内容需出具检测报告并提供施工前中后期图片影像资料）</w:t>
            </w:r>
          </w:p>
        </w:tc>
        <w:tc>
          <w:tcPr>
            <w:tcW w:w="1080" w:type="dxa"/>
            <w:vAlign w:val="center"/>
          </w:tcPr>
          <w:p w14:paraId="034070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米</w:t>
            </w:r>
          </w:p>
        </w:tc>
        <w:tc>
          <w:tcPr>
            <w:tcW w:w="1185" w:type="dxa"/>
            <w:vAlign w:val="center"/>
          </w:tcPr>
          <w:p w14:paraId="244CEA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17.9</w:t>
            </w:r>
          </w:p>
        </w:tc>
        <w:tc>
          <w:tcPr>
            <w:tcW w:w="1382" w:type="dxa"/>
            <w:vAlign w:val="center"/>
          </w:tcPr>
          <w:p w14:paraId="11A4F8FA">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i w:val="0"/>
                <w:iCs w:val="0"/>
                <w:color w:val="auto"/>
                <w:kern w:val="0"/>
                <w:sz w:val="21"/>
                <w:szCs w:val="21"/>
                <w:highlight w:val="none"/>
                <w:u w:val="none"/>
                <w:lang w:val="en-US" w:eastAsia="zh-CN" w:bidi="ar"/>
              </w:rPr>
            </w:pPr>
          </w:p>
        </w:tc>
      </w:tr>
      <w:tr w14:paraId="2129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14:paraId="48F44DAE">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val="0"/>
                <w:bCs w:val="0"/>
                <w:color w:val="auto"/>
                <w:sz w:val="21"/>
                <w:szCs w:val="21"/>
                <w:highlight w:val="none"/>
                <w:vertAlign w:val="baseline"/>
                <w:lang w:val="en-US" w:eastAsia="zh-CN"/>
              </w:rPr>
            </w:pPr>
          </w:p>
        </w:tc>
        <w:tc>
          <w:tcPr>
            <w:tcW w:w="4410" w:type="dxa"/>
            <w:vAlign w:val="center"/>
          </w:tcPr>
          <w:p w14:paraId="7E3EF0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管道DN300疏通</w:t>
            </w:r>
          </w:p>
          <w:p w14:paraId="04AA91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（包含管道清淤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窨井、检查井及沉井清捞</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污泥</w:t>
            </w:r>
            <w:r>
              <w:rPr>
                <w:rFonts w:hint="eastAsia" w:ascii="宋体" w:hAnsi="宋体" w:cs="宋体"/>
                <w:i w:val="0"/>
                <w:iCs w:val="0"/>
                <w:color w:val="auto"/>
                <w:kern w:val="0"/>
                <w:sz w:val="21"/>
                <w:szCs w:val="21"/>
                <w:highlight w:val="none"/>
                <w:u w:val="none"/>
                <w:lang w:val="en-US" w:eastAsia="zh-CN" w:bidi="ar"/>
              </w:rPr>
              <w:t>处置，</w:t>
            </w:r>
            <w:r>
              <w:rPr>
                <w:rFonts w:hint="eastAsia" w:ascii="宋体" w:hAnsi="宋体" w:eastAsia="宋体" w:cs="宋体"/>
                <w:i w:val="0"/>
                <w:iCs w:val="0"/>
                <w:color w:val="auto"/>
                <w:kern w:val="0"/>
                <w:sz w:val="21"/>
                <w:szCs w:val="21"/>
                <w:highlight w:val="none"/>
                <w:u w:val="none"/>
                <w:lang w:val="en-US" w:eastAsia="zh-CN" w:bidi="ar"/>
              </w:rPr>
              <w:t>CCTV</w:t>
            </w:r>
            <w:r>
              <w:rPr>
                <w:rFonts w:hint="eastAsia" w:ascii="宋体" w:hAnsi="宋体" w:cs="宋体"/>
                <w:i w:val="0"/>
                <w:iCs w:val="0"/>
                <w:color w:val="auto"/>
                <w:kern w:val="0"/>
                <w:sz w:val="21"/>
                <w:szCs w:val="21"/>
                <w:highlight w:val="none"/>
                <w:u w:val="none"/>
                <w:lang w:val="en-US" w:eastAsia="zh-CN" w:bidi="ar"/>
              </w:rPr>
              <w:t>或QV</w:t>
            </w:r>
            <w:r>
              <w:rPr>
                <w:rFonts w:hint="eastAsia" w:ascii="宋体" w:hAnsi="宋体" w:eastAsia="宋体" w:cs="宋体"/>
                <w:i w:val="0"/>
                <w:iCs w:val="0"/>
                <w:color w:val="auto"/>
                <w:kern w:val="0"/>
                <w:sz w:val="21"/>
                <w:szCs w:val="21"/>
                <w:highlight w:val="none"/>
                <w:u w:val="none"/>
                <w:lang w:val="en-US" w:eastAsia="zh-CN" w:bidi="ar"/>
              </w:rPr>
              <w:t>检测</w:t>
            </w:r>
            <w:r>
              <w:rPr>
                <w:rFonts w:hint="eastAsia" w:ascii="宋体" w:hAnsi="宋体" w:cs="宋体"/>
                <w:i w:val="0"/>
                <w:iCs w:val="0"/>
                <w:color w:val="auto"/>
                <w:kern w:val="0"/>
                <w:sz w:val="21"/>
                <w:szCs w:val="21"/>
                <w:highlight w:val="none"/>
                <w:u w:val="none"/>
                <w:lang w:val="en-US" w:eastAsia="zh-CN" w:bidi="ar"/>
              </w:rPr>
              <w:t>，配套的管道封堵，</w:t>
            </w:r>
            <w:r>
              <w:rPr>
                <w:rFonts w:hint="eastAsia" w:ascii="宋体" w:hAnsi="宋体" w:eastAsia="宋体" w:cs="宋体"/>
                <w:i w:val="0"/>
                <w:iCs w:val="0"/>
                <w:color w:val="auto"/>
                <w:kern w:val="0"/>
                <w:sz w:val="21"/>
                <w:szCs w:val="21"/>
                <w:highlight w:val="none"/>
                <w:u w:val="none"/>
                <w:lang w:val="en-US" w:eastAsia="zh-CN" w:bidi="ar"/>
              </w:rPr>
              <w:t>巡视检查</w:t>
            </w:r>
            <w:r>
              <w:rPr>
                <w:rFonts w:hint="eastAsia" w:ascii="宋体" w:hAnsi="宋体" w:cs="宋体"/>
                <w:i w:val="0"/>
                <w:iCs w:val="0"/>
                <w:color w:val="auto"/>
                <w:kern w:val="0"/>
                <w:sz w:val="21"/>
                <w:szCs w:val="21"/>
                <w:highlight w:val="none"/>
                <w:u w:val="none"/>
                <w:lang w:val="en-US" w:eastAsia="zh-CN" w:bidi="ar"/>
              </w:rPr>
              <w:t>，调查</w:t>
            </w:r>
            <w:r>
              <w:rPr>
                <w:rFonts w:hint="eastAsia" w:ascii="宋体" w:hAnsi="宋体" w:eastAsia="宋体" w:cs="宋体"/>
                <w:i w:val="0"/>
                <w:iCs w:val="0"/>
                <w:color w:val="auto"/>
                <w:kern w:val="0"/>
                <w:sz w:val="21"/>
                <w:szCs w:val="21"/>
                <w:highlight w:val="none"/>
                <w:u w:val="none"/>
                <w:lang w:val="en-US" w:eastAsia="zh-CN" w:bidi="ar"/>
              </w:rPr>
              <w:t>应急服务等内容</w:t>
            </w:r>
            <w:r>
              <w:rPr>
                <w:rFonts w:hint="eastAsia" w:ascii="宋体" w:hAnsi="宋体" w:cs="宋体"/>
                <w:i w:val="0"/>
                <w:iCs w:val="0"/>
                <w:color w:val="auto"/>
                <w:kern w:val="0"/>
                <w:sz w:val="21"/>
                <w:szCs w:val="21"/>
                <w:highlight w:val="none"/>
                <w:u w:val="none"/>
                <w:lang w:val="en-US" w:eastAsia="zh-CN" w:bidi="ar"/>
              </w:rPr>
              <w:t>（包含人工、机械等）</w:t>
            </w:r>
            <w:r>
              <w:rPr>
                <w:rFonts w:hint="eastAsia" w:ascii="宋体" w:hAnsi="宋体" w:eastAsia="宋体" w:cs="宋体"/>
                <w:i w:val="0"/>
                <w:iCs w:val="0"/>
                <w:color w:val="auto"/>
                <w:kern w:val="0"/>
                <w:sz w:val="21"/>
                <w:szCs w:val="21"/>
                <w:highlight w:val="none"/>
                <w:u w:val="none"/>
                <w:lang w:val="en-US" w:eastAsia="zh-CN" w:bidi="ar"/>
              </w:rPr>
              <w:t>，以上内容需出具检测报告并提供施工前中后期图片影像资料）</w:t>
            </w:r>
          </w:p>
        </w:tc>
        <w:tc>
          <w:tcPr>
            <w:tcW w:w="1080" w:type="dxa"/>
            <w:vAlign w:val="center"/>
          </w:tcPr>
          <w:p w14:paraId="065F8B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米</w:t>
            </w:r>
          </w:p>
        </w:tc>
        <w:tc>
          <w:tcPr>
            <w:tcW w:w="1185" w:type="dxa"/>
            <w:vAlign w:val="center"/>
          </w:tcPr>
          <w:p w14:paraId="26394D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18.3</w:t>
            </w:r>
          </w:p>
        </w:tc>
        <w:tc>
          <w:tcPr>
            <w:tcW w:w="1382" w:type="dxa"/>
            <w:vAlign w:val="center"/>
          </w:tcPr>
          <w:p w14:paraId="57CF5FC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i w:val="0"/>
                <w:iCs w:val="0"/>
                <w:color w:val="auto"/>
                <w:kern w:val="0"/>
                <w:sz w:val="21"/>
                <w:szCs w:val="21"/>
                <w:highlight w:val="none"/>
                <w:u w:val="none"/>
                <w:lang w:val="en-US" w:eastAsia="zh-CN" w:bidi="ar"/>
              </w:rPr>
            </w:pPr>
          </w:p>
        </w:tc>
      </w:tr>
      <w:tr w14:paraId="27F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14:paraId="198AA922">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val="0"/>
                <w:bCs w:val="0"/>
                <w:color w:val="auto"/>
                <w:sz w:val="21"/>
                <w:szCs w:val="21"/>
                <w:highlight w:val="none"/>
                <w:vertAlign w:val="baseline"/>
                <w:lang w:val="en-US" w:eastAsia="zh-CN"/>
              </w:rPr>
            </w:pPr>
          </w:p>
        </w:tc>
        <w:tc>
          <w:tcPr>
            <w:tcW w:w="4410" w:type="dxa"/>
            <w:vAlign w:val="center"/>
          </w:tcPr>
          <w:p w14:paraId="64BE12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管道DN400疏通</w:t>
            </w:r>
          </w:p>
          <w:p w14:paraId="60C9DF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（包含管道清淤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窨井、检查井及沉井清捞</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污泥</w:t>
            </w:r>
            <w:r>
              <w:rPr>
                <w:rFonts w:hint="eastAsia" w:ascii="宋体" w:hAnsi="宋体" w:cs="宋体"/>
                <w:i w:val="0"/>
                <w:iCs w:val="0"/>
                <w:color w:val="auto"/>
                <w:kern w:val="0"/>
                <w:sz w:val="21"/>
                <w:szCs w:val="21"/>
                <w:highlight w:val="none"/>
                <w:u w:val="none"/>
                <w:lang w:val="en-US" w:eastAsia="zh-CN" w:bidi="ar"/>
              </w:rPr>
              <w:t>处置，</w:t>
            </w:r>
            <w:r>
              <w:rPr>
                <w:rFonts w:hint="eastAsia" w:ascii="宋体" w:hAnsi="宋体" w:eastAsia="宋体" w:cs="宋体"/>
                <w:i w:val="0"/>
                <w:iCs w:val="0"/>
                <w:color w:val="auto"/>
                <w:kern w:val="0"/>
                <w:sz w:val="21"/>
                <w:szCs w:val="21"/>
                <w:highlight w:val="none"/>
                <w:u w:val="none"/>
                <w:lang w:val="en-US" w:eastAsia="zh-CN" w:bidi="ar"/>
              </w:rPr>
              <w:t>CCTV</w:t>
            </w:r>
            <w:r>
              <w:rPr>
                <w:rFonts w:hint="eastAsia" w:ascii="宋体" w:hAnsi="宋体" w:cs="宋体"/>
                <w:i w:val="0"/>
                <w:iCs w:val="0"/>
                <w:color w:val="auto"/>
                <w:kern w:val="0"/>
                <w:sz w:val="21"/>
                <w:szCs w:val="21"/>
                <w:highlight w:val="none"/>
                <w:u w:val="none"/>
                <w:lang w:val="en-US" w:eastAsia="zh-CN" w:bidi="ar"/>
              </w:rPr>
              <w:t>或QV</w:t>
            </w:r>
            <w:r>
              <w:rPr>
                <w:rFonts w:hint="eastAsia" w:ascii="宋体" w:hAnsi="宋体" w:eastAsia="宋体" w:cs="宋体"/>
                <w:i w:val="0"/>
                <w:iCs w:val="0"/>
                <w:color w:val="auto"/>
                <w:kern w:val="0"/>
                <w:sz w:val="21"/>
                <w:szCs w:val="21"/>
                <w:highlight w:val="none"/>
                <w:u w:val="none"/>
                <w:lang w:val="en-US" w:eastAsia="zh-CN" w:bidi="ar"/>
              </w:rPr>
              <w:t>检测</w:t>
            </w:r>
            <w:r>
              <w:rPr>
                <w:rFonts w:hint="eastAsia" w:ascii="宋体" w:hAnsi="宋体" w:cs="宋体"/>
                <w:i w:val="0"/>
                <w:iCs w:val="0"/>
                <w:color w:val="auto"/>
                <w:kern w:val="0"/>
                <w:sz w:val="21"/>
                <w:szCs w:val="21"/>
                <w:highlight w:val="none"/>
                <w:u w:val="none"/>
                <w:lang w:val="en-US" w:eastAsia="zh-CN" w:bidi="ar"/>
              </w:rPr>
              <w:t>，配套的管道封堵，</w:t>
            </w:r>
            <w:r>
              <w:rPr>
                <w:rFonts w:hint="eastAsia" w:ascii="宋体" w:hAnsi="宋体" w:eastAsia="宋体" w:cs="宋体"/>
                <w:i w:val="0"/>
                <w:iCs w:val="0"/>
                <w:color w:val="auto"/>
                <w:kern w:val="0"/>
                <w:sz w:val="21"/>
                <w:szCs w:val="21"/>
                <w:highlight w:val="none"/>
                <w:u w:val="none"/>
                <w:lang w:val="en-US" w:eastAsia="zh-CN" w:bidi="ar"/>
              </w:rPr>
              <w:t>巡视检查</w:t>
            </w:r>
            <w:r>
              <w:rPr>
                <w:rFonts w:hint="eastAsia" w:ascii="宋体" w:hAnsi="宋体" w:cs="宋体"/>
                <w:i w:val="0"/>
                <w:iCs w:val="0"/>
                <w:color w:val="auto"/>
                <w:kern w:val="0"/>
                <w:sz w:val="21"/>
                <w:szCs w:val="21"/>
                <w:highlight w:val="none"/>
                <w:u w:val="none"/>
                <w:lang w:val="en-US" w:eastAsia="zh-CN" w:bidi="ar"/>
              </w:rPr>
              <w:t>，调查</w:t>
            </w:r>
            <w:r>
              <w:rPr>
                <w:rFonts w:hint="eastAsia" w:ascii="宋体" w:hAnsi="宋体" w:eastAsia="宋体" w:cs="宋体"/>
                <w:i w:val="0"/>
                <w:iCs w:val="0"/>
                <w:color w:val="auto"/>
                <w:kern w:val="0"/>
                <w:sz w:val="21"/>
                <w:szCs w:val="21"/>
                <w:highlight w:val="none"/>
                <w:u w:val="none"/>
                <w:lang w:val="en-US" w:eastAsia="zh-CN" w:bidi="ar"/>
              </w:rPr>
              <w:t>应急服务等内容</w:t>
            </w:r>
            <w:r>
              <w:rPr>
                <w:rFonts w:hint="eastAsia" w:ascii="宋体" w:hAnsi="宋体" w:cs="宋体"/>
                <w:i w:val="0"/>
                <w:iCs w:val="0"/>
                <w:color w:val="auto"/>
                <w:kern w:val="0"/>
                <w:sz w:val="21"/>
                <w:szCs w:val="21"/>
                <w:highlight w:val="none"/>
                <w:u w:val="none"/>
                <w:lang w:val="en-US" w:eastAsia="zh-CN" w:bidi="ar"/>
              </w:rPr>
              <w:t>（包含人工、机械等）</w:t>
            </w:r>
            <w:r>
              <w:rPr>
                <w:rFonts w:hint="eastAsia" w:ascii="宋体" w:hAnsi="宋体" w:eastAsia="宋体" w:cs="宋体"/>
                <w:i w:val="0"/>
                <w:iCs w:val="0"/>
                <w:color w:val="auto"/>
                <w:kern w:val="0"/>
                <w:sz w:val="21"/>
                <w:szCs w:val="21"/>
                <w:highlight w:val="none"/>
                <w:u w:val="none"/>
                <w:lang w:val="en-US" w:eastAsia="zh-CN" w:bidi="ar"/>
              </w:rPr>
              <w:t>，以上内容需出具检测报告并提供施工前中后期图片影像资料）</w:t>
            </w:r>
          </w:p>
        </w:tc>
        <w:tc>
          <w:tcPr>
            <w:tcW w:w="1080" w:type="dxa"/>
            <w:vAlign w:val="center"/>
          </w:tcPr>
          <w:p w14:paraId="32546D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米</w:t>
            </w:r>
          </w:p>
        </w:tc>
        <w:tc>
          <w:tcPr>
            <w:tcW w:w="1185" w:type="dxa"/>
            <w:vAlign w:val="center"/>
          </w:tcPr>
          <w:p w14:paraId="54526C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18.9</w:t>
            </w:r>
          </w:p>
        </w:tc>
        <w:tc>
          <w:tcPr>
            <w:tcW w:w="1382" w:type="dxa"/>
            <w:vAlign w:val="center"/>
          </w:tcPr>
          <w:p w14:paraId="62AC7D9F">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i w:val="0"/>
                <w:iCs w:val="0"/>
                <w:color w:val="auto"/>
                <w:kern w:val="0"/>
                <w:sz w:val="21"/>
                <w:szCs w:val="21"/>
                <w:highlight w:val="none"/>
                <w:u w:val="none"/>
                <w:lang w:val="en-US" w:eastAsia="zh-CN" w:bidi="ar"/>
              </w:rPr>
            </w:pPr>
          </w:p>
        </w:tc>
      </w:tr>
      <w:tr w14:paraId="08EA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14:paraId="737BBAA7">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val="0"/>
                <w:bCs w:val="0"/>
                <w:color w:val="auto"/>
                <w:sz w:val="21"/>
                <w:szCs w:val="21"/>
                <w:highlight w:val="none"/>
                <w:vertAlign w:val="baseline"/>
                <w:lang w:val="en-US" w:eastAsia="zh-CN"/>
              </w:rPr>
            </w:pPr>
          </w:p>
        </w:tc>
        <w:tc>
          <w:tcPr>
            <w:tcW w:w="4410" w:type="dxa"/>
            <w:vAlign w:val="center"/>
          </w:tcPr>
          <w:p w14:paraId="3E9EEB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管道DN500疏通</w:t>
            </w:r>
          </w:p>
          <w:p w14:paraId="4DD64E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（包含管道清淤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窨井、检查井及沉井清捞</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污泥</w:t>
            </w:r>
            <w:r>
              <w:rPr>
                <w:rFonts w:hint="eastAsia" w:ascii="宋体" w:hAnsi="宋体" w:cs="宋体"/>
                <w:i w:val="0"/>
                <w:iCs w:val="0"/>
                <w:color w:val="auto"/>
                <w:kern w:val="0"/>
                <w:sz w:val="21"/>
                <w:szCs w:val="21"/>
                <w:highlight w:val="none"/>
                <w:u w:val="none"/>
                <w:lang w:val="en-US" w:eastAsia="zh-CN" w:bidi="ar"/>
              </w:rPr>
              <w:t>处置，</w:t>
            </w:r>
            <w:r>
              <w:rPr>
                <w:rFonts w:hint="eastAsia" w:ascii="宋体" w:hAnsi="宋体" w:eastAsia="宋体" w:cs="宋体"/>
                <w:i w:val="0"/>
                <w:iCs w:val="0"/>
                <w:color w:val="auto"/>
                <w:kern w:val="0"/>
                <w:sz w:val="21"/>
                <w:szCs w:val="21"/>
                <w:highlight w:val="none"/>
                <w:u w:val="none"/>
                <w:lang w:val="en-US" w:eastAsia="zh-CN" w:bidi="ar"/>
              </w:rPr>
              <w:t>CCTV</w:t>
            </w:r>
            <w:r>
              <w:rPr>
                <w:rFonts w:hint="eastAsia" w:ascii="宋体" w:hAnsi="宋体" w:cs="宋体"/>
                <w:i w:val="0"/>
                <w:iCs w:val="0"/>
                <w:color w:val="auto"/>
                <w:kern w:val="0"/>
                <w:sz w:val="21"/>
                <w:szCs w:val="21"/>
                <w:highlight w:val="none"/>
                <w:u w:val="none"/>
                <w:lang w:val="en-US" w:eastAsia="zh-CN" w:bidi="ar"/>
              </w:rPr>
              <w:t>或QV</w:t>
            </w:r>
            <w:r>
              <w:rPr>
                <w:rFonts w:hint="eastAsia" w:ascii="宋体" w:hAnsi="宋体" w:eastAsia="宋体" w:cs="宋体"/>
                <w:i w:val="0"/>
                <w:iCs w:val="0"/>
                <w:color w:val="auto"/>
                <w:kern w:val="0"/>
                <w:sz w:val="21"/>
                <w:szCs w:val="21"/>
                <w:highlight w:val="none"/>
                <w:u w:val="none"/>
                <w:lang w:val="en-US" w:eastAsia="zh-CN" w:bidi="ar"/>
              </w:rPr>
              <w:t>检测</w:t>
            </w:r>
            <w:r>
              <w:rPr>
                <w:rFonts w:hint="eastAsia" w:ascii="宋体" w:hAnsi="宋体" w:cs="宋体"/>
                <w:i w:val="0"/>
                <w:iCs w:val="0"/>
                <w:color w:val="auto"/>
                <w:kern w:val="0"/>
                <w:sz w:val="21"/>
                <w:szCs w:val="21"/>
                <w:highlight w:val="none"/>
                <w:u w:val="none"/>
                <w:lang w:val="en-US" w:eastAsia="zh-CN" w:bidi="ar"/>
              </w:rPr>
              <w:t>，配套的管道封堵，</w:t>
            </w:r>
            <w:r>
              <w:rPr>
                <w:rFonts w:hint="eastAsia" w:ascii="宋体" w:hAnsi="宋体" w:eastAsia="宋体" w:cs="宋体"/>
                <w:i w:val="0"/>
                <w:iCs w:val="0"/>
                <w:color w:val="auto"/>
                <w:kern w:val="0"/>
                <w:sz w:val="21"/>
                <w:szCs w:val="21"/>
                <w:highlight w:val="none"/>
                <w:u w:val="none"/>
                <w:lang w:val="en-US" w:eastAsia="zh-CN" w:bidi="ar"/>
              </w:rPr>
              <w:t>巡视检查</w:t>
            </w:r>
            <w:r>
              <w:rPr>
                <w:rFonts w:hint="eastAsia" w:ascii="宋体" w:hAnsi="宋体" w:cs="宋体"/>
                <w:i w:val="0"/>
                <w:iCs w:val="0"/>
                <w:color w:val="auto"/>
                <w:kern w:val="0"/>
                <w:sz w:val="21"/>
                <w:szCs w:val="21"/>
                <w:highlight w:val="none"/>
                <w:u w:val="none"/>
                <w:lang w:val="en-US" w:eastAsia="zh-CN" w:bidi="ar"/>
              </w:rPr>
              <w:t>，调查</w:t>
            </w:r>
            <w:r>
              <w:rPr>
                <w:rFonts w:hint="eastAsia" w:ascii="宋体" w:hAnsi="宋体" w:eastAsia="宋体" w:cs="宋体"/>
                <w:i w:val="0"/>
                <w:iCs w:val="0"/>
                <w:color w:val="auto"/>
                <w:kern w:val="0"/>
                <w:sz w:val="21"/>
                <w:szCs w:val="21"/>
                <w:highlight w:val="none"/>
                <w:u w:val="none"/>
                <w:lang w:val="en-US" w:eastAsia="zh-CN" w:bidi="ar"/>
              </w:rPr>
              <w:t>应急服务等内容</w:t>
            </w:r>
            <w:r>
              <w:rPr>
                <w:rFonts w:hint="eastAsia" w:ascii="宋体" w:hAnsi="宋体" w:cs="宋体"/>
                <w:i w:val="0"/>
                <w:iCs w:val="0"/>
                <w:color w:val="auto"/>
                <w:kern w:val="0"/>
                <w:sz w:val="21"/>
                <w:szCs w:val="21"/>
                <w:highlight w:val="none"/>
                <w:u w:val="none"/>
                <w:lang w:val="en-US" w:eastAsia="zh-CN" w:bidi="ar"/>
              </w:rPr>
              <w:t>（包含人工、机械等）</w:t>
            </w:r>
            <w:r>
              <w:rPr>
                <w:rFonts w:hint="eastAsia" w:ascii="宋体" w:hAnsi="宋体" w:eastAsia="宋体" w:cs="宋体"/>
                <w:i w:val="0"/>
                <w:iCs w:val="0"/>
                <w:color w:val="auto"/>
                <w:kern w:val="0"/>
                <w:sz w:val="21"/>
                <w:szCs w:val="21"/>
                <w:highlight w:val="none"/>
                <w:u w:val="none"/>
                <w:lang w:val="en-US" w:eastAsia="zh-CN" w:bidi="ar"/>
              </w:rPr>
              <w:t>，以上内容需出具检测报告并提供施工前中后期图片影像资料）</w:t>
            </w:r>
          </w:p>
        </w:tc>
        <w:tc>
          <w:tcPr>
            <w:tcW w:w="1080" w:type="dxa"/>
            <w:vAlign w:val="center"/>
          </w:tcPr>
          <w:p w14:paraId="6BDFBA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米</w:t>
            </w:r>
          </w:p>
        </w:tc>
        <w:tc>
          <w:tcPr>
            <w:tcW w:w="1185" w:type="dxa"/>
            <w:vAlign w:val="center"/>
          </w:tcPr>
          <w:p w14:paraId="538A52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19.4</w:t>
            </w:r>
          </w:p>
        </w:tc>
        <w:tc>
          <w:tcPr>
            <w:tcW w:w="1382" w:type="dxa"/>
            <w:vAlign w:val="center"/>
          </w:tcPr>
          <w:p w14:paraId="0855AEC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i w:val="0"/>
                <w:iCs w:val="0"/>
                <w:color w:val="auto"/>
                <w:kern w:val="0"/>
                <w:sz w:val="21"/>
                <w:szCs w:val="21"/>
                <w:highlight w:val="none"/>
                <w:u w:val="none"/>
                <w:lang w:val="en-US" w:eastAsia="zh-CN" w:bidi="ar"/>
              </w:rPr>
            </w:pPr>
          </w:p>
        </w:tc>
      </w:tr>
      <w:tr w14:paraId="5AFF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39ABE3B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4FFDF6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30*40复合落水井盖更换（含人材机）</w:t>
            </w:r>
          </w:p>
        </w:tc>
        <w:tc>
          <w:tcPr>
            <w:tcW w:w="1080" w:type="dxa"/>
            <w:vAlign w:val="center"/>
          </w:tcPr>
          <w:p w14:paraId="6D1582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3FE26E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232</w:t>
            </w:r>
          </w:p>
        </w:tc>
        <w:tc>
          <w:tcPr>
            <w:tcW w:w="1382" w:type="dxa"/>
            <w:vAlign w:val="center"/>
          </w:tcPr>
          <w:p w14:paraId="479CB5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BA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B88606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78F946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40*50复合落水井盖更换（含人材机）</w:t>
            </w:r>
          </w:p>
        </w:tc>
        <w:tc>
          <w:tcPr>
            <w:tcW w:w="1080" w:type="dxa"/>
            <w:vAlign w:val="center"/>
          </w:tcPr>
          <w:p w14:paraId="16AE8C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56A955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w:t>
            </w:r>
          </w:p>
        </w:tc>
        <w:tc>
          <w:tcPr>
            <w:tcW w:w="1382" w:type="dxa"/>
            <w:vAlign w:val="center"/>
          </w:tcPr>
          <w:p w14:paraId="168C7E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7D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B05428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5BB079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30*40钢纤维落水井盖更换（含人材机）</w:t>
            </w:r>
          </w:p>
        </w:tc>
        <w:tc>
          <w:tcPr>
            <w:tcW w:w="1080" w:type="dxa"/>
            <w:vAlign w:val="center"/>
          </w:tcPr>
          <w:p w14:paraId="2221CE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3BA1C6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w:t>
            </w:r>
          </w:p>
        </w:tc>
        <w:tc>
          <w:tcPr>
            <w:tcW w:w="1382" w:type="dxa"/>
            <w:vAlign w:val="center"/>
          </w:tcPr>
          <w:p w14:paraId="05D8A0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C8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692058A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733921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40*50钢纤维落水井盖更换（含人材机）</w:t>
            </w:r>
          </w:p>
        </w:tc>
        <w:tc>
          <w:tcPr>
            <w:tcW w:w="1080" w:type="dxa"/>
            <w:vAlign w:val="center"/>
          </w:tcPr>
          <w:p w14:paraId="296FDA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06DCA6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w:t>
            </w:r>
          </w:p>
        </w:tc>
        <w:tc>
          <w:tcPr>
            <w:tcW w:w="1382" w:type="dxa"/>
            <w:vAlign w:val="center"/>
          </w:tcPr>
          <w:p w14:paraId="2BC15E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99B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322746C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1C28ED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500复合检查井盖更换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66A317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7904D2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w:t>
            </w:r>
          </w:p>
        </w:tc>
        <w:tc>
          <w:tcPr>
            <w:tcW w:w="1382" w:type="dxa"/>
            <w:vAlign w:val="center"/>
          </w:tcPr>
          <w:p w14:paraId="2846AE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C39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65E67F1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1B2EEA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600复合检查井盖更换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729F23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09266B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1382" w:type="dxa"/>
            <w:vAlign w:val="center"/>
          </w:tcPr>
          <w:p w14:paraId="19135E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04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169BA84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5D9D94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700复合检查井盖更换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3A0D52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59FA41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319</w:t>
            </w:r>
          </w:p>
        </w:tc>
        <w:tc>
          <w:tcPr>
            <w:tcW w:w="1382" w:type="dxa"/>
            <w:vAlign w:val="center"/>
          </w:tcPr>
          <w:p w14:paraId="00E41F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9A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2AF1238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548A85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500钢纤维检查井盖更换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201622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447145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328 </w:t>
            </w:r>
          </w:p>
        </w:tc>
        <w:tc>
          <w:tcPr>
            <w:tcW w:w="1382" w:type="dxa"/>
            <w:vAlign w:val="center"/>
          </w:tcPr>
          <w:p w14:paraId="7D6630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D9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075EFB9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59C63B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600钢纤维检查井盖更换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0A6881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615996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356</w:t>
            </w:r>
          </w:p>
        </w:tc>
        <w:tc>
          <w:tcPr>
            <w:tcW w:w="1382" w:type="dxa"/>
            <w:vAlign w:val="center"/>
          </w:tcPr>
          <w:p w14:paraId="2D3E92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B9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2DF590F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AF6F1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700钢纤维检查井盖更换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3BF018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00368F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383</w:t>
            </w:r>
          </w:p>
        </w:tc>
        <w:tc>
          <w:tcPr>
            <w:tcW w:w="1382" w:type="dxa"/>
            <w:vAlign w:val="center"/>
          </w:tcPr>
          <w:p w14:paraId="6A7576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2E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712C02A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701283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30*40复合落水井盖及井座更换（含人材机）</w:t>
            </w:r>
          </w:p>
        </w:tc>
        <w:tc>
          <w:tcPr>
            <w:tcW w:w="1080" w:type="dxa"/>
            <w:vAlign w:val="center"/>
          </w:tcPr>
          <w:p w14:paraId="722429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4D0E65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433</w:t>
            </w:r>
          </w:p>
        </w:tc>
        <w:tc>
          <w:tcPr>
            <w:tcW w:w="1382" w:type="dxa"/>
            <w:vAlign w:val="center"/>
          </w:tcPr>
          <w:p w14:paraId="585941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7D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275B0F9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5203B2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40*50复合落水井盖及井座更换（含人材机）</w:t>
            </w:r>
          </w:p>
        </w:tc>
        <w:tc>
          <w:tcPr>
            <w:tcW w:w="1080" w:type="dxa"/>
            <w:vAlign w:val="center"/>
          </w:tcPr>
          <w:p w14:paraId="43B9B4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5CA336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483</w:t>
            </w:r>
          </w:p>
        </w:tc>
        <w:tc>
          <w:tcPr>
            <w:tcW w:w="1382" w:type="dxa"/>
            <w:vAlign w:val="center"/>
          </w:tcPr>
          <w:p w14:paraId="107D02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79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656713D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46D06B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30*40钢纤维落水井盖及井座更换（含人材机）</w:t>
            </w:r>
          </w:p>
        </w:tc>
        <w:tc>
          <w:tcPr>
            <w:tcW w:w="1080" w:type="dxa"/>
            <w:vAlign w:val="center"/>
          </w:tcPr>
          <w:p w14:paraId="6416A5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5DA8F4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510 </w:t>
            </w:r>
          </w:p>
        </w:tc>
        <w:tc>
          <w:tcPr>
            <w:tcW w:w="1382" w:type="dxa"/>
            <w:vAlign w:val="center"/>
          </w:tcPr>
          <w:p w14:paraId="12BC5B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7FE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24EDC84A">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617FE1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40*50钢纤维落水井盖及井座更换（含人材机）</w:t>
            </w:r>
          </w:p>
        </w:tc>
        <w:tc>
          <w:tcPr>
            <w:tcW w:w="1080" w:type="dxa"/>
            <w:vAlign w:val="center"/>
          </w:tcPr>
          <w:p w14:paraId="14AF8E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569318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520 </w:t>
            </w:r>
          </w:p>
        </w:tc>
        <w:tc>
          <w:tcPr>
            <w:tcW w:w="1382" w:type="dxa"/>
            <w:vAlign w:val="center"/>
          </w:tcPr>
          <w:p w14:paraId="449826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E0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2A831FB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54F931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500复合检查井盖及井座更换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4382BF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58C15C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502 </w:t>
            </w:r>
          </w:p>
        </w:tc>
        <w:tc>
          <w:tcPr>
            <w:tcW w:w="1382" w:type="dxa"/>
            <w:vAlign w:val="center"/>
          </w:tcPr>
          <w:p w14:paraId="19214C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941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1676F45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7761E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600复合检查井盖及井座更换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48B2BF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5DB521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529</w:t>
            </w:r>
          </w:p>
        </w:tc>
        <w:tc>
          <w:tcPr>
            <w:tcW w:w="1382" w:type="dxa"/>
            <w:vAlign w:val="center"/>
          </w:tcPr>
          <w:p w14:paraId="43D302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16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5A5A8D5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2EEDE3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700复合检查井盖及井座更换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0E2509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50960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548 </w:t>
            </w:r>
          </w:p>
        </w:tc>
        <w:tc>
          <w:tcPr>
            <w:tcW w:w="1382" w:type="dxa"/>
            <w:vAlign w:val="center"/>
          </w:tcPr>
          <w:p w14:paraId="68B5B1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AF8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2A7746A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29A5E5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500钢纤维检查井盖及井座更换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60698C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46B8C7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557</w:t>
            </w:r>
          </w:p>
        </w:tc>
        <w:tc>
          <w:tcPr>
            <w:tcW w:w="1382" w:type="dxa"/>
            <w:vAlign w:val="center"/>
          </w:tcPr>
          <w:p w14:paraId="5278BC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34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2F195B67">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2F4554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600钢纤维检查井盖及井座更换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17D540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6176FF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584 </w:t>
            </w:r>
          </w:p>
        </w:tc>
        <w:tc>
          <w:tcPr>
            <w:tcW w:w="1382" w:type="dxa"/>
            <w:vAlign w:val="center"/>
          </w:tcPr>
          <w:p w14:paraId="4B11D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BA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0136E69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B143D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700钢纤维检查井盖及井座更换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773077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199456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611 </w:t>
            </w:r>
          </w:p>
        </w:tc>
        <w:tc>
          <w:tcPr>
            <w:tcW w:w="1382" w:type="dxa"/>
            <w:vAlign w:val="center"/>
          </w:tcPr>
          <w:p w14:paraId="57C5A8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561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53" w:type="dxa"/>
            <w:vAlign w:val="center"/>
          </w:tcPr>
          <w:p w14:paraId="69B0E21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739553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蜘蛛人</w:t>
            </w:r>
          </w:p>
        </w:tc>
        <w:tc>
          <w:tcPr>
            <w:tcW w:w="1080" w:type="dxa"/>
            <w:vAlign w:val="center"/>
          </w:tcPr>
          <w:p w14:paraId="0E1E87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w:t>
            </w:r>
            <w:r>
              <w:rPr>
                <w:rFonts w:hint="eastAsia" w:ascii="宋体" w:hAnsi="宋体" w:cs="宋体"/>
                <w:i w:val="0"/>
                <w:iCs w:val="0"/>
                <w:color w:val="auto"/>
                <w:kern w:val="0"/>
                <w:sz w:val="21"/>
                <w:szCs w:val="21"/>
                <w:highlight w:val="none"/>
                <w:u w:val="none"/>
                <w:lang w:val="en-US" w:eastAsia="zh-CN" w:bidi="ar"/>
              </w:rPr>
              <w:t>/工日</w:t>
            </w:r>
          </w:p>
        </w:tc>
        <w:tc>
          <w:tcPr>
            <w:tcW w:w="1185" w:type="dxa"/>
            <w:vAlign w:val="center"/>
          </w:tcPr>
          <w:p w14:paraId="581F10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400</w:t>
            </w:r>
          </w:p>
        </w:tc>
        <w:tc>
          <w:tcPr>
            <w:tcW w:w="1382" w:type="dxa"/>
            <w:vAlign w:val="center"/>
          </w:tcPr>
          <w:p w14:paraId="36206B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不足4小时按半天计量，超过4小时不足8小时的按全天计</w:t>
            </w:r>
          </w:p>
        </w:tc>
      </w:tr>
    </w:tbl>
    <w:p w14:paraId="7BBB1F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14:paraId="1082B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1、本项目采用结算率的方式进行报价，</w:t>
      </w:r>
      <w:r>
        <w:rPr>
          <w:rFonts w:hint="eastAsia" w:ascii="宋体" w:hAnsi="宋体" w:eastAsia="宋体" w:cs="宋体"/>
          <w:sz w:val="24"/>
          <w:szCs w:val="24"/>
        </w:rPr>
        <w:t>结算率一次性包干，最终各项明细的结算单价=</w:t>
      </w:r>
      <w:r>
        <w:rPr>
          <w:rFonts w:hint="eastAsia" w:ascii="宋体" w:hAnsi="宋体" w:eastAsia="宋体" w:cs="宋体"/>
          <w:sz w:val="24"/>
          <w:szCs w:val="24"/>
          <w:lang w:val="en-US" w:eastAsia="zh-CN"/>
        </w:rPr>
        <w:t>采购清单单价表</w:t>
      </w:r>
      <w:r>
        <w:rPr>
          <w:rFonts w:hint="eastAsia" w:ascii="宋体" w:hAnsi="宋体" w:eastAsia="宋体" w:cs="宋体"/>
          <w:sz w:val="24"/>
          <w:szCs w:val="24"/>
        </w:rPr>
        <w:t>中各个项目明细的</w:t>
      </w:r>
      <w:r>
        <w:rPr>
          <w:rFonts w:hint="eastAsia" w:ascii="宋体" w:hAnsi="宋体" w:eastAsia="宋体" w:cs="宋体"/>
          <w:sz w:val="24"/>
          <w:szCs w:val="24"/>
          <w:lang w:eastAsia="zh-CN"/>
        </w:rPr>
        <w:t>综合单价控制价</w:t>
      </w:r>
      <w:r>
        <w:rPr>
          <w:rFonts w:hint="eastAsia" w:ascii="宋体" w:hAnsi="宋体" w:eastAsia="宋体" w:cs="宋体"/>
          <w:sz w:val="24"/>
          <w:szCs w:val="24"/>
        </w:rPr>
        <w:t>*结算率，最终各项明细的结算单价一次性包干。</w:t>
      </w:r>
    </w:p>
    <w:p w14:paraId="7B710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结算单价为全费用综合单价，包含</w:t>
      </w:r>
      <w:r>
        <w:rPr>
          <w:rFonts w:hint="eastAsia" w:ascii="宋体" w:hAnsi="宋体" w:eastAsia="宋体" w:cs="宋体"/>
          <w:sz w:val="24"/>
          <w:szCs w:val="24"/>
          <w:lang w:val="en-US" w:eastAsia="zh-CN"/>
        </w:rPr>
        <w:t>人材机、</w:t>
      </w:r>
      <w:r>
        <w:rPr>
          <w:rFonts w:hint="eastAsia" w:ascii="宋体" w:hAnsi="宋体" w:eastAsia="宋体" w:cs="宋体"/>
          <w:sz w:val="24"/>
          <w:szCs w:val="24"/>
        </w:rPr>
        <w:t>管理费、风险、规费、利润、税金等全部费用，如产生其他未约定的费用，</w:t>
      </w:r>
      <w:r>
        <w:rPr>
          <w:rFonts w:hint="eastAsia" w:ascii="宋体" w:hAnsi="宋体" w:eastAsia="宋体" w:cs="宋体"/>
          <w:sz w:val="24"/>
          <w:szCs w:val="24"/>
          <w:lang w:val="en-US" w:eastAsia="zh-CN"/>
        </w:rPr>
        <w:t>采购人</w:t>
      </w:r>
      <w:r>
        <w:rPr>
          <w:rFonts w:hint="eastAsia" w:ascii="宋体" w:hAnsi="宋体" w:eastAsia="宋体" w:cs="宋体"/>
          <w:sz w:val="24"/>
          <w:szCs w:val="24"/>
        </w:rPr>
        <w:t>不再另行支付。</w:t>
      </w:r>
    </w:p>
    <w:p w14:paraId="7A869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Cs w:val="21"/>
          <w:highlight w:val="none"/>
          <w:lang w:val="en-US" w:eastAsia="zh-CN"/>
        </w:rPr>
      </w:pPr>
      <w:r>
        <w:rPr>
          <w:rFonts w:hint="eastAsia" w:ascii="宋体" w:hAnsi="宋体" w:eastAsia="宋体" w:cs="宋体"/>
          <w:sz w:val="24"/>
          <w:szCs w:val="24"/>
          <w:highlight w:val="none"/>
          <w:lang w:val="en-US" w:eastAsia="zh-CN"/>
        </w:rPr>
        <w:t>3、管道如需开挖修复的，须经采购人同意后方可实施，工程量按实结算，由中标人套用</w:t>
      </w:r>
      <w:r>
        <w:rPr>
          <w:rFonts w:hint="eastAsia" w:ascii="宋体" w:hAnsi="宋体" w:eastAsia="宋体" w:cs="宋体"/>
          <w:sz w:val="24"/>
          <w:szCs w:val="24"/>
          <w:highlight w:val="none"/>
        </w:rPr>
        <w:t>《浙江省市政工程预算定额》（201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材料价格按施工当期信息价及相关规定</w:t>
      </w:r>
      <w:r>
        <w:rPr>
          <w:rFonts w:hint="eastAsia" w:ascii="宋体" w:hAnsi="宋体" w:eastAsia="宋体" w:cs="宋体"/>
          <w:sz w:val="24"/>
          <w:szCs w:val="24"/>
          <w:highlight w:val="none"/>
          <w:lang w:eastAsia="zh-CN"/>
        </w:rPr>
        <w:t>进行计算</w:t>
      </w:r>
      <w:r>
        <w:rPr>
          <w:rFonts w:hint="eastAsia" w:ascii="宋体" w:hAnsi="宋体" w:cs="宋体"/>
          <w:sz w:val="24"/>
          <w:szCs w:val="24"/>
          <w:highlight w:val="none"/>
          <w:lang w:val="en-US" w:eastAsia="zh-CN"/>
        </w:rPr>
        <w:t>并执行结算率</w:t>
      </w:r>
      <w:r>
        <w:rPr>
          <w:rFonts w:hint="eastAsia" w:ascii="宋体" w:hAnsi="宋体" w:eastAsia="宋体" w:cs="宋体"/>
          <w:sz w:val="24"/>
          <w:szCs w:val="24"/>
          <w:highlight w:val="none"/>
          <w:lang w:val="en-US" w:eastAsia="zh-CN"/>
        </w:rPr>
        <w:t>，采购人审核后结算。若无法套用定额的或无信息价的，按市场调查价格经采购人签证后进行结算。</w:t>
      </w:r>
    </w:p>
    <w:bookmarkEnd w:id="32"/>
    <w:bookmarkEnd w:id="33"/>
    <w:p w14:paraId="5769E0C5">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（二）工作要求</w:t>
      </w:r>
    </w:p>
    <w:p w14:paraId="7ADB73E9">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highlight w:val="none"/>
          <w:lang w:val="en-US" w:eastAsia="zh-CN"/>
        </w:rPr>
      </w:pPr>
      <w:r>
        <w:rPr>
          <w:rFonts w:hint="eastAsia" w:ascii="宋体" w:hAnsi="宋体" w:eastAsia="宋体" w:cs="宋体"/>
          <w:snapToGrid w:val="0"/>
          <w:color w:val="000000"/>
          <w:spacing w:val="0"/>
          <w:w w:val="100"/>
          <w:kern w:val="0"/>
          <w:position w:val="0"/>
          <w:sz w:val="24"/>
          <w:szCs w:val="24"/>
          <w:highlight w:val="none"/>
          <w:lang w:val="en-US" w:eastAsia="zh-CN"/>
        </w:rPr>
        <w:t>1、按采购人运维区域、时段的计划安排进行辅助作业。雨天、高温等</w:t>
      </w:r>
      <w:r>
        <w:rPr>
          <w:rFonts w:hint="eastAsia" w:ascii="宋体" w:hAnsi="宋体" w:eastAsia="宋体" w:cs="宋体"/>
          <w:snapToGrid w:val="0"/>
          <w:color w:val="000000"/>
          <w:spacing w:val="0"/>
          <w:w w:val="100"/>
          <w:kern w:val="0"/>
          <w:position w:val="0"/>
          <w:sz w:val="24"/>
          <w:szCs w:val="24"/>
          <w:highlight w:val="none"/>
        </w:rPr>
        <w:t>特殊</w:t>
      </w:r>
      <w:r>
        <w:rPr>
          <w:rFonts w:hint="eastAsia" w:ascii="宋体" w:hAnsi="宋体" w:eastAsia="宋体" w:cs="宋体"/>
          <w:snapToGrid w:val="0"/>
          <w:color w:val="000000"/>
          <w:spacing w:val="0"/>
          <w:w w:val="100"/>
          <w:kern w:val="0"/>
          <w:position w:val="0"/>
          <w:sz w:val="24"/>
          <w:szCs w:val="24"/>
          <w:highlight w:val="none"/>
          <w:lang w:val="en-US" w:eastAsia="zh-CN"/>
        </w:rPr>
        <w:t>时段的作业或</w:t>
      </w:r>
      <w:r>
        <w:rPr>
          <w:rFonts w:hint="eastAsia" w:ascii="宋体" w:hAnsi="宋体" w:eastAsia="宋体" w:cs="宋体"/>
          <w:snapToGrid w:val="0"/>
          <w:color w:val="000000"/>
          <w:spacing w:val="0"/>
          <w:w w:val="100"/>
          <w:kern w:val="0"/>
          <w:position w:val="0"/>
          <w:sz w:val="24"/>
          <w:szCs w:val="24"/>
          <w:highlight w:val="none"/>
          <w:lang w:eastAsia="zh-CN"/>
        </w:rPr>
        <w:t>应急处置，</w:t>
      </w:r>
      <w:r>
        <w:rPr>
          <w:rFonts w:hint="eastAsia" w:ascii="宋体" w:hAnsi="宋体" w:eastAsia="宋体" w:cs="宋体"/>
          <w:snapToGrid w:val="0"/>
          <w:color w:val="000000"/>
          <w:spacing w:val="0"/>
          <w:w w:val="100"/>
          <w:kern w:val="0"/>
          <w:position w:val="0"/>
          <w:sz w:val="24"/>
          <w:szCs w:val="24"/>
          <w:highlight w:val="none"/>
          <w:lang w:val="en-US" w:eastAsia="zh-CN"/>
        </w:rPr>
        <w:t>须无条件服从采购人的指令。</w:t>
      </w:r>
    </w:p>
    <w:p w14:paraId="472CA620">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highlight w:val="none"/>
          <w:lang w:val="en-US" w:eastAsia="zh-CN"/>
        </w:rPr>
      </w:pPr>
      <w:r>
        <w:rPr>
          <w:rFonts w:hint="eastAsia" w:ascii="宋体" w:hAnsi="宋体" w:eastAsia="宋体" w:cs="宋体"/>
          <w:snapToGrid w:val="0"/>
          <w:color w:val="000000"/>
          <w:spacing w:val="0"/>
          <w:w w:val="100"/>
          <w:kern w:val="0"/>
          <w:position w:val="0"/>
          <w:sz w:val="24"/>
          <w:szCs w:val="24"/>
          <w:highlight w:val="none"/>
          <w:lang w:val="en-US" w:eastAsia="zh-CN"/>
        </w:rPr>
        <w:t>2、自觉按照采购人制度、行业标准规范操作</w:t>
      </w:r>
      <w:r>
        <w:rPr>
          <w:rFonts w:hint="eastAsia" w:ascii="宋体" w:hAnsi="宋体" w:eastAsia="宋体" w:cs="宋体"/>
          <w:snapToGrid w:val="0"/>
          <w:color w:val="000000"/>
          <w:spacing w:val="0"/>
          <w:w w:val="100"/>
          <w:kern w:val="0"/>
          <w:position w:val="0"/>
          <w:sz w:val="24"/>
          <w:szCs w:val="24"/>
          <w:highlight w:val="none"/>
          <w:lang w:eastAsia="zh-CN"/>
        </w:rPr>
        <w:t>。</w:t>
      </w:r>
      <w:r>
        <w:rPr>
          <w:rFonts w:hint="eastAsia" w:ascii="宋体" w:hAnsi="宋体" w:eastAsia="宋体" w:cs="宋体"/>
          <w:snapToGrid w:val="0"/>
          <w:color w:val="000000"/>
          <w:spacing w:val="0"/>
          <w:w w:val="100"/>
          <w:kern w:val="0"/>
          <w:position w:val="0"/>
          <w:sz w:val="24"/>
          <w:szCs w:val="24"/>
          <w:highlight w:val="none"/>
          <w:lang w:val="en-US" w:eastAsia="zh-CN"/>
        </w:rPr>
        <w:t>且应</w:t>
      </w:r>
      <w:r>
        <w:rPr>
          <w:rFonts w:hint="eastAsia" w:ascii="宋体" w:hAnsi="宋体" w:eastAsia="宋体" w:cs="宋体"/>
          <w:snapToGrid w:val="0"/>
          <w:color w:val="000000"/>
          <w:spacing w:val="0"/>
          <w:w w:val="100"/>
          <w:kern w:val="0"/>
          <w:position w:val="0"/>
          <w:sz w:val="24"/>
          <w:szCs w:val="24"/>
          <w:highlight w:val="none"/>
          <w:lang w:eastAsia="zh-CN"/>
        </w:rPr>
        <w:t>有切实的手段和措施，保</w:t>
      </w:r>
      <w:r>
        <w:rPr>
          <w:rFonts w:hint="eastAsia" w:ascii="宋体" w:hAnsi="宋体" w:eastAsia="宋体" w:cs="宋体"/>
          <w:snapToGrid w:val="0"/>
          <w:color w:val="000000"/>
          <w:spacing w:val="0"/>
          <w:w w:val="100"/>
          <w:kern w:val="0"/>
          <w:position w:val="0"/>
          <w:sz w:val="24"/>
          <w:szCs w:val="24"/>
          <w:highlight w:val="none"/>
          <w:lang w:val="en-US" w:eastAsia="zh-CN"/>
        </w:rPr>
        <w:t>证清淤彻底，管道畅通</w:t>
      </w:r>
      <w:r>
        <w:rPr>
          <w:rFonts w:hint="eastAsia" w:ascii="宋体" w:hAnsi="宋体" w:eastAsia="宋体" w:cs="宋体"/>
          <w:snapToGrid w:val="0"/>
          <w:color w:val="000000"/>
          <w:spacing w:val="0"/>
          <w:w w:val="100"/>
          <w:kern w:val="0"/>
          <w:position w:val="0"/>
          <w:sz w:val="24"/>
          <w:szCs w:val="24"/>
          <w:highlight w:val="none"/>
          <w:lang w:eastAsia="zh-CN"/>
        </w:rPr>
        <w:t>。</w:t>
      </w:r>
    </w:p>
    <w:p w14:paraId="32C5A48D">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highlight w:val="none"/>
          <w:lang w:val="en-US" w:eastAsia="zh-CN"/>
        </w:rPr>
      </w:pPr>
      <w:r>
        <w:rPr>
          <w:rFonts w:hint="eastAsia" w:ascii="宋体" w:hAnsi="宋体" w:eastAsia="宋体" w:cs="宋体"/>
          <w:snapToGrid w:val="0"/>
          <w:color w:val="000000"/>
          <w:spacing w:val="0"/>
          <w:w w:val="100"/>
          <w:kern w:val="0"/>
          <w:position w:val="0"/>
          <w:sz w:val="24"/>
          <w:szCs w:val="24"/>
          <w:highlight w:val="none"/>
          <w:lang w:val="en-US" w:eastAsia="zh-CN"/>
        </w:rPr>
        <w:t>3、须</w:t>
      </w:r>
      <w:r>
        <w:rPr>
          <w:rFonts w:hint="eastAsia" w:hAnsi="宋体" w:cs="宋体"/>
          <w:snapToGrid w:val="0"/>
          <w:color w:val="000000"/>
          <w:spacing w:val="0"/>
          <w:w w:val="100"/>
          <w:kern w:val="0"/>
          <w:position w:val="0"/>
          <w:sz w:val="24"/>
          <w:szCs w:val="24"/>
          <w:highlight w:val="none"/>
          <w:lang w:val="en-US" w:eastAsia="zh-CN"/>
        </w:rPr>
        <w:t>配备</w:t>
      </w:r>
      <w:r>
        <w:rPr>
          <w:rFonts w:hint="eastAsia" w:ascii="宋体" w:hAnsi="宋体" w:eastAsia="宋体" w:cs="宋体"/>
          <w:snapToGrid w:val="0"/>
          <w:color w:val="000000"/>
          <w:spacing w:val="0"/>
          <w:w w:val="100"/>
          <w:kern w:val="0"/>
          <w:position w:val="0"/>
          <w:sz w:val="24"/>
          <w:szCs w:val="24"/>
          <w:highlight w:val="none"/>
          <w:lang w:val="en-US" w:eastAsia="zh-CN"/>
        </w:rPr>
        <w:t>一名</w:t>
      </w:r>
      <w:r>
        <w:rPr>
          <w:rFonts w:hint="eastAsia" w:hAnsi="宋体" w:cs="宋体"/>
          <w:snapToGrid w:val="0"/>
          <w:color w:val="000000"/>
          <w:spacing w:val="0"/>
          <w:w w:val="100"/>
          <w:kern w:val="0"/>
          <w:position w:val="0"/>
          <w:sz w:val="24"/>
          <w:szCs w:val="24"/>
          <w:highlight w:val="none"/>
          <w:lang w:val="en-US" w:eastAsia="zh-CN"/>
        </w:rPr>
        <w:t>项目负责人</w:t>
      </w:r>
      <w:r>
        <w:rPr>
          <w:rFonts w:hint="eastAsia" w:ascii="宋体" w:hAnsi="宋体" w:eastAsia="宋体" w:cs="宋体"/>
          <w:snapToGrid w:val="0"/>
          <w:color w:val="000000"/>
          <w:spacing w:val="0"/>
          <w:w w:val="100"/>
          <w:kern w:val="0"/>
          <w:position w:val="0"/>
          <w:sz w:val="24"/>
          <w:szCs w:val="24"/>
          <w:highlight w:val="none"/>
          <w:lang w:val="en-US" w:eastAsia="zh-CN"/>
        </w:rPr>
        <w:t>负责日常工作过程中与采购人的对接、协调。</w:t>
      </w:r>
    </w:p>
    <w:p w14:paraId="3DA90743">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4</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napToGrid w:val="0"/>
          <w:color w:val="000000"/>
          <w:spacing w:val="0"/>
          <w:w w:val="100"/>
          <w:kern w:val="0"/>
          <w:position w:val="0"/>
          <w:sz w:val="24"/>
          <w:szCs w:val="24"/>
          <w:lang w:eastAsia="zh-CN"/>
        </w:rPr>
        <w:t>需对人员办理人身意外伤害保险，</w:t>
      </w:r>
      <w:r>
        <w:rPr>
          <w:rFonts w:hint="eastAsia" w:ascii="宋体" w:hAnsi="宋体" w:eastAsia="宋体" w:cs="宋体"/>
          <w:snapToGrid w:val="0"/>
          <w:color w:val="000000"/>
          <w:spacing w:val="0"/>
          <w:w w:val="100"/>
          <w:kern w:val="0"/>
          <w:position w:val="0"/>
          <w:sz w:val="24"/>
          <w:szCs w:val="24"/>
          <w:lang w:val="en-US" w:eastAsia="zh-CN"/>
        </w:rPr>
        <w:t>车辆办理应该办理的保险。</w:t>
      </w:r>
    </w:p>
    <w:p w14:paraId="7AE0FA6F">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5</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napToGrid w:val="0"/>
          <w:color w:val="000000"/>
          <w:spacing w:val="0"/>
          <w:w w:val="100"/>
          <w:kern w:val="0"/>
          <w:position w:val="0"/>
          <w:sz w:val="24"/>
          <w:szCs w:val="24"/>
          <w:lang w:val="en-US" w:eastAsia="zh-CN"/>
        </w:rPr>
        <w:t>文明作业，并主动处理好与当地村居的关系。</w:t>
      </w:r>
    </w:p>
    <w:p w14:paraId="77FB5C38">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6</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napToGrid w:val="0"/>
          <w:color w:val="000000"/>
          <w:spacing w:val="0"/>
          <w:w w:val="100"/>
          <w:kern w:val="0"/>
          <w:position w:val="0"/>
          <w:sz w:val="24"/>
          <w:szCs w:val="24"/>
          <w:lang w:val="en-US" w:eastAsia="zh-CN"/>
        </w:rPr>
        <w:t>对自身及第三人的安全负总责，确保安全生产无事故。</w:t>
      </w:r>
    </w:p>
    <w:p w14:paraId="2E352F3B">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7</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napToGrid w:val="0"/>
          <w:color w:val="000000"/>
          <w:spacing w:val="0"/>
          <w:w w:val="100"/>
          <w:kern w:val="0"/>
          <w:position w:val="0"/>
          <w:sz w:val="24"/>
          <w:szCs w:val="24"/>
          <w:lang w:val="en-US" w:eastAsia="zh-CN"/>
        </w:rPr>
        <w:t>如发现渗漏、破损、违章占压、雨污混接等情况，须在第一时间报告采购人。</w:t>
      </w:r>
    </w:p>
    <w:p w14:paraId="17592DDE">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lang w:val="en-US" w:eastAsia="zh-CN"/>
        </w:rPr>
      </w:pPr>
      <w:r>
        <w:rPr>
          <w:rFonts w:hint="eastAsia" w:hAnsi="宋体" w:cs="宋体"/>
          <w:snapToGrid w:val="0"/>
          <w:color w:val="000000"/>
          <w:spacing w:val="0"/>
          <w:w w:val="100"/>
          <w:kern w:val="0"/>
          <w:position w:val="0"/>
          <w:sz w:val="24"/>
          <w:szCs w:val="24"/>
          <w:lang w:val="en-US" w:eastAsia="zh-CN"/>
        </w:rPr>
        <w:t>8</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napToGrid w:val="0"/>
          <w:color w:val="000000"/>
          <w:spacing w:val="0"/>
          <w:w w:val="100"/>
          <w:kern w:val="0"/>
          <w:position w:val="0"/>
          <w:sz w:val="24"/>
          <w:szCs w:val="24"/>
          <w:lang w:val="en-US" w:eastAsia="zh-CN"/>
        </w:rPr>
        <w:t>对破损、缺失的井盖与二道防护维修、更换需迅速、及时。</w:t>
      </w:r>
    </w:p>
    <w:p w14:paraId="59581980">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9</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napToGrid w:val="0"/>
          <w:color w:val="000000"/>
          <w:spacing w:val="0"/>
          <w:w w:val="100"/>
          <w:kern w:val="0"/>
          <w:position w:val="0"/>
          <w:sz w:val="24"/>
          <w:szCs w:val="24"/>
          <w:lang w:val="en-US" w:eastAsia="zh-CN"/>
        </w:rPr>
        <w:t>按采购人的要求做好运维记录与相关台帐。</w:t>
      </w:r>
    </w:p>
    <w:p w14:paraId="21898E15">
      <w:pPr>
        <w:pStyle w:val="21"/>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ascii="宋体" w:hAnsi="宋体" w:eastAsia="宋体" w:cs="宋体"/>
          <w:snapToGrid w:val="0"/>
          <w:color w:val="000000"/>
          <w:spacing w:val="0"/>
          <w:w w:val="100"/>
          <w:kern w:val="0"/>
          <w:position w:val="0"/>
          <w:sz w:val="24"/>
          <w:szCs w:val="24"/>
          <w:lang w:val="en-US" w:eastAsia="zh-CN"/>
        </w:rPr>
        <w:t>1</w:t>
      </w:r>
      <w:r>
        <w:rPr>
          <w:rFonts w:hint="eastAsia" w:hAnsi="宋体" w:cs="宋体"/>
          <w:snapToGrid w:val="0"/>
          <w:color w:val="000000"/>
          <w:spacing w:val="0"/>
          <w:w w:val="100"/>
          <w:kern w:val="0"/>
          <w:position w:val="0"/>
          <w:sz w:val="24"/>
          <w:szCs w:val="24"/>
          <w:lang w:val="en-US" w:eastAsia="zh-CN"/>
        </w:rPr>
        <w:t>0</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napToGrid w:val="0"/>
          <w:color w:val="000000"/>
          <w:spacing w:val="0"/>
          <w:w w:val="100"/>
          <w:kern w:val="0"/>
          <w:position w:val="0"/>
          <w:sz w:val="24"/>
          <w:szCs w:val="24"/>
          <w:lang w:val="en-US" w:eastAsia="zh-CN"/>
        </w:rPr>
        <w:t>自觉接受采购人的检查，对存在的问题及时整改。</w:t>
      </w:r>
    </w:p>
    <w:p w14:paraId="287C90AE">
      <w:pPr>
        <w:keepNext w:val="0"/>
        <w:keepLines w:val="0"/>
        <w:pageBreakBefore w:val="0"/>
        <w:numPr>
          <w:ilvl w:val="0"/>
          <w:numId w:val="0"/>
        </w:numPr>
        <w:kinsoku/>
        <w:wordWrap/>
        <w:overflowPunct/>
        <w:topLinePunct w:val="0"/>
        <w:bidi w:val="0"/>
        <w:spacing w:line="360" w:lineRule="auto"/>
        <w:ind w:firstLine="480" w:firstLineChars="200"/>
        <w:rPr>
          <w:rFonts w:hint="eastAsia" w:ascii="宋体"/>
          <w:color w:val="auto"/>
          <w:kern w:val="0"/>
          <w:sz w:val="24"/>
          <w:highlight w:val="none"/>
        </w:rPr>
      </w:pPr>
      <w:r>
        <w:rPr>
          <w:rFonts w:hint="eastAsia" w:ascii="宋体" w:hAnsi="宋体" w:eastAsia="宋体" w:cs="宋体"/>
          <w:snapToGrid w:val="0"/>
          <w:color w:val="000000"/>
          <w:spacing w:val="0"/>
          <w:w w:val="100"/>
          <w:kern w:val="0"/>
          <w:position w:val="0"/>
          <w:sz w:val="24"/>
          <w:szCs w:val="24"/>
          <w:lang w:val="en-US" w:eastAsia="zh-CN"/>
        </w:rPr>
        <w:t>1</w:t>
      </w:r>
      <w:r>
        <w:rPr>
          <w:rFonts w:hint="eastAsia" w:ascii="宋体" w:hAnsi="宋体" w:cs="宋体"/>
          <w:snapToGrid w:val="0"/>
          <w:color w:val="000000"/>
          <w:spacing w:val="0"/>
          <w:w w:val="100"/>
          <w:kern w:val="0"/>
          <w:position w:val="0"/>
          <w:sz w:val="24"/>
          <w:szCs w:val="24"/>
          <w:lang w:val="en-US" w:eastAsia="zh-CN"/>
        </w:rPr>
        <w:t>1</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hAnsi="宋体" w:cs="宋体"/>
          <w:snapToGrid w:val="0"/>
          <w:color w:val="000000"/>
          <w:spacing w:val="0"/>
          <w:w w:val="100"/>
          <w:kern w:val="0"/>
          <w:position w:val="0"/>
          <w:sz w:val="24"/>
          <w:szCs w:val="24"/>
          <w:lang w:val="en-US" w:eastAsia="zh-CN"/>
        </w:rPr>
        <w:t>向采购人提供的发票应合法合规。</w:t>
      </w:r>
    </w:p>
    <w:p w14:paraId="62E9F052">
      <w:pPr>
        <w:keepNext w:val="0"/>
        <w:keepLines w:val="0"/>
        <w:pageBreakBefore w:val="0"/>
        <w:numPr>
          <w:ilvl w:val="0"/>
          <w:numId w:val="0"/>
        </w:numPr>
        <w:kinsoku/>
        <w:wordWrap/>
        <w:overflowPunct/>
        <w:topLinePunct w:val="0"/>
        <w:bidi w:val="0"/>
        <w:spacing w:line="360" w:lineRule="auto"/>
        <w:rPr>
          <w:rFonts w:hint="eastAsia"/>
          <w:b/>
          <w:bCs/>
          <w:color w:val="auto"/>
          <w:sz w:val="24"/>
          <w:szCs w:val="24"/>
          <w:highlight w:val="none"/>
          <w:lang w:eastAsia="zh-CN"/>
        </w:rPr>
      </w:pPr>
      <w:r>
        <w:rPr>
          <w:rFonts w:hint="eastAsia" w:ascii="宋体"/>
          <w:color w:val="auto"/>
          <w:kern w:val="0"/>
          <w:sz w:val="24"/>
          <w:highlight w:val="none"/>
        </w:rPr>
        <w:t>▲</w:t>
      </w:r>
      <w:r>
        <w:rPr>
          <w:rFonts w:hint="eastAsia" w:ascii="宋体"/>
          <w:color w:val="auto"/>
          <w:kern w:val="0"/>
          <w:sz w:val="24"/>
          <w:highlight w:val="none"/>
          <w:lang w:eastAsia="zh-CN"/>
        </w:rPr>
        <w:t>三、</w:t>
      </w:r>
      <w:r>
        <w:rPr>
          <w:rFonts w:hint="eastAsia"/>
          <w:b/>
          <w:bCs/>
          <w:color w:val="auto"/>
          <w:sz w:val="24"/>
          <w:szCs w:val="24"/>
          <w:highlight w:val="none"/>
          <w:lang w:eastAsia="zh-CN"/>
        </w:rPr>
        <w:t>商务要求</w:t>
      </w:r>
    </w:p>
    <w:p w14:paraId="50C6DC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lang w:eastAsia="zh-CN"/>
        </w:rPr>
      </w:pPr>
      <w:r>
        <w:rPr>
          <w:rFonts w:hint="eastAsia" w:ascii="宋体" w:hAnsi="宋体" w:cs="宋体"/>
          <w:b/>
          <w:kern w:val="0"/>
          <w:sz w:val="24"/>
          <w:highlight w:val="none"/>
          <w:lang w:val="en-US" w:eastAsia="zh-CN" w:bidi="ar"/>
        </w:rPr>
        <w:t>1、</w:t>
      </w:r>
      <w:r>
        <w:rPr>
          <w:rFonts w:hint="eastAsia" w:ascii="宋体" w:hAnsi="宋体" w:cs="宋体"/>
          <w:b/>
          <w:kern w:val="0"/>
          <w:sz w:val="24"/>
          <w:highlight w:val="none"/>
          <w:lang w:eastAsia="zh-CN" w:bidi="ar"/>
        </w:rPr>
        <w:t>项目地点：</w:t>
      </w:r>
      <w:r>
        <w:rPr>
          <w:rFonts w:hint="eastAsia" w:ascii="宋体" w:hAnsi="宋体" w:eastAsia="宋体" w:cs="宋体"/>
          <w:sz w:val="24"/>
          <w:szCs w:val="24"/>
          <w:highlight w:val="none"/>
          <w:lang w:val="en-US" w:eastAsia="zh-CN"/>
        </w:rPr>
        <w:t>海虹街道。</w:t>
      </w:r>
    </w:p>
    <w:p w14:paraId="063D8C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kern w:val="0"/>
          <w:sz w:val="24"/>
          <w:szCs w:val="24"/>
          <w:highlight w:val="none"/>
          <w:lang w:eastAsia="zh-CN" w:bidi="ar"/>
        </w:rPr>
      </w:pPr>
      <w:r>
        <w:rPr>
          <w:rFonts w:hint="eastAsia" w:ascii="宋体" w:hAnsi="宋体" w:cs="宋体"/>
          <w:b/>
          <w:kern w:val="0"/>
          <w:sz w:val="24"/>
          <w:szCs w:val="24"/>
          <w:highlight w:val="none"/>
          <w:lang w:val="en-US" w:eastAsia="zh-CN" w:bidi="ar"/>
        </w:rPr>
        <w:t>2、</w:t>
      </w:r>
      <w:r>
        <w:rPr>
          <w:rFonts w:hint="eastAsia" w:ascii="宋体" w:hAnsi="宋体" w:eastAsia="宋体" w:cs="宋体"/>
          <w:b/>
          <w:kern w:val="0"/>
          <w:sz w:val="24"/>
          <w:szCs w:val="24"/>
          <w:highlight w:val="none"/>
          <w:lang w:eastAsia="zh-CN" w:bidi="ar"/>
        </w:rPr>
        <w:t>合同期限及工期</w:t>
      </w:r>
      <w:r>
        <w:rPr>
          <w:rFonts w:hint="eastAsia" w:ascii="宋体" w:hAnsi="宋体" w:cs="宋体"/>
          <w:b/>
          <w:kern w:val="0"/>
          <w:sz w:val="24"/>
          <w:szCs w:val="24"/>
          <w:highlight w:val="none"/>
          <w:lang w:eastAsia="zh-CN" w:bidi="ar"/>
        </w:rPr>
        <w:t>：</w:t>
      </w:r>
    </w:p>
    <w:p w14:paraId="720C2F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kern w:val="0"/>
          <w:sz w:val="24"/>
          <w:szCs w:val="24"/>
          <w:highlight w:val="none"/>
          <w:lang w:eastAsia="zh-CN"/>
        </w:rPr>
      </w:pPr>
      <w:r>
        <w:rPr>
          <w:rFonts w:hint="eastAsia" w:ascii="宋体" w:hAnsi="宋体" w:cs="宋体"/>
          <w:b/>
          <w:kern w:val="0"/>
          <w:sz w:val="24"/>
          <w:szCs w:val="24"/>
          <w:highlight w:val="none"/>
          <w:lang w:eastAsia="zh-CN" w:bidi="ar"/>
        </w:rPr>
        <w:t>（</w:t>
      </w:r>
      <w:r>
        <w:rPr>
          <w:rFonts w:hint="eastAsia" w:ascii="宋体" w:hAnsi="宋体" w:cs="宋体"/>
          <w:b/>
          <w:kern w:val="0"/>
          <w:sz w:val="24"/>
          <w:szCs w:val="24"/>
          <w:highlight w:val="none"/>
          <w:lang w:val="en-US" w:eastAsia="zh-CN" w:bidi="ar"/>
        </w:rPr>
        <w:t>1</w:t>
      </w:r>
      <w:r>
        <w:rPr>
          <w:rFonts w:hint="eastAsia" w:ascii="宋体" w:hAnsi="宋体" w:cs="宋体"/>
          <w:b/>
          <w:kern w:val="0"/>
          <w:sz w:val="24"/>
          <w:szCs w:val="24"/>
          <w:highlight w:val="none"/>
          <w:lang w:eastAsia="zh-CN" w:bidi="ar"/>
        </w:rPr>
        <w:t>）合同期限：</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若</w:t>
      </w:r>
      <w:r>
        <w:rPr>
          <w:rFonts w:hint="eastAsia" w:ascii="宋体" w:hAnsi="宋体" w:eastAsia="宋体" w:cs="宋体"/>
          <w:sz w:val="24"/>
          <w:szCs w:val="24"/>
          <w:highlight w:val="none"/>
        </w:rPr>
        <w:t>本项目履行过程中</w:t>
      </w:r>
      <w:r>
        <w:rPr>
          <w:rFonts w:hint="eastAsia" w:ascii="宋体" w:hAnsi="宋体" w:eastAsia="宋体" w:cs="宋体"/>
          <w:sz w:val="24"/>
          <w:szCs w:val="24"/>
          <w:highlight w:val="none"/>
          <w:lang w:eastAsia="zh-CN"/>
        </w:rPr>
        <w:t>费用金额达到</w:t>
      </w:r>
      <w:r>
        <w:rPr>
          <w:rFonts w:hint="eastAsia" w:ascii="宋体" w:hAnsi="宋体" w:eastAsia="宋体" w:cs="宋体"/>
          <w:sz w:val="24"/>
          <w:szCs w:val="24"/>
          <w:highlight w:val="none"/>
          <w:lang w:val="en-US" w:eastAsia="zh-CN"/>
        </w:rPr>
        <w:t>100万元时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则本</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提前</w:t>
      </w:r>
      <w:r>
        <w:rPr>
          <w:rFonts w:hint="eastAsia" w:ascii="宋体" w:hAnsi="宋体" w:eastAsia="宋体" w:cs="宋体"/>
          <w:sz w:val="24"/>
          <w:szCs w:val="24"/>
          <w:highlight w:val="none"/>
        </w:rPr>
        <w:t>终止）。</w:t>
      </w:r>
    </w:p>
    <w:p w14:paraId="1C783B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kern w:val="0"/>
          <w:sz w:val="24"/>
          <w:highlight w:val="none"/>
          <w:lang w:val="en-US" w:eastAsia="zh-CN" w:bidi="ar"/>
        </w:rPr>
      </w:pPr>
      <w:bookmarkStart w:id="34" w:name="_Toc525049753"/>
      <w:r>
        <w:rPr>
          <w:rFonts w:hint="eastAsia" w:ascii="宋体" w:hAnsi="宋体" w:cs="宋体"/>
          <w:b/>
          <w:kern w:val="0"/>
          <w:sz w:val="24"/>
          <w:highlight w:val="none"/>
          <w:lang w:val="en-US" w:eastAsia="zh-CN" w:bidi="ar"/>
        </w:rPr>
        <w:t>（2）工期：</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lang w:val="en-US" w:eastAsia="zh-CN"/>
        </w:rPr>
        <w:t>个工程根据项目实际情况，按照采购人规定工期完成。</w:t>
      </w:r>
    </w:p>
    <w:p w14:paraId="69E312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cs="宋体"/>
          <w:b/>
          <w:kern w:val="0"/>
          <w:sz w:val="24"/>
          <w:highlight w:val="none"/>
          <w:lang w:val="en-US" w:eastAsia="zh-CN" w:bidi="ar"/>
        </w:rPr>
      </w:pPr>
      <w:r>
        <w:rPr>
          <w:rFonts w:hint="eastAsia" w:ascii="宋体" w:hAnsi="宋体" w:cs="宋体"/>
          <w:b/>
          <w:kern w:val="0"/>
          <w:sz w:val="24"/>
          <w:highlight w:val="none"/>
          <w:lang w:val="en-US" w:eastAsia="zh-CN" w:bidi="ar"/>
        </w:rPr>
        <w:t>3、结算办法：</w:t>
      </w:r>
      <w:r>
        <w:rPr>
          <w:rFonts w:hint="eastAsia" w:ascii="宋体" w:hAnsi="宋体" w:eastAsia="宋体" w:cs="宋体"/>
          <w:sz w:val="24"/>
          <w:szCs w:val="24"/>
          <w:highlight w:val="none"/>
          <w:lang w:val="en-US" w:eastAsia="zh-CN"/>
        </w:rPr>
        <w:t>本项目工程量按实计算，结算率一次性包死，按次结算。</w:t>
      </w:r>
    </w:p>
    <w:p w14:paraId="62260E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kern w:val="0"/>
          <w:sz w:val="24"/>
          <w:highlight w:val="none"/>
          <w:lang w:eastAsia="zh-CN" w:bidi="ar"/>
        </w:rPr>
      </w:pPr>
      <w:r>
        <w:rPr>
          <w:rFonts w:hint="eastAsia" w:ascii="宋体" w:hAnsi="宋体" w:cs="宋体"/>
          <w:b/>
          <w:kern w:val="0"/>
          <w:sz w:val="24"/>
          <w:highlight w:val="none"/>
          <w:lang w:val="en-US" w:eastAsia="zh-CN" w:bidi="ar"/>
        </w:rPr>
        <w:t>4</w:t>
      </w:r>
      <w:r>
        <w:rPr>
          <w:rFonts w:hint="eastAsia" w:ascii="宋体" w:hAnsi="宋体" w:cs="宋体"/>
          <w:b/>
          <w:kern w:val="0"/>
          <w:sz w:val="24"/>
          <w:highlight w:val="none"/>
          <w:lang w:bidi="ar"/>
        </w:rPr>
        <w:t>、付款方式</w:t>
      </w:r>
      <w:bookmarkEnd w:id="34"/>
      <w:r>
        <w:rPr>
          <w:rFonts w:hint="eastAsia" w:ascii="宋体" w:hAnsi="宋体" w:cs="宋体"/>
          <w:b/>
          <w:kern w:val="0"/>
          <w:sz w:val="24"/>
          <w:highlight w:val="none"/>
          <w:lang w:eastAsia="zh-CN" w:bidi="ar"/>
        </w:rPr>
        <w:t>：</w:t>
      </w:r>
    </w:p>
    <w:p w14:paraId="66207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kern w:val="0"/>
          <w:sz w:val="24"/>
          <w:highlight w:val="none"/>
          <w:lang w:val="en-US" w:eastAsia="zh-CN" w:bidi="ar"/>
        </w:rPr>
      </w:pPr>
      <w:r>
        <w:rPr>
          <w:rFonts w:hint="eastAsia" w:ascii="宋体" w:hAnsi="宋体" w:cs="宋体"/>
          <w:b w:val="0"/>
          <w:bCs/>
          <w:kern w:val="0"/>
          <w:sz w:val="24"/>
          <w:highlight w:val="none"/>
          <w:lang w:eastAsia="zh-CN" w:bidi="ar"/>
        </w:rPr>
        <w:t>（</w:t>
      </w:r>
      <w:r>
        <w:rPr>
          <w:rFonts w:hint="eastAsia" w:ascii="宋体" w:hAnsi="宋体" w:cs="宋体"/>
          <w:b w:val="0"/>
          <w:bCs/>
          <w:kern w:val="0"/>
          <w:sz w:val="24"/>
          <w:highlight w:val="none"/>
          <w:lang w:val="en-US" w:eastAsia="zh-CN" w:bidi="ar"/>
        </w:rPr>
        <w:t>1</w:t>
      </w:r>
      <w:r>
        <w:rPr>
          <w:rFonts w:hint="eastAsia" w:ascii="宋体" w:hAnsi="宋体" w:cs="宋体"/>
          <w:b w:val="0"/>
          <w:bCs/>
          <w:kern w:val="0"/>
          <w:sz w:val="24"/>
          <w:highlight w:val="none"/>
          <w:lang w:eastAsia="zh-CN" w:bidi="ar"/>
        </w:rPr>
        <w:t>）合同签订后</w:t>
      </w:r>
      <w:r>
        <w:rPr>
          <w:rFonts w:hint="eastAsia" w:ascii="宋体" w:hAnsi="宋体" w:cs="宋体"/>
          <w:b w:val="0"/>
          <w:bCs/>
          <w:kern w:val="0"/>
          <w:sz w:val="24"/>
          <w:highlight w:val="none"/>
          <w:lang w:val="en-US" w:eastAsia="zh-CN" w:bidi="ar"/>
        </w:rPr>
        <w:t>7个工作日内支付合同金额的40%做为预付款；</w:t>
      </w:r>
    </w:p>
    <w:p w14:paraId="4CBA61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kern w:val="0"/>
          <w:sz w:val="24"/>
          <w:highlight w:val="none"/>
          <w:lang w:val="en-US" w:eastAsia="zh-CN" w:bidi="ar"/>
        </w:rPr>
      </w:pPr>
      <w:r>
        <w:rPr>
          <w:rFonts w:hint="eastAsia" w:ascii="宋体" w:hAnsi="宋体" w:eastAsia="宋体" w:cs="宋体"/>
          <w:sz w:val="24"/>
          <w:szCs w:val="24"/>
          <w:highlight w:val="none"/>
          <w:lang w:val="en-US" w:eastAsia="zh-CN"/>
        </w:rPr>
        <w:t>（2）单</w:t>
      </w:r>
      <w:r>
        <w:rPr>
          <w:rFonts w:hint="eastAsia" w:ascii="宋体" w:hAnsi="宋体" w:cs="宋体"/>
          <w:sz w:val="24"/>
          <w:szCs w:val="24"/>
          <w:highlight w:val="none"/>
          <w:lang w:val="en-US" w:eastAsia="zh-CN"/>
        </w:rPr>
        <w:t>个</w:t>
      </w:r>
      <w:r>
        <w:rPr>
          <w:rFonts w:hint="eastAsia" w:ascii="宋体" w:hAnsi="宋体" w:eastAsia="宋体" w:cs="宋体"/>
          <w:sz w:val="24"/>
          <w:szCs w:val="24"/>
          <w:highlight w:val="none"/>
          <w:lang w:val="en-US" w:eastAsia="zh-CN"/>
        </w:rPr>
        <w:t>工程完成并通过验收且收到中标人开具的发票后7个工作日一次性支付（费用支付时需先扣除预付款费用后再进行支付）。</w:t>
      </w:r>
    </w:p>
    <w:p w14:paraId="04CDE3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kern w:val="0"/>
          <w:sz w:val="36"/>
          <w:szCs w:val="36"/>
          <w:highlight w:val="none"/>
        </w:rPr>
      </w:pP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、履约保证金：</w:t>
      </w:r>
      <w:r>
        <w:rPr>
          <w:rFonts w:hint="eastAsia" w:ascii="宋体" w:hAnsi="宋体" w:eastAsia="宋体" w:cs="宋体"/>
          <w:b w:val="0"/>
          <w:bCs/>
          <w:sz w:val="24"/>
          <w:szCs w:val="24"/>
          <w:highlight w:val="none"/>
          <w:lang w:val="en-US" w:eastAsia="zh-CN"/>
        </w:rPr>
        <w:t>合同价的1%，供应商应当以支票、汇票、本票或者金融机构、担保机构出具的保函等非现金形式提交（采用保函的，应保证其有效期超过项目履行期届满之日30日）</w:t>
      </w:r>
      <w:r>
        <w:rPr>
          <w:rFonts w:hint="eastAsia" w:ascii="宋体" w:hAnsi="宋体" w:eastAsia="宋体" w:cs="宋体"/>
          <w:b w:val="0"/>
          <w:bCs/>
          <w:sz w:val="24"/>
          <w:szCs w:val="24"/>
          <w:highlight w:val="none"/>
        </w:rPr>
        <w:t>。</w:t>
      </w:r>
    </w:p>
    <w:p w14:paraId="0B760458">
      <w:pPr>
        <w:autoSpaceDE w:val="0"/>
        <w:autoSpaceDN w:val="0"/>
        <w:adjustRightInd w:val="0"/>
        <w:spacing w:line="360" w:lineRule="auto"/>
        <w:jc w:val="center"/>
        <w:rPr>
          <w:rFonts w:ascii="宋体" w:hAnsi="宋体"/>
          <w:b/>
          <w:bCs/>
          <w:color w:val="auto"/>
          <w:sz w:val="36"/>
          <w:szCs w:val="36"/>
          <w:highlight w:val="none"/>
        </w:rPr>
      </w:pPr>
      <w:r>
        <w:rPr>
          <w:rFonts w:hint="eastAsia" w:ascii="宋体" w:hAnsi="宋体"/>
          <w:b/>
          <w:color w:val="auto"/>
          <w:kern w:val="0"/>
          <w:sz w:val="36"/>
          <w:szCs w:val="36"/>
          <w:highlight w:val="none"/>
        </w:rPr>
        <w:t>第五章　</w:t>
      </w:r>
      <w:r>
        <w:rPr>
          <w:rFonts w:hint="eastAsia" w:ascii="宋体" w:hAnsi="宋体"/>
          <w:b/>
          <w:bCs/>
          <w:color w:val="auto"/>
          <w:sz w:val="36"/>
          <w:szCs w:val="36"/>
          <w:highlight w:val="none"/>
        </w:rPr>
        <w:t>合同主要条款</w:t>
      </w:r>
    </w:p>
    <w:p w14:paraId="79418548">
      <w:pPr>
        <w:rPr>
          <w:color w:val="auto"/>
          <w:highlight w:val="none"/>
        </w:rPr>
      </w:pPr>
    </w:p>
    <w:p w14:paraId="155C6D34">
      <w:pPr>
        <w:widowControl/>
        <w:shd w:val="clear" w:color="auto" w:fill="FFFFFF"/>
        <w:spacing w:after="150" w:line="375" w:lineRule="atLeast"/>
        <w:ind w:firstLine="480"/>
        <w:jc w:val="left"/>
        <w:rPr>
          <w:rFonts w:ascii="宋体"/>
          <w:sz w:val="24"/>
        </w:rPr>
      </w:pPr>
      <w:r>
        <w:rPr>
          <w:rFonts w:ascii="宋体"/>
          <w:sz w:val="24"/>
        </w:rPr>
        <w:t>以下为</w:t>
      </w:r>
      <w:r>
        <w:rPr>
          <w:rFonts w:hint="eastAsia" w:ascii="宋体"/>
          <w:sz w:val="24"/>
          <w:lang w:eastAsia="zh-CN"/>
        </w:rPr>
        <w:t>中标</w:t>
      </w:r>
      <w:r>
        <w:rPr>
          <w:rFonts w:ascii="宋体"/>
          <w:sz w:val="24"/>
        </w:rPr>
        <w:t>后签定本项目合同的通用条款，</w:t>
      </w:r>
      <w:r>
        <w:rPr>
          <w:rFonts w:hint="eastAsia" w:ascii="宋体"/>
          <w:sz w:val="24"/>
          <w:lang w:eastAsia="zh-CN"/>
        </w:rPr>
        <w:t>中标</w:t>
      </w:r>
      <w:r>
        <w:rPr>
          <w:rFonts w:ascii="宋体"/>
          <w:sz w:val="24"/>
        </w:rPr>
        <w:t>供应商不得提出实质性的修改，关于专用条款将由采购人与</w:t>
      </w:r>
      <w:r>
        <w:rPr>
          <w:rFonts w:hint="eastAsia" w:ascii="宋体"/>
          <w:sz w:val="24"/>
          <w:lang w:eastAsia="zh-CN"/>
        </w:rPr>
        <w:t>中标</w:t>
      </w:r>
      <w:r>
        <w:rPr>
          <w:rFonts w:ascii="宋体"/>
          <w:sz w:val="24"/>
        </w:rPr>
        <w:t>供应商结合本项目具体情况协商后签订。</w:t>
      </w:r>
    </w:p>
    <w:p w14:paraId="11F731DF">
      <w:pPr>
        <w:snapToGrid w:val="0"/>
        <w:spacing w:beforeLines="50" w:afterLines="50" w:line="360" w:lineRule="auto"/>
        <w:rPr>
          <w:rFonts w:ascii="宋体"/>
          <w:sz w:val="24"/>
        </w:rPr>
      </w:pPr>
      <w:r>
        <w:rPr>
          <w:rFonts w:ascii="宋体"/>
          <w:sz w:val="24"/>
        </w:rPr>
        <w:t>项目名称：                                       项目编号：</w:t>
      </w:r>
    </w:p>
    <w:p w14:paraId="78FED31A">
      <w:pPr>
        <w:keepNext w:val="0"/>
        <w:keepLines w:val="0"/>
        <w:pageBreakBefore w:val="0"/>
        <w:widowControl w:val="0"/>
        <w:kinsoku/>
        <w:wordWrap/>
        <w:overflowPunct/>
        <w:topLinePunct w:val="0"/>
        <w:autoSpaceDE/>
        <w:autoSpaceDN/>
        <w:bidi w:val="0"/>
        <w:snapToGrid w:val="0"/>
        <w:spacing w:line="360" w:lineRule="auto"/>
        <w:textAlignment w:val="auto"/>
        <w:rPr>
          <w:rFonts w:ascii="宋体"/>
          <w:sz w:val="24"/>
        </w:rPr>
      </w:pPr>
      <w:r>
        <w:rPr>
          <w:rFonts w:ascii="宋体"/>
          <w:sz w:val="24"/>
        </w:rPr>
        <w:t>甲方：（</w:t>
      </w:r>
      <w:r>
        <w:rPr>
          <w:rFonts w:hint="eastAsia" w:ascii="宋体"/>
          <w:sz w:val="24"/>
        </w:rPr>
        <w:t>采购单位</w:t>
      </w:r>
      <w:r>
        <w:rPr>
          <w:rFonts w:ascii="宋体"/>
          <w:sz w:val="24"/>
        </w:rPr>
        <w:t>）</w:t>
      </w:r>
    </w:p>
    <w:p w14:paraId="439B7897">
      <w:pPr>
        <w:keepNext w:val="0"/>
        <w:keepLines w:val="0"/>
        <w:pageBreakBefore w:val="0"/>
        <w:widowControl w:val="0"/>
        <w:kinsoku/>
        <w:wordWrap/>
        <w:overflowPunct/>
        <w:topLinePunct w:val="0"/>
        <w:autoSpaceDE/>
        <w:autoSpaceDN/>
        <w:bidi w:val="0"/>
        <w:snapToGrid w:val="0"/>
        <w:spacing w:line="360" w:lineRule="auto"/>
        <w:textAlignment w:val="auto"/>
        <w:rPr>
          <w:rFonts w:ascii="宋体"/>
          <w:sz w:val="24"/>
        </w:rPr>
      </w:pPr>
      <w:r>
        <w:rPr>
          <w:rFonts w:ascii="宋体"/>
          <w:sz w:val="24"/>
        </w:rPr>
        <w:t>乙方：（</w:t>
      </w:r>
      <w:r>
        <w:rPr>
          <w:rFonts w:hint="eastAsia" w:ascii="宋体"/>
          <w:sz w:val="24"/>
        </w:rPr>
        <w:t>中标供应商</w:t>
      </w:r>
      <w:r>
        <w:rPr>
          <w:rFonts w:ascii="宋体"/>
          <w:sz w:val="24"/>
        </w:rPr>
        <w:t>）</w:t>
      </w:r>
    </w:p>
    <w:p w14:paraId="6CEB9389">
      <w:pPr>
        <w:keepNext w:val="0"/>
        <w:keepLines w:val="0"/>
        <w:pageBreakBefore w:val="0"/>
        <w:widowControl w:val="0"/>
        <w:kinsoku/>
        <w:wordWrap/>
        <w:overflowPunct/>
        <w:topLinePunct w:val="0"/>
        <w:autoSpaceDE/>
        <w:autoSpaceDN/>
        <w:bidi w:val="0"/>
        <w:snapToGrid w:val="0"/>
        <w:spacing w:line="360" w:lineRule="auto"/>
        <w:ind w:left="410" w:hanging="410" w:hangingChars="171"/>
        <w:textAlignment w:val="auto"/>
        <w:rPr>
          <w:rFonts w:hint="eastAsia" w:ascii="宋体" w:eastAsia="宋体"/>
          <w:sz w:val="24"/>
          <w:highlight w:val="none"/>
          <w:lang w:eastAsia="zh-CN"/>
        </w:rPr>
      </w:pPr>
      <w:r>
        <w:rPr>
          <w:rFonts w:hint="eastAsia" w:ascii="宋体"/>
          <w:sz w:val="24"/>
        </w:rPr>
        <w:t>甲、乙</w:t>
      </w:r>
      <w:r>
        <w:rPr>
          <w:rFonts w:hint="eastAsia" w:ascii="宋体"/>
          <w:sz w:val="24"/>
          <w:highlight w:val="none"/>
        </w:rPr>
        <w:t>双方关于</w:t>
      </w:r>
      <w:r>
        <w:rPr>
          <w:rFonts w:hint="eastAsia" w:ascii="宋体"/>
          <w:sz w:val="24"/>
          <w:highlight w:val="none"/>
          <w:u w:val="single"/>
        </w:rPr>
        <w:t xml:space="preserve"> </w:t>
      </w:r>
      <w:r>
        <w:rPr>
          <w:rFonts w:ascii="宋体"/>
          <w:sz w:val="24"/>
          <w:highlight w:val="none"/>
          <w:u w:val="single"/>
        </w:rPr>
        <w:t xml:space="preserve">                      </w:t>
      </w:r>
      <w:r>
        <w:rPr>
          <w:rFonts w:hint="eastAsia" w:ascii="宋体"/>
          <w:sz w:val="24"/>
          <w:highlight w:val="none"/>
        </w:rPr>
        <w:t>（项目名称）的</w:t>
      </w:r>
      <w:r>
        <w:rPr>
          <w:rFonts w:hint="eastAsia" w:ascii="宋体"/>
          <w:sz w:val="24"/>
          <w:highlight w:val="none"/>
          <w:lang w:eastAsia="zh-CN"/>
        </w:rPr>
        <w:t>公开招标</w:t>
      </w:r>
      <w:r>
        <w:rPr>
          <w:rFonts w:hint="eastAsia" w:ascii="宋体"/>
          <w:sz w:val="24"/>
          <w:highlight w:val="none"/>
        </w:rPr>
        <w:t>结果，签署本合同</w:t>
      </w:r>
      <w:r>
        <w:rPr>
          <w:rFonts w:hint="eastAsia" w:ascii="宋体"/>
          <w:sz w:val="24"/>
          <w:highlight w:val="none"/>
          <w:lang w:eastAsia="zh-CN"/>
        </w:rPr>
        <w:t>。</w:t>
      </w:r>
    </w:p>
    <w:p w14:paraId="43568F22">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eastAsia="宋体"/>
          <w:b/>
          <w:sz w:val="24"/>
          <w:highlight w:val="none"/>
          <w:lang w:eastAsia="zh-CN"/>
        </w:rPr>
      </w:pPr>
      <w:r>
        <w:rPr>
          <w:rFonts w:ascii="宋体"/>
          <w:b/>
          <w:sz w:val="24"/>
          <w:highlight w:val="none"/>
        </w:rPr>
        <w:t>一、</w:t>
      </w:r>
      <w:r>
        <w:rPr>
          <w:rFonts w:hint="eastAsia" w:ascii="宋体"/>
          <w:b/>
          <w:sz w:val="24"/>
          <w:highlight w:val="none"/>
        </w:rPr>
        <w:t>服务</w:t>
      </w:r>
      <w:r>
        <w:rPr>
          <w:rFonts w:ascii="宋体"/>
          <w:b/>
          <w:sz w:val="24"/>
          <w:highlight w:val="none"/>
        </w:rPr>
        <w:t>内容</w:t>
      </w:r>
      <w:r>
        <w:rPr>
          <w:rFonts w:hint="eastAsia" w:ascii="宋体"/>
          <w:b/>
          <w:sz w:val="24"/>
          <w:highlight w:val="none"/>
          <w:lang w:eastAsia="zh-CN"/>
        </w:rPr>
        <w:t>及要求</w:t>
      </w:r>
    </w:p>
    <w:p w14:paraId="59CE4D8A">
      <w:pPr>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（一）工作内容</w:t>
      </w:r>
    </w:p>
    <w:p w14:paraId="6BA7C1CE">
      <w:pPr>
        <w:pStyle w:val="10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Style w:val="40"/>
          <w:rFonts w:hint="eastAsia" w:ascii="宋体" w:hAnsi="宋体" w:eastAsia="宋体" w:cs="宋体"/>
          <w:b w:val="0"/>
          <w:bCs w:val="0"/>
          <w:color w:val="auto"/>
          <w:kern w:val="2"/>
          <w:sz w:val="24"/>
          <w:szCs w:val="24"/>
          <w:highlight w:val="none"/>
          <w:lang w:val="en-US" w:eastAsia="zh-CN" w:bidi="ar-SA"/>
        </w:rPr>
        <w:t>本项目主要工作内容为海虹街道范围内排水管网及附属设施的日常养护与管理、检测与维修等，包括但不限于巡视检查、日常投诉处理、日常防涝、晴天排水口出水溯源调查、潜望镜及CCTV或QV检测、管道非开挖修复及开挖修复、管道疏通、检查井及雨水口的清捞、各类市政雨污井盖的修复、配套的管道封堵（含拆）等。在防汛抗台期间，落实应急抢修疏通队伍，确保安全度汛抗台；防汛抗台结束后，负责落实灾后恢复工作，并做好记录等台账资料工作。</w:t>
      </w:r>
    </w:p>
    <w:p w14:paraId="0FC7EC6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z w:val="24"/>
          <w:szCs w:val="24"/>
          <w:highlight w:val="none"/>
          <w:lang w:val="en-US" w:eastAsia="zh-CN"/>
        </w:rPr>
        <w:t>做好污水管网和雨水管网的巡查和维护处理，对管网中出现的一般的堵、溢等现象进行及时冲洗疏通，产生的污物必须及时规范处置。对管网中出现的漏、坏等现象及时上报采购人，经评估后进行维修。</w:t>
      </w:r>
    </w:p>
    <w:p w14:paraId="72F02F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z w:val="24"/>
          <w:szCs w:val="24"/>
          <w:highlight w:val="none"/>
          <w:lang w:val="en-US" w:eastAsia="zh-CN"/>
        </w:rPr>
        <w:t>雨天加强巡查，对积水严重处应采取应急排水作业，做好安全围护。</w:t>
      </w:r>
    </w:p>
    <w:p w14:paraId="01E480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z w:val="24"/>
          <w:szCs w:val="24"/>
          <w:highlight w:val="none"/>
          <w:lang w:val="en-US" w:eastAsia="zh-CN"/>
        </w:rPr>
        <w:t>对雨污水检查井等进行清理，以免堵塞管井，疏挖、清洗所产生的污物必须规范处置。</w:t>
      </w:r>
    </w:p>
    <w:p w14:paraId="67D594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sz w:val="24"/>
          <w:szCs w:val="24"/>
          <w:highlight w:val="none"/>
          <w:lang w:val="en-US" w:eastAsia="zh-CN"/>
        </w:rPr>
        <w:t>雨污水检查井、井盖（含预留井盖）出现被盗或损坏应在24小时内对污水检查井、井盖（含预留井盖）进行补缺，有安全隐患且无法立即修复的需做好安全维护措施。</w:t>
      </w:r>
    </w:p>
    <w:p w14:paraId="04F2AD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snapToGrid w:val="0"/>
          <w:color w:val="000000"/>
          <w:spacing w:val="0"/>
          <w:w w:val="100"/>
          <w:kern w:val="0"/>
          <w:position w:val="0"/>
          <w:sz w:val="24"/>
          <w:szCs w:val="24"/>
          <w:highlight w:val="none"/>
          <w:lang w:val="en-US" w:eastAsia="zh-CN"/>
        </w:rPr>
        <w:t>.</w:t>
      </w:r>
      <w:r>
        <w:rPr>
          <w:rFonts w:hint="eastAsia" w:ascii="宋体" w:hAnsi="宋体" w:eastAsia="宋体" w:cs="宋体"/>
          <w:color w:val="auto"/>
          <w:sz w:val="24"/>
          <w:szCs w:val="24"/>
          <w:highlight w:val="none"/>
          <w:lang w:val="en-US" w:eastAsia="zh-CN"/>
        </w:rPr>
        <w:t>如发现雨污合流的情况，及时排查原因并查找源头。</w:t>
      </w:r>
      <w:r>
        <w:rPr>
          <w:rFonts w:hint="eastAsia" w:ascii="宋体" w:hAnsi="宋体" w:eastAsia="宋体" w:cs="宋体"/>
          <w:sz w:val="24"/>
          <w:szCs w:val="24"/>
          <w:highlight w:val="none"/>
          <w:lang w:val="en-US" w:eastAsia="zh-CN"/>
        </w:rPr>
        <w:t>做好雨污水管日常维护台账记录及所有项目施工过程</w:t>
      </w:r>
      <w:r>
        <w:rPr>
          <w:rFonts w:hint="eastAsia" w:ascii="宋体" w:hAnsi="宋体" w:eastAsia="宋体" w:cs="宋体"/>
          <w:color w:val="auto"/>
          <w:kern w:val="2"/>
          <w:sz w:val="24"/>
          <w:szCs w:val="24"/>
          <w:highlight w:val="none"/>
          <w:lang w:val="en-US" w:eastAsia="zh-CN" w:bidi="ar-SA"/>
        </w:rPr>
        <w:t>前中后期图片影像资料</w:t>
      </w:r>
      <w:r>
        <w:rPr>
          <w:rFonts w:hint="eastAsia" w:ascii="宋体" w:hAnsi="宋体" w:eastAsia="宋体" w:cs="宋体"/>
          <w:sz w:val="24"/>
          <w:szCs w:val="24"/>
          <w:highlight w:val="none"/>
          <w:lang w:val="en-US" w:eastAsia="zh-CN"/>
        </w:rPr>
        <w:t>。根据污水处理设施的实际情况，制定具体的</w:t>
      </w:r>
      <w:r>
        <w:rPr>
          <w:rFonts w:hint="eastAsia" w:ascii="宋体" w:hAnsi="宋体" w:eastAsia="宋体" w:cs="宋体"/>
          <w:sz w:val="24"/>
          <w:szCs w:val="24"/>
          <w:lang w:val="en-US" w:eastAsia="zh-CN"/>
        </w:rPr>
        <w:t>运行维护计划，明确日常运行维护内容，落实专人进行维护管理，建立健全运行维护管理制度，做好运行维护管理记录。</w:t>
      </w:r>
    </w:p>
    <w:p w14:paraId="49801486">
      <w:pPr>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（二）工作要求</w:t>
      </w:r>
    </w:p>
    <w:p w14:paraId="57813160">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highlight w:val="none"/>
          <w:lang w:val="en-US" w:eastAsia="zh-CN"/>
        </w:rPr>
      </w:pPr>
      <w:r>
        <w:rPr>
          <w:rFonts w:hint="eastAsia" w:ascii="宋体" w:hAnsi="宋体" w:eastAsia="宋体" w:cs="宋体"/>
          <w:snapToGrid w:val="0"/>
          <w:color w:val="000000"/>
          <w:spacing w:val="0"/>
          <w:w w:val="100"/>
          <w:kern w:val="0"/>
          <w:position w:val="0"/>
          <w:sz w:val="24"/>
          <w:szCs w:val="24"/>
          <w:highlight w:val="none"/>
          <w:lang w:val="en-US" w:eastAsia="zh-CN"/>
        </w:rPr>
        <w:t>1.按甲方运维区域、时段的计划安排进行辅助作业。雨天、高温等</w:t>
      </w:r>
      <w:r>
        <w:rPr>
          <w:rFonts w:hint="eastAsia" w:ascii="宋体" w:hAnsi="宋体" w:eastAsia="宋体" w:cs="宋体"/>
          <w:snapToGrid w:val="0"/>
          <w:color w:val="000000"/>
          <w:spacing w:val="0"/>
          <w:w w:val="100"/>
          <w:kern w:val="0"/>
          <w:position w:val="0"/>
          <w:sz w:val="24"/>
          <w:szCs w:val="24"/>
          <w:highlight w:val="none"/>
        </w:rPr>
        <w:t>特殊</w:t>
      </w:r>
      <w:r>
        <w:rPr>
          <w:rFonts w:hint="eastAsia" w:ascii="宋体" w:hAnsi="宋体" w:eastAsia="宋体" w:cs="宋体"/>
          <w:snapToGrid w:val="0"/>
          <w:color w:val="000000"/>
          <w:spacing w:val="0"/>
          <w:w w:val="100"/>
          <w:kern w:val="0"/>
          <w:position w:val="0"/>
          <w:sz w:val="24"/>
          <w:szCs w:val="24"/>
          <w:highlight w:val="none"/>
          <w:lang w:val="en-US" w:eastAsia="zh-CN"/>
        </w:rPr>
        <w:t>时段的作业或</w:t>
      </w:r>
      <w:r>
        <w:rPr>
          <w:rFonts w:hint="eastAsia" w:ascii="宋体" w:hAnsi="宋体" w:eastAsia="宋体" w:cs="宋体"/>
          <w:snapToGrid w:val="0"/>
          <w:color w:val="000000"/>
          <w:spacing w:val="0"/>
          <w:w w:val="100"/>
          <w:kern w:val="0"/>
          <w:position w:val="0"/>
          <w:sz w:val="24"/>
          <w:szCs w:val="24"/>
          <w:highlight w:val="none"/>
          <w:lang w:eastAsia="zh-CN"/>
        </w:rPr>
        <w:t>应急处置，</w:t>
      </w:r>
      <w:r>
        <w:rPr>
          <w:rFonts w:hint="eastAsia" w:ascii="宋体" w:hAnsi="宋体" w:eastAsia="宋体" w:cs="宋体"/>
          <w:snapToGrid w:val="0"/>
          <w:color w:val="000000"/>
          <w:spacing w:val="0"/>
          <w:w w:val="100"/>
          <w:kern w:val="0"/>
          <w:position w:val="0"/>
          <w:sz w:val="24"/>
          <w:szCs w:val="24"/>
          <w:highlight w:val="none"/>
          <w:lang w:val="en-US" w:eastAsia="zh-CN"/>
        </w:rPr>
        <w:t>须无条件服从甲方的指令。</w:t>
      </w:r>
    </w:p>
    <w:p w14:paraId="19B05A87">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highlight w:val="none"/>
          <w:lang w:val="en-US" w:eastAsia="zh-CN"/>
        </w:rPr>
      </w:pPr>
      <w:r>
        <w:rPr>
          <w:rFonts w:hint="eastAsia" w:ascii="宋体" w:hAnsi="宋体" w:eastAsia="宋体" w:cs="宋体"/>
          <w:snapToGrid w:val="0"/>
          <w:color w:val="000000"/>
          <w:spacing w:val="0"/>
          <w:w w:val="100"/>
          <w:kern w:val="0"/>
          <w:position w:val="0"/>
          <w:sz w:val="24"/>
          <w:szCs w:val="24"/>
          <w:highlight w:val="none"/>
          <w:lang w:val="en-US" w:eastAsia="zh-CN"/>
        </w:rPr>
        <w:t>2.自觉按照甲方制度、行业标准规范操作</w:t>
      </w:r>
      <w:r>
        <w:rPr>
          <w:rFonts w:hint="eastAsia" w:ascii="宋体" w:hAnsi="宋体" w:eastAsia="宋体" w:cs="宋体"/>
          <w:snapToGrid w:val="0"/>
          <w:color w:val="000000"/>
          <w:spacing w:val="0"/>
          <w:w w:val="100"/>
          <w:kern w:val="0"/>
          <w:position w:val="0"/>
          <w:sz w:val="24"/>
          <w:szCs w:val="24"/>
          <w:highlight w:val="none"/>
          <w:lang w:eastAsia="zh-CN"/>
        </w:rPr>
        <w:t>。</w:t>
      </w:r>
      <w:r>
        <w:rPr>
          <w:rFonts w:hint="eastAsia" w:ascii="宋体" w:hAnsi="宋体" w:eastAsia="宋体" w:cs="宋体"/>
          <w:snapToGrid w:val="0"/>
          <w:color w:val="000000"/>
          <w:spacing w:val="0"/>
          <w:w w:val="100"/>
          <w:kern w:val="0"/>
          <w:position w:val="0"/>
          <w:sz w:val="24"/>
          <w:szCs w:val="24"/>
          <w:highlight w:val="none"/>
          <w:lang w:val="en-US" w:eastAsia="zh-CN"/>
        </w:rPr>
        <w:t>且应</w:t>
      </w:r>
      <w:r>
        <w:rPr>
          <w:rFonts w:hint="eastAsia" w:ascii="宋体" w:hAnsi="宋体" w:eastAsia="宋体" w:cs="宋体"/>
          <w:snapToGrid w:val="0"/>
          <w:color w:val="000000"/>
          <w:spacing w:val="0"/>
          <w:w w:val="100"/>
          <w:kern w:val="0"/>
          <w:position w:val="0"/>
          <w:sz w:val="24"/>
          <w:szCs w:val="24"/>
          <w:highlight w:val="none"/>
          <w:lang w:eastAsia="zh-CN"/>
        </w:rPr>
        <w:t>有切实的手段和措施，保</w:t>
      </w:r>
      <w:r>
        <w:rPr>
          <w:rFonts w:hint="eastAsia" w:ascii="宋体" w:hAnsi="宋体" w:eastAsia="宋体" w:cs="宋体"/>
          <w:snapToGrid w:val="0"/>
          <w:color w:val="000000"/>
          <w:spacing w:val="0"/>
          <w:w w:val="100"/>
          <w:kern w:val="0"/>
          <w:position w:val="0"/>
          <w:sz w:val="24"/>
          <w:szCs w:val="24"/>
          <w:highlight w:val="none"/>
          <w:lang w:val="en-US" w:eastAsia="zh-CN"/>
        </w:rPr>
        <w:t>证清淤彻底，管道畅通</w:t>
      </w:r>
      <w:r>
        <w:rPr>
          <w:rFonts w:hint="eastAsia" w:ascii="宋体" w:hAnsi="宋体" w:eastAsia="宋体" w:cs="宋体"/>
          <w:snapToGrid w:val="0"/>
          <w:color w:val="000000"/>
          <w:spacing w:val="0"/>
          <w:w w:val="100"/>
          <w:kern w:val="0"/>
          <w:position w:val="0"/>
          <w:sz w:val="24"/>
          <w:szCs w:val="24"/>
          <w:highlight w:val="none"/>
          <w:lang w:eastAsia="zh-CN"/>
        </w:rPr>
        <w:t>。</w:t>
      </w:r>
    </w:p>
    <w:p w14:paraId="0C679428">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highlight w:val="none"/>
          <w:lang w:val="en-US" w:eastAsia="zh-CN"/>
        </w:rPr>
      </w:pPr>
      <w:r>
        <w:rPr>
          <w:rFonts w:hint="eastAsia" w:ascii="宋体" w:hAnsi="宋体" w:eastAsia="宋体" w:cs="宋体"/>
          <w:snapToGrid w:val="0"/>
          <w:color w:val="000000"/>
          <w:spacing w:val="0"/>
          <w:w w:val="100"/>
          <w:kern w:val="0"/>
          <w:position w:val="0"/>
          <w:sz w:val="24"/>
          <w:szCs w:val="24"/>
          <w:highlight w:val="none"/>
          <w:lang w:val="en-US" w:eastAsia="zh-CN"/>
        </w:rPr>
        <w:t>3.须</w:t>
      </w:r>
      <w:r>
        <w:rPr>
          <w:rFonts w:hint="eastAsia" w:hAnsi="宋体" w:cs="宋体"/>
          <w:snapToGrid w:val="0"/>
          <w:color w:val="000000"/>
          <w:spacing w:val="0"/>
          <w:w w:val="100"/>
          <w:kern w:val="0"/>
          <w:position w:val="0"/>
          <w:sz w:val="24"/>
          <w:szCs w:val="24"/>
          <w:highlight w:val="none"/>
          <w:lang w:val="en-US" w:eastAsia="zh-CN"/>
        </w:rPr>
        <w:t>配备</w:t>
      </w:r>
      <w:r>
        <w:rPr>
          <w:rFonts w:hint="eastAsia" w:ascii="宋体" w:hAnsi="宋体" w:eastAsia="宋体" w:cs="宋体"/>
          <w:snapToGrid w:val="0"/>
          <w:color w:val="000000"/>
          <w:spacing w:val="0"/>
          <w:w w:val="100"/>
          <w:kern w:val="0"/>
          <w:position w:val="0"/>
          <w:sz w:val="24"/>
          <w:szCs w:val="24"/>
          <w:highlight w:val="none"/>
          <w:lang w:val="en-US" w:eastAsia="zh-CN"/>
        </w:rPr>
        <w:t>一名</w:t>
      </w:r>
      <w:r>
        <w:rPr>
          <w:rFonts w:hint="eastAsia" w:hAnsi="宋体" w:cs="宋体"/>
          <w:snapToGrid w:val="0"/>
          <w:color w:val="000000"/>
          <w:spacing w:val="0"/>
          <w:w w:val="100"/>
          <w:kern w:val="0"/>
          <w:position w:val="0"/>
          <w:sz w:val="24"/>
          <w:szCs w:val="24"/>
          <w:highlight w:val="none"/>
          <w:lang w:val="en-US" w:eastAsia="zh-CN"/>
        </w:rPr>
        <w:t>项目负责人</w:t>
      </w:r>
      <w:r>
        <w:rPr>
          <w:rFonts w:hint="eastAsia" w:ascii="宋体" w:hAnsi="宋体" w:eastAsia="宋体" w:cs="宋体"/>
          <w:snapToGrid w:val="0"/>
          <w:color w:val="000000"/>
          <w:spacing w:val="0"/>
          <w:w w:val="100"/>
          <w:kern w:val="0"/>
          <w:position w:val="0"/>
          <w:sz w:val="24"/>
          <w:szCs w:val="24"/>
          <w:highlight w:val="none"/>
          <w:lang w:val="en-US" w:eastAsia="zh-CN"/>
        </w:rPr>
        <w:t>负责日常工作过程中与甲方的对接、协调。</w:t>
      </w:r>
    </w:p>
    <w:p w14:paraId="397FEA18">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4</w:t>
      </w:r>
      <w:r>
        <w:rPr>
          <w:rFonts w:hint="eastAsia" w:ascii="宋体" w:hAnsi="宋体" w:eastAsia="宋体" w:cs="宋体"/>
          <w:snapToGrid w:val="0"/>
          <w:color w:val="000000"/>
          <w:spacing w:val="0"/>
          <w:w w:val="100"/>
          <w:kern w:val="0"/>
          <w:position w:val="0"/>
          <w:sz w:val="24"/>
          <w:szCs w:val="24"/>
          <w:lang w:val="en-US" w:eastAsia="zh-CN"/>
        </w:rPr>
        <w:t>.</w:t>
      </w:r>
      <w:r>
        <w:rPr>
          <w:rFonts w:hint="eastAsia" w:ascii="宋体" w:hAnsi="宋体" w:eastAsia="宋体" w:cs="宋体"/>
          <w:snapToGrid w:val="0"/>
          <w:color w:val="000000"/>
          <w:spacing w:val="0"/>
          <w:w w:val="100"/>
          <w:kern w:val="0"/>
          <w:position w:val="0"/>
          <w:sz w:val="24"/>
          <w:szCs w:val="24"/>
          <w:lang w:eastAsia="zh-CN"/>
        </w:rPr>
        <w:t>需对人员办理人身意外伤害保险，</w:t>
      </w:r>
      <w:r>
        <w:rPr>
          <w:rFonts w:hint="eastAsia" w:ascii="宋体" w:hAnsi="宋体" w:eastAsia="宋体" w:cs="宋体"/>
          <w:snapToGrid w:val="0"/>
          <w:color w:val="000000"/>
          <w:spacing w:val="0"/>
          <w:w w:val="100"/>
          <w:kern w:val="0"/>
          <w:position w:val="0"/>
          <w:sz w:val="24"/>
          <w:szCs w:val="24"/>
          <w:lang w:val="en-US" w:eastAsia="zh-CN"/>
        </w:rPr>
        <w:t>车辆办理应该办理的保险。</w:t>
      </w:r>
    </w:p>
    <w:p w14:paraId="099C1C52">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5</w:t>
      </w:r>
      <w:r>
        <w:rPr>
          <w:rFonts w:hint="eastAsia" w:ascii="宋体" w:hAnsi="宋体" w:eastAsia="宋体" w:cs="宋体"/>
          <w:snapToGrid w:val="0"/>
          <w:color w:val="000000"/>
          <w:spacing w:val="0"/>
          <w:w w:val="100"/>
          <w:kern w:val="0"/>
          <w:position w:val="0"/>
          <w:sz w:val="24"/>
          <w:szCs w:val="24"/>
          <w:lang w:val="en-US" w:eastAsia="zh-CN"/>
        </w:rPr>
        <w:t>.文明作业，并主动处理好与当地村居的关系。</w:t>
      </w:r>
    </w:p>
    <w:p w14:paraId="4C0D6065">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6</w:t>
      </w:r>
      <w:r>
        <w:rPr>
          <w:rFonts w:hint="eastAsia" w:ascii="宋体" w:hAnsi="宋体" w:eastAsia="宋体" w:cs="宋体"/>
          <w:snapToGrid w:val="0"/>
          <w:color w:val="000000"/>
          <w:spacing w:val="0"/>
          <w:w w:val="100"/>
          <w:kern w:val="0"/>
          <w:position w:val="0"/>
          <w:sz w:val="24"/>
          <w:szCs w:val="24"/>
          <w:lang w:val="en-US" w:eastAsia="zh-CN"/>
        </w:rPr>
        <w:t>.对自身及第三人的安全负总责，确保安全生产无事故。</w:t>
      </w:r>
    </w:p>
    <w:p w14:paraId="1F172023">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7</w:t>
      </w:r>
      <w:r>
        <w:rPr>
          <w:rFonts w:hint="eastAsia" w:ascii="宋体" w:hAnsi="宋体" w:eastAsia="宋体" w:cs="宋体"/>
          <w:snapToGrid w:val="0"/>
          <w:color w:val="000000"/>
          <w:spacing w:val="0"/>
          <w:w w:val="100"/>
          <w:kern w:val="0"/>
          <w:position w:val="0"/>
          <w:sz w:val="24"/>
          <w:szCs w:val="24"/>
          <w:lang w:val="en-US" w:eastAsia="zh-CN"/>
        </w:rPr>
        <w:t>.如发现渗漏、破损、违章占压、雨污混接等情况，须在第一时间报告甲方。</w:t>
      </w:r>
    </w:p>
    <w:p w14:paraId="207DC8A4">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lang w:val="en-US" w:eastAsia="zh-CN"/>
        </w:rPr>
      </w:pPr>
      <w:r>
        <w:rPr>
          <w:rFonts w:hint="eastAsia" w:hAnsi="宋体" w:cs="宋体"/>
          <w:snapToGrid w:val="0"/>
          <w:color w:val="000000"/>
          <w:spacing w:val="0"/>
          <w:w w:val="100"/>
          <w:kern w:val="0"/>
          <w:position w:val="0"/>
          <w:sz w:val="24"/>
          <w:szCs w:val="24"/>
          <w:lang w:val="en-US" w:eastAsia="zh-CN"/>
        </w:rPr>
        <w:t>8</w:t>
      </w:r>
      <w:r>
        <w:rPr>
          <w:rFonts w:hint="eastAsia" w:ascii="宋体" w:hAnsi="宋体" w:eastAsia="宋体" w:cs="宋体"/>
          <w:snapToGrid w:val="0"/>
          <w:color w:val="000000"/>
          <w:spacing w:val="0"/>
          <w:w w:val="100"/>
          <w:kern w:val="0"/>
          <w:position w:val="0"/>
          <w:sz w:val="24"/>
          <w:szCs w:val="24"/>
          <w:lang w:val="en-US" w:eastAsia="zh-CN"/>
        </w:rPr>
        <w:t>.对破损、缺失的井盖与二道防护维修、更换需迅速、及时。</w:t>
      </w:r>
    </w:p>
    <w:p w14:paraId="448740DC">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hAnsi="宋体" w:cs="宋体"/>
          <w:snapToGrid w:val="0"/>
          <w:color w:val="000000"/>
          <w:spacing w:val="0"/>
          <w:w w:val="100"/>
          <w:kern w:val="0"/>
          <w:position w:val="0"/>
          <w:sz w:val="24"/>
          <w:szCs w:val="24"/>
          <w:lang w:val="en-US" w:eastAsia="zh-CN"/>
        </w:rPr>
        <w:t>9</w:t>
      </w:r>
      <w:r>
        <w:rPr>
          <w:rFonts w:hint="eastAsia" w:ascii="宋体" w:hAnsi="宋体" w:eastAsia="宋体" w:cs="宋体"/>
          <w:snapToGrid w:val="0"/>
          <w:color w:val="000000"/>
          <w:spacing w:val="0"/>
          <w:w w:val="100"/>
          <w:kern w:val="0"/>
          <w:position w:val="0"/>
          <w:sz w:val="24"/>
          <w:szCs w:val="24"/>
          <w:lang w:val="en-US" w:eastAsia="zh-CN"/>
        </w:rPr>
        <w:t>.按甲方的要求做好运维记录与相关台帐。</w:t>
      </w:r>
    </w:p>
    <w:p w14:paraId="7443A019">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000000"/>
          <w:spacing w:val="0"/>
          <w:w w:val="100"/>
          <w:kern w:val="0"/>
          <w:position w:val="0"/>
          <w:sz w:val="24"/>
          <w:szCs w:val="24"/>
          <w:lang w:val="en-US" w:eastAsia="zh-CN"/>
        </w:rPr>
      </w:pPr>
      <w:r>
        <w:rPr>
          <w:rFonts w:hint="eastAsia" w:ascii="宋体" w:hAnsi="宋体" w:eastAsia="宋体" w:cs="宋体"/>
          <w:snapToGrid w:val="0"/>
          <w:color w:val="000000"/>
          <w:spacing w:val="0"/>
          <w:w w:val="100"/>
          <w:kern w:val="0"/>
          <w:position w:val="0"/>
          <w:sz w:val="24"/>
          <w:szCs w:val="24"/>
          <w:lang w:val="en-US" w:eastAsia="zh-CN"/>
        </w:rPr>
        <w:t>1</w:t>
      </w:r>
      <w:r>
        <w:rPr>
          <w:rFonts w:hint="eastAsia" w:hAnsi="宋体" w:cs="宋体"/>
          <w:snapToGrid w:val="0"/>
          <w:color w:val="000000"/>
          <w:spacing w:val="0"/>
          <w:w w:val="100"/>
          <w:kern w:val="0"/>
          <w:position w:val="0"/>
          <w:sz w:val="24"/>
          <w:szCs w:val="24"/>
          <w:lang w:val="en-US" w:eastAsia="zh-CN"/>
        </w:rPr>
        <w:t>0</w:t>
      </w:r>
      <w:r>
        <w:rPr>
          <w:rFonts w:hint="eastAsia" w:ascii="宋体" w:hAnsi="宋体" w:eastAsia="宋体" w:cs="宋体"/>
          <w:snapToGrid w:val="0"/>
          <w:color w:val="000000"/>
          <w:spacing w:val="0"/>
          <w:w w:val="100"/>
          <w:kern w:val="0"/>
          <w:position w:val="0"/>
          <w:sz w:val="24"/>
          <w:szCs w:val="24"/>
          <w:lang w:val="en-US" w:eastAsia="zh-CN"/>
        </w:rPr>
        <w:t>.自觉接受甲方的检查，对存在的问题及时整改。</w:t>
      </w:r>
    </w:p>
    <w:p w14:paraId="4DE6484D">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textAlignment w:val="auto"/>
        <w:rPr>
          <w:rFonts w:ascii="宋体"/>
          <w:b/>
          <w:sz w:val="24"/>
          <w:highlight w:val="none"/>
        </w:rPr>
      </w:pPr>
      <w:r>
        <w:rPr>
          <w:rFonts w:hint="eastAsia" w:ascii="宋体" w:hAnsi="宋体" w:eastAsia="宋体" w:cs="宋体"/>
          <w:snapToGrid w:val="0"/>
          <w:color w:val="000000"/>
          <w:spacing w:val="0"/>
          <w:w w:val="100"/>
          <w:kern w:val="0"/>
          <w:position w:val="0"/>
          <w:sz w:val="24"/>
          <w:szCs w:val="24"/>
          <w:lang w:val="en-US" w:eastAsia="zh-CN"/>
        </w:rPr>
        <w:t>1</w:t>
      </w:r>
      <w:r>
        <w:rPr>
          <w:rFonts w:hint="eastAsia" w:ascii="宋体" w:hAnsi="宋体" w:cs="宋体"/>
          <w:snapToGrid w:val="0"/>
          <w:color w:val="000000"/>
          <w:spacing w:val="0"/>
          <w:w w:val="100"/>
          <w:kern w:val="0"/>
          <w:position w:val="0"/>
          <w:sz w:val="24"/>
          <w:szCs w:val="24"/>
          <w:lang w:val="en-US" w:eastAsia="zh-CN"/>
        </w:rPr>
        <w:t>1</w:t>
      </w:r>
      <w:r>
        <w:rPr>
          <w:rFonts w:hint="eastAsia" w:ascii="宋体" w:hAnsi="宋体" w:eastAsia="宋体" w:cs="宋体"/>
          <w:snapToGrid w:val="0"/>
          <w:color w:val="000000"/>
          <w:spacing w:val="0"/>
          <w:w w:val="100"/>
          <w:kern w:val="0"/>
          <w:position w:val="0"/>
          <w:sz w:val="24"/>
          <w:szCs w:val="24"/>
          <w:lang w:val="en-US" w:eastAsia="zh-CN"/>
        </w:rPr>
        <w:t>.</w:t>
      </w:r>
      <w:r>
        <w:rPr>
          <w:rFonts w:hint="eastAsia" w:hAnsi="宋体" w:cs="宋体"/>
          <w:snapToGrid w:val="0"/>
          <w:color w:val="000000"/>
          <w:spacing w:val="0"/>
          <w:w w:val="100"/>
          <w:kern w:val="0"/>
          <w:position w:val="0"/>
          <w:sz w:val="24"/>
          <w:szCs w:val="24"/>
          <w:lang w:val="en-US" w:eastAsia="zh-CN"/>
        </w:rPr>
        <w:t>向甲方提供的发票应合法合规。</w:t>
      </w:r>
    </w:p>
    <w:p w14:paraId="1F0485FB">
      <w:pPr>
        <w:keepNext w:val="0"/>
        <w:keepLines w:val="0"/>
        <w:pageBreakBefore w:val="0"/>
        <w:widowControl w:val="0"/>
        <w:kinsoku/>
        <w:wordWrap/>
        <w:overflowPunct/>
        <w:topLinePunct w:val="0"/>
        <w:autoSpaceDE/>
        <w:autoSpaceDN/>
        <w:bidi w:val="0"/>
        <w:snapToGrid w:val="0"/>
        <w:spacing w:line="360" w:lineRule="auto"/>
        <w:textAlignment w:val="auto"/>
        <w:rPr>
          <w:rFonts w:ascii="宋体"/>
          <w:b/>
          <w:sz w:val="24"/>
          <w:highlight w:val="none"/>
        </w:rPr>
      </w:pPr>
      <w:r>
        <w:rPr>
          <w:rFonts w:ascii="宋体"/>
          <w:b/>
          <w:sz w:val="24"/>
          <w:highlight w:val="none"/>
        </w:rPr>
        <w:t>二、合同金额</w:t>
      </w:r>
      <w:r>
        <w:rPr>
          <w:rFonts w:hint="eastAsia" w:ascii="宋体"/>
          <w:b/>
          <w:sz w:val="24"/>
          <w:highlight w:val="none"/>
        </w:rPr>
        <w:t>及</w:t>
      </w:r>
      <w:r>
        <w:rPr>
          <w:rFonts w:hint="eastAsia" w:ascii="宋体"/>
          <w:b/>
          <w:bCs/>
          <w:sz w:val="24"/>
          <w:highlight w:val="none"/>
        </w:rPr>
        <w:t>结算办法</w:t>
      </w:r>
    </w:p>
    <w:p w14:paraId="1A43358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Times New Roman" w:eastAsia="宋体" w:cs="Times New Roman"/>
          <w:sz w:val="24"/>
        </w:rPr>
      </w:pPr>
      <w:r>
        <w:rPr>
          <w:rFonts w:hint="eastAsia" w:ascii="宋体"/>
          <w:sz w:val="24"/>
          <w:lang w:val="en-US" w:eastAsia="zh-CN"/>
        </w:rPr>
        <w:t>1.</w:t>
      </w:r>
      <w:r>
        <w:rPr>
          <w:rFonts w:ascii="宋体"/>
          <w:sz w:val="24"/>
        </w:rPr>
        <w:t>本合</w:t>
      </w:r>
      <w:r>
        <w:rPr>
          <w:rFonts w:ascii="宋体"/>
          <w:sz w:val="24"/>
          <w:highlight w:val="none"/>
        </w:rPr>
        <w:t>同金额为（大写）：</w:t>
      </w:r>
      <w:r>
        <w:rPr>
          <w:rFonts w:hint="eastAsia" w:ascii="宋体" w:hAnsi="Times New Roman" w:eastAsia="宋体" w:cs="Times New Roman"/>
          <w:sz w:val="24"/>
          <w:highlight w:val="none"/>
          <w:u w:val="single"/>
          <w:lang w:val="en-US" w:eastAsia="zh-CN"/>
        </w:rPr>
        <w:fldChar w:fldCharType="begin"/>
      </w:r>
      <w:r>
        <w:rPr>
          <w:rFonts w:hint="eastAsia" w:ascii="宋体" w:hAnsi="Times New Roman" w:eastAsia="宋体" w:cs="Times New Roman"/>
          <w:sz w:val="24"/>
          <w:highlight w:val="none"/>
          <w:u w:val="single"/>
          <w:lang w:val="en-US" w:eastAsia="zh-CN"/>
        </w:rPr>
        <w:instrText xml:space="preserve"> = 1000000 \* CHINESENUM2 \* MERGEFORMAT </w:instrText>
      </w:r>
      <w:r>
        <w:rPr>
          <w:rFonts w:hint="eastAsia" w:ascii="宋体" w:hAnsi="Times New Roman" w:eastAsia="宋体" w:cs="Times New Roman"/>
          <w:sz w:val="24"/>
          <w:highlight w:val="none"/>
          <w:u w:val="single"/>
          <w:lang w:val="en-US" w:eastAsia="zh-CN"/>
        </w:rPr>
        <w:fldChar w:fldCharType="separate"/>
      </w:r>
      <w:r>
        <w:rPr>
          <w:rFonts w:hint="eastAsia" w:ascii="宋体" w:hAnsi="Times New Roman" w:eastAsia="宋体" w:cs="Times New Roman"/>
          <w:sz w:val="24"/>
          <w:highlight w:val="none"/>
          <w:u w:val="single"/>
          <w:lang w:val="en-US" w:eastAsia="zh-CN"/>
        </w:rPr>
        <w:t>壹佰万</w:t>
      </w:r>
      <w:r>
        <w:rPr>
          <w:rFonts w:hint="eastAsia" w:ascii="宋体" w:hAnsi="Times New Roman" w:eastAsia="宋体" w:cs="Times New Roman"/>
          <w:sz w:val="24"/>
          <w:highlight w:val="none"/>
          <w:u w:val="single"/>
          <w:lang w:val="en-US" w:eastAsia="zh-CN"/>
        </w:rPr>
        <w:fldChar w:fldCharType="end"/>
      </w:r>
      <w:r>
        <w:rPr>
          <w:rFonts w:ascii="宋体"/>
          <w:sz w:val="24"/>
          <w:highlight w:val="none"/>
        </w:rPr>
        <w:t>元（￥</w:t>
      </w:r>
      <w:r>
        <w:rPr>
          <w:rFonts w:hint="eastAsia" w:ascii="宋体"/>
          <w:sz w:val="24"/>
          <w:highlight w:val="none"/>
          <w:u w:val="single"/>
          <w:lang w:val="en-US" w:eastAsia="zh-CN"/>
        </w:rPr>
        <w:t>1000000</w:t>
      </w:r>
      <w:r>
        <w:rPr>
          <w:rFonts w:ascii="宋体"/>
          <w:sz w:val="24"/>
          <w:highlight w:val="none"/>
        </w:rPr>
        <w:t>元）人民币</w:t>
      </w:r>
      <w:r>
        <w:rPr>
          <w:rFonts w:ascii="宋体" w:hAnsi="Times New Roman" w:eastAsia="宋体" w:cs="Times New Roman"/>
          <w:sz w:val="24"/>
          <w:highlight w:val="none"/>
        </w:rPr>
        <w:t>。</w:t>
      </w:r>
    </w:p>
    <w:p w14:paraId="5098BF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lang w:val="en-US" w:eastAsia="zh-CN"/>
        </w:rPr>
      </w:pPr>
      <w:r>
        <w:rPr>
          <w:rFonts w:hint="eastAsia" w:ascii="宋体" w:hAnsi="Times New Roman" w:eastAsia="宋体" w:cs="Times New Roman"/>
          <w:sz w:val="24"/>
          <w:lang w:val="en-US" w:eastAsia="zh-CN"/>
        </w:rPr>
        <w:t>2.结算办法：本项目工程量按实计算，结算率一次性包死，结算率为：</w:t>
      </w:r>
      <w:r>
        <w:rPr>
          <w:rFonts w:hint="eastAsia" w:ascii="宋体" w:hAnsi="Times New Roman" w:eastAsia="宋体" w:cs="Times New Roman"/>
          <w:sz w:val="24"/>
          <w:u w:val="single"/>
          <w:lang w:val="en-US" w:eastAsia="zh-CN"/>
        </w:rPr>
        <w:t xml:space="preserve"> </w:t>
      </w:r>
      <w:r>
        <w:rPr>
          <w:rFonts w:hint="eastAsia" w:ascii="宋体" w:cs="Times New Roman"/>
          <w:sz w:val="24"/>
          <w:u w:val="single"/>
          <w:lang w:val="en-US" w:eastAsia="zh-CN"/>
        </w:rPr>
        <w:t xml:space="preserve">    </w:t>
      </w:r>
      <w:r>
        <w:rPr>
          <w:rFonts w:hint="eastAsia" w:ascii="宋体" w:hAnsi="Times New Roman" w:eastAsia="宋体" w:cs="Times New Roman"/>
          <w:sz w:val="24"/>
          <w:u w:val="single"/>
          <w:lang w:val="en-US" w:eastAsia="zh-CN"/>
        </w:rPr>
        <w:t xml:space="preserve">   。</w:t>
      </w:r>
    </w:p>
    <w:p w14:paraId="3BD85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eastAsia="zh-CN"/>
        </w:rPr>
      </w:pPr>
      <w:r>
        <w:rPr>
          <w:rFonts w:hint="eastAsia" w:ascii="宋体" w:hAnsi="宋体" w:cs="Times New Roman"/>
          <w:b/>
          <w:bCs/>
          <w:color w:val="auto"/>
          <w:kern w:val="0"/>
          <w:sz w:val="24"/>
          <w:szCs w:val="24"/>
          <w:highlight w:val="none"/>
          <w:lang w:val="en-US" w:eastAsia="zh-CN"/>
        </w:rPr>
        <w:t>采购</w:t>
      </w:r>
      <w:r>
        <w:rPr>
          <w:rFonts w:hint="eastAsia" w:ascii="宋体" w:hAnsi="宋体" w:cs="Times New Roman"/>
          <w:b/>
          <w:bCs/>
          <w:color w:val="auto"/>
          <w:kern w:val="0"/>
          <w:sz w:val="24"/>
          <w:szCs w:val="24"/>
          <w:highlight w:val="none"/>
        </w:rPr>
        <w:t>清单</w:t>
      </w:r>
      <w:r>
        <w:rPr>
          <w:rFonts w:hint="eastAsia" w:ascii="宋体" w:hAnsi="宋体" w:cs="Times New Roman"/>
          <w:b/>
          <w:bCs/>
          <w:color w:val="auto"/>
          <w:kern w:val="0"/>
          <w:sz w:val="24"/>
          <w:szCs w:val="24"/>
          <w:highlight w:val="none"/>
          <w:lang w:eastAsia="zh-CN"/>
        </w:rPr>
        <w:t>单价表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4410"/>
        <w:gridCol w:w="1080"/>
        <w:gridCol w:w="1185"/>
        <w:gridCol w:w="1382"/>
      </w:tblGrid>
      <w:tr w14:paraId="61DB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3" w:type="dxa"/>
            <w:vAlign w:val="center"/>
          </w:tcPr>
          <w:p w14:paraId="17B3C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序号</w:t>
            </w:r>
          </w:p>
        </w:tc>
        <w:tc>
          <w:tcPr>
            <w:tcW w:w="4410" w:type="dxa"/>
            <w:vAlign w:val="center"/>
          </w:tcPr>
          <w:p w14:paraId="56B1C6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rPr>
              <w:t>工程名称</w:t>
            </w:r>
          </w:p>
        </w:tc>
        <w:tc>
          <w:tcPr>
            <w:tcW w:w="1080" w:type="dxa"/>
            <w:vAlign w:val="center"/>
          </w:tcPr>
          <w:p w14:paraId="312BA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cs="宋体"/>
                <w:b/>
                <w:bCs/>
                <w:color w:val="auto"/>
                <w:kern w:val="2"/>
                <w:sz w:val="21"/>
                <w:szCs w:val="21"/>
                <w:highlight w:val="none"/>
                <w:vertAlign w:val="baseline"/>
                <w:lang w:val="en-US" w:eastAsia="zh-CN" w:bidi="ar-SA"/>
              </w:rPr>
              <w:t>单位</w:t>
            </w:r>
          </w:p>
        </w:tc>
        <w:tc>
          <w:tcPr>
            <w:tcW w:w="1185" w:type="dxa"/>
            <w:vAlign w:val="center"/>
          </w:tcPr>
          <w:p w14:paraId="24A57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综合单价</w:t>
            </w:r>
          </w:p>
          <w:p w14:paraId="7AD7F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控制价</w:t>
            </w:r>
          </w:p>
        </w:tc>
        <w:tc>
          <w:tcPr>
            <w:tcW w:w="1382" w:type="dxa"/>
            <w:vAlign w:val="center"/>
          </w:tcPr>
          <w:p w14:paraId="43A9E7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备注</w:t>
            </w:r>
          </w:p>
        </w:tc>
      </w:tr>
      <w:tr w14:paraId="280F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3" w:type="dxa"/>
            <w:vAlign w:val="center"/>
          </w:tcPr>
          <w:p w14:paraId="7A61DF6F">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p>
        </w:tc>
        <w:tc>
          <w:tcPr>
            <w:tcW w:w="4410" w:type="dxa"/>
            <w:vAlign w:val="center"/>
          </w:tcPr>
          <w:p w14:paraId="2FB04F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管道非开挖修复dn</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00</w:t>
            </w:r>
            <w:r>
              <w:rPr>
                <w:rFonts w:hint="eastAsia" w:ascii="宋体" w:hAnsi="宋体" w:cs="宋体"/>
                <w:i w:val="0"/>
                <w:iCs w:val="0"/>
                <w:color w:val="auto"/>
                <w:kern w:val="0"/>
                <w:sz w:val="21"/>
                <w:szCs w:val="21"/>
                <w:highlight w:val="none"/>
                <w:u w:val="none"/>
                <w:lang w:val="en-US" w:eastAsia="zh-CN" w:bidi="ar"/>
              </w:rPr>
              <w:t>及以下（含人材机）</w:t>
            </w:r>
          </w:p>
        </w:tc>
        <w:tc>
          <w:tcPr>
            <w:tcW w:w="1080" w:type="dxa"/>
            <w:vAlign w:val="center"/>
          </w:tcPr>
          <w:p w14:paraId="1B2FAD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环</w:t>
            </w:r>
          </w:p>
        </w:tc>
        <w:tc>
          <w:tcPr>
            <w:tcW w:w="1185" w:type="dxa"/>
            <w:vAlign w:val="center"/>
          </w:tcPr>
          <w:p w14:paraId="11E469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1420</w:t>
            </w:r>
          </w:p>
        </w:tc>
        <w:tc>
          <w:tcPr>
            <w:tcW w:w="1382" w:type="dxa"/>
            <w:vAlign w:val="center"/>
          </w:tcPr>
          <w:p w14:paraId="2BC325B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14:paraId="504B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3" w:type="dxa"/>
            <w:vAlign w:val="center"/>
          </w:tcPr>
          <w:p w14:paraId="2D843775">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p>
        </w:tc>
        <w:tc>
          <w:tcPr>
            <w:tcW w:w="4410" w:type="dxa"/>
            <w:vAlign w:val="center"/>
          </w:tcPr>
          <w:p w14:paraId="54CDB6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管道非开挖修复dn400</w:t>
            </w:r>
            <w:r>
              <w:rPr>
                <w:rFonts w:hint="eastAsia" w:ascii="宋体" w:hAnsi="宋体" w:cs="宋体"/>
                <w:i w:val="0"/>
                <w:iCs w:val="0"/>
                <w:color w:val="auto"/>
                <w:kern w:val="0"/>
                <w:sz w:val="21"/>
                <w:szCs w:val="21"/>
                <w:highlight w:val="none"/>
                <w:u w:val="none"/>
                <w:lang w:val="en-US" w:eastAsia="zh-CN" w:bidi="ar"/>
              </w:rPr>
              <w:t>（含人材机）</w:t>
            </w:r>
          </w:p>
        </w:tc>
        <w:tc>
          <w:tcPr>
            <w:tcW w:w="1080" w:type="dxa"/>
            <w:vAlign w:val="center"/>
          </w:tcPr>
          <w:p w14:paraId="4F06C2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环</w:t>
            </w:r>
          </w:p>
        </w:tc>
        <w:tc>
          <w:tcPr>
            <w:tcW w:w="1185" w:type="dxa"/>
            <w:vAlign w:val="center"/>
          </w:tcPr>
          <w:p w14:paraId="6A991D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1780</w:t>
            </w:r>
          </w:p>
        </w:tc>
        <w:tc>
          <w:tcPr>
            <w:tcW w:w="1382" w:type="dxa"/>
            <w:vAlign w:val="center"/>
          </w:tcPr>
          <w:p w14:paraId="4D0903F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r w14:paraId="27A8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53" w:type="dxa"/>
            <w:vAlign w:val="center"/>
          </w:tcPr>
          <w:p w14:paraId="2B7CC092">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val="0"/>
                <w:bCs w:val="0"/>
                <w:color w:val="auto"/>
                <w:sz w:val="21"/>
                <w:szCs w:val="21"/>
                <w:highlight w:val="none"/>
                <w:vertAlign w:val="baseline"/>
                <w:lang w:val="en-US" w:eastAsia="zh-CN"/>
              </w:rPr>
            </w:pPr>
          </w:p>
        </w:tc>
        <w:tc>
          <w:tcPr>
            <w:tcW w:w="4410" w:type="dxa"/>
            <w:vAlign w:val="center"/>
          </w:tcPr>
          <w:p w14:paraId="543C1B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管道非开挖修复dn</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00</w:t>
            </w:r>
            <w:r>
              <w:rPr>
                <w:rFonts w:hint="eastAsia" w:ascii="宋体" w:hAnsi="宋体" w:cs="宋体"/>
                <w:i w:val="0"/>
                <w:iCs w:val="0"/>
                <w:color w:val="auto"/>
                <w:kern w:val="0"/>
                <w:sz w:val="21"/>
                <w:szCs w:val="21"/>
                <w:highlight w:val="none"/>
                <w:u w:val="none"/>
                <w:lang w:val="en-US" w:eastAsia="zh-CN" w:bidi="ar"/>
              </w:rPr>
              <w:t>（含人材机）</w:t>
            </w:r>
          </w:p>
        </w:tc>
        <w:tc>
          <w:tcPr>
            <w:tcW w:w="1080" w:type="dxa"/>
            <w:vAlign w:val="center"/>
          </w:tcPr>
          <w:p w14:paraId="35A8F2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环</w:t>
            </w:r>
          </w:p>
        </w:tc>
        <w:tc>
          <w:tcPr>
            <w:tcW w:w="1185" w:type="dxa"/>
            <w:vAlign w:val="center"/>
          </w:tcPr>
          <w:p w14:paraId="6830C7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1800</w:t>
            </w:r>
          </w:p>
        </w:tc>
        <w:tc>
          <w:tcPr>
            <w:tcW w:w="1382" w:type="dxa"/>
            <w:vAlign w:val="center"/>
          </w:tcPr>
          <w:p w14:paraId="036E66D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vertAlign w:val="baseline"/>
                <w:lang w:val="en-US" w:eastAsia="zh-CN"/>
              </w:rPr>
            </w:pPr>
          </w:p>
        </w:tc>
      </w:tr>
      <w:tr w14:paraId="707A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14:paraId="4B231AB3">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val="0"/>
                <w:bCs w:val="0"/>
                <w:color w:val="auto"/>
                <w:sz w:val="21"/>
                <w:szCs w:val="21"/>
                <w:highlight w:val="none"/>
                <w:vertAlign w:val="baseline"/>
                <w:lang w:val="en-US" w:eastAsia="zh-CN"/>
              </w:rPr>
            </w:pPr>
          </w:p>
        </w:tc>
        <w:tc>
          <w:tcPr>
            <w:tcW w:w="4410" w:type="dxa"/>
            <w:vAlign w:val="center"/>
          </w:tcPr>
          <w:p w14:paraId="31EF21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管道DN300以下疏通</w:t>
            </w:r>
          </w:p>
          <w:p w14:paraId="55D624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（包含管道清淤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窨井、检查井及沉井清捞</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污泥、垃圾外运</w:t>
            </w:r>
            <w:r>
              <w:rPr>
                <w:rFonts w:hint="eastAsia" w:ascii="宋体" w:hAnsi="宋体" w:cs="宋体"/>
                <w:i w:val="0"/>
                <w:iCs w:val="0"/>
                <w:color w:val="auto"/>
                <w:kern w:val="0"/>
                <w:sz w:val="21"/>
                <w:szCs w:val="21"/>
                <w:highlight w:val="none"/>
                <w:u w:val="none"/>
                <w:lang w:val="en-US" w:eastAsia="zh-CN" w:bidi="ar"/>
              </w:rPr>
              <w:t>处置，</w:t>
            </w:r>
            <w:r>
              <w:rPr>
                <w:rFonts w:hint="eastAsia" w:ascii="宋体" w:hAnsi="宋体" w:eastAsia="宋体" w:cs="宋体"/>
                <w:i w:val="0"/>
                <w:iCs w:val="0"/>
                <w:color w:val="auto"/>
                <w:kern w:val="0"/>
                <w:sz w:val="21"/>
                <w:szCs w:val="21"/>
                <w:highlight w:val="none"/>
                <w:u w:val="none"/>
                <w:lang w:val="en-US" w:eastAsia="zh-CN" w:bidi="ar"/>
              </w:rPr>
              <w:t>潜望镜检测</w:t>
            </w:r>
            <w:r>
              <w:rPr>
                <w:rFonts w:hint="eastAsia" w:ascii="宋体" w:hAnsi="宋体" w:cs="宋体"/>
                <w:i w:val="0"/>
                <w:iCs w:val="0"/>
                <w:color w:val="auto"/>
                <w:kern w:val="0"/>
                <w:sz w:val="21"/>
                <w:szCs w:val="21"/>
                <w:highlight w:val="none"/>
                <w:u w:val="none"/>
                <w:lang w:val="en-US" w:eastAsia="zh-CN" w:bidi="ar"/>
              </w:rPr>
              <w:t>，配套的管道封堵，</w:t>
            </w:r>
            <w:r>
              <w:rPr>
                <w:rFonts w:hint="eastAsia" w:ascii="宋体" w:hAnsi="宋体" w:eastAsia="宋体" w:cs="宋体"/>
                <w:i w:val="0"/>
                <w:iCs w:val="0"/>
                <w:color w:val="auto"/>
                <w:kern w:val="0"/>
                <w:sz w:val="21"/>
                <w:szCs w:val="21"/>
                <w:highlight w:val="none"/>
                <w:u w:val="none"/>
                <w:lang w:val="en-US" w:eastAsia="zh-CN" w:bidi="ar"/>
              </w:rPr>
              <w:t>巡视检查</w:t>
            </w:r>
            <w:r>
              <w:rPr>
                <w:rFonts w:hint="eastAsia" w:ascii="宋体" w:hAnsi="宋体" w:cs="宋体"/>
                <w:i w:val="0"/>
                <w:iCs w:val="0"/>
                <w:color w:val="auto"/>
                <w:kern w:val="0"/>
                <w:sz w:val="21"/>
                <w:szCs w:val="21"/>
                <w:highlight w:val="none"/>
                <w:u w:val="none"/>
                <w:lang w:val="en-US" w:eastAsia="zh-CN" w:bidi="ar"/>
              </w:rPr>
              <w:t>，调查</w:t>
            </w:r>
            <w:r>
              <w:rPr>
                <w:rFonts w:hint="eastAsia" w:ascii="宋体" w:hAnsi="宋体" w:eastAsia="宋体" w:cs="宋体"/>
                <w:i w:val="0"/>
                <w:iCs w:val="0"/>
                <w:color w:val="auto"/>
                <w:kern w:val="0"/>
                <w:sz w:val="21"/>
                <w:szCs w:val="21"/>
                <w:highlight w:val="none"/>
                <w:u w:val="none"/>
                <w:lang w:val="en-US" w:eastAsia="zh-CN" w:bidi="ar"/>
              </w:rPr>
              <w:t>应急服务等内容</w:t>
            </w:r>
            <w:r>
              <w:rPr>
                <w:rFonts w:hint="eastAsia" w:ascii="宋体" w:hAnsi="宋体" w:cs="宋体"/>
                <w:i w:val="0"/>
                <w:iCs w:val="0"/>
                <w:color w:val="auto"/>
                <w:kern w:val="0"/>
                <w:sz w:val="21"/>
                <w:szCs w:val="21"/>
                <w:highlight w:val="none"/>
                <w:u w:val="none"/>
                <w:lang w:val="en-US" w:eastAsia="zh-CN" w:bidi="ar"/>
              </w:rPr>
              <w:t>（包含人工、机械等）</w:t>
            </w:r>
            <w:r>
              <w:rPr>
                <w:rFonts w:hint="eastAsia" w:ascii="宋体" w:hAnsi="宋体" w:eastAsia="宋体" w:cs="宋体"/>
                <w:i w:val="0"/>
                <w:iCs w:val="0"/>
                <w:color w:val="auto"/>
                <w:kern w:val="0"/>
                <w:sz w:val="21"/>
                <w:szCs w:val="21"/>
                <w:highlight w:val="none"/>
                <w:u w:val="none"/>
                <w:lang w:val="en-US" w:eastAsia="zh-CN" w:bidi="ar"/>
              </w:rPr>
              <w:t>，以上内容需出具检测报告并提供施工前中后期图片影像资料）</w:t>
            </w:r>
          </w:p>
        </w:tc>
        <w:tc>
          <w:tcPr>
            <w:tcW w:w="1080" w:type="dxa"/>
            <w:vAlign w:val="center"/>
          </w:tcPr>
          <w:p w14:paraId="11B159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米</w:t>
            </w:r>
          </w:p>
        </w:tc>
        <w:tc>
          <w:tcPr>
            <w:tcW w:w="1185" w:type="dxa"/>
            <w:vAlign w:val="center"/>
          </w:tcPr>
          <w:p w14:paraId="7FD9E4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17.9</w:t>
            </w:r>
          </w:p>
        </w:tc>
        <w:tc>
          <w:tcPr>
            <w:tcW w:w="1382" w:type="dxa"/>
            <w:vAlign w:val="center"/>
          </w:tcPr>
          <w:p w14:paraId="4F925A3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i w:val="0"/>
                <w:iCs w:val="0"/>
                <w:color w:val="auto"/>
                <w:kern w:val="0"/>
                <w:sz w:val="21"/>
                <w:szCs w:val="21"/>
                <w:highlight w:val="none"/>
                <w:u w:val="none"/>
                <w:lang w:val="en-US" w:eastAsia="zh-CN" w:bidi="ar"/>
              </w:rPr>
            </w:pPr>
          </w:p>
        </w:tc>
      </w:tr>
      <w:tr w14:paraId="7902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14:paraId="519EB914">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val="0"/>
                <w:bCs w:val="0"/>
                <w:color w:val="auto"/>
                <w:sz w:val="21"/>
                <w:szCs w:val="21"/>
                <w:highlight w:val="none"/>
                <w:vertAlign w:val="baseline"/>
                <w:lang w:val="en-US" w:eastAsia="zh-CN"/>
              </w:rPr>
            </w:pPr>
          </w:p>
        </w:tc>
        <w:tc>
          <w:tcPr>
            <w:tcW w:w="4410" w:type="dxa"/>
            <w:vAlign w:val="center"/>
          </w:tcPr>
          <w:p w14:paraId="2F0C01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管道DN300疏通</w:t>
            </w:r>
          </w:p>
          <w:p w14:paraId="02C6AC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（包含管道清淤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窨井、检查井及沉井清捞</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污泥</w:t>
            </w:r>
            <w:r>
              <w:rPr>
                <w:rFonts w:hint="eastAsia" w:ascii="宋体" w:hAnsi="宋体" w:cs="宋体"/>
                <w:i w:val="0"/>
                <w:iCs w:val="0"/>
                <w:color w:val="auto"/>
                <w:kern w:val="0"/>
                <w:sz w:val="21"/>
                <w:szCs w:val="21"/>
                <w:highlight w:val="none"/>
                <w:u w:val="none"/>
                <w:lang w:val="en-US" w:eastAsia="zh-CN" w:bidi="ar"/>
              </w:rPr>
              <w:t>处置，</w:t>
            </w:r>
            <w:r>
              <w:rPr>
                <w:rFonts w:hint="eastAsia" w:ascii="宋体" w:hAnsi="宋体" w:eastAsia="宋体" w:cs="宋体"/>
                <w:i w:val="0"/>
                <w:iCs w:val="0"/>
                <w:color w:val="auto"/>
                <w:kern w:val="0"/>
                <w:sz w:val="21"/>
                <w:szCs w:val="21"/>
                <w:highlight w:val="none"/>
                <w:u w:val="none"/>
                <w:lang w:val="en-US" w:eastAsia="zh-CN" w:bidi="ar"/>
              </w:rPr>
              <w:t>CCTV</w:t>
            </w:r>
            <w:r>
              <w:rPr>
                <w:rFonts w:hint="eastAsia" w:ascii="宋体" w:hAnsi="宋体" w:cs="宋体"/>
                <w:i w:val="0"/>
                <w:iCs w:val="0"/>
                <w:color w:val="auto"/>
                <w:kern w:val="0"/>
                <w:sz w:val="21"/>
                <w:szCs w:val="21"/>
                <w:highlight w:val="none"/>
                <w:u w:val="none"/>
                <w:lang w:val="en-US" w:eastAsia="zh-CN" w:bidi="ar"/>
              </w:rPr>
              <w:t>或QV</w:t>
            </w:r>
            <w:r>
              <w:rPr>
                <w:rFonts w:hint="eastAsia" w:ascii="宋体" w:hAnsi="宋体" w:eastAsia="宋体" w:cs="宋体"/>
                <w:i w:val="0"/>
                <w:iCs w:val="0"/>
                <w:color w:val="auto"/>
                <w:kern w:val="0"/>
                <w:sz w:val="21"/>
                <w:szCs w:val="21"/>
                <w:highlight w:val="none"/>
                <w:u w:val="none"/>
                <w:lang w:val="en-US" w:eastAsia="zh-CN" w:bidi="ar"/>
              </w:rPr>
              <w:t>检测</w:t>
            </w:r>
            <w:r>
              <w:rPr>
                <w:rFonts w:hint="eastAsia" w:ascii="宋体" w:hAnsi="宋体" w:cs="宋体"/>
                <w:i w:val="0"/>
                <w:iCs w:val="0"/>
                <w:color w:val="auto"/>
                <w:kern w:val="0"/>
                <w:sz w:val="21"/>
                <w:szCs w:val="21"/>
                <w:highlight w:val="none"/>
                <w:u w:val="none"/>
                <w:lang w:val="en-US" w:eastAsia="zh-CN" w:bidi="ar"/>
              </w:rPr>
              <w:t>，配套的管道封堵，</w:t>
            </w:r>
            <w:r>
              <w:rPr>
                <w:rFonts w:hint="eastAsia" w:ascii="宋体" w:hAnsi="宋体" w:eastAsia="宋体" w:cs="宋体"/>
                <w:i w:val="0"/>
                <w:iCs w:val="0"/>
                <w:color w:val="auto"/>
                <w:kern w:val="0"/>
                <w:sz w:val="21"/>
                <w:szCs w:val="21"/>
                <w:highlight w:val="none"/>
                <w:u w:val="none"/>
                <w:lang w:val="en-US" w:eastAsia="zh-CN" w:bidi="ar"/>
              </w:rPr>
              <w:t>巡视检查</w:t>
            </w:r>
            <w:r>
              <w:rPr>
                <w:rFonts w:hint="eastAsia" w:ascii="宋体" w:hAnsi="宋体" w:cs="宋体"/>
                <w:i w:val="0"/>
                <w:iCs w:val="0"/>
                <w:color w:val="auto"/>
                <w:kern w:val="0"/>
                <w:sz w:val="21"/>
                <w:szCs w:val="21"/>
                <w:highlight w:val="none"/>
                <w:u w:val="none"/>
                <w:lang w:val="en-US" w:eastAsia="zh-CN" w:bidi="ar"/>
              </w:rPr>
              <w:t>，调查</w:t>
            </w:r>
            <w:r>
              <w:rPr>
                <w:rFonts w:hint="eastAsia" w:ascii="宋体" w:hAnsi="宋体" w:eastAsia="宋体" w:cs="宋体"/>
                <w:i w:val="0"/>
                <w:iCs w:val="0"/>
                <w:color w:val="auto"/>
                <w:kern w:val="0"/>
                <w:sz w:val="21"/>
                <w:szCs w:val="21"/>
                <w:highlight w:val="none"/>
                <w:u w:val="none"/>
                <w:lang w:val="en-US" w:eastAsia="zh-CN" w:bidi="ar"/>
              </w:rPr>
              <w:t>应急服务等内容</w:t>
            </w:r>
            <w:r>
              <w:rPr>
                <w:rFonts w:hint="eastAsia" w:ascii="宋体" w:hAnsi="宋体" w:cs="宋体"/>
                <w:i w:val="0"/>
                <w:iCs w:val="0"/>
                <w:color w:val="auto"/>
                <w:kern w:val="0"/>
                <w:sz w:val="21"/>
                <w:szCs w:val="21"/>
                <w:highlight w:val="none"/>
                <w:u w:val="none"/>
                <w:lang w:val="en-US" w:eastAsia="zh-CN" w:bidi="ar"/>
              </w:rPr>
              <w:t>（包含人工、机械等）</w:t>
            </w:r>
            <w:r>
              <w:rPr>
                <w:rFonts w:hint="eastAsia" w:ascii="宋体" w:hAnsi="宋体" w:eastAsia="宋体" w:cs="宋体"/>
                <w:i w:val="0"/>
                <w:iCs w:val="0"/>
                <w:color w:val="auto"/>
                <w:kern w:val="0"/>
                <w:sz w:val="21"/>
                <w:szCs w:val="21"/>
                <w:highlight w:val="none"/>
                <w:u w:val="none"/>
                <w:lang w:val="en-US" w:eastAsia="zh-CN" w:bidi="ar"/>
              </w:rPr>
              <w:t>，以上内容需出具检测报告并提供施工前中后期图片影像资料）</w:t>
            </w:r>
          </w:p>
        </w:tc>
        <w:tc>
          <w:tcPr>
            <w:tcW w:w="1080" w:type="dxa"/>
            <w:vAlign w:val="center"/>
          </w:tcPr>
          <w:p w14:paraId="6BF1DA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米</w:t>
            </w:r>
          </w:p>
        </w:tc>
        <w:tc>
          <w:tcPr>
            <w:tcW w:w="1185" w:type="dxa"/>
            <w:vAlign w:val="center"/>
          </w:tcPr>
          <w:p w14:paraId="23141E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18.3</w:t>
            </w:r>
          </w:p>
        </w:tc>
        <w:tc>
          <w:tcPr>
            <w:tcW w:w="1382" w:type="dxa"/>
            <w:vAlign w:val="center"/>
          </w:tcPr>
          <w:p w14:paraId="051E2A2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i w:val="0"/>
                <w:iCs w:val="0"/>
                <w:color w:val="auto"/>
                <w:kern w:val="0"/>
                <w:sz w:val="21"/>
                <w:szCs w:val="21"/>
                <w:highlight w:val="none"/>
                <w:u w:val="none"/>
                <w:lang w:val="en-US" w:eastAsia="zh-CN" w:bidi="ar"/>
              </w:rPr>
            </w:pPr>
          </w:p>
        </w:tc>
      </w:tr>
      <w:tr w14:paraId="5D7D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14:paraId="02BD574F">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val="0"/>
                <w:bCs w:val="0"/>
                <w:color w:val="auto"/>
                <w:sz w:val="21"/>
                <w:szCs w:val="21"/>
                <w:highlight w:val="none"/>
                <w:vertAlign w:val="baseline"/>
                <w:lang w:val="en-US" w:eastAsia="zh-CN"/>
              </w:rPr>
            </w:pPr>
          </w:p>
        </w:tc>
        <w:tc>
          <w:tcPr>
            <w:tcW w:w="4410" w:type="dxa"/>
            <w:vAlign w:val="center"/>
          </w:tcPr>
          <w:p w14:paraId="0C0C78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管道DN400疏通</w:t>
            </w:r>
          </w:p>
          <w:p w14:paraId="76EFD9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（包含管道清淤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窨井、检查井及沉井清捞</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污泥</w:t>
            </w:r>
            <w:r>
              <w:rPr>
                <w:rFonts w:hint="eastAsia" w:ascii="宋体" w:hAnsi="宋体" w:cs="宋体"/>
                <w:i w:val="0"/>
                <w:iCs w:val="0"/>
                <w:color w:val="auto"/>
                <w:kern w:val="0"/>
                <w:sz w:val="21"/>
                <w:szCs w:val="21"/>
                <w:highlight w:val="none"/>
                <w:u w:val="none"/>
                <w:lang w:val="en-US" w:eastAsia="zh-CN" w:bidi="ar"/>
              </w:rPr>
              <w:t>处置，</w:t>
            </w:r>
            <w:r>
              <w:rPr>
                <w:rFonts w:hint="eastAsia" w:ascii="宋体" w:hAnsi="宋体" w:eastAsia="宋体" w:cs="宋体"/>
                <w:i w:val="0"/>
                <w:iCs w:val="0"/>
                <w:color w:val="auto"/>
                <w:kern w:val="0"/>
                <w:sz w:val="21"/>
                <w:szCs w:val="21"/>
                <w:highlight w:val="none"/>
                <w:u w:val="none"/>
                <w:lang w:val="en-US" w:eastAsia="zh-CN" w:bidi="ar"/>
              </w:rPr>
              <w:t>CCTV</w:t>
            </w:r>
            <w:r>
              <w:rPr>
                <w:rFonts w:hint="eastAsia" w:ascii="宋体" w:hAnsi="宋体" w:cs="宋体"/>
                <w:i w:val="0"/>
                <w:iCs w:val="0"/>
                <w:color w:val="auto"/>
                <w:kern w:val="0"/>
                <w:sz w:val="21"/>
                <w:szCs w:val="21"/>
                <w:highlight w:val="none"/>
                <w:u w:val="none"/>
                <w:lang w:val="en-US" w:eastAsia="zh-CN" w:bidi="ar"/>
              </w:rPr>
              <w:t>或QV</w:t>
            </w:r>
            <w:r>
              <w:rPr>
                <w:rFonts w:hint="eastAsia" w:ascii="宋体" w:hAnsi="宋体" w:eastAsia="宋体" w:cs="宋体"/>
                <w:i w:val="0"/>
                <w:iCs w:val="0"/>
                <w:color w:val="auto"/>
                <w:kern w:val="0"/>
                <w:sz w:val="21"/>
                <w:szCs w:val="21"/>
                <w:highlight w:val="none"/>
                <w:u w:val="none"/>
                <w:lang w:val="en-US" w:eastAsia="zh-CN" w:bidi="ar"/>
              </w:rPr>
              <w:t>检测</w:t>
            </w:r>
            <w:r>
              <w:rPr>
                <w:rFonts w:hint="eastAsia" w:ascii="宋体" w:hAnsi="宋体" w:cs="宋体"/>
                <w:i w:val="0"/>
                <w:iCs w:val="0"/>
                <w:color w:val="auto"/>
                <w:kern w:val="0"/>
                <w:sz w:val="21"/>
                <w:szCs w:val="21"/>
                <w:highlight w:val="none"/>
                <w:u w:val="none"/>
                <w:lang w:val="en-US" w:eastAsia="zh-CN" w:bidi="ar"/>
              </w:rPr>
              <w:t>，配套的管道封堵，</w:t>
            </w:r>
            <w:r>
              <w:rPr>
                <w:rFonts w:hint="eastAsia" w:ascii="宋体" w:hAnsi="宋体" w:eastAsia="宋体" w:cs="宋体"/>
                <w:i w:val="0"/>
                <w:iCs w:val="0"/>
                <w:color w:val="auto"/>
                <w:kern w:val="0"/>
                <w:sz w:val="21"/>
                <w:szCs w:val="21"/>
                <w:highlight w:val="none"/>
                <w:u w:val="none"/>
                <w:lang w:val="en-US" w:eastAsia="zh-CN" w:bidi="ar"/>
              </w:rPr>
              <w:t>巡视检查</w:t>
            </w:r>
            <w:r>
              <w:rPr>
                <w:rFonts w:hint="eastAsia" w:ascii="宋体" w:hAnsi="宋体" w:cs="宋体"/>
                <w:i w:val="0"/>
                <w:iCs w:val="0"/>
                <w:color w:val="auto"/>
                <w:kern w:val="0"/>
                <w:sz w:val="21"/>
                <w:szCs w:val="21"/>
                <w:highlight w:val="none"/>
                <w:u w:val="none"/>
                <w:lang w:val="en-US" w:eastAsia="zh-CN" w:bidi="ar"/>
              </w:rPr>
              <w:t>，调查</w:t>
            </w:r>
            <w:r>
              <w:rPr>
                <w:rFonts w:hint="eastAsia" w:ascii="宋体" w:hAnsi="宋体" w:eastAsia="宋体" w:cs="宋体"/>
                <w:i w:val="0"/>
                <w:iCs w:val="0"/>
                <w:color w:val="auto"/>
                <w:kern w:val="0"/>
                <w:sz w:val="21"/>
                <w:szCs w:val="21"/>
                <w:highlight w:val="none"/>
                <w:u w:val="none"/>
                <w:lang w:val="en-US" w:eastAsia="zh-CN" w:bidi="ar"/>
              </w:rPr>
              <w:t>应急服务等内容</w:t>
            </w:r>
            <w:r>
              <w:rPr>
                <w:rFonts w:hint="eastAsia" w:ascii="宋体" w:hAnsi="宋体" w:cs="宋体"/>
                <w:i w:val="0"/>
                <w:iCs w:val="0"/>
                <w:color w:val="auto"/>
                <w:kern w:val="0"/>
                <w:sz w:val="21"/>
                <w:szCs w:val="21"/>
                <w:highlight w:val="none"/>
                <w:u w:val="none"/>
                <w:lang w:val="en-US" w:eastAsia="zh-CN" w:bidi="ar"/>
              </w:rPr>
              <w:t>（包含人工、机械等）</w:t>
            </w:r>
            <w:r>
              <w:rPr>
                <w:rFonts w:hint="eastAsia" w:ascii="宋体" w:hAnsi="宋体" w:eastAsia="宋体" w:cs="宋体"/>
                <w:i w:val="0"/>
                <w:iCs w:val="0"/>
                <w:color w:val="auto"/>
                <w:kern w:val="0"/>
                <w:sz w:val="21"/>
                <w:szCs w:val="21"/>
                <w:highlight w:val="none"/>
                <w:u w:val="none"/>
                <w:lang w:val="en-US" w:eastAsia="zh-CN" w:bidi="ar"/>
              </w:rPr>
              <w:t>，以上内容需出具检测报告并提供施工前中后期图片影像资料）</w:t>
            </w:r>
          </w:p>
        </w:tc>
        <w:tc>
          <w:tcPr>
            <w:tcW w:w="1080" w:type="dxa"/>
            <w:vAlign w:val="center"/>
          </w:tcPr>
          <w:p w14:paraId="16BEFF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米</w:t>
            </w:r>
          </w:p>
        </w:tc>
        <w:tc>
          <w:tcPr>
            <w:tcW w:w="1185" w:type="dxa"/>
            <w:vAlign w:val="center"/>
          </w:tcPr>
          <w:p w14:paraId="598AED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18.9</w:t>
            </w:r>
          </w:p>
        </w:tc>
        <w:tc>
          <w:tcPr>
            <w:tcW w:w="1382" w:type="dxa"/>
            <w:vAlign w:val="center"/>
          </w:tcPr>
          <w:p w14:paraId="3E72C68A">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i w:val="0"/>
                <w:iCs w:val="0"/>
                <w:color w:val="auto"/>
                <w:kern w:val="0"/>
                <w:sz w:val="21"/>
                <w:szCs w:val="21"/>
                <w:highlight w:val="none"/>
                <w:u w:val="none"/>
                <w:lang w:val="en-US" w:eastAsia="zh-CN" w:bidi="ar"/>
              </w:rPr>
            </w:pPr>
          </w:p>
        </w:tc>
      </w:tr>
      <w:tr w14:paraId="0D3E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 w:type="dxa"/>
            <w:vAlign w:val="center"/>
          </w:tcPr>
          <w:p w14:paraId="0E8797E5">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val="0"/>
                <w:bCs w:val="0"/>
                <w:color w:val="auto"/>
                <w:sz w:val="21"/>
                <w:szCs w:val="21"/>
                <w:highlight w:val="none"/>
                <w:vertAlign w:val="baseline"/>
                <w:lang w:val="en-US" w:eastAsia="zh-CN"/>
              </w:rPr>
            </w:pPr>
          </w:p>
        </w:tc>
        <w:tc>
          <w:tcPr>
            <w:tcW w:w="4410" w:type="dxa"/>
            <w:vAlign w:val="center"/>
          </w:tcPr>
          <w:p w14:paraId="390A39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管道DN500疏通</w:t>
            </w:r>
          </w:p>
          <w:p w14:paraId="29A755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（包含管道清淤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冲洗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窨井、检查井及沉井清捞</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污泥</w:t>
            </w:r>
            <w:r>
              <w:rPr>
                <w:rFonts w:hint="eastAsia" w:ascii="宋体" w:hAnsi="宋体" w:cs="宋体"/>
                <w:i w:val="0"/>
                <w:iCs w:val="0"/>
                <w:color w:val="auto"/>
                <w:kern w:val="0"/>
                <w:sz w:val="21"/>
                <w:szCs w:val="21"/>
                <w:highlight w:val="none"/>
                <w:u w:val="none"/>
                <w:lang w:val="en-US" w:eastAsia="zh-CN" w:bidi="ar"/>
              </w:rPr>
              <w:t>处置，</w:t>
            </w:r>
            <w:r>
              <w:rPr>
                <w:rFonts w:hint="eastAsia" w:ascii="宋体" w:hAnsi="宋体" w:eastAsia="宋体" w:cs="宋体"/>
                <w:i w:val="0"/>
                <w:iCs w:val="0"/>
                <w:color w:val="auto"/>
                <w:kern w:val="0"/>
                <w:sz w:val="21"/>
                <w:szCs w:val="21"/>
                <w:highlight w:val="none"/>
                <w:u w:val="none"/>
                <w:lang w:val="en-US" w:eastAsia="zh-CN" w:bidi="ar"/>
              </w:rPr>
              <w:t>CCTV</w:t>
            </w:r>
            <w:r>
              <w:rPr>
                <w:rFonts w:hint="eastAsia" w:ascii="宋体" w:hAnsi="宋体" w:cs="宋体"/>
                <w:i w:val="0"/>
                <w:iCs w:val="0"/>
                <w:color w:val="auto"/>
                <w:kern w:val="0"/>
                <w:sz w:val="21"/>
                <w:szCs w:val="21"/>
                <w:highlight w:val="none"/>
                <w:u w:val="none"/>
                <w:lang w:val="en-US" w:eastAsia="zh-CN" w:bidi="ar"/>
              </w:rPr>
              <w:t>或QV</w:t>
            </w:r>
            <w:r>
              <w:rPr>
                <w:rFonts w:hint="eastAsia" w:ascii="宋体" w:hAnsi="宋体" w:eastAsia="宋体" w:cs="宋体"/>
                <w:i w:val="0"/>
                <w:iCs w:val="0"/>
                <w:color w:val="auto"/>
                <w:kern w:val="0"/>
                <w:sz w:val="21"/>
                <w:szCs w:val="21"/>
                <w:highlight w:val="none"/>
                <w:u w:val="none"/>
                <w:lang w:val="en-US" w:eastAsia="zh-CN" w:bidi="ar"/>
              </w:rPr>
              <w:t>检测</w:t>
            </w:r>
            <w:r>
              <w:rPr>
                <w:rFonts w:hint="eastAsia" w:ascii="宋体" w:hAnsi="宋体" w:cs="宋体"/>
                <w:i w:val="0"/>
                <w:iCs w:val="0"/>
                <w:color w:val="auto"/>
                <w:kern w:val="0"/>
                <w:sz w:val="21"/>
                <w:szCs w:val="21"/>
                <w:highlight w:val="none"/>
                <w:u w:val="none"/>
                <w:lang w:val="en-US" w:eastAsia="zh-CN" w:bidi="ar"/>
              </w:rPr>
              <w:t>，配套的管道封堵，</w:t>
            </w:r>
            <w:r>
              <w:rPr>
                <w:rFonts w:hint="eastAsia" w:ascii="宋体" w:hAnsi="宋体" w:eastAsia="宋体" w:cs="宋体"/>
                <w:i w:val="0"/>
                <w:iCs w:val="0"/>
                <w:color w:val="auto"/>
                <w:kern w:val="0"/>
                <w:sz w:val="21"/>
                <w:szCs w:val="21"/>
                <w:highlight w:val="none"/>
                <w:u w:val="none"/>
                <w:lang w:val="en-US" w:eastAsia="zh-CN" w:bidi="ar"/>
              </w:rPr>
              <w:t>巡视检查</w:t>
            </w:r>
            <w:r>
              <w:rPr>
                <w:rFonts w:hint="eastAsia" w:ascii="宋体" w:hAnsi="宋体" w:cs="宋体"/>
                <w:i w:val="0"/>
                <w:iCs w:val="0"/>
                <w:color w:val="auto"/>
                <w:kern w:val="0"/>
                <w:sz w:val="21"/>
                <w:szCs w:val="21"/>
                <w:highlight w:val="none"/>
                <w:u w:val="none"/>
                <w:lang w:val="en-US" w:eastAsia="zh-CN" w:bidi="ar"/>
              </w:rPr>
              <w:t>，调查</w:t>
            </w:r>
            <w:r>
              <w:rPr>
                <w:rFonts w:hint="eastAsia" w:ascii="宋体" w:hAnsi="宋体" w:eastAsia="宋体" w:cs="宋体"/>
                <w:i w:val="0"/>
                <w:iCs w:val="0"/>
                <w:color w:val="auto"/>
                <w:kern w:val="0"/>
                <w:sz w:val="21"/>
                <w:szCs w:val="21"/>
                <w:highlight w:val="none"/>
                <w:u w:val="none"/>
                <w:lang w:val="en-US" w:eastAsia="zh-CN" w:bidi="ar"/>
              </w:rPr>
              <w:t>应急服务等内容</w:t>
            </w:r>
            <w:r>
              <w:rPr>
                <w:rFonts w:hint="eastAsia" w:ascii="宋体" w:hAnsi="宋体" w:cs="宋体"/>
                <w:i w:val="0"/>
                <w:iCs w:val="0"/>
                <w:color w:val="auto"/>
                <w:kern w:val="0"/>
                <w:sz w:val="21"/>
                <w:szCs w:val="21"/>
                <w:highlight w:val="none"/>
                <w:u w:val="none"/>
                <w:lang w:val="en-US" w:eastAsia="zh-CN" w:bidi="ar"/>
              </w:rPr>
              <w:t>（包含人工、机械等）</w:t>
            </w:r>
            <w:r>
              <w:rPr>
                <w:rFonts w:hint="eastAsia" w:ascii="宋体" w:hAnsi="宋体" w:eastAsia="宋体" w:cs="宋体"/>
                <w:i w:val="0"/>
                <w:iCs w:val="0"/>
                <w:color w:val="auto"/>
                <w:kern w:val="0"/>
                <w:sz w:val="21"/>
                <w:szCs w:val="21"/>
                <w:highlight w:val="none"/>
                <w:u w:val="none"/>
                <w:lang w:val="en-US" w:eastAsia="zh-CN" w:bidi="ar"/>
              </w:rPr>
              <w:t>，以上内容需出具检测报告并提供施工前中后期图片影像资料）</w:t>
            </w:r>
          </w:p>
        </w:tc>
        <w:tc>
          <w:tcPr>
            <w:tcW w:w="1080" w:type="dxa"/>
            <w:vAlign w:val="center"/>
          </w:tcPr>
          <w:p w14:paraId="55E184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元/</w:t>
            </w:r>
            <w:r>
              <w:rPr>
                <w:rFonts w:hint="eastAsia" w:ascii="宋体" w:hAnsi="宋体" w:cs="宋体"/>
                <w:b w:val="0"/>
                <w:bCs w:val="0"/>
                <w:color w:val="auto"/>
                <w:sz w:val="21"/>
                <w:szCs w:val="21"/>
                <w:highlight w:val="none"/>
                <w:vertAlign w:val="baseline"/>
                <w:lang w:eastAsia="zh-CN"/>
              </w:rPr>
              <w:t>米</w:t>
            </w:r>
          </w:p>
        </w:tc>
        <w:tc>
          <w:tcPr>
            <w:tcW w:w="1185" w:type="dxa"/>
            <w:vAlign w:val="center"/>
          </w:tcPr>
          <w:p w14:paraId="20EFDB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19.4</w:t>
            </w:r>
          </w:p>
        </w:tc>
        <w:tc>
          <w:tcPr>
            <w:tcW w:w="1382" w:type="dxa"/>
            <w:vAlign w:val="center"/>
          </w:tcPr>
          <w:p w14:paraId="0C97B6F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i w:val="0"/>
                <w:iCs w:val="0"/>
                <w:color w:val="auto"/>
                <w:kern w:val="0"/>
                <w:sz w:val="21"/>
                <w:szCs w:val="21"/>
                <w:highlight w:val="none"/>
                <w:u w:val="none"/>
                <w:lang w:val="en-US" w:eastAsia="zh-CN" w:bidi="ar"/>
              </w:rPr>
            </w:pPr>
          </w:p>
        </w:tc>
      </w:tr>
      <w:tr w14:paraId="2EA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518C69E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00E575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30*40复合落水井盖更换（含人材机）</w:t>
            </w:r>
          </w:p>
        </w:tc>
        <w:tc>
          <w:tcPr>
            <w:tcW w:w="1080" w:type="dxa"/>
            <w:vAlign w:val="center"/>
          </w:tcPr>
          <w:p w14:paraId="368D5F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5A668B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232</w:t>
            </w:r>
          </w:p>
        </w:tc>
        <w:tc>
          <w:tcPr>
            <w:tcW w:w="1382" w:type="dxa"/>
            <w:vAlign w:val="center"/>
          </w:tcPr>
          <w:p w14:paraId="650E1F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AA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72D6E1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4436C5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40*50复合落水井盖更换（含人材机）</w:t>
            </w:r>
          </w:p>
        </w:tc>
        <w:tc>
          <w:tcPr>
            <w:tcW w:w="1080" w:type="dxa"/>
            <w:vAlign w:val="center"/>
          </w:tcPr>
          <w:p w14:paraId="652B9E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618626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w:t>
            </w:r>
          </w:p>
        </w:tc>
        <w:tc>
          <w:tcPr>
            <w:tcW w:w="1382" w:type="dxa"/>
            <w:vAlign w:val="center"/>
          </w:tcPr>
          <w:p w14:paraId="566288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92E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3CCA3F9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2DB78C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30*40钢纤维落水井盖更换（含人材机）</w:t>
            </w:r>
          </w:p>
        </w:tc>
        <w:tc>
          <w:tcPr>
            <w:tcW w:w="1080" w:type="dxa"/>
            <w:vAlign w:val="center"/>
          </w:tcPr>
          <w:p w14:paraId="589CEA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7C5BA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w:t>
            </w:r>
          </w:p>
        </w:tc>
        <w:tc>
          <w:tcPr>
            <w:tcW w:w="1382" w:type="dxa"/>
            <w:vAlign w:val="center"/>
          </w:tcPr>
          <w:p w14:paraId="501C03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7E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DF1BEB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70E551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40*50钢纤维落水井盖更换（含人材机）</w:t>
            </w:r>
          </w:p>
        </w:tc>
        <w:tc>
          <w:tcPr>
            <w:tcW w:w="1080" w:type="dxa"/>
            <w:vAlign w:val="center"/>
          </w:tcPr>
          <w:p w14:paraId="7E1B77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6B7FBB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w:t>
            </w:r>
          </w:p>
        </w:tc>
        <w:tc>
          <w:tcPr>
            <w:tcW w:w="1382" w:type="dxa"/>
            <w:vAlign w:val="center"/>
          </w:tcPr>
          <w:p w14:paraId="5DDDF2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57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15C7E61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CFD03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500复合检查井盖更换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4B4329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75136F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273</w:t>
            </w:r>
          </w:p>
        </w:tc>
        <w:tc>
          <w:tcPr>
            <w:tcW w:w="1382" w:type="dxa"/>
            <w:vAlign w:val="center"/>
          </w:tcPr>
          <w:p w14:paraId="35E79E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C0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0C2AF85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2A760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600复合检查井盖更换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6F916A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7710E7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w:t>
            </w:r>
          </w:p>
        </w:tc>
        <w:tc>
          <w:tcPr>
            <w:tcW w:w="1382" w:type="dxa"/>
            <w:vAlign w:val="center"/>
          </w:tcPr>
          <w:p w14:paraId="0145AB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497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32E3B80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748161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700复合检查井盖更换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71E0A9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0453B6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319</w:t>
            </w:r>
          </w:p>
        </w:tc>
        <w:tc>
          <w:tcPr>
            <w:tcW w:w="1382" w:type="dxa"/>
            <w:vAlign w:val="center"/>
          </w:tcPr>
          <w:p w14:paraId="76C75E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82B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5CB1C85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41470B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500钢纤维检查井盖更换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5991DD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2F1C54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328 </w:t>
            </w:r>
          </w:p>
        </w:tc>
        <w:tc>
          <w:tcPr>
            <w:tcW w:w="1382" w:type="dxa"/>
            <w:vAlign w:val="center"/>
          </w:tcPr>
          <w:p w14:paraId="372EE9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18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687AD35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2F5E52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600钢纤维检查井盖更换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0B9ED4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223307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356</w:t>
            </w:r>
          </w:p>
        </w:tc>
        <w:tc>
          <w:tcPr>
            <w:tcW w:w="1382" w:type="dxa"/>
            <w:vAlign w:val="center"/>
          </w:tcPr>
          <w:p w14:paraId="6A73AA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9A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7A0358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F52B9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700钢纤维检查井盖更换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1A5BEC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元/个</w:t>
            </w:r>
          </w:p>
        </w:tc>
        <w:tc>
          <w:tcPr>
            <w:tcW w:w="1185" w:type="dxa"/>
            <w:vAlign w:val="center"/>
          </w:tcPr>
          <w:p w14:paraId="3FC0E5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383</w:t>
            </w:r>
          </w:p>
        </w:tc>
        <w:tc>
          <w:tcPr>
            <w:tcW w:w="1382" w:type="dxa"/>
            <w:vAlign w:val="center"/>
          </w:tcPr>
          <w:p w14:paraId="295E13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6C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0B64E5E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06BFA9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30*40复合落水井盖及井座更换（含人材机）</w:t>
            </w:r>
          </w:p>
        </w:tc>
        <w:tc>
          <w:tcPr>
            <w:tcW w:w="1080" w:type="dxa"/>
            <w:vAlign w:val="center"/>
          </w:tcPr>
          <w:p w14:paraId="295E88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1AF318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433</w:t>
            </w:r>
          </w:p>
        </w:tc>
        <w:tc>
          <w:tcPr>
            <w:tcW w:w="1382" w:type="dxa"/>
            <w:vAlign w:val="center"/>
          </w:tcPr>
          <w:p w14:paraId="7F11A6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AF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55D3B1C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762E31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40*50复合落水井盖及井座更换（含人材机）</w:t>
            </w:r>
          </w:p>
        </w:tc>
        <w:tc>
          <w:tcPr>
            <w:tcW w:w="1080" w:type="dxa"/>
            <w:vAlign w:val="center"/>
          </w:tcPr>
          <w:p w14:paraId="7A098C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06BD2E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483</w:t>
            </w:r>
          </w:p>
        </w:tc>
        <w:tc>
          <w:tcPr>
            <w:tcW w:w="1382" w:type="dxa"/>
            <w:vAlign w:val="center"/>
          </w:tcPr>
          <w:p w14:paraId="4549B9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D81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89057E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26E52D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30*40钢纤维落水井盖及井座更换（含人材机）</w:t>
            </w:r>
          </w:p>
        </w:tc>
        <w:tc>
          <w:tcPr>
            <w:tcW w:w="1080" w:type="dxa"/>
            <w:vAlign w:val="center"/>
          </w:tcPr>
          <w:p w14:paraId="29E12E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65B28E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510 </w:t>
            </w:r>
          </w:p>
        </w:tc>
        <w:tc>
          <w:tcPr>
            <w:tcW w:w="1382" w:type="dxa"/>
            <w:vAlign w:val="center"/>
          </w:tcPr>
          <w:p w14:paraId="3719AE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10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390691A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35C1F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40*50钢纤维落水井盖及井座更换（含人材机）</w:t>
            </w:r>
          </w:p>
        </w:tc>
        <w:tc>
          <w:tcPr>
            <w:tcW w:w="1080" w:type="dxa"/>
            <w:vAlign w:val="center"/>
          </w:tcPr>
          <w:p w14:paraId="584043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3BE7AA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520 </w:t>
            </w:r>
          </w:p>
        </w:tc>
        <w:tc>
          <w:tcPr>
            <w:tcW w:w="1382" w:type="dxa"/>
            <w:vAlign w:val="center"/>
          </w:tcPr>
          <w:p w14:paraId="3BADF4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D8F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2FE1441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1FC78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500复合检查井盖及井座更换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0166F2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6A5DFD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502 </w:t>
            </w:r>
          </w:p>
        </w:tc>
        <w:tc>
          <w:tcPr>
            <w:tcW w:w="1382" w:type="dxa"/>
            <w:vAlign w:val="center"/>
          </w:tcPr>
          <w:p w14:paraId="034D96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7FB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CF15C70">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28A732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600复合检查井盖及井座更换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2341BF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4D13F8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529</w:t>
            </w:r>
          </w:p>
        </w:tc>
        <w:tc>
          <w:tcPr>
            <w:tcW w:w="1382" w:type="dxa"/>
            <w:vAlign w:val="center"/>
          </w:tcPr>
          <w:p w14:paraId="4CFB37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75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722F6E1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07D91F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700复合检查井盖及井座更换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317CFB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2D3B59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548 </w:t>
            </w:r>
          </w:p>
        </w:tc>
        <w:tc>
          <w:tcPr>
            <w:tcW w:w="1382" w:type="dxa"/>
            <w:vAlign w:val="center"/>
          </w:tcPr>
          <w:p w14:paraId="11D6ED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49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0911362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049819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500钢纤维检查井盖及井座更换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774932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555851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557</w:t>
            </w:r>
          </w:p>
        </w:tc>
        <w:tc>
          <w:tcPr>
            <w:tcW w:w="1382" w:type="dxa"/>
            <w:vAlign w:val="center"/>
          </w:tcPr>
          <w:p w14:paraId="06D68E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0CF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4A78F8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3CE0EB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600钢纤维检查井盖及井座更换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08ABBE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76D8EA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584 </w:t>
            </w:r>
          </w:p>
        </w:tc>
        <w:tc>
          <w:tcPr>
            <w:tcW w:w="1382" w:type="dxa"/>
            <w:vAlign w:val="center"/>
          </w:tcPr>
          <w:p w14:paraId="21ABFB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B6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3" w:type="dxa"/>
            <w:vAlign w:val="center"/>
          </w:tcPr>
          <w:p w14:paraId="47A6BBDB">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4541F8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Ф</w:t>
            </w:r>
            <w:r>
              <w:rPr>
                <w:rFonts w:hint="default" w:ascii="宋体" w:hAnsi="宋体" w:eastAsia="宋体" w:cs="宋体"/>
                <w:i w:val="0"/>
                <w:iCs w:val="0"/>
                <w:color w:val="auto"/>
                <w:kern w:val="0"/>
                <w:sz w:val="21"/>
                <w:szCs w:val="21"/>
                <w:highlight w:val="none"/>
                <w:u w:val="none"/>
                <w:lang w:val="en-US" w:eastAsia="zh-CN" w:bidi="ar"/>
              </w:rPr>
              <w:t>700钢纤维检查井盖及井座更换</w:t>
            </w:r>
            <w:r>
              <w:rPr>
                <w:rFonts w:hint="eastAsia" w:ascii="宋体" w:hAnsi="宋体" w:eastAsia="宋体" w:cs="宋体"/>
                <w:i w:val="0"/>
                <w:iCs w:val="0"/>
                <w:color w:val="auto"/>
                <w:kern w:val="0"/>
                <w:sz w:val="21"/>
                <w:szCs w:val="21"/>
                <w:highlight w:val="none"/>
                <w:u w:val="none"/>
                <w:lang w:val="en-US" w:eastAsia="zh-CN" w:bidi="ar"/>
              </w:rPr>
              <w:t>（含人材机）</w:t>
            </w:r>
          </w:p>
        </w:tc>
        <w:tc>
          <w:tcPr>
            <w:tcW w:w="1080" w:type="dxa"/>
            <w:vAlign w:val="center"/>
          </w:tcPr>
          <w:p w14:paraId="326774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元/套</w:t>
            </w:r>
          </w:p>
        </w:tc>
        <w:tc>
          <w:tcPr>
            <w:tcW w:w="1185" w:type="dxa"/>
            <w:vAlign w:val="center"/>
          </w:tcPr>
          <w:p w14:paraId="5116BE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611 </w:t>
            </w:r>
          </w:p>
        </w:tc>
        <w:tc>
          <w:tcPr>
            <w:tcW w:w="1382" w:type="dxa"/>
            <w:vAlign w:val="center"/>
          </w:tcPr>
          <w:p w14:paraId="6D2EF3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FE7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53" w:type="dxa"/>
            <w:vAlign w:val="center"/>
          </w:tcPr>
          <w:p w14:paraId="50D5642D">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4410" w:type="dxa"/>
            <w:vAlign w:val="center"/>
          </w:tcPr>
          <w:p w14:paraId="072A30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蜘蛛人</w:t>
            </w:r>
          </w:p>
        </w:tc>
        <w:tc>
          <w:tcPr>
            <w:tcW w:w="1080" w:type="dxa"/>
            <w:vAlign w:val="center"/>
          </w:tcPr>
          <w:p w14:paraId="21CB29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元</w:t>
            </w:r>
            <w:r>
              <w:rPr>
                <w:rFonts w:hint="eastAsia" w:ascii="宋体" w:hAnsi="宋体" w:cs="宋体"/>
                <w:i w:val="0"/>
                <w:iCs w:val="0"/>
                <w:color w:val="auto"/>
                <w:kern w:val="0"/>
                <w:sz w:val="21"/>
                <w:szCs w:val="21"/>
                <w:highlight w:val="none"/>
                <w:u w:val="none"/>
                <w:lang w:val="en-US" w:eastAsia="zh-CN" w:bidi="ar"/>
              </w:rPr>
              <w:t>/工日</w:t>
            </w:r>
          </w:p>
        </w:tc>
        <w:tc>
          <w:tcPr>
            <w:tcW w:w="1185" w:type="dxa"/>
            <w:vAlign w:val="center"/>
          </w:tcPr>
          <w:p w14:paraId="2C32B2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400</w:t>
            </w:r>
          </w:p>
        </w:tc>
        <w:tc>
          <w:tcPr>
            <w:tcW w:w="1382" w:type="dxa"/>
            <w:vAlign w:val="center"/>
          </w:tcPr>
          <w:p w14:paraId="2E32F3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不足4小时按半天计量，超过4小时不足8小时的按全天计</w:t>
            </w:r>
          </w:p>
        </w:tc>
      </w:tr>
    </w:tbl>
    <w:p w14:paraId="16C43249">
      <w:pPr>
        <w:keepNext w:val="0"/>
        <w:keepLines w:val="0"/>
        <w:pageBreakBefore w:val="0"/>
        <w:widowControl w:val="0"/>
        <w:kinsoku/>
        <w:wordWrap/>
        <w:overflowPunct/>
        <w:topLinePunct w:val="0"/>
        <w:autoSpaceDE/>
        <w:autoSpaceDN/>
        <w:bidi w:val="0"/>
        <w:adjustRightInd/>
        <w:snapToGrid w:val="0"/>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注：</w:t>
      </w:r>
    </w:p>
    <w:p w14:paraId="0A259A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1.本项目采用结算率的方式进行报价，</w:t>
      </w:r>
      <w:r>
        <w:rPr>
          <w:rFonts w:hint="eastAsia" w:ascii="宋体" w:hAnsi="宋体" w:eastAsia="宋体" w:cs="宋体"/>
          <w:sz w:val="24"/>
          <w:szCs w:val="24"/>
        </w:rPr>
        <w:t>结算率一次性包干，最终各项明细的结算单价=</w:t>
      </w:r>
      <w:r>
        <w:rPr>
          <w:rFonts w:hint="eastAsia" w:ascii="宋体" w:hAnsi="宋体" w:eastAsia="宋体" w:cs="宋体"/>
          <w:sz w:val="24"/>
          <w:szCs w:val="24"/>
          <w:lang w:val="en-US" w:eastAsia="zh-CN"/>
        </w:rPr>
        <w:t>采购清单单价表</w:t>
      </w:r>
      <w:r>
        <w:rPr>
          <w:rFonts w:hint="eastAsia" w:ascii="宋体" w:hAnsi="宋体" w:eastAsia="宋体" w:cs="宋体"/>
          <w:sz w:val="24"/>
          <w:szCs w:val="24"/>
        </w:rPr>
        <w:t>中各个项目明细的</w:t>
      </w:r>
      <w:r>
        <w:rPr>
          <w:rFonts w:hint="eastAsia" w:ascii="宋体" w:hAnsi="宋体" w:eastAsia="宋体" w:cs="宋体"/>
          <w:sz w:val="24"/>
          <w:szCs w:val="24"/>
          <w:lang w:eastAsia="zh-CN"/>
        </w:rPr>
        <w:t>综合单价控制价</w:t>
      </w:r>
      <w:r>
        <w:rPr>
          <w:rFonts w:hint="eastAsia" w:ascii="宋体" w:hAnsi="宋体" w:eastAsia="宋体" w:cs="宋体"/>
          <w:sz w:val="24"/>
          <w:szCs w:val="24"/>
        </w:rPr>
        <w:t>*结算率，最终各项明细的结算单价一次性包干。</w:t>
      </w:r>
    </w:p>
    <w:p w14:paraId="5E284E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结算单价为全费用综合单价，包含</w:t>
      </w:r>
      <w:r>
        <w:rPr>
          <w:rFonts w:hint="eastAsia" w:ascii="宋体" w:hAnsi="宋体" w:eastAsia="宋体" w:cs="宋体"/>
          <w:sz w:val="24"/>
          <w:szCs w:val="24"/>
          <w:lang w:val="en-US" w:eastAsia="zh-CN"/>
        </w:rPr>
        <w:t>人材机、</w:t>
      </w:r>
      <w:r>
        <w:rPr>
          <w:rFonts w:hint="eastAsia" w:ascii="宋体" w:hAnsi="宋体" w:eastAsia="宋体" w:cs="宋体"/>
          <w:sz w:val="24"/>
          <w:szCs w:val="24"/>
        </w:rPr>
        <w:t>管理费、风险、规费、利润、税金等全部费用，如产生其他未约定的费用，</w:t>
      </w:r>
      <w:r>
        <w:rPr>
          <w:rFonts w:hint="eastAsia" w:ascii="宋体" w:hAnsi="宋体" w:eastAsia="宋体" w:cs="宋体"/>
          <w:sz w:val="24"/>
          <w:szCs w:val="24"/>
          <w:lang w:val="en-US" w:eastAsia="zh-CN"/>
        </w:rPr>
        <w:t>甲方</w:t>
      </w:r>
      <w:r>
        <w:rPr>
          <w:rFonts w:hint="eastAsia" w:ascii="宋体" w:hAnsi="宋体" w:eastAsia="宋体" w:cs="宋体"/>
          <w:sz w:val="24"/>
          <w:szCs w:val="24"/>
        </w:rPr>
        <w:t>不再另行支付。</w:t>
      </w:r>
    </w:p>
    <w:p w14:paraId="0B89A0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b/>
          <w:sz w:val="24"/>
          <w:lang w:eastAsia="zh-CN"/>
        </w:rPr>
      </w:pPr>
      <w:r>
        <w:rPr>
          <w:rFonts w:hint="eastAsia" w:ascii="宋体" w:hAnsi="宋体" w:eastAsia="宋体" w:cs="宋体"/>
          <w:sz w:val="24"/>
          <w:szCs w:val="24"/>
          <w:lang w:val="en-US" w:eastAsia="zh-CN"/>
        </w:rPr>
        <w:t>3.管道如需开挖修复的，须经甲方同意后方可实施，工程量按实结算，由</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套用</w:t>
      </w:r>
      <w:r>
        <w:rPr>
          <w:rFonts w:hint="eastAsia" w:ascii="宋体" w:hAnsi="宋体" w:eastAsia="宋体" w:cs="宋体"/>
          <w:sz w:val="24"/>
          <w:szCs w:val="24"/>
        </w:rPr>
        <w:t>《浙江省市</w:t>
      </w:r>
      <w:r>
        <w:rPr>
          <w:rFonts w:hint="eastAsia" w:ascii="宋体" w:hAnsi="宋体" w:eastAsia="宋体" w:cs="宋体"/>
          <w:sz w:val="24"/>
          <w:szCs w:val="24"/>
          <w:highlight w:val="none"/>
        </w:rPr>
        <w:t>政工程预算定额》（201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材料价格按施工当期信息价及相关规定</w:t>
      </w:r>
      <w:r>
        <w:rPr>
          <w:rFonts w:hint="eastAsia" w:ascii="宋体" w:hAnsi="宋体" w:eastAsia="宋体" w:cs="宋体"/>
          <w:sz w:val="24"/>
          <w:szCs w:val="24"/>
          <w:highlight w:val="none"/>
          <w:lang w:eastAsia="zh-CN"/>
        </w:rPr>
        <w:t>进行计算</w:t>
      </w:r>
      <w:r>
        <w:rPr>
          <w:rFonts w:hint="eastAsia" w:ascii="宋体" w:hAnsi="宋体" w:cs="宋体"/>
          <w:sz w:val="24"/>
          <w:szCs w:val="24"/>
          <w:highlight w:val="none"/>
          <w:lang w:val="en-US" w:eastAsia="zh-CN"/>
        </w:rPr>
        <w:t>并执行结算率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甲方审核后结算。若无法套用定额的或无信息价的，按市场调查价格经甲方签证后进行结算。</w:t>
      </w:r>
    </w:p>
    <w:p w14:paraId="1F23C4AF">
      <w:pPr>
        <w:keepNext w:val="0"/>
        <w:keepLines w:val="0"/>
        <w:pageBreakBefore w:val="0"/>
        <w:kinsoku/>
        <w:wordWrap/>
        <w:overflowPunct/>
        <w:topLinePunct w:val="0"/>
        <w:bidi w:val="0"/>
        <w:snapToGrid w:val="0"/>
        <w:spacing w:line="360" w:lineRule="auto"/>
        <w:textAlignment w:val="auto"/>
        <w:rPr>
          <w:rFonts w:ascii="宋体"/>
          <w:b/>
          <w:sz w:val="24"/>
        </w:rPr>
      </w:pPr>
      <w:r>
        <w:rPr>
          <w:rFonts w:ascii="宋体"/>
          <w:b/>
          <w:sz w:val="24"/>
        </w:rPr>
        <w:t>三、技术资料</w:t>
      </w:r>
    </w:p>
    <w:p w14:paraId="655620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sz w:val="24"/>
        </w:rPr>
      </w:pPr>
      <w:r>
        <w:rPr>
          <w:rFonts w:ascii="宋体"/>
          <w:sz w:val="24"/>
        </w:rPr>
        <w:t>1</w:t>
      </w:r>
      <w:r>
        <w:rPr>
          <w:rFonts w:hint="eastAsia" w:ascii="宋体"/>
          <w:sz w:val="24"/>
        </w:rPr>
        <w:t>.</w:t>
      </w:r>
      <w:r>
        <w:rPr>
          <w:rFonts w:ascii="宋体"/>
          <w:sz w:val="24"/>
        </w:rPr>
        <w:t>乙方应按招标文件规定的时间向甲方提供有关技术资料。</w:t>
      </w:r>
    </w:p>
    <w:p w14:paraId="3EF745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sz w:val="24"/>
        </w:rPr>
      </w:pPr>
      <w:r>
        <w:rPr>
          <w:rFonts w:ascii="宋体"/>
          <w:sz w:val="24"/>
        </w:rPr>
        <w:t>2</w:t>
      </w:r>
      <w:r>
        <w:rPr>
          <w:rFonts w:hint="eastAsia" w:ascii="宋体"/>
          <w:sz w:val="24"/>
        </w:rPr>
        <w:t>.</w:t>
      </w:r>
      <w:r>
        <w:rPr>
          <w:rFonts w:ascii="宋体"/>
          <w:sz w:val="24"/>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848288D">
      <w:pPr>
        <w:keepNext w:val="0"/>
        <w:keepLines w:val="0"/>
        <w:pageBreakBefore w:val="0"/>
        <w:kinsoku/>
        <w:wordWrap/>
        <w:overflowPunct/>
        <w:topLinePunct w:val="0"/>
        <w:bidi w:val="0"/>
        <w:snapToGrid w:val="0"/>
        <w:spacing w:line="360" w:lineRule="auto"/>
        <w:ind w:left="412" w:hanging="412" w:hangingChars="171"/>
        <w:textAlignment w:val="auto"/>
        <w:rPr>
          <w:rFonts w:ascii="宋体"/>
          <w:b/>
          <w:sz w:val="24"/>
        </w:rPr>
      </w:pPr>
      <w:r>
        <w:rPr>
          <w:rFonts w:ascii="宋体"/>
          <w:b/>
          <w:sz w:val="24"/>
        </w:rPr>
        <w:t>四、知识产权</w:t>
      </w:r>
    </w:p>
    <w:p w14:paraId="7E0D4D4D">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sz w:val="24"/>
        </w:rPr>
      </w:pPr>
      <w:r>
        <w:rPr>
          <w:rFonts w:hint="eastAsia" w:ascii="宋体"/>
          <w:sz w:val="24"/>
        </w:rPr>
        <w:t>乙方应保证提供服务过程中不会侵犯任何第三方的知识产权和其他权利，若侵权，应承担甲方因此造成的所有损失。</w:t>
      </w:r>
    </w:p>
    <w:p w14:paraId="7738E608">
      <w:pPr>
        <w:keepNext w:val="0"/>
        <w:keepLines w:val="0"/>
        <w:pageBreakBefore w:val="0"/>
        <w:tabs>
          <w:tab w:val="left" w:pos="1418"/>
        </w:tabs>
        <w:kinsoku/>
        <w:wordWrap/>
        <w:overflowPunct/>
        <w:topLinePunct w:val="0"/>
        <w:autoSpaceDE w:val="0"/>
        <w:autoSpaceDN w:val="0"/>
        <w:bidi w:val="0"/>
        <w:adjustRightInd w:val="0"/>
        <w:snapToGrid w:val="0"/>
        <w:spacing w:line="360" w:lineRule="auto"/>
        <w:textAlignment w:val="auto"/>
        <w:rPr>
          <w:b/>
          <w:sz w:val="24"/>
        </w:rPr>
      </w:pPr>
      <w:r>
        <w:rPr>
          <w:rFonts w:hint="eastAsia"/>
          <w:b/>
          <w:sz w:val="24"/>
        </w:rPr>
        <w:t>五</w:t>
      </w:r>
      <w:r>
        <w:rPr>
          <w:b/>
          <w:sz w:val="24"/>
        </w:rPr>
        <w:t>、履约保证金</w:t>
      </w:r>
      <w:r>
        <w:rPr>
          <w:rFonts w:hint="eastAsia"/>
          <w:b/>
          <w:sz w:val="24"/>
        </w:rPr>
        <w:t xml:space="preserve">: </w:t>
      </w:r>
    </w:p>
    <w:p w14:paraId="7EDC3CD9">
      <w:pPr>
        <w:keepNext w:val="0"/>
        <w:keepLines w:val="0"/>
        <w:pageBreakBefore w:val="0"/>
        <w:kinsoku/>
        <w:wordWrap/>
        <w:overflowPunct/>
        <w:topLinePunct w:val="0"/>
        <w:bidi w:val="0"/>
        <w:snapToGrid w:val="0"/>
        <w:spacing w:line="360" w:lineRule="auto"/>
        <w:ind w:left="410" w:hanging="410" w:hangingChars="170"/>
        <w:textAlignment w:val="auto"/>
        <w:rPr>
          <w:rFonts w:ascii="宋体"/>
          <w:b/>
          <w:sz w:val="24"/>
        </w:rPr>
      </w:pPr>
      <w:r>
        <w:rPr>
          <w:rFonts w:hint="eastAsia" w:ascii="宋体"/>
          <w:b/>
          <w:sz w:val="24"/>
        </w:rPr>
        <w:t>六、转包或分包</w:t>
      </w:r>
    </w:p>
    <w:p w14:paraId="19E52E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sz w:val="24"/>
        </w:rPr>
      </w:pPr>
      <w:r>
        <w:rPr>
          <w:rFonts w:hint="eastAsia" w:ascii="宋体"/>
          <w:sz w:val="24"/>
        </w:rPr>
        <w:t>1.本合同范围的服务，应由乙方直接提供服务，不得转让他人提供服务；</w:t>
      </w:r>
    </w:p>
    <w:p w14:paraId="06BBE08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sz w:val="24"/>
        </w:rPr>
      </w:pPr>
      <w:r>
        <w:rPr>
          <w:rFonts w:hint="eastAsia" w:ascii="宋体"/>
          <w:sz w:val="24"/>
        </w:rPr>
        <w:t>2.除非得到甲方的书面同意，乙方不得将本合同范围的服务全部或部分分包给他人供应；</w:t>
      </w:r>
    </w:p>
    <w:p w14:paraId="505C00C2">
      <w:pPr>
        <w:keepNext w:val="0"/>
        <w:keepLines w:val="0"/>
        <w:pageBreakBefore w:val="0"/>
        <w:widowControl w:val="0"/>
        <w:kinsoku/>
        <w:wordWrap/>
        <w:overflowPunct/>
        <w:topLinePunct w:val="0"/>
        <w:autoSpaceDE/>
        <w:autoSpaceDN/>
        <w:bidi w:val="0"/>
        <w:adjustRightInd/>
        <w:snapToGrid w:val="0"/>
        <w:spacing w:line="360" w:lineRule="auto"/>
        <w:ind w:right="-483" w:rightChars="-230" w:firstLine="480" w:firstLineChars="200"/>
        <w:textAlignment w:val="auto"/>
        <w:rPr>
          <w:rFonts w:ascii="宋体"/>
          <w:sz w:val="24"/>
        </w:rPr>
      </w:pPr>
      <w:r>
        <w:rPr>
          <w:rFonts w:hint="eastAsia" w:ascii="宋体"/>
          <w:sz w:val="24"/>
        </w:rPr>
        <w:t>3.如有转让和未经甲方同意的分包行为，甲方有权解除合同，追究乙方的违约责任。</w:t>
      </w:r>
    </w:p>
    <w:p w14:paraId="3F7F2F75">
      <w:pPr>
        <w:keepNext w:val="0"/>
        <w:keepLines w:val="0"/>
        <w:pageBreakBefore w:val="0"/>
        <w:kinsoku/>
        <w:wordWrap/>
        <w:overflowPunct/>
        <w:topLinePunct w:val="0"/>
        <w:bidi w:val="0"/>
        <w:snapToGrid w:val="0"/>
        <w:spacing w:line="360" w:lineRule="auto"/>
        <w:textAlignment w:val="auto"/>
        <w:rPr>
          <w:rFonts w:ascii="宋体"/>
          <w:b/>
          <w:sz w:val="24"/>
        </w:rPr>
      </w:pPr>
      <w:r>
        <w:rPr>
          <w:rFonts w:hint="eastAsia" w:ascii="宋体"/>
          <w:b/>
          <w:sz w:val="24"/>
        </w:rPr>
        <w:t>七、合同</w:t>
      </w:r>
      <w:r>
        <w:rPr>
          <w:rFonts w:hint="eastAsia" w:ascii="宋体"/>
          <w:b/>
          <w:sz w:val="24"/>
          <w:lang w:eastAsia="zh-CN"/>
        </w:rPr>
        <w:t>期限、工期</w:t>
      </w:r>
      <w:r>
        <w:rPr>
          <w:rFonts w:hint="eastAsia" w:ascii="宋体"/>
          <w:b/>
          <w:sz w:val="24"/>
        </w:rPr>
        <w:t>、履行地点</w:t>
      </w:r>
    </w:p>
    <w:p w14:paraId="6661621E">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sz w:val="24"/>
        </w:rPr>
      </w:pPr>
      <w:r>
        <w:rPr>
          <w:rFonts w:hint="eastAsia" w:ascii="宋体"/>
          <w:sz w:val="24"/>
        </w:rPr>
        <w:t>1.</w:t>
      </w:r>
      <w:r>
        <w:rPr>
          <w:rFonts w:hint="eastAsia" w:ascii="宋体"/>
          <w:sz w:val="24"/>
          <w:lang w:eastAsia="zh-CN"/>
        </w:rPr>
        <w:t>合同期限</w:t>
      </w:r>
      <w:r>
        <w:rPr>
          <w:rFonts w:hint="eastAsia" w:ascii="宋体"/>
          <w:sz w:val="24"/>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年   月  日至     年   月   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若</w:t>
      </w:r>
      <w:r>
        <w:rPr>
          <w:rFonts w:hint="eastAsia" w:ascii="宋体" w:hAnsi="宋体" w:eastAsia="宋体" w:cs="宋体"/>
          <w:sz w:val="24"/>
          <w:szCs w:val="24"/>
          <w:highlight w:val="none"/>
        </w:rPr>
        <w:t>本项目履行过程中</w:t>
      </w:r>
      <w:r>
        <w:rPr>
          <w:rFonts w:hint="eastAsia" w:ascii="宋体" w:hAnsi="宋体" w:eastAsia="宋体" w:cs="宋体"/>
          <w:sz w:val="24"/>
          <w:szCs w:val="24"/>
          <w:highlight w:val="none"/>
          <w:lang w:eastAsia="zh-CN"/>
        </w:rPr>
        <w:t>费用金额达到</w:t>
      </w:r>
      <w:r>
        <w:rPr>
          <w:rFonts w:hint="eastAsia" w:ascii="宋体" w:hAnsi="宋体" w:eastAsia="宋体" w:cs="宋体"/>
          <w:sz w:val="24"/>
          <w:szCs w:val="24"/>
          <w:highlight w:val="none"/>
          <w:lang w:val="en-US" w:eastAsia="zh-CN"/>
        </w:rPr>
        <w:t>100万元时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则本</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提前</w:t>
      </w:r>
      <w:r>
        <w:rPr>
          <w:rFonts w:hint="eastAsia" w:ascii="宋体" w:hAnsi="宋体" w:eastAsia="宋体" w:cs="宋体"/>
          <w:sz w:val="24"/>
          <w:szCs w:val="24"/>
          <w:highlight w:val="none"/>
        </w:rPr>
        <w:t>终止）。</w:t>
      </w:r>
    </w:p>
    <w:p w14:paraId="3A69E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sz w:val="24"/>
          <w:lang w:val="en-US" w:eastAsia="zh-CN"/>
        </w:rPr>
      </w:pPr>
      <w:r>
        <w:rPr>
          <w:rFonts w:hint="eastAsia" w:ascii="宋体"/>
          <w:sz w:val="24"/>
          <w:lang w:val="en-US" w:eastAsia="zh-CN"/>
        </w:rPr>
        <w:t>2</w:t>
      </w:r>
      <w:r>
        <w:rPr>
          <w:rFonts w:hint="eastAsia" w:ascii="宋体"/>
          <w:sz w:val="24"/>
        </w:rPr>
        <w:t>.</w:t>
      </w:r>
      <w:r>
        <w:rPr>
          <w:rFonts w:hint="eastAsia" w:ascii="宋体" w:hAnsi="宋体" w:cs="宋体"/>
          <w:b w:val="0"/>
          <w:bCs/>
          <w:kern w:val="0"/>
          <w:sz w:val="24"/>
          <w:highlight w:val="none"/>
          <w:lang w:val="en-US" w:eastAsia="zh-CN" w:bidi="ar"/>
        </w:rPr>
        <w:t>工期：</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lang w:val="en-US" w:eastAsia="zh-CN"/>
        </w:rPr>
        <w:t>个工程根据项目实际情况，按照采购人规定工期完成。</w:t>
      </w:r>
    </w:p>
    <w:p w14:paraId="2A5A07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eastAsia="宋体"/>
          <w:sz w:val="24"/>
          <w:lang w:val="en-US" w:eastAsia="zh-CN"/>
        </w:rPr>
      </w:pPr>
      <w:r>
        <w:rPr>
          <w:rFonts w:hint="eastAsia" w:ascii="宋体"/>
          <w:sz w:val="24"/>
          <w:lang w:val="en-US" w:eastAsia="zh-CN"/>
        </w:rPr>
        <w:t>3</w:t>
      </w:r>
      <w:r>
        <w:rPr>
          <w:rFonts w:hint="eastAsia" w:ascii="宋体"/>
          <w:sz w:val="24"/>
        </w:rPr>
        <w:t>.履行地点：</w:t>
      </w:r>
      <w:r>
        <w:rPr>
          <w:rFonts w:hint="eastAsia" w:ascii="宋体"/>
          <w:sz w:val="24"/>
          <w:lang w:val="en-US" w:eastAsia="zh-CN"/>
        </w:rPr>
        <w:t>海虹街道。</w:t>
      </w:r>
    </w:p>
    <w:p w14:paraId="0942AC53">
      <w:pPr>
        <w:keepNext w:val="0"/>
        <w:keepLines w:val="0"/>
        <w:pageBreakBefore w:val="0"/>
        <w:kinsoku/>
        <w:wordWrap/>
        <w:overflowPunct/>
        <w:topLinePunct w:val="0"/>
        <w:bidi w:val="0"/>
        <w:snapToGrid w:val="0"/>
        <w:spacing w:line="360" w:lineRule="auto"/>
        <w:ind w:left="412" w:hanging="412" w:hangingChars="171"/>
        <w:textAlignment w:val="auto"/>
        <w:rPr>
          <w:rFonts w:ascii="宋体"/>
          <w:b/>
          <w:sz w:val="24"/>
        </w:rPr>
      </w:pPr>
      <w:r>
        <w:rPr>
          <w:rFonts w:hint="eastAsia" w:ascii="宋体"/>
          <w:b/>
          <w:sz w:val="24"/>
        </w:rPr>
        <w:t>八</w:t>
      </w:r>
      <w:r>
        <w:rPr>
          <w:rFonts w:ascii="宋体"/>
          <w:b/>
          <w:sz w:val="24"/>
        </w:rPr>
        <w:t>、</w:t>
      </w:r>
      <w:r>
        <w:rPr>
          <w:rFonts w:hint="eastAsia" w:ascii="宋体"/>
          <w:b/>
          <w:sz w:val="24"/>
          <w:lang w:val="en-US" w:eastAsia="zh-CN"/>
        </w:rPr>
        <w:t>结算方式及</w:t>
      </w:r>
      <w:r>
        <w:rPr>
          <w:rFonts w:hint="eastAsia" w:ascii="宋体"/>
          <w:b/>
          <w:sz w:val="24"/>
        </w:rPr>
        <w:t>服务款</w:t>
      </w:r>
      <w:r>
        <w:rPr>
          <w:rFonts w:ascii="宋体"/>
          <w:b/>
          <w:sz w:val="24"/>
        </w:rPr>
        <w:t>支付</w:t>
      </w:r>
    </w:p>
    <w:p w14:paraId="3495CE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bCs/>
          <w:sz w:val="24"/>
          <w:lang w:val="en-US" w:eastAsia="zh-CN"/>
        </w:rPr>
      </w:pPr>
      <w:r>
        <w:rPr>
          <w:rFonts w:hint="eastAsia" w:ascii="宋体"/>
          <w:bCs/>
          <w:sz w:val="24"/>
          <w:lang w:val="en-US" w:eastAsia="zh-CN"/>
        </w:rPr>
        <w:t>1.</w:t>
      </w:r>
      <w:r>
        <w:rPr>
          <w:rFonts w:hint="eastAsia" w:ascii="宋体" w:hAnsi="宋体" w:eastAsia="宋体" w:cs="宋体"/>
          <w:sz w:val="24"/>
          <w:szCs w:val="24"/>
          <w:highlight w:val="none"/>
          <w:lang w:val="en-US" w:eastAsia="zh-CN"/>
        </w:rPr>
        <w:t>本项目工程量按实计算，结算率一次性包死，按次结算。</w:t>
      </w:r>
    </w:p>
    <w:p w14:paraId="00A7DF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kern w:val="0"/>
          <w:sz w:val="24"/>
          <w:highlight w:val="none"/>
          <w:lang w:val="en-US" w:eastAsia="zh-CN" w:bidi="ar"/>
        </w:rPr>
      </w:pPr>
      <w:r>
        <w:rPr>
          <w:rFonts w:hint="eastAsia" w:ascii="宋体"/>
          <w:bCs/>
          <w:sz w:val="24"/>
          <w:lang w:val="en-US" w:eastAsia="zh-CN"/>
        </w:rPr>
        <w:t>2</w:t>
      </w:r>
      <w:r>
        <w:rPr>
          <w:rFonts w:hint="eastAsia" w:ascii="宋体"/>
          <w:bCs/>
          <w:sz w:val="24"/>
        </w:rPr>
        <w:t>.</w:t>
      </w:r>
      <w:r>
        <w:rPr>
          <w:rFonts w:ascii="宋体"/>
          <w:bCs/>
          <w:sz w:val="24"/>
        </w:rPr>
        <w:t>付</w:t>
      </w:r>
      <w:r>
        <w:rPr>
          <w:rFonts w:ascii="宋体"/>
          <w:bCs/>
          <w:sz w:val="24"/>
          <w:highlight w:val="none"/>
        </w:rPr>
        <w:t>款方式：</w:t>
      </w:r>
      <w:r>
        <w:rPr>
          <w:rFonts w:hint="eastAsia" w:ascii="宋体" w:hAnsi="宋体" w:cs="宋体"/>
          <w:b w:val="0"/>
          <w:bCs/>
          <w:kern w:val="0"/>
          <w:sz w:val="24"/>
          <w:highlight w:val="none"/>
          <w:lang w:val="en-US" w:eastAsia="zh-CN" w:bidi="ar"/>
        </w:rPr>
        <w:t xml:space="preserve"> </w:t>
      </w:r>
    </w:p>
    <w:p w14:paraId="30321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kern w:val="0"/>
          <w:sz w:val="24"/>
          <w:highlight w:val="none"/>
          <w:lang w:val="en-US" w:eastAsia="zh-CN" w:bidi="ar"/>
        </w:rPr>
      </w:pPr>
      <w:r>
        <w:rPr>
          <w:rFonts w:hint="eastAsia" w:ascii="宋体" w:hAnsi="宋体" w:cs="宋体"/>
          <w:b w:val="0"/>
          <w:bCs/>
          <w:kern w:val="0"/>
          <w:sz w:val="24"/>
          <w:highlight w:val="none"/>
          <w:lang w:eastAsia="zh-CN" w:bidi="ar"/>
        </w:rPr>
        <w:t>（</w:t>
      </w:r>
      <w:r>
        <w:rPr>
          <w:rFonts w:hint="eastAsia" w:ascii="宋体" w:hAnsi="宋体" w:cs="宋体"/>
          <w:b w:val="0"/>
          <w:bCs/>
          <w:kern w:val="0"/>
          <w:sz w:val="24"/>
          <w:highlight w:val="none"/>
          <w:lang w:val="en-US" w:eastAsia="zh-CN" w:bidi="ar"/>
        </w:rPr>
        <w:t>1</w:t>
      </w:r>
      <w:r>
        <w:rPr>
          <w:rFonts w:hint="eastAsia" w:ascii="宋体" w:hAnsi="宋体" w:cs="宋体"/>
          <w:b w:val="0"/>
          <w:bCs/>
          <w:kern w:val="0"/>
          <w:sz w:val="24"/>
          <w:highlight w:val="none"/>
          <w:lang w:eastAsia="zh-CN" w:bidi="ar"/>
        </w:rPr>
        <w:t>）合同签订后</w:t>
      </w:r>
      <w:r>
        <w:rPr>
          <w:rFonts w:hint="eastAsia" w:ascii="宋体" w:hAnsi="宋体" w:cs="宋体"/>
          <w:b w:val="0"/>
          <w:bCs/>
          <w:kern w:val="0"/>
          <w:sz w:val="24"/>
          <w:highlight w:val="none"/>
          <w:lang w:val="en-US" w:eastAsia="zh-CN" w:bidi="ar"/>
        </w:rPr>
        <w:t>7个工作日内支付合同金额的40%做为预付款；</w:t>
      </w:r>
    </w:p>
    <w:p w14:paraId="3453A1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kern w:val="0"/>
          <w:sz w:val="24"/>
          <w:highlight w:val="none"/>
          <w:lang w:val="en-US" w:eastAsia="zh-CN" w:bidi="ar"/>
        </w:rPr>
      </w:pPr>
      <w:r>
        <w:rPr>
          <w:rFonts w:hint="eastAsia" w:ascii="宋体" w:hAnsi="宋体" w:eastAsia="宋体" w:cs="宋体"/>
          <w:sz w:val="24"/>
          <w:szCs w:val="24"/>
          <w:highlight w:val="none"/>
          <w:lang w:val="en-US" w:eastAsia="zh-CN"/>
        </w:rPr>
        <w:t>（2）单</w:t>
      </w:r>
      <w:r>
        <w:rPr>
          <w:rFonts w:hint="eastAsia" w:ascii="宋体" w:hAnsi="宋体" w:cs="宋体"/>
          <w:sz w:val="24"/>
          <w:szCs w:val="24"/>
          <w:highlight w:val="none"/>
          <w:lang w:val="en-US" w:eastAsia="zh-CN"/>
        </w:rPr>
        <w:t>个</w:t>
      </w:r>
      <w:r>
        <w:rPr>
          <w:rFonts w:hint="eastAsia" w:ascii="宋体" w:hAnsi="宋体" w:eastAsia="宋体" w:cs="宋体"/>
          <w:sz w:val="24"/>
          <w:szCs w:val="24"/>
          <w:highlight w:val="none"/>
          <w:lang w:val="en-US" w:eastAsia="zh-CN"/>
        </w:rPr>
        <w:t>工程完成并通过验收且收到中标人开具的发票后7个工作日一次性支付（费用支付时需先扣除预付款费用后再进行支付）。</w:t>
      </w:r>
      <w:bookmarkStart w:id="44" w:name="_GoBack"/>
      <w:bookmarkEnd w:id="44"/>
    </w:p>
    <w:p w14:paraId="41F53022">
      <w:pPr>
        <w:keepNext w:val="0"/>
        <w:keepLines w:val="0"/>
        <w:pageBreakBefore w:val="0"/>
        <w:kinsoku/>
        <w:wordWrap/>
        <w:overflowPunct/>
        <w:topLinePunct w:val="0"/>
        <w:bidi w:val="0"/>
        <w:snapToGrid w:val="0"/>
        <w:spacing w:line="360" w:lineRule="auto"/>
        <w:textAlignment w:val="auto"/>
        <w:rPr>
          <w:rFonts w:ascii="宋体"/>
          <w:b/>
          <w:sz w:val="24"/>
        </w:rPr>
      </w:pPr>
      <w:r>
        <w:rPr>
          <w:rFonts w:hint="eastAsia" w:ascii="宋体"/>
          <w:b/>
          <w:sz w:val="24"/>
        </w:rPr>
        <w:t>九、税费</w:t>
      </w:r>
    </w:p>
    <w:p w14:paraId="284B5516">
      <w:pPr>
        <w:keepNext w:val="0"/>
        <w:keepLines w:val="0"/>
        <w:pageBreakBefore w:val="0"/>
        <w:kinsoku/>
        <w:wordWrap/>
        <w:overflowPunct/>
        <w:topLinePunct w:val="0"/>
        <w:bidi w:val="0"/>
        <w:snapToGrid w:val="0"/>
        <w:spacing w:line="360" w:lineRule="auto"/>
        <w:ind w:firstLine="480" w:firstLineChars="200"/>
        <w:textAlignment w:val="auto"/>
        <w:rPr>
          <w:rFonts w:ascii="宋体"/>
          <w:sz w:val="24"/>
        </w:rPr>
      </w:pPr>
      <w:r>
        <w:rPr>
          <w:rFonts w:hint="eastAsia" w:ascii="宋体"/>
          <w:sz w:val="24"/>
        </w:rPr>
        <w:t>本合同执行中相关的一切税费均由</w:t>
      </w:r>
      <w:r>
        <w:rPr>
          <w:rFonts w:ascii="宋体"/>
          <w:sz w:val="24"/>
        </w:rPr>
        <w:t>乙</w:t>
      </w:r>
      <w:r>
        <w:rPr>
          <w:rFonts w:hint="eastAsia" w:ascii="宋体"/>
          <w:sz w:val="24"/>
        </w:rPr>
        <w:t>方负担。</w:t>
      </w:r>
    </w:p>
    <w:p w14:paraId="6A995339">
      <w:pPr>
        <w:keepNext w:val="0"/>
        <w:keepLines w:val="0"/>
        <w:pageBreakBefore w:val="0"/>
        <w:kinsoku/>
        <w:wordWrap/>
        <w:overflowPunct/>
        <w:topLinePunct w:val="0"/>
        <w:bidi w:val="0"/>
        <w:snapToGrid w:val="0"/>
        <w:spacing w:line="360" w:lineRule="auto"/>
        <w:ind w:left="412" w:hanging="412" w:hangingChars="171"/>
        <w:textAlignment w:val="auto"/>
        <w:rPr>
          <w:rFonts w:ascii="宋体"/>
          <w:sz w:val="24"/>
        </w:rPr>
      </w:pPr>
      <w:r>
        <w:rPr>
          <w:rFonts w:ascii="宋体"/>
          <w:b/>
          <w:sz w:val="24"/>
        </w:rPr>
        <w:t>十、质量保证</w:t>
      </w:r>
      <w:r>
        <w:rPr>
          <w:rFonts w:hint="eastAsia" w:ascii="宋体"/>
          <w:b/>
          <w:sz w:val="24"/>
        </w:rPr>
        <w:t>、</w:t>
      </w:r>
      <w:r>
        <w:rPr>
          <w:rFonts w:ascii="宋体"/>
          <w:b/>
          <w:sz w:val="24"/>
        </w:rPr>
        <w:t>售后服务</w:t>
      </w:r>
      <w:r>
        <w:rPr>
          <w:rFonts w:hint="eastAsia" w:ascii="宋体"/>
          <w:b/>
          <w:sz w:val="24"/>
        </w:rPr>
        <w:t>及安全责任</w:t>
      </w:r>
    </w:p>
    <w:p w14:paraId="389EC4D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highlight w:val="none"/>
        </w:rPr>
      </w:pPr>
      <w:r>
        <w:rPr>
          <w:rFonts w:hint="eastAsia" w:ascii="宋体"/>
          <w:sz w:val="24"/>
        </w:rPr>
        <w:t>1</w:t>
      </w:r>
      <w:r>
        <w:rPr>
          <w:rFonts w:hint="eastAsia" w:ascii="宋体"/>
          <w:sz w:val="24"/>
          <w:lang w:val="en-US" w:eastAsia="zh-CN"/>
        </w:rPr>
        <w:t>.</w:t>
      </w:r>
      <w:r>
        <w:rPr>
          <w:rFonts w:hint="eastAsia" w:ascii="宋体"/>
          <w:sz w:val="24"/>
          <w:highlight w:val="none"/>
        </w:rPr>
        <w:t>乙方应按招标文件规定向甲方提供服务。</w:t>
      </w:r>
    </w:p>
    <w:p w14:paraId="0540917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highlight w:val="none"/>
        </w:rPr>
      </w:pPr>
      <w:r>
        <w:rPr>
          <w:rFonts w:hint="eastAsia" w:ascii="宋体"/>
          <w:sz w:val="24"/>
          <w:highlight w:val="none"/>
        </w:rPr>
        <w:t>2.根椐实际情况分别进行</w:t>
      </w:r>
      <w:r>
        <w:rPr>
          <w:rFonts w:hint="eastAsia" w:ascii="宋体"/>
          <w:sz w:val="24"/>
          <w:highlight w:val="none"/>
          <w:lang w:eastAsia="zh-CN"/>
        </w:rPr>
        <w:t>分批</w:t>
      </w:r>
      <w:r>
        <w:rPr>
          <w:rFonts w:hint="eastAsia" w:ascii="宋体"/>
          <w:sz w:val="24"/>
          <w:highlight w:val="none"/>
        </w:rPr>
        <w:t>验收。</w:t>
      </w:r>
    </w:p>
    <w:p w14:paraId="492146A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rPr>
      </w:pPr>
      <w:r>
        <w:rPr>
          <w:rFonts w:hint="eastAsia" w:ascii="宋体"/>
          <w:sz w:val="24"/>
        </w:rPr>
        <w:t>3</w:t>
      </w:r>
      <w:r>
        <w:rPr>
          <w:rFonts w:hint="eastAsia" w:ascii="宋体"/>
          <w:sz w:val="24"/>
          <w:lang w:val="en-US" w:eastAsia="zh-CN"/>
        </w:rPr>
        <w:t>.</w:t>
      </w:r>
      <w:r>
        <w:rPr>
          <w:rFonts w:hint="eastAsia" w:ascii="宋体"/>
          <w:sz w:val="24"/>
        </w:rPr>
        <w:t>乙方提供的服务成果对达不到要求者，根据实际情况，经双方协商，可按以下办法处理：</w:t>
      </w:r>
    </w:p>
    <w:p w14:paraId="36BDE6C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rPr>
      </w:pPr>
      <w:r>
        <w:rPr>
          <w:rFonts w:hint="eastAsia" w:ascii="宋体"/>
          <w:sz w:val="24"/>
        </w:rPr>
        <w:t>⑴重做：由乙方承担所发生的全部费用。</w:t>
      </w:r>
    </w:p>
    <w:p w14:paraId="5F9DD5D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rPr>
      </w:pPr>
      <w:r>
        <w:rPr>
          <w:rFonts w:hint="eastAsia" w:ascii="宋体"/>
          <w:sz w:val="24"/>
        </w:rPr>
        <w:t>⑵解除合同。</w:t>
      </w:r>
    </w:p>
    <w:p w14:paraId="51DD2F2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rPr>
      </w:pPr>
      <w:r>
        <w:rPr>
          <w:rFonts w:hint="eastAsia" w:ascii="宋体"/>
          <w:sz w:val="24"/>
        </w:rPr>
        <w:t>4</w:t>
      </w:r>
      <w:r>
        <w:rPr>
          <w:rFonts w:hint="eastAsia" w:ascii="宋体"/>
          <w:sz w:val="24"/>
          <w:lang w:val="en-US" w:eastAsia="zh-CN"/>
        </w:rPr>
        <w:t>.</w:t>
      </w:r>
      <w:r>
        <w:rPr>
          <w:rFonts w:hint="eastAsia" w:ascii="宋体"/>
          <w:sz w:val="24"/>
        </w:rPr>
        <w:t>如在服务过程中发生问题，乙方在接到甲方通知后在1小时内到达甲方现场。</w:t>
      </w:r>
    </w:p>
    <w:p w14:paraId="6696F12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b/>
          <w:snapToGrid w:val="0"/>
          <w:kern w:val="0"/>
          <w:sz w:val="24"/>
        </w:rPr>
      </w:pPr>
      <w:r>
        <w:rPr>
          <w:rFonts w:hint="eastAsia" w:ascii="宋体"/>
          <w:sz w:val="24"/>
          <w:lang w:val="en-US" w:eastAsia="zh-CN"/>
        </w:rPr>
        <w:t>5</w:t>
      </w:r>
      <w:r>
        <w:rPr>
          <w:rFonts w:ascii="宋体"/>
          <w:sz w:val="24"/>
        </w:rPr>
        <w:t>.</w:t>
      </w:r>
      <w:r>
        <w:rPr>
          <w:rFonts w:hint="eastAsia" w:ascii="宋体"/>
          <w:sz w:val="24"/>
        </w:rPr>
        <w:t>项目实施过程中非甲方原因造成的安全事故全部由乙方自行负责。</w:t>
      </w:r>
    </w:p>
    <w:p w14:paraId="0D90B69A">
      <w:pPr>
        <w:keepNext w:val="0"/>
        <w:keepLines w:val="0"/>
        <w:pageBreakBefore w:val="0"/>
        <w:kinsoku/>
        <w:wordWrap/>
        <w:overflowPunct/>
        <w:topLinePunct w:val="0"/>
        <w:bidi w:val="0"/>
        <w:snapToGrid w:val="0"/>
        <w:spacing w:line="360" w:lineRule="auto"/>
        <w:textAlignment w:val="auto"/>
        <w:rPr>
          <w:rFonts w:ascii="宋体"/>
          <w:b/>
          <w:sz w:val="24"/>
        </w:rPr>
      </w:pPr>
      <w:r>
        <w:rPr>
          <w:rFonts w:ascii="宋体"/>
          <w:b/>
          <w:sz w:val="24"/>
        </w:rPr>
        <w:t>十</w:t>
      </w:r>
      <w:r>
        <w:rPr>
          <w:rFonts w:hint="eastAsia" w:ascii="宋体"/>
          <w:b/>
          <w:sz w:val="24"/>
        </w:rPr>
        <w:t>一</w:t>
      </w:r>
      <w:r>
        <w:rPr>
          <w:rFonts w:ascii="宋体"/>
          <w:b/>
          <w:sz w:val="24"/>
        </w:rPr>
        <w:t>、违约责任</w:t>
      </w:r>
    </w:p>
    <w:p w14:paraId="632EF153">
      <w:pPr>
        <w:pStyle w:val="21"/>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snapToGrid w:val="0"/>
          <w:color w:val="000000"/>
          <w:spacing w:val="0"/>
          <w:w w:val="100"/>
          <w:kern w:val="0"/>
          <w:position w:val="0"/>
          <w:sz w:val="24"/>
          <w:szCs w:val="24"/>
          <w:lang w:val="en-US" w:eastAsia="zh-CN"/>
        </w:rPr>
      </w:pPr>
      <w:r>
        <w:rPr>
          <w:rFonts w:hint="eastAsia" w:ascii="宋体" w:hAnsi="宋体" w:eastAsia="宋体" w:cs="宋体"/>
          <w:b/>
          <w:bCs/>
          <w:snapToGrid w:val="0"/>
          <w:color w:val="000000"/>
          <w:spacing w:val="0"/>
          <w:w w:val="100"/>
          <w:kern w:val="0"/>
          <w:position w:val="0"/>
          <w:sz w:val="24"/>
          <w:szCs w:val="24"/>
          <w:lang w:val="en-US" w:eastAsia="zh-CN"/>
        </w:rPr>
        <w:t>（一）甲方违约责任</w:t>
      </w:r>
    </w:p>
    <w:p w14:paraId="7E698291">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1.甲方交底错误造成的后果，责任不在于乙方。</w:t>
      </w:r>
    </w:p>
    <w:p w14:paraId="7F7C92EA">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2.甲方逾期支付服务费用的，应就逾期部分向乙方支付逾期付款违约金，逾期付款违约金每日按逾期支付金额的万分之五计算。</w:t>
      </w:r>
    </w:p>
    <w:p w14:paraId="3B73B14B">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3.因甲方原因造成合同终止的，甲方需向乙方补偿合同价10%的违约金。</w:t>
      </w:r>
    </w:p>
    <w:p w14:paraId="56975CCE">
      <w:pPr>
        <w:pStyle w:val="21"/>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snapToGrid w:val="0"/>
          <w:color w:val="000000"/>
          <w:spacing w:val="0"/>
          <w:w w:val="100"/>
          <w:kern w:val="0"/>
          <w:position w:val="0"/>
          <w:sz w:val="24"/>
          <w:szCs w:val="24"/>
          <w:lang w:val="en-US" w:eastAsia="zh-CN"/>
        </w:rPr>
      </w:pPr>
      <w:r>
        <w:rPr>
          <w:rFonts w:hint="eastAsia" w:ascii="宋体" w:hAnsi="宋体" w:eastAsia="宋体" w:cs="宋体"/>
          <w:b/>
          <w:bCs/>
          <w:snapToGrid w:val="0"/>
          <w:color w:val="000000"/>
          <w:spacing w:val="0"/>
          <w:w w:val="100"/>
          <w:kern w:val="0"/>
          <w:position w:val="0"/>
          <w:sz w:val="24"/>
          <w:szCs w:val="24"/>
          <w:lang w:val="en-US" w:eastAsia="zh-CN"/>
        </w:rPr>
        <w:t>（二）乙方违约责任</w:t>
      </w:r>
    </w:p>
    <w:p w14:paraId="319A46ED">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1.不听从甲方指令，擅自作业或不作业，或对甲方提出的问题不整改或整改不力的，甲方有权单方解除合同。</w:t>
      </w:r>
    </w:p>
    <w:p w14:paraId="1C9F8C0B">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Times New Roman" w:eastAsia="宋体" w:cs="Times New Roman"/>
          <w:kern w:val="2"/>
          <w:sz w:val="24"/>
          <w:szCs w:val="24"/>
          <w:highlight w:val="none"/>
          <w:lang w:val="en-US" w:eastAsia="zh-CN" w:bidi="ar-SA"/>
        </w:rPr>
      </w:pPr>
      <w:r>
        <w:rPr>
          <w:rFonts w:hint="eastAsia" w:ascii="宋体" w:hAnsi="Times New Roman" w:eastAsia="宋体" w:cs="Times New Roman"/>
          <w:kern w:val="2"/>
          <w:sz w:val="24"/>
          <w:szCs w:val="24"/>
          <w:highlight w:val="none"/>
          <w:lang w:val="en-US" w:eastAsia="zh-CN" w:bidi="ar-SA"/>
        </w:rPr>
        <w:t>2.清淤不彻底造成管道的堵塞的，每发现一处，扣减500元的服务费</w:t>
      </w:r>
      <w:r>
        <w:rPr>
          <w:rFonts w:hint="eastAsia" w:cs="Times New Roman"/>
          <w:kern w:val="2"/>
          <w:sz w:val="24"/>
          <w:szCs w:val="24"/>
          <w:highlight w:val="none"/>
          <w:lang w:val="en-US" w:eastAsia="zh-CN" w:bidi="ar-SA"/>
        </w:rPr>
        <w:t>（费用在结算时直接扣减）</w:t>
      </w:r>
      <w:r>
        <w:rPr>
          <w:rFonts w:hint="eastAsia" w:ascii="宋体" w:hAnsi="Times New Roman" w:eastAsia="宋体" w:cs="Times New Roman"/>
          <w:kern w:val="2"/>
          <w:sz w:val="24"/>
          <w:szCs w:val="24"/>
          <w:highlight w:val="none"/>
          <w:lang w:val="en-US" w:eastAsia="zh-CN" w:bidi="ar-SA"/>
        </w:rPr>
        <w:t>。</w:t>
      </w:r>
    </w:p>
    <w:p w14:paraId="30834318">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Times New Roman" w:eastAsia="宋体" w:cs="Times New Roman"/>
          <w:kern w:val="2"/>
          <w:sz w:val="24"/>
          <w:szCs w:val="24"/>
          <w:highlight w:val="none"/>
          <w:lang w:val="en-US" w:eastAsia="zh-CN" w:bidi="ar-SA"/>
        </w:rPr>
      </w:pPr>
      <w:r>
        <w:rPr>
          <w:rFonts w:hint="eastAsia" w:hAnsi="Times New Roman" w:cs="Times New Roman"/>
          <w:kern w:val="2"/>
          <w:sz w:val="24"/>
          <w:szCs w:val="24"/>
          <w:highlight w:val="none"/>
          <w:lang w:val="en-US" w:eastAsia="zh-CN" w:bidi="ar-SA"/>
        </w:rPr>
        <w:t>3</w:t>
      </w:r>
      <w:r>
        <w:rPr>
          <w:rFonts w:hint="eastAsia" w:ascii="宋体" w:hAnsi="Times New Roman" w:eastAsia="宋体" w:cs="Times New Roman"/>
          <w:kern w:val="2"/>
          <w:sz w:val="24"/>
          <w:szCs w:val="24"/>
          <w:highlight w:val="none"/>
          <w:lang w:val="en-US" w:eastAsia="zh-CN" w:bidi="ar-SA"/>
        </w:rPr>
        <w:t>.因人员年龄、健康等原因涉及劳动争议等全部由乙方负责，与甲方无关。</w:t>
      </w:r>
    </w:p>
    <w:p w14:paraId="267DDB71">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Times New Roman" w:eastAsia="宋体" w:cs="Times New Roman"/>
          <w:kern w:val="2"/>
          <w:sz w:val="24"/>
          <w:szCs w:val="24"/>
          <w:highlight w:val="none"/>
          <w:lang w:val="en-US" w:eastAsia="zh-CN" w:bidi="ar-SA"/>
        </w:rPr>
      </w:pPr>
      <w:r>
        <w:rPr>
          <w:rFonts w:hint="eastAsia" w:hAnsi="Times New Roman" w:cs="Times New Roman"/>
          <w:kern w:val="2"/>
          <w:sz w:val="24"/>
          <w:szCs w:val="24"/>
          <w:highlight w:val="none"/>
          <w:lang w:val="en-US" w:eastAsia="zh-CN" w:bidi="ar-SA"/>
        </w:rPr>
        <w:t>4</w:t>
      </w:r>
      <w:r>
        <w:rPr>
          <w:rFonts w:hint="eastAsia" w:ascii="宋体" w:hAnsi="Times New Roman" w:eastAsia="宋体" w:cs="Times New Roman"/>
          <w:kern w:val="2"/>
          <w:sz w:val="24"/>
          <w:szCs w:val="24"/>
          <w:highlight w:val="none"/>
          <w:lang w:val="en-US" w:eastAsia="zh-CN" w:bidi="ar-SA"/>
        </w:rPr>
        <w:t>.不按照甲方要求与行业标准规范操作，视情况按1000~</w:t>
      </w:r>
      <w:r>
        <w:rPr>
          <w:rFonts w:hint="eastAsia" w:hAnsi="Times New Roman" w:cs="Times New Roman"/>
          <w:kern w:val="2"/>
          <w:sz w:val="24"/>
          <w:szCs w:val="24"/>
          <w:highlight w:val="none"/>
          <w:lang w:val="en-US" w:eastAsia="zh-CN" w:bidi="ar-SA"/>
        </w:rPr>
        <w:t>5</w:t>
      </w:r>
      <w:r>
        <w:rPr>
          <w:rFonts w:hint="eastAsia" w:ascii="宋体" w:hAnsi="Times New Roman" w:eastAsia="宋体" w:cs="Times New Roman"/>
          <w:kern w:val="2"/>
          <w:sz w:val="24"/>
          <w:szCs w:val="24"/>
          <w:highlight w:val="none"/>
          <w:lang w:val="en-US" w:eastAsia="zh-CN" w:bidi="ar-SA"/>
        </w:rPr>
        <w:t>000元/次扣减服务费</w:t>
      </w:r>
      <w:r>
        <w:rPr>
          <w:rFonts w:hint="eastAsia" w:cs="Times New Roman"/>
          <w:kern w:val="2"/>
          <w:sz w:val="24"/>
          <w:szCs w:val="24"/>
          <w:highlight w:val="none"/>
          <w:lang w:val="en-US" w:eastAsia="zh-CN" w:bidi="ar-SA"/>
        </w:rPr>
        <w:t>（费用在结算时直接扣减）</w:t>
      </w:r>
      <w:r>
        <w:rPr>
          <w:rFonts w:hint="eastAsia" w:ascii="宋体" w:hAnsi="Times New Roman" w:eastAsia="宋体" w:cs="Times New Roman"/>
          <w:kern w:val="2"/>
          <w:sz w:val="24"/>
          <w:szCs w:val="24"/>
          <w:highlight w:val="none"/>
          <w:lang w:val="en-US" w:eastAsia="zh-CN" w:bidi="ar-SA"/>
        </w:rPr>
        <w:t>。如对甲方设施损坏的，照价赔偿。</w:t>
      </w:r>
    </w:p>
    <w:p w14:paraId="37744DFB">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Times New Roman" w:eastAsia="宋体" w:cs="Times New Roman"/>
          <w:kern w:val="2"/>
          <w:sz w:val="24"/>
          <w:szCs w:val="24"/>
          <w:highlight w:val="none"/>
          <w:lang w:val="en-US" w:eastAsia="zh-CN" w:bidi="ar-SA"/>
        </w:rPr>
      </w:pPr>
      <w:r>
        <w:rPr>
          <w:rFonts w:hint="eastAsia" w:hAnsi="Times New Roman" w:cs="Times New Roman"/>
          <w:kern w:val="2"/>
          <w:sz w:val="24"/>
          <w:szCs w:val="24"/>
          <w:highlight w:val="none"/>
          <w:lang w:val="en-US" w:eastAsia="zh-CN" w:bidi="ar-SA"/>
        </w:rPr>
        <w:t>5</w:t>
      </w:r>
      <w:r>
        <w:rPr>
          <w:rFonts w:hint="eastAsia" w:ascii="宋体" w:hAnsi="Times New Roman" w:eastAsia="宋体" w:cs="Times New Roman"/>
          <w:kern w:val="2"/>
          <w:sz w:val="24"/>
          <w:szCs w:val="24"/>
          <w:highlight w:val="none"/>
          <w:lang w:val="en-US" w:eastAsia="zh-CN" w:bidi="ar-SA"/>
        </w:rPr>
        <w:t>.对清理的“污泥”未运送至合适地点，如乱抛乱倒，发现一次，扣减1000元的服务费</w:t>
      </w:r>
      <w:r>
        <w:rPr>
          <w:rFonts w:hint="eastAsia" w:cs="Times New Roman"/>
          <w:kern w:val="2"/>
          <w:sz w:val="24"/>
          <w:szCs w:val="24"/>
          <w:highlight w:val="none"/>
          <w:lang w:val="en-US" w:eastAsia="zh-CN" w:bidi="ar-SA"/>
        </w:rPr>
        <w:t>（费用在结算时直接扣减）</w:t>
      </w:r>
      <w:r>
        <w:rPr>
          <w:rFonts w:hint="eastAsia" w:ascii="宋体" w:hAnsi="Times New Roman" w:eastAsia="宋体" w:cs="Times New Roman"/>
          <w:kern w:val="2"/>
          <w:sz w:val="24"/>
          <w:szCs w:val="24"/>
          <w:highlight w:val="none"/>
          <w:lang w:val="en-US" w:eastAsia="zh-CN" w:bidi="ar-SA"/>
        </w:rPr>
        <w:t>；如运输过程中跑冒滴漏，除城管部门的处罚外，发生一次，扣减500元的服务费</w:t>
      </w:r>
      <w:r>
        <w:rPr>
          <w:rFonts w:hint="eastAsia" w:cs="Times New Roman"/>
          <w:kern w:val="2"/>
          <w:sz w:val="24"/>
          <w:szCs w:val="24"/>
          <w:highlight w:val="none"/>
          <w:lang w:val="en-US" w:eastAsia="zh-CN" w:bidi="ar-SA"/>
        </w:rPr>
        <w:t>（费用在结算时直接扣减）</w:t>
      </w:r>
      <w:r>
        <w:rPr>
          <w:rFonts w:hint="eastAsia" w:ascii="宋体" w:hAnsi="Times New Roman" w:eastAsia="宋体" w:cs="Times New Roman"/>
          <w:kern w:val="2"/>
          <w:sz w:val="24"/>
          <w:szCs w:val="24"/>
          <w:highlight w:val="none"/>
          <w:lang w:val="en-US" w:eastAsia="zh-CN" w:bidi="ar-SA"/>
        </w:rPr>
        <w:t>。</w:t>
      </w:r>
    </w:p>
    <w:p w14:paraId="6B71CB5C">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Times New Roman" w:eastAsia="宋体" w:cs="Times New Roman"/>
          <w:kern w:val="2"/>
          <w:sz w:val="24"/>
          <w:szCs w:val="24"/>
          <w:highlight w:val="none"/>
          <w:lang w:val="en-US" w:eastAsia="zh-CN" w:bidi="ar-SA"/>
        </w:rPr>
      </w:pPr>
      <w:r>
        <w:rPr>
          <w:rFonts w:hint="eastAsia" w:hAnsi="Times New Roman" w:cs="Times New Roman"/>
          <w:kern w:val="2"/>
          <w:sz w:val="24"/>
          <w:szCs w:val="24"/>
          <w:highlight w:val="none"/>
          <w:lang w:val="en-US" w:eastAsia="zh-CN" w:bidi="ar-SA"/>
        </w:rPr>
        <w:t>6</w:t>
      </w:r>
      <w:r>
        <w:rPr>
          <w:rFonts w:hint="eastAsia" w:ascii="宋体" w:hAnsi="Times New Roman" w:eastAsia="宋体" w:cs="Times New Roman"/>
          <w:kern w:val="2"/>
          <w:sz w:val="24"/>
          <w:szCs w:val="24"/>
          <w:highlight w:val="none"/>
          <w:lang w:val="en-US" w:eastAsia="zh-CN" w:bidi="ar-SA"/>
        </w:rPr>
        <w:t>.若乙方原因对第三人造成财物损失的，由乙方自行承担责任。如导致甲方对此承担责任的，甲方有权向乙主追偿。</w:t>
      </w:r>
    </w:p>
    <w:p w14:paraId="512A93E7">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Times New Roman" w:eastAsia="宋体" w:cs="Times New Roman"/>
          <w:kern w:val="2"/>
          <w:sz w:val="24"/>
          <w:szCs w:val="24"/>
          <w:highlight w:val="none"/>
          <w:lang w:val="en-US" w:eastAsia="zh-CN" w:bidi="ar-SA"/>
        </w:rPr>
      </w:pPr>
      <w:r>
        <w:rPr>
          <w:rFonts w:hint="eastAsia" w:hAnsi="Times New Roman" w:cs="Times New Roman"/>
          <w:kern w:val="2"/>
          <w:sz w:val="24"/>
          <w:szCs w:val="24"/>
          <w:highlight w:val="none"/>
          <w:lang w:val="en-US" w:eastAsia="zh-CN" w:bidi="ar-SA"/>
        </w:rPr>
        <w:t>7</w:t>
      </w:r>
      <w:r>
        <w:rPr>
          <w:rFonts w:hint="eastAsia" w:ascii="宋体" w:hAnsi="Times New Roman" w:eastAsia="宋体" w:cs="Times New Roman"/>
          <w:kern w:val="2"/>
          <w:sz w:val="24"/>
          <w:szCs w:val="24"/>
          <w:highlight w:val="none"/>
          <w:lang w:val="en-US" w:eastAsia="zh-CN" w:bidi="ar-SA"/>
        </w:rPr>
        <w:t>.若乙方原因造成人员伤亡事故的，经济责任全部由乙方自行负责。如甲方由此导致承担责任的，甲方有权向乙方追偿损失。</w:t>
      </w:r>
    </w:p>
    <w:p w14:paraId="30BD926B">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Times New Roman" w:eastAsia="宋体" w:cs="Times New Roman"/>
          <w:kern w:val="2"/>
          <w:sz w:val="24"/>
          <w:szCs w:val="24"/>
          <w:highlight w:val="none"/>
          <w:lang w:val="en-US" w:eastAsia="zh-CN" w:bidi="ar-SA"/>
        </w:rPr>
      </w:pPr>
      <w:r>
        <w:rPr>
          <w:rFonts w:hint="eastAsia" w:hAnsi="Times New Roman" w:cs="Times New Roman"/>
          <w:kern w:val="2"/>
          <w:sz w:val="24"/>
          <w:szCs w:val="24"/>
          <w:highlight w:val="none"/>
          <w:lang w:val="en-US" w:eastAsia="zh-CN" w:bidi="ar-SA"/>
        </w:rPr>
        <w:t>8</w:t>
      </w:r>
      <w:r>
        <w:rPr>
          <w:rFonts w:hint="eastAsia" w:ascii="宋体" w:hAnsi="Times New Roman" w:eastAsia="宋体" w:cs="Times New Roman"/>
          <w:kern w:val="2"/>
          <w:sz w:val="24"/>
          <w:szCs w:val="24"/>
          <w:highlight w:val="none"/>
          <w:lang w:val="en-US" w:eastAsia="zh-CN" w:bidi="ar-SA"/>
        </w:rPr>
        <w:t>.因于乙方原因出现投诉的，按500~1000元/次扣减服务费</w:t>
      </w:r>
      <w:r>
        <w:rPr>
          <w:rFonts w:hint="eastAsia" w:cs="Times New Roman"/>
          <w:kern w:val="2"/>
          <w:sz w:val="24"/>
          <w:szCs w:val="24"/>
          <w:highlight w:val="none"/>
          <w:lang w:val="en-US" w:eastAsia="zh-CN" w:bidi="ar-SA"/>
        </w:rPr>
        <w:t>（费用在结算时直接扣减）</w:t>
      </w:r>
      <w:r>
        <w:rPr>
          <w:rFonts w:hint="eastAsia" w:ascii="宋体" w:hAnsi="Times New Roman" w:eastAsia="宋体" w:cs="Times New Roman"/>
          <w:kern w:val="2"/>
          <w:sz w:val="24"/>
          <w:szCs w:val="24"/>
          <w:highlight w:val="none"/>
          <w:lang w:val="en-US" w:eastAsia="zh-CN" w:bidi="ar-SA"/>
        </w:rPr>
        <w:t>。</w:t>
      </w:r>
    </w:p>
    <w:p w14:paraId="5DE22BFE">
      <w:pPr>
        <w:keepNext w:val="0"/>
        <w:keepLines w:val="0"/>
        <w:pageBreakBefore w:val="0"/>
        <w:kinsoku/>
        <w:wordWrap/>
        <w:overflowPunct/>
        <w:topLinePunct w:val="0"/>
        <w:bidi w:val="0"/>
        <w:snapToGrid w:val="0"/>
        <w:spacing w:line="360" w:lineRule="auto"/>
        <w:textAlignment w:val="auto"/>
        <w:rPr>
          <w:rFonts w:ascii="宋体"/>
          <w:b/>
          <w:sz w:val="24"/>
        </w:rPr>
      </w:pPr>
      <w:r>
        <w:rPr>
          <w:rFonts w:ascii="宋体"/>
          <w:b/>
          <w:sz w:val="24"/>
          <w:highlight w:val="none"/>
        </w:rPr>
        <w:t>十</w:t>
      </w:r>
      <w:r>
        <w:rPr>
          <w:rFonts w:hint="eastAsia" w:ascii="宋体"/>
          <w:b/>
          <w:sz w:val="24"/>
          <w:highlight w:val="none"/>
        </w:rPr>
        <w:t>二</w:t>
      </w:r>
      <w:r>
        <w:rPr>
          <w:rFonts w:ascii="宋体"/>
          <w:b/>
          <w:sz w:val="24"/>
          <w:highlight w:val="none"/>
        </w:rPr>
        <w:t>、不可抗力事件处理</w:t>
      </w:r>
    </w:p>
    <w:p w14:paraId="7381D05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b/>
          <w:sz w:val="24"/>
        </w:rPr>
      </w:pPr>
      <w:r>
        <w:rPr>
          <w:rFonts w:ascii="宋体"/>
          <w:sz w:val="24"/>
        </w:rPr>
        <w:t>1</w:t>
      </w:r>
      <w:r>
        <w:rPr>
          <w:rFonts w:hint="eastAsia" w:ascii="宋体"/>
          <w:sz w:val="24"/>
        </w:rPr>
        <w:t>.</w:t>
      </w:r>
      <w:r>
        <w:rPr>
          <w:rFonts w:ascii="宋体"/>
          <w:sz w:val="24"/>
        </w:rPr>
        <w:t>在合同有效期内，任何一方因不可抗力事件导致不能履行合同，则合同履行期可延长，其延长期与不可抗力影响期相同。</w:t>
      </w:r>
    </w:p>
    <w:p w14:paraId="1FD1B99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rPr>
      </w:pPr>
      <w:r>
        <w:rPr>
          <w:rFonts w:ascii="宋体"/>
          <w:sz w:val="24"/>
        </w:rPr>
        <w:t>2.不可抗力事件发生后，应立即通知对方，并寄送有关权威机构出具的证明。</w:t>
      </w:r>
    </w:p>
    <w:p w14:paraId="3F440B6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rPr>
      </w:pPr>
      <w:r>
        <w:rPr>
          <w:rFonts w:ascii="宋体"/>
          <w:sz w:val="24"/>
        </w:rPr>
        <w:t>3.不可抗力事件延续120天以上，双方应通过友好协商，确定是否继续履行合同。</w:t>
      </w:r>
    </w:p>
    <w:p w14:paraId="5CD5C30D">
      <w:pPr>
        <w:keepNext w:val="0"/>
        <w:keepLines w:val="0"/>
        <w:pageBreakBefore w:val="0"/>
        <w:kinsoku/>
        <w:wordWrap/>
        <w:overflowPunct/>
        <w:topLinePunct w:val="0"/>
        <w:bidi w:val="0"/>
        <w:snapToGrid w:val="0"/>
        <w:spacing w:line="360" w:lineRule="auto"/>
        <w:textAlignment w:val="auto"/>
        <w:rPr>
          <w:rFonts w:ascii="宋体"/>
          <w:b/>
          <w:sz w:val="24"/>
        </w:rPr>
      </w:pPr>
      <w:r>
        <w:rPr>
          <w:rFonts w:ascii="宋体"/>
          <w:b/>
          <w:sz w:val="24"/>
        </w:rPr>
        <w:t>十</w:t>
      </w:r>
      <w:r>
        <w:rPr>
          <w:rFonts w:hint="eastAsia" w:ascii="宋体"/>
          <w:b/>
          <w:sz w:val="24"/>
        </w:rPr>
        <w:t>三</w:t>
      </w:r>
      <w:r>
        <w:rPr>
          <w:rFonts w:ascii="宋体"/>
          <w:b/>
          <w:sz w:val="24"/>
        </w:rPr>
        <w:t>、诉讼</w:t>
      </w:r>
    </w:p>
    <w:p w14:paraId="21E40055">
      <w:pPr>
        <w:keepNext w:val="0"/>
        <w:keepLines w:val="0"/>
        <w:pageBreakBefore w:val="0"/>
        <w:kinsoku/>
        <w:wordWrap/>
        <w:overflowPunct/>
        <w:topLinePunct w:val="0"/>
        <w:bidi w:val="0"/>
        <w:snapToGrid w:val="0"/>
        <w:spacing w:line="360" w:lineRule="auto"/>
        <w:ind w:firstLine="480" w:firstLineChars="200"/>
        <w:textAlignment w:val="auto"/>
        <w:rPr>
          <w:rFonts w:ascii="宋体"/>
          <w:sz w:val="24"/>
        </w:rPr>
      </w:pPr>
      <w:r>
        <w:rPr>
          <w:rFonts w:ascii="宋体"/>
          <w:sz w:val="24"/>
        </w:rPr>
        <w:t>双方在执行合同中所发生的一切争议，应通过协商解决。如协商不成，</w:t>
      </w:r>
      <w:r>
        <w:rPr>
          <w:rFonts w:hint="eastAsia" w:ascii="宋体"/>
          <w:sz w:val="24"/>
        </w:rPr>
        <w:t>可向甲方所在地</w:t>
      </w:r>
      <w:r>
        <w:rPr>
          <w:rFonts w:hint="eastAsia" w:ascii="宋体"/>
          <w:sz w:val="24"/>
          <w:u w:val="single"/>
        </w:rPr>
        <w:t>人民法院</w:t>
      </w:r>
      <w:r>
        <w:rPr>
          <w:rFonts w:hint="eastAsia" w:ascii="宋体"/>
          <w:sz w:val="24"/>
        </w:rPr>
        <w:t>提起诉讼。</w:t>
      </w:r>
    </w:p>
    <w:p w14:paraId="139D10E5">
      <w:pPr>
        <w:keepNext w:val="0"/>
        <w:keepLines w:val="0"/>
        <w:pageBreakBefore w:val="0"/>
        <w:kinsoku/>
        <w:wordWrap/>
        <w:overflowPunct/>
        <w:topLinePunct w:val="0"/>
        <w:bidi w:val="0"/>
        <w:snapToGrid w:val="0"/>
        <w:spacing w:line="360" w:lineRule="auto"/>
        <w:textAlignment w:val="auto"/>
        <w:rPr>
          <w:rFonts w:ascii="宋体"/>
          <w:b/>
          <w:sz w:val="24"/>
        </w:rPr>
      </w:pPr>
      <w:r>
        <w:rPr>
          <w:rFonts w:ascii="宋体"/>
          <w:b/>
          <w:sz w:val="24"/>
        </w:rPr>
        <w:t>十</w:t>
      </w:r>
      <w:r>
        <w:rPr>
          <w:rFonts w:hint="eastAsia" w:ascii="宋体"/>
          <w:b/>
          <w:sz w:val="24"/>
        </w:rPr>
        <w:t>四</w:t>
      </w:r>
      <w:r>
        <w:rPr>
          <w:rFonts w:ascii="宋体"/>
          <w:b/>
          <w:sz w:val="24"/>
        </w:rPr>
        <w:t>、合同生效及其它</w:t>
      </w:r>
    </w:p>
    <w:p w14:paraId="7179BA6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rPr>
      </w:pPr>
      <w:r>
        <w:rPr>
          <w:rFonts w:ascii="宋体"/>
          <w:sz w:val="24"/>
        </w:rPr>
        <w:t>1</w:t>
      </w:r>
      <w:r>
        <w:rPr>
          <w:rFonts w:hint="eastAsia" w:ascii="宋体"/>
          <w:sz w:val="24"/>
        </w:rPr>
        <w:t>.</w:t>
      </w:r>
      <w:r>
        <w:rPr>
          <w:rFonts w:ascii="宋体"/>
          <w:sz w:val="24"/>
        </w:rPr>
        <w:t>合同经双方法定代表人或授权代表签字并加盖单位公章后生效。</w:t>
      </w:r>
    </w:p>
    <w:p w14:paraId="3B935BC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sz w:val="24"/>
        </w:rPr>
      </w:pPr>
      <w:r>
        <w:rPr>
          <w:rFonts w:hint="eastAsia" w:ascii="宋体"/>
          <w:sz w:val="24"/>
        </w:rPr>
        <w:t>2.</w:t>
      </w:r>
      <w:r>
        <w:rPr>
          <w:rFonts w:ascii="宋体"/>
          <w:sz w:val="24"/>
        </w:rPr>
        <w:t>本合同未尽事宜，遵照《中华人民共和国民法典》有关条文执行。</w:t>
      </w:r>
    </w:p>
    <w:p w14:paraId="71CDAEC2">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sz w:val="24"/>
        </w:rPr>
        <w:t>3.</w:t>
      </w:r>
      <w:r>
        <w:rPr>
          <w:rFonts w:hint="eastAsia" w:ascii="宋体"/>
          <w:kern w:val="0"/>
          <w:sz w:val="24"/>
        </w:rPr>
        <w:t xml:space="preserve"> </w:t>
      </w:r>
      <w:r>
        <w:rPr>
          <w:rFonts w:hint="eastAsia" w:ascii="宋体"/>
          <w:b/>
          <w:sz w:val="24"/>
        </w:rPr>
        <w:t>本合同一式</w:t>
      </w:r>
      <w:r>
        <w:rPr>
          <w:rFonts w:hint="eastAsia" w:ascii="宋体"/>
          <w:b/>
          <w:sz w:val="24"/>
          <w:lang w:val="en-US" w:eastAsia="zh-CN"/>
        </w:rPr>
        <w:t>8</w:t>
      </w:r>
      <w:r>
        <w:rPr>
          <w:rFonts w:hint="eastAsia" w:ascii="宋体"/>
          <w:b/>
          <w:sz w:val="24"/>
        </w:rPr>
        <w:t>份。甲、乙双方各执</w:t>
      </w:r>
      <w:r>
        <w:rPr>
          <w:rFonts w:hint="eastAsia" w:ascii="宋体"/>
          <w:b/>
          <w:sz w:val="24"/>
          <w:lang w:val="en-US" w:eastAsia="zh-CN"/>
        </w:rPr>
        <w:t>3</w:t>
      </w:r>
      <w:r>
        <w:rPr>
          <w:rFonts w:hint="eastAsia" w:ascii="宋体"/>
          <w:b/>
          <w:sz w:val="24"/>
        </w:rPr>
        <w:t>份</w:t>
      </w:r>
      <w:r>
        <w:rPr>
          <w:rFonts w:hint="eastAsia" w:ascii="宋体"/>
          <w:b/>
          <w:sz w:val="24"/>
          <w:lang w:eastAsia="zh-CN"/>
        </w:rPr>
        <w:t>，采购代理机构执</w:t>
      </w:r>
      <w:r>
        <w:rPr>
          <w:rFonts w:hint="eastAsia" w:ascii="宋体"/>
          <w:b/>
          <w:sz w:val="24"/>
          <w:lang w:val="en-US" w:eastAsia="zh-CN"/>
        </w:rPr>
        <w:t>2份</w:t>
      </w:r>
      <w:r>
        <w:rPr>
          <w:rFonts w:hint="eastAsia" w:ascii="宋体"/>
          <w:b/>
          <w:sz w:val="24"/>
        </w:rPr>
        <w:t>。本项目未尽事宜以招标文件、投标文件及澄清文件等为准，并作为合同的组成部分。</w:t>
      </w:r>
    </w:p>
    <w:p w14:paraId="20CC1C7E">
      <w:pPr>
        <w:widowControl/>
        <w:spacing w:line="360" w:lineRule="auto"/>
        <w:rPr>
          <w:rFonts w:hint="eastAsia" w:ascii="宋体" w:hAnsi="宋体" w:eastAsia="宋体" w:cs="宋体"/>
          <w:kern w:val="0"/>
          <w:sz w:val="24"/>
          <w:szCs w:val="24"/>
        </w:rPr>
      </w:pPr>
    </w:p>
    <w:p w14:paraId="056DA0E7">
      <w:pPr>
        <w:widowControl/>
        <w:spacing w:line="360" w:lineRule="auto"/>
        <w:rPr>
          <w:rFonts w:hint="eastAsia" w:ascii="宋体" w:hAnsi="宋体" w:eastAsia="宋体" w:cs="宋体"/>
          <w:b/>
          <w:sz w:val="24"/>
          <w:szCs w:val="24"/>
        </w:rPr>
      </w:pPr>
    </w:p>
    <w:p w14:paraId="151BFE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甲方（公章）                             乙方（公章）</w:t>
      </w:r>
    </w:p>
    <w:p w14:paraId="2EDA0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                             法定代表人：</w:t>
      </w:r>
    </w:p>
    <w:p w14:paraId="0EE13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委托代理人：                             委托代理人：</w:t>
      </w:r>
    </w:p>
    <w:p w14:paraId="5BDAB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                               联系电话：</w:t>
      </w:r>
    </w:p>
    <w:p w14:paraId="08EAAD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开户银行：                               开户银行：</w:t>
      </w:r>
    </w:p>
    <w:p w14:paraId="4CD6A2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账号：                                   账号：</w:t>
      </w:r>
    </w:p>
    <w:p w14:paraId="61BAA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39D56F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sectPr>
          <w:headerReference r:id="rId3" w:type="default"/>
          <w:footerReference r:id="rId4" w:type="default"/>
          <w:pgSz w:w="11906" w:h="16838"/>
          <w:pgMar w:top="1247" w:right="1361" w:bottom="1247" w:left="1361" w:header="851" w:footer="851" w:gutter="0"/>
          <w:pgNumType w:fmt="decimal" w:start="1"/>
          <w:cols w:space="720" w:num="1"/>
          <w:docGrid w:type="lines" w:linePitch="312" w:charSpace="0"/>
        </w:sectPr>
      </w:pPr>
      <w:r>
        <w:rPr>
          <w:rFonts w:hint="eastAsia" w:ascii="宋体" w:hAnsi="宋体" w:eastAsia="宋体" w:cs="宋体"/>
          <w:sz w:val="24"/>
          <w:szCs w:val="24"/>
        </w:rPr>
        <w:t>签订时间：    年   月    日</w:t>
      </w:r>
    </w:p>
    <w:p w14:paraId="0A755BE9">
      <w:pPr>
        <w:spacing w:line="360" w:lineRule="exact"/>
        <w:jc w:val="center"/>
        <w:rPr>
          <w:rFonts w:hint="eastAsia" w:ascii="宋体" w:hAnsi="宋体" w:eastAsia="宋体" w:cs="宋体"/>
          <w:bCs/>
          <w:sz w:val="21"/>
          <w:szCs w:val="21"/>
        </w:rPr>
      </w:pPr>
      <w:r>
        <w:rPr>
          <w:rFonts w:hint="eastAsia" w:ascii="宋体" w:hAnsi="宋体" w:eastAsia="宋体" w:cs="宋体"/>
          <w:b/>
          <w:bCs/>
          <w:sz w:val="28"/>
          <w:szCs w:val="28"/>
        </w:rPr>
        <w:t>建设项目廉政责任书</w:t>
      </w:r>
    </w:p>
    <w:p w14:paraId="7E11CEF9">
      <w:pPr>
        <w:pStyle w:val="15"/>
        <w:jc w:val="left"/>
        <w:rPr>
          <w:rFonts w:hint="eastAsia" w:ascii="宋体" w:hAnsi="宋体" w:eastAsia="宋体" w:cs="宋体"/>
          <w:szCs w:val="21"/>
        </w:rPr>
      </w:pPr>
    </w:p>
    <w:p w14:paraId="5C06663F">
      <w:pPr>
        <w:pStyle w:val="1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754C45A">
      <w:pPr>
        <w:pStyle w:val="1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项目地址：</w:t>
      </w:r>
      <w:r>
        <w:rPr>
          <w:rFonts w:hint="eastAsia" w:ascii="宋体" w:hAnsi="宋体" w:eastAsia="宋体" w:cs="宋体"/>
          <w:sz w:val="24"/>
          <w:szCs w:val="24"/>
          <w:u w:val="single"/>
        </w:rPr>
        <w:t xml:space="preserve">                                                           </w:t>
      </w:r>
    </w:p>
    <w:p w14:paraId="76B0F211">
      <w:pPr>
        <w:pStyle w:val="1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u w:val="single"/>
        </w:rPr>
      </w:pPr>
      <w:r>
        <w:rPr>
          <w:rFonts w:hint="eastAsia" w:hAnsi="宋体" w:cs="宋体"/>
          <w:sz w:val="24"/>
          <w:szCs w:val="24"/>
          <w:lang w:val="en-US" w:eastAsia="zh-CN"/>
        </w:rPr>
        <w:t>采购人</w:t>
      </w:r>
      <w:r>
        <w:rPr>
          <w:rFonts w:hint="eastAsia" w:ascii="宋体" w:hAnsi="宋体" w:eastAsia="宋体" w:cs="宋体"/>
          <w:sz w:val="24"/>
          <w:szCs w:val="24"/>
        </w:rPr>
        <w:t>（甲方）：</w:t>
      </w:r>
      <w:r>
        <w:rPr>
          <w:rFonts w:hint="eastAsia" w:ascii="宋体" w:hAnsi="宋体" w:eastAsia="宋体" w:cs="宋体"/>
          <w:sz w:val="24"/>
          <w:szCs w:val="24"/>
          <w:u w:val="single"/>
        </w:rPr>
        <w:t xml:space="preserve">                                                        </w:t>
      </w:r>
    </w:p>
    <w:p w14:paraId="675C968A">
      <w:pPr>
        <w:pStyle w:val="1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hAnsi="宋体" w:cs="宋体"/>
          <w:sz w:val="24"/>
          <w:szCs w:val="24"/>
          <w:lang w:val="en-US" w:eastAsia="zh-CN"/>
        </w:rPr>
        <w:t>供应商</w:t>
      </w: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0240255C">
      <w:pPr>
        <w:pStyle w:val="15"/>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为加强</w:t>
      </w:r>
      <w:r>
        <w:rPr>
          <w:rFonts w:hint="eastAsia" w:hAnsi="宋体" w:cs="宋体"/>
          <w:sz w:val="24"/>
          <w:szCs w:val="24"/>
          <w:lang w:val="en-US" w:eastAsia="zh-CN"/>
        </w:rPr>
        <w:t>项目</w:t>
      </w:r>
      <w:r>
        <w:rPr>
          <w:rFonts w:hint="eastAsia" w:ascii="宋体" w:hAnsi="宋体" w:eastAsia="宋体" w:cs="宋体"/>
          <w:sz w:val="24"/>
          <w:szCs w:val="24"/>
        </w:rPr>
        <w:t>建设中的廉政建设，规范建设项目承发包双方的各项活动，防止发生各种谋取不正当利益的违法违纪行为，保护国家、集体和当事人的合法权益，根据国家有关工程建设的法律法规和廉政建设责任制规定，特订立本廉政责任书。</w:t>
      </w:r>
    </w:p>
    <w:p w14:paraId="0FD48C95">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第一条 甲乙双方的责任</w:t>
      </w:r>
    </w:p>
    <w:p w14:paraId="0BD2F9D4">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（一）应严格遵守国家关于市场准入、项目招标投标、工程建设、施工安装和市场活动等有关法律、法规，相关政策，以及廉政建设的各项规定。</w:t>
      </w:r>
    </w:p>
    <w:p w14:paraId="6B201CE8">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（二）严格执行建设工程项目承发包合同文件，自觉按合同办事。</w:t>
      </w:r>
    </w:p>
    <w:p w14:paraId="70D59B63">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（三）业务活动必须坚持公开、公平、公正、诚信、透明的原则（除法律法规另有规定者外），不得为获取不正当的利益，损害国家、集体和对方利益，不得违反工程建设管理、施工安装的规章制度。</w:t>
      </w:r>
    </w:p>
    <w:p w14:paraId="61124ED7">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（四）发现对方在业务活动中有违规、违纪、违法行为的，应及时提醒对方，情节严重的，应向其上级主管部门或纪检监察、司法等有关机关举报。</w:t>
      </w:r>
    </w:p>
    <w:p w14:paraId="1E4795FB">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第二条 甲方的责任</w:t>
      </w:r>
    </w:p>
    <w:p w14:paraId="3E9F916E">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甲方的领导和从事该建设工程项目的工作人员，在工程建设的事前、事中、事后应遵守以下规定：</w:t>
      </w:r>
    </w:p>
    <w:p w14:paraId="371E5194">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（一）不准向乙方和相关单位索要或接受回扣、礼金、有价证券、贵重物品和好处费、感谢费等。</w:t>
      </w:r>
    </w:p>
    <w:p w14:paraId="2D57328E">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（二）不准在乙方和相关单位报销任何应由甲方或个人支付的费用。</w:t>
      </w:r>
    </w:p>
    <w:p w14:paraId="4F94E3F9">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（三）不准要求、暗示和接受乙方和相关单位为个人装修住房、婚丧嫁娶、配偶子女的工作安排以及出国（境）、旅游等提供方便。</w:t>
      </w:r>
    </w:p>
    <w:p w14:paraId="0BEFEE36">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（四）不准参加有可能影响公正执行公务的乙方和相关单位的宴请和健身、娱乐等活动。</w:t>
      </w:r>
    </w:p>
    <w:p w14:paraId="27A1F525">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BF0B27E">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第三条 乙方的责任</w:t>
      </w:r>
    </w:p>
    <w:p w14:paraId="0E3286D5">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应与甲方保持正常的业务交往，按照有关法律法规和程序开展业务工作，严格执行工程建设的有关方针、政策，尤其是有关建筑施工安装的强制性标准和规范，并遵守以下规定：</w:t>
      </w:r>
    </w:p>
    <w:p w14:paraId="7A7D7F45">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（一）不准以任何理由向甲方、相关单位及其工作人员索要、接受或赠送礼金、有价证券、贵重物品和回扣、好处费、感谢费等。</w:t>
      </w:r>
    </w:p>
    <w:p w14:paraId="2C7859B6">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（二）不准以任何理由为甲方和相关单位报销应由对方或个人支付的费用。</w:t>
      </w:r>
    </w:p>
    <w:p w14:paraId="5EAE49B5">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（三）不准接受或暗示为甲方、相关单位或个人装修住房、婚丧嫁娶、配偶子女的工作安排以及出国（境）、旅游等提供方便。</w:t>
      </w:r>
    </w:p>
    <w:p w14:paraId="466A698A">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（四）不准以任何理由为甲方、相关单位或个人组织有可能影响公正执行公务的宴请、健身、娱乐等活动。</w:t>
      </w:r>
    </w:p>
    <w:p w14:paraId="1BE0BBD0">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第四条 违约责任</w:t>
      </w:r>
    </w:p>
    <w:p w14:paraId="0697DA02">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29DB5E4">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05F0BE5">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第五条 本责任书作为工程合同的附件，与工程合同具有同等法律效力。经双方签署后立即生效。</w:t>
      </w:r>
    </w:p>
    <w:p w14:paraId="051DABAD">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第六条 本责任书的有效期为双方签署之日起至该工程项目竣工验收合格时止。</w:t>
      </w:r>
    </w:p>
    <w:p w14:paraId="30E4C8D7">
      <w:pPr>
        <w:pStyle w:val="15"/>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第七条 本责任书一式八份。</w:t>
      </w:r>
    </w:p>
    <w:p w14:paraId="538C912B">
      <w:pPr>
        <w:pStyle w:val="15"/>
        <w:keepNext w:val="0"/>
        <w:keepLines w:val="0"/>
        <w:pageBreakBefore w:val="0"/>
        <w:widowControl w:val="0"/>
        <w:kinsoku/>
        <w:overflowPunct/>
        <w:topLinePunct w:val="0"/>
        <w:bidi w:val="0"/>
        <w:adjustRightInd/>
        <w:snapToGrid/>
        <w:spacing w:line="440" w:lineRule="exact"/>
        <w:jc w:val="left"/>
        <w:textAlignment w:val="auto"/>
        <w:rPr>
          <w:rFonts w:hint="eastAsia" w:ascii="宋体" w:hAnsi="宋体" w:eastAsia="宋体" w:cs="宋体"/>
          <w:sz w:val="24"/>
          <w:szCs w:val="24"/>
        </w:rPr>
      </w:pPr>
    </w:p>
    <w:p w14:paraId="3567AD6F">
      <w:pPr>
        <w:pStyle w:val="15"/>
        <w:keepNext w:val="0"/>
        <w:keepLines w:val="0"/>
        <w:pageBreakBefore w:val="0"/>
        <w:widowControl w:val="0"/>
        <w:kinsoku/>
        <w:overflowPunct/>
        <w:topLinePunct w:val="0"/>
        <w:bidi w:val="0"/>
        <w:adjustRightInd/>
        <w:snapToGrid/>
        <w:spacing w:line="440" w:lineRule="exact"/>
        <w:jc w:val="left"/>
        <w:textAlignment w:val="auto"/>
        <w:rPr>
          <w:rFonts w:hint="eastAsia" w:ascii="宋体" w:hAnsi="宋体" w:eastAsia="宋体" w:cs="宋体"/>
          <w:sz w:val="24"/>
          <w:szCs w:val="24"/>
        </w:rPr>
      </w:pPr>
    </w:p>
    <w:p w14:paraId="37495DD8">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 xml:space="preserve">甲方单位（公章）：　　　　　　　　      乙方单位（公章）： </w:t>
      </w:r>
    </w:p>
    <w:p w14:paraId="57E4AB1C">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kern w:val="0"/>
          <w:sz w:val="24"/>
          <w:szCs w:val="24"/>
        </w:rPr>
        <w:t>（签字）：</w:t>
      </w:r>
      <w:r>
        <w:rPr>
          <w:rFonts w:hint="eastAsia" w:ascii="宋体" w:hAnsi="宋体" w:eastAsia="宋体" w:cs="宋体"/>
          <w:sz w:val="24"/>
          <w:szCs w:val="24"/>
        </w:rPr>
        <w:t>　　　　　　　　　  法定代表人</w:t>
      </w:r>
      <w:r>
        <w:rPr>
          <w:rFonts w:hint="eastAsia" w:ascii="宋体" w:hAnsi="宋体" w:eastAsia="宋体" w:cs="宋体"/>
          <w:kern w:val="0"/>
          <w:sz w:val="24"/>
          <w:szCs w:val="24"/>
        </w:rPr>
        <w:t>（签字）：</w:t>
      </w:r>
    </w:p>
    <w:p w14:paraId="2A4804AA">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地址：　　　　　　　　　　　　　        地址：</w:t>
      </w:r>
    </w:p>
    <w:p w14:paraId="3757195C">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电话：　　　　　　　　　　　　　　　    电话：</w:t>
      </w:r>
    </w:p>
    <w:p w14:paraId="023C71ED">
      <w:pPr>
        <w:keepNext w:val="0"/>
        <w:keepLines w:val="0"/>
        <w:pageBreakBefore w:val="0"/>
        <w:widowControl w:val="0"/>
        <w:kinsoku/>
        <w:wordWrap w:val="0"/>
        <w:overflowPunct/>
        <w:topLinePunct w:val="0"/>
        <w:autoSpaceDE w:val="0"/>
        <w:autoSpaceDN w:val="0"/>
        <w:bidi w:val="0"/>
        <w:adjustRightInd/>
        <w:snapToGrid/>
        <w:spacing w:line="440" w:lineRule="exact"/>
        <w:ind w:firstLine="1027" w:firstLineChars="428"/>
        <w:textAlignment w:val="auto"/>
        <w:rPr>
          <w:rFonts w:hint="eastAsia" w:ascii="宋体" w:hAnsi="宋体" w:eastAsia="宋体" w:cs="宋体"/>
          <w:sz w:val="24"/>
          <w:szCs w:val="24"/>
        </w:rPr>
      </w:pPr>
      <w:r>
        <w:rPr>
          <w:rFonts w:hint="eastAsia" w:ascii="宋体" w:hAnsi="宋体" w:eastAsia="宋体" w:cs="宋体"/>
          <w:sz w:val="24"/>
          <w:szCs w:val="24"/>
        </w:rPr>
        <w:t>年　月　日　　　　　　　　　　　　　    年　月　日</w:t>
      </w:r>
    </w:p>
    <w:p w14:paraId="314ED6AA">
      <w:pPr>
        <w:keepNext w:val="0"/>
        <w:keepLines w:val="0"/>
        <w:pageBreakBefore w:val="0"/>
        <w:widowControl w:val="0"/>
        <w:kinsoku/>
        <w:wordWrap w:val="0"/>
        <w:overflowPunct/>
        <w:topLinePunct w:val="0"/>
        <w:autoSpaceDE w:val="0"/>
        <w:autoSpaceDN w:val="0"/>
        <w:bidi w:val="0"/>
        <w:adjustRightInd/>
        <w:snapToGrid/>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甲方监督单位（盖章）　　　　　　　　　  乙方监督单位（盖章）</w:t>
      </w:r>
    </w:p>
    <w:p w14:paraId="2ACA32BF">
      <w:pPr>
        <w:spacing w:line="400" w:lineRule="exact"/>
        <w:rPr>
          <w:rFonts w:hint="eastAsia" w:ascii="宋体" w:hAnsi="宋体" w:eastAsia="宋体" w:cs="宋体"/>
          <w:sz w:val="21"/>
          <w:szCs w:val="21"/>
        </w:rPr>
      </w:pPr>
      <w:r>
        <w:rPr>
          <w:rFonts w:hint="eastAsia" w:ascii="宋体" w:hAnsi="宋体" w:eastAsia="宋体" w:cs="宋体"/>
          <w:b w:val="0"/>
          <w:bCs w:val="0"/>
          <w:kern w:val="2"/>
          <w:sz w:val="24"/>
          <w:szCs w:val="24"/>
          <w:lang w:val="en-US" w:eastAsia="zh-CN" w:bidi="ar-SA"/>
        </w:rPr>
        <w:t xml:space="preserve">         年　月　日　　　　　　　　　　　　　　</w:t>
      </w:r>
      <w:r>
        <w:rPr>
          <w:rFonts w:hint="eastAsia" w:ascii="宋体" w:hAnsi="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en-US" w:eastAsia="zh-CN" w:bidi="ar-SA"/>
        </w:rPr>
        <w:t>年　月　日</w:t>
      </w:r>
    </w:p>
    <w:p w14:paraId="74B61437">
      <w:pPr>
        <w:rPr>
          <w:rFonts w:hint="eastAsia" w:ascii="宋体" w:hAnsi="宋体" w:eastAsia="宋体" w:cs="宋体"/>
          <w:sz w:val="21"/>
          <w:szCs w:val="21"/>
        </w:rPr>
      </w:pPr>
    </w:p>
    <w:p w14:paraId="6F1B29B4">
      <w:pPr>
        <w:pStyle w:val="17"/>
        <w:spacing w:before="156"/>
        <w:ind w:firstLine="210"/>
        <w:rPr>
          <w:rFonts w:hint="eastAsia"/>
          <w:lang w:eastAsia="zh-CN"/>
        </w:rPr>
      </w:pPr>
    </w:p>
    <w:p w14:paraId="0EAF275B">
      <w:pPr>
        <w:rPr>
          <w:color w:val="auto"/>
          <w:highlight w:val="none"/>
        </w:rPr>
      </w:pPr>
    </w:p>
    <w:p w14:paraId="43C1715B">
      <w:pPr>
        <w:pStyle w:val="17"/>
        <w:rPr>
          <w:color w:val="auto"/>
          <w:highlight w:val="none"/>
        </w:rPr>
      </w:pPr>
    </w:p>
    <w:p w14:paraId="3F0B6024">
      <w:pPr>
        <w:pStyle w:val="18"/>
        <w:rPr>
          <w:color w:val="auto"/>
          <w:highlight w:val="none"/>
        </w:rPr>
      </w:pPr>
    </w:p>
    <w:p w14:paraId="6D5F6D7D">
      <w:pPr>
        <w:pStyle w:val="19"/>
        <w:rPr>
          <w:color w:val="auto"/>
          <w:highlight w:val="none"/>
        </w:rPr>
      </w:pPr>
    </w:p>
    <w:p w14:paraId="72E572B5">
      <w:pPr>
        <w:pStyle w:val="19"/>
        <w:rPr>
          <w:color w:val="auto"/>
          <w:highlight w:val="none"/>
        </w:rPr>
      </w:pPr>
    </w:p>
    <w:p w14:paraId="77F56550">
      <w:pPr>
        <w:pStyle w:val="19"/>
        <w:rPr>
          <w:color w:val="auto"/>
          <w:highlight w:val="none"/>
        </w:rPr>
      </w:pPr>
    </w:p>
    <w:p w14:paraId="3373CA59">
      <w:pPr>
        <w:pStyle w:val="19"/>
        <w:rPr>
          <w:color w:val="auto"/>
          <w:highlight w:val="none"/>
        </w:rPr>
      </w:pPr>
    </w:p>
    <w:p w14:paraId="6DCE364B">
      <w:pPr>
        <w:pStyle w:val="19"/>
        <w:rPr>
          <w:color w:val="auto"/>
          <w:highlight w:val="none"/>
        </w:rPr>
      </w:pPr>
    </w:p>
    <w:p w14:paraId="54D662F5">
      <w:pPr>
        <w:pStyle w:val="19"/>
        <w:rPr>
          <w:color w:val="auto"/>
          <w:highlight w:val="none"/>
        </w:rPr>
      </w:pPr>
    </w:p>
    <w:p w14:paraId="0D3209A1">
      <w:pPr>
        <w:pStyle w:val="18"/>
        <w:rPr>
          <w:color w:val="auto"/>
          <w:highlight w:val="none"/>
        </w:rPr>
      </w:pPr>
    </w:p>
    <w:p w14:paraId="6BAAEFC9">
      <w:pPr>
        <w:rPr>
          <w:color w:val="auto"/>
          <w:highlight w:val="none"/>
        </w:rPr>
      </w:pPr>
    </w:p>
    <w:p w14:paraId="4E9A101A">
      <w:pPr>
        <w:pStyle w:val="18"/>
        <w:rPr>
          <w:color w:val="auto"/>
          <w:highlight w:val="none"/>
        </w:rPr>
      </w:pPr>
    </w:p>
    <w:p w14:paraId="4CA49650">
      <w:pPr>
        <w:rPr>
          <w:color w:val="auto"/>
          <w:highlight w:val="none"/>
        </w:rPr>
      </w:pPr>
    </w:p>
    <w:p w14:paraId="458EB88F">
      <w:pPr>
        <w:pStyle w:val="17"/>
        <w:rPr>
          <w:color w:val="auto"/>
          <w:highlight w:val="none"/>
        </w:rPr>
      </w:pPr>
    </w:p>
    <w:p w14:paraId="2C8723DD">
      <w:pPr>
        <w:pStyle w:val="18"/>
        <w:rPr>
          <w:color w:val="auto"/>
          <w:highlight w:val="none"/>
        </w:rPr>
      </w:pPr>
    </w:p>
    <w:p w14:paraId="52F90FF3">
      <w:pPr>
        <w:pStyle w:val="19"/>
        <w:rPr>
          <w:color w:val="auto"/>
          <w:highlight w:val="none"/>
        </w:rPr>
      </w:pPr>
    </w:p>
    <w:p w14:paraId="1511B6FF">
      <w:pPr>
        <w:pStyle w:val="19"/>
        <w:rPr>
          <w:color w:val="auto"/>
          <w:highlight w:val="none"/>
        </w:rPr>
      </w:pPr>
    </w:p>
    <w:p w14:paraId="2F8C9D2F">
      <w:pPr>
        <w:pStyle w:val="19"/>
        <w:rPr>
          <w:color w:val="auto"/>
          <w:highlight w:val="none"/>
        </w:rPr>
      </w:pPr>
    </w:p>
    <w:p w14:paraId="0CE1AB63">
      <w:pPr>
        <w:pStyle w:val="19"/>
        <w:rPr>
          <w:color w:val="auto"/>
          <w:highlight w:val="none"/>
        </w:rPr>
      </w:pPr>
    </w:p>
    <w:p w14:paraId="77F69A48">
      <w:pPr>
        <w:pStyle w:val="19"/>
        <w:rPr>
          <w:color w:val="auto"/>
          <w:highlight w:val="none"/>
        </w:rPr>
      </w:pPr>
    </w:p>
    <w:p w14:paraId="496D3EB1">
      <w:pPr>
        <w:pStyle w:val="19"/>
        <w:rPr>
          <w:color w:val="auto"/>
          <w:highlight w:val="none"/>
        </w:rPr>
      </w:pPr>
    </w:p>
    <w:p w14:paraId="19304911">
      <w:pPr>
        <w:pStyle w:val="19"/>
        <w:rPr>
          <w:color w:val="auto"/>
          <w:highlight w:val="none"/>
        </w:rPr>
      </w:pPr>
    </w:p>
    <w:p w14:paraId="20E639AD">
      <w:pPr>
        <w:pStyle w:val="19"/>
        <w:rPr>
          <w:color w:val="auto"/>
          <w:highlight w:val="none"/>
        </w:rPr>
      </w:pPr>
    </w:p>
    <w:p w14:paraId="17D8ED50">
      <w:pPr>
        <w:pStyle w:val="19"/>
        <w:rPr>
          <w:color w:val="auto"/>
          <w:highlight w:val="none"/>
        </w:rPr>
      </w:pPr>
    </w:p>
    <w:p w14:paraId="0B000B9C">
      <w:pPr>
        <w:pStyle w:val="18"/>
        <w:rPr>
          <w:color w:val="auto"/>
          <w:highlight w:val="none"/>
        </w:rPr>
      </w:pPr>
    </w:p>
    <w:p w14:paraId="07ED60DC">
      <w:pPr>
        <w:pStyle w:val="3"/>
        <w:jc w:val="center"/>
        <w:rPr>
          <w:rFonts w:ascii="宋体"/>
          <w:b w:val="0"/>
          <w:color w:val="auto"/>
          <w:sz w:val="36"/>
          <w:szCs w:val="36"/>
          <w:highlight w:val="none"/>
        </w:rPr>
      </w:pPr>
      <w:bookmarkStart w:id="35" w:name="_Toc68703373"/>
      <w:r>
        <w:rPr>
          <w:rFonts w:hint="eastAsia" w:ascii="宋体"/>
          <w:b w:val="0"/>
          <w:color w:val="auto"/>
          <w:sz w:val="36"/>
          <w:szCs w:val="36"/>
          <w:highlight w:val="none"/>
        </w:rPr>
        <w:t>第六章  投标文件格式附件</w:t>
      </w:r>
      <w:bookmarkEnd w:id="35"/>
    </w:p>
    <w:p w14:paraId="55B42403">
      <w:pPr>
        <w:rPr>
          <w:rFonts w:ascii="宋体"/>
          <w:b/>
          <w:color w:val="auto"/>
          <w:kern w:val="0"/>
          <w:sz w:val="28"/>
          <w:szCs w:val="28"/>
          <w:highlight w:val="none"/>
        </w:rPr>
      </w:pPr>
      <w:r>
        <w:rPr>
          <w:rFonts w:hint="eastAsia" w:ascii="宋体"/>
          <w:b/>
          <w:color w:val="auto"/>
          <w:kern w:val="0"/>
          <w:sz w:val="28"/>
          <w:szCs w:val="28"/>
          <w:highlight w:val="none"/>
        </w:rPr>
        <w:t>附件1</w:t>
      </w:r>
      <w:r>
        <w:rPr>
          <w:rFonts w:hint="eastAsia" w:ascii="宋体"/>
          <w:color w:val="auto"/>
          <w:sz w:val="30"/>
          <w:szCs w:val="30"/>
          <w:highlight w:val="none"/>
        </w:rPr>
        <w:t xml:space="preserve">       </w:t>
      </w:r>
    </w:p>
    <w:p w14:paraId="4FBA20D6">
      <w:pPr>
        <w:spacing w:line="360" w:lineRule="auto"/>
        <w:rPr>
          <w:rFonts w:ascii="宋体"/>
          <w:b/>
          <w:color w:val="auto"/>
          <w:sz w:val="30"/>
          <w:szCs w:val="30"/>
          <w:highlight w:val="none"/>
        </w:rPr>
      </w:pPr>
    </w:p>
    <w:p w14:paraId="425CA700">
      <w:pPr>
        <w:spacing w:beforeLines="100" w:line="360" w:lineRule="auto"/>
        <w:ind w:right="-108"/>
        <w:jc w:val="center"/>
        <w:rPr>
          <w:rFonts w:hint="eastAsia" w:ascii="宋体"/>
          <w:color w:val="auto"/>
          <w:spacing w:val="40"/>
          <w:sz w:val="36"/>
          <w:szCs w:val="36"/>
          <w:highlight w:val="none"/>
          <w:lang w:eastAsia="zh-CN"/>
        </w:rPr>
      </w:pPr>
      <w:r>
        <w:rPr>
          <w:rFonts w:hint="eastAsia" w:ascii="宋体"/>
          <w:color w:val="auto"/>
          <w:spacing w:val="40"/>
          <w:sz w:val="36"/>
          <w:szCs w:val="36"/>
          <w:highlight w:val="none"/>
          <w:lang w:eastAsia="zh-CN"/>
        </w:rPr>
        <w:t>海虹街道排水设施排查养护项目</w:t>
      </w:r>
    </w:p>
    <w:p w14:paraId="1FA5AD0D">
      <w:pPr>
        <w:spacing w:beforeLines="100" w:line="360" w:lineRule="auto"/>
        <w:ind w:right="-108"/>
        <w:jc w:val="center"/>
        <w:rPr>
          <w:rFonts w:ascii="宋体"/>
          <w:color w:val="auto"/>
          <w:sz w:val="36"/>
          <w:szCs w:val="36"/>
          <w:highlight w:val="none"/>
        </w:rPr>
      </w:pPr>
      <w:r>
        <w:rPr>
          <w:rFonts w:hint="eastAsia" w:ascii="宋体"/>
          <w:color w:val="auto"/>
          <w:sz w:val="36"/>
          <w:szCs w:val="36"/>
          <w:highlight w:val="none"/>
        </w:rPr>
        <w:t>项目编号：</w:t>
      </w:r>
      <w:r>
        <w:rPr>
          <w:rFonts w:ascii="宋体"/>
          <w:color w:val="auto"/>
          <w:sz w:val="36"/>
          <w:szCs w:val="36"/>
          <w:highlight w:val="none"/>
        </w:rPr>
        <w:t xml:space="preserve"> </w:t>
      </w:r>
    </w:p>
    <w:p w14:paraId="4040ED43">
      <w:pPr>
        <w:autoSpaceDE w:val="0"/>
        <w:autoSpaceDN w:val="0"/>
        <w:adjustRightInd w:val="0"/>
        <w:spacing w:line="360" w:lineRule="auto"/>
        <w:jc w:val="center"/>
        <w:rPr>
          <w:rFonts w:ascii="宋体" w:cs="宋体"/>
          <w:color w:val="auto"/>
          <w:sz w:val="84"/>
          <w:szCs w:val="84"/>
          <w:highlight w:val="none"/>
          <w:lang w:val="zh-CN"/>
        </w:rPr>
      </w:pPr>
      <w:r>
        <w:rPr>
          <w:rFonts w:hint="eastAsia" w:ascii="宋体" w:cs="宋体"/>
          <w:color w:val="auto"/>
          <w:sz w:val="84"/>
          <w:szCs w:val="84"/>
          <w:highlight w:val="none"/>
          <w:lang w:val="zh-CN"/>
        </w:rPr>
        <w:t>投</w:t>
      </w:r>
    </w:p>
    <w:p w14:paraId="5161440C">
      <w:pPr>
        <w:autoSpaceDE w:val="0"/>
        <w:autoSpaceDN w:val="0"/>
        <w:adjustRightInd w:val="0"/>
        <w:spacing w:line="360" w:lineRule="auto"/>
        <w:jc w:val="center"/>
        <w:rPr>
          <w:rFonts w:ascii="宋体" w:cs="宋体"/>
          <w:color w:val="auto"/>
          <w:sz w:val="84"/>
          <w:szCs w:val="84"/>
          <w:highlight w:val="none"/>
          <w:lang w:val="zh-CN"/>
        </w:rPr>
      </w:pPr>
      <w:r>
        <w:rPr>
          <w:rFonts w:hint="eastAsia" w:ascii="宋体" w:cs="宋体"/>
          <w:color w:val="auto"/>
          <w:sz w:val="84"/>
          <w:szCs w:val="84"/>
          <w:highlight w:val="none"/>
          <w:lang w:val="zh-CN"/>
        </w:rPr>
        <w:t>标</w:t>
      </w:r>
    </w:p>
    <w:p w14:paraId="5EF19370">
      <w:pPr>
        <w:autoSpaceDE w:val="0"/>
        <w:autoSpaceDN w:val="0"/>
        <w:adjustRightInd w:val="0"/>
        <w:spacing w:line="360" w:lineRule="auto"/>
        <w:jc w:val="center"/>
        <w:rPr>
          <w:rFonts w:ascii="宋体"/>
          <w:color w:val="auto"/>
          <w:sz w:val="84"/>
          <w:szCs w:val="84"/>
          <w:highlight w:val="none"/>
        </w:rPr>
      </w:pPr>
      <w:r>
        <w:rPr>
          <w:rFonts w:hint="eastAsia" w:ascii="宋体" w:cs="宋体"/>
          <w:color w:val="auto"/>
          <w:sz w:val="84"/>
          <w:szCs w:val="84"/>
          <w:highlight w:val="none"/>
          <w:lang w:val="zh-CN"/>
        </w:rPr>
        <w:t>文</w:t>
      </w:r>
    </w:p>
    <w:p w14:paraId="2CC53456">
      <w:pPr>
        <w:spacing w:after="100" w:afterAutospacing="1" w:line="360" w:lineRule="auto"/>
        <w:ind w:right="-108"/>
        <w:jc w:val="center"/>
        <w:rPr>
          <w:rFonts w:ascii="宋体" w:cs="宋体"/>
          <w:color w:val="auto"/>
          <w:sz w:val="84"/>
          <w:szCs w:val="84"/>
          <w:highlight w:val="none"/>
          <w:lang w:val="zh-CN"/>
        </w:rPr>
      </w:pPr>
      <w:r>
        <w:rPr>
          <w:rFonts w:hint="eastAsia" w:ascii="宋体" w:cs="宋体"/>
          <w:color w:val="auto"/>
          <w:sz w:val="84"/>
          <w:szCs w:val="84"/>
          <w:highlight w:val="none"/>
          <w:lang w:val="zh-CN"/>
        </w:rPr>
        <w:t>件</w:t>
      </w:r>
    </w:p>
    <w:p w14:paraId="1273827C">
      <w:pPr>
        <w:spacing w:after="100" w:afterAutospacing="1" w:line="360" w:lineRule="auto"/>
        <w:ind w:right="-108"/>
        <w:jc w:val="center"/>
        <w:rPr>
          <w:rFonts w:ascii="宋体"/>
          <w:b/>
          <w:color w:val="auto"/>
          <w:spacing w:val="40"/>
          <w:sz w:val="28"/>
          <w:szCs w:val="28"/>
          <w:highlight w:val="none"/>
        </w:rPr>
      </w:pPr>
      <w:r>
        <w:rPr>
          <w:rFonts w:hint="eastAsia" w:ascii="宋体" w:cs="宋体"/>
          <w:color w:val="auto"/>
          <w:sz w:val="28"/>
          <w:szCs w:val="28"/>
          <w:highlight w:val="none"/>
          <w:lang w:val="zh-CN"/>
        </w:rPr>
        <w:t>（</w:t>
      </w:r>
      <w:r>
        <w:rPr>
          <w:rFonts w:hint="eastAsia" w:ascii="宋体"/>
          <w:b/>
          <w:color w:val="auto"/>
          <w:spacing w:val="40"/>
          <w:sz w:val="28"/>
          <w:szCs w:val="28"/>
          <w:highlight w:val="none"/>
        </w:rPr>
        <w:t>资格证明文件）</w:t>
      </w:r>
    </w:p>
    <w:p w14:paraId="63EE1CA9">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投标人全称（签电子公章）：</w:t>
      </w:r>
    </w:p>
    <w:p w14:paraId="50613A43">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地    址：</w:t>
      </w:r>
    </w:p>
    <w:p w14:paraId="1B121186">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时    间：</w:t>
      </w:r>
    </w:p>
    <w:p w14:paraId="6BB33A57">
      <w:pPr>
        <w:snapToGrid w:val="0"/>
        <w:spacing w:before="50" w:after="50" w:line="360" w:lineRule="auto"/>
        <w:rPr>
          <w:rFonts w:ascii="仿宋_GB2312" w:eastAsia="仿宋_GB2312"/>
          <w:b/>
          <w:color w:val="auto"/>
          <w:sz w:val="36"/>
          <w:szCs w:val="36"/>
          <w:highlight w:val="none"/>
        </w:rPr>
      </w:pPr>
    </w:p>
    <w:p w14:paraId="6BA49073">
      <w:pPr>
        <w:snapToGrid w:val="0"/>
        <w:spacing w:before="50" w:after="50" w:line="360" w:lineRule="auto"/>
        <w:rPr>
          <w:rFonts w:ascii="仿宋_GB2312" w:eastAsia="仿宋_GB2312"/>
          <w:b/>
          <w:color w:val="auto"/>
          <w:sz w:val="36"/>
          <w:szCs w:val="36"/>
          <w:highlight w:val="none"/>
        </w:rPr>
      </w:pPr>
    </w:p>
    <w:p w14:paraId="329CDC1C">
      <w:pPr>
        <w:snapToGrid w:val="0"/>
        <w:spacing w:before="50" w:after="50" w:line="360" w:lineRule="auto"/>
        <w:rPr>
          <w:rFonts w:ascii="仿宋_GB2312" w:eastAsia="仿宋_GB2312"/>
          <w:b/>
          <w:color w:val="auto"/>
          <w:sz w:val="36"/>
          <w:szCs w:val="36"/>
          <w:highlight w:val="none"/>
        </w:rPr>
      </w:pPr>
    </w:p>
    <w:p w14:paraId="514A600F">
      <w:pPr>
        <w:snapToGrid w:val="0"/>
        <w:spacing w:before="50" w:after="50" w:line="360" w:lineRule="auto"/>
        <w:jc w:val="center"/>
        <w:rPr>
          <w:rFonts w:ascii="宋体"/>
          <w:b/>
          <w:bCs/>
          <w:color w:val="auto"/>
          <w:sz w:val="36"/>
          <w:szCs w:val="36"/>
          <w:highlight w:val="none"/>
        </w:rPr>
      </w:pPr>
      <w:r>
        <w:rPr>
          <w:rFonts w:hint="eastAsia" w:ascii="宋体"/>
          <w:b/>
          <w:bCs/>
          <w:color w:val="auto"/>
          <w:sz w:val="36"/>
          <w:szCs w:val="36"/>
          <w:highlight w:val="none"/>
        </w:rPr>
        <w:t>资格证明文件目录</w:t>
      </w:r>
    </w:p>
    <w:p w14:paraId="67F0C4A9">
      <w:pPr>
        <w:snapToGrid w:val="0"/>
        <w:spacing w:line="360" w:lineRule="auto"/>
        <w:ind w:firstLine="480" w:firstLineChars="200"/>
        <w:rPr>
          <w:rFonts w:ascii="宋体" w:cs="Arial"/>
          <w:color w:val="auto"/>
          <w:sz w:val="24"/>
          <w:highlight w:val="none"/>
        </w:rPr>
      </w:pPr>
    </w:p>
    <w:p w14:paraId="5D02FA81">
      <w:pPr>
        <w:snapToGrid w:val="0"/>
        <w:spacing w:line="360" w:lineRule="auto"/>
        <w:ind w:firstLine="480" w:firstLineChars="200"/>
        <w:rPr>
          <w:rFonts w:ascii="宋体" w:cs="Arial"/>
          <w:color w:val="auto"/>
          <w:sz w:val="24"/>
          <w:highlight w:val="none"/>
        </w:rPr>
      </w:pPr>
      <w:r>
        <w:rPr>
          <w:rFonts w:hint="eastAsia" w:ascii="宋体" w:cs="Arial"/>
          <w:color w:val="auto"/>
          <w:sz w:val="24"/>
          <w:highlight w:val="none"/>
        </w:rPr>
        <w:t>（1）投标声明书（详见附件）；</w:t>
      </w:r>
    </w:p>
    <w:p w14:paraId="46B553EB">
      <w:pPr>
        <w:snapToGrid w:val="0"/>
        <w:spacing w:line="360" w:lineRule="auto"/>
        <w:ind w:right="-313" w:rightChars="-149" w:firstLine="480" w:firstLineChars="200"/>
        <w:rPr>
          <w:rFonts w:ascii="宋体" w:cs="Arial"/>
          <w:color w:val="auto"/>
          <w:sz w:val="24"/>
          <w:highlight w:val="none"/>
        </w:rPr>
      </w:pPr>
      <w:r>
        <w:rPr>
          <w:rFonts w:hint="eastAsia" w:ascii="宋体" w:cs="Arial"/>
          <w:color w:val="auto"/>
          <w:sz w:val="24"/>
          <w:highlight w:val="none"/>
        </w:rPr>
        <w:t>（2）授权委托书（法定代表人亲自办理投标事宜的，则无需提交)</w:t>
      </w:r>
      <w:r>
        <w:rPr>
          <w:rFonts w:hint="eastAsia" w:ascii="宋体" w:hAnsi="宋体" w:cs="宋体"/>
          <w:color w:val="auto"/>
          <w:sz w:val="24"/>
          <w:highlight w:val="none"/>
        </w:rPr>
        <w:t>（详见附件）</w:t>
      </w:r>
      <w:r>
        <w:rPr>
          <w:rFonts w:hint="eastAsia" w:ascii="宋体" w:cs="Arial"/>
          <w:color w:val="auto"/>
          <w:sz w:val="24"/>
          <w:highlight w:val="none"/>
        </w:rPr>
        <w:t>；</w:t>
      </w:r>
    </w:p>
    <w:p w14:paraId="3B29CA5D">
      <w:pPr>
        <w:snapToGrid w:val="0"/>
        <w:spacing w:line="360" w:lineRule="auto"/>
        <w:ind w:firstLine="480" w:firstLineChars="200"/>
        <w:rPr>
          <w:rFonts w:ascii="宋体" w:cs="Arial"/>
          <w:color w:val="auto"/>
          <w:sz w:val="24"/>
          <w:highlight w:val="none"/>
        </w:rPr>
      </w:pPr>
      <w:r>
        <w:rPr>
          <w:rFonts w:hint="eastAsia" w:ascii="宋体" w:cs="Arial"/>
          <w:color w:val="auto"/>
          <w:sz w:val="24"/>
          <w:highlight w:val="none"/>
        </w:rPr>
        <w:t>（3）法人或者其他组织的营业执照等证明文件</w:t>
      </w:r>
      <w:r>
        <w:rPr>
          <w:rFonts w:ascii="宋体" w:cs="Arial"/>
          <w:color w:val="auto"/>
          <w:sz w:val="24"/>
          <w:highlight w:val="none"/>
        </w:rPr>
        <w:t xml:space="preserve">； </w:t>
      </w:r>
    </w:p>
    <w:p w14:paraId="4F6D0B67">
      <w:pPr>
        <w:snapToGrid w:val="0"/>
        <w:spacing w:line="360" w:lineRule="auto"/>
        <w:ind w:right="-512" w:rightChars="-244" w:firstLine="480" w:firstLineChars="200"/>
        <w:rPr>
          <w:rFonts w:ascii="宋体" w:cs="Arial"/>
          <w:color w:val="auto"/>
          <w:sz w:val="24"/>
          <w:highlight w:val="none"/>
        </w:rPr>
      </w:pPr>
      <w:r>
        <w:rPr>
          <w:rFonts w:hint="eastAsia" w:ascii="宋体" w:hAnsi="宋体" w:cs="宋体"/>
          <w:color w:val="auto"/>
          <w:sz w:val="24"/>
          <w:highlight w:val="none"/>
        </w:rPr>
        <w:t>（4）</w:t>
      </w:r>
      <w:r>
        <w:rPr>
          <w:rFonts w:hint="eastAsia" w:ascii="宋体" w:cs="Arial"/>
          <w:sz w:val="24"/>
          <w:highlight w:val="none"/>
        </w:rPr>
        <w:t>具有符合《中华人民共和国政府采购法》第二十二条规定的供应商资格条件的承诺函（详见附件格式）</w:t>
      </w:r>
      <w:r>
        <w:rPr>
          <w:rFonts w:hint="eastAsia" w:ascii="宋体" w:cs="Arial"/>
          <w:color w:val="auto"/>
          <w:sz w:val="24"/>
          <w:highlight w:val="none"/>
        </w:rPr>
        <w:t>；</w:t>
      </w:r>
    </w:p>
    <w:p w14:paraId="36E11B2F">
      <w:pPr>
        <w:snapToGrid w:val="0"/>
        <w:spacing w:line="360" w:lineRule="auto"/>
        <w:ind w:firstLine="480" w:firstLineChars="200"/>
        <w:rPr>
          <w:rFonts w:hint="eastAsia" w:ascii="宋体" w:cs="Arial"/>
          <w:color w:val="auto"/>
          <w:sz w:val="24"/>
          <w:highlight w:val="none"/>
        </w:rPr>
      </w:pPr>
      <w:r>
        <w:rPr>
          <w:rFonts w:hint="eastAsia" w:ascii="宋体" w:cs="Arial"/>
          <w:color w:val="auto"/>
          <w:sz w:val="24"/>
          <w:highlight w:val="none"/>
        </w:rPr>
        <w:t>（</w:t>
      </w:r>
      <w:r>
        <w:rPr>
          <w:rFonts w:hint="eastAsia" w:ascii="宋体" w:cs="Arial"/>
          <w:color w:val="auto"/>
          <w:sz w:val="24"/>
          <w:highlight w:val="none"/>
          <w:lang w:val="en-US" w:eastAsia="zh-CN"/>
        </w:rPr>
        <w:t>5</w:t>
      </w:r>
      <w:r>
        <w:rPr>
          <w:rFonts w:hint="eastAsia" w:ascii="宋体" w:cs="Arial"/>
          <w:color w:val="auto"/>
          <w:sz w:val="24"/>
          <w:highlight w:val="none"/>
        </w:rPr>
        <w:t>）投标供应商提交无失信记录承诺函（详见附件）；</w:t>
      </w:r>
    </w:p>
    <w:p w14:paraId="3A7537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）落实政府采购政策需满足资格要求声明函等[提供中小企业声明函（详见格式附件）或残疾人福利性单位声明函（详见格式附件）或监狱企业证明文件]；</w:t>
      </w:r>
    </w:p>
    <w:p w14:paraId="6E22FCE4">
      <w:pPr>
        <w:snapToGrid w:val="0"/>
        <w:spacing w:line="360" w:lineRule="auto"/>
        <w:ind w:firstLine="480" w:firstLineChars="200"/>
        <w:rPr>
          <w:rFonts w:hint="eastAsia" w:ascii="宋体" w:eastAsia="宋体" w:cs="Arial"/>
          <w:color w:val="auto"/>
          <w:sz w:val="24"/>
          <w:highlight w:val="none"/>
          <w:lang w:eastAsia="zh-CN"/>
        </w:rPr>
      </w:pPr>
      <w:r>
        <w:rPr>
          <w:rFonts w:hint="eastAsia" w:ascii="宋体" w:cs="Arial"/>
          <w:color w:val="auto"/>
          <w:sz w:val="24"/>
          <w:highlight w:val="none"/>
        </w:rPr>
        <w:t>（</w:t>
      </w:r>
      <w:r>
        <w:rPr>
          <w:rFonts w:hint="eastAsia" w:ascii="宋体" w:cs="Arial"/>
          <w:color w:val="auto"/>
          <w:sz w:val="24"/>
          <w:highlight w:val="none"/>
          <w:lang w:val="en-US" w:eastAsia="zh-CN"/>
        </w:rPr>
        <w:t>7</w:t>
      </w:r>
      <w:r>
        <w:rPr>
          <w:rFonts w:hint="eastAsia" w:ascii="宋体" w:cs="Arial"/>
          <w:color w:val="auto"/>
          <w:sz w:val="24"/>
          <w:highlight w:val="none"/>
        </w:rPr>
        <w:t>）</w:t>
      </w:r>
      <w:r>
        <w:rPr>
          <w:rFonts w:hint="eastAsia" w:ascii="宋体" w:hAnsi="宋体"/>
          <w:color w:val="auto"/>
          <w:sz w:val="24"/>
          <w:highlight w:val="none"/>
        </w:rPr>
        <w:t>提供采购公告中符合供应商特定条件的有效证书或证明资料扫描件</w:t>
      </w:r>
      <w:r>
        <w:rPr>
          <w:rFonts w:hint="eastAsia" w:ascii="宋体" w:hAnsi="宋体" w:eastAsia="宋体" w:cs="宋体"/>
          <w:color w:val="auto"/>
          <w:sz w:val="24"/>
          <w:highlight w:val="none"/>
        </w:rPr>
        <w:t>（投标供应商特定条件中有要求的必须提供</w:t>
      </w:r>
      <w:r>
        <w:rPr>
          <w:rFonts w:hint="eastAsia" w:ascii="宋体" w:hAnsi="宋体" w:eastAsia="宋体" w:cs="宋体"/>
          <w:color w:val="auto"/>
          <w:sz w:val="24"/>
          <w:highlight w:val="none"/>
          <w:lang w:eastAsia="zh-CN"/>
        </w:rPr>
        <w:t>，其中</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资质动态核查结果证明”的</w:t>
      </w:r>
      <w:r>
        <w:rPr>
          <w:rFonts w:hint="eastAsia" w:ascii="宋体" w:hAnsi="宋体" w:eastAsia="宋体" w:cs="宋体"/>
          <w:b/>
          <w:bCs/>
          <w:color w:val="auto"/>
          <w:sz w:val="24"/>
          <w:highlight w:val="none"/>
          <w:lang w:eastAsia="zh-CN"/>
        </w:rPr>
        <w:t>核查发布日期须为</w:t>
      </w:r>
      <w:r>
        <w:rPr>
          <w:rFonts w:hint="eastAsia" w:ascii="宋体" w:hAnsi="宋体" w:eastAsia="宋体" w:cs="宋体"/>
          <w:b/>
          <w:bCs/>
          <w:color w:val="FF0000"/>
          <w:sz w:val="24"/>
          <w:highlight w:val="none"/>
          <w:u w:val="single"/>
          <w:lang w:val="en-US" w:eastAsia="zh-CN"/>
        </w:rPr>
        <w:t>2024</w:t>
      </w:r>
      <w:r>
        <w:rPr>
          <w:rFonts w:hint="eastAsia" w:ascii="宋体" w:hAnsi="宋体" w:eastAsia="宋体" w:cs="宋体"/>
          <w:b/>
          <w:bCs/>
          <w:color w:val="FF0000"/>
          <w:sz w:val="24"/>
          <w:highlight w:val="none"/>
          <w:u w:val="single"/>
          <w:lang w:eastAsia="zh-CN"/>
        </w:rPr>
        <w:t>年</w:t>
      </w:r>
      <w:r>
        <w:rPr>
          <w:rFonts w:hint="eastAsia" w:ascii="宋体" w:hAnsi="宋体" w:cs="宋体"/>
          <w:b/>
          <w:bCs/>
          <w:color w:val="FF0000"/>
          <w:sz w:val="24"/>
          <w:highlight w:val="none"/>
          <w:u w:val="single"/>
          <w:lang w:val="en-US" w:eastAsia="zh-CN"/>
        </w:rPr>
        <w:t>10</w:t>
      </w:r>
      <w:r>
        <w:rPr>
          <w:rFonts w:hint="eastAsia" w:ascii="宋体" w:hAnsi="宋体" w:eastAsia="宋体" w:cs="宋体"/>
          <w:b/>
          <w:bCs/>
          <w:color w:val="FF0000"/>
          <w:sz w:val="24"/>
          <w:highlight w:val="none"/>
          <w:u w:val="single"/>
          <w:lang w:eastAsia="zh-CN"/>
        </w:rPr>
        <w:t>月</w:t>
      </w:r>
      <w:r>
        <w:rPr>
          <w:rFonts w:hint="eastAsia" w:ascii="宋体" w:hAnsi="宋体" w:cs="宋体"/>
          <w:b/>
          <w:bCs/>
          <w:color w:val="FF0000"/>
          <w:sz w:val="24"/>
          <w:highlight w:val="none"/>
          <w:u w:val="single"/>
          <w:lang w:val="en-US" w:eastAsia="zh-CN"/>
        </w:rPr>
        <w:t>21</w:t>
      </w:r>
      <w:r>
        <w:rPr>
          <w:rFonts w:hint="eastAsia" w:ascii="宋体" w:hAnsi="宋体" w:eastAsia="宋体" w:cs="宋体"/>
          <w:b/>
          <w:bCs/>
          <w:color w:val="FF0000"/>
          <w:sz w:val="24"/>
          <w:highlight w:val="none"/>
          <w:u w:val="single"/>
          <w:lang w:eastAsia="zh-CN"/>
        </w:rPr>
        <w:t>日</w:t>
      </w:r>
      <w:r>
        <w:rPr>
          <w:rFonts w:hint="eastAsia" w:ascii="宋体" w:hAnsi="宋体" w:eastAsia="宋体" w:cs="宋体"/>
          <w:b/>
          <w:bCs/>
          <w:color w:val="auto"/>
          <w:sz w:val="24"/>
          <w:highlight w:val="none"/>
          <w:lang w:eastAsia="zh-CN"/>
        </w:rPr>
        <w:t>)</w:t>
      </w:r>
      <w:r>
        <w:rPr>
          <w:rFonts w:hint="eastAsia" w:ascii="宋体" w:hAnsi="宋体"/>
          <w:color w:val="auto"/>
          <w:sz w:val="24"/>
          <w:highlight w:val="none"/>
        </w:rPr>
        <w:t>，以及需要说明的其他资料</w:t>
      </w:r>
      <w:r>
        <w:rPr>
          <w:rFonts w:hint="eastAsia" w:ascii="宋体" w:hAnsi="宋体"/>
          <w:color w:val="auto"/>
          <w:sz w:val="24"/>
          <w:highlight w:val="none"/>
          <w:lang w:eastAsia="zh-CN"/>
        </w:rPr>
        <w:t>。</w:t>
      </w:r>
    </w:p>
    <w:p w14:paraId="2A9C7FD3">
      <w:pPr>
        <w:spacing w:line="360" w:lineRule="auto"/>
        <w:ind w:left="420"/>
        <w:rPr>
          <w:rFonts w:ascii="宋体"/>
          <w:b/>
          <w:color w:val="auto"/>
          <w:sz w:val="28"/>
          <w:highlight w:val="none"/>
        </w:rPr>
      </w:pPr>
    </w:p>
    <w:p w14:paraId="535DC7EC">
      <w:pPr>
        <w:spacing w:line="360" w:lineRule="auto"/>
        <w:ind w:left="420"/>
        <w:rPr>
          <w:rFonts w:ascii="宋体"/>
          <w:b/>
          <w:color w:val="auto"/>
          <w:sz w:val="28"/>
          <w:highlight w:val="none"/>
        </w:rPr>
      </w:pPr>
    </w:p>
    <w:p w14:paraId="7015AE62">
      <w:pPr>
        <w:spacing w:line="360" w:lineRule="auto"/>
        <w:ind w:left="420"/>
        <w:rPr>
          <w:rFonts w:ascii="宋体"/>
          <w:b/>
          <w:color w:val="auto"/>
          <w:sz w:val="28"/>
          <w:highlight w:val="none"/>
        </w:rPr>
      </w:pPr>
    </w:p>
    <w:p w14:paraId="01BBBEAE">
      <w:pPr>
        <w:spacing w:line="360" w:lineRule="auto"/>
        <w:ind w:left="420"/>
        <w:rPr>
          <w:rFonts w:ascii="宋体"/>
          <w:b/>
          <w:color w:val="auto"/>
          <w:sz w:val="28"/>
          <w:highlight w:val="none"/>
        </w:rPr>
      </w:pPr>
    </w:p>
    <w:p w14:paraId="2CF78B4F">
      <w:pPr>
        <w:spacing w:line="360" w:lineRule="auto"/>
        <w:ind w:left="420"/>
        <w:rPr>
          <w:rFonts w:ascii="宋体"/>
          <w:b/>
          <w:color w:val="auto"/>
          <w:sz w:val="28"/>
          <w:highlight w:val="none"/>
        </w:rPr>
      </w:pPr>
    </w:p>
    <w:p w14:paraId="2730CC28">
      <w:pPr>
        <w:spacing w:line="360" w:lineRule="auto"/>
        <w:ind w:left="420"/>
        <w:rPr>
          <w:rFonts w:ascii="宋体"/>
          <w:b/>
          <w:color w:val="auto"/>
          <w:sz w:val="28"/>
          <w:highlight w:val="none"/>
        </w:rPr>
      </w:pPr>
    </w:p>
    <w:p w14:paraId="686E3F5C">
      <w:pPr>
        <w:widowControl/>
        <w:jc w:val="left"/>
        <w:rPr>
          <w:rFonts w:ascii="宋体"/>
          <w:b/>
          <w:color w:val="auto"/>
          <w:sz w:val="28"/>
          <w:highlight w:val="none"/>
        </w:rPr>
      </w:pPr>
      <w:r>
        <w:rPr>
          <w:rFonts w:ascii="宋体"/>
          <w:b/>
          <w:color w:val="auto"/>
          <w:sz w:val="28"/>
          <w:highlight w:val="none"/>
        </w:rPr>
        <w:br w:type="page"/>
      </w:r>
      <w:r>
        <w:rPr>
          <w:rFonts w:hint="eastAsia" w:ascii="宋体"/>
          <w:b/>
          <w:color w:val="auto"/>
          <w:sz w:val="28"/>
          <w:highlight w:val="none"/>
        </w:rPr>
        <w:t>附件2</w:t>
      </w:r>
    </w:p>
    <w:p w14:paraId="3FD504AF">
      <w:pPr>
        <w:adjustRightInd w:val="0"/>
        <w:snapToGrid w:val="0"/>
        <w:spacing w:line="360" w:lineRule="auto"/>
        <w:ind w:right="480"/>
        <w:jc w:val="center"/>
        <w:rPr>
          <w:rFonts w:ascii="宋体"/>
          <w:b/>
          <w:color w:val="auto"/>
          <w:kern w:val="0"/>
          <w:sz w:val="32"/>
          <w:szCs w:val="32"/>
          <w:highlight w:val="none"/>
          <w:lang w:val="zh-CN"/>
        </w:rPr>
      </w:pPr>
      <w:r>
        <w:rPr>
          <w:rFonts w:hint="eastAsia" w:ascii="宋体"/>
          <w:b/>
          <w:color w:val="auto"/>
          <w:kern w:val="0"/>
          <w:sz w:val="32"/>
          <w:szCs w:val="32"/>
          <w:highlight w:val="none"/>
          <w:lang w:val="zh-CN"/>
        </w:rPr>
        <w:t>投标声明书</w:t>
      </w:r>
    </w:p>
    <w:p w14:paraId="0DB821C6">
      <w:pPr>
        <w:snapToGrid w:val="0"/>
        <w:spacing w:beforeLines="50" w:after="120"/>
        <w:rPr>
          <w:rFonts w:ascii="宋体" w:cs="宋体"/>
          <w:color w:val="auto"/>
          <w:kern w:val="0"/>
          <w:sz w:val="24"/>
          <w:highlight w:val="none"/>
        </w:rPr>
      </w:pPr>
      <w:r>
        <w:rPr>
          <w:rFonts w:hint="eastAsia" w:ascii="宋体" w:cs="Arial"/>
          <w:color w:val="auto"/>
          <w:sz w:val="24"/>
          <w:highlight w:val="none"/>
          <w:u w:val="single"/>
        </w:rPr>
        <w:t>台州中亿工程管理有限公司</w:t>
      </w:r>
      <w:r>
        <w:rPr>
          <w:rFonts w:hint="eastAsia" w:ascii="宋体" w:cs="宋体"/>
          <w:color w:val="auto"/>
          <w:kern w:val="0"/>
          <w:sz w:val="24"/>
          <w:highlight w:val="none"/>
        </w:rPr>
        <w:t>（采购代理机构名称）：</w:t>
      </w:r>
    </w:p>
    <w:p w14:paraId="49EE7B11">
      <w:pPr>
        <w:snapToGrid w:val="0"/>
        <w:spacing w:beforeLines="50" w:after="120"/>
        <w:ind w:firstLine="480" w:firstLineChars="200"/>
        <w:rPr>
          <w:rFonts w:ascii="宋体" w:cs="宋体"/>
          <w:color w:val="auto"/>
          <w:kern w:val="0"/>
          <w:sz w:val="24"/>
          <w:highlight w:val="none"/>
        </w:rPr>
      </w:pPr>
      <w:r>
        <w:rPr>
          <w:rFonts w:hint="eastAsia" w:ascii="宋体" w:cs="宋体"/>
          <w:color w:val="auto"/>
          <w:kern w:val="0"/>
          <w:sz w:val="24"/>
          <w:highlight w:val="none"/>
          <w:u w:val="single"/>
        </w:rPr>
        <w:t>（投标人名称）</w:t>
      </w:r>
      <w:r>
        <w:rPr>
          <w:rFonts w:hint="eastAsia" w:ascii="宋体" w:cs="宋体"/>
          <w:color w:val="auto"/>
          <w:kern w:val="0"/>
          <w:sz w:val="24"/>
          <w:highlight w:val="none"/>
        </w:rPr>
        <w:t>系中华人民共和国合法企业，经营地址：。</w:t>
      </w:r>
    </w:p>
    <w:p w14:paraId="7D869B4E">
      <w:pPr>
        <w:snapToGrid w:val="0"/>
        <w:spacing w:beforeLines="50" w:after="120"/>
        <w:ind w:firstLine="480" w:firstLineChars="200"/>
        <w:rPr>
          <w:rFonts w:ascii="宋体" w:cs="宋体"/>
          <w:color w:val="auto"/>
          <w:kern w:val="0"/>
          <w:sz w:val="24"/>
          <w:highlight w:val="none"/>
        </w:rPr>
      </w:pPr>
      <w:r>
        <w:rPr>
          <w:rFonts w:hint="eastAsia" w:ascii="宋体" w:cs="宋体"/>
          <w:color w:val="auto"/>
          <w:kern w:val="0"/>
          <w:sz w:val="24"/>
          <w:highlight w:val="none"/>
        </w:rPr>
        <w:t>我（</w:t>
      </w:r>
      <w:r>
        <w:rPr>
          <w:rFonts w:hint="eastAsia" w:ascii="宋体" w:cs="宋体"/>
          <w:color w:val="auto"/>
          <w:kern w:val="0"/>
          <w:sz w:val="24"/>
          <w:highlight w:val="none"/>
          <w:u w:val="single"/>
        </w:rPr>
        <w:t xml:space="preserve"> 姓名 </w:t>
      </w:r>
      <w:r>
        <w:rPr>
          <w:rFonts w:hint="eastAsia" w:ascii="宋体" w:cs="宋体"/>
          <w:color w:val="auto"/>
          <w:kern w:val="0"/>
          <w:sz w:val="24"/>
          <w:highlight w:val="none"/>
        </w:rPr>
        <w:t>）系（</w:t>
      </w:r>
      <w:r>
        <w:rPr>
          <w:rFonts w:hint="eastAsia" w:ascii="宋体" w:cs="宋体"/>
          <w:color w:val="auto"/>
          <w:kern w:val="0"/>
          <w:sz w:val="24"/>
          <w:highlight w:val="none"/>
          <w:u w:val="single"/>
        </w:rPr>
        <w:t xml:space="preserve"> 投标人名称 </w:t>
      </w:r>
      <w:r>
        <w:rPr>
          <w:rFonts w:hint="eastAsia" w:ascii="宋体" w:cs="宋体"/>
          <w:color w:val="auto"/>
          <w:kern w:val="0"/>
          <w:sz w:val="24"/>
          <w:highlight w:val="none"/>
        </w:rPr>
        <w:t>）的法定代表人，我公司自愿参加贵方组织的</w:t>
      </w:r>
      <w:r>
        <w:rPr>
          <w:rFonts w:hint="eastAsia" w:ascii="宋体" w:cs="宋体"/>
          <w:color w:val="auto"/>
          <w:kern w:val="0"/>
          <w:sz w:val="24"/>
          <w:highlight w:val="none"/>
          <w:u w:val="single"/>
          <w:lang w:eastAsia="zh-CN"/>
        </w:rPr>
        <w:t>海虹街道排水设施排查养护项目</w:t>
      </w:r>
      <w:r>
        <w:rPr>
          <w:rFonts w:hint="eastAsia" w:ascii="宋体" w:cs="宋体"/>
          <w:color w:val="auto"/>
          <w:kern w:val="0"/>
          <w:sz w:val="24"/>
          <w:highlight w:val="none"/>
        </w:rPr>
        <w:t>（项目编号为</w:t>
      </w:r>
      <w:r>
        <w:rPr>
          <w:rFonts w:hint="eastAsia" w:ascii="宋体" w:cs="宋体"/>
          <w:color w:val="auto"/>
          <w:kern w:val="0"/>
          <w:sz w:val="24"/>
          <w:highlight w:val="none"/>
          <w:u w:val="single"/>
        </w:rPr>
        <w:t xml:space="preserve"> </w:t>
      </w:r>
      <w:r>
        <w:rPr>
          <w:rFonts w:ascii="宋体" w:cs="宋体"/>
          <w:color w:val="auto"/>
          <w:kern w:val="0"/>
          <w:sz w:val="24"/>
          <w:highlight w:val="none"/>
          <w:u w:val="single"/>
        </w:rPr>
        <w:t xml:space="preserve">      </w:t>
      </w:r>
      <w:r>
        <w:rPr>
          <w:rFonts w:hint="eastAsia" w:ascii="宋体" w:cs="宋体"/>
          <w:color w:val="auto"/>
          <w:kern w:val="0"/>
          <w:sz w:val="24"/>
          <w:highlight w:val="none"/>
        </w:rPr>
        <w:t>）的投标，为此，我公司就本次投标有关事项郑重声明如下：</w:t>
      </w:r>
    </w:p>
    <w:p w14:paraId="4C589CBC">
      <w:pPr>
        <w:snapToGrid w:val="0"/>
        <w:spacing w:beforeLines="50" w:after="120"/>
        <w:ind w:firstLine="480" w:firstLineChars="200"/>
        <w:rPr>
          <w:rFonts w:ascii="宋体" w:cs="宋体"/>
          <w:b/>
          <w:color w:val="auto"/>
          <w:kern w:val="0"/>
          <w:sz w:val="24"/>
          <w:highlight w:val="none"/>
        </w:rPr>
      </w:pPr>
      <w:r>
        <w:rPr>
          <w:rFonts w:hint="eastAsia" w:ascii="宋体" w:cs="宋体"/>
          <w:color w:val="auto"/>
          <w:kern w:val="0"/>
          <w:sz w:val="24"/>
          <w:highlight w:val="none"/>
        </w:rPr>
        <w:t>1、</w:t>
      </w:r>
      <w:r>
        <w:rPr>
          <w:rFonts w:hint="eastAsia" w:ascii="Arial" w:hAnsi="Arial" w:cs="Arial"/>
          <w:color w:val="auto"/>
          <w:sz w:val="24"/>
          <w:highlight w:val="none"/>
        </w:rPr>
        <w:t>我公司声明截止投标时间近三年以来：在参加政府采购活动过程中无</w:t>
      </w:r>
      <w:r>
        <w:rPr>
          <w:rFonts w:hint="eastAsia" w:ascii="Arial" w:hAnsi="Arial" w:cs="Arial"/>
          <w:color w:val="auto"/>
          <w:sz w:val="24"/>
          <w:highlight w:val="none"/>
          <w:lang w:eastAsia="zh-CN"/>
        </w:rPr>
        <w:t>在处罚期限内的</w:t>
      </w:r>
      <w:r>
        <w:rPr>
          <w:rFonts w:hint="eastAsia" w:ascii="Arial" w:hAnsi="Arial" w:cs="Arial"/>
          <w:color w:val="auto"/>
          <w:sz w:val="24"/>
          <w:highlight w:val="none"/>
        </w:rPr>
        <w:t>任何不良行为记录；无重大违法记录（重大违法记录是指供应商因违法经营受到刑事处罚或者责令停产停业、吊销许可证或者执照、较大数额罚款等行政处罚）</w:t>
      </w:r>
    </w:p>
    <w:p w14:paraId="27A4B09C">
      <w:pPr>
        <w:snapToGrid w:val="0"/>
        <w:spacing w:beforeLines="50" w:after="120"/>
        <w:ind w:firstLine="480" w:firstLineChars="200"/>
        <w:rPr>
          <w:rFonts w:ascii="宋体" w:cs="宋体"/>
          <w:color w:val="auto"/>
          <w:kern w:val="0"/>
          <w:sz w:val="24"/>
          <w:highlight w:val="none"/>
        </w:rPr>
      </w:pPr>
      <w:r>
        <w:rPr>
          <w:rFonts w:hint="eastAsia" w:ascii="宋体" w:cs="宋体"/>
          <w:color w:val="auto"/>
          <w:kern w:val="0"/>
          <w:sz w:val="24"/>
          <w:highlight w:val="none"/>
        </w:rPr>
        <w:t>2、我公司</w:t>
      </w:r>
      <w:r>
        <w:rPr>
          <w:rFonts w:ascii="宋体" w:cs="宋体"/>
          <w:color w:val="auto"/>
          <w:kern w:val="0"/>
          <w:sz w:val="24"/>
          <w:highlight w:val="none"/>
        </w:rPr>
        <w:t>在参与投标前已</w:t>
      </w:r>
      <w:r>
        <w:rPr>
          <w:rFonts w:hint="eastAsia" w:ascii="宋体" w:cs="宋体"/>
          <w:color w:val="auto"/>
          <w:kern w:val="0"/>
          <w:sz w:val="24"/>
          <w:highlight w:val="none"/>
        </w:rPr>
        <w:t>详细审查</w:t>
      </w:r>
      <w:r>
        <w:rPr>
          <w:rFonts w:asci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cs="宋体"/>
          <w:color w:val="auto"/>
          <w:kern w:val="0"/>
          <w:sz w:val="24"/>
          <w:highlight w:val="none"/>
        </w:rPr>
        <w:t>利。</w:t>
      </w:r>
    </w:p>
    <w:p w14:paraId="5F2B1A79">
      <w:pPr>
        <w:snapToGrid w:val="0"/>
        <w:spacing w:beforeLines="50" w:after="120"/>
        <w:ind w:firstLine="480" w:firstLineChars="200"/>
        <w:rPr>
          <w:rFonts w:ascii="宋体"/>
          <w:color w:val="auto"/>
          <w:sz w:val="24"/>
          <w:highlight w:val="none"/>
        </w:rPr>
      </w:pPr>
      <w:r>
        <w:rPr>
          <w:rFonts w:hint="eastAsia" w:ascii="宋体"/>
          <w:color w:val="auto"/>
          <w:sz w:val="24"/>
          <w:highlight w:val="none"/>
        </w:rPr>
        <w:t>3、我</w:t>
      </w:r>
      <w:r>
        <w:rPr>
          <w:rFonts w:hint="eastAsia" w:ascii="宋体" w:cs="仿宋_GB2312"/>
          <w:color w:val="auto"/>
          <w:kern w:val="0"/>
          <w:sz w:val="24"/>
          <w:highlight w:val="none"/>
          <w:lang w:val="zh-CN"/>
        </w:rPr>
        <w:t>公司</w:t>
      </w:r>
      <w:r>
        <w:rPr>
          <w:rFonts w:hint="eastAsia" w:ascii="宋体"/>
          <w:color w:val="auto"/>
          <w:sz w:val="24"/>
          <w:highlight w:val="none"/>
        </w:rPr>
        <w:t>不是采购人的附属机构；在获知本项目采购信息后，与采购人聘请的为此项目提供咨询服务的公司及其附属机构没有任何联系。</w:t>
      </w:r>
    </w:p>
    <w:p w14:paraId="298655E5">
      <w:pPr>
        <w:snapToGrid w:val="0"/>
        <w:spacing w:beforeLines="50" w:after="120"/>
        <w:ind w:firstLine="480" w:firstLineChars="200"/>
        <w:rPr>
          <w:rFonts w:ascii="宋体"/>
          <w:color w:val="auto"/>
          <w:kern w:val="0"/>
          <w:sz w:val="24"/>
          <w:highlight w:val="none"/>
          <w:lang w:val="af-ZA"/>
        </w:rPr>
      </w:pPr>
      <w:r>
        <w:rPr>
          <w:rFonts w:hint="eastAsia" w:ascii="宋体"/>
          <w:color w:val="auto"/>
          <w:sz w:val="24"/>
          <w:highlight w:val="none"/>
        </w:rPr>
        <w:t>4、</w:t>
      </w:r>
      <w:r>
        <w:rPr>
          <w:rFonts w:hint="eastAsia" w:ascii="宋体" w:cs="宋体"/>
          <w:color w:val="auto"/>
          <w:kern w:val="0"/>
          <w:sz w:val="24"/>
          <w:highlight w:val="none"/>
        </w:rPr>
        <w:t>我</w:t>
      </w:r>
      <w:r>
        <w:rPr>
          <w:rFonts w:hint="eastAsia" w:ascii="宋体" w:cs="仿宋_GB2312"/>
          <w:color w:val="auto"/>
          <w:kern w:val="0"/>
          <w:sz w:val="24"/>
          <w:highlight w:val="none"/>
          <w:lang w:val="zh-CN"/>
        </w:rPr>
        <w:t>公司</w:t>
      </w:r>
      <w:r>
        <w:rPr>
          <w:rFonts w:hint="eastAsia" w:ascii="宋体" w:cs="宋体"/>
          <w:color w:val="auto"/>
          <w:kern w:val="0"/>
          <w:sz w:val="24"/>
          <w:highlight w:val="none"/>
        </w:rPr>
        <w:t>保证，</w:t>
      </w:r>
      <w:r>
        <w:rPr>
          <w:rFonts w:hint="eastAsia" w:ascii="宋体"/>
          <w:color w:val="auto"/>
          <w:kern w:val="0"/>
          <w:sz w:val="24"/>
          <w:highlight w:val="none"/>
          <w:lang w:val="af-ZA"/>
        </w:rPr>
        <w:t>采购人在中华人民共和国境内使用</w:t>
      </w:r>
      <w:r>
        <w:rPr>
          <w:rFonts w:hint="eastAsia" w:ascii="宋体" w:cs="宋体"/>
          <w:color w:val="auto"/>
          <w:kern w:val="0"/>
          <w:sz w:val="24"/>
          <w:highlight w:val="none"/>
        </w:rPr>
        <w:t>我</w:t>
      </w:r>
      <w:r>
        <w:rPr>
          <w:rFonts w:hint="eastAsia" w:ascii="宋体" w:cs="仿宋_GB2312"/>
          <w:color w:val="auto"/>
          <w:kern w:val="0"/>
          <w:sz w:val="24"/>
          <w:highlight w:val="none"/>
          <w:lang w:val="zh-CN"/>
        </w:rPr>
        <w:t>公司</w:t>
      </w:r>
      <w:r>
        <w:rPr>
          <w:rFonts w:hint="eastAsia" w:asci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cs="宋体"/>
          <w:color w:val="auto"/>
          <w:kern w:val="0"/>
          <w:sz w:val="24"/>
          <w:highlight w:val="none"/>
          <w:lang w:val="af-ZA"/>
        </w:rPr>
        <w:t>我方</w:t>
      </w:r>
      <w:r>
        <w:rPr>
          <w:rFonts w:hint="eastAsia" w:ascii="宋体"/>
          <w:color w:val="auto"/>
          <w:kern w:val="0"/>
          <w:sz w:val="24"/>
          <w:highlight w:val="none"/>
          <w:lang w:val="af-ZA"/>
        </w:rPr>
        <w:t>承担。</w:t>
      </w:r>
      <w:r>
        <w:rPr>
          <w:rFonts w:hint="eastAsia" w:ascii="宋体" w:cs="宋体"/>
          <w:color w:val="auto"/>
          <w:kern w:val="0"/>
          <w:sz w:val="24"/>
          <w:highlight w:val="none"/>
          <w:lang w:val="af-ZA"/>
        </w:rPr>
        <w:t>我方的</w:t>
      </w:r>
      <w:r>
        <w:rPr>
          <w:rFonts w:hint="eastAsia" w:ascii="宋体"/>
          <w:color w:val="auto"/>
          <w:kern w:val="0"/>
          <w:sz w:val="24"/>
          <w:highlight w:val="none"/>
          <w:lang w:val="af-ZA"/>
        </w:rPr>
        <w:t>投标报价</w:t>
      </w:r>
      <w:r>
        <w:rPr>
          <w:rFonts w:hint="eastAsia" w:ascii="宋体" w:cs="宋体"/>
          <w:color w:val="auto"/>
          <w:kern w:val="0"/>
          <w:sz w:val="24"/>
          <w:highlight w:val="none"/>
          <w:lang w:val="af-ZA"/>
        </w:rPr>
        <w:t>已</w:t>
      </w:r>
      <w:r>
        <w:rPr>
          <w:rFonts w:hint="eastAsia" w:ascii="宋体"/>
          <w:color w:val="auto"/>
          <w:kern w:val="0"/>
          <w:sz w:val="24"/>
          <w:highlight w:val="none"/>
          <w:lang w:val="af-ZA"/>
        </w:rPr>
        <w:t>包含所有应向所有权人支付的专利权、商标权或其它知识产权的一切相关费用。</w:t>
      </w:r>
    </w:p>
    <w:p w14:paraId="7FB76637">
      <w:pPr>
        <w:snapToGrid w:val="0"/>
        <w:spacing w:beforeLines="50" w:after="120"/>
        <w:ind w:firstLine="480" w:firstLineChars="200"/>
        <w:rPr>
          <w:rFonts w:ascii="仿宋_GB2312" w:eastAsia="仿宋_GB2312" w:cs="仿宋_GB2312"/>
          <w:color w:val="auto"/>
          <w:sz w:val="24"/>
          <w:highlight w:val="none"/>
        </w:rPr>
      </w:pPr>
      <w:r>
        <w:rPr>
          <w:rFonts w:hint="eastAsia" w:ascii="宋体" w:cs="宋体"/>
          <w:color w:val="auto"/>
          <w:kern w:val="0"/>
          <w:sz w:val="24"/>
          <w:highlight w:val="none"/>
          <w:lang w:val="af-ZA"/>
        </w:rPr>
        <w:t>5、我</w:t>
      </w:r>
      <w:r>
        <w:rPr>
          <w:rFonts w:hint="eastAsia" w:ascii="宋体" w:cs="宋体"/>
          <w:color w:val="auto"/>
          <w:kern w:val="0"/>
          <w:sz w:val="24"/>
          <w:highlight w:val="none"/>
          <w:lang w:val="zh-CN"/>
        </w:rPr>
        <w:t>公司</w:t>
      </w:r>
      <w:r>
        <w:rPr>
          <w:rFonts w:hint="eastAsia" w:ascii="宋体" w:cs="宋体"/>
          <w:color w:val="auto"/>
          <w:kern w:val="0"/>
          <w:sz w:val="24"/>
          <w:highlight w:val="none"/>
          <w:lang w:val="af-ZA"/>
        </w:rPr>
        <w:t>严格履行政府采购合同，</w:t>
      </w:r>
      <w:r>
        <w:rPr>
          <w:rFonts w:hint="eastAsia" w:ascii="宋体" w:hAnsi="宋体" w:cs="楷体_GB2312"/>
          <w:color w:val="auto"/>
          <w:kern w:val="0"/>
          <w:sz w:val="24"/>
          <w:highlight w:val="none"/>
          <w:lang w:val="af-ZA"/>
        </w:rPr>
        <w:t>除响应文件中明确拒绝外，接受招标文件中的全部条件，</w:t>
      </w:r>
      <w:r>
        <w:rPr>
          <w:rFonts w:hint="eastAsia" w:ascii="宋体" w:cs="宋体"/>
          <w:color w:val="auto"/>
          <w:kern w:val="0"/>
          <w:sz w:val="24"/>
          <w:highlight w:val="none"/>
          <w:lang w:val="af-ZA"/>
        </w:rPr>
        <w:t>不降低合同约定的产品质量和服务，不擅自变更、中止、终止合同，或拒绝履行合同义务；</w:t>
      </w:r>
    </w:p>
    <w:p w14:paraId="67B92BFF">
      <w:pPr>
        <w:snapToGrid w:val="0"/>
        <w:spacing w:beforeLines="50" w:after="120"/>
        <w:ind w:firstLine="480" w:firstLineChars="200"/>
        <w:rPr>
          <w:rFonts w:ascii="宋体"/>
          <w:color w:val="auto"/>
          <w:sz w:val="24"/>
          <w:highlight w:val="none"/>
        </w:rPr>
      </w:pPr>
      <w:r>
        <w:rPr>
          <w:rFonts w:hint="eastAsia" w:ascii="宋体"/>
          <w:color w:val="auto"/>
          <w:sz w:val="24"/>
          <w:highlight w:val="none"/>
        </w:rPr>
        <w:t>6、以上事项如有虚假或隐瞒，我</w:t>
      </w:r>
      <w:r>
        <w:rPr>
          <w:rFonts w:hint="eastAsia" w:ascii="宋体" w:cs="仿宋_GB2312"/>
          <w:color w:val="auto"/>
          <w:kern w:val="0"/>
          <w:sz w:val="24"/>
          <w:highlight w:val="none"/>
          <w:lang w:val="zh-CN"/>
        </w:rPr>
        <w:t>公司</w:t>
      </w:r>
      <w:r>
        <w:rPr>
          <w:rFonts w:hint="eastAsia" w:ascii="宋体"/>
          <w:color w:val="auto"/>
          <w:sz w:val="24"/>
          <w:highlight w:val="none"/>
        </w:rPr>
        <w:t>愿意承担一切后果，并不再寻求任何旨在减轻或免除法律责任的辩解。</w:t>
      </w:r>
    </w:p>
    <w:p w14:paraId="2619125E">
      <w:pPr>
        <w:adjustRightInd w:val="0"/>
        <w:snapToGrid w:val="0"/>
        <w:spacing w:line="360" w:lineRule="auto"/>
        <w:rPr>
          <w:rFonts w:ascii="宋体" w:cs="仿宋_GB2312"/>
          <w:color w:val="auto"/>
          <w:kern w:val="0"/>
          <w:sz w:val="24"/>
          <w:highlight w:val="none"/>
        </w:rPr>
      </w:pPr>
    </w:p>
    <w:p w14:paraId="7EE6FA0A">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 xml:space="preserve"> 投标人名称(签电子公章)：</w:t>
      </w:r>
    </w:p>
    <w:p w14:paraId="10CA4B48">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 xml:space="preserve"> 法定代表人或授权委托人(签章或签字)：</w:t>
      </w:r>
    </w:p>
    <w:p w14:paraId="411AFE85">
      <w:pPr>
        <w:adjustRightInd w:val="0"/>
        <w:snapToGrid w:val="0"/>
        <w:spacing w:line="360" w:lineRule="auto"/>
        <w:ind w:right="480" w:firstLine="120" w:firstLineChars="5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p w14:paraId="0FABBF8D">
      <w:pPr>
        <w:adjustRightInd w:val="0"/>
        <w:snapToGrid w:val="0"/>
        <w:spacing w:line="360" w:lineRule="auto"/>
        <w:ind w:right="480"/>
        <w:rPr>
          <w:rFonts w:ascii="宋体"/>
          <w:b/>
          <w:color w:val="auto"/>
          <w:sz w:val="28"/>
          <w:highlight w:val="none"/>
        </w:rPr>
      </w:pPr>
    </w:p>
    <w:p w14:paraId="5BE6B4CF">
      <w:pPr>
        <w:adjustRightInd w:val="0"/>
        <w:snapToGrid w:val="0"/>
        <w:spacing w:line="360" w:lineRule="auto"/>
        <w:ind w:right="480"/>
        <w:rPr>
          <w:rFonts w:ascii="宋体"/>
          <w:b/>
          <w:color w:val="auto"/>
          <w:sz w:val="28"/>
          <w:highlight w:val="none"/>
        </w:rPr>
      </w:pPr>
    </w:p>
    <w:p w14:paraId="0D7BFB0F">
      <w:pPr>
        <w:adjustRightInd w:val="0"/>
        <w:snapToGrid w:val="0"/>
        <w:spacing w:line="360" w:lineRule="auto"/>
        <w:ind w:right="480"/>
        <w:rPr>
          <w:rFonts w:ascii="宋体"/>
          <w:b/>
          <w:color w:val="auto"/>
          <w:sz w:val="28"/>
          <w:highlight w:val="none"/>
        </w:rPr>
      </w:pPr>
    </w:p>
    <w:p w14:paraId="67804576">
      <w:pPr>
        <w:adjustRightInd w:val="0"/>
        <w:snapToGrid w:val="0"/>
        <w:spacing w:line="360" w:lineRule="auto"/>
        <w:ind w:right="480"/>
        <w:rPr>
          <w:rFonts w:ascii="宋体"/>
          <w:b/>
          <w:color w:val="auto"/>
          <w:sz w:val="30"/>
          <w:szCs w:val="30"/>
          <w:highlight w:val="none"/>
        </w:rPr>
      </w:pPr>
      <w:r>
        <w:rPr>
          <w:rFonts w:hint="eastAsia" w:ascii="宋体"/>
          <w:b/>
          <w:color w:val="auto"/>
          <w:sz w:val="28"/>
          <w:highlight w:val="none"/>
        </w:rPr>
        <w:t>附件3</w:t>
      </w:r>
    </w:p>
    <w:p w14:paraId="608E6CF9">
      <w:pPr>
        <w:spacing w:line="360" w:lineRule="auto"/>
        <w:ind w:firstLine="321" w:firstLineChars="100"/>
        <w:jc w:val="center"/>
        <w:rPr>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6D9B6BE3">
      <w:pPr>
        <w:snapToGrid w:val="0"/>
        <w:spacing w:beforeLines="50" w:after="50" w:line="360" w:lineRule="auto"/>
        <w:rPr>
          <w:rFonts w:ascii="宋体" w:cs="宋体"/>
          <w:color w:val="auto"/>
          <w:kern w:val="0"/>
          <w:sz w:val="24"/>
          <w:highlight w:val="none"/>
        </w:rPr>
      </w:pPr>
      <w:r>
        <w:rPr>
          <w:rFonts w:hint="eastAsia" w:ascii="宋体" w:cs="Arial"/>
          <w:color w:val="auto"/>
          <w:sz w:val="24"/>
          <w:highlight w:val="none"/>
          <w:u w:val="single"/>
        </w:rPr>
        <w:t>台州中亿工程管理有限公司</w:t>
      </w:r>
      <w:r>
        <w:rPr>
          <w:rFonts w:hint="eastAsia" w:ascii="宋体" w:cs="宋体"/>
          <w:color w:val="auto"/>
          <w:kern w:val="0"/>
          <w:sz w:val="24"/>
          <w:highlight w:val="none"/>
        </w:rPr>
        <w:t>（采购代理机构名称）：</w:t>
      </w:r>
    </w:p>
    <w:p w14:paraId="0CE9D728">
      <w:pPr>
        <w:pStyle w:val="21"/>
        <w:spacing w:line="500" w:lineRule="exact"/>
        <w:ind w:left="1"/>
        <w:rPr>
          <w:color w:val="auto"/>
          <w:sz w:val="24"/>
          <w:highlight w:val="none"/>
        </w:rPr>
      </w:pPr>
      <w:r>
        <w:rPr>
          <w:color w:val="auto"/>
          <w:sz w:val="24"/>
          <w:highlight w:val="none"/>
          <w:u w:val="single"/>
        </w:rPr>
        <w:t>（</w:t>
      </w:r>
      <w:r>
        <w:rPr>
          <w:rFonts w:hint="eastAsia"/>
          <w:color w:val="auto"/>
          <w:sz w:val="24"/>
          <w:highlight w:val="none"/>
          <w:u w:val="single"/>
        </w:rPr>
        <w:t>投标人</w:t>
      </w:r>
      <w:r>
        <w:rPr>
          <w:color w:val="auto"/>
          <w:sz w:val="24"/>
          <w:highlight w:val="none"/>
          <w:u w:val="single"/>
        </w:rPr>
        <w:t xml:space="preserve">全称）  </w:t>
      </w:r>
      <w:r>
        <w:rPr>
          <w:color w:val="auto"/>
          <w:sz w:val="24"/>
          <w:highlight w:val="none"/>
        </w:rPr>
        <w:t>法定代表人</w:t>
      </w:r>
      <w:r>
        <w:rPr>
          <w:rFonts w:hint="eastAsia" w:ascii="Arial" w:hAnsi="Arial"/>
          <w:color w:val="auto"/>
          <w:sz w:val="24"/>
          <w:highlight w:val="none"/>
        </w:rPr>
        <w:t>（或营业执照中单位负责人）</w:t>
      </w:r>
      <w:r>
        <w:rPr>
          <w:color w:val="auto"/>
          <w:sz w:val="24"/>
          <w:highlight w:val="none"/>
          <w:u w:val="single"/>
        </w:rPr>
        <w:tab/>
      </w:r>
      <w:r>
        <w:rPr>
          <w:color w:val="auto"/>
          <w:sz w:val="24"/>
          <w:highlight w:val="none"/>
          <w:u w:val="single"/>
        </w:rPr>
        <w:t>（法定代表</w:t>
      </w:r>
      <w:r>
        <w:rPr>
          <w:rFonts w:hint="eastAsia"/>
          <w:color w:val="auto"/>
          <w:sz w:val="24"/>
          <w:highlight w:val="none"/>
          <w:u w:val="single"/>
        </w:rPr>
        <w:t>人</w:t>
      </w:r>
      <w:r>
        <w:rPr>
          <w:rFonts w:hint="eastAsia" w:ascii="Arial" w:hAnsi="Arial"/>
          <w:color w:val="auto"/>
          <w:sz w:val="24"/>
          <w:highlight w:val="none"/>
          <w:u w:val="single"/>
        </w:rPr>
        <w:t>或营业执照中单位负责人</w:t>
      </w:r>
      <w:r>
        <w:rPr>
          <w:color w:val="auto"/>
          <w:sz w:val="24"/>
          <w:highlight w:val="none"/>
          <w:u w:val="single"/>
        </w:rPr>
        <w:t xml:space="preserve">姓名） </w:t>
      </w:r>
      <w:r>
        <w:rPr>
          <w:color w:val="auto"/>
          <w:sz w:val="24"/>
          <w:highlight w:val="none"/>
        </w:rPr>
        <w:t>授权</w:t>
      </w:r>
      <w:r>
        <w:rPr>
          <w:rFonts w:hint="eastAsia"/>
          <w:color w:val="auto"/>
          <w:sz w:val="24"/>
          <w:highlight w:val="none"/>
          <w:u w:val="single"/>
        </w:rPr>
        <w:t xml:space="preserve">   （全权代表</w:t>
      </w:r>
      <w:r>
        <w:rPr>
          <w:color w:val="auto"/>
          <w:sz w:val="24"/>
          <w:highlight w:val="none"/>
          <w:u w:val="single"/>
        </w:rPr>
        <w:t>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rPr>
        <w:t>全权代表</w:t>
      </w:r>
      <w:r>
        <w:rPr>
          <w:color w:val="auto"/>
          <w:sz w:val="24"/>
          <w:highlight w:val="none"/>
        </w:rPr>
        <w:t>，参加贵单位组织的</w:t>
      </w:r>
      <w:r>
        <w:rPr>
          <w:color w:val="auto"/>
          <w:sz w:val="24"/>
          <w:highlight w:val="none"/>
          <w:u w:val="single"/>
        </w:rPr>
        <w:tab/>
      </w:r>
      <w:r>
        <w:rPr>
          <w:rFonts w:hint="eastAsia"/>
          <w:color w:val="auto"/>
          <w:sz w:val="24"/>
          <w:highlight w:val="none"/>
          <w:u w:val="single"/>
        </w:rPr>
        <w:t xml:space="preserve">         </w:t>
      </w:r>
      <w:r>
        <w:rPr>
          <w:color w:val="auto"/>
          <w:sz w:val="24"/>
          <w:highlight w:val="none"/>
        </w:rPr>
        <w:t>项目的采购活动，并代表我方全权办理针对上述项目的投标、开标、评标、签约等具体事务和签署相关文件。</w:t>
      </w:r>
      <w:r>
        <w:rPr>
          <w:rFonts w:hint="eastAsia"/>
          <w:color w:val="auto"/>
          <w:sz w:val="24"/>
          <w:highlight w:val="none"/>
        </w:rPr>
        <w:t>我方对全权代表的签字事项负全部责任。</w:t>
      </w:r>
    </w:p>
    <w:p w14:paraId="68253D4F">
      <w:pPr>
        <w:pStyle w:val="21"/>
        <w:spacing w:line="500" w:lineRule="exact"/>
        <w:ind w:left="139" w:leftChars="66" w:firstLine="480" w:firstLineChars="200"/>
        <w:rPr>
          <w:color w:val="auto"/>
          <w:sz w:val="24"/>
          <w:highlight w:val="none"/>
        </w:rPr>
      </w:pPr>
      <w:r>
        <w:rPr>
          <w:rFonts w:hint="eastAsia"/>
          <w:color w:val="auto"/>
          <w:sz w:val="24"/>
          <w:highlight w:val="none"/>
        </w:rPr>
        <w:t>在撤销授权的书面通知以前，本授权书一直有效。全权代表在授权委托书有效期内签署的所有文件不因授权的撤销而失效。</w:t>
      </w:r>
    </w:p>
    <w:p w14:paraId="10FA619B">
      <w:pPr>
        <w:pStyle w:val="21"/>
        <w:spacing w:line="500" w:lineRule="exact"/>
        <w:ind w:left="139" w:leftChars="66" w:firstLine="480" w:firstLineChars="200"/>
        <w:rPr>
          <w:color w:val="auto"/>
          <w:sz w:val="24"/>
          <w:highlight w:val="none"/>
        </w:rPr>
      </w:pPr>
      <w:r>
        <w:rPr>
          <w:rFonts w:hint="eastAsia"/>
          <w:color w:val="auto"/>
          <w:sz w:val="24"/>
          <w:highlight w:val="none"/>
        </w:rPr>
        <w:t>全权代表无转委托权，特此委托。</w:t>
      </w:r>
    </w:p>
    <w:p w14:paraId="351C4612">
      <w:pPr>
        <w:spacing w:line="360" w:lineRule="auto"/>
        <w:rPr>
          <w:color w:val="auto"/>
          <w:sz w:val="24"/>
          <w:highlight w:val="none"/>
        </w:rPr>
      </w:pPr>
      <w:r>
        <w:rPr>
          <w:rFonts w:hint="eastAsia" w:ascii="宋体"/>
          <w:color w:val="auto"/>
          <w:sz w:val="24"/>
          <w:highlight w:val="none"/>
        </w:rPr>
        <w:t>法定代表人（签章）：</w:t>
      </w:r>
    </w:p>
    <w:p w14:paraId="46C0EE71">
      <w:pPr>
        <w:spacing w:line="360" w:lineRule="auto"/>
        <w:rPr>
          <w:color w:val="auto"/>
          <w:sz w:val="24"/>
          <w:highlight w:val="none"/>
        </w:rPr>
      </w:pPr>
      <w:r>
        <w:rPr>
          <w:rFonts w:hint="eastAsia" w:ascii="宋体"/>
          <w:color w:val="auto"/>
          <w:sz w:val="24"/>
          <w:highlight w:val="none"/>
        </w:rPr>
        <w:t>投标供应商全称（盖电子公章）：                    日期：</w:t>
      </w:r>
    </w:p>
    <w:p w14:paraId="12BC0603">
      <w:pPr>
        <w:spacing w:line="360" w:lineRule="auto"/>
        <w:rPr>
          <w:b/>
          <w:color w:val="auto"/>
          <w:sz w:val="24"/>
          <w:highlight w:val="none"/>
        </w:rPr>
      </w:pPr>
      <w:r>
        <w:rPr>
          <w:rFonts w:hint="eastAsia" w:ascii="宋体"/>
          <w:b/>
          <w:color w:val="auto"/>
          <w:sz w:val="24"/>
          <w:highlight w:val="none"/>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FA3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F48C296">
            <w:pPr>
              <w:spacing w:line="360" w:lineRule="auto"/>
              <w:rPr>
                <w:rFonts w:ascii="宋体"/>
                <w:b/>
                <w:color w:val="auto"/>
                <w:sz w:val="24"/>
                <w:highlight w:val="none"/>
              </w:rPr>
            </w:pPr>
          </w:p>
          <w:p w14:paraId="7B0E697E">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14:paraId="6822BC55">
      <w:pPr>
        <w:spacing w:line="360" w:lineRule="auto"/>
        <w:rPr>
          <w:color w:val="auto"/>
          <w:sz w:val="24"/>
          <w:highlight w:val="none"/>
        </w:rPr>
      </w:pPr>
      <w:r>
        <w:rPr>
          <w:rFonts w:hint="eastAsia" w:ascii="宋体"/>
          <w:color w:val="auto"/>
          <w:sz w:val="24"/>
          <w:highlight w:val="none"/>
        </w:rPr>
        <w:t xml:space="preserve">法定代表人姓名：                                 </w:t>
      </w:r>
    </w:p>
    <w:p w14:paraId="6BCDC756">
      <w:pPr>
        <w:spacing w:line="360" w:lineRule="auto"/>
        <w:rPr>
          <w:color w:val="auto"/>
          <w:sz w:val="24"/>
          <w:highlight w:val="none"/>
        </w:rPr>
      </w:pPr>
      <w:r>
        <w:rPr>
          <w:rFonts w:hint="eastAsia" w:ascii="宋体"/>
          <w:color w:val="auto"/>
          <w:sz w:val="24"/>
          <w:highlight w:val="none"/>
        </w:rPr>
        <w:t>传真：</w:t>
      </w:r>
    </w:p>
    <w:p w14:paraId="1C0609A9">
      <w:pPr>
        <w:spacing w:line="360" w:lineRule="auto"/>
        <w:rPr>
          <w:rFonts w:ascii="宋体"/>
          <w:color w:val="auto"/>
          <w:sz w:val="24"/>
          <w:highlight w:val="none"/>
        </w:rPr>
      </w:pPr>
      <w:r>
        <w:rPr>
          <w:rFonts w:hint="eastAsia" w:ascii="宋体"/>
          <w:color w:val="auto"/>
          <w:sz w:val="24"/>
          <w:highlight w:val="none"/>
        </w:rPr>
        <w:t>电话：</w:t>
      </w:r>
    </w:p>
    <w:p w14:paraId="2D57F6AF">
      <w:pPr>
        <w:spacing w:line="360" w:lineRule="auto"/>
        <w:rPr>
          <w:color w:val="auto"/>
          <w:sz w:val="24"/>
          <w:highlight w:val="none"/>
        </w:rPr>
      </w:pPr>
      <w:r>
        <w:rPr>
          <w:rFonts w:hint="eastAsia" w:ascii="宋体"/>
          <w:color w:val="auto"/>
          <w:sz w:val="24"/>
          <w:highlight w:val="none"/>
        </w:rPr>
        <w:t>详细通讯地址：</w:t>
      </w:r>
    </w:p>
    <w:p w14:paraId="5519C72D">
      <w:pPr>
        <w:spacing w:line="360" w:lineRule="auto"/>
        <w:rPr>
          <w:rFonts w:ascii="宋体"/>
          <w:color w:val="auto"/>
          <w:sz w:val="24"/>
          <w:highlight w:val="none"/>
        </w:rPr>
      </w:pPr>
      <w:r>
        <w:rPr>
          <w:rFonts w:hint="eastAsia" w:ascii="宋体"/>
          <w:color w:val="auto"/>
          <w:sz w:val="24"/>
          <w:highlight w:val="none"/>
        </w:rPr>
        <w:t>邮政编码：</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9F9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12459E1">
            <w:pPr>
              <w:spacing w:line="360" w:lineRule="auto"/>
              <w:rPr>
                <w:rFonts w:ascii="宋体"/>
                <w:b/>
                <w:color w:val="auto"/>
                <w:sz w:val="24"/>
                <w:highlight w:val="none"/>
              </w:rPr>
            </w:pPr>
          </w:p>
          <w:p w14:paraId="72C98BCD">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14:paraId="083ADB76">
      <w:pPr>
        <w:spacing w:line="360" w:lineRule="auto"/>
        <w:rPr>
          <w:rFonts w:ascii="宋体"/>
          <w:color w:val="auto"/>
          <w:sz w:val="24"/>
          <w:highlight w:val="none"/>
        </w:rPr>
      </w:pPr>
      <w:r>
        <w:rPr>
          <w:rFonts w:hint="eastAsia" w:ascii="宋体"/>
          <w:color w:val="auto"/>
          <w:sz w:val="24"/>
          <w:highlight w:val="none"/>
        </w:rPr>
        <w:t xml:space="preserve">全权代表姓名：       </w:t>
      </w:r>
    </w:p>
    <w:p w14:paraId="226602C2">
      <w:pPr>
        <w:spacing w:line="360" w:lineRule="auto"/>
        <w:rPr>
          <w:color w:val="auto"/>
          <w:sz w:val="24"/>
          <w:highlight w:val="none"/>
        </w:rPr>
      </w:pPr>
      <w:r>
        <w:rPr>
          <w:rFonts w:hint="eastAsia" w:ascii="宋体"/>
          <w:color w:val="auto"/>
          <w:sz w:val="24"/>
          <w:highlight w:val="none"/>
        </w:rPr>
        <w:t xml:space="preserve">职务：                           </w:t>
      </w:r>
    </w:p>
    <w:p w14:paraId="438A5CB1">
      <w:pPr>
        <w:spacing w:line="360" w:lineRule="auto"/>
        <w:rPr>
          <w:color w:val="auto"/>
          <w:sz w:val="24"/>
          <w:highlight w:val="none"/>
        </w:rPr>
      </w:pPr>
      <w:r>
        <w:rPr>
          <w:rFonts w:hint="eastAsia" w:ascii="宋体"/>
          <w:color w:val="auto"/>
          <w:sz w:val="24"/>
          <w:highlight w:val="none"/>
        </w:rPr>
        <w:t>传真：</w:t>
      </w:r>
    </w:p>
    <w:p w14:paraId="50D1F4DB">
      <w:pPr>
        <w:spacing w:line="360" w:lineRule="auto"/>
        <w:rPr>
          <w:rFonts w:ascii="宋体"/>
          <w:color w:val="auto"/>
          <w:sz w:val="24"/>
          <w:highlight w:val="none"/>
        </w:rPr>
      </w:pPr>
      <w:r>
        <w:rPr>
          <w:rFonts w:hint="eastAsia" w:ascii="宋体"/>
          <w:color w:val="auto"/>
          <w:sz w:val="24"/>
          <w:highlight w:val="none"/>
        </w:rPr>
        <w:t>电话：</w:t>
      </w:r>
    </w:p>
    <w:p w14:paraId="6F57A28A">
      <w:pPr>
        <w:spacing w:line="360" w:lineRule="auto"/>
        <w:rPr>
          <w:color w:val="auto"/>
          <w:sz w:val="24"/>
          <w:highlight w:val="none"/>
        </w:rPr>
      </w:pPr>
      <w:r>
        <w:rPr>
          <w:rFonts w:hint="eastAsia" w:ascii="宋体"/>
          <w:color w:val="auto"/>
          <w:sz w:val="24"/>
          <w:highlight w:val="none"/>
        </w:rPr>
        <w:t>详细通讯地址：</w:t>
      </w:r>
    </w:p>
    <w:p w14:paraId="2741B704">
      <w:pPr>
        <w:spacing w:line="360" w:lineRule="auto"/>
        <w:rPr>
          <w:rFonts w:ascii="宋体"/>
          <w:color w:val="auto"/>
          <w:sz w:val="24"/>
          <w:highlight w:val="none"/>
        </w:rPr>
      </w:pPr>
      <w:r>
        <w:rPr>
          <w:rFonts w:hint="eastAsia" w:ascii="宋体"/>
          <w:color w:val="auto"/>
          <w:sz w:val="24"/>
          <w:highlight w:val="none"/>
        </w:rPr>
        <w:t>邮政编码：</w:t>
      </w:r>
    </w:p>
    <w:p w14:paraId="4CA32C7C">
      <w:pPr>
        <w:spacing w:line="360" w:lineRule="auto"/>
        <w:rPr>
          <w:color w:val="auto"/>
          <w:highlight w:val="none"/>
        </w:rPr>
      </w:pPr>
      <w:r>
        <w:rPr>
          <w:rFonts w:hint="eastAsia" w:ascii="宋体"/>
          <w:b/>
          <w:color w:val="auto"/>
          <w:sz w:val="24"/>
          <w:highlight w:val="none"/>
        </w:rPr>
        <w:t>备注：手机号码和电子邮箱必须准确填写，开评标过程中须保持手机号码和电子邮箱畅通，随时进行项目开标情况通报及回执。</w:t>
      </w:r>
    </w:p>
    <w:p w14:paraId="1F5A7DBD">
      <w:pPr>
        <w:adjustRightInd w:val="0"/>
        <w:snapToGrid w:val="0"/>
        <w:spacing w:line="360" w:lineRule="auto"/>
        <w:ind w:right="480"/>
        <w:rPr>
          <w:rFonts w:ascii="宋体"/>
          <w:b/>
          <w:color w:val="auto"/>
          <w:sz w:val="28"/>
          <w:highlight w:val="none"/>
        </w:rPr>
      </w:pPr>
    </w:p>
    <w:p w14:paraId="70065CFE">
      <w:pPr>
        <w:adjustRightInd w:val="0"/>
        <w:snapToGrid w:val="0"/>
        <w:spacing w:line="360" w:lineRule="auto"/>
        <w:ind w:right="480"/>
        <w:rPr>
          <w:rFonts w:ascii="宋体"/>
          <w:b/>
          <w:color w:val="auto"/>
          <w:sz w:val="30"/>
          <w:szCs w:val="30"/>
          <w:highlight w:val="none"/>
        </w:rPr>
      </w:pPr>
      <w:r>
        <w:rPr>
          <w:rFonts w:hint="eastAsia" w:ascii="宋体"/>
          <w:b/>
          <w:color w:val="auto"/>
          <w:sz w:val="28"/>
          <w:highlight w:val="none"/>
        </w:rPr>
        <w:t>附件4</w:t>
      </w:r>
    </w:p>
    <w:p w14:paraId="02998D68">
      <w:pPr>
        <w:shd w:val="clear" w:color="auto" w:fill="FFFFFF"/>
        <w:snapToGrid w:val="0"/>
        <w:spacing w:line="360" w:lineRule="auto"/>
        <w:jc w:val="center"/>
        <w:rPr>
          <w:rFonts w:ascii="宋体" w:hAnsi="宋体" w:cs="宋体"/>
          <w:sz w:val="24"/>
          <w:highlight w:val="none"/>
        </w:rPr>
      </w:pPr>
      <w:r>
        <w:rPr>
          <w:rFonts w:hint="eastAsia" w:ascii="宋体" w:hAnsi="宋体" w:eastAsia="宋体" w:cs="宋体"/>
          <w:b/>
          <w:sz w:val="30"/>
          <w:szCs w:val="30"/>
        </w:rPr>
        <w:t>具有符合《中华人民共和国政府采购法》第二十二条规定的供应商资格条件的承诺函</w:t>
      </w:r>
    </w:p>
    <w:p w14:paraId="1B9507C7">
      <w:pPr>
        <w:snapToGrid w:val="0"/>
        <w:spacing w:before="120" w:beforeLines="50" w:after="50" w:line="420" w:lineRule="exact"/>
        <w:ind w:firstLine="480" w:firstLineChars="200"/>
        <w:rPr>
          <w:rFonts w:ascii="宋体" w:hAnsi="宋体" w:cs="宋体"/>
          <w:kern w:val="0"/>
          <w:sz w:val="24"/>
        </w:rPr>
      </w:pPr>
      <w:r>
        <w:rPr>
          <w:rFonts w:hint="eastAsia" w:ascii="宋体" w:hAnsi="宋体" w:cs="宋体"/>
          <w:sz w:val="24"/>
          <w:u w:val="single"/>
        </w:rPr>
        <w:t>××</w:t>
      </w:r>
      <w:r>
        <w:rPr>
          <w:rFonts w:hint="eastAsia" w:ascii="宋体" w:hAnsi="宋体" w:cs="宋体"/>
          <w:kern w:val="0"/>
          <w:sz w:val="24"/>
        </w:rPr>
        <w:t>（代理机构/采购代理机构名称）：</w:t>
      </w:r>
    </w:p>
    <w:p w14:paraId="496B9D9C">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cs="宋体"/>
          <w:sz w:val="24"/>
        </w:rPr>
        <w:t>我方</w:t>
      </w:r>
      <w:r>
        <w:rPr>
          <w:rFonts w:hint="eastAsia" w:ascii="宋体" w:cs="宋体"/>
          <w:sz w:val="24"/>
          <w:u w:val="single"/>
        </w:rPr>
        <w:t xml:space="preserve"> （供应商）</w:t>
      </w:r>
      <w:r>
        <w:rPr>
          <w:rFonts w:hint="eastAsia" w:ascii="宋体" w:cs="宋体"/>
          <w:sz w:val="24"/>
        </w:rPr>
        <w:t>承诺</w:t>
      </w:r>
      <w:r>
        <w:rPr>
          <w:rFonts w:hint="eastAsia" w:ascii="宋体" w:eastAsia="宋体"/>
          <w:color w:val="auto"/>
          <w:sz w:val="24"/>
          <w:szCs w:val="24"/>
        </w:rPr>
        <w:t>符合《中华人民共和国政府采购法》第二十二条规定的供应商资格条件。</w:t>
      </w:r>
      <w:r>
        <w:rPr>
          <w:rFonts w:hint="eastAsia" w:ascii="宋体" w:cs="宋体"/>
          <w:sz w:val="24"/>
        </w:rPr>
        <w:t>如有虚假，采购人可取消我方任何资格（投标/中标/签订合同），我方对此无任何异议。</w:t>
      </w:r>
    </w:p>
    <w:p w14:paraId="05A15983">
      <w:pPr>
        <w:widowControl/>
        <w:snapToGrid w:val="0"/>
        <w:spacing w:line="360" w:lineRule="auto"/>
        <w:ind w:firstLine="480" w:firstLineChars="200"/>
        <w:jc w:val="left"/>
        <w:rPr>
          <w:rFonts w:ascii="宋体" w:cs="宋体"/>
          <w:color w:val="auto"/>
          <w:kern w:val="0"/>
          <w:sz w:val="24"/>
          <w:highlight w:val="none"/>
        </w:rPr>
      </w:pPr>
      <w:r>
        <w:rPr>
          <w:rFonts w:hint="eastAsia" w:ascii="宋体" w:hAnsi="宋体" w:cs="宋体"/>
          <w:kern w:val="0"/>
          <w:sz w:val="24"/>
          <w:highlight w:val="none"/>
        </w:rPr>
        <w:t>特此承诺！</w:t>
      </w:r>
    </w:p>
    <w:p w14:paraId="323BB73B">
      <w:pPr>
        <w:pStyle w:val="2"/>
        <w:rPr>
          <w:rFonts w:ascii="宋体" w:cs="宋体"/>
          <w:color w:val="auto"/>
          <w:kern w:val="0"/>
          <w:sz w:val="24"/>
          <w:highlight w:val="none"/>
        </w:rPr>
      </w:pPr>
    </w:p>
    <w:p w14:paraId="151F4927">
      <w:pPr>
        <w:rPr>
          <w:rFonts w:ascii="宋体" w:cs="宋体"/>
          <w:color w:val="auto"/>
          <w:kern w:val="0"/>
          <w:sz w:val="24"/>
          <w:highlight w:val="none"/>
        </w:rPr>
      </w:pPr>
    </w:p>
    <w:p w14:paraId="67AFA40E">
      <w:pPr>
        <w:pStyle w:val="2"/>
        <w:rPr>
          <w:rFonts w:ascii="宋体" w:cs="宋体"/>
          <w:color w:val="auto"/>
          <w:kern w:val="0"/>
          <w:sz w:val="24"/>
          <w:highlight w:val="none"/>
        </w:rPr>
      </w:pPr>
    </w:p>
    <w:p w14:paraId="12A924A8">
      <w:pPr>
        <w:rPr>
          <w:rFonts w:ascii="宋体" w:cs="宋体"/>
          <w:color w:val="auto"/>
          <w:kern w:val="0"/>
          <w:sz w:val="24"/>
          <w:highlight w:val="none"/>
        </w:rPr>
      </w:pPr>
    </w:p>
    <w:p w14:paraId="28511D4C">
      <w:pPr>
        <w:pStyle w:val="2"/>
      </w:pPr>
    </w:p>
    <w:p w14:paraId="5895A6F0">
      <w:pPr>
        <w:widowControl/>
        <w:snapToGrid w:val="0"/>
        <w:spacing w:line="360" w:lineRule="auto"/>
        <w:ind w:firstLine="480" w:firstLineChars="200"/>
        <w:jc w:val="left"/>
        <w:rPr>
          <w:rFonts w:ascii="宋体" w:cs="宋体"/>
          <w:color w:val="auto"/>
          <w:kern w:val="0"/>
          <w:sz w:val="24"/>
          <w:highlight w:val="none"/>
        </w:rPr>
      </w:pPr>
    </w:p>
    <w:p w14:paraId="408A9A38">
      <w:pPr>
        <w:adjustRightInd w:val="0"/>
        <w:snapToGrid w:val="0"/>
        <w:spacing w:line="360" w:lineRule="auto"/>
        <w:rPr>
          <w:rFonts w:ascii="宋体" w:cs="仿宋_GB2312"/>
          <w:color w:val="auto"/>
          <w:kern w:val="0"/>
          <w:sz w:val="24"/>
          <w:highlight w:val="none"/>
          <w:lang w:val="zh-CN"/>
        </w:rPr>
      </w:pPr>
      <w:bookmarkStart w:id="36" w:name="_Hlk70600939"/>
      <w:r>
        <w:rPr>
          <w:rFonts w:hint="eastAsia" w:ascii="宋体" w:cs="仿宋_GB2312"/>
          <w:color w:val="auto"/>
          <w:kern w:val="0"/>
          <w:sz w:val="24"/>
          <w:highlight w:val="none"/>
          <w:lang w:val="zh-CN"/>
        </w:rPr>
        <w:t>投标人名称(签电子公章)：</w:t>
      </w:r>
    </w:p>
    <w:p w14:paraId="16D99846">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法定代表人或授权委托人(签章或签字)：</w:t>
      </w:r>
    </w:p>
    <w:p w14:paraId="5351B635">
      <w:pPr>
        <w:adjustRightInd w:val="0"/>
        <w:snapToGrid w:val="0"/>
        <w:spacing w:line="360" w:lineRule="auto"/>
        <w:ind w:right="48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bookmarkEnd w:id="36"/>
    <w:p w14:paraId="7BCF77BA">
      <w:pPr>
        <w:rPr>
          <w:rFonts w:ascii="宋体"/>
          <w:b/>
          <w:color w:val="auto"/>
          <w:kern w:val="0"/>
          <w:sz w:val="28"/>
          <w:szCs w:val="28"/>
          <w:highlight w:val="none"/>
        </w:rPr>
      </w:pPr>
    </w:p>
    <w:p w14:paraId="3A552704">
      <w:pPr>
        <w:rPr>
          <w:rFonts w:ascii="宋体"/>
          <w:b/>
          <w:color w:val="auto"/>
          <w:kern w:val="0"/>
          <w:sz w:val="28"/>
          <w:szCs w:val="28"/>
          <w:highlight w:val="none"/>
        </w:rPr>
      </w:pPr>
    </w:p>
    <w:p w14:paraId="4337E524">
      <w:pPr>
        <w:rPr>
          <w:rFonts w:ascii="宋体"/>
          <w:b/>
          <w:color w:val="auto"/>
          <w:kern w:val="0"/>
          <w:sz w:val="28"/>
          <w:szCs w:val="28"/>
          <w:highlight w:val="none"/>
        </w:rPr>
      </w:pPr>
    </w:p>
    <w:p w14:paraId="39BBF19F">
      <w:pPr>
        <w:rPr>
          <w:rFonts w:ascii="宋体"/>
          <w:b/>
          <w:color w:val="auto"/>
          <w:kern w:val="0"/>
          <w:sz w:val="28"/>
          <w:szCs w:val="28"/>
          <w:highlight w:val="none"/>
        </w:rPr>
      </w:pPr>
    </w:p>
    <w:p w14:paraId="1A5E116B">
      <w:pPr>
        <w:rPr>
          <w:rFonts w:ascii="宋体"/>
          <w:b/>
          <w:color w:val="auto"/>
          <w:kern w:val="0"/>
          <w:sz w:val="28"/>
          <w:szCs w:val="28"/>
          <w:highlight w:val="none"/>
        </w:rPr>
      </w:pPr>
    </w:p>
    <w:p w14:paraId="7D74B48D">
      <w:pPr>
        <w:rPr>
          <w:rFonts w:ascii="宋体"/>
          <w:b/>
          <w:color w:val="auto"/>
          <w:kern w:val="0"/>
          <w:sz w:val="28"/>
          <w:szCs w:val="28"/>
          <w:highlight w:val="none"/>
        </w:rPr>
      </w:pPr>
    </w:p>
    <w:p w14:paraId="2F17C454">
      <w:pPr>
        <w:rPr>
          <w:rFonts w:ascii="宋体"/>
          <w:b/>
          <w:color w:val="auto"/>
          <w:kern w:val="0"/>
          <w:sz w:val="28"/>
          <w:szCs w:val="28"/>
          <w:highlight w:val="none"/>
        </w:rPr>
      </w:pPr>
    </w:p>
    <w:p w14:paraId="0C329446">
      <w:pPr>
        <w:rPr>
          <w:rFonts w:ascii="宋体"/>
          <w:b/>
          <w:color w:val="auto"/>
          <w:kern w:val="0"/>
          <w:sz w:val="28"/>
          <w:szCs w:val="28"/>
          <w:highlight w:val="none"/>
        </w:rPr>
      </w:pPr>
    </w:p>
    <w:p w14:paraId="703D9E6D">
      <w:pPr>
        <w:adjustRightInd w:val="0"/>
        <w:snapToGrid w:val="0"/>
        <w:spacing w:line="360" w:lineRule="auto"/>
        <w:ind w:right="480"/>
        <w:rPr>
          <w:rFonts w:ascii="宋体"/>
          <w:b/>
          <w:color w:val="auto"/>
          <w:sz w:val="28"/>
          <w:highlight w:val="none"/>
        </w:rPr>
      </w:pPr>
      <w:r>
        <w:rPr>
          <w:rFonts w:hint="eastAsia" w:ascii="宋体"/>
          <w:b/>
          <w:color w:val="auto"/>
          <w:sz w:val="28"/>
          <w:highlight w:val="none"/>
        </w:rPr>
        <w:t>附件5</w:t>
      </w:r>
    </w:p>
    <w:p w14:paraId="65F6AD70">
      <w:pPr>
        <w:pStyle w:val="18"/>
        <w:ind w:left="420" w:firstLine="420"/>
        <w:rPr>
          <w:color w:val="auto"/>
          <w:highlight w:val="none"/>
        </w:rPr>
      </w:pPr>
    </w:p>
    <w:p w14:paraId="20ED857E">
      <w:pPr>
        <w:spacing w:line="360" w:lineRule="auto"/>
        <w:ind w:firstLine="301" w:firstLineChars="100"/>
        <w:jc w:val="center"/>
        <w:rPr>
          <w:rFonts w:ascii="宋体" w:cs="宋体"/>
          <w:b/>
          <w:color w:val="auto"/>
          <w:kern w:val="36"/>
          <w:sz w:val="32"/>
          <w:szCs w:val="28"/>
          <w:highlight w:val="none"/>
        </w:rPr>
      </w:pPr>
      <w:r>
        <w:rPr>
          <w:rFonts w:hint="eastAsia" w:ascii="宋体"/>
          <w:b/>
          <w:color w:val="auto"/>
          <w:sz w:val="30"/>
          <w:szCs w:val="30"/>
          <w:highlight w:val="none"/>
        </w:rPr>
        <w:t>投标供应商没有失信记录承诺函</w:t>
      </w:r>
    </w:p>
    <w:p w14:paraId="6C8222E0">
      <w:pPr>
        <w:pStyle w:val="9"/>
        <w:tabs>
          <w:tab w:val="left" w:pos="720"/>
          <w:tab w:val="left" w:pos="1260"/>
          <w:tab w:val="left" w:pos="2160"/>
          <w:tab w:val="left" w:pos="2880"/>
          <w:tab w:val="left" w:pos="3600"/>
          <w:tab w:val="left" w:pos="4320"/>
          <w:tab w:val="left" w:pos="5040"/>
          <w:tab w:val="left" w:pos="5760"/>
        </w:tabs>
        <w:ind w:left="420"/>
        <w:rPr>
          <w:color w:val="auto"/>
          <w:highlight w:val="none"/>
        </w:rPr>
      </w:pPr>
    </w:p>
    <w:p w14:paraId="53B7BBC3">
      <w:pPr>
        <w:spacing w:line="360" w:lineRule="auto"/>
        <w:ind w:firstLine="484" w:firstLineChars="202"/>
        <w:jc w:val="left"/>
        <w:rPr>
          <w:rFonts w:ascii="宋体"/>
          <w:color w:val="auto"/>
          <w:kern w:val="0"/>
          <w:sz w:val="24"/>
          <w:highlight w:val="none"/>
        </w:rPr>
      </w:pPr>
      <w:r>
        <w:rPr>
          <w:rFonts w:hint="eastAsia" w:ascii="宋体"/>
          <w:color w:val="auto"/>
          <w:sz w:val="24"/>
          <w:highlight w:val="none"/>
          <w:u w:val="single"/>
        </w:rPr>
        <w:t>××</w:t>
      </w:r>
      <w:r>
        <w:rPr>
          <w:rFonts w:hint="eastAsia" w:ascii="宋体"/>
          <w:color w:val="auto"/>
          <w:kern w:val="0"/>
          <w:sz w:val="24"/>
          <w:highlight w:val="none"/>
        </w:rPr>
        <w:t xml:space="preserve">（代理机构/采购代理机构名称）： </w:t>
      </w:r>
    </w:p>
    <w:p w14:paraId="25BD7560">
      <w:pPr>
        <w:spacing w:line="360" w:lineRule="auto"/>
        <w:ind w:firstLine="484" w:firstLineChars="202"/>
        <w:jc w:val="left"/>
        <w:rPr>
          <w:rFonts w:ascii="宋体" w:cs="Arial"/>
          <w:color w:val="auto"/>
          <w:kern w:val="0"/>
          <w:sz w:val="24"/>
          <w:highlight w:val="none"/>
        </w:rPr>
      </w:pPr>
      <w:r>
        <w:rPr>
          <w:rFonts w:hint="eastAsia" w:ascii="宋体" w:cs="Arial"/>
          <w:color w:val="auto"/>
          <w:kern w:val="0"/>
          <w:sz w:val="24"/>
          <w:highlight w:val="none"/>
        </w:rPr>
        <w:t>我公司郑重承诺：到本项目投标截止时间为止，我公司未被</w:t>
      </w:r>
      <w:r>
        <w:rPr>
          <w:rFonts w:ascii="宋体" w:cs="Arial"/>
          <w:color w:val="auto"/>
          <w:kern w:val="0"/>
          <w:sz w:val="24"/>
          <w:highlight w:val="none"/>
        </w:rPr>
        <w:t>“信用中国”</w:t>
      </w:r>
      <w:r>
        <w:rPr>
          <w:rFonts w:hint="eastAsia" w:ascii="宋体" w:cs="Arial"/>
          <w:color w:val="auto"/>
          <w:kern w:val="0"/>
          <w:sz w:val="24"/>
          <w:highlight w:val="none"/>
        </w:rPr>
        <w:t>（</w:t>
      </w:r>
      <w:r>
        <w:rPr>
          <w:rFonts w:ascii="宋体" w:cs="Arial"/>
          <w:color w:val="auto"/>
          <w:kern w:val="0"/>
          <w:sz w:val="24"/>
          <w:highlight w:val="none"/>
        </w:rPr>
        <w:t>www.creditchina.gov.cn</w:t>
      </w:r>
      <w:r>
        <w:rPr>
          <w:rFonts w:hint="eastAsia" w:ascii="宋体" w:cs="Arial"/>
          <w:color w:val="auto"/>
          <w:kern w:val="0"/>
          <w:sz w:val="24"/>
          <w:highlight w:val="none"/>
        </w:rPr>
        <w:t>）、</w:t>
      </w:r>
      <w:r>
        <w:rPr>
          <w:rFonts w:ascii="宋体" w:cs="Arial"/>
          <w:color w:val="auto"/>
          <w:kern w:val="0"/>
          <w:sz w:val="24"/>
          <w:highlight w:val="none"/>
        </w:rPr>
        <w:t>中国政府采购网</w:t>
      </w:r>
      <w:r>
        <w:rPr>
          <w:rFonts w:hint="eastAsia" w:ascii="宋体" w:cs="Arial"/>
          <w:color w:val="auto"/>
          <w:kern w:val="0"/>
          <w:sz w:val="24"/>
          <w:highlight w:val="none"/>
        </w:rPr>
        <w:t>（</w:t>
      </w:r>
      <w:r>
        <w:rPr>
          <w:rFonts w:ascii="宋体" w:cs="Arial"/>
          <w:color w:val="auto"/>
          <w:kern w:val="0"/>
          <w:sz w:val="24"/>
          <w:highlight w:val="none"/>
        </w:rPr>
        <w:t>www.ccgp.gov.cn</w:t>
      </w:r>
      <w:r>
        <w:rPr>
          <w:rFonts w:hint="eastAsia" w:ascii="宋体" w:cs="Arial"/>
          <w:color w:val="auto"/>
          <w:kern w:val="0"/>
          <w:sz w:val="24"/>
          <w:highlight w:val="none"/>
        </w:rPr>
        <w:t>）</w:t>
      </w:r>
      <w:r>
        <w:rPr>
          <w:rFonts w:ascii="宋体" w:cs="Arial"/>
          <w:color w:val="auto"/>
          <w:kern w:val="0"/>
          <w:sz w:val="24"/>
          <w:highlight w:val="none"/>
        </w:rPr>
        <w:t>列入失信被执行人</w:t>
      </w:r>
      <w:r>
        <w:rPr>
          <w:rFonts w:hint="eastAsia" w:ascii="宋体" w:cs="Arial"/>
          <w:color w:val="auto"/>
          <w:kern w:val="0"/>
          <w:sz w:val="24"/>
          <w:highlight w:val="none"/>
        </w:rPr>
        <w:t>名单</w:t>
      </w:r>
      <w:r>
        <w:rPr>
          <w:rFonts w:ascii="宋体" w:cs="Arial"/>
          <w:color w:val="auto"/>
          <w:kern w:val="0"/>
          <w:sz w:val="24"/>
          <w:highlight w:val="none"/>
        </w:rPr>
        <w:t>、重大税收违法案件当事人名单、政府采购严重违法失信行为记录名单</w:t>
      </w:r>
      <w:r>
        <w:rPr>
          <w:rFonts w:hint="eastAsia" w:ascii="宋体" w:cs="Arial"/>
          <w:color w:val="auto"/>
          <w:kern w:val="0"/>
          <w:sz w:val="24"/>
          <w:highlight w:val="none"/>
        </w:rPr>
        <w:t>。如有隐瞒，愿承担一切责任。</w:t>
      </w:r>
    </w:p>
    <w:p w14:paraId="532D1A2C">
      <w:pPr>
        <w:shd w:val="clear" w:color="auto" w:fill="FFFFFF"/>
        <w:snapToGrid w:val="0"/>
        <w:spacing w:line="360" w:lineRule="auto"/>
        <w:rPr>
          <w:rFonts w:ascii="宋体" w:cs="宋体"/>
          <w:color w:val="auto"/>
          <w:sz w:val="24"/>
          <w:highlight w:val="none"/>
        </w:rPr>
      </w:pPr>
    </w:p>
    <w:p w14:paraId="43534619">
      <w:pPr>
        <w:widowControl/>
        <w:snapToGrid w:val="0"/>
        <w:spacing w:line="360" w:lineRule="auto"/>
        <w:ind w:firstLine="480" w:firstLineChars="200"/>
        <w:jc w:val="left"/>
        <w:rPr>
          <w:rFonts w:ascii="宋体" w:cs="宋体"/>
          <w:color w:val="auto"/>
          <w:kern w:val="0"/>
          <w:sz w:val="24"/>
          <w:highlight w:val="none"/>
        </w:rPr>
      </w:pPr>
      <w:r>
        <w:rPr>
          <w:rFonts w:hint="eastAsia" w:ascii="宋体" w:cs="宋体"/>
          <w:color w:val="auto"/>
          <w:kern w:val="0"/>
          <w:sz w:val="24"/>
          <w:highlight w:val="none"/>
        </w:rPr>
        <w:t>特此承诺！</w:t>
      </w:r>
    </w:p>
    <w:p w14:paraId="07E23459">
      <w:pPr>
        <w:pStyle w:val="71"/>
        <w:shd w:val="clear" w:color="auto" w:fill="FFFFFF"/>
        <w:spacing w:before="0" w:beforeAutospacing="0" w:after="0" w:afterAutospacing="0" w:line="360" w:lineRule="auto"/>
        <w:rPr>
          <w:b/>
          <w:color w:val="auto"/>
          <w:sz w:val="28"/>
          <w:highlight w:val="none"/>
        </w:rPr>
      </w:pPr>
    </w:p>
    <w:p w14:paraId="71020F2C">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投标人名称(签电子公章)：</w:t>
      </w:r>
    </w:p>
    <w:p w14:paraId="78EC05C7">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法定代表人或授权委托人(签章或签字)：</w:t>
      </w:r>
    </w:p>
    <w:p w14:paraId="3F0051E9">
      <w:pPr>
        <w:adjustRightInd w:val="0"/>
        <w:snapToGrid w:val="0"/>
        <w:spacing w:line="360" w:lineRule="auto"/>
        <w:ind w:right="48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p w14:paraId="1CCF99A8">
      <w:pPr>
        <w:adjustRightInd w:val="0"/>
        <w:snapToGrid w:val="0"/>
        <w:spacing w:line="360" w:lineRule="auto"/>
        <w:ind w:right="480"/>
        <w:rPr>
          <w:rFonts w:ascii="宋体" w:cs="仿宋_GB2312"/>
          <w:color w:val="auto"/>
          <w:kern w:val="0"/>
          <w:sz w:val="24"/>
          <w:highlight w:val="none"/>
          <w:lang w:val="zh-CN"/>
        </w:rPr>
      </w:pPr>
    </w:p>
    <w:p w14:paraId="1DB9EFA4">
      <w:pPr>
        <w:adjustRightInd w:val="0"/>
        <w:snapToGrid w:val="0"/>
        <w:spacing w:line="360" w:lineRule="auto"/>
        <w:ind w:right="480"/>
        <w:rPr>
          <w:rFonts w:ascii="宋体" w:cs="仿宋_GB2312"/>
          <w:color w:val="auto"/>
          <w:kern w:val="0"/>
          <w:sz w:val="24"/>
          <w:highlight w:val="none"/>
          <w:lang w:val="zh-CN"/>
        </w:rPr>
      </w:pPr>
    </w:p>
    <w:p w14:paraId="75F6DCE6">
      <w:pPr>
        <w:adjustRightInd w:val="0"/>
        <w:snapToGrid w:val="0"/>
        <w:spacing w:line="360" w:lineRule="auto"/>
        <w:ind w:right="480"/>
        <w:rPr>
          <w:rFonts w:ascii="宋体" w:cs="仿宋_GB2312"/>
          <w:color w:val="auto"/>
          <w:kern w:val="0"/>
          <w:sz w:val="24"/>
          <w:highlight w:val="none"/>
          <w:lang w:val="zh-CN"/>
        </w:rPr>
      </w:pPr>
    </w:p>
    <w:p w14:paraId="19B6987B">
      <w:pPr>
        <w:adjustRightInd w:val="0"/>
        <w:snapToGrid w:val="0"/>
        <w:spacing w:line="360" w:lineRule="auto"/>
        <w:ind w:right="480"/>
        <w:rPr>
          <w:rFonts w:ascii="宋体" w:cs="仿宋_GB2312"/>
          <w:color w:val="auto"/>
          <w:kern w:val="0"/>
          <w:sz w:val="24"/>
          <w:highlight w:val="none"/>
          <w:lang w:val="zh-CN"/>
        </w:rPr>
      </w:pPr>
    </w:p>
    <w:p w14:paraId="7450C344">
      <w:pPr>
        <w:adjustRightInd w:val="0"/>
        <w:snapToGrid w:val="0"/>
        <w:spacing w:line="360" w:lineRule="auto"/>
        <w:ind w:right="480"/>
        <w:rPr>
          <w:rFonts w:ascii="宋体" w:cs="仿宋_GB2312"/>
          <w:color w:val="auto"/>
          <w:kern w:val="0"/>
          <w:sz w:val="24"/>
          <w:highlight w:val="none"/>
          <w:lang w:val="zh-CN"/>
        </w:rPr>
      </w:pPr>
    </w:p>
    <w:p w14:paraId="5C096EA6">
      <w:pPr>
        <w:adjustRightInd w:val="0"/>
        <w:snapToGrid w:val="0"/>
        <w:spacing w:line="360" w:lineRule="auto"/>
        <w:ind w:right="480"/>
        <w:rPr>
          <w:rFonts w:ascii="宋体" w:cs="仿宋_GB2312"/>
          <w:color w:val="auto"/>
          <w:kern w:val="0"/>
          <w:sz w:val="24"/>
          <w:highlight w:val="none"/>
          <w:lang w:val="zh-CN"/>
        </w:rPr>
      </w:pPr>
    </w:p>
    <w:p w14:paraId="1EC901D7">
      <w:pPr>
        <w:adjustRightInd w:val="0"/>
        <w:snapToGrid w:val="0"/>
        <w:spacing w:line="360" w:lineRule="auto"/>
        <w:ind w:right="480"/>
        <w:rPr>
          <w:rFonts w:ascii="宋体" w:cs="仿宋_GB2312"/>
          <w:color w:val="auto"/>
          <w:kern w:val="0"/>
          <w:sz w:val="24"/>
          <w:highlight w:val="none"/>
          <w:lang w:val="zh-CN"/>
        </w:rPr>
      </w:pPr>
    </w:p>
    <w:p w14:paraId="0D4935E8">
      <w:pPr>
        <w:adjustRightInd w:val="0"/>
        <w:snapToGrid w:val="0"/>
        <w:spacing w:line="360" w:lineRule="auto"/>
        <w:ind w:right="480"/>
        <w:rPr>
          <w:rFonts w:ascii="宋体" w:cs="仿宋_GB2312"/>
          <w:color w:val="auto"/>
          <w:kern w:val="0"/>
          <w:sz w:val="24"/>
          <w:highlight w:val="none"/>
          <w:lang w:val="zh-CN"/>
        </w:rPr>
      </w:pPr>
    </w:p>
    <w:p w14:paraId="7883737B">
      <w:pPr>
        <w:adjustRightInd w:val="0"/>
        <w:snapToGrid w:val="0"/>
        <w:spacing w:line="360" w:lineRule="auto"/>
        <w:ind w:right="480"/>
        <w:rPr>
          <w:rFonts w:ascii="宋体" w:cs="仿宋_GB2312"/>
          <w:color w:val="auto"/>
          <w:kern w:val="0"/>
          <w:sz w:val="24"/>
          <w:highlight w:val="none"/>
          <w:lang w:val="zh-CN"/>
        </w:rPr>
      </w:pPr>
    </w:p>
    <w:p w14:paraId="353FA07C">
      <w:pPr>
        <w:adjustRightInd w:val="0"/>
        <w:snapToGrid w:val="0"/>
        <w:spacing w:line="360" w:lineRule="auto"/>
        <w:ind w:right="480"/>
        <w:rPr>
          <w:rFonts w:ascii="宋体" w:cs="仿宋_GB2312"/>
          <w:color w:val="auto"/>
          <w:kern w:val="0"/>
          <w:sz w:val="24"/>
          <w:highlight w:val="none"/>
          <w:lang w:val="zh-CN"/>
        </w:rPr>
      </w:pPr>
    </w:p>
    <w:p w14:paraId="4B808B96">
      <w:pPr>
        <w:adjustRightInd w:val="0"/>
        <w:snapToGrid w:val="0"/>
        <w:spacing w:line="360" w:lineRule="auto"/>
        <w:ind w:right="480"/>
        <w:rPr>
          <w:rFonts w:ascii="宋体" w:cs="仿宋_GB2312"/>
          <w:color w:val="auto"/>
          <w:kern w:val="0"/>
          <w:sz w:val="24"/>
          <w:highlight w:val="none"/>
          <w:lang w:val="zh-CN"/>
        </w:rPr>
      </w:pPr>
    </w:p>
    <w:p w14:paraId="08652AF4">
      <w:pPr>
        <w:adjustRightInd w:val="0"/>
        <w:snapToGrid w:val="0"/>
        <w:spacing w:line="360" w:lineRule="auto"/>
        <w:ind w:right="480"/>
        <w:rPr>
          <w:rFonts w:ascii="宋体" w:cs="仿宋_GB2312"/>
          <w:color w:val="auto"/>
          <w:kern w:val="0"/>
          <w:sz w:val="24"/>
          <w:highlight w:val="none"/>
          <w:lang w:val="zh-CN"/>
        </w:rPr>
      </w:pPr>
    </w:p>
    <w:p w14:paraId="1E32BF10">
      <w:pPr>
        <w:adjustRightInd w:val="0"/>
        <w:snapToGrid w:val="0"/>
        <w:spacing w:line="360" w:lineRule="auto"/>
        <w:ind w:right="480"/>
        <w:rPr>
          <w:rFonts w:ascii="宋体" w:cs="仿宋_GB2312"/>
          <w:color w:val="auto"/>
          <w:kern w:val="0"/>
          <w:sz w:val="24"/>
          <w:highlight w:val="none"/>
          <w:lang w:val="zh-CN"/>
        </w:rPr>
      </w:pPr>
    </w:p>
    <w:p w14:paraId="5D05E773">
      <w:pPr>
        <w:adjustRightInd w:val="0"/>
        <w:snapToGrid w:val="0"/>
        <w:spacing w:line="360" w:lineRule="auto"/>
        <w:ind w:right="480"/>
        <w:rPr>
          <w:rFonts w:ascii="宋体" w:cs="仿宋_GB2312"/>
          <w:color w:val="auto"/>
          <w:kern w:val="0"/>
          <w:sz w:val="24"/>
          <w:highlight w:val="none"/>
          <w:lang w:val="zh-CN"/>
        </w:rPr>
      </w:pPr>
    </w:p>
    <w:p w14:paraId="37AA9D18">
      <w:pPr>
        <w:spacing w:line="360" w:lineRule="auto"/>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6</w:t>
      </w:r>
      <w:r>
        <w:rPr>
          <w:rFonts w:hint="eastAsia" w:ascii="宋体" w:hAnsi="宋体" w:cs="宋体"/>
          <w:b/>
          <w:color w:val="auto"/>
          <w:sz w:val="28"/>
          <w:highlight w:val="none"/>
        </w:rPr>
        <w:t>：</w:t>
      </w:r>
    </w:p>
    <w:p w14:paraId="771B6121">
      <w:pPr>
        <w:widowControl/>
        <w:spacing w:after="156"/>
        <w:jc w:val="center"/>
        <w:rPr>
          <w:rFonts w:ascii="宋体" w:hAnsi="宋体" w:cs="宋体"/>
          <w:color w:val="auto"/>
          <w:highlight w:val="none"/>
        </w:rPr>
      </w:pPr>
      <w:r>
        <w:rPr>
          <w:rFonts w:hint="eastAsia" w:ascii="宋体" w:hAnsi="宋体" w:cs="宋体"/>
          <w:b/>
          <w:bCs/>
          <w:color w:val="auto"/>
          <w:kern w:val="0"/>
          <w:sz w:val="36"/>
          <w:szCs w:val="36"/>
          <w:highlight w:val="none"/>
        </w:rPr>
        <w:t>中小企业声明函（</w:t>
      </w:r>
      <w:r>
        <w:rPr>
          <w:rFonts w:hint="eastAsia" w:ascii="宋体" w:hAnsi="宋体" w:cs="宋体"/>
          <w:b/>
          <w:bCs/>
          <w:color w:val="auto"/>
          <w:kern w:val="0"/>
          <w:sz w:val="36"/>
          <w:szCs w:val="36"/>
          <w:highlight w:val="none"/>
          <w:lang w:val="en-US" w:eastAsia="zh-CN"/>
        </w:rPr>
        <w:t>工程</w:t>
      </w:r>
      <w:r>
        <w:rPr>
          <w:rFonts w:hint="eastAsia" w:ascii="宋体" w:hAnsi="宋体" w:cs="宋体"/>
          <w:b/>
          <w:bCs/>
          <w:color w:val="auto"/>
          <w:kern w:val="0"/>
          <w:sz w:val="36"/>
          <w:szCs w:val="36"/>
          <w:highlight w:val="none"/>
        </w:rPr>
        <w:t>）</w:t>
      </w:r>
    </w:p>
    <w:p w14:paraId="19C6AB09">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本公司郑重声明，根据《政府采购促进中小企业发展管理办法》（财库﹝2020﹞46 号）的规定，本公司参加参加</w:t>
      </w:r>
      <w:r>
        <w:rPr>
          <w:rFonts w:hint="eastAsia" w:ascii="宋体" w:hAnsi="宋体"/>
          <w:sz w:val="24"/>
          <w:highlight w:val="none"/>
          <w:u w:val="single"/>
        </w:rPr>
        <w:t xml:space="preserve"> </w:t>
      </w:r>
      <w:r>
        <w:rPr>
          <w:rFonts w:hint="eastAsia" w:ascii="宋体" w:hAnsi="宋体" w:cs="宋体"/>
          <w:i/>
          <w:kern w:val="0"/>
          <w:sz w:val="24"/>
          <w:highlight w:val="none"/>
          <w:u w:val="single"/>
        </w:rPr>
        <w:t>（单位名称）</w:t>
      </w:r>
      <w:r>
        <w:rPr>
          <w:rFonts w:hint="eastAsia" w:ascii="宋体" w:hAnsi="宋体" w:cs="宋体"/>
          <w:kern w:val="0"/>
          <w:sz w:val="24"/>
          <w:highlight w:val="none"/>
        </w:rPr>
        <w:t>的</w:t>
      </w:r>
      <w:r>
        <w:rPr>
          <w:rFonts w:hint="eastAsia" w:ascii="宋体" w:hAnsi="宋体" w:cs="宋体"/>
          <w:i/>
          <w:kern w:val="0"/>
          <w:sz w:val="24"/>
          <w:highlight w:val="none"/>
          <w:u w:val="single"/>
        </w:rPr>
        <w:t>（项目名称）</w:t>
      </w:r>
      <w:r>
        <w:rPr>
          <w:rFonts w:hint="eastAsia" w:ascii="宋体" w:hAnsi="宋体" w:cs="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 况如下：</w:t>
      </w:r>
    </w:p>
    <w:p w14:paraId="234A5BB5">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 xml:space="preserve">1. </w:t>
      </w:r>
      <w:r>
        <w:rPr>
          <w:rFonts w:hint="eastAsia" w:ascii="宋体" w:hAnsi="宋体" w:cs="宋体"/>
          <w:i/>
          <w:kern w:val="0"/>
          <w:sz w:val="24"/>
          <w:highlight w:val="none"/>
          <w:u w:val="single"/>
        </w:rPr>
        <w:t xml:space="preserve">（标的名称） </w:t>
      </w:r>
      <w:r>
        <w:rPr>
          <w:rFonts w:hint="eastAsia" w:ascii="宋体" w:hAnsi="宋体" w:cs="宋体"/>
          <w:kern w:val="0"/>
          <w:sz w:val="24"/>
          <w:highlight w:val="none"/>
        </w:rPr>
        <w:t>，属于</w:t>
      </w:r>
      <w:r>
        <w:rPr>
          <w:rFonts w:hint="eastAsia" w:ascii="宋体" w:hAnsi="宋体" w:cs="宋体"/>
          <w:i/>
          <w:kern w:val="0"/>
          <w:sz w:val="24"/>
          <w:highlight w:val="none"/>
          <w:u w:val="single"/>
        </w:rPr>
        <w:t>（采购文件中明确的所属行业）</w:t>
      </w:r>
      <w:r>
        <w:rPr>
          <w:rFonts w:hint="eastAsia" w:ascii="宋体" w:hAnsi="宋体" w:cs="宋体"/>
          <w:kern w:val="0"/>
          <w:sz w:val="24"/>
          <w:highlight w:val="none"/>
        </w:rPr>
        <w:t>；承建（承接）企业为</w:t>
      </w:r>
      <w:r>
        <w:rPr>
          <w:rFonts w:hint="eastAsia" w:ascii="宋体" w:hAnsi="宋体" w:cs="宋体"/>
          <w:i/>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i/>
          <w:kern w:val="0"/>
          <w:sz w:val="24"/>
          <w:highlight w:val="none"/>
          <w:u w:val="single"/>
        </w:rPr>
        <w:t>（中型企业、 小型企业、微型企业）</w:t>
      </w:r>
      <w:r>
        <w:rPr>
          <w:rFonts w:hint="eastAsia" w:ascii="宋体" w:hAnsi="宋体" w:cs="宋体"/>
          <w:kern w:val="0"/>
          <w:sz w:val="24"/>
          <w:highlight w:val="none"/>
        </w:rPr>
        <w:t xml:space="preserve">； </w:t>
      </w:r>
    </w:p>
    <w:p w14:paraId="5A651320">
      <w:pPr>
        <w:widowControl/>
        <w:spacing w:line="360" w:lineRule="auto"/>
        <w:ind w:firstLine="480" w:firstLineChars="200"/>
        <w:jc w:val="left"/>
        <w:rPr>
          <w:rFonts w:hint="eastAsia" w:ascii="宋体" w:hAnsi="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 xml:space="preserve">. </w:t>
      </w:r>
      <w:r>
        <w:rPr>
          <w:rFonts w:hint="eastAsia" w:ascii="宋体" w:hAnsi="宋体" w:cs="宋体"/>
          <w:i/>
          <w:kern w:val="0"/>
          <w:sz w:val="24"/>
          <w:highlight w:val="none"/>
          <w:u w:val="single"/>
        </w:rPr>
        <w:t xml:space="preserve">（标的名称） </w:t>
      </w:r>
      <w:r>
        <w:rPr>
          <w:rFonts w:hint="eastAsia" w:ascii="宋体" w:hAnsi="宋体" w:cs="宋体"/>
          <w:kern w:val="0"/>
          <w:sz w:val="24"/>
          <w:highlight w:val="none"/>
        </w:rPr>
        <w:t>，属于</w:t>
      </w:r>
      <w:r>
        <w:rPr>
          <w:rFonts w:hint="eastAsia" w:ascii="宋体" w:hAnsi="宋体" w:cs="宋体"/>
          <w:i/>
          <w:kern w:val="0"/>
          <w:sz w:val="24"/>
          <w:highlight w:val="none"/>
          <w:u w:val="single"/>
        </w:rPr>
        <w:t>（采购文件中明确的所属行业）</w:t>
      </w:r>
      <w:r>
        <w:rPr>
          <w:rFonts w:hint="eastAsia" w:ascii="宋体" w:hAnsi="宋体" w:cs="宋体"/>
          <w:kern w:val="0"/>
          <w:sz w:val="24"/>
          <w:highlight w:val="none"/>
        </w:rPr>
        <w:t>；承建（承接）企业为</w:t>
      </w:r>
      <w:r>
        <w:rPr>
          <w:rFonts w:hint="eastAsia" w:ascii="宋体" w:hAnsi="宋体" w:cs="宋体"/>
          <w:i/>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 xml:space="preserve">     </w:t>
      </w:r>
      <w:r>
        <w:rPr>
          <w:rFonts w:hint="eastAsia" w:ascii="宋体" w:hAnsi="宋体" w:cs="宋体"/>
          <w:kern w:val="0"/>
          <w:sz w:val="24"/>
          <w:highlight w:val="none"/>
        </w:rPr>
        <w:t>人，营业收入为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万元，资产总额为</w:t>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i/>
          <w:kern w:val="0"/>
          <w:sz w:val="24"/>
          <w:highlight w:val="none"/>
          <w:u w:val="single"/>
        </w:rPr>
        <w:t>（中型企业、 小型企业、微型企业）</w:t>
      </w:r>
      <w:r>
        <w:rPr>
          <w:rFonts w:hint="eastAsia" w:ascii="宋体" w:hAnsi="宋体" w:cs="宋体"/>
          <w:kern w:val="0"/>
          <w:sz w:val="24"/>
          <w:highlight w:val="none"/>
        </w:rPr>
        <w:t>；</w:t>
      </w:r>
    </w:p>
    <w:p w14:paraId="07C1151E">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w:t>
      </w:r>
    </w:p>
    <w:p w14:paraId="32AB711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以上企业，不属于大企业的分支机构，不存在控股股东为大企业的情形，也不存在与大企业的负责人为同一人的情形。</w:t>
      </w:r>
    </w:p>
    <w:p w14:paraId="2C396082">
      <w:pPr>
        <w:pStyle w:val="114"/>
      </w:pPr>
      <w:r>
        <w:rPr>
          <w:rFonts w:hint="eastAsia" w:ascii="宋体" w:hAnsi="宋体" w:cs="宋体"/>
          <w:kern w:val="0"/>
          <w:sz w:val="24"/>
          <w:highlight w:val="none"/>
        </w:rPr>
        <w:t>本企业对上述声明内容的真实性负责。如有虚假，将依法承担相应责任。</w:t>
      </w:r>
    </w:p>
    <w:p w14:paraId="7FF195A7">
      <w:pPr>
        <w:widowControl/>
        <w:spacing w:line="360" w:lineRule="auto"/>
        <w:jc w:val="center"/>
        <w:rPr>
          <w:rFonts w:ascii="宋体" w:hAnsi="宋体" w:cs="宋体"/>
          <w:kern w:val="0"/>
          <w:sz w:val="24"/>
        </w:rPr>
      </w:pPr>
      <w:r>
        <w:rPr>
          <w:rFonts w:hint="eastAsia" w:ascii="宋体" w:hAnsi="宋体" w:cs="宋体"/>
          <w:kern w:val="0"/>
          <w:sz w:val="24"/>
        </w:rPr>
        <w:t xml:space="preserve">                </w:t>
      </w:r>
    </w:p>
    <w:p w14:paraId="54AFB298">
      <w:pPr>
        <w:widowControl/>
        <w:spacing w:line="360" w:lineRule="auto"/>
        <w:jc w:val="center"/>
        <w:rPr>
          <w:rFonts w:hint="eastAsia" w:ascii="宋体" w:hAnsi="宋体" w:cs="宋体"/>
          <w:kern w:val="0"/>
          <w:sz w:val="24"/>
        </w:rPr>
      </w:pPr>
      <w:r>
        <w:rPr>
          <w:rFonts w:hint="eastAsia" w:ascii="宋体" w:hAnsi="宋体" w:cs="宋体"/>
          <w:kern w:val="0"/>
          <w:sz w:val="24"/>
        </w:rPr>
        <w:t xml:space="preserve">                               </w:t>
      </w:r>
    </w:p>
    <w:p w14:paraId="15BE8CF1">
      <w:pPr>
        <w:pStyle w:val="2"/>
        <w:rPr>
          <w:rFonts w:ascii="宋体" w:hAnsi="宋体" w:cs="宋体"/>
          <w:b w:val="0"/>
          <w:bCs w:val="0"/>
          <w:color w:val="auto"/>
          <w:sz w:val="24"/>
          <w:szCs w:val="24"/>
          <w:highlight w:val="none"/>
        </w:rPr>
      </w:pP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b w:val="0"/>
          <w:bCs w:val="0"/>
          <w:color w:val="auto"/>
          <w:sz w:val="24"/>
          <w:szCs w:val="24"/>
          <w:highlight w:val="none"/>
        </w:rPr>
        <w:t>单位名称（公章）：</w:t>
      </w:r>
    </w:p>
    <w:p w14:paraId="078F654D">
      <w:pPr>
        <w:pStyle w:val="2"/>
        <w:rPr>
          <w:rFonts w:hint="eastAsia" w:eastAsia="宋体"/>
          <w:color w:val="auto"/>
          <w:highlight w:val="none"/>
          <w:lang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val="0"/>
          <w:bCs w:val="0"/>
          <w:color w:val="auto"/>
          <w:sz w:val="24"/>
          <w:szCs w:val="24"/>
          <w:highlight w:val="none"/>
        </w:rPr>
        <w:t xml:space="preserve">                 日 期</w:t>
      </w:r>
      <w:r>
        <w:rPr>
          <w:rFonts w:hint="eastAsia" w:ascii="宋体" w:hAnsi="宋体" w:cs="宋体"/>
          <w:b w:val="0"/>
          <w:bCs w:val="0"/>
          <w:color w:val="auto"/>
          <w:sz w:val="24"/>
          <w:szCs w:val="24"/>
          <w:highlight w:val="none"/>
          <w:lang w:eastAsia="zh-CN"/>
        </w:rPr>
        <w:t>：</w:t>
      </w:r>
    </w:p>
    <w:p w14:paraId="62501C92">
      <w:pPr>
        <w:spacing w:line="360" w:lineRule="auto"/>
        <w:jc w:val="center"/>
        <w:rPr>
          <w:rFonts w:ascii="宋体" w:cs="宋体"/>
          <w:b/>
          <w:bCs/>
          <w:color w:val="auto"/>
          <w:sz w:val="24"/>
          <w:highlight w:val="none"/>
        </w:rPr>
      </w:pPr>
      <w:r>
        <w:rPr>
          <w:rFonts w:hint="eastAsia" w:ascii="宋体" w:cs="宋体"/>
          <w:b/>
          <w:bCs/>
          <w:color w:val="auto"/>
          <w:sz w:val="24"/>
          <w:highlight w:val="none"/>
        </w:rPr>
        <w:t>残疾人福利性单位声明函（如有）</w:t>
      </w:r>
    </w:p>
    <w:p w14:paraId="7DEA6AF2">
      <w:pPr>
        <w:spacing w:line="360" w:lineRule="auto"/>
        <w:jc w:val="center"/>
        <w:rPr>
          <w:rFonts w:ascii="宋体" w:cs="宋体"/>
          <w:b/>
          <w:bCs/>
          <w:color w:val="auto"/>
          <w:sz w:val="24"/>
          <w:highlight w:val="none"/>
        </w:rPr>
      </w:pPr>
    </w:p>
    <w:p w14:paraId="1689BA97">
      <w:pPr>
        <w:spacing w:line="360" w:lineRule="auto"/>
        <w:ind w:firstLine="480" w:firstLineChars="200"/>
        <w:rPr>
          <w:rFonts w:ascii="宋体" w:cs="宋体"/>
          <w:color w:val="auto"/>
          <w:spacing w:val="6"/>
          <w:sz w:val="24"/>
          <w:highlight w:val="none"/>
        </w:rPr>
      </w:pPr>
      <w:r>
        <w:rPr>
          <w:rFonts w:hint="eastAsia" w:ascii="宋体" w:cs="宋体"/>
          <w:color w:val="auto"/>
          <w:sz w:val="24"/>
          <w:highlight w:val="none"/>
        </w:rPr>
        <w:t>本</w:t>
      </w:r>
      <w:r>
        <w:rPr>
          <w:rFonts w:hint="eastAsia" w:ascii="宋体" w:cs="宋体"/>
          <w:color w:val="auto"/>
          <w:spacing w:val="6"/>
          <w:sz w:val="24"/>
          <w:highlight w:val="none"/>
        </w:rPr>
        <w:t>单位郑重声明，根据《财政部 民政部 中国残疾人联合会关于促进残疾人就业政府采购政策的通知》（财库〔2017〕 141号）的规定，本单位为符合条件的残疾人福利性单位，且本单位参加</w:t>
      </w:r>
      <w:r>
        <w:rPr>
          <w:rFonts w:hint="eastAsia" w:ascii="宋体" w:cs="宋体"/>
          <w:color w:val="auto"/>
          <w:spacing w:val="6"/>
          <w:sz w:val="24"/>
          <w:highlight w:val="none"/>
          <w:u w:val="single"/>
        </w:rPr>
        <w:t>台州中亿工程管理有限公司</w:t>
      </w:r>
      <w:r>
        <w:rPr>
          <w:rFonts w:hint="eastAsia" w:ascii="宋体" w:cs="宋体"/>
          <w:color w:val="auto"/>
          <w:spacing w:val="6"/>
          <w:sz w:val="24"/>
          <w:highlight w:val="none"/>
        </w:rPr>
        <w:t>单位的项目采购活动提供本单位制造的货物（由本单位承担工程/提供服务），或者提供其他残疾人福利性单位制造的货物（不包括使用非残疾人福利性单位注册商标的货物）。</w:t>
      </w:r>
    </w:p>
    <w:p w14:paraId="304EC7B1">
      <w:pPr>
        <w:spacing w:line="360" w:lineRule="auto"/>
        <w:ind w:firstLine="378" w:firstLineChars="150"/>
        <w:rPr>
          <w:rFonts w:ascii="宋体" w:cs="宋体"/>
          <w:color w:val="auto"/>
          <w:sz w:val="24"/>
          <w:highlight w:val="none"/>
        </w:rPr>
      </w:pPr>
      <w:r>
        <w:rPr>
          <w:rFonts w:hint="eastAsia" w:ascii="宋体" w:cs="宋体"/>
          <w:color w:val="auto"/>
          <w:spacing w:val="6"/>
          <w:sz w:val="24"/>
          <w:highlight w:val="none"/>
        </w:rPr>
        <w:t>本单位对上述声明的真实性负责。如有虚假，将依法承担相应责任</w:t>
      </w:r>
      <w:r>
        <w:rPr>
          <w:rFonts w:hint="eastAsia" w:ascii="宋体" w:cs="宋体"/>
          <w:color w:val="auto"/>
          <w:sz w:val="24"/>
          <w:highlight w:val="none"/>
        </w:rPr>
        <w:t>。</w:t>
      </w:r>
    </w:p>
    <w:p w14:paraId="4292983B">
      <w:pPr>
        <w:spacing w:line="360" w:lineRule="auto"/>
        <w:ind w:firstLine="360" w:firstLineChars="150"/>
        <w:rPr>
          <w:rFonts w:ascii="宋体" w:cs="宋体"/>
          <w:color w:val="auto"/>
          <w:sz w:val="24"/>
          <w:highlight w:val="none"/>
        </w:rPr>
      </w:pPr>
    </w:p>
    <w:p w14:paraId="6A3F5CD1">
      <w:pPr>
        <w:spacing w:line="360" w:lineRule="auto"/>
        <w:ind w:right="480" w:firstLine="4284" w:firstLineChars="1700"/>
        <w:rPr>
          <w:rFonts w:ascii="宋体" w:cs="宋体"/>
          <w:color w:val="auto"/>
          <w:sz w:val="24"/>
          <w:highlight w:val="none"/>
        </w:rPr>
      </w:pPr>
      <w:r>
        <w:rPr>
          <w:rFonts w:hint="eastAsia" w:ascii="宋体"/>
          <w:color w:val="auto"/>
          <w:spacing w:val="6"/>
          <w:sz w:val="24"/>
          <w:highlight w:val="none"/>
        </w:rPr>
        <w:t>单位名称（公章）</w:t>
      </w:r>
      <w:r>
        <w:rPr>
          <w:rFonts w:hint="eastAsia" w:ascii="宋体" w:cs="宋体"/>
          <w:color w:val="auto"/>
          <w:sz w:val="24"/>
          <w:highlight w:val="none"/>
        </w:rPr>
        <w:t>：</w:t>
      </w:r>
    </w:p>
    <w:p w14:paraId="4466DB9C">
      <w:pPr>
        <w:spacing w:line="360" w:lineRule="auto"/>
        <w:ind w:right="480" w:firstLine="4320" w:firstLineChars="1800"/>
        <w:rPr>
          <w:rFonts w:ascii="宋体" w:cs="宋体"/>
          <w:color w:val="auto"/>
          <w:sz w:val="24"/>
          <w:highlight w:val="none"/>
        </w:rPr>
      </w:pPr>
      <w:r>
        <w:rPr>
          <w:rFonts w:hint="eastAsia" w:ascii="宋体" w:cs="宋体"/>
          <w:color w:val="auto"/>
          <w:sz w:val="24"/>
          <w:highlight w:val="none"/>
        </w:rPr>
        <w:t>日期∶</w:t>
      </w:r>
    </w:p>
    <w:p w14:paraId="790C6802">
      <w:pPr>
        <w:spacing w:line="360" w:lineRule="auto"/>
        <w:ind w:right="360" w:firstLine="6000" w:firstLineChars="2500"/>
        <w:rPr>
          <w:rFonts w:ascii="宋体" w:cs="宋体"/>
          <w:color w:val="auto"/>
          <w:sz w:val="24"/>
          <w:highlight w:val="none"/>
        </w:rPr>
      </w:pPr>
    </w:p>
    <w:p w14:paraId="488C4FE5">
      <w:pPr>
        <w:spacing w:line="360" w:lineRule="auto"/>
        <w:ind w:right="360"/>
        <w:rPr>
          <w:rFonts w:ascii="宋体" w:cs="宋体"/>
          <w:color w:val="auto"/>
          <w:sz w:val="24"/>
          <w:highlight w:val="none"/>
        </w:rPr>
      </w:pPr>
      <w:r>
        <w:rPr>
          <w:rFonts w:hint="eastAsia" w:ascii="宋体" w:hAnsi="Calibri" w:eastAsia="宋体" w:cs="宋体"/>
          <w:b w:val="0"/>
          <w:bCs w:val="0"/>
          <w:spacing w:val="6"/>
          <w:kern w:val="2"/>
          <w:sz w:val="24"/>
          <w:szCs w:val="24"/>
          <w:highlight w:val="none"/>
          <w:lang w:val="en-US" w:eastAsia="zh-CN" w:bidi="ar-SA"/>
        </w:rPr>
        <w:t>注：残疾人福利性单位视同小</w:t>
      </w:r>
      <w:r>
        <w:rPr>
          <w:rFonts w:hint="eastAsia" w:ascii="宋体" w:hAnsi="Calibri" w:cs="宋体"/>
          <w:b w:val="0"/>
          <w:bCs w:val="0"/>
          <w:spacing w:val="6"/>
          <w:kern w:val="2"/>
          <w:sz w:val="24"/>
          <w:szCs w:val="24"/>
          <w:highlight w:val="none"/>
          <w:lang w:val="en-US" w:eastAsia="zh-CN" w:bidi="ar-SA"/>
        </w:rPr>
        <w:t>微</w:t>
      </w:r>
      <w:r>
        <w:rPr>
          <w:rFonts w:hint="eastAsia" w:ascii="宋体" w:hAnsi="Calibri" w:eastAsia="宋体" w:cs="宋体"/>
          <w:b w:val="0"/>
          <w:bCs w:val="0"/>
          <w:spacing w:val="6"/>
          <w:kern w:val="2"/>
          <w:sz w:val="24"/>
          <w:szCs w:val="24"/>
          <w:highlight w:val="none"/>
          <w:lang w:val="en-US" w:eastAsia="zh-CN" w:bidi="ar-SA"/>
        </w:rPr>
        <w:t>企业。</w:t>
      </w:r>
    </w:p>
    <w:p w14:paraId="44B64611">
      <w:pPr>
        <w:spacing w:line="360" w:lineRule="auto"/>
        <w:rPr>
          <w:rFonts w:ascii="宋体" w:cs="宋体"/>
          <w:b/>
          <w:color w:val="auto"/>
          <w:sz w:val="24"/>
          <w:highlight w:val="none"/>
        </w:rPr>
      </w:pPr>
      <w:r>
        <w:rPr>
          <w:rFonts w:hint="eastAsia" w:ascii="宋体"/>
          <w:color w:val="auto"/>
          <w:sz w:val="24"/>
          <w:highlight w:val="none"/>
        </w:rPr>
        <w:t>－－－－－－－－－－－－－－－－－－－－－－－－－－－－－－－－－－</w:t>
      </w:r>
    </w:p>
    <w:p w14:paraId="07A04318">
      <w:pPr>
        <w:spacing w:line="360" w:lineRule="auto"/>
        <w:outlineLvl w:val="1"/>
        <w:rPr>
          <w:rFonts w:ascii="宋体" w:cs="宋体"/>
          <w:b/>
          <w:color w:val="auto"/>
          <w:sz w:val="24"/>
          <w:highlight w:val="none"/>
        </w:rPr>
      </w:pPr>
    </w:p>
    <w:p w14:paraId="6250D621">
      <w:pPr>
        <w:spacing w:line="360" w:lineRule="auto"/>
        <w:outlineLvl w:val="1"/>
        <w:rPr>
          <w:rFonts w:ascii="宋体" w:cs="宋体"/>
          <w:b/>
          <w:color w:val="auto"/>
          <w:sz w:val="24"/>
          <w:highlight w:val="none"/>
        </w:rPr>
      </w:pPr>
    </w:p>
    <w:p w14:paraId="695FE93F">
      <w:pPr>
        <w:spacing w:line="360" w:lineRule="auto"/>
        <w:jc w:val="center"/>
        <w:rPr>
          <w:rFonts w:ascii="宋体" w:cs="宋体"/>
          <w:b/>
          <w:bCs/>
          <w:color w:val="auto"/>
          <w:sz w:val="24"/>
          <w:highlight w:val="none"/>
          <w:lang w:val="en-GB"/>
        </w:rPr>
      </w:pPr>
      <w:r>
        <w:rPr>
          <w:rFonts w:hint="eastAsia" w:ascii="宋体" w:cs="宋体"/>
          <w:b/>
          <w:bCs/>
          <w:color w:val="auto"/>
          <w:sz w:val="24"/>
          <w:highlight w:val="none"/>
          <w:lang w:val="en-GB"/>
        </w:rPr>
        <w:t>监狱企业</w:t>
      </w:r>
      <w:r>
        <w:rPr>
          <w:rFonts w:hint="eastAsia" w:ascii="宋体" w:cs="宋体"/>
          <w:b/>
          <w:bCs/>
          <w:color w:val="auto"/>
          <w:sz w:val="24"/>
          <w:highlight w:val="none"/>
        </w:rPr>
        <w:t>（如有）</w:t>
      </w:r>
    </w:p>
    <w:p w14:paraId="17478FFB">
      <w:pPr>
        <w:spacing w:line="360" w:lineRule="auto"/>
        <w:ind w:firstLine="504" w:firstLineChars="200"/>
        <w:rPr>
          <w:rFonts w:ascii="宋体" w:cs="宋体"/>
          <w:color w:val="auto"/>
          <w:spacing w:val="6"/>
          <w:sz w:val="24"/>
          <w:highlight w:val="none"/>
        </w:rPr>
      </w:pPr>
      <w:r>
        <w:rPr>
          <w:rFonts w:hint="eastAsia" w:ascii="宋体" w:cs="宋体"/>
          <w:color w:val="auto"/>
          <w:spacing w:val="6"/>
          <w:sz w:val="24"/>
          <w:highlight w:val="none"/>
          <w:lang w:val="zh-CN"/>
        </w:rPr>
        <w:t>监狱企业参加政府采购活动时，应当提供由省级以上监狱管理局、戒毒管理局（含新疆生产建设兵团）出具的属于监狱企业的证明文件，</w:t>
      </w:r>
      <w:r>
        <w:rPr>
          <w:rFonts w:hint="eastAsia" w:ascii="宋体" w:cs="宋体"/>
          <w:b/>
          <w:bCs/>
          <w:color w:val="auto"/>
          <w:spacing w:val="6"/>
          <w:sz w:val="24"/>
          <w:highlight w:val="none"/>
          <w:u w:val="single"/>
          <w:lang w:val="zh-CN"/>
        </w:rPr>
        <w:t>视同小型、微型企业，享受小微企业政府采购优惠政策。</w:t>
      </w:r>
    </w:p>
    <w:p w14:paraId="4514A0FF">
      <w:pPr>
        <w:spacing w:line="360" w:lineRule="auto"/>
        <w:outlineLvl w:val="1"/>
        <w:rPr>
          <w:rFonts w:ascii="宋体" w:cs="宋体"/>
          <w:b/>
          <w:color w:val="auto"/>
          <w:sz w:val="24"/>
          <w:highlight w:val="none"/>
        </w:rPr>
      </w:pPr>
    </w:p>
    <w:p w14:paraId="4334018C">
      <w:pPr>
        <w:spacing w:line="360" w:lineRule="auto"/>
        <w:ind w:right="360" w:firstLine="6300" w:firstLineChars="2500"/>
        <w:rPr>
          <w:rFonts w:ascii="宋体" w:cs="宋体"/>
          <w:color w:val="auto"/>
          <w:spacing w:val="6"/>
          <w:kern w:val="0"/>
          <w:sz w:val="24"/>
          <w:highlight w:val="none"/>
        </w:rPr>
      </w:pPr>
    </w:p>
    <w:p w14:paraId="73B64E1C">
      <w:pPr>
        <w:spacing w:line="360" w:lineRule="auto"/>
        <w:outlineLvl w:val="1"/>
        <w:rPr>
          <w:rFonts w:ascii="宋体" w:cs="宋体"/>
          <w:b/>
          <w:color w:val="auto"/>
          <w:sz w:val="24"/>
          <w:highlight w:val="none"/>
        </w:rPr>
      </w:pPr>
    </w:p>
    <w:p w14:paraId="42306F09">
      <w:pPr>
        <w:spacing w:line="360" w:lineRule="auto"/>
        <w:outlineLvl w:val="1"/>
        <w:rPr>
          <w:rFonts w:ascii="宋体" w:cs="宋体"/>
          <w:b/>
          <w:color w:val="auto"/>
          <w:sz w:val="24"/>
          <w:highlight w:val="none"/>
        </w:rPr>
      </w:pPr>
    </w:p>
    <w:p w14:paraId="1D547771">
      <w:pPr>
        <w:spacing w:line="360" w:lineRule="auto"/>
        <w:ind w:right="480" w:firstLine="4284" w:firstLineChars="1700"/>
        <w:jc w:val="center"/>
        <w:rPr>
          <w:rFonts w:ascii="宋体" w:cs="宋体"/>
          <w:color w:val="auto"/>
          <w:sz w:val="24"/>
          <w:highlight w:val="none"/>
        </w:rPr>
      </w:pPr>
      <w:r>
        <w:rPr>
          <w:rFonts w:hint="eastAsia" w:ascii="宋体"/>
          <w:color w:val="auto"/>
          <w:spacing w:val="6"/>
          <w:sz w:val="24"/>
          <w:highlight w:val="none"/>
        </w:rPr>
        <w:t>单位名称（公章）</w:t>
      </w:r>
      <w:r>
        <w:rPr>
          <w:rFonts w:hint="eastAsia" w:ascii="宋体" w:cs="宋体"/>
          <w:color w:val="auto"/>
          <w:sz w:val="24"/>
          <w:highlight w:val="none"/>
        </w:rPr>
        <w:t>：</w:t>
      </w:r>
    </w:p>
    <w:p w14:paraId="3BFA43FD">
      <w:pPr>
        <w:spacing w:line="360" w:lineRule="auto"/>
        <w:jc w:val="center"/>
        <w:outlineLvl w:val="1"/>
        <w:rPr>
          <w:rFonts w:ascii="宋体" w:cs="宋体"/>
          <w:color w:val="auto"/>
          <w:sz w:val="24"/>
          <w:highlight w:val="none"/>
        </w:rPr>
      </w:pPr>
      <w:r>
        <w:rPr>
          <w:rFonts w:hint="eastAsia" w:ascii="宋体" w:cs="宋体"/>
          <w:color w:val="auto"/>
          <w:sz w:val="24"/>
          <w:highlight w:val="none"/>
        </w:rPr>
        <w:t xml:space="preserve">                </w:t>
      </w:r>
      <w:r>
        <w:rPr>
          <w:rFonts w:ascii="宋体" w:cs="宋体"/>
          <w:color w:val="auto"/>
          <w:sz w:val="24"/>
          <w:highlight w:val="none"/>
        </w:rPr>
        <w:t xml:space="preserve"> </w:t>
      </w:r>
      <w:r>
        <w:rPr>
          <w:rFonts w:hint="eastAsia" w:ascii="宋体" w:cs="宋体"/>
          <w:color w:val="auto"/>
          <w:sz w:val="24"/>
          <w:highlight w:val="none"/>
        </w:rPr>
        <w:t xml:space="preserve"> 日期∶</w:t>
      </w:r>
    </w:p>
    <w:p w14:paraId="69310828">
      <w:pPr>
        <w:rPr>
          <w:rFonts w:ascii="宋体"/>
          <w:b/>
          <w:color w:val="auto"/>
          <w:kern w:val="0"/>
          <w:sz w:val="28"/>
          <w:szCs w:val="28"/>
          <w:highlight w:val="none"/>
        </w:rPr>
      </w:pPr>
    </w:p>
    <w:p w14:paraId="584C5A13">
      <w:pPr>
        <w:rPr>
          <w:rFonts w:ascii="宋体"/>
          <w:b/>
          <w:color w:val="auto"/>
          <w:kern w:val="0"/>
          <w:sz w:val="28"/>
          <w:szCs w:val="28"/>
          <w:highlight w:val="none"/>
        </w:rPr>
      </w:pPr>
    </w:p>
    <w:p w14:paraId="62A73A4D">
      <w:pPr>
        <w:rPr>
          <w:rFonts w:ascii="宋体"/>
          <w:b/>
          <w:color w:val="auto"/>
          <w:kern w:val="0"/>
          <w:sz w:val="28"/>
          <w:szCs w:val="28"/>
          <w:highlight w:val="none"/>
        </w:rPr>
      </w:pPr>
      <w:r>
        <w:rPr>
          <w:rFonts w:hint="eastAsia" w:ascii="宋体"/>
          <w:b/>
          <w:color w:val="auto"/>
          <w:kern w:val="0"/>
          <w:sz w:val="28"/>
          <w:szCs w:val="28"/>
          <w:highlight w:val="none"/>
        </w:rPr>
        <w:t>附件</w:t>
      </w:r>
      <w:r>
        <w:rPr>
          <w:rFonts w:hint="eastAsia" w:ascii="宋体"/>
          <w:b/>
          <w:color w:val="auto"/>
          <w:kern w:val="0"/>
          <w:sz w:val="28"/>
          <w:szCs w:val="28"/>
          <w:highlight w:val="none"/>
          <w:lang w:val="en-US" w:eastAsia="zh-CN"/>
        </w:rPr>
        <w:t>7</w:t>
      </w:r>
      <w:r>
        <w:rPr>
          <w:rFonts w:hint="eastAsia" w:ascii="宋体"/>
          <w:color w:val="auto"/>
          <w:sz w:val="30"/>
          <w:szCs w:val="30"/>
          <w:highlight w:val="none"/>
        </w:rPr>
        <w:t xml:space="preserve">    </w:t>
      </w:r>
    </w:p>
    <w:p w14:paraId="61770C5E">
      <w:pPr>
        <w:spacing w:line="360" w:lineRule="auto"/>
        <w:rPr>
          <w:rFonts w:ascii="宋体"/>
          <w:b/>
          <w:color w:val="auto"/>
          <w:sz w:val="30"/>
          <w:szCs w:val="30"/>
          <w:highlight w:val="none"/>
        </w:rPr>
      </w:pPr>
    </w:p>
    <w:p w14:paraId="07A141FC">
      <w:pPr>
        <w:spacing w:beforeLines="100" w:line="360" w:lineRule="auto"/>
        <w:ind w:right="-108"/>
        <w:jc w:val="center"/>
        <w:rPr>
          <w:rFonts w:hint="eastAsia" w:ascii="宋体"/>
          <w:color w:val="auto"/>
          <w:spacing w:val="40"/>
          <w:sz w:val="36"/>
          <w:szCs w:val="36"/>
          <w:highlight w:val="none"/>
          <w:lang w:eastAsia="zh-CN"/>
        </w:rPr>
      </w:pPr>
      <w:r>
        <w:rPr>
          <w:rFonts w:hint="eastAsia" w:ascii="宋体"/>
          <w:color w:val="auto"/>
          <w:spacing w:val="40"/>
          <w:sz w:val="36"/>
          <w:szCs w:val="36"/>
          <w:highlight w:val="none"/>
          <w:lang w:eastAsia="zh-CN"/>
        </w:rPr>
        <w:t>海虹街道排水设施排查养护项目</w:t>
      </w:r>
    </w:p>
    <w:p w14:paraId="22521FD4">
      <w:pPr>
        <w:spacing w:beforeLines="100" w:line="360" w:lineRule="auto"/>
        <w:ind w:right="-108"/>
        <w:jc w:val="center"/>
        <w:rPr>
          <w:rFonts w:ascii="宋体"/>
          <w:color w:val="auto"/>
          <w:sz w:val="36"/>
          <w:szCs w:val="36"/>
          <w:highlight w:val="none"/>
        </w:rPr>
      </w:pPr>
      <w:r>
        <w:rPr>
          <w:rFonts w:hint="eastAsia" w:ascii="宋体"/>
          <w:color w:val="auto"/>
          <w:sz w:val="36"/>
          <w:szCs w:val="36"/>
          <w:highlight w:val="none"/>
        </w:rPr>
        <w:t>项目编号：</w:t>
      </w:r>
      <w:r>
        <w:rPr>
          <w:rFonts w:ascii="宋体"/>
          <w:color w:val="auto"/>
          <w:sz w:val="36"/>
          <w:szCs w:val="36"/>
          <w:highlight w:val="none"/>
        </w:rPr>
        <w:t xml:space="preserve"> </w:t>
      </w:r>
    </w:p>
    <w:p w14:paraId="11E44B9B">
      <w:pPr>
        <w:autoSpaceDE w:val="0"/>
        <w:autoSpaceDN w:val="0"/>
        <w:adjustRightInd w:val="0"/>
        <w:spacing w:line="360" w:lineRule="auto"/>
        <w:jc w:val="center"/>
        <w:rPr>
          <w:rFonts w:ascii="宋体" w:cs="宋体"/>
          <w:color w:val="auto"/>
          <w:sz w:val="84"/>
          <w:szCs w:val="84"/>
          <w:highlight w:val="none"/>
          <w:lang w:val="zh-CN"/>
        </w:rPr>
      </w:pPr>
      <w:r>
        <w:rPr>
          <w:rFonts w:hint="eastAsia" w:ascii="宋体" w:cs="宋体"/>
          <w:color w:val="auto"/>
          <w:sz w:val="84"/>
          <w:szCs w:val="84"/>
          <w:highlight w:val="none"/>
          <w:lang w:val="zh-CN"/>
        </w:rPr>
        <w:t>投</w:t>
      </w:r>
    </w:p>
    <w:p w14:paraId="41B8CD7D">
      <w:pPr>
        <w:autoSpaceDE w:val="0"/>
        <w:autoSpaceDN w:val="0"/>
        <w:adjustRightInd w:val="0"/>
        <w:spacing w:line="360" w:lineRule="auto"/>
        <w:jc w:val="center"/>
        <w:rPr>
          <w:rFonts w:ascii="宋体" w:cs="宋体"/>
          <w:color w:val="auto"/>
          <w:sz w:val="84"/>
          <w:szCs w:val="84"/>
          <w:highlight w:val="none"/>
          <w:lang w:val="zh-CN"/>
        </w:rPr>
      </w:pPr>
      <w:r>
        <w:rPr>
          <w:rFonts w:hint="eastAsia" w:ascii="宋体" w:cs="宋体"/>
          <w:color w:val="auto"/>
          <w:sz w:val="84"/>
          <w:szCs w:val="84"/>
          <w:highlight w:val="none"/>
          <w:lang w:val="zh-CN"/>
        </w:rPr>
        <w:t>标</w:t>
      </w:r>
    </w:p>
    <w:p w14:paraId="394997DA">
      <w:pPr>
        <w:autoSpaceDE w:val="0"/>
        <w:autoSpaceDN w:val="0"/>
        <w:adjustRightInd w:val="0"/>
        <w:spacing w:line="360" w:lineRule="auto"/>
        <w:jc w:val="center"/>
        <w:rPr>
          <w:rFonts w:ascii="宋体"/>
          <w:color w:val="auto"/>
          <w:sz w:val="84"/>
          <w:szCs w:val="84"/>
          <w:highlight w:val="none"/>
        </w:rPr>
      </w:pPr>
      <w:r>
        <w:rPr>
          <w:rFonts w:hint="eastAsia" w:ascii="宋体" w:cs="宋体"/>
          <w:color w:val="auto"/>
          <w:sz w:val="84"/>
          <w:szCs w:val="84"/>
          <w:highlight w:val="none"/>
          <w:lang w:val="zh-CN"/>
        </w:rPr>
        <w:t>文</w:t>
      </w:r>
    </w:p>
    <w:p w14:paraId="444F218F">
      <w:pPr>
        <w:spacing w:after="100" w:afterAutospacing="1" w:line="360" w:lineRule="auto"/>
        <w:ind w:right="-108"/>
        <w:jc w:val="center"/>
        <w:rPr>
          <w:rFonts w:ascii="宋体" w:cs="宋体"/>
          <w:color w:val="auto"/>
          <w:sz w:val="84"/>
          <w:szCs w:val="84"/>
          <w:highlight w:val="none"/>
          <w:lang w:val="zh-CN"/>
        </w:rPr>
      </w:pPr>
      <w:r>
        <w:rPr>
          <w:rFonts w:hint="eastAsia" w:ascii="宋体" w:cs="宋体"/>
          <w:color w:val="auto"/>
          <w:sz w:val="84"/>
          <w:szCs w:val="84"/>
          <w:highlight w:val="none"/>
          <w:lang w:val="zh-CN"/>
        </w:rPr>
        <w:t>件</w:t>
      </w:r>
    </w:p>
    <w:p w14:paraId="318C2D0A">
      <w:pPr>
        <w:spacing w:after="100" w:afterAutospacing="1" w:line="360" w:lineRule="auto"/>
        <w:ind w:right="-108"/>
        <w:jc w:val="center"/>
        <w:rPr>
          <w:rFonts w:ascii="宋体"/>
          <w:b/>
          <w:color w:val="auto"/>
          <w:spacing w:val="40"/>
          <w:sz w:val="28"/>
          <w:szCs w:val="28"/>
          <w:highlight w:val="none"/>
        </w:rPr>
      </w:pPr>
      <w:r>
        <w:rPr>
          <w:rFonts w:hint="eastAsia" w:ascii="宋体" w:cs="宋体"/>
          <w:color w:val="auto"/>
          <w:sz w:val="28"/>
          <w:szCs w:val="28"/>
          <w:highlight w:val="none"/>
          <w:lang w:val="zh-CN"/>
        </w:rPr>
        <w:t>（</w:t>
      </w:r>
      <w:r>
        <w:rPr>
          <w:rFonts w:hint="eastAsia" w:ascii="宋体"/>
          <w:b/>
          <w:bCs/>
          <w:color w:val="auto"/>
          <w:spacing w:val="40"/>
          <w:sz w:val="28"/>
          <w:szCs w:val="28"/>
          <w:highlight w:val="none"/>
        </w:rPr>
        <w:t>商务与技术文件</w:t>
      </w:r>
      <w:r>
        <w:rPr>
          <w:rFonts w:hint="eastAsia" w:ascii="宋体"/>
          <w:b/>
          <w:color w:val="auto"/>
          <w:spacing w:val="40"/>
          <w:sz w:val="28"/>
          <w:szCs w:val="28"/>
          <w:highlight w:val="none"/>
        </w:rPr>
        <w:t>）</w:t>
      </w:r>
    </w:p>
    <w:p w14:paraId="7C99D5E5">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投标人全称（签电子公章）：</w:t>
      </w:r>
    </w:p>
    <w:p w14:paraId="594BB430">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地    址：</w:t>
      </w:r>
    </w:p>
    <w:p w14:paraId="5C8E16C2">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时    间：</w:t>
      </w:r>
    </w:p>
    <w:p w14:paraId="4BCE04B1">
      <w:pPr>
        <w:snapToGrid w:val="0"/>
        <w:spacing w:before="50" w:after="50" w:line="360" w:lineRule="auto"/>
        <w:rPr>
          <w:rFonts w:ascii="仿宋_GB2312" w:eastAsia="仿宋_GB2312"/>
          <w:b/>
          <w:color w:val="auto"/>
          <w:sz w:val="36"/>
          <w:szCs w:val="36"/>
          <w:highlight w:val="none"/>
        </w:rPr>
      </w:pPr>
    </w:p>
    <w:p w14:paraId="4A7B247C">
      <w:pPr>
        <w:pStyle w:val="18"/>
        <w:ind w:left="420" w:firstLine="420"/>
        <w:rPr>
          <w:color w:val="auto"/>
          <w:highlight w:val="none"/>
        </w:rPr>
      </w:pPr>
    </w:p>
    <w:p w14:paraId="64366423">
      <w:pPr>
        <w:snapToGrid w:val="0"/>
        <w:spacing w:before="50" w:after="50" w:line="360" w:lineRule="auto"/>
        <w:rPr>
          <w:rFonts w:ascii="仿宋_GB2312" w:eastAsia="仿宋_GB2312"/>
          <w:b/>
          <w:color w:val="auto"/>
          <w:sz w:val="36"/>
          <w:szCs w:val="36"/>
          <w:highlight w:val="none"/>
        </w:rPr>
      </w:pPr>
    </w:p>
    <w:p w14:paraId="0981935F">
      <w:pPr>
        <w:pStyle w:val="18"/>
        <w:ind w:left="0" w:leftChars="0" w:firstLine="0" w:firstLineChars="0"/>
        <w:rPr>
          <w:color w:val="auto"/>
          <w:highlight w:val="none"/>
        </w:rPr>
      </w:pPr>
    </w:p>
    <w:p w14:paraId="5DF2B8AA">
      <w:pPr>
        <w:pStyle w:val="18"/>
        <w:ind w:left="420" w:firstLine="420"/>
        <w:rPr>
          <w:color w:val="auto"/>
          <w:highlight w:val="none"/>
        </w:rPr>
      </w:pPr>
    </w:p>
    <w:p w14:paraId="4CB24DDA">
      <w:pPr>
        <w:snapToGrid w:val="0"/>
        <w:spacing w:before="50" w:after="50" w:line="360" w:lineRule="auto"/>
        <w:jc w:val="center"/>
        <w:rPr>
          <w:rFonts w:ascii="宋体"/>
          <w:b/>
          <w:bCs/>
          <w:color w:val="auto"/>
          <w:sz w:val="32"/>
          <w:szCs w:val="32"/>
          <w:highlight w:val="none"/>
          <w:lang w:val="zh-CN"/>
        </w:rPr>
      </w:pPr>
      <w:r>
        <w:rPr>
          <w:rFonts w:hint="eastAsia" w:ascii="宋体"/>
          <w:b/>
          <w:bCs/>
          <w:color w:val="auto"/>
          <w:sz w:val="32"/>
          <w:szCs w:val="32"/>
          <w:highlight w:val="none"/>
          <w:lang w:val="zh-CN"/>
        </w:rPr>
        <w:t>商务与技术文件目录</w:t>
      </w:r>
    </w:p>
    <w:p w14:paraId="4623ADF4">
      <w:pPr>
        <w:autoSpaceDE w:val="0"/>
        <w:autoSpaceDN w:val="0"/>
        <w:adjustRightInd w:val="0"/>
        <w:spacing w:line="360" w:lineRule="auto"/>
        <w:ind w:firstLine="424" w:firstLineChars="177"/>
        <w:rPr>
          <w:rFonts w:hint="eastAsia" w:ascii="宋体" w:eastAsia="宋体"/>
          <w:color w:val="auto"/>
          <w:kern w:val="0"/>
          <w:sz w:val="24"/>
          <w:highlight w:val="none"/>
        </w:rPr>
      </w:pPr>
      <w:r>
        <w:rPr>
          <w:rFonts w:hint="eastAsia" w:ascii="宋体" w:eastAsia="宋体"/>
          <w:color w:val="auto"/>
          <w:kern w:val="0"/>
          <w:sz w:val="24"/>
          <w:highlight w:val="none"/>
        </w:rPr>
        <w:t>（1）商务及技术需求响应表等（详见附件）；</w:t>
      </w:r>
    </w:p>
    <w:p w14:paraId="53F3F863">
      <w:pPr>
        <w:autoSpaceDE w:val="0"/>
        <w:autoSpaceDN w:val="0"/>
        <w:adjustRightInd w:val="0"/>
        <w:spacing w:line="360" w:lineRule="auto"/>
        <w:ind w:firstLine="424" w:firstLineChars="177"/>
        <w:rPr>
          <w:rFonts w:hint="eastAsia" w:ascii="宋体" w:eastAsia="宋体"/>
          <w:color w:val="auto"/>
          <w:kern w:val="0"/>
          <w:sz w:val="24"/>
          <w:highlight w:val="none"/>
        </w:rPr>
      </w:pPr>
      <w:r>
        <w:rPr>
          <w:rFonts w:hint="eastAsia" w:ascii="宋体" w:eastAsia="宋体"/>
          <w:color w:val="auto"/>
          <w:kern w:val="0"/>
          <w:sz w:val="24"/>
          <w:highlight w:val="none"/>
        </w:rPr>
        <w:t>（2）供应商基本情况表（详见附件）；</w:t>
      </w:r>
    </w:p>
    <w:p w14:paraId="3F93C568">
      <w:pPr>
        <w:autoSpaceDE w:val="0"/>
        <w:autoSpaceDN w:val="0"/>
        <w:adjustRightInd w:val="0"/>
        <w:spacing w:line="360" w:lineRule="auto"/>
        <w:ind w:firstLine="424" w:firstLineChars="177"/>
        <w:rPr>
          <w:rFonts w:hint="eastAsia" w:ascii="宋体" w:eastAsia="宋体"/>
          <w:color w:val="auto"/>
          <w:kern w:val="0"/>
          <w:sz w:val="24"/>
          <w:highlight w:val="none"/>
        </w:rPr>
      </w:pPr>
      <w:r>
        <w:rPr>
          <w:rFonts w:hint="eastAsia" w:ascii="宋体" w:eastAsia="宋体"/>
          <w:color w:val="auto"/>
          <w:kern w:val="0"/>
          <w:sz w:val="24"/>
          <w:highlight w:val="none"/>
        </w:rPr>
        <w:t>（3）其余内容根据评标办法自拟；（详见附件）；</w:t>
      </w:r>
    </w:p>
    <w:p w14:paraId="502CA386">
      <w:pPr>
        <w:autoSpaceDE w:val="0"/>
        <w:autoSpaceDN w:val="0"/>
        <w:adjustRightInd w:val="0"/>
        <w:spacing w:line="360" w:lineRule="auto"/>
        <w:ind w:firstLine="424" w:firstLineChars="177"/>
        <w:rPr>
          <w:rFonts w:hint="eastAsia" w:ascii="宋体" w:eastAsia="宋体"/>
          <w:color w:val="auto"/>
          <w:kern w:val="0"/>
          <w:sz w:val="24"/>
          <w:highlight w:val="none"/>
        </w:rPr>
      </w:pPr>
      <w:r>
        <w:rPr>
          <w:rFonts w:hint="eastAsia" w:ascii="宋体" w:eastAsia="宋体"/>
          <w:color w:val="auto"/>
          <w:kern w:val="0"/>
          <w:sz w:val="24"/>
          <w:highlight w:val="none"/>
        </w:rPr>
        <w:t>（4）投标人认为需要提供的其他资料。</w:t>
      </w:r>
    </w:p>
    <w:p w14:paraId="70F5B59A">
      <w:pPr>
        <w:snapToGrid w:val="0"/>
        <w:spacing w:beforeLines="50" w:after="50" w:line="360" w:lineRule="auto"/>
        <w:ind w:firstLine="482" w:firstLineChars="200"/>
        <w:rPr>
          <w:rFonts w:ascii="仿宋" w:eastAsia="仿宋"/>
          <w:color w:val="auto"/>
          <w:sz w:val="24"/>
          <w:highlight w:val="none"/>
        </w:rPr>
      </w:pPr>
      <w:r>
        <w:rPr>
          <w:rFonts w:hint="eastAsia" w:ascii="宋体" w:cs="宋体"/>
          <w:b/>
          <w:color w:val="auto"/>
          <w:sz w:val="24"/>
          <w:highlight w:val="none"/>
        </w:rPr>
        <w:t>招标需求</w:t>
      </w:r>
      <w:r>
        <w:rPr>
          <w:rFonts w:ascii="宋体" w:cs="宋体"/>
          <w:b/>
          <w:color w:val="auto"/>
          <w:sz w:val="24"/>
          <w:highlight w:val="none"/>
        </w:rPr>
        <w:t>中</w:t>
      </w:r>
      <w:r>
        <w:rPr>
          <w:rFonts w:hint="eastAsia" w:ascii="宋体" w:cs="宋体"/>
          <w:b/>
          <w:color w:val="auto"/>
          <w:sz w:val="24"/>
          <w:highlight w:val="none"/>
        </w:rPr>
        <w:t>要求提供的相关证明材料及根据</w:t>
      </w:r>
      <w:r>
        <w:rPr>
          <w:rFonts w:ascii="宋体" w:cs="宋体"/>
          <w:b/>
          <w:color w:val="auto"/>
          <w:sz w:val="24"/>
          <w:highlight w:val="none"/>
        </w:rPr>
        <w:t>评标办法</w:t>
      </w:r>
      <w:r>
        <w:rPr>
          <w:rFonts w:hint="eastAsia" w:ascii="宋体" w:cs="宋体"/>
          <w:b/>
          <w:color w:val="auto"/>
          <w:sz w:val="24"/>
          <w:highlight w:val="none"/>
        </w:rPr>
        <w:t>提供</w:t>
      </w:r>
      <w:r>
        <w:rPr>
          <w:rFonts w:ascii="宋体" w:cs="宋体"/>
          <w:b/>
          <w:color w:val="auto"/>
          <w:sz w:val="24"/>
          <w:highlight w:val="none"/>
        </w:rPr>
        <w:t>的证明材料</w:t>
      </w:r>
      <w:r>
        <w:rPr>
          <w:rFonts w:hint="eastAsia" w:ascii="宋体" w:cs="宋体"/>
          <w:b/>
          <w:color w:val="auto"/>
          <w:sz w:val="24"/>
          <w:highlight w:val="none"/>
        </w:rPr>
        <w:t>均需在投标文件中提供扫描件。</w:t>
      </w:r>
    </w:p>
    <w:p w14:paraId="7F63394C">
      <w:pPr>
        <w:spacing w:line="360" w:lineRule="atLeast"/>
        <w:ind w:firstLine="480" w:firstLineChars="200"/>
        <w:rPr>
          <w:rFonts w:ascii="仿宋" w:eastAsia="仿宋"/>
          <w:color w:val="auto"/>
          <w:sz w:val="24"/>
          <w:highlight w:val="none"/>
        </w:rPr>
      </w:pPr>
    </w:p>
    <w:p w14:paraId="5D73AD8C">
      <w:pPr>
        <w:pStyle w:val="71"/>
        <w:shd w:val="clear" w:color="auto" w:fill="FFFFFF"/>
        <w:spacing w:before="0" w:beforeAutospacing="0" w:after="0" w:afterAutospacing="0" w:line="360" w:lineRule="auto"/>
        <w:ind w:firstLine="424" w:firstLineChars="177"/>
        <w:rPr>
          <w:b/>
          <w:color w:val="auto"/>
          <w:sz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r>
        <w:rPr>
          <w:rFonts w:ascii="仿宋" w:eastAsia="仿宋"/>
          <w:color w:val="auto"/>
          <w:highlight w:val="none"/>
        </w:rPr>
        <w:br w:type="page"/>
      </w:r>
    </w:p>
    <w:p w14:paraId="311543A5">
      <w:pPr>
        <w:rPr>
          <w:rFonts w:ascii="宋体"/>
          <w:b/>
          <w:color w:val="auto"/>
          <w:kern w:val="0"/>
          <w:sz w:val="28"/>
          <w:szCs w:val="28"/>
          <w:highlight w:val="none"/>
        </w:rPr>
      </w:pPr>
      <w:r>
        <w:rPr>
          <w:rFonts w:hint="eastAsia" w:ascii="宋体"/>
          <w:b/>
          <w:color w:val="auto"/>
          <w:kern w:val="0"/>
          <w:sz w:val="28"/>
          <w:szCs w:val="28"/>
          <w:highlight w:val="none"/>
        </w:rPr>
        <w:t>附件</w:t>
      </w:r>
      <w:r>
        <w:rPr>
          <w:rFonts w:hint="eastAsia" w:ascii="宋体"/>
          <w:b/>
          <w:color w:val="auto"/>
          <w:kern w:val="0"/>
          <w:sz w:val="28"/>
          <w:szCs w:val="28"/>
          <w:highlight w:val="none"/>
          <w:lang w:val="en-US" w:eastAsia="zh-CN"/>
        </w:rPr>
        <w:t>8</w:t>
      </w:r>
      <w:r>
        <w:rPr>
          <w:rFonts w:hint="eastAsia" w:ascii="宋体"/>
          <w:b/>
          <w:color w:val="auto"/>
          <w:kern w:val="0"/>
          <w:sz w:val="28"/>
          <w:szCs w:val="28"/>
          <w:highlight w:val="none"/>
        </w:rPr>
        <w:t>：</w:t>
      </w:r>
    </w:p>
    <w:p w14:paraId="0C0E5D8F">
      <w:pPr>
        <w:pStyle w:val="2"/>
        <w:rPr>
          <w:color w:val="auto"/>
          <w:highlight w:val="none"/>
        </w:rPr>
      </w:pPr>
      <w:r>
        <w:rPr>
          <w:rFonts w:hint="eastAsia"/>
          <w:color w:val="auto"/>
          <w:highlight w:val="none"/>
        </w:rPr>
        <w:t>客观分自评表</w:t>
      </w:r>
    </w:p>
    <w:tbl>
      <w:tblPr>
        <w:tblStyle w:val="35"/>
        <w:tblW w:w="96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1011"/>
        <w:gridCol w:w="6582"/>
        <w:gridCol w:w="1275"/>
      </w:tblGrid>
      <w:tr w14:paraId="4F291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5A70E792">
            <w:pPr>
              <w:pStyle w:val="74"/>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序号</w:t>
            </w:r>
          </w:p>
        </w:tc>
        <w:tc>
          <w:tcPr>
            <w:tcW w:w="7593" w:type="dxa"/>
            <w:gridSpan w:val="2"/>
            <w:tcBorders>
              <w:top w:val="single" w:color="auto" w:sz="6" w:space="0"/>
              <w:left w:val="single" w:color="auto" w:sz="6" w:space="0"/>
              <w:bottom w:val="single" w:color="auto" w:sz="6" w:space="0"/>
              <w:right w:val="single" w:color="auto" w:sz="4" w:space="0"/>
            </w:tcBorders>
            <w:vAlign w:val="center"/>
          </w:tcPr>
          <w:p w14:paraId="2DEB7771">
            <w:pPr>
              <w:pStyle w:val="74"/>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自评内容</w:t>
            </w:r>
          </w:p>
        </w:tc>
        <w:tc>
          <w:tcPr>
            <w:tcW w:w="1275" w:type="dxa"/>
            <w:tcBorders>
              <w:top w:val="single" w:color="auto" w:sz="6" w:space="0"/>
              <w:left w:val="single" w:color="auto" w:sz="4" w:space="0"/>
              <w:bottom w:val="single" w:color="auto" w:sz="6" w:space="0"/>
              <w:right w:val="single" w:color="auto" w:sz="6" w:space="0"/>
            </w:tcBorders>
            <w:vAlign w:val="center"/>
          </w:tcPr>
          <w:p w14:paraId="5238ACB6">
            <w:pPr>
              <w:pStyle w:val="74"/>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自评分</w:t>
            </w:r>
          </w:p>
        </w:tc>
      </w:tr>
      <w:tr w14:paraId="1F93D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50164712">
            <w:pPr>
              <w:pStyle w:val="74"/>
              <w:spacing w:line="360" w:lineRule="auto"/>
              <w:jc w:val="center"/>
              <w:rPr>
                <w:rFonts w:ascii="宋体" w:hAnsi="宋体" w:cs="Tahoma"/>
                <w:color w:val="auto"/>
                <w:sz w:val="24"/>
                <w:highlight w:val="none"/>
              </w:rPr>
            </w:pPr>
            <w:r>
              <w:rPr>
                <w:rFonts w:hint="eastAsia" w:ascii="宋体" w:hAnsi="宋体" w:cs="Tahoma"/>
                <w:color w:val="auto"/>
                <w:sz w:val="24"/>
                <w:highlight w:val="none"/>
              </w:rPr>
              <w:t>1</w:t>
            </w:r>
          </w:p>
        </w:tc>
        <w:tc>
          <w:tcPr>
            <w:tcW w:w="1011" w:type="dxa"/>
            <w:tcBorders>
              <w:top w:val="single" w:color="auto" w:sz="6" w:space="0"/>
              <w:left w:val="single" w:color="auto" w:sz="6" w:space="0"/>
              <w:bottom w:val="single" w:color="auto" w:sz="6" w:space="0"/>
              <w:right w:val="single" w:color="auto" w:sz="6" w:space="0"/>
            </w:tcBorders>
            <w:vAlign w:val="center"/>
          </w:tcPr>
          <w:p w14:paraId="79C6C0D3">
            <w:pPr>
              <w:pStyle w:val="91"/>
              <w:rPr>
                <w:rFonts w:ascii="宋体" w:hAnsi="宋体"/>
                <w:color w:val="auto"/>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14:paraId="5A240154">
            <w:pPr>
              <w:pStyle w:val="91"/>
              <w:rPr>
                <w:rFonts w:ascii="宋体" w:hAnsi="宋体"/>
                <w:color w:val="auto"/>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14:paraId="605198CB">
            <w:pPr>
              <w:pStyle w:val="91"/>
              <w:rPr>
                <w:rFonts w:ascii="宋体" w:hAnsi="宋体" w:eastAsia="宋体"/>
                <w:color w:val="auto"/>
                <w:kern w:val="2"/>
                <w:sz w:val="24"/>
                <w:szCs w:val="24"/>
                <w:highlight w:val="none"/>
              </w:rPr>
            </w:pPr>
          </w:p>
        </w:tc>
      </w:tr>
      <w:tr w14:paraId="7268B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3A399425">
            <w:pPr>
              <w:pStyle w:val="74"/>
              <w:spacing w:line="360" w:lineRule="auto"/>
              <w:jc w:val="center"/>
              <w:rPr>
                <w:rFonts w:ascii="宋体" w:hAnsi="宋体" w:cs="Tahoma"/>
                <w:color w:val="auto"/>
                <w:sz w:val="24"/>
                <w:highlight w:val="none"/>
              </w:rPr>
            </w:pPr>
            <w:r>
              <w:rPr>
                <w:rFonts w:hint="eastAsia" w:ascii="宋体" w:hAnsi="宋体" w:cs="Tahoma"/>
                <w:color w:val="auto"/>
                <w:sz w:val="24"/>
                <w:highlight w:val="none"/>
              </w:rPr>
              <w:t>2</w:t>
            </w:r>
          </w:p>
        </w:tc>
        <w:tc>
          <w:tcPr>
            <w:tcW w:w="1011" w:type="dxa"/>
            <w:tcBorders>
              <w:top w:val="single" w:color="auto" w:sz="6" w:space="0"/>
              <w:left w:val="single" w:color="auto" w:sz="6" w:space="0"/>
              <w:bottom w:val="single" w:color="auto" w:sz="6" w:space="0"/>
              <w:right w:val="single" w:color="auto" w:sz="6" w:space="0"/>
            </w:tcBorders>
            <w:vAlign w:val="center"/>
          </w:tcPr>
          <w:p w14:paraId="2EA8C4F3">
            <w:pPr>
              <w:pStyle w:val="91"/>
              <w:rPr>
                <w:rFonts w:ascii="宋体" w:hAnsi="宋体"/>
                <w:color w:val="auto"/>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14:paraId="0735D2B4">
            <w:pPr>
              <w:pStyle w:val="91"/>
              <w:rPr>
                <w:rFonts w:ascii="宋体" w:hAnsi="宋体"/>
                <w:color w:val="auto"/>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14:paraId="735D00D8">
            <w:pPr>
              <w:pStyle w:val="91"/>
              <w:rPr>
                <w:rFonts w:ascii="宋体" w:hAnsi="宋体" w:eastAsia="宋体"/>
                <w:color w:val="auto"/>
                <w:kern w:val="2"/>
                <w:sz w:val="24"/>
                <w:szCs w:val="24"/>
                <w:highlight w:val="none"/>
              </w:rPr>
            </w:pPr>
          </w:p>
        </w:tc>
      </w:tr>
      <w:tr w14:paraId="54B0D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23AB3F29">
            <w:pPr>
              <w:pStyle w:val="74"/>
              <w:spacing w:line="360" w:lineRule="auto"/>
              <w:jc w:val="center"/>
              <w:rPr>
                <w:rFonts w:ascii="宋体" w:hAnsi="宋体" w:cs="Tahoma"/>
                <w:color w:val="auto"/>
                <w:sz w:val="24"/>
                <w:highlight w:val="none"/>
              </w:rPr>
            </w:pPr>
            <w:r>
              <w:rPr>
                <w:rFonts w:hint="eastAsia" w:ascii="宋体" w:hAnsi="宋体" w:cs="Tahoma"/>
                <w:color w:val="auto"/>
                <w:sz w:val="24"/>
                <w:highlight w:val="none"/>
              </w:rPr>
              <w:t>3</w:t>
            </w:r>
          </w:p>
        </w:tc>
        <w:tc>
          <w:tcPr>
            <w:tcW w:w="1011" w:type="dxa"/>
            <w:tcBorders>
              <w:top w:val="single" w:color="auto" w:sz="6" w:space="0"/>
              <w:left w:val="single" w:color="auto" w:sz="6" w:space="0"/>
              <w:bottom w:val="single" w:color="auto" w:sz="6" w:space="0"/>
              <w:right w:val="single" w:color="auto" w:sz="6" w:space="0"/>
            </w:tcBorders>
            <w:vAlign w:val="center"/>
          </w:tcPr>
          <w:p w14:paraId="01FE04B3">
            <w:pPr>
              <w:pStyle w:val="91"/>
              <w:rPr>
                <w:rFonts w:ascii="宋体" w:hAnsi="宋体"/>
                <w:color w:val="auto"/>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14:paraId="66ABAB5C">
            <w:pPr>
              <w:pStyle w:val="91"/>
              <w:rPr>
                <w:rFonts w:ascii="宋体" w:hAnsi="宋体"/>
                <w:color w:val="auto"/>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14:paraId="7B54F9C2">
            <w:pPr>
              <w:pStyle w:val="91"/>
              <w:rPr>
                <w:rFonts w:ascii="宋体" w:hAnsi="宋体" w:eastAsia="宋体"/>
                <w:color w:val="auto"/>
                <w:kern w:val="2"/>
                <w:sz w:val="24"/>
                <w:szCs w:val="24"/>
                <w:highlight w:val="none"/>
              </w:rPr>
            </w:pPr>
          </w:p>
        </w:tc>
      </w:tr>
      <w:tr w14:paraId="0F8D3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63" w:type="dxa"/>
            <w:tcBorders>
              <w:top w:val="single" w:color="auto" w:sz="6" w:space="0"/>
              <w:left w:val="single" w:color="auto" w:sz="6" w:space="0"/>
              <w:bottom w:val="single" w:color="auto" w:sz="6" w:space="0"/>
              <w:right w:val="single" w:color="auto" w:sz="6" w:space="0"/>
            </w:tcBorders>
            <w:vAlign w:val="center"/>
          </w:tcPr>
          <w:p w14:paraId="09FA256A">
            <w:pPr>
              <w:pStyle w:val="74"/>
              <w:spacing w:line="360" w:lineRule="auto"/>
              <w:jc w:val="center"/>
              <w:rPr>
                <w:rFonts w:ascii="宋体" w:hAnsi="宋体" w:cs="Tahoma"/>
                <w:color w:val="auto"/>
                <w:sz w:val="24"/>
                <w:highlight w:val="none"/>
              </w:rPr>
            </w:pPr>
            <w:r>
              <w:rPr>
                <w:rFonts w:ascii="宋体" w:hAnsi="宋体" w:cs="Tahoma"/>
                <w:color w:val="auto"/>
                <w:sz w:val="24"/>
                <w:highlight w:val="none"/>
              </w:rPr>
              <w:t>……</w:t>
            </w:r>
          </w:p>
        </w:tc>
        <w:tc>
          <w:tcPr>
            <w:tcW w:w="1011" w:type="dxa"/>
            <w:tcBorders>
              <w:top w:val="single" w:color="auto" w:sz="6" w:space="0"/>
              <w:left w:val="single" w:color="auto" w:sz="6" w:space="0"/>
              <w:bottom w:val="single" w:color="auto" w:sz="6" w:space="0"/>
              <w:right w:val="single" w:color="auto" w:sz="6" w:space="0"/>
            </w:tcBorders>
            <w:vAlign w:val="center"/>
          </w:tcPr>
          <w:p w14:paraId="6CCF7DB1">
            <w:pPr>
              <w:pStyle w:val="91"/>
              <w:rPr>
                <w:rFonts w:ascii="宋体" w:hAnsi="宋体"/>
                <w:color w:val="auto"/>
                <w:kern w:val="2"/>
                <w:sz w:val="21"/>
                <w:szCs w:val="21"/>
                <w:highlight w:val="none"/>
              </w:rPr>
            </w:pPr>
          </w:p>
        </w:tc>
        <w:tc>
          <w:tcPr>
            <w:tcW w:w="6582" w:type="dxa"/>
            <w:tcBorders>
              <w:top w:val="single" w:color="auto" w:sz="6" w:space="0"/>
              <w:left w:val="single" w:color="auto" w:sz="6" w:space="0"/>
              <w:bottom w:val="single" w:color="auto" w:sz="6" w:space="0"/>
              <w:right w:val="single" w:color="auto" w:sz="4" w:space="0"/>
            </w:tcBorders>
          </w:tcPr>
          <w:p w14:paraId="6979915C">
            <w:pPr>
              <w:pStyle w:val="91"/>
              <w:rPr>
                <w:rFonts w:ascii="宋体" w:hAnsi="宋体"/>
                <w:color w:val="auto"/>
                <w:kern w:val="2"/>
                <w:sz w:val="21"/>
                <w:szCs w:val="21"/>
                <w:highlight w:val="none"/>
              </w:rPr>
            </w:pPr>
          </w:p>
        </w:tc>
        <w:tc>
          <w:tcPr>
            <w:tcW w:w="1275" w:type="dxa"/>
            <w:tcBorders>
              <w:top w:val="single" w:color="auto" w:sz="6" w:space="0"/>
              <w:left w:val="single" w:color="auto" w:sz="4" w:space="0"/>
              <w:bottom w:val="single" w:color="auto" w:sz="6" w:space="0"/>
              <w:right w:val="single" w:color="auto" w:sz="6" w:space="0"/>
            </w:tcBorders>
          </w:tcPr>
          <w:p w14:paraId="7325B546">
            <w:pPr>
              <w:pStyle w:val="91"/>
              <w:rPr>
                <w:rFonts w:ascii="宋体" w:hAnsi="宋体" w:eastAsia="宋体"/>
                <w:color w:val="auto"/>
                <w:kern w:val="2"/>
                <w:sz w:val="24"/>
                <w:szCs w:val="24"/>
                <w:highlight w:val="none"/>
              </w:rPr>
            </w:pPr>
          </w:p>
        </w:tc>
      </w:tr>
    </w:tbl>
    <w:p w14:paraId="18830B85">
      <w:pPr>
        <w:spacing w:line="360" w:lineRule="auto"/>
        <w:ind w:left="420"/>
        <w:rPr>
          <w:rFonts w:ascii="宋体"/>
          <w:color w:val="auto"/>
          <w:sz w:val="24"/>
          <w:highlight w:val="none"/>
        </w:rPr>
      </w:pPr>
      <w:r>
        <w:rPr>
          <w:rFonts w:hint="eastAsia" w:ascii="宋体"/>
          <w:color w:val="auto"/>
          <w:sz w:val="24"/>
          <w:highlight w:val="none"/>
        </w:rPr>
        <w:t>注：以上自评应</w:t>
      </w:r>
      <w:r>
        <w:rPr>
          <w:rFonts w:hint="eastAsia" w:ascii="宋体"/>
          <w:color w:val="auto"/>
          <w:sz w:val="24"/>
          <w:highlight w:val="none"/>
          <w:lang w:val="en-US" w:eastAsia="zh-CN"/>
        </w:rPr>
        <w:t>据</w:t>
      </w:r>
      <w:r>
        <w:rPr>
          <w:rFonts w:hint="eastAsia" w:ascii="宋体"/>
          <w:color w:val="auto"/>
          <w:sz w:val="24"/>
          <w:highlight w:val="none"/>
        </w:rPr>
        <w:t>实填写，最终得分以评标专家评定为准。</w:t>
      </w:r>
    </w:p>
    <w:p w14:paraId="3BDB66E2">
      <w:pPr>
        <w:spacing w:line="360" w:lineRule="auto"/>
        <w:ind w:left="420"/>
        <w:rPr>
          <w:rFonts w:ascii="宋体"/>
          <w:color w:val="auto"/>
          <w:sz w:val="24"/>
          <w:highlight w:val="none"/>
        </w:rPr>
      </w:pPr>
    </w:p>
    <w:p w14:paraId="73FDE34C">
      <w:pPr>
        <w:spacing w:line="360" w:lineRule="auto"/>
        <w:ind w:left="420"/>
        <w:rPr>
          <w:rFonts w:ascii="宋体"/>
          <w:color w:val="auto"/>
          <w:sz w:val="24"/>
          <w:highlight w:val="none"/>
        </w:rPr>
      </w:pPr>
    </w:p>
    <w:p w14:paraId="3C4ABB24">
      <w:pPr>
        <w:spacing w:line="360" w:lineRule="auto"/>
        <w:ind w:left="420"/>
        <w:rPr>
          <w:rFonts w:ascii="宋体"/>
          <w:color w:val="auto"/>
          <w:sz w:val="24"/>
          <w:highlight w:val="none"/>
        </w:rPr>
      </w:pPr>
      <w:r>
        <w:rPr>
          <w:rFonts w:hint="eastAsia" w:ascii="宋体"/>
          <w:color w:val="auto"/>
          <w:sz w:val="24"/>
          <w:highlight w:val="none"/>
        </w:rPr>
        <w:t>投标人名称（签电子公章）：</w:t>
      </w:r>
    </w:p>
    <w:p w14:paraId="594F36BC">
      <w:pPr>
        <w:spacing w:line="360" w:lineRule="auto"/>
        <w:ind w:left="420"/>
        <w:rPr>
          <w:rFonts w:ascii="宋体"/>
          <w:color w:val="auto"/>
          <w:sz w:val="24"/>
          <w:highlight w:val="none"/>
        </w:rPr>
      </w:pPr>
      <w:r>
        <w:rPr>
          <w:rFonts w:hint="eastAsia" w:ascii="宋体"/>
          <w:color w:val="auto"/>
          <w:sz w:val="24"/>
          <w:highlight w:val="none"/>
        </w:rPr>
        <w:t>法定代表人或授权委托人(签章或签字)：</w:t>
      </w:r>
    </w:p>
    <w:p w14:paraId="5A373AB0">
      <w:pPr>
        <w:spacing w:line="360" w:lineRule="auto"/>
        <w:ind w:left="420"/>
        <w:rPr>
          <w:rFonts w:ascii="宋体"/>
          <w:color w:val="auto"/>
          <w:sz w:val="24"/>
          <w:highlight w:val="none"/>
        </w:rPr>
      </w:pPr>
      <w:r>
        <w:rPr>
          <w:rFonts w:hint="eastAsia" w:ascii="宋体"/>
          <w:color w:val="auto"/>
          <w:sz w:val="24"/>
          <w:highlight w:val="none"/>
        </w:rPr>
        <w:t>日        期：</w:t>
      </w:r>
    </w:p>
    <w:p w14:paraId="4C92D64C">
      <w:pPr>
        <w:pStyle w:val="71"/>
        <w:shd w:val="clear" w:color="auto" w:fill="FFFFFF"/>
        <w:spacing w:before="0" w:beforeAutospacing="0" w:after="0" w:afterAutospacing="0" w:line="360" w:lineRule="auto"/>
        <w:rPr>
          <w:b/>
          <w:color w:val="auto"/>
          <w:sz w:val="28"/>
          <w:highlight w:val="none"/>
        </w:rPr>
      </w:pPr>
    </w:p>
    <w:p w14:paraId="0DE51DD5">
      <w:pPr>
        <w:pStyle w:val="71"/>
        <w:shd w:val="clear" w:color="auto" w:fill="FFFFFF"/>
        <w:spacing w:before="0" w:beforeAutospacing="0" w:after="0" w:afterAutospacing="0" w:line="360" w:lineRule="auto"/>
        <w:rPr>
          <w:b/>
          <w:color w:val="auto"/>
          <w:sz w:val="28"/>
          <w:highlight w:val="none"/>
        </w:rPr>
      </w:pPr>
    </w:p>
    <w:p w14:paraId="0953F158">
      <w:pPr>
        <w:pStyle w:val="71"/>
        <w:shd w:val="clear" w:color="auto" w:fill="FFFFFF"/>
        <w:spacing w:before="0" w:beforeAutospacing="0" w:after="0" w:afterAutospacing="0" w:line="360" w:lineRule="auto"/>
        <w:rPr>
          <w:b/>
          <w:color w:val="auto"/>
          <w:sz w:val="28"/>
          <w:highlight w:val="none"/>
        </w:rPr>
      </w:pPr>
    </w:p>
    <w:p w14:paraId="663C4E1F">
      <w:pPr>
        <w:pStyle w:val="71"/>
        <w:shd w:val="clear" w:color="auto" w:fill="FFFFFF"/>
        <w:spacing w:before="0" w:beforeAutospacing="0" w:after="0" w:afterAutospacing="0" w:line="360" w:lineRule="auto"/>
        <w:rPr>
          <w:b/>
          <w:color w:val="auto"/>
          <w:sz w:val="28"/>
          <w:highlight w:val="none"/>
        </w:rPr>
      </w:pPr>
    </w:p>
    <w:p w14:paraId="72B609E5">
      <w:pPr>
        <w:pStyle w:val="71"/>
        <w:shd w:val="clear" w:color="auto" w:fill="FFFFFF"/>
        <w:spacing w:before="0" w:beforeAutospacing="0" w:after="0" w:afterAutospacing="0" w:line="360" w:lineRule="auto"/>
        <w:rPr>
          <w:b/>
          <w:color w:val="auto"/>
          <w:sz w:val="28"/>
          <w:highlight w:val="none"/>
        </w:rPr>
      </w:pPr>
    </w:p>
    <w:p w14:paraId="4F7F7167">
      <w:pPr>
        <w:pStyle w:val="71"/>
        <w:shd w:val="clear" w:color="auto" w:fill="FFFFFF"/>
        <w:spacing w:before="0" w:beforeAutospacing="0" w:after="0" w:afterAutospacing="0" w:line="360" w:lineRule="auto"/>
        <w:rPr>
          <w:b/>
          <w:color w:val="auto"/>
          <w:sz w:val="28"/>
          <w:highlight w:val="none"/>
        </w:rPr>
      </w:pPr>
    </w:p>
    <w:p w14:paraId="0E12E024">
      <w:pPr>
        <w:pStyle w:val="71"/>
        <w:shd w:val="clear" w:color="auto" w:fill="FFFFFF"/>
        <w:spacing w:before="0" w:beforeAutospacing="0" w:after="0" w:afterAutospacing="0" w:line="360" w:lineRule="auto"/>
        <w:rPr>
          <w:b/>
          <w:color w:val="auto"/>
          <w:sz w:val="28"/>
          <w:highlight w:val="none"/>
        </w:rPr>
      </w:pPr>
    </w:p>
    <w:p w14:paraId="1BEF7585">
      <w:pPr>
        <w:pStyle w:val="71"/>
        <w:shd w:val="clear" w:color="auto" w:fill="FFFFFF"/>
        <w:spacing w:before="0" w:beforeAutospacing="0" w:after="0" w:afterAutospacing="0" w:line="360" w:lineRule="auto"/>
        <w:rPr>
          <w:b/>
          <w:color w:val="auto"/>
          <w:sz w:val="28"/>
          <w:highlight w:val="none"/>
        </w:rPr>
      </w:pPr>
    </w:p>
    <w:p w14:paraId="316E2ABB">
      <w:pPr>
        <w:pStyle w:val="71"/>
        <w:shd w:val="clear" w:color="auto" w:fill="FFFFFF"/>
        <w:spacing w:before="0" w:beforeAutospacing="0" w:after="0" w:afterAutospacing="0" w:line="360" w:lineRule="auto"/>
        <w:rPr>
          <w:b/>
          <w:color w:val="auto"/>
          <w:sz w:val="28"/>
          <w:highlight w:val="none"/>
        </w:rPr>
      </w:pPr>
    </w:p>
    <w:p w14:paraId="443B0E57">
      <w:pPr>
        <w:pStyle w:val="71"/>
        <w:shd w:val="clear" w:color="auto" w:fill="FFFFFF"/>
        <w:spacing w:before="0" w:beforeAutospacing="0" w:after="0" w:afterAutospacing="0" w:line="360" w:lineRule="auto"/>
        <w:rPr>
          <w:b/>
          <w:color w:val="auto"/>
          <w:sz w:val="28"/>
          <w:highlight w:val="none"/>
        </w:rPr>
      </w:pPr>
    </w:p>
    <w:p w14:paraId="629DACA3">
      <w:pPr>
        <w:pStyle w:val="71"/>
        <w:shd w:val="clear" w:color="auto" w:fill="FFFFFF"/>
        <w:spacing w:before="0" w:beforeAutospacing="0" w:after="0" w:afterAutospacing="0" w:line="360" w:lineRule="auto"/>
        <w:rPr>
          <w:b/>
          <w:color w:val="auto"/>
          <w:sz w:val="28"/>
          <w:highlight w:val="none"/>
        </w:rPr>
      </w:pPr>
    </w:p>
    <w:p w14:paraId="3A1829D0">
      <w:pPr>
        <w:pStyle w:val="71"/>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w:t>
      </w:r>
      <w:r>
        <w:rPr>
          <w:rFonts w:hint="eastAsia"/>
          <w:b/>
          <w:color w:val="auto"/>
          <w:sz w:val="28"/>
          <w:highlight w:val="none"/>
          <w:lang w:val="en-US" w:eastAsia="zh-CN"/>
        </w:rPr>
        <w:t>9</w:t>
      </w:r>
      <w:r>
        <w:rPr>
          <w:rFonts w:hint="eastAsia"/>
          <w:b/>
          <w:color w:val="auto"/>
          <w:sz w:val="28"/>
          <w:highlight w:val="none"/>
        </w:rPr>
        <w:t>：</w:t>
      </w:r>
    </w:p>
    <w:p w14:paraId="5EB31957">
      <w:pPr>
        <w:pStyle w:val="71"/>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35"/>
        <w:tblW w:w="88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08A9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40CB6C70">
            <w:pPr>
              <w:pStyle w:val="71"/>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14:paraId="5467ABC4">
            <w:pPr>
              <w:pStyle w:val="71"/>
              <w:shd w:val="clear" w:color="auto" w:fill="FFFFFF"/>
              <w:spacing w:line="360" w:lineRule="auto"/>
              <w:rPr>
                <w:bCs/>
                <w:color w:val="auto"/>
                <w:highlight w:val="none"/>
              </w:rPr>
            </w:pPr>
          </w:p>
        </w:tc>
        <w:tc>
          <w:tcPr>
            <w:tcW w:w="2001" w:type="dxa"/>
            <w:gridSpan w:val="3"/>
          </w:tcPr>
          <w:p w14:paraId="0A12DBBC">
            <w:pPr>
              <w:pStyle w:val="71"/>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14:paraId="1302346D">
            <w:pPr>
              <w:pStyle w:val="71"/>
              <w:shd w:val="clear" w:color="auto" w:fill="FFFFFF"/>
              <w:spacing w:line="360" w:lineRule="auto"/>
              <w:rPr>
                <w:bCs/>
                <w:color w:val="auto"/>
                <w:highlight w:val="none"/>
              </w:rPr>
            </w:pPr>
          </w:p>
        </w:tc>
      </w:tr>
      <w:tr w14:paraId="3643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21D4162B">
            <w:pPr>
              <w:pStyle w:val="71"/>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14:paraId="790D2DB9">
            <w:pPr>
              <w:pStyle w:val="71"/>
              <w:shd w:val="clear" w:color="auto" w:fill="FFFFFF"/>
              <w:spacing w:line="360" w:lineRule="auto"/>
              <w:rPr>
                <w:bCs/>
                <w:color w:val="auto"/>
                <w:spacing w:val="16"/>
                <w:highlight w:val="none"/>
              </w:rPr>
            </w:pPr>
          </w:p>
        </w:tc>
        <w:tc>
          <w:tcPr>
            <w:tcW w:w="2001" w:type="dxa"/>
            <w:gridSpan w:val="3"/>
          </w:tcPr>
          <w:p w14:paraId="59FCD2D7">
            <w:pPr>
              <w:pStyle w:val="71"/>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14:paraId="47693D40">
            <w:pPr>
              <w:pStyle w:val="71"/>
              <w:shd w:val="clear" w:color="auto" w:fill="FFFFFF"/>
              <w:spacing w:line="360" w:lineRule="auto"/>
              <w:rPr>
                <w:bCs/>
                <w:color w:val="auto"/>
                <w:spacing w:val="16"/>
                <w:highlight w:val="none"/>
              </w:rPr>
            </w:pPr>
          </w:p>
        </w:tc>
      </w:tr>
      <w:tr w14:paraId="73FB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2F68F441">
            <w:pPr>
              <w:pStyle w:val="71"/>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14:paraId="3575F1E1">
            <w:pPr>
              <w:pStyle w:val="71"/>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14:paraId="02FF44ED">
            <w:pPr>
              <w:pStyle w:val="71"/>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14:paraId="7CB91809">
            <w:pPr>
              <w:widowControl/>
              <w:spacing w:line="360" w:lineRule="auto"/>
              <w:jc w:val="left"/>
              <w:rPr>
                <w:rFonts w:ascii="宋体" w:cs="宋体"/>
                <w:bCs/>
                <w:color w:val="auto"/>
                <w:spacing w:val="16"/>
                <w:kern w:val="0"/>
                <w:sz w:val="24"/>
                <w:highlight w:val="none"/>
              </w:rPr>
            </w:pPr>
          </w:p>
          <w:p w14:paraId="52867DD2">
            <w:pPr>
              <w:pStyle w:val="71"/>
              <w:shd w:val="clear" w:color="auto" w:fill="FFFFFF"/>
              <w:spacing w:line="360" w:lineRule="auto"/>
              <w:rPr>
                <w:bCs/>
                <w:color w:val="auto"/>
                <w:spacing w:val="16"/>
                <w:highlight w:val="none"/>
              </w:rPr>
            </w:pPr>
          </w:p>
        </w:tc>
        <w:tc>
          <w:tcPr>
            <w:tcW w:w="2001" w:type="dxa"/>
            <w:gridSpan w:val="3"/>
          </w:tcPr>
          <w:p w14:paraId="5FB20EA8">
            <w:pPr>
              <w:pStyle w:val="71"/>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14:paraId="1B6A0EE6">
            <w:pPr>
              <w:pStyle w:val="71"/>
              <w:shd w:val="clear" w:color="auto" w:fill="FFFFFF"/>
              <w:spacing w:line="360" w:lineRule="auto"/>
              <w:ind w:left="107"/>
              <w:rPr>
                <w:bCs/>
                <w:color w:val="auto"/>
                <w:spacing w:val="16"/>
                <w:highlight w:val="none"/>
              </w:rPr>
            </w:pPr>
          </w:p>
        </w:tc>
      </w:tr>
      <w:tr w14:paraId="0C1C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537F52C9">
            <w:pPr>
              <w:pStyle w:val="71"/>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14:paraId="77D18E44">
            <w:pPr>
              <w:pStyle w:val="71"/>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14:paraId="770E7D40">
            <w:pPr>
              <w:pStyle w:val="71"/>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14:paraId="45AD547D">
            <w:pPr>
              <w:widowControl/>
              <w:spacing w:line="360" w:lineRule="auto"/>
              <w:jc w:val="left"/>
              <w:rPr>
                <w:rFonts w:ascii="宋体" w:cs="宋体"/>
                <w:bCs/>
                <w:color w:val="auto"/>
                <w:spacing w:val="16"/>
                <w:kern w:val="0"/>
                <w:sz w:val="24"/>
                <w:highlight w:val="none"/>
              </w:rPr>
            </w:pPr>
          </w:p>
          <w:p w14:paraId="3A3C4A90">
            <w:pPr>
              <w:pStyle w:val="71"/>
              <w:shd w:val="clear" w:color="auto" w:fill="FFFFFF"/>
              <w:spacing w:line="360" w:lineRule="auto"/>
              <w:rPr>
                <w:bCs/>
                <w:color w:val="auto"/>
                <w:spacing w:val="16"/>
                <w:highlight w:val="none"/>
              </w:rPr>
            </w:pPr>
          </w:p>
        </w:tc>
        <w:tc>
          <w:tcPr>
            <w:tcW w:w="2001" w:type="dxa"/>
            <w:gridSpan w:val="3"/>
            <w:vMerge w:val="restart"/>
          </w:tcPr>
          <w:p w14:paraId="60CC35A3">
            <w:pPr>
              <w:pStyle w:val="71"/>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14:paraId="23DC962D">
            <w:pPr>
              <w:pStyle w:val="71"/>
              <w:shd w:val="clear" w:color="auto" w:fill="FFFFFF"/>
              <w:spacing w:line="360" w:lineRule="auto"/>
              <w:rPr>
                <w:bCs/>
                <w:color w:val="auto"/>
                <w:spacing w:val="16"/>
                <w:highlight w:val="none"/>
              </w:rPr>
            </w:pPr>
          </w:p>
        </w:tc>
      </w:tr>
      <w:tr w14:paraId="2C18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3220F31A">
            <w:pPr>
              <w:rPr>
                <w:color w:val="auto"/>
                <w:highlight w:val="none"/>
              </w:rPr>
            </w:pPr>
          </w:p>
        </w:tc>
        <w:tc>
          <w:tcPr>
            <w:tcW w:w="701" w:type="dxa"/>
            <w:vMerge w:val="continue"/>
            <w:tcBorders>
              <w:bottom w:val="single" w:color="auto" w:sz="4" w:space="0"/>
            </w:tcBorders>
          </w:tcPr>
          <w:p w14:paraId="18D39CDE">
            <w:pPr>
              <w:rPr>
                <w:color w:val="auto"/>
                <w:highlight w:val="none"/>
              </w:rPr>
            </w:pPr>
          </w:p>
        </w:tc>
        <w:tc>
          <w:tcPr>
            <w:tcW w:w="910" w:type="dxa"/>
            <w:gridSpan w:val="2"/>
            <w:tcBorders>
              <w:bottom w:val="single" w:color="auto" w:sz="4" w:space="0"/>
            </w:tcBorders>
          </w:tcPr>
          <w:p w14:paraId="7DAE384E">
            <w:pPr>
              <w:pStyle w:val="71"/>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14:paraId="1DC4D626">
            <w:pPr>
              <w:pStyle w:val="71"/>
              <w:shd w:val="clear" w:color="auto" w:fill="FFFFFF"/>
              <w:spacing w:line="360" w:lineRule="auto"/>
              <w:rPr>
                <w:bCs/>
                <w:color w:val="auto"/>
                <w:spacing w:val="16"/>
                <w:highlight w:val="none"/>
              </w:rPr>
            </w:pPr>
          </w:p>
        </w:tc>
        <w:tc>
          <w:tcPr>
            <w:tcW w:w="2001" w:type="dxa"/>
            <w:gridSpan w:val="3"/>
            <w:vMerge w:val="continue"/>
          </w:tcPr>
          <w:p w14:paraId="28AB12AA">
            <w:pPr>
              <w:rPr>
                <w:color w:val="auto"/>
                <w:highlight w:val="none"/>
              </w:rPr>
            </w:pPr>
          </w:p>
        </w:tc>
        <w:tc>
          <w:tcPr>
            <w:tcW w:w="2151" w:type="dxa"/>
            <w:gridSpan w:val="2"/>
            <w:vMerge w:val="continue"/>
          </w:tcPr>
          <w:p w14:paraId="150AD5DD">
            <w:pPr>
              <w:rPr>
                <w:color w:val="auto"/>
                <w:highlight w:val="none"/>
              </w:rPr>
            </w:pPr>
          </w:p>
        </w:tc>
      </w:tr>
      <w:tr w14:paraId="1010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5826E0E8">
            <w:pPr>
              <w:pStyle w:val="71"/>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14:paraId="5AADF2AF">
            <w:pPr>
              <w:pStyle w:val="71"/>
              <w:shd w:val="clear" w:color="auto" w:fill="FFFFFF"/>
              <w:spacing w:line="360" w:lineRule="auto"/>
              <w:ind w:left="107"/>
              <w:rPr>
                <w:bCs/>
                <w:color w:val="auto"/>
                <w:highlight w:val="none"/>
              </w:rPr>
            </w:pPr>
            <w:r>
              <w:rPr>
                <w:rFonts w:hint="eastAsia"/>
                <w:bCs/>
                <w:color w:val="auto"/>
                <w:highlight w:val="none"/>
              </w:rPr>
              <w:t>企</w:t>
            </w:r>
          </w:p>
          <w:p w14:paraId="095ACF3F">
            <w:pPr>
              <w:pStyle w:val="71"/>
              <w:shd w:val="clear" w:color="auto" w:fill="FFFFFF"/>
              <w:spacing w:line="360" w:lineRule="auto"/>
              <w:ind w:left="107"/>
              <w:rPr>
                <w:bCs/>
                <w:color w:val="auto"/>
                <w:highlight w:val="none"/>
              </w:rPr>
            </w:pPr>
            <w:r>
              <w:rPr>
                <w:rFonts w:hint="eastAsia"/>
                <w:bCs/>
                <w:color w:val="auto"/>
                <w:highlight w:val="none"/>
              </w:rPr>
              <w:t>业</w:t>
            </w:r>
          </w:p>
          <w:p w14:paraId="5E19DAFB">
            <w:pPr>
              <w:pStyle w:val="71"/>
              <w:shd w:val="clear" w:color="auto" w:fill="FFFFFF"/>
              <w:spacing w:line="360" w:lineRule="auto"/>
              <w:ind w:left="107"/>
              <w:rPr>
                <w:bCs/>
                <w:color w:val="auto"/>
                <w:spacing w:val="27"/>
                <w:highlight w:val="none"/>
              </w:rPr>
            </w:pPr>
            <w:r>
              <w:rPr>
                <w:rFonts w:hint="eastAsia"/>
                <w:bCs/>
                <w:color w:val="auto"/>
                <w:spacing w:val="27"/>
                <w:highlight w:val="none"/>
              </w:rPr>
              <w:t>概</w:t>
            </w:r>
          </w:p>
          <w:p w14:paraId="799C7FA7">
            <w:pPr>
              <w:pStyle w:val="71"/>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14:paraId="2294D89F">
            <w:pPr>
              <w:pStyle w:val="71"/>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14:paraId="08A110C2">
            <w:pPr>
              <w:pStyle w:val="71"/>
              <w:shd w:val="clear" w:color="auto" w:fill="FFFFFF"/>
              <w:spacing w:line="360" w:lineRule="auto"/>
              <w:rPr>
                <w:bCs/>
                <w:color w:val="auto"/>
                <w:spacing w:val="16"/>
                <w:highlight w:val="none"/>
              </w:rPr>
            </w:pPr>
          </w:p>
        </w:tc>
        <w:tc>
          <w:tcPr>
            <w:tcW w:w="1163" w:type="dxa"/>
            <w:tcBorders>
              <w:top w:val="nil"/>
            </w:tcBorders>
          </w:tcPr>
          <w:p w14:paraId="2DC5ED73">
            <w:pPr>
              <w:pStyle w:val="71"/>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14:paraId="65A6EF1A">
            <w:pPr>
              <w:widowControl/>
              <w:spacing w:line="360" w:lineRule="auto"/>
              <w:jc w:val="left"/>
              <w:rPr>
                <w:rFonts w:ascii="宋体" w:cs="宋体"/>
                <w:bCs/>
                <w:color w:val="auto"/>
                <w:spacing w:val="16"/>
                <w:kern w:val="0"/>
                <w:sz w:val="24"/>
                <w:highlight w:val="none"/>
              </w:rPr>
            </w:pPr>
          </w:p>
          <w:p w14:paraId="32965E2D">
            <w:pPr>
              <w:widowControl/>
              <w:spacing w:line="360" w:lineRule="auto"/>
              <w:jc w:val="left"/>
              <w:rPr>
                <w:rFonts w:ascii="宋体" w:cs="宋体"/>
                <w:bCs/>
                <w:color w:val="auto"/>
                <w:spacing w:val="16"/>
                <w:kern w:val="0"/>
                <w:sz w:val="24"/>
                <w:highlight w:val="none"/>
              </w:rPr>
            </w:pPr>
          </w:p>
          <w:p w14:paraId="67A25A8D">
            <w:pPr>
              <w:pStyle w:val="71"/>
              <w:shd w:val="clear" w:color="auto" w:fill="FFFFFF"/>
              <w:spacing w:line="360" w:lineRule="auto"/>
              <w:rPr>
                <w:bCs/>
                <w:color w:val="auto"/>
                <w:spacing w:val="16"/>
                <w:highlight w:val="none"/>
              </w:rPr>
            </w:pPr>
          </w:p>
        </w:tc>
        <w:tc>
          <w:tcPr>
            <w:tcW w:w="2001" w:type="dxa"/>
            <w:gridSpan w:val="3"/>
          </w:tcPr>
          <w:p w14:paraId="0128165B">
            <w:pPr>
              <w:pStyle w:val="71"/>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14:paraId="6A04D42D">
            <w:pPr>
              <w:widowControl/>
              <w:spacing w:line="360" w:lineRule="auto"/>
              <w:jc w:val="left"/>
              <w:rPr>
                <w:rFonts w:ascii="宋体" w:cs="宋体"/>
                <w:bCs/>
                <w:color w:val="auto"/>
                <w:spacing w:val="16"/>
                <w:kern w:val="0"/>
                <w:sz w:val="24"/>
                <w:highlight w:val="none"/>
              </w:rPr>
            </w:pPr>
          </w:p>
          <w:p w14:paraId="2D8986E4">
            <w:pPr>
              <w:pStyle w:val="71"/>
              <w:shd w:val="clear" w:color="auto" w:fill="FFFFFF"/>
              <w:spacing w:line="360" w:lineRule="auto"/>
              <w:rPr>
                <w:bCs/>
                <w:color w:val="auto"/>
                <w:spacing w:val="16"/>
                <w:highlight w:val="none"/>
              </w:rPr>
            </w:pPr>
          </w:p>
        </w:tc>
      </w:tr>
      <w:tr w14:paraId="4B6E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42389102">
            <w:pPr>
              <w:rPr>
                <w:color w:val="auto"/>
                <w:highlight w:val="none"/>
              </w:rPr>
            </w:pPr>
          </w:p>
        </w:tc>
        <w:tc>
          <w:tcPr>
            <w:tcW w:w="701" w:type="dxa"/>
          </w:tcPr>
          <w:p w14:paraId="1A4F6798">
            <w:pPr>
              <w:pStyle w:val="71"/>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14:paraId="278F035B">
            <w:pPr>
              <w:pStyle w:val="71"/>
              <w:shd w:val="clear" w:color="auto" w:fill="FFFFFF"/>
              <w:spacing w:line="360" w:lineRule="auto"/>
              <w:rPr>
                <w:bCs/>
                <w:color w:val="auto"/>
                <w:highlight w:val="none"/>
              </w:rPr>
            </w:pPr>
          </w:p>
        </w:tc>
        <w:tc>
          <w:tcPr>
            <w:tcW w:w="1163" w:type="dxa"/>
          </w:tcPr>
          <w:p w14:paraId="2589CA5D">
            <w:pPr>
              <w:pStyle w:val="71"/>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14:paraId="6F627A96">
            <w:pPr>
              <w:pStyle w:val="71"/>
              <w:shd w:val="clear" w:color="auto" w:fill="FFFFFF"/>
              <w:spacing w:line="360" w:lineRule="auto"/>
              <w:ind w:firstLine="480" w:firstLineChars="200"/>
              <w:rPr>
                <w:bCs/>
                <w:color w:val="auto"/>
                <w:highlight w:val="none"/>
              </w:rPr>
            </w:pPr>
            <w:r>
              <w:rPr>
                <w:rFonts w:hint="eastAsia"/>
                <w:bCs/>
                <w:color w:val="auto"/>
                <w:highlight w:val="none"/>
              </w:rPr>
              <w:t xml:space="preserve">平方米 </w:t>
            </w:r>
          </w:p>
          <w:p w14:paraId="6D0A15E7">
            <w:pPr>
              <w:pStyle w:val="71"/>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14:paraId="0680493F">
            <w:pPr>
              <w:pStyle w:val="71"/>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14:paraId="1937FCE9">
            <w:pPr>
              <w:pStyle w:val="71"/>
              <w:shd w:val="clear" w:color="auto" w:fill="FFFFFF"/>
              <w:spacing w:before="0" w:beforeAutospacing="0" w:after="0" w:afterAutospacing="0" w:line="360" w:lineRule="auto"/>
              <w:rPr>
                <w:bCs/>
                <w:color w:val="auto"/>
                <w:spacing w:val="16"/>
                <w:highlight w:val="none"/>
              </w:rPr>
            </w:pPr>
          </w:p>
        </w:tc>
      </w:tr>
      <w:tr w14:paraId="3453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73416889">
            <w:pPr>
              <w:rPr>
                <w:color w:val="auto"/>
                <w:highlight w:val="none"/>
              </w:rPr>
            </w:pPr>
          </w:p>
        </w:tc>
        <w:tc>
          <w:tcPr>
            <w:tcW w:w="701" w:type="dxa"/>
          </w:tcPr>
          <w:p w14:paraId="47B6447E">
            <w:pPr>
              <w:pStyle w:val="71"/>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14:paraId="6F379293">
            <w:pPr>
              <w:pStyle w:val="71"/>
              <w:shd w:val="clear" w:color="auto" w:fill="FFFFFF"/>
              <w:spacing w:line="360" w:lineRule="auto"/>
              <w:ind w:left="2"/>
              <w:rPr>
                <w:bCs/>
                <w:color w:val="auto"/>
                <w:highlight w:val="none"/>
              </w:rPr>
            </w:pPr>
          </w:p>
        </w:tc>
        <w:tc>
          <w:tcPr>
            <w:tcW w:w="1163" w:type="dxa"/>
          </w:tcPr>
          <w:p w14:paraId="7582A07D">
            <w:pPr>
              <w:pStyle w:val="71"/>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14:paraId="25D82692">
            <w:pPr>
              <w:widowControl/>
              <w:spacing w:line="360" w:lineRule="auto"/>
              <w:jc w:val="left"/>
              <w:rPr>
                <w:rFonts w:ascii="宋体" w:cs="宋体"/>
                <w:bCs/>
                <w:color w:val="auto"/>
                <w:kern w:val="0"/>
                <w:sz w:val="24"/>
                <w:highlight w:val="none"/>
              </w:rPr>
            </w:pPr>
          </w:p>
          <w:p w14:paraId="1538C44C">
            <w:pPr>
              <w:pStyle w:val="71"/>
              <w:shd w:val="clear" w:color="auto" w:fill="FFFFFF"/>
              <w:spacing w:line="360" w:lineRule="auto"/>
              <w:ind w:left="107"/>
              <w:rPr>
                <w:bCs/>
                <w:color w:val="auto"/>
                <w:highlight w:val="none"/>
              </w:rPr>
            </w:pPr>
          </w:p>
        </w:tc>
        <w:tc>
          <w:tcPr>
            <w:tcW w:w="1218" w:type="dxa"/>
          </w:tcPr>
          <w:p w14:paraId="11CFD77B">
            <w:pPr>
              <w:pStyle w:val="71"/>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14:paraId="08ADBC57">
            <w:pPr>
              <w:pStyle w:val="71"/>
              <w:shd w:val="clear" w:color="auto" w:fill="FFFFFF"/>
              <w:spacing w:line="360" w:lineRule="auto"/>
              <w:ind w:left="107"/>
              <w:rPr>
                <w:bCs/>
                <w:color w:val="auto"/>
                <w:highlight w:val="none"/>
              </w:rPr>
            </w:pPr>
          </w:p>
        </w:tc>
      </w:tr>
      <w:tr w14:paraId="62D8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20F8B60A">
            <w:pPr>
              <w:rPr>
                <w:color w:val="auto"/>
                <w:highlight w:val="none"/>
              </w:rPr>
            </w:pPr>
          </w:p>
        </w:tc>
        <w:tc>
          <w:tcPr>
            <w:tcW w:w="701" w:type="dxa"/>
          </w:tcPr>
          <w:p w14:paraId="7DEBEE4B">
            <w:pPr>
              <w:pStyle w:val="71"/>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14:paraId="18ED2461">
            <w:pPr>
              <w:pStyle w:val="71"/>
              <w:shd w:val="clear" w:color="auto" w:fill="FFFFFF"/>
              <w:spacing w:line="360" w:lineRule="auto"/>
              <w:ind w:left="107"/>
              <w:rPr>
                <w:bCs/>
                <w:color w:val="auto"/>
                <w:highlight w:val="none"/>
              </w:rPr>
            </w:pPr>
          </w:p>
        </w:tc>
      </w:tr>
      <w:tr w14:paraId="25DE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3C253C9D">
            <w:pPr>
              <w:rPr>
                <w:color w:val="auto"/>
                <w:highlight w:val="none"/>
              </w:rPr>
            </w:pPr>
          </w:p>
        </w:tc>
        <w:tc>
          <w:tcPr>
            <w:tcW w:w="8131" w:type="dxa"/>
            <w:gridSpan w:val="11"/>
          </w:tcPr>
          <w:p w14:paraId="69E97AE1">
            <w:pPr>
              <w:pStyle w:val="71"/>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14:paraId="28A3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709299E4">
            <w:pPr>
              <w:pStyle w:val="71"/>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14:paraId="693AE47F">
            <w:pPr>
              <w:pStyle w:val="71"/>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14:paraId="05A86FB6">
            <w:pPr>
              <w:pStyle w:val="71"/>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14:paraId="18DFF3AB">
            <w:pPr>
              <w:pStyle w:val="71"/>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14:paraId="5F6ADF8D">
            <w:pPr>
              <w:pStyle w:val="71"/>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14:paraId="03EEC2BE">
            <w:pPr>
              <w:pStyle w:val="71"/>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14:paraId="259735BA">
            <w:pPr>
              <w:pStyle w:val="71"/>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14:paraId="2B40DC48">
            <w:pPr>
              <w:pStyle w:val="71"/>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14:paraId="5A50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44F064BF">
            <w:pPr>
              <w:rPr>
                <w:color w:val="auto"/>
                <w:highlight w:val="none"/>
              </w:rPr>
            </w:pPr>
          </w:p>
        </w:tc>
        <w:tc>
          <w:tcPr>
            <w:tcW w:w="1553" w:type="dxa"/>
            <w:gridSpan w:val="2"/>
            <w:vMerge w:val="continue"/>
          </w:tcPr>
          <w:p w14:paraId="12904034">
            <w:pPr>
              <w:rPr>
                <w:color w:val="auto"/>
                <w:highlight w:val="none"/>
              </w:rPr>
            </w:pPr>
          </w:p>
        </w:tc>
        <w:tc>
          <w:tcPr>
            <w:tcW w:w="1333" w:type="dxa"/>
            <w:gridSpan w:val="3"/>
          </w:tcPr>
          <w:p w14:paraId="38A96CFE">
            <w:pPr>
              <w:pStyle w:val="71"/>
              <w:shd w:val="clear" w:color="auto" w:fill="FFFFFF"/>
              <w:spacing w:line="360" w:lineRule="auto"/>
              <w:rPr>
                <w:bCs/>
                <w:color w:val="auto"/>
                <w:highlight w:val="none"/>
              </w:rPr>
            </w:pPr>
          </w:p>
        </w:tc>
        <w:tc>
          <w:tcPr>
            <w:tcW w:w="1418" w:type="dxa"/>
            <w:gridSpan w:val="2"/>
          </w:tcPr>
          <w:p w14:paraId="7924472A">
            <w:pPr>
              <w:pStyle w:val="71"/>
              <w:shd w:val="clear" w:color="auto" w:fill="FFFFFF"/>
              <w:spacing w:line="360" w:lineRule="auto"/>
              <w:rPr>
                <w:bCs/>
                <w:color w:val="auto"/>
                <w:highlight w:val="none"/>
              </w:rPr>
            </w:pPr>
          </w:p>
        </w:tc>
        <w:tc>
          <w:tcPr>
            <w:tcW w:w="1276" w:type="dxa"/>
          </w:tcPr>
          <w:p w14:paraId="4562224D">
            <w:pPr>
              <w:pStyle w:val="71"/>
              <w:shd w:val="clear" w:color="auto" w:fill="FFFFFF"/>
              <w:spacing w:line="360" w:lineRule="auto"/>
              <w:rPr>
                <w:bCs/>
                <w:color w:val="auto"/>
                <w:highlight w:val="none"/>
              </w:rPr>
            </w:pPr>
          </w:p>
        </w:tc>
        <w:tc>
          <w:tcPr>
            <w:tcW w:w="2551" w:type="dxa"/>
            <w:gridSpan w:val="3"/>
          </w:tcPr>
          <w:p w14:paraId="538751CA">
            <w:pPr>
              <w:pStyle w:val="71"/>
              <w:shd w:val="clear" w:color="auto" w:fill="FFFFFF"/>
              <w:spacing w:line="360" w:lineRule="auto"/>
              <w:rPr>
                <w:bCs/>
                <w:color w:val="auto"/>
                <w:highlight w:val="none"/>
              </w:rPr>
            </w:pPr>
          </w:p>
        </w:tc>
      </w:tr>
      <w:tr w14:paraId="6E9C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3E59F67D">
            <w:pPr>
              <w:rPr>
                <w:color w:val="auto"/>
                <w:highlight w:val="none"/>
              </w:rPr>
            </w:pPr>
          </w:p>
        </w:tc>
        <w:tc>
          <w:tcPr>
            <w:tcW w:w="1553" w:type="dxa"/>
            <w:gridSpan w:val="2"/>
          </w:tcPr>
          <w:p w14:paraId="66BFA3CE">
            <w:pPr>
              <w:pStyle w:val="71"/>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14:paraId="228B2C30">
            <w:pPr>
              <w:pStyle w:val="71"/>
              <w:shd w:val="clear" w:color="auto" w:fill="FFFFFF"/>
              <w:spacing w:line="360" w:lineRule="auto"/>
              <w:rPr>
                <w:bCs/>
                <w:color w:val="auto"/>
                <w:spacing w:val="16"/>
                <w:highlight w:val="none"/>
              </w:rPr>
            </w:pPr>
          </w:p>
        </w:tc>
      </w:tr>
      <w:tr w14:paraId="63A0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3AD52222">
            <w:pPr>
              <w:rPr>
                <w:color w:val="auto"/>
                <w:highlight w:val="none"/>
              </w:rPr>
            </w:pPr>
          </w:p>
        </w:tc>
        <w:tc>
          <w:tcPr>
            <w:tcW w:w="1553" w:type="dxa"/>
            <w:gridSpan w:val="2"/>
          </w:tcPr>
          <w:p w14:paraId="6E3A42B3">
            <w:pPr>
              <w:pStyle w:val="71"/>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14:paraId="66A8F2E4">
            <w:pPr>
              <w:pStyle w:val="71"/>
              <w:shd w:val="clear" w:color="auto" w:fill="FFFFFF"/>
              <w:spacing w:line="360" w:lineRule="auto"/>
              <w:rPr>
                <w:bCs/>
                <w:color w:val="auto"/>
                <w:spacing w:val="16"/>
                <w:highlight w:val="none"/>
              </w:rPr>
            </w:pPr>
          </w:p>
        </w:tc>
      </w:tr>
    </w:tbl>
    <w:p w14:paraId="732B8170">
      <w:pPr>
        <w:pStyle w:val="71"/>
        <w:shd w:val="clear" w:color="auto" w:fill="FFFFFF"/>
        <w:spacing w:before="0" w:beforeAutospacing="0" w:after="0" w:afterAutospacing="0" w:line="360" w:lineRule="auto"/>
        <w:rPr>
          <w:b/>
          <w:color w:val="auto"/>
          <w:sz w:val="21"/>
          <w:szCs w:val="21"/>
          <w:highlight w:val="none"/>
        </w:rPr>
      </w:pPr>
      <w:r>
        <w:rPr>
          <w:rFonts w:hint="eastAsia"/>
          <w:b/>
          <w:color w:val="auto"/>
          <w:highlight w:val="none"/>
        </w:rPr>
        <w:t>要求：</w:t>
      </w:r>
    </w:p>
    <w:p w14:paraId="49B1FCEE">
      <w:pPr>
        <w:pStyle w:val="71"/>
        <w:shd w:val="clear" w:color="auto" w:fill="FFFFFF"/>
        <w:spacing w:before="0" w:beforeAutospacing="0" w:after="0" w:afterAutospacing="0" w:line="360" w:lineRule="auto"/>
        <w:rPr>
          <w:color w:val="auto"/>
          <w:sz w:val="21"/>
          <w:szCs w:val="21"/>
          <w:highlight w:val="none"/>
        </w:rPr>
      </w:pPr>
      <w:r>
        <w:rPr>
          <w:rFonts w:hint="eastAsia" w:cs="Times New Roman"/>
          <w:color w:val="auto"/>
          <w:kern w:val="2"/>
          <w:highlight w:val="none"/>
        </w:rPr>
        <w:t>1.姓名栏必须将所有股东都统计在内，若非股份公司此行（第三行）无需填写</w:t>
      </w:r>
      <w:r>
        <w:rPr>
          <w:rFonts w:hint="eastAsia"/>
          <w:color w:val="auto"/>
          <w:sz w:val="21"/>
          <w:szCs w:val="21"/>
          <w:highlight w:val="none"/>
        </w:rPr>
        <w:t>；</w:t>
      </w:r>
    </w:p>
    <w:p w14:paraId="31DE2064">
      <w:pPr>
        <w:spacing w:line="360" w:lineRule="auto"/>
        <w:rPr>
          <w:rFonts w:ascii="宋体"/>
          <w:color w:val="auto"/>
          <w:sz w:val="24"/>
          <w:highlight w:val="none"/>
        </w:rPr>
      </w:pPr>
    </w:p>
    <w:p w14:paraId="3B819747">
      <w:pPr>
        <w:adjustRightInd w:val="0"/>
        <w:snapToGrid w:val="0"/>
        <w:spacing w:line="360" w:lineRule="auto"/>
        <w:ind w:firstLine="120" w:firstLineChars="50"/>
        <w:rPr>
          <w:rFonts w:ascii="宋体" w:cs="仿宋_GB2312"/>
          <w:color w:val="auto"/>
          <w:kern w:val="0"/>
          <w:sz w:val="24"/>
          <w:highlight w:val="none"/>
          <w:lang w:val="zh-CN"/>
        </w:rPr>
      </w:pPr>
      <w:bookmarkStart w:id="37" w:name="_Hlk70258286"/>
      <w:r>
        <w:rPr>
          <w:rFonts w:hint="eastAsia" w:ascii="宋体" w:cs="仿宋_GB2312"/>
          <w:color w:val="auto"/>
          <w:kern w:val="0"/>
          <w:sz w:val="24"/>
          <w:highlight w:val="none"/>
          <w:lang w:val="zh-CN"/>
        </w:rPr>
        <w:t>投标人名称(签电子公章)：</w:t>
      </w:r>
    </w:p>
    <w:p w14:paraId="7CED650B">
      <w:pPr>
        <w:adjustRightInd w:val="0"/>
        <w:snapToGrid w:val="0"/>
        <w:spacing w:line="360" w:lineRule="auto"/>
        <w:rPr>
          <w:rFonts w:ascii="宋体" w:cs="仿宋_GB2312"/>
          <w:color w:val="auto"/>
          <w:kern w:val="0"/>
          <w:sz w:val="24"/>
          <w:highlight w:val="none"/>
          <w:lang w:val="zh-CN"/>
        </w:rPr>
      </w:pPr>
      <w:r>
        <w:rPr>
          <w:rFonts w:hint="eastAsia" w:ascii="宋体" w:cs="仿宋_GB2312"/>
          <w:color w:val="auto"/>
          <w:kern w:val="0"/>
          <w:sz w:val="24"/>
          <w:highlight w:val="none"/>
          <w:lang w:val="zh-CN"/>
        </w:rPr>
        <w:t xml:space="preserve"> 法定代表人或授权委托人(签章或签字)：</w:t>
      </w:r>
    </w:p>
    <w:bookmarkEnd w:id="37"/>
    <w:p w14:paraId="7C2F5DAA">
      <w:pPr>
        <w:adjustRightInd w:val="0"/>
        <w:snapToGrid w:val="0"/>
        <w:spacing w:line="360" w:lineRule="auto"/>
        <w:ind w:right="480" w:firstLine="120" w:firstLineChars="50"/>
        <w:rPr>
          <w:rFonts w:ascii="宋体" w:cs="仿宋_GB2312"/>
          <w:color w:val="auto"/>
          <w:kern w:val="0"/>
          <w:sz w:val="24"/>
          <w:highlight w:val="none"/>
          <w:lang w:val="zh-CN"/>
        </w:rPr>
      </w:pPr>
      <w:r>
        <w:rPr>
          <w:rFonts w:hint="eastAsia" w:ascii="宋体" w:cs="仿宋_GB2312"/>
          <w:color w:val="auto"/>
          <w:kern w:val="0"/>
          <w:sz w:val="24"/>
          <w:highlight w:val="none"/>
          <w:lang w:val="zh-CN"/>
        </w:rPr>
        <w:t>日期：</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年 </w:t>
      </w:r>
      <w:r>
        <w:rPr>
          <w:rFonts w:hint="eastAsia" w:ascii="宋体" w:cs="Arial"/>
          <w:color w:val="auto"/>
          <w:sz w:val="24"/>
          <w:highlight w:val="none"/>
        </w:rPr>
        <w:t xml:space="preserve">  </w:t>
      </w:r>
      <w:r>
        <w:rPr>
          <w:rFonts w:hint="eastAsia" w:ascii="宋体" w:cs="仿宋_GB2312"/>
          <w:color w:val="auto"/>
          <w:kern w:val="0"/>
          <w:sz w:val="24"/>
          <w:highlight w:val="none"/>
          <w:lang w:val="zh-CN"/>
        </w:rPr>
        <w:t xml:space="preserve">月 </w:t>
      </w:r>
      <w:r>
        <w:rPr>
          <w:rFonts w:hint="eastAsia" w:ascii="宋体" w:cs="Arial"/>
          <w:color w:val="auto"/>
          <w:sz w:val="24"/>
          <w:highlight w:val="none"/>
        </w:rPr>
        <w:t xml:space="preserve">  </w:t>
      </w:r>
      <w:r>
        <w:rPr>
          <w:rFonts w:hint="eastAsia" w:ascii="宋体" w:cs="仿宋_GB2312"/>
          <w:color w:val="auto"/>
          <w:kern w:val="0"/>
          <w:sz w:val="24"/>
          <w:highlight w:val="none"/>
          <w:lang w:val="zh-CN"/>
        </w:rPr>
        <w:t>日</w:t>
      </w:r>
    </w:p>
    <w:p w14:paraId="5981D83C">
      <w:pPr>
        <w:spacing w:line="360" w:lineRule="auto"/>
        <w:rPr>
          <w:rFonts w:ascii="宋体"/>
          <w:b/>
          <w:color w:val="auto"/>
          <w:sz w:val="28"/>
          <w:highlight w:val="none"/>
        </w:rPr>
      </w:pPr>
    </w:p>
    <w:p w14:paraId="5740FEFA">
      <w:pPr>
        <w:spacing w:line="360" w:lineRule="auto"/>
        <w:rPr>
          <w:rFonts w:ascii="宋体"/>
          <w:b/>
          <w:color w:val="auto"/>
          <w:sz w:val="28"/>
          <w:highlight w:val="none"/>
        </w:rPr>
      </w:pPr>
    </w:p>
    <w:p w14:paraId="784C6C34">
      <w:pPr>
        <w:spacing w:line="360" w:lineRule="auto"/>
        <w:rPr>
          <w:rFonts w:ascii="宋体"/>
          <w:color w:val="auto"/>
          <w:sz w:val="24"/>
          <w:highlight w:val="none"/>
        </w:rPr>
      </w:pPr>
      <w:r>
        <w:rPr>
          <w:rFonts w:hint="eastAsia" w:ascii="宋体"/>
          <w:b/>
          <w:color w:val="auto"/>
          <w:sz w:val="28"/>
          <w:highlight w:val="none"/>
        </w:rPr>
        <w:t>附件1</w:t>
      </w:r>
      <w:r>
        <w:rPr>
          <w:rFonts w:hint="eastAsia" w:ascii="宋体"/>
          <w:b/>
          <w:color w:val="auto"/>
          <w:sz w:val="28"/>
          <w:highlight w:val="none"/>
          <w:lang w:val="en-US" w:eastAsia="zh-CN"/>
        </w:rPr>
        <w:t>0</w:t>
      </w:r>
      <w:r>
        <w:rPr>
          <w:rFonts w:hint="eastAsia" w:ascii="宋体"/>
          <w:b/>
          <w:color w:val="auto"/>
          <w:sz w:val="28"/>
          <w:highlight w:val="none"/>
        </w:rPr>
        <w:t>：</w:t>
      </w:r>
    </w:p>
    <w:p w14:paraId="05C6D326">
      <w:pPr>
        <w:spacing w:line="360" w:lineRule="auto"/>
        <w:rPr>
          <w:rFonts w:ascii="宋体"/>
          <w:color w:val="auto"/>
          <w:sz w:val="24"/>
          <w:highlight w:val="none"/>
        </w:rPr>
      </w:pPr>
    </w:p>
    <w:p w14:paraId="754F069E">
      <w:pPr>
        <w:snapToGrid w:val="0"/>
        <w:spacing w:beforeLines="50" w:after="50" w:line="360" w:lineRule="auto"/>
        <w:jc w:val="center"/>
        <w:rPr>
          <w:rFonts w:ascii="宋体"/>
          <w:b/>
          <w:color w:val="auto"/>
          <w:sz w:val="32"/>
          <w:szCs w:val="32"/>
          <w:highlight w:val="none"/>
        </w:rPr>
      </w:pPr>
      <w:r>
        <w:rPr>
          <w:rFonts w:hint="eastAsia" w:ascii="宋体"/>
          <w:b/>
          <w:color w:val="auto"/>
          <w:sz w:val="32"/>
          <w:szCs w:val="32"/>
          <w:highlight w:val="none"/>
        </w:rPr>
        <w:t>项目实施人员一览表</w:t>
      </w:r>
    </w:p>
    <w:p w14:paraId="111E7033">
      <w:pPr>
        <w:snapToGrid w:val="0"/>
        <w:spacing w:beforeLines="50" w:after="50" w:line="360" w:lineRule="auto"/>
        <w:ind w:firstLine="2400" w:firstLineChars="1000"/>
        <w:rPr>
          <w:rFonts w:ascii="宋体"/>
          <w:color w:val="auto"/>
          <w:sz w:val="24"/>
          <w:highlight w:val="none"/>
        </w:rPr>
      </w:pPr>
      <w:r>
        <w:rPr>
          <w:rFonts w:hint="eastAsia" w:ascii="宋体"/>
          <w:color w:val="auto"/>
          <w:sz w:val="24"/>
          <w:highlight w:val="none"/>
        </w:rPr>
        <w:t>（主要从业人员及其技术资格）</w:t>
      </w:r>
    </w:p>
    <w:tbl>
      <w:tblPr>
        <w:tblStyle w:val="3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7BB62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26A1B92E">
            <w:pPr>
              <w:snapToGrid w:val="0"/>
              <w:spacing w:beforeLines="50" w:after="50" w:line="360" w:lineRule="auto"/>
              <w:jc w:val="center"/>
              <w:rPr>
                <w:rFonts w:ascii="宋体"/>
                <w:b/>
                <w:color w:val="auto"/>
                <w:sz w:val="24"/>
                <w:szCs w:val="20"/>
                <w:highlight w:val="none"/>
              </w:rPr>
            </w:pPr>
            <w:r>
              <w:rPr>
                <w:rFonts w:hint="eastAsia" w:asci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A027470">
            <w:pPr>
              <w:snapToGrid w:val="0"/>
              <w:spacing w:beforeLines="50" w:after="50" w:line="360" w:lineRule="auto"/>
              <w:jc w:val="center"/>
              <w:rPr>
                <w:rFonts w:ascii="宋体"/>
                <w:b/>
                <w:color w:val="auto"/>
                <w:sz w:val="24"/>
                <w:szCs w:val="20"/>
                <w:highlight w:val="none"/>
              </w:rPr>
            </w:pPr>
            <w:r>
              <w:rPr>
                <w:rFonts w:hint="eastAsia" w:asci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5E794E7">
            <w:pPr>
              <w:snapToGrid w:val="0"/>
              <w:spacing w:beforeLines="50" w:after="50" w:line="360" w:lineRule="auto"/>
              <w:jc w:val="center"/>
              <w:rPr>
                <w:rFonts w:ascii="宋体"/>
                <w:b/>
                <w:color w:val="auto"/>
                <w:sz w:val="24"/>
                <w:szCs w:val="20"/>
                <w:highlight w:val="none"/>
              </w:rPr>
            </w:pPr>
            <w:r>
              <w:rPr>
                <w:rFonts w:hint="eastAsia" w:asci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130842A8">
            <w:pPr>
              <w:snapToGrid w:val="0"/>
              <w:spacing w:beforeLines="50" w:after="50" w:line="360" w:lineRule="auto"/>
              <w:jc w:val="center"/>
              <w:rPr>
                <w:rFonts w:ascii="宋体"/>
                <w:b/>
                <w:color w:val="auto"/>
                <w:sz w:val="24"/>
                <w:szCs w:val="20"/>
                <w:highlight w:val="none"/>
              </w:rPr>
            </w:pPr>
            <w:r>
              <w:rPr>
                <w:rFonts w:hint="eastAsia" w:asci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FFD0FB6">
            <w:pPr>
              <w:snapToGrid w:val="0"/>
              <w:spacing w:beforeLines="50" w:after="50" w:line="360" w:lineRule="auto"/>
              <w:jc w:val="center"/>
              <w:rPr>
                <w:rFonts w:ascii="宋体"/>
                <w:b/>
                <w:color w:val="auto"/>
                <w:sz w:val="24"/>
                <w:szCs w:val="20"/>
                <w:highlight w:val="none"/>
              </w:rPr>
            </w:pPr>
            <w:r>
              <w:rPr>
                <w:rFonts w:hint="eastAsia" w:asci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2323EA0">
            <w:pPr>
              <w:snapToGrid w:val="0"/>
              <w:spacing w:beforeLines="50" w:after="50" w:line="360" w:lineRule="auto"/>
              <w:jc w:val="center"/>
              <w:rPr>
                <w:rFonts w:ascii="宋体"/>
                <w:b/>
                <w:color w:val="auto"/>
                <w:sz w:val="24"/>
                <w:szCs w:val="20"/>
                <w:highlight w:val="none"/>
              </w:rPr>
            </w:pPr>
            <w:r>
              <w:rPr>
                <w:rFonts w:hint="eastAsia" w:ascii="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556BE4E6">
            <w:pPr>
              <w:snapToGrid w:val="0"/>
              <w:spacing w:beforeLines="50" w:after="50" w:line="360" w:lineRule="auto"/>
              <w:jc w:val="center"/>
              <w:rPr>
                <w:rFonts w:ascii="宋体"/>
                <w:b/>
                <w:bCs/>
                <w:color w:val="auto"/>
                <w:sz w:val="24"/>
                <w:szCs w:val="20"/>
                <w:highlight w:val="none"/>
              </w:rPr>
            </w:pPr>
            <w:r>
              <w:rPr>
                <w:rFonts w:hint="eastAsia" w:ascii="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08CB772D">
            <w:pPr>
              <w:snapToGrid w:val="0"/>
              <w:spacing w:beforeLines="50" w:after="50" w:line="360" w:lineRule="auto"/>
              <w:jc w:val="center"/>
              <w:rPr>
                <w:rFonts w:ascii="宋体"/>
                <w:b/>
                <w:bCs/>
                <w:color w:val="auto"/>
                <w:sz w:val="24"/>
                <w:szCs w:val="20"/>
                <w:highlight w:val="none"/>
              </w:rPr>
            </w:pPr>
            <w:r>
              <w:rPr>
                <w:rFonts w:hint="eastAsia" w:ascii="宋体"/>
                <w:b/>
                <w:color w:val="auto"/>
                <w:sz w:val="24"/>
                <w:highlight w:val="none"/>
              </w:rPr>
              <w:t>劳动合同编号</w:t>
            </w:r>
          </w:p>
        </w:tc>
      </w:tr>
      <w:tr w14:paraId="5D022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E1102EC">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AA58410">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F554CF5">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E8FFA72">
            <w:pPr>
              <w:snapToGrid w:val="0"/>
              <w:spacing w:beforeLines="50" w:after="50" w:line="360" w:lineRule="auto"/>
              <w:rPr>
                <w:rFonts w:asci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A5623B8">
            <w:pPr>
              <w:snapToGrid w:val="0"/>
              <w:spacing w:beforeLines="50" w:after="50" w:line="360" w:lineRule="auto"/>
              <w:rPr>
                <w:rFonts w:asci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B183EA8">
            <w:pPr>
              <w:snapToGrid w:val="0"/>
              <w:spacing w:beforeLines="50" w:after="50" w:line="360" w:lineRule="auto"/>
              <w:rPr>
                <w:rFonts w:asci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5F544AA">
            <w:pPr>
              <w:snapToGrid w:val="0"/>
              <w:spacing w:beforeLines="50" w:after="50" w:line="360" w:lineRule="auto"/>
              <w:rPr>
                <w:rFonts w:asci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C3616FB">
            <w:pPr>
              <w:snapToGrid w:val="0"/>
              <w:spacing w:beforeLines="50" w:after="50" w:line="360" w:lineRule="auto"/>
              <w:rPr>
                <w:rFonts w:ascii="宋体"/>
                <w:b/>
                <w:color w:val="auto"/>
                <w:kern w:val="44"/>
                <w:sz w:val="24"/>
                <w:szCs w:val="20"/>
                <w:highlight w:val="none"/>
              </w:rPr>
            </w:pPr>
          </w:p>
        </w:tc>
      </w:tr>
      <w:tr w14:paraId="7DD3D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F22A595">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1A78411">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EAFA23F">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D4F167B">
            <w:pPr>
              <w:snapToGrid w:val="0"/>
              <w:spacing w:beforeLines="50" w:after="50" w:line="360" w:lineRule="auto"/>
              <w:rPr>
                <w:rFonts w:asci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17157D7">
            <w:pPr>
              <w:snapToGrid w:val="0"/>
              <w:spacing w:beforeLines="50" w:after="50" w:line="360" w:lineRule="auto"/>
              <w:rPr>
                <w:rFonts w:asci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A9F28E9">
            <w:pPr>
              <w:snapToGrid w:val="0"/>
              <w:spacing w:beforeLines="50" w:after="50" w:line="360" w:lineRule="auto"/>
              <w:rPr>
                <w:rFonts w:asci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A4EFD1F">
            <w:pPr>
              <w:snapToGrid w:val="0"/>
              <w:spacing w:beforeLines="50" w:after="50" w:line="360" w:lineRule="auto"/>
              <w:rPr>
                <w:rFonts w:asci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32E9112">
            <w:pPr>
              <w:snapToGrid w:val="0"/>
              <w:spacing w:beforeLines="50" w:after="50" w:line="360" w:lineRule="auto"/>
              <w:rPr>
                <w:rFonts w:ascii="宋体"/>
                <w:b/>
                <w:color w:val="auto"/>
                <w:kern w:val="44"/>
                <w:sz w:val="24"/>
                <w:szCs w:val="20"/>
                <w:highlight w:val="none"/>
              </w:rPr>
            </w:pPr>
          </w:p>
        </w:tc>
      </w:tr>
      <w:tr w14:paraId="189E3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2980175">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28C4318">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2F229D1">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54199B2">
            <w:pPr>
              <w:pStyle w:val="22"/>
              <w:snapToGrid w:val="0"/>
              <w:spacing w:beforeLines="50" w:after="50" w:line="360" w:lineRule="auto"/>
              <w:ind w:left="5250"/>
              <w:rPr>
                <w:rFonts w:asci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1AC8FF6">
            <w:pPr>
              <w:pStyle w:val="22"/>
              <w:snapToGrid w:val="0"/>
              <w:spacing w:beforeLines="50" w:after="50" w:line="360" w:lineRule="auto"/>
              <w:ind w:left="5250"/>
              <w:rPr>
                <w:rFonts w:asci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80CE842">
            <w:pPr>
              <w:pStyle w:val="22"/>
              <w:spacing w:line="360" w:lineRule="auto"/>
              <w:ind w:left="5250"/>
              <w:rPr>
                <w:rFonts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3BB6A06">
            <w:pPr>
              <w:snapToGrid w:val="0"/>
              <w:spacing w:beforeLines="50" w:after="50" w:line="360" w:lineRule="auto"/>
              <w:rPr>
                <w:rFonts w:ascii="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232F161">
            <w:pPr>
              <w:snapToGrid w:val="0"/>
              <w:spacing w:beforeLines="50" w:after="50" w:line="360" w:lineRule="auto"/>
              <w:rPr>
                <w:rFonts w:ascii="宋体"/>
                <w:b/>
                <w:color w:val="auto"/>
                <w:kern w:val="44"/>
                <w:sz w:val="24"/>
                <w:szCs w:val="20"/>
                <w:highlight w:val="none"/>
              </w:rPr>
            </w:pPr>
          </w:p>
        </w:tc>
      </w:tr>
      <w:tr w14:paraId="2FC86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DB66F85">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AD8131D">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227FA31">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22CB8D0">
            <w:pPr>
              <w:snapToGrid w:val="0"/>
              <w:spacing w:beforeLines="50" w:after="50" w:line="360" w:lineRule="auto"/>
              <w:rPr>
                <w:rFonts w:asci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BD60D6A">
            <w:pPr>
              <w:snapToGrid w:val="0"/>
              <w:spacing w:beforeLines="50" w:after="50" w:line="360" w:lineRule="auto"/>
              <w:rPr>
                <w:rFonts w:asci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9C1C3E4">
            <w:pPr>
              <w:snapToGrid w:val="0"/>
              <w:spacing w:beforeLines="50" w:after="50" w:line="360" w:lineRule="auto"/>
              <w:rPr>
                <w:rFonts w:asci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115A065">
            <w:pPr>
              <w:snapToGrid w:val="0"/>
              <w:spacing w:beforeLines="50" w:after="50" w:line="360" w:lineRule="auto"/>
              <w:rPr>
                <w:rFonts w:asci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5E2EBA9">
            <w:pPr>
              <w:snapToGrid w:val="0"/>
              <w:spacing w:beforeLines="50" w:after="50" w:line="360" w:lineRule="auto"/>
              <w:rPr>
                <w:rFonts w:ascii="宋体"/>
                <w:b/>
                <w:color w:val="auto"/>
                <w:kern w:val="44"/>
                <w:sz w:val="24"/>
                <w:szCs w:val="20"/>
                <w:highlight w:val="none"/>
              </w:rPr>
            </w:pPr>
          </w:p>
        </w:tc>
      </w:tr>
      <w:tr w14:paraId="7D582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6EF75331">
            <w:pPr>
              <w:snapToGrid w:val="0"/>
              <w:spacing w:beforeLines="50" w:after="50" w:line="360" w:lineRule="auto"/>
              <w:rPr>
                <w:rFonts w:asci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7CC3E63">
            <w:pPr>
              <w:snapToGrid w:val="0"/>
              <w:spacing w:beforeLines="50" w:after="50" w:line="360" w:lineRule="auto"/>
              <w:rPr>
                <w:rFonts w:asci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8F6C593">
            <w:pPr>
              <w:snapToGrid w:val="0"/>
              <w:spacing w:beforeLines="50" w:after="50" w:line="360" w:lineRule="auto"/>
              <w:rPr>
                <w:rFonts w:asci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19D1206">
            <w:pPr>
              <w:snapToGrid w:val="0"/>
              <w:spacing w:beforeLines="50" w:after="50" w:line="360" w:lineRule="auto"/>
              <w:rPr>
                <w:rFonts w:asci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5518F47">
            <w:pPr>
              <w:snapToGrid w:val="0"/>
              <w:spacing w:beforeLines="50" w:after="50" w:line="360" w:lineRule="auto"/>
              <w:rPr>
                <w:rFonts w:asci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B72351E">
            <w:pPr>
              <w:snapToGrid w:val="0"/>
              <w:spacing w:beforeLines="50" w:after="50" w:line="360" w:lineRule="auto"/>
              <w:rPr>
                <w:rFonts w:ascii="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2601FFE">
            <w:pPr>
              <w:snapToGrid w:val="0"/>
              <w:spacing w:beforeLines="50" w:after="50" w:line="360" w:lineRule="auto"/>
              <w:rPr>
                <w:rFonts w:ascii="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3231C7B">
            <w:pPr>
              <w:snapToGrid w:val="0"/>
              <w:spacing w:beforeLines="50" w:after="50" w:line="360" w:lineRule="auto"/>
              <w:rPr>
                <w:rFonts w:ascii="宋体"/>
                <w:b/>
                <w:color w:val="auto"/>
                <w:kern w:val="44"/>
                <w:sz w:val="24"/>
                <w:szCs w:val="20"/>
                <w:highlight w:val="none"/>
              </w:rPr>
            </w:pPr>
          </w:p>
        </w:tc>
      </w:tr>
    </w:tbl>
    <w:p w14:paraId="3E74B773">
      <w:pPr>
        <w:spacing w:line="360" w:lineRule="auto"/>
        <w:rPr>
          <w:rFonts w:ascii="宋体"/>
          <w:b/>
          <w:color w:val="auto"/>
          <w:sz w:val="24"/>
          <w:highlight w:val="none"/>
        </w:rPr>
      </w:pPr>
      <w:r>
        <w:rPr>
          <w:rFonts w:hint="eastAsia" w:ascii="宋体"/>
          <w:b/>
          <w:color w:val="auto"/>
          <w:sz w:val="24"/>
          <w:highlight w:val="none"/>
        </w:rPr>
        <w:t>要求：</w:t>
      </w:r>
    </w:p>
    <w:p w14:paraId="71257CD6">
      <w:pPr>
        <w:spacing w:line="360" w:lineRule="auto"/>
        <w:ind w:left="437"/>
        <w:rPr>
          <w:rFonts w:ascii="宋体"/>
          <w:color w:val="auto"/>
          <w:sz w:val="24"/>
          <w:highlight w:val="none"/>
        </w:rPr>
      </w:pPr>
      <w:r>
        <w:rPr>
          <w:rFonts w:hint="eastAsia" w:ascii="宋体"/>
          <w:b/>
          <w:color w:val="auto"/>
          <w:sz w:val="24"/>
          <w:highlight w:val="none"/>
        </w:rPr>
        <w:t>1.</w:t>
      </w:r>
      <w:r>
        <w:rPr>
          <w:rFonts w:hint="eastAsia" w:ascii="宋体"/>
          <w:color w:val="auto"/>
          <w:sz w:val="24"/>
          <w:highlight w:val="none"/>
        </w:rPr>
        <w:t>在填写时，如本表格不适合投标单位的实际情况，可根据本表格式自行划表填写；</w:t>
      </w:r>
    </w:p>
    <w:p w14:paraId="52906ADB">
      <w:pPr>
        <w:pStyle w:val="72"/>
        <w:spacing w:line="360" w:lineRule="auto"/>
        <w:ind w:left="424" w:leftChars="202"/>
        <w:rPr>
          <w:rFonts w:hint="eastAsia" w:ascii="宋体" w:eastAsia="宋体"/>
          <w:color w:val="auto"/>
          <w:sz w:val="24"/>
          <w:highlight w:val="none"/>
          <w:lang w:eastAsia="zh-CN"/>
        </w:rPr>
      </w:pPr>
      <w:r>
        <w:rPr>
          <w:rFonts w:hint="eastAsia" w:ascii="宋体"/>
          <w:color w:val="auto"/>
          <w:sz w:val="24"/>
          <w:highlight w:val="none"/>
        </w:rPr>
        <w:t>2.附人员证书和</w:t>
      </w:r>
      <w:r>
        <w:rPr>
          <w:rFonts w:ascii="宋体"/>
          <w:color w:val="auto"/>
          <w:sz w:val="24"/>
          <w:highlight w:val="none"/>
        </w:rPr>
        <w:t>社保证明</w:t>
      </w:r>
      <w:r>
        <w:rPr>
          <w:rFonts w:hint="eastAsia" w:ascii="宋体"/>
          <w:color w:val="auto"/>
          <w:sz w:val="24"/>
          <w:highlight w:val="none"/>
        </w:rPr>
        <w:t>扫描件</w:t>
      </w:r>
      <w:r>
        <w:rPr>
          <w:rFonts w:hint="eastAsia" w:ascii="宋体"/>
          <w:color w:val="auto"/>
          <w:sz w:val="24"/>
          <w:highlight w:val="none"/>
          <w:lang w:eastAsia="zh-CN"/>
        </w:rPr>
        <w:t>，</w:t>
      </w:r>
      <w:r>
        <w:rPr>
          <w:rFonts w:hint="eastAsia" w:ascii="宋体" w:hAnsi="宋体" w:eastAsia="宋体" w:cs="宋体"/>
          <w:color w:val="000000"/>
          <w:sz w:val="24"/>
          <w:highlight w:val="none"/>
        </w:rPr>
        <w:t>按评标办法要求提供</w:t>
      </w:r>
      <w:r>
        <w:rPr>
          <w:rFonts w:hint="eastAsia" w:ascii="宋体" w:hAnsi="宋体" w:eastAsia="宋体" w:cs="宋体"/>
          <w:color w:val="000000"/>
          <w:sz w:val="24"/>
          <w:highlight w:val="none"/>
          <w:lang w:eastAsia="zh-CN"/>
        </w:rPr>
        <w:t>。</w:t>
      </w:r>
    </w:p>
    <w:p w14:paraId="5E124E98">
      <w:pPr>
        <w:snapToGrid w:val="0"/>
        <w:spacing w:before="50" w:afterLines="50" w:line="360" w:lineRule="auto"/>
        <w:jc w:val="left"/>
        <w:rPr>
          <w:rFonts w:ascii="宋体"/>
          <w:color w:val="auto"/>
          <w:sz w:val="24"/>
          <w:szCs w:val="20"/>
          <w:highlight w:val="none"/>
        </w:rPr>
      </w:pPr>
    </w:p>
    <w:p w14:paraId="428CE2E9">
      <w:pPr>
        <w:spacing w:line="360" w:lineRule="auto"/>
        <w:ind w:left="420"/>
        <w:rPr>
          <w:rFonts w:ascii="宋体"/>
          <w:color w:val="auto"/>
          <w:sz w:val="24"/>
          <w:highlight w:val="none"/>
          <w:u w:val="single"/>
        </w:rPr>
      </w:pPr>
      <w:r>
        <w:rPr>
          <w:rFonts w:hint="eastAsia" w:ascii="宋体"/>
          <w:color w:val="auto"/>
          <w:sz w:val="24"/>
          <w:highlight w:val="none"/>
        </w:rPr>
        <w:t>投标人名称（签电子公章）：</w:t>
      </w:r>
    </w:p>
    <w:p w14:paraId="58122DB2">
      <w:pPr>
        <w:spacing w:line="360" w:lineRule="auto"/>
        <w:ind w:firstLine="435"/>
        <w:rPr>
          <w:rFonts w:ascii="宋体"/>
          <w:color w:val="auto"/>
          <w:sz w:val="24"/>
          <w:highlight w:val="none"/>
        </w:rPr>
      </w:pPr>
      <w:r>
        <w:rPr>
          <w:rFonts w:hint="eastAsia" w:ascii="宋体"/>
          <w:color w:val="auto"/>
          <w:sz w:val="24"/>
          <w:highlight w:val="none"/>
        </w:rPr>
        <w:t>法定代表人或授权委托人(签章或签字)：</w:t>
      </w:r>
    </w:p>
    <w:p w14:paraId="6F6AB7EB">
      <w:pPr>
        <w:spacing w:line="360" w:lineRule="auto"/>
        <w:ind w:firstLine="435"/>
        <w:rPr>
          <w:rFonts w:ascii="宋体"/>
          <w:b/>
          <w:color w:val="auto"/>
          <w:sz w:val="28"/>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color w:val="auto"/>
          <w:sz w:val="24"/>
          <w:highlight w:val="none"/>
        </w:rPr>
        <w:t>日        期：</w:t>
      </w:r>
      <w:r>
        <w:rPr>
          <w:rFonts w:ascii="宋体"/>
          <w:b/>
          <w:color w:val="auto"/>
          <w:sz w:val="28"/>
          <w:highlight w:val="none"/>
        </w:rPr>
        <w:br w:type="page"/>
      </w:r>
    </w:p>
    <w:p w14:paraId="59FA0232">
      <w:pPr>
        <w:spacing w:line="360" w:lineRule="auto"/>
        <w:rPr>
          <w:rFonts w:ascii="宋体"/>
          <w:b/>
          <w:color w:val="auto"/>
          <w:sz w:val="28"/>
          <w:highlight w:val="none"/>
        </w:rPr>
      </w:pPr>
      <w:r>
        <w:rPr>
          <w:rFonts w:hint="eastAsia" w:ascii="宋体"/>
          <w:b/>
          <w:color w:val="auto"/>
          <w:sz w:val="28"/>
          <w:highlight w:val="none"/>
        </w:rPr>
        <w:t>附件1</w:t>
      </w:r>
      <w:r>
        <w:rPr>
          <w:rFonts w:hint="eastAsia" w:ascii="宋体"/>
          <w:b/>
          <w:color w:val="auto"/>
          <w:sz w:val="28"/>
          <w:highlight w:val="none"/>
          <w:lang w:val="en-US" w:eastAsia="zh-CN"/>
        </w:rPr>
        <w:t>1</w:t>
      </w:r>
      <w:r>
        <w:rPr>
          <w:rFonts w:hint="eastAsia" w:ascii="宋体"/>
          <w:b/>
          <w:color w:val="auto"/>
          <w:sz w:val="28"/>
          <w:highlight w:val="none"/>
        </w:rPr>
        <w:t>：</w:t>
      </w:r>
    </w:p>
    <w:p w14:paraId="282A52BA">
      <w:pPr>
        <w:pStyle w:val="74"/>
        <w:spacing w:line="360" w:lineRule="auto"/>
        <w:jc w:val="center"/>
        <w:rPr>
          <w:rFonts w:ascii="宋体"/>
          <w:b/>
          <w:color w:val="auto"/>
          <w:sz w:val="32"/>
          <w:szCs w:val="32"/>
          <w:highlight w:val="none"/>
        </w:rPr>
      </w:pPr>
      <w:r>
        <w:rPr>
          <w:rFonts w:hint="eastAsia" w:ascii="宋体"/>
          <w:b/>
          <w:color w:val="auto"/>
          <w:sz w:val="32"/>
          <w:szCs w:val="32"/>
          <w:highlight w:val="none"/>
        </w:rPr>
        <w:t>投标人类似项目实施情况一览表</w:t>
      </w:r>
    </w:p>
    <w:p w14:paraId="37143BE2">
      <w:pPr>
        <w:pStyle w:val="74"/>
        <w:spacing w:line="360" w:lineRule="auto"/>
        <w:jc w:val="center"/>
        <w:rPr>
          <w:rFonts w:ascii="仿宋_GB2312" w:eastAsia="仿宋_GB2312"/>
          <w:b/>
          <w:color w:val="auto"/>
          <w:sz w:val="28"/>
          <w:szCs w:val="28"/>
          <w:highlight w:val="none"/>
        </w:rPr>
      </w:pPr>
    </w:p>
    <w:tbl>
      <w:tblPr>
        <w:tblStyle w:val="3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348E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F0A3D76">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25ACB93F">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5BEF077">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2F97855E">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25BF80E">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FBF797D">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01BC7AA">
            <w:pPr>
              <w:pStyle w:val="74"/>
              <w:spacing w:line="360" w:lineRule="auto"/>
              <w:jc w:val="center"/>
              <w:rPr>
                <w:rFonts w:ascii="宋体" w:cs="Arial"/>
                <w:b/>
                <w:bCs/>
                <w:color w:val="auto"/>
                <w:sz w:val="24"/>
                <w:highlight w:val="none"/>
              </w:rPr>
            </w:pPr>
            <w:r>
              <w:rPr>
                <w:rFonts w:hint="eastAsia" w:ascii="宋体" w:cs="Arial"/>
                <w:b/>
                <w:bCs/>
                <w:color w:val="auto"/>
                <w:sz w:val="24"/>
                <w:highlight w:val="none"/>
              </w:rPr>
              <w:t>项目单位名称及其联系人电话</w:t>
            </w:r>
          </w:p>
        </w:tc>
      </w:tr>
      <w:tr w14:paraId="64F00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6DCC0C86">
            <w:pPr>
              <w:pStyle w:val="74"/>
              <w:spacing w:line="360" w:lineRule="auto"/>
              <w:jc w:val="center"/>
              <w:rPr>
                <w:rFonts w:ascii="宋体" w:cs="Arial"/>
                <w:color w:val="auto"/>
                <w:sz w:val="24"/>
                <w:highlight w:val="none"/>
              </w:rPr>
            </w:pPr>
            <w:r>
              <w:rPr>
                <w:rFonts w:hint="eastAsia" w:asci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11E8E9D1">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31193F7">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46E592F">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A6F35EC">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B1A3D13">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F2A0F6">
            <w:pPr>
              <w:pStyle w:val="74"/>
              <w:spacing w:line="360" w:lineRule="auto"/>
              <w:rPr>
                <w:rFonts w:ascii="宋体" w:cs="Arial"/>
                <w:color w:val="auto"/>
                <w:sz w:val="24"/>
                <w:highlight w:val="none"/>
              </w:rPr>
            </w:pPr>
          </w:p>
        </w:tc>
      </w:tr>
      <w:tr w14:paraId="347C3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24F8D30D">
            <w:pPr>
              <w:pStyle w:val="74"/>
              <w:spacing w:line="360" w:lineRule="auto"/>
              <w:jc w:val="center"/>
              <w:rPr>
                <w:rFonts w:ascii="宋体" w:cs="Arial"/>
                <w:color w:val="auto"/>
                <w:sz w:val="24"/>
                <w:highlight w:val="none"/>
              </w:rPr>
            </w:pPr>
            <w:r>
              <w:rPr>
                <w:rFonts w:hint="eastAsia" w:asci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413A6AC">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3DEC439">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F837487">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3F7C5C3">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3FF5D67">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4F3AB5D">
            <w:pPr>
              <w:pStyle w:val="74"/>
              <w:spacing w:line="360" w:lineRule="auto"/>
              <w:rPr>
                <w:rFonts w:ascii="宋体" w:cs="Arial"/>
                <w:color w:val="auto"/>
                <w:sz w:val="24"/>
                <w:highlight w:val="none"/>
              </w:rPr>
            </w:pPr>
          </w:p>
        </w:tc>
      </w:tr>
      <w:tr w14:paraId="0501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40" w:type="dxa"/>
            <w:tcBorders>
              <w:top w:val="single" w:color="auto" w:sz="6" w:space="0"/>
              <w:left w:val="single" w:color="auto" w:sz="6" w:space="0"/>
              <w:bottom w:val="single" w:color="auto" w:sz="6" w:space="0"/>
              <w:right w:val="single" w:color="auto" w:sz="6" w:space="0"/>
            </w:tcBorders>
          </w:tcPr>
          <w:p w14:paraId="2ACC59AC">
            <w:pPr>
              <w:pStyle w:val="74"/>
              <w:spacing w:line="360" w:lineRule="auto"/>
              <w:jc w:val="center"/>
              <w:rPr>
                <w:rFonts w:ascii="宋体" w:cs="Arial"/>
                <w:color w:val="auto"/>
                <w:sz w:val="24"/>
                <w:highlight w:val="none"/>
              </w:rPr>
            </w:pPr>
            <w:r>
              <w:rPr>
                <w:rFonts w:hint="eastAsia" w:asci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91124F1">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2C10A12">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C7AB809">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846D670">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8B95763">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FF8DF4F">
            <w:pPr>
              <w:pStyle w:val="74"/>
              <w:spacing w:line="360" w:lineRule="auto"/>
              <w:rPr>
                <w:rFonts w:ascii="宋体" w:cs="Arial"/>
                <w:color w:val="auto"/>
                <w:sz w:val="24"/>
                <w:highlight w:val="none"/>
              </w:rPr>
            </w:pPr>
          </w:p>
        </w:tc>
      </w:tr>
      <w:tr w14:paraId="3ADFA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E68F271">
            <w:pPr>
              <w:pStyle w:val="74"/>
              <w:spacing w:line="360" w:lineRule="auto"/>
              <w:rPr>
                <w:rFonts w:ascii="宋体" w:cs="Arial"/>
                <w:color w:val="auto"/>
                <w:sz w:val="24"/>
                <w:highlight w:val="none"/>
              </w:rPr>
            </w:pPr>
            <w:r>
              <w:rPr>
                <w:rFonts w:hint="eastAsia" w:asci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79F1D5A4">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8664400">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DBB1D6E">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78CFA33">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B67B693">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30A6F8F">
            <w:pPr>
              <w:pStyle w:val="74"/>
              <w:spacing w:line="360" w:lineRule="auto"/>
              <w:rPr>
                <w:rFonts w:ascii="宋体" w:cs="Arial"/>
                <w:color w:val="auto"/>
                <w:sz w:val="24"/>
                <w:highlight w:val="none"/>
              </w:rPr>
            </w:pPr>
          </w:p>
        </w:tc>
      </w:tr>
      <w:tr w14:paraId="7020C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8569CB6">
            <w:pPr>
              <w:pStyle w:val="74"/>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9B6CC37">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97D376C">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3A7CBEF">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26861CE">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4F9D42B">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11C6E0E">
            <w:pPr>
              <w:pStyle w:val="74"/>
              <w:spacing w:line="360" w:lineRule="auto"/>
              <w:rPr>
                <w:rFonts w:ascii="宋体" w:cs="Arial"/>
                <w:color w:val="auto"/>
                <w:sz w:val="24"/>
                <w:highlight w:val="none"/>
              </w:rPr>
            </w:pPr>
          </w:p>
        </w:tc>
      </w:tr>
      <w:tr w14:paraId="48245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2823600">
            <w:pPr>
              <w:pStyle w:val="74"/>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8B7B538">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67E48D6">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30DA6E">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BA3712E">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E0962D9">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697ED33">
            <w:pPr>
              <w:pStyle w:val="74"/>
              <w:spacing w:line="360" w:lineRule="auto"/>
              <w:rPr>
                <w:rFonts w:ascii="宋体" w:cs="Arial"/>
                <w:color w:val="auto"/>
                <w:sz w:val="24"/>
                <w:highlight w:val="none"/>
              </w:rPr>
            </w:pPr>
          </w:p>
        </w:tc>
      </w:tr>
      <w:tr w14:paraId="67D0E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6CDCDB9">
            <w:pPr>
              <w:pStyle w:val="74"/>
              <w:spacing w:line="360" w:lineRule="auto"/>
              <w:rPr>
                <w:rFonts w:asci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B36E755">
            <w:pPr>
              <w:pStyle w:val="74"/>
              <w:spacing w:line="360" w:lineRule="auto"/>
              <w:rPr>
                <w:rFonts w:asci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1C87BDA">
            <w:pPr>
              <w:pStyle w:val="74"/>
              <w:spacing w:line="360" w:lineRule="auto"/>
              <w:rPr>
                <w:rFonts w:asci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54D1ECA">
            <w:pPr>
              <w:pStyle w:val="74"/>
              <w:spacing w:line="360" w:lineRule="auto"/>
              <w:rPr>
                <w:rFonts w:asci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29443CC">
            <w:pPr>
              <w:pStyle w:val="74"/>
              <w:spacing w:line="360" w:lineRule="auto"/>
              <w:rPr>
                <w:rFonts w:asci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4380F7E">
            <w:pPr>
              <w:pStyle w:val="74"/>
              <w:spacing w:line="360" w:lineRule="auto"/>
              <w:rPr>
                <w:rFonts w:asci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94F6255">
            <w:pPr>
              <w:pStyle w:val="74"/>
              <w:spacing w:line="360" w:lineRule="auto"/>
              <w:rPr>
                <w:rFonts w:ascii="宋体" w:cs="Arial"/>
                <w:color w:val="auto"/>
                <w:sz w:val="24"/>
                <w:highlight w:val="none"/>
              </w:rPr>
            </w:pPr>
          </w:p>
        </w:tc>
      </w:tr>
    </w:tbl>
    <w:p w14:paraId="7CDF8607">
      <w:pPr>
        <w:autoSpaceDE w:val="0"/>
        <w:autoSpaceDN w:val="0"/>
        <w:adjustRightInd w:val="0"/>
        <w:spacing w:beforeLines="50" w:line="360" w:lineRule="auto"/>
        <w:rPr>
          <w:rFonts w:ascii="宋体" w:cs="Arial"/>
          <w:b/>
          <w:color w:val="auto"/>
          <w:szCs w:val="21"/>
          <w:highlight w:val="none"/>
        </w:rPr>
      </w:pPr>
      <w:r>
        <w:rPr>
          <w:rFonts w:hint="eastAsia" w:ascii="宋体" w:cs="Arial"/>
          <w:b/>
          <w:color w:val="auto"/>
          <w:szCs w:val="21"/>
          <w:highlight w:val="none"/>
        </w:rPr>
        <w:t>要求</w:t>
      </w:r>
      <w:r>
        <w:rPr>
          <w:rFonts w:ascii="宋体" w:cs="Arial"/>
          <w:b/>
          <w:color w:val="auto"/>
          <w:szCs w:val="21"/>
          <w:highlight w:val="none"/>
        </w:rPr>
        <w:t>：</w:t>
      </w:r>
    </w:p>
    <w:p w14:paraId="273B979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提供合同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，其中合同扫描件可只提供首页、含金额页、内容页、盖章页并加盖投标人公章）；</w:t>
      </w:r>
    </w:p>
    <w:p w14:paraId="1D087C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2.报价供应商可按此表格式复制。</w:t>
      </w:r>
    </w:p>
    <w:p w14:paraId="1EC0E102">
      <w:pPr>
        <w:spacing w:line="360" w:lineRule="auto"/>
        <w:rPr>
          <w:rFonts w:ascii="宋体"/>
          <w:color w:val="auto"/>
          <w:sz w:val="22"/>
          <w:szCs w:val="22"/>
          <w:highlight w:val="none"/>
        </w:rPr>
      </w:pPr>
    </w:p>
    <w:p w14:paraId="5C2CFD44">
      <w:pPr>
        <w:spacing w:line="360" w:lineRule="auto"/>
        <w:ind w:left="420"/>
        <w:rPr>
          <w:rFonts w:ascii="宋体"/>
          <w:color w:val="auto"/>
          <w:sz w:val="24"/>
          <w:highlight w:val="none"/>
          <w:u w:val="single"/>
        </w:rPr>
      </w:pPr>
      <w:r>
        <w:rPr>
          <w:rFonts w:hint="eastAsia" w:ascii="宋体"/>
          <w:color w:val="auto"/>
          <w:sz w:val="24"/>
          <w:highlight w:val="none"/>
        </w:rPr>
        <w:t>投标人名称（签电子公章）：</w:t>
      </w:r>
    </w:p>
    <w:p w14:paraId="0E31FC85">
      <w:pPr>
        <w:spacing w:line="360" w:lineRule="auto"/>
        <w:ind w:firstLine="435"/>
        <w:rPr>
          <w:rFonts w:ascii="宋体"/>
          <w:color w:val="auto"/>
          <w:sz w:val="24"/>
          <w:highlight w:val="none"/>
        </w:rPr>
      </w:pPr>
      <w:r>
        <w:rPr>
          <w:rFonts w:hint="eastAsia" w:ascii="宋体"/>
          <w:color w:val="auto"/>
          <w:sz w:val="24"/>
          <w:highlight w:val="none"/>
        </w:rPr>
        <w:t xml:space="preserve">法定代表人或授权委托人(签章或签字)： </w:t>
      </w:r>
    </w:p>
    <w:p w14:paraId="658021F4">
      <w:pPr>
        <w:spacing w:line="360" w:lineRule="auto"/>
        <w:ind w:firstLine="435"/>
        <w:rPr>
          <w:rFonts w:ascii="宋体"/>
          <w:color w:val="auto"/>
          <w:sz w:val="24"/>
          <w:highlight w:val="none"/>
        </w:rPr>
      </w:pPr>
      <w:r>
        <w:rPr>
          <w:rFonts w:hint="eastAsia" w:ascii="宋体"/>
          <w:color w:val="auto"/>
          <w:sz w:val="24"/>
          <w:highlight w:val="none"/>
        </w:rPr>
        <w:t>日        期：</w:t>
      </w:r>
    </w:p>
    <w:p w14:paraId="4BE6A463">
      <w:pPr>
        <w:pStyle w:val="2"/>
        <w:rPr>
          <w:rFonts w:ascii="宋体"/>
          <w:color w:val="auto"/>
          <w:sz w:val="24"/>
          <w:highlight w:val="none"/>
        </w:rPr>
      </w:pPr>
    </w:p>
    <w:p w14:paraId="411E2973">
      <w:pPr>
        <w:rPr>
          <w:rFonts w:ascii="宋体"/>
          <w:color w:val="auto"/>
          <w:sz w:val="24"/>
          <w:highlight w:val="none"/>
        </w:rPr>
      </w:pPr>
    </w:p>
    <w:p w14:paraId="2F45F1E1">
      <w:pPr>
        <w:pStyle w:val="2"/>
        <w:rPr>
          <w:rFonts w:ascii="宋体"/>
          <w:color w:val="auto"/>
          <w:sz w:val="24"/>
          <w:highlight w:val="none"/>
        </w:rPr>
      </w:pPr>
    </w:p>
    <w:p w14:paraId="036EAD34">
      <w:pPr>
        <w:pStyle w:val="2"/>
        <w:rPr>
          <w:color w:val="auto"/>
          <w:highlight w:val="none"/>
        </w:rPr>
      </w:pPr>
    </w:p>
    <w:p w14:paraId="072914BC">
      <w:pPr>
        <w:rPr>
          <w:color w:val="auto"/>
          <w:highlight w:val="none"/>
        </w:rPr>
      </w:pPr>
    </w:p>
    <w:p w14:paraId="6716CC44">
      <w:pPr>
        <w:snapToGrid w:val="0"/>
        <w:spacing w:beforeLines="50" w:after="50" w:line="360" w:lineRule="auto"/>
        <w:rPr>
          <w:rFonts w:ascii="宋体" w:hAnsi="宋体"/>
          <w:b/>
          <w:color w:val="auto"/>
          <w:sz w:val="28"/>
          <w:highlight w:val="none"/>
        </w:rPr>
      </w:pPr>
      <w:r>
        <w:rPr>
          <w:rFonts w:hint="eastAsia" w:ascii="宋体" w:hAnsi="宋体"/>
          <w:b/>
          <w:color w:val="auto"/>
          <w:sz w:val="28"/>
          <w:highlight w:val="none"/>
        </w:rPr>
        <w:t>附件1</w:t>
      </w:r>
      <w:r>
        <w:rPr>
          <w:rFonts w:hint="eastAsia" w:ascii="宋体" w:hAnsi="宋体"/>
          <w:b/>
          <w:color w:val="auto"/>
          <w:sz w:val="28"/>
          <w:highlight w:val="none"/>
          <w:lang w:val="en-US" w:eastAsia="zh-CN"/>
        </w:rPr>
        <w:t>2</w:t>
      </w:r>
      <w:r>
        <w:rPr>
          <w:rFonts w:hint="eastAsia" w:ascii="宋体" w:hAnsi="宋体"/>
          <w:b/>
          <w:color w:val="auto"/>
          <w:sz w:val="28"/>
          <w:highlight w:val="none"/>
        </w:rPr>
        <w:t>：</w:t>
      </w:r>
    </w:p>
    <w:p w14:paraId="31DA111B">
      <w:pPr>
        <w:pStyle w:val="7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791BAB42">
      <w:pPr>
        <w:pStyle w:val="21"/>
        <w:adjustRightInd w:val="0"/>
        <w:snapToGrid w:val="0"/>
        <w:spacing w:line="360" w:lineRule="auto"/>
        <w:jc w:val="left"/>
        <w:rPr>
          <w:rFonts w:hAnsi="宋体" w:cs="Tahoma"/>
          <w:b/>
          <w:color w:val="auto"/>
          <w:sz w:val="24"/>
          <w:highlight w:val="none"/>
        </w:rPr>
      </w:pPr>
      <w:r>
        <w:rPr>
          <w:rFonts w:hint="eastAsia" w:hAnsi="宋体"/>
          <w:b/>
          <w:bCs/>
          <w:color w:val="auto"/>
          <w:sz w:val="24"/>
          <w:highlight w:val="none"/>
        </w:rPr>
        <w:t>项目名称及编号：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955"/>
        <w:gridCol w:w="1950"/>
        <w:gridCol w:w="1763"/>
        <w:gridCol w:w="897"/>
      </w:tblGrid>
      <w:tr w14:paraId="002F9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345F6153">
            <w:pPr>
              <w:pStyle w:val="75"/>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证书名称</w:t>
            </w:r>
          </w:p>
        </w:tc>
        <w:tc>
          <w:tcPr>
            <w:tcW w:w="1955" w:type="dxa"/>
            <w:tcBorders>
              <w:top w:val="single" w:color="auto" w:sz="4" w:space="0"/>
              <w:bottom w:val="single" w:color="auto" w:sz="4" w:space="0"/>
            </w:tcBorders>
          </w:tcPr>
          <w:p w14:paraId="71713C40">
            <w:pPr>
              <w:pStyle w:val="75"/>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发证单位</w:t>
            </w:r>
          </w:p>
        </w:tc>
        <w:tc>
          <w:tcPr>
            <w:tcW w:w="1950" w:type="dxa"/>
            <w:tcBorders>
              <w:top w:val="single" w:color="auto" w:sz="4" w:space="0"/>
              <w:bottom w:val="single" w:color="auto" w:sz="4" w:space="0"/>
            </w:tcBorders>
          </w:tcPr>
          <w:p w14:paraId="54A60181">
            <w:pPr>
              <w:pStyle w:val="75"/>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证书等级</w:t>
            </w:r>
          </w:p>
        </w:tc>
        <w:tc>
          <w:tcPr>
            <w:tcW w:w="1763" w:type="dxa"/>
            <w:tcBorders>
              <w:top w:val="single" w:color="auto" w:sz="4" w:space="0"/>
              <w:bottom w:val="single" w:color="auto" w:sz="4" w:space="0"/>
              <w:right w:val="single" w:color="auto" w:sz="4" w:space="0"/>
            </w:tcBorders>
          </w:tcPr>
          <w:p w14:paraId="40862928">
            <w:pPr>
              <w:pStyle w:val="75"/>
              <w:spacing w:line="360" w:lineRule="auto"/>
              <w:jc w:val="center"/>
              <w:rPr>
                <w:rFonts w:ascii="宋体" w:hAnsi="宋体" w:cs="Tahoma"/>
                <w:b/>
                <w:bCs/>
                <w:color w:val="auto"/>
                <w:sz w:val="24"/>
                <w:highlight w:val="none"/>
              </w:rPr>
            </w:pPr>
            <w:r>
              <w:rPr>
                <w:rFonts w:hint="eastAsia" w:ascii="宋体" w:hAnsi="宋体" w:cs="Tahoma"/>
                <w:b/>
                <w:bCs/>
                <w:color w:val="auto"/>
                <w:sz w:val="24"/>
                <w:highlight w:val="none"/>
              </w:rPr>
              <w:t>证书有效期</w:t>
            </w:r>
          </w:p>
        </w:tc>
        <w:tc>
          <w:tcPr>
            <w:tcW w:w="897" w:type="dxa"/>
            <w:tcBorders>
              <w:top w:val="single" w:color="auto" w:sz="4" w:space="0"/>
              <w:bottom w:val="single" w:color="auto" w:sz="4" w:space="0"/>
              <w:right w:val="single" w:color="auto" w:sz="4" w:space="0"/>
            </w:tcBorders>
          </w:tcPr>
          <w:p w14:paraId="1D34AC00">
            <w:pPr>
              <w:pStyle w:val="75"/>
              <w:spacing w:line="360" w:lineRule="auto"/>
              <w:jc w:val="center"/>
              <w:rPr>
                <w:rFonts w:hint="eastAsia" w:ascii="宋体" w:hAnsi="宋体" w:eastAsia="宋体" w:cs="Tahoma"/>
                <w:b/>
                <w:bCs/>
                <w:color w:val="auto"/>
                <w:sz w:val="24"/>
                <w:highlight w:val="none"/>
                <w:lang w:val="en-US" w:eastAsia="zh-CN"/>
              </w:rPr>
            </w:pPr>
            <w:r>
              <w:rPr>
                <w:rFonts w:hint="eastAsia" w:ascii="宋体" w:hAnsi="宋体" w:cs="Tahoma"/>
                <w:b/>
                <w:bCs/>
                <w:color w:val="auto"/>
                <w:sz w:val="24"/>
                <w:highlight w:val="none"/>
                <w:lang w:val="en-US" w:eastAsia="zh-CN"/>
              </w:rPr>
              <w:t>备注</w:t>
            </w:r>
          </w:p>
        </w:tc>
      </w:tr>
      <w:tr w14:paraId="05E7A1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339FEC27">
            <w:pPr>
              <w:pStyle w:val="75"/>
              <w:spacing w:line="360" w:lineRule="auto"/>
              <w:jc w:val="center"/>
              <w:rPr>
                <w:rFonts w:ascii="宋体" w:hAnsi="宋体" w:cs="Tahoma"/>
                <w:color w:val="auto"/>
                <w:szCs w:val="21"/>
                <w:highlight w:val="none"/>
              </w:rPr>
            </w:pPr>
          </w:p>
        </w:tc>
        <w:tc>
          <w:tcPr>
            <w:tcW w:w="1955" w:type="dxa"/>
            <w:tcBorders>
              <w:top w:val="single" w:color="auto" w:sz="4" w:space="0"/>
            </w:tcBorders>
          </w:tcPr>
          <w:p w14:paraId="73A0D3CA">
            <w:pPr>
              <w:pStyle w:val="75"/>
              <w:spacing w:line="360" w:lineRule="auto"/>
              <w:jc w:val="center"/>
              <w:rPr>
                <w:rFonts w:ascii="宋体" w:hAnsi="宋体" w:cs="Tahoma"/>
                <w:color w:val="auto"/>
                <w:szCs w:val="21"/>
                <w:highlight w:val="none"/>
              </w:rPr>
            </w:pPr>
          </w:p>
        </w:tc>
        <w:tc>
          <w:tcPr>
            <w:tcW w:w="1950" w:type="dxa"/>
            <w:tcBorders>
              <w:top w:val="single" w:color="auto" w:sz="4" w:space="0"/>
            </w:tcBorders>
          </w:tcPr>
          <w:p w14:paraId="1B3E5ED2">
            <w:pPr>
              <w:pStyle w:val="75"/>
              <w:spacing w:line="360" w:lineRule="auto"/>
              <w:jc w:val="center"/>
              <w:rPr>
                <w:rFonts w:ascii="宋体" w:hAnsi="宋体" w:cs="Tahoma"/>
                <w:color w:val="auto"/>
                <w:szCs w:val="21"/>
                <w:highlight w:val="none"/>
              </w:rPr>
            </w:pPr>
          </w:p>
        </w:tc>
        <w:tc>
          <w:tcPr>
            <w:tcW w:w="1763" w:type="dxa"/>
            <w:tcBorders>
              <w:top w:val="single" w:color="auto" w:sz="4" w:space="0"/>
              <w:right w:val="single" w:color="auto" w:sz="4" w:space="0"/>
            </w:tcBorders>
          </w:tcPr>
          <w:p w14:paraId="3948AAC6">
            <w:pPr>
              <w:pStyle w:val="75"/>
              <w:spacing w:line="360" w:lineRule="auto"/>
              <w:jc w:val="center"/>
              <w:rPr>
                <w:rFonts w:ascii="宋体" w:hAnsi="宋体" w:cs="Tahoma"/>
                <w:color w:val="auto"/>
                <w:szCs w:val="21"/>
                <w:highlight w:val="none"/>
              </w:rPr>
            </w:pPr>
          </w:p>
        </w:tc>
        <w:tc>
          <w:tcPr>
            <w:tcW w:w="897" w:type="dxa"/>
            <w:tcBorders>
              <w:top w:val="single" w:color="auto" w:sz="4" w:space="0"/>
              <w:right w:val="single" w:color="auto" w:sz="4" w:space="0"/>
            </w:tcBorders>
          </w:tcPr>
          <w:p w14:paraId="1E8F5C60">
            <w:pPr>
              <w:pStyle w:val="75"/>
              <w:spacing w:line="360" w:lineRule="auto"/>
              <w:jc w:val="center"/>
              <w:rPr>
                <w:rFonts w:ascii="宋体" w:hAnsi="宋体" w:cs="Tahoma"/>
                <w:color w:val="auto"/>
                <w:szCs w:val="21"/>
                <w:highlight w:val="none"/>
              </w:rPr>
            </w:pPr>
          </w:p>
        </w:tc>
      </w:tr>
      <w:tr w14:paraId="6BB7A3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30F4F94">
            <w:pPr>
              <w:pStyle w:val="75"/>
              <w:spacing w:line="360" w:lineRule="auto"/>
              <w:jc w:val="center"/>
              <w:rPr>
                <w:rFonts w:ascii="宋体" w:hAnsi="宋体" w:cs="Tahoma"/>
                <w:color w:val="auto"/>
                <w:szCs w:val="21"/>
                <w:highlight w:val="none"/>
              </w:rPr>
            </w:pPr>
          </w:p>
        </w:tc>
        <w:tc>
          <w:tcPr>
            <w:tcW w:w="1955" w:type="dxa"/>
          </w:tcPr>
          <w:p w14:paraId="0B2E3B24">
            <w:pPr>
              <w:pStyle w:val="75"/>
              <w:spacing w:line="360" w:lineRule="auto"/>
              <w:jc w:val="center"/>
              <w:rPr>
                <w:rFonts w:ascii="宋体" w:hAnsi="宋体" w:cs="Tahoma"/>
                <w:color w:val="auto"/>
                <w:szCs w:val="21"/>
                <w:highlight w:val="none"/>
              </w:rPr>
            </w:pPr>
          </w:p>
        </w:tc>
        <w:tc>
          <w:tcPr>
            <w:tcW w:w="1950" w:type="dxa"/>
          </w:tcPr>
          <w:p w14:paraId="0DD7102D">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14:paraId="7F4B9887">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14:paraId="3B9CD15A">
            <w:pPr>
              <w:pStyle w:val="75"/>
              <w:spacing w:line="360" w:lineRule="auto"/>
              <w:jc w:val="center"/>
              <w:rPr>
                <w:rFonts w:ascii="宋体" w:hAnsi="宋体" w:cs="Tahoma"/>
                <w:color w:val="auto"/>
                <w:szCs w:val="21"/>
                <w:highlight w:val="none"/>
              </w:rPr>
            </w:pPr>
          </w:p>
        </w:tc>
      </w:tr>
      <w:tr w14:paraId="1FB979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0416F31">
            <w:pPr>
              <w:pStyle w:val="75"/>
              <w:spacing w:line="360" w:lineRule="auto"/>
              <w:jc w:val="center"/>
              <w:rPr>
                <w:rFonts w:ascii="宋体" w:hAnsi="宋体" w:cs="Tahoma"/>
                <w:color w:val="auto"/>
                <w:szCs w:val="21"/>
                <w:highlight w:val="none"/>
              </w:rPr>
            </w:pPr>
          </w:p>
        </w:tc>
        <w:tc>
          <w:tcPr>
            <w:tcW w:w="1955" w:type="dxa"/>
          </w:tcPr>
          <w:p w14:paraId="0611E59A">
            <w:pPr>
              <w:pStyle w:val="75"/>
              <w:spacing w:line="360" w:lineRule="auto"/>
              <w:jc w:val="center"/>
              <w:rPr>
                <w:rFonts w:ascii="宋体" w:hAnsi="宋体" w:cs="Tahoma"/>
                <w:color w:val="auto"/>
                <w:szCs w:val="21"/>
                <w:highlight w:val="none"/>
              </w:rPr>
            </w:pPr>
          </w:p>
        </w:tc>
        <w:tc>
          <w:tcPr>
            <w:tcW w:w="1950" w:type="dxa"/>
          </w:tcPr>
          <w:p w14:paraId="5529FBBF">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14:paraId="23BE64FE">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14:paraId="0532BBC0">
            <w:pPr>
              <w:pStyle w:val="75"/>
              <w:spacing w:line="360" w:lineRule="auto"/>
              <w:jc w:val="center"/>
              <w:rPr>
                <w:rFonts w:ascii="宋体" w:hAnsi="宋体" w:cs="Tahoma"/>
                <w:color w:val="auto"/>
                <w:szCs w:val="21"/>
                <w:highlight w:val="none"/>
              </w:rPr>
            </w:pPr>
          </w:p>
        </w:tc>
      </w:tr>
      <w:tr w14:paraId="6C0E54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01BA8B3">
            <w:pPr>
              <w:pStyle w:val="75"/>
              <w:spacing w:line="360" w:lineRule="auto"/>
              <w:jc w:val="center"/>
              <w:rPr>
                <w:rFonts w:ascii="宋体" w:hAnsi="宋体" w:cs="Tahoma"/>
                <w:color w:val="auto"/>
                <w:szCs w:val="21"/>
                <w:highlight w:val="none"/>
              </w:rPr>
            </w:pPr>
          </w:p>
        </w:tc>
        <w:tc>
          <w:tcPr>
            <w:tcW w:w="1955" w:type="dxa"/>
          </w:tcPr>
          <w:p w14:paraId="51C4839C">
            <w:pPr>
              <w:pStyle w:val="75"/>
              <w:spacing w:line="360" w:lineRule="auto"/>
              <w:jc w:val="center"/>
              <w:rPr>
                <w:rFonts w:ascii="宋体" w:hAnsi="宋体" w:cs="Tahoma"/>
                <w:color w:val="auto"/>
                <w:szCs w:val="21"/>
                <w:highlight w:val="none"/>
              </w:rPr>
            </w:pPr>
          </w:p>
        </w:tc>
        <w:tc>
          <w:tcPr>
            <w:tcW w:w="1950" w:type="dxa"/>
          </w:tcPr>
          <w:p w14:paraId="2071A7AE">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14:paraId="23B9CDC4">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14:paraId="415FC52A">
            <w:pPr>
              <w:pStyle w:val="75"/>
              <w:spacing w:line="360" w:lineRule="auto"/>
              <w:jc w:val="center"/>
              <w:rPr>
                <w:rFonts w:ascii="宋体" w:hAnsi="宋体" w:cs="Tahoma"/>
                <w:color w:val="auto"/>
                <w:szCs w:val="21"/>
                <w:highlight w:val="none"/>
              </w:rPr>
            </w:pPr>
          </w:p>
        </w:tc>
      </w:tr>
      <w:tr w14:paraId="665467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FE30E39">
            <w:pPr>
              <w:pStyle w:val="75"/>
              <w:spacing w:line="360" w:lineRule="auto"/>
              <w:jc w:val="center"/>
              <w:rPr>
                <w:rFonts w:ascii="宋体" w:hAnsi="宋体" w:cs="Tahoma"/>
                <w:color w:val="auto"/>
                <w:szCs w:val="21"/>
                <w:highlight w:val="none"/>
              </w:rPr>
            </w:pPr>
          </w:p>
        </w:tc>
        <w:tc>
          <w:tcPr>
            <w:tcW w:w="1955" w:type="dxa"/>
          </w:tcPr>
          <w:p w14:paraId="6EEC4091">
            <w:pPr>
              <w:pStyle w:val="75"/>
              <w:spacing w:line="360" w:lineRule="auto"/>
              <w:jc w:val="center"/>
              <w:rPr>
                <w:rFonts w:ascii="宋体" w:hAnsi="宋体" w:cs="Tahoma"/>
                <w:color w:val="auto"/>
                <w:szCs w:val="21"/>
                <w:highlight w:val="none"/>
              </w:rPr>
            </w:pPr>
          </w:p>
        </w:tc>
        <w:tc>
          <w:tcPr>
            <w:tcW w:w="1950" w:type="dxa"/>
          </w:tcPr>
          <w:p w14:paraId="692F9B89">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14:paraId="6DD410B2">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14:paraId="7A804D33">
            <w:pPr>
              <w:pStyle w:val="75"/>
              <w:spacing w:line="360" w:lineRule="auto"/>
              <w:jc w:val="center"/>
              <w:rPr>
                <w:rFonts w:ascii="宋体" w:hAnsi="宋体" w:cs="Tahoma"/>
                <w:color w:val="auto"/>
                <w:szCs w:val="21"/>
                <w:highlight w:val="none"/>
              </w:rPr>
            </w:pPr>
          </w:p>
        </w:tc>
      </w:tr>
      <w:tr w14:paraId="43B849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1015317">
            <w:pPr>
              <w:pStyle w:val="75"/>
              <w:spacing w:line="360" w:lineRule="auto"/>
              <w:jc w:val="center"/>
              <w:rPr>
                <w:rFonts w:ascii="宋体" w:hAnsi="宋体" w:cs="Tahoma"/>
                <w:color w:val="auto"/>
                <w:szCs w:val="21"/>
                <w:highlight w:val="none"/>
              </w:rPr>
            </w:pPr>
          </w:p>
        </w:tc>
        <w:tc>
          <w:tcPr>
            <w:tcW w:w="1955" w:type="dxa"/>
          </w:tcPr>
          <w:p w14:paraId="4AB54834">
            <w:pPr>
              <w:pStyle w:val="75"/>
              <w:spacing w:line="360" w:lineRule="auto"/>
              <w:jc w:val="center"/>
              <w:rPr>
                <w:rFonts w:ascii="宋体" w:hAnsi="宋体" w:cs="Tahoma"/>
                <w:color w:val="auto"/>
                <w:szCs w:val="21"/>
                <w:highlight w:val="none"/>
              </w:rPr>
            </w:pPr>
          </w:p>
        </w:tc>
        <w:tc>
          <w:tcPr>
            <w:tcW w:w="1950" w:type="dxa"/>
          </w:tcPr>
          <w:p w14:paraId="426DFCE4">
            <w:pPr>
              <w:pStyle w:val="75"/>
              <w:spacing w:line="360" w:lineRule="auto"/>
              <w:jc w:val="center"/>
              <w:rPr>
                <w:rFonts w:ascii="宋体" w:hAnsi="宋体" w:cs="Tahoma"/>
                <w:color w:val="auto"/>
                <w:szCs w:val="21"/>
                <w:highlight w:val="none"/>
              </w:rPr>
            </w:pPr>
          </w:p>
        </w:tc>
        <w:tc>
          <w:tcPr>
            <w:tcW w:w="1763" w:type="dxa"/>
            <w:tcBorders>
              <w:right w:val="single" w:color="auto" w:sz="4" w:space="0"/>
            </w:tcBorders>
          </w:tcPr>
          <w:p w14:paraId="60F00836">
            <w:pPr>
              <w:pStyle w:val="75"/>
              <w:spacing w:line="360" w:lineRule="auto"/>
              <w:jc w:val="center"/>
              <w:rPr>
                <w:rFonts w:ascii="宋体" w:hAnsi="宋体" w:cs="Tahoma"/>
                <w:color w:val="auto"/>
                <w:szCs w:val="21"/>
                <w:highlight w:val="none"/>
              </w:rPr>
            </w:pPr>
          </w:p>
        </w:tc>
        <w:tc>
          <w:tcPr>
            <w:tcW w:w="897" w:type="dxa"/>
            <w:tcBorders>
              <w:right w:val="single" w:color="auto" w:sz="4" w:space="0"/>
            </w:tcBorders>
          </w:tcPr>
          <w:p w14:paraId="755B5C8A">
            <w:pPr>
              <w:pStyle w:val="75"/>
              <w:spacing w:line="360" w:lineRule="auto"/>
              <w:jc w:val="center"/>
              <w:rPr>
                <w:rFonts w:ascii="宋体" w:hAnsi="宋体" w:cs="Tahoma"/>
                <w:color w:val="auto"/>
                <w:szCs w:val="21"/>
                <w:highlight w:val="none"/>
              </w:rPr>
            </w:pPr>
          </w:p>
        </w:tc>
      </w:tr>
      <w:tr w14:paraId="094499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5B9F6E1">
            <w:pPr>
              <w:pStyle w:val="75"/>
              <w:spacing w:line="360" w:lineRule="auto"/>
              <w:jc w:val="center"/>
              <w:rPr>
                <w:rFonts w:ascii="宋体" w:hAnsi="宋体" w:cs="Tahoma"/>
                <w:color w:val="auto"/>
                <w:szCs w:val="21"/>
                <w:highlight w:val="none"/>
              </w:rPr>
            </w:pPr>
          </w:p>
        </w:tc>
        <w:tc>
          <w:tcPr>
            <w:tcW w:w="1955" w:type="dxa"/>
            <w:tcBorders>
              <w:bottom w:val="single" w:color="auto" w:sz="4" w:space="0"/>
            </w:tcBorders>
          </w:tcPr>
          <w:p w14:paraId="62881E03">
            <w:pPr>
              <w:pStyle w:val="75"/>
              <w:spacing w:line="360" w:lineRule="auto"/>
              <w:jc w:val="center"/>
              <w:rPr>
                <w:rFonts w:ascii="宋体" w:hAnsi="宋体" w:cs="Tahoma"/>
                <w:color w:val="auto"/>
                <w:szCs w:val="21"/>
                <w:highlight w:val="none"/>
              </w:rPr>
            </w:pPr>
          </w:p>
        </w:tc>
        <w:tc>
          <w:tcPr>
            <w:tcW w:w="1950" w:type="dxa"/>
            <w:tcBorders>
              <w:bottom w:val="single" w:color="auto" w:sz="4" w:space="0"/>
            </w:tcBorders>
          </w:tcPr>
          <w:p w14:paraId="1CA96E36">
            <w:pPr>
              <w:pStyle w:val="75"/>
              <w:spacing w:line="360" w:lineRule="auto"/>
              <w:jc w:val="center"/>
              <w:rPr>
                <w:rFonts w:ascii="宋体" w:hAnsi="宋体" w:cs="Tahoma"/>
                <w:color w:val="auto"/>
                <w:szCs w:val="21"/>
                <w:highlight w:val="none"/>
              </w:rPr>
            </w:pPr>
          </w:p>
        </w:tc>
        <w:tc>
          <w:tcPr>
            <w:tcW w:w="1763" w:type="dxa"/>
            <w:tcBorders>
              <w:bottom w:val="single" w:color="auto" w:sz="4" w:space="0"/>
              <w:right w:val="single" w:color="auto" w:sz="4" w:space="0"/>
            </w:tcBorders>
          </w:tcPr>
          <w:p w14:paraId="26784CA7">
            <w:pPr>
              <w:pStyle w:val="75"/>
              <w:spacing w:line="360" w:lineRule="auto"/>
              <w:jc w:val="center"/>
              <w:rPr>
                <w:rFonts w:ascii="宋体" w:hAnsi="宋体" w:cs="Tahoma"/>
                <w:color w:val="auto"/>
                <w:szCs w:val="21"/>
                <w:highlight w:val="none"/>
              </w:rPr>
            </w:pPr>
          </w:p>
        </w:tc>
        <w:tc>
          <w:tcPr>
            <w:tcW w:w="897" w:type="dxa"/>
            <w:tcBorders>
              <w:bottom w:val="single" w:color="auto" w:sz="4" w:space="0"/>
              <w:right w:val="single" w:color="auto" w:sz="4" w:space="0"/>
            </w:tcBorders>
          </w:tcPr>
          <w:p w14:paraId="49F82BCF">
            <w:pPr>
              <w:pStyle w:val="75"/>
              <w:spacing w:line="360" w:lineRule="auto"/>
              <w:jc w:val="center"/>
              <w:rPr>
                <w:rFonts w:ascii="宋体" w:hAnsi="宋体" w:cs="Tahoma"/>
                <w:color w:val="auto"/>
                <w:szCs w:val="21"/>
                <w:highlight w:val="none"/>
              </w:rPr>
            </w:pPr>
          </w:p>
        </w:tc>
      </w:tr>
    </w:tbl>
    <w:p w14:paraId="7D296209">
      <w:pPr>
        <w:pStyle w:val="75"/>
        <w:tabs>
          <w:tab w:val="left" w:pos="1050"/>
        </w:tabs>
        <w:spacing w:line="360" w:lineRule="auto"/>
        <w:rPr>
          <w:rFonts w:ascii="宋体" w:hAnsi="宋体"/>
          <w:color w:val="auto"/>
          <w:sz w:val="24"/>
          <w:highlight w:val="none"/>
        </w:rPr>
      </w:pPr>
    </w:p>
    <w:p w14:paraId="2E2100FF">
      <w:pPr>
        <w:pStyle w:val="7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57E18D73">
      <w:pPr>
        <w:pStyle w:val="7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1.填写投标供应商获得的资质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奖状奖项</w:t>
      </w:r>
      <w:r>
        <w:rPr>
          <w:rFonts w:hint="eastAsia" w:ascii="宋体" w:hAnsi="宋体"/>
          <w:color w:val="auto"/>
          <w:szCs w:val="21"/>
          <w:highlight w:val="none"/>
        </w:rPr>
        <w:t>、认证证书等（根据评标办法提供）。</w:t>
      </w:r>
    </w:p>
    <w:p w14:paraId="2AD84101">
      <w:pPr>
        <w:pStyle w:val="75"/>
        <w:tabs>
          <w:tab w:val="left" w:pos="1050"/>
        </w:tabs>
        <w:spacing w:line="360" w:lineRule="auto"/>
        <w:ind w:firstLine="424" w:firstLineChars="202"/>
        <w:rPr>
          <w:rFonts w:hint="eastAsia" w:ascii="宋体" w:hAnsi="宋体"/>
          <w:color w:val="auto"/>
          <w:szCs w:val="21"/>
          <w:highlight w:val="none"/>
        </w:rPr>
      </w:pPr>
      <w:r>
        <w:rPr>
          <w:rFonts w:hint="eastAsia" w:ascii="宋体" w:hAnsi="宋体"/>
          <w:color w:val="auto"/>
          <w:szCs w:val="21"/>
          <w:highlight w:val="none"/>
        </w:rPr>
        <w:t>2.附所列证书的扫描件或其他证明材料。</w:t>
      </w:r>
    </w:p>
    <w:p w14:paraId="1EEBF2A0">
      <w:pPr>
        <w:snapToGrid w:val="0"/>
        <w:spacing w:before="50" w:afterLines="50" w:line="360" w:lineRule="auto"/>
        <w:jc w:val="left"/>
        <w:rPr>
          <w:rFonts w:ascii="宋体" w:hAnsi="宋体"/>
          <w:color w:val="auto"/>
          <w:sz w:val="24"/>
          <w:szCs w:val="20"/>
          <w:highlight w:val="none"/>
        </w:rPr>
      </w:pPr>
    </w:p>
    <w:p w14:paraId="2D1C8A2F">
      <w:pPr>
        <w:spacing w:line="360" w:lineRule="auto"/>
        <w:ind w:left="420"/>
        <w:rPr>
          <w:rFonts w:ascii="宋体"/>
          <w:color w:val="auto"/>
          <w:sz w:val="24"/>
          <w:highlight w:val="none"/>
          <w:u w:val="single"/>
        </w:rPr>
      </w:pPr>
      <w:r>
        <w:rPr>
          <w:rFonts w:hint="eastAsia" w:ascii="宋体"/>
          <w:color w:val="auto"/>
          <w:sz w:val="24"/>
          <w:highlight w:val="none"/>
        </w:rPr>
        <w:t>投标人名称（签电子公章）：</w:t>
      </w:r>
    </w:p>
    <w:p w14:paraId="7A72A73A">
      <w:pPr>
        <w:spacing w:line="360" w:lineRule="auto"/>
        <w:ind w:firstLine="435"/>
        <w:rPr>
          <w:rFonts w:ascii="宋体"/>
          <w:color w:val="auto"/>
          <w:sz w:val="24"/>
          <w:highlight w:val="none"/>
        </w:rPr>
      </w:pPr>
      <w:r>
        <w:rPr>
          <w:rFonts w:hint="eastAsia" w:ascii="宋体"/>
          <w:color w:val="auto"/>
          <w:sz w:val="24"/>
          <w:highlight w:val="none"/>
        </w:rPr>
        <w:t xml:space="preserve">法定代表人或授权委托人(签章或签字)： </w:t>
      </w:r>
    </w:p>
    <w:p w14:paraId="067AE115">
      <w:pPr>
        <w:spacing w:line="360" w:lineRule="auto"/>
        <w:ind w:firstLine="435"/>
        <w:rPr>
          <w:rFonts w:ascii="宋体"/>
          <w:color w:val="auto"/>
          <w:sz w:val="24"/>
          <w:highlight w:val="none"/>
        </w:rPr>
      </w:pPr>
      <w:r>
        <w:rPr>
          <w:rFonts w:hint="eastAsia" w:ascii="宋体"/>
          <w:color w:val="auto"/>
          <w:sz w:val="24"/>
          <w:highlight w:val="none"/>
        </w:rPr>
        <w:t>日        期：</w:t>
      </w:r>
    </w:p>
    <w:p w14:paraId="7680C125">
      <w:pPr>
        <w:pStyle w:val="2"/>
        <w:rPr>
          <w:color w:val="auto"/>
          <w:highlight w:val="none"/>
        </w:rPr>
      </w:pPr>
    </w:p>
    <w:p w14:paraId="160A9930">
      <w:pPr>
        <w:jc w:val="center"/>
        <w:rPr>
          <w:rFonts w:ascii="仿宋" w:eastAsia="仿宋"/>
          <w:snapToGrid w:val="0"/>
          <w:color w:val="auto"/>
          <w:kern w:val="0"/>
          <w:sz w:val="24"/>
          <w:highlight w:val="none"/>
        </w:rPr>
      </w:pPr>
    </w:p>
    <w:p w14:paraId="6BF66B1E">
      <w:pPr>
        <w:widowControl/>
        <w:jc w:val="left"/>
        <w:rPr>
          <w:rFonts w:ascii="宋体"/>
          <w:b/>
          <w:color w:val="auto"/>
          <w:sz w:val="28"/>
          <w:highlight w:val="none"/>
        </w:rPr>
      </w:pPr>
      <w:r>
        <w:rPr>
          <w:rFonts w:ascii="宋体"/>
          <w:b/>
          <w:color w:val="auto"/>
          <w:sz w:val="28"/>
          <w:highlight w:val="none"/>
        </w:rPr>
        <w:br w:type="page"/>
      </w:r>
    </w:p>
    <w:p w14:paraId="10DB715D">
      <w:pPr>
        <w:pStyle w:val="75"/>
        <w:tabs>
          <w:tab w:val="left" w:pos="1050"/>
        </w:tabs>
        <w:spacing w:line="360" w:lineRule="auto"/>
        <w:rPr>
          <w:rFonts w:ascii="仿宋_GB2312" w:eastAsia="仿宋_GB2312"/>
          <w:color w:val="auto"/>
          <w:sz w:val="24"/>
          <w:highlight w:val="none"/>
        </w:rPr>
      </w:pPr>
      <w:r>
        <w:rPr>
          <w:rFonts w:hint="eastAsia" w:ascii="宋体"/>
          <w:b/>
          <w:color w:val="auto"/>
          <w:sz w:val="28"/>
          <w:highlight w:val="none"/>
        </w:rPr>
        <w:t>附件1</w:t>
      </w:r>
      <w:r>
        <w:rPr>
          <w:rFonts w:hint="eastAsia" w:ascii="宋体"/>
          <w:b/>
          <w:color w:val="auto"/>
          <w:sz w:val="28"/>
          <w:highlight w:val="none"/>
          <w:lang w:val="en-US" w:eastAsia="zh-CN"/>
        </w:rPr>
        <w:t>3</w:t>
      </w:r>
      <w:r>
        <w:rPr>
          <w:rFonts w:hint="eastAsia" w:ascii="宋体"/>
          <w:b/>
          <w:color w:val="auto"/>
          <w:sz w:val="28"/>
          <w:highlight w:val="none"/>
        </w:rPr>
        <w:t>：</w:t>
      </w:r>
    </w:p>
    <w:p w14:paraId="5BE9F8DE">
      <w:pPr>
        <w:spacing w:line="360" w:lineRule="auto"/>
        <w:ind w:left="549" w:hanging="549" w:hangingChars="171"/>
        <w:jc w:val="center"/>
        <w:rPr>
          <w:rFonts w:ascii="宋体"/>
          <w:b/>
          <w:color w:val="auto"/>
          <w:sz w:val="32"/>
          <w:szCs w:val="32"/>
          <w:highlight w:val="none"/>
        </w:rPr>
      </w:pPr>
      <w:r>
        <w:rPr>
          <w:rFonts w:hint="eastAsia" w:ascii="宋体"/>
          <w:b/>
          <w:color w:val="auto"/>
          <w:sz w:val="32"/>
          <w:szCs w:val="32"/>
          <w:highlight w:val="none"/>
        </w:rPr>
        <w:t>商务及技术响应表</w:t>
      </w:r>
    </w:p>
    <w:p w14:paraId="7B250AFB">
      <w:pPr>
        <w:spacing w:line="360" w:lineRule="auto"/>
        <w:rPr>
          <w:rFonts w:ascii="宋体"/>
          <w:b/>
          <w:color w:val="auto"/>
          <w:sz w:val="18"/>
          <w:szCs w:val="18"/>
          <w:highlight w:val="none"/>
        </w:rPr>
      </w:pPr>
      <w:r>
        <w:rPr>
          <w:rFonts w:hint="eastAsia" w:ascii="宋体"/>
          <w:b/>
          <w:color w:val="auto"/>
          <w:sz w:val="24"/>
          <w:szCs w:val="22"/>
          <w:highlight w:val="none"/>
        </w:rPr>
        <w:t>项目名称及编号：</w:t>
      </w:r>
    </w:p>
    <w:tbl>
      <w:tblPr>
        <w:tblStyle w:val="35"/>
        <w:tblW w:w="8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232"/>
        <w:gridCol w:w="1707"/>
        <w:gridCol w:w="3282"/>
      </w:tblGrid>
      <w:tr w14:paraId="74D8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919" w:type="dxa"/>
            <w:vAlign w:val="center"/>
          </w:tcPr>
          <w:p w14:paraId="43961CCE">
            <w:pPr>
              <w:rPr>
                <w:rFonts w:ascii="宋体"/>
                <w:b/>
                <w:color w:val="auto"/>
                <w:sz w:val="24"/>
                <w:highlight w:val="none"/>
              </w:rPr>
            </w:pPr>
            <w:r>
              <w:rPr>
                <w:rFonts w:hint="eastAsia" w:ascii="宋体"/>
                <w:b/>
                <w:color w:val="auto"/>
                <w:sz w:val="24"/>
                <w:highlight w:val="none"/>
              </w:rPr>
              <w:t>序号</w:t>
            </w:r>
          </w:p>
        </w:tc>
        <w:tc>
          <w:tcPr>
            <w:tcW w:w="2232" w:type="dxa"/>
            <w:vAlign w:val="center"/>
          </w:tcPr>
          <w:p w14:paraId="0DF75F25">
            <w:pPr>
              <w:ind w:left="53" w:leftChars="25" w:firstLine="241" w:firstLineChars="100"/>
              <w:rPr>
                <w:rFonts w:ascii="宋体"/>
                <w:b/>
                <w:color w:val="auto"/>
                <w:sz w:val="24"/>
                <w:highlight w:val="none"/>
              </w:rPr>
            </w:pPr>
            <w:r>
              <w:rPr>
                <w:rFonts w:hint="eastAsia" w:ascii="宋体"/>
                <w:b/>
                <w:color w:val="auto"/>
                <w:sz w:val="24"/>
                <w:highlight w:val="none"/>
              </w:rPr>
              <w:t>招标需求</w:t>
            </w:r>
          </w:p>
        </w:tc>
        <w:tc>
          <w:tcPr>
            <w:tcW w:w="1707" w:type="dxa"/>
            <w:vAlign w:val="center"/>
          </w:tcPr>
          <w:p w14:paraId="5596CB03">
            <w:pPr>
              <w:ind w:left="152"/>
              <w:rPr>
                <w:rFonts w:ascii="宋体"/>
                <w:b/>
                <w:color w:val="auto"/>
                <w:sz w:val="24"/>
                <w:highlight w:val="none"/>
              </w:rPr>
            </w:pPr>
            <w:r>
              <w:rPr>
                <w:rFonts w:hint="eastAsia" w:ascii="宋体"/>
                <w:b/>
                <w:color w:val="auto"/>
                <w:sz w:val="24"/>
                <w:highlight w:val="none"/>
              </w:rPr>
              <w:t>是否响应</w:t>
            </w:r>
          </w:p>
        </w:tc>
        <w:tc>
          <w:tcPr>
            <w:tcW w:w="3282" w:type="dxa"/>
            <w:vAlign w:val="center"/>
          </w:tcPr>
          <w:p w14:paraId="6450A38E">
            <w:pPr>
              <w:jc w:val="center"/>
              <w:rPr>
                <w:rFonts w:ascii="宋体"/>
                <w:b/>
                <w:color w:val="auto"/>
                <w:sz w:val="24"/>
                <w:highlight w:val="none"/>
              </w:rPr>
            </w:pPr>
            <w:r>
              <w:rPr>
                <w:rFonts w:hint="eastAsia" w:ascii="宋体"/>
                <w:b/>
                <w:color w:val="auto"/>
                <w:sz w:val="24"/>
                <w:highlight w:val="none"/>
              </w:rPr>
              <w:t>投标人的承诺或说明</w:t>
            </w:r>
          </w:p>
        </w:tc>
      </w:tr>
      <w:tr w14:paraId="0F7D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919" w:type="dxa"/>
            <w:vAlign w:val="center"/>
          </w:tcPr>
          <w:p w14:paraId="066722BA">
            <w:pPr>
              <w:jc w:val="center"/>
              <w:rPr>
                <w:rFonts w:ascii="宋体"/>
                <w:color w:val="auto"/>
                <w:sz w:val="24"/>
                <w:highlight w:val="none"/>
              </w:rPr>
            </w:pPr>
          </w:p>
        </w:tc>
        <w:tc>
          <w:tcPr>
            <w:tcW w:w="2232" w:type="dxa"/>
            <w:vAlign w:val="center"/>
          </w:tcPr>
          <w:p w14:paraId="3A6E645A">
            <w:pPr>
              <w:spacing w:line="400" w:lineRule="exact"/>
              <w:rPr>
                <w:rFonts w:ascii="宋体"/>
                <w:color w:val="auto"/>
                <w:sz w:val="24"/>
                <w:highlight w:val="none"/>
              </w:rPr>
            </w:pPr>
          </w:p>
        </w:tc>
        <w:tc>
          <w:tcPr>
            <w:tcW w:w="1707" w:type="dxa"/>
            <w:vAlign w:val="center"/>
          </w:tcPr>
          <w:p w14:paraId="324EBF5A">
            <w:pPr>
              <w:rPr>
                <w:rFonts w:ascii="宋体"/>
                <w:color w:val="auto"/>
                <w:sz w:val="24"/>
                <w:highlight w:val="none"/>
              </w:rPr>
            </w:pPr>
          </w:p>
        </w:tc>
        <w:tc>
          <w:tcPr>
            <w:tcW w:w="3282" w:type="dxa"/>
            <w:vAlign w:val="center"/>
          </w:tcPr>
          <w:p w14:paraId="3FB56254">
            <w:pPr>
              <w:rPr>
                <w:rFonts w:ascii="宋体"/>
                <w:color w:val="auto"/>
                <w:sz w:val="24"/>
                <w:highlight w:val="none"/>
              </w:rPr>
            </w:pPr>
          </w:p>
        </w:tc>
      </w:tr>
      <w:tr w14:paraId="4B92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919" w:type="dxa"/>
            <w:vAlign w:val="center"/>
          </w:tcPr>
          <w:p w14:paraId="24627CE2">
            <w:pPr>
              <w:jc w:val="center"/>
              <w:rPr>
                <w:rFonts w:ascii="宋体"/>
                <w:color w:val="auto"/>
                <w:sz w:val="24"/>
                <w:highlight w:val="none"/>
              </w:rPr>
            </w:pPr>
          </w:p>
        </w:tc>
        <w:tc>
          <w:tcPr>
            <w:tcW w:w="2232" w:type="dxa"/>
            <w:vAlign w:val="center"/>
          </w:tcPr>
          <w:p w14:paraId="191483BA">
            <w:pPr>
              <w:rPr>
                <w:rFonts w:ascii="宋体"/>
                <w:color w:val="auto"/>
                <w:sz w:val="24"/>
                <w:highlight w:val="none"/>
              </w:rPr>
            </w:pPr>
          </w:p>
        </w:tc>
        <w:tc>
          <w:tcPr>
            <w:tcW w:w="1707" w:type="dxa"/>
            <w:vAlign w:val="center"/>
          </w:tcPr>
          <w:p w14:paraId="1E4EC63D">
            <w:pPr>
              <w:rPr>
                <w:rFonts w:ascii="宋体"/>
                <w:color w:val="auto"/>
                <w:sz w:val="24"/>
                <w:highlight w:val="none"/>
              </w:rPr>
            </w:pPr>
          </w:p>
        </w:tc>
        <w:tc>
          <w:tcPr>
            <w:tcW w:w="3282" w:type="dxa"/>
            <w:vAlign w:val="center"/>
          </w:tcPr>
          <w:p w14:paraId="75B99AC4">
            <w:pPr>
              <w:rPr>
                <w:rFonts w:ascii="宋体"/>
                <w:color w:val="auto"/>
                <w:sz w:val="24"/>
                <w:highlight w:val="none"/>
              </w:rPr>
            </w:pPr>
          </w:p>
        </w:tc>
      </w:tr>
      <w:tr w14:paraId="4DCB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19" w:type="dxa"/>
            <w:vAlign w:val="center"/>
          </w:tcPr>
          <w:p w14:paraId="6FB5A20A">
            <w:pPr>
              <w:jc w:val="center"/>
              <w:rPr>
                <w:rFonts w:ascii="宋体"/>
                <w:color w:val="auto"/>
                <w:sz w:val="24"/>
                <w:highlight w:val="none"/>
              </w:rPr>
            </w:pPr>
          </w:p>
        </w:tc>
        <w:tc>
          <w:tcPr>
            <w:tcW w:w="2232" w:type="dxa"/>
            <w:vAlign w:val="center"/>
          </w:tcPr>
          <w:p w14:paraId="7D83E5FE">
            <w:pPr>
              <w:rPr>
                <w:rFonts w:ascii="宋体"/>
                <w:color w:val="auto"/>
                <w:sz w:val="24"/>
                <w:highlight w:val="none"/>
              </w:rPr>
            </w:pPr>
          </w:p>
        </w:tc>
        <w:tc>
          <w:tcPr>
            <w:tcW w:w="1707" w:type="dxa"/>
            <w:vAlign w:val="center"/>
          </w:tcPr>
          <w:p w14:paraId="35D4DFCB">
            <w:pPr>
              <w:rPr>
                <w:rFonts w:ascii="宋体"/>
                <w:color w:val="auto"/>
                <w:sz w:val="24"/>
                <w:highlight w:val="none"/>
              </w:rPr>
            </w:pPr>
          </w:p>
        </w:tc>
        <w:tc>
          <w:tcPr>
            <w:tcW w:w="3282" w:type="dxa"/>
            <w:vAlign w:val="center"/>
          </w:tcPr>
          <w:p w14:paraId="61624454">
            <w:pPr>
              <w:rPr>
                <w:rFonts w:ascii="宋体"/>
                <w:color w:val="auto"/>
                <w:sz w:val="24"/>
                <w:highlight w:val="none"/>
              </w:rPr>
            </w:pPr>
          </w:p>
        </w:tc>
      </w:tr>
      <w:tr w14:paraId="6E94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19" w:type="dxa"/>
            <w:vAlign w:val="center"/>
          </w:tcPr>
          <w:p w14:paraId="3BDB2C60">
            <w:pPr>
              <w:rPr>
                <w:rFonts w:ascii="宋体"/>
                <w:color w:val="auto"/>
                <w:sz w:val="24"/>
                <w:highlight w:val="none"/>
              </w:rPr>
            </w:pPr>
          </w:p>
        </w:tc>
        <w:tc>
          <w:tcPr>
            <w:tcW w:w="2232" w:type="dxa"/>
            <w:vAlign w:val="center"/>
          </w:tcPr>
          <w:p w14:paraId="3D29DAB7">
            <w:pPr>
              <w:rPr>
                <w:rFonts w:ascii="宋体"/>
                <w:color w:val="auto"/>
                <w:sz w:val="24"/>
                <w:highlight w:val="none"/>
              </w:rPr>
            </w:pPr>
          </w:p>
        </w:tc>
        <w:tc>
          <w:tcPr>
            <w:tcW w:w="1707" w:type="dxa"/>
            <w:vAlign w:val="center"/>
          </w:tcPr>
          <w:p w14:paraId="0301DA32">
            <w:pPr>
              <w:rPr>
                <w:rFonts w:ascii="宋体"/>
                <w:color w:val="auto"/>
                <w:sz w:val="24"/>
                <w:highlight w:val="none"/>
              </w:rPr>
            </w:pPr>
          </w:p>
        </w:tc>
        <w:tc>
          <w:tcPr>
            <w:tcW w:w="3282" w:type="dxa"/>
            <w:vAlign w:val="center"/>
          </w:tcPr>
          <w:p w14:paraId="03308F51">
            <w:pPr>
              <w:rPr>
                <w:rFonts w:ascii="宋体"/>
                <w:color w:val="auto"/>
                <w:sz w:val="24"/>
                <w:highlight w:val="none"/>
              </w:rPr>
            </w:pPr>
          </w:p>
        </w:tc>
      </w:tr>
      <w:tr w14:paraId="2CEC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19" w:type="dxa"/>
            <w:vAlign w:val="center"/>
          </w:tcPr>
          <w:p w14:paraId="261745FA">
            <w:pPr>
              <w:rPr>
                <w:rFonts w:ascii="宋体"/>
                <w:color w:val="auto"/>
                <w:sz w:val="24"/>
                <w:highlight w:val="none"/>
              </w:rPr>
            </w:pPr>
          </w:p>
        </w:tc>
        <w:tc>
          <w:tcPr>
            <w:tcW w:w="2232" w:type="dxa"/>
            <w:vAlign w:val="center"/>
          </w:tcPr>
          <w:p w14:paraId="607FC2AF">
            <w:pPr>
              <w:rPr>
                <w:rFonts w:ascii="宋体"/>
                <w:color w:val="auto"/>
                <w:sz w:val="24"/>
                <w:highlight w:val="none"/>
              </w:rPr>
            </w:pPr>
          </w:p>
        </w:tc>
        <w:tc>
          <w:tcPr>
            <w:tcW w:w="1707" w:type="dxa"/>
            <w:vAlign w:val="center"/>
          </w:tcPr>
          <w:p w14:paraId="6FF0B955">
            <w:pPr>
              <w:rPr>
                <w:rFonts w:ascii="宋体"/>
                <w:color w:val="auto"/>
                <w:sz w:val="24"/>
                <w:highlight w:val="none"/>
              </w:rPr>
            </w:pPr>
          </w:p>
        </w:tc>
        <w:tc>
          <w:tcPr>
            <w:tcW w:w="3282" w:type="dxa"/>
            <w:vAlign w:val="center"/>
          </w:tcPr>
          <w:p w14:paraId="27348DDD">
            <w:pPr>
              <w:rPr>
                <w:rFonts w:ascii="宋体"/>
                <w:color w:val="auto"/>
                <w:sz w:val="24"/>
                <w:highlight w:val="none"/>
              </w:rPr>
            </w:pPr>
          </w:p>
        </w:tc>
      </w:tr>
      <w:tr w14:paraId="37CA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19" w:type="dxa"/>
            <w:vAlign w:val="center"/>
          </w:tcPr>
          <w:p w14:paraId="318AD711">
            <w:pPr>
              <w:rPr>
                <w:rFonts w:ascii="宋体"/>
                <w:color w:val="auto"/>
                <w:sz w:val="24"/>
                <w:highlight w:val="none"/>
              </w:rPr>
            </w:pPr>
          </w:p>
        </w:tc>
        <w:tc>
          <w:tcPr>
            <w:tcW w:w="2232" w:type="dxa"/>
            <w:vAlign w:val="center"/>
          </w:tcPr>
          <w:p w14:paraId="610EB6C8">
            <w:pPr>
              <w:rPr>
                <w:rFonts w:ascii="宋体"/>
                <w:color w:val="auto"/>
                <w:sz w:val="24"/>
                <w:highlight w:val="none"/>
              </w:rPr>
            </w:pPr>
          </w:p>
        </w:tc>
        <w:tc>
          <w:tcPr>
            <w:tcW w:w="1707" w:type="dxa"/>
            <w:vAlign w:val="center"/>
          </w:tcPr>
          <w:p w14:paraId="524B3D1F">
            <w:pPr>
              <w:rPr>
                <w:rFonts w:ascii="宋体"/>
                <w:color w:val="auto"/>
                <w:sz w:val="24"/>
                <w:highlight w:val="none"/>
              </w:rPr>
            </w:pPr>
          </w:p>
        </w:tc>
        <w:tc>
          <w:tcPr>
            <w:tcW w:w="3282" w:type="dxa"/>
            <w:vAlign w:val="center"/>
          </w:tcPr>
          <w:p w14:paraId="2E45C9BE">
            <w:pPr>
              <w:rPr>
                <w:rFonts w:ascii="宋体"/>
                <w:color w:val="auto"/>
                <w:sz w:val="24"/>
                <w:highlight w:val="none"/>
              </w:rPr>
            </w:pPr>
          </w:p>
        </w:tc>
      </w:tr>
    </w:tbl>
    <w:p w14:paraId="424DD470">
      <w:pPr>
        <w:widowControl/>
        <w:snapToGrid w:val="0"/>
        <w:spacing w:line="520" w:lineRule="exact"/>
        <w:jc w:val="left"/>
        <w:rPr>
          <w:rFonts w:ascii="宋体" w:cs="宋体"/>
          <w:bCs/>
          <w:color w:val="auto"/>
          <w:sz w:val="24"/>
          <w:highlight w:val="none"/>
        </w:rPr>
      </w:pPr>
      <w:r>
        <w:rPr>
          <w:rFonts w:hint="eastAsia" w:ascii="宋体" w:cs="宋体"/>
          <w:bCs/>
          <w:color w:val="auto"/>
          <w:sz w:val="24"/>
          <w:highlight w:val="none"/>
        </w:rPr>
        <w:t>备注：</w:t>
      </w:r>
      <w:r>
        <w:rPr>
          <w:rFonts w:ascii="宋体" w:cs="宋体"/>
          <w:bCs/>
          <w:color w:val="auto"/>
          <w:sz w:val="24"/>
          <w:highlight w:val="none"/>
        </w:rPr>
        <w:t xml:space="preserve"> </w:t>
      </w:r>
      <w:r>
        <w:rPr>
          <w:rFonts w:hint="eastAsia" w:ascii="宋体" w:cs="宋体"/>
          <w:color w:val="auto"/>
          <w:sz w:val="24"/>
          <w:highlight w:val="none"/>
        </w:rPr>
        <w:t>1、如未提供或未填写均视为完全相应采购需求内容。</w:t>
      </w:r>
    </w:p>
    <w:p w14:paraId="7FEDE4CB">
      <w:pPr>
        <w:spacing w:line="360" w:lineRule="auto"/>
        <w:rPr>
          <w:rFonts w:ascii="宋体"/>
          <w:color w:val="auto"/>
          <w:sz w:val="24"/>
          <w:highlight w:val="none"/>
        </w:rPr>
      </w:pPr>
    </w:p>
    <w:p w14:paraId="551180E8">
      <w:pPr>
        <w:spacing w:line="360" w:lineRule="auto"/>
        <w:ind w:left="420"/>
        <w:rPr>
          <w:rFonts w:ascii="宋体"/>
          <w:color w:val="auto"/>
          <w:sz w:val="24"/>
          <w:highlight w:val="none"/>
          <w:u w:val="single"/>
        </w:rPr>
      </w:pPr>
      <w:r>
        <w:rPr>
          <w:rFonts w:hint="eastAsia" w:ascii="宋体"/>
          <w:color w:val="auto"/>
          <w:sz w:val="24"/>
          <w:highlight w:val="none"/>
        </w:rPr>
        <w:t>投标人名称（签电子公章）：</w:t>
      </w:r>
    </w:p>
    <w:p w14:paraId="2285BBAD">
      <w:pPr>
        <w:spacing w:line="360" w:lineRule="auto"/>
        <w:ind w:firstLine="435"/>
        <w:rPr>
          <w:rFonts w:ascii="宋体"/>
          <w:color w:val="auto"/>
          <w:sz w:val="24"/>
          <w:highlight w:val="none"/>
        </w:rPr>
      </w:pPr>
      <w:r>
        <w:rPr>
          <w:rFonts w:hint="eastAsia" w:ascii="宋体"/>
          <w:color w:val="auto"/>
          <w:sz w:val="24"/>
          <w:highlight w:val="none"/>
        </w:rPr>
        <w:t>法定代表人或授权委托人(签章或签字)：</w:t>
      </w:r>
    </w:p>
    <w:p w14:paraId="46343B60">
      <w:pPr>
        <w:spacing w:line="360" w:lineRule="auto"/>
        <w:ind w:firstLine="435"/>
        <w:rPr>
          <w:rFonts w:ascii="宋体"/>
          <w:color w:val="auto"/>
          <w:sz w:val="24"/>
          <w:highlight w:val="none"/>
          <w:u w:val="single"/>
        </w:rPr>
      </w:pPr>
      <w:r>
        <w:rPr>
          <w:rFonts w:hint="eastAsia" w:ascii="宋体"/>
          <w:color w:val="auto"/>
          <w:sz w:val="24"/>
          <w:highlight w:val="none"/>
        </w:rPr>
        <w:t>日        期：</w:t>
      </w:r>
    </w:p>
    <w:p w14:paraId="6A19D9B2">
      <w:pPr>
        <w:tabs>
          <w:tab w:val="left" w:pos="2460"/>
        </w:tabs>
        <w:spacing w:line="360" w:lineRule="auto"/>
        <w:ind w:firstLine="435"/>
        <w:rPr>
          <w:rFonts w:ascii="宋体"/>
          <w:b/>
          <w:color w:val="auto"/>
          <w:sz w:val="28"/>
          <w:highlight w:val="none"/>
        </w:rPr>
        <w:sectPr>
          <w:pgSz w:w="11906" w:h="16838"/>
          <w:pgMar w:top="1440" w:right="1800" w:bottom="1440" w:left="1800" w:header="851" w:footer="992" w:gutter="0"/>
          <w:pgNumType w:fmt="decimal"/>
          <w:cols w:space="720" w:num="1"/>
          <w:docGrid w:type="lines" w:linePitch="312" w:charSpace="0"/>
        </w:sectPr>
      </w:pPr>
    </w:p>
    <w:p w14:paraId="49B9E9FD">
      <w:pPr>
        <w:spacing w:line="360" w:lineRule="auto"/>
        <w:ind w:right="-110"/>
        <w:jc w:val="left"/>
        <w:rPr>
          <w:rFonts w:ascii="宋体"/>
          <w:color w:val="auto"/>
          <w:spacing w:val="40"/>
          <w:sz w:val="52"/>
          <w:szCs w:val="52"/>
          <w:highlight w:val="none"/>
        </w:rPr>
      </w:pPr>
      <w:r>
        <w:rPr>
          <w:rFonts w:hint="eastAsia" w:ascii="宋体"/>
          <w:b/>
          <w:color w:val="auto"/>
          <w:sz w:val="28"/>
          <w:highlight w:val="none"/>
        </w:rPr>
        <w:t>附件1</w:t>
      </w:r>
      <w:r>
        <w:rPr>
          <w:rFonts w:hint="eastAsia" w:ascii="宋体"/>
          <w:b/>
          <w:color w:val="auto"/>
          <w:sz w:val="28"/>
          <w:highlight w:val="none"/>
          <w:lang w:val="en-US" w:eastAsia="zh-CN"/>
        </w:rPr>
        <w:t>4</w:t>
      </w:r>
      <w:r>
        <w:rPr>
          <w:rFonts w:hint="eastAsia" w:ascii="宋体"/>
          <w:b/>
          <w:color w:val="auto"/>
          <w:sz w:val="28"/>
          <w:highlight w:val="none"/>
        </w:rPr>
        <w:t xml:space="preserve">：   </w:t>
      </w:r>
    </w:p>
    <w:p w14:paraId="1CD60A43">
      <w:pPr>
        <w:spacing w:beforeLines="100" w:line="360" w:lineRule="auto"/>
        <w:ind w:right="-108" w:firstLine="1807" w:firstLineChars="500"/>
        <w:rPr>
          <w:rFonts w:hint="eastAsia" w:ascii="宋体"/>
          <w:color w:val="auto"/>
          <w:sz w:val="36"/>
          <w:szCs w:val="36"/>
          <w:highlight w:val="none"/>
        </w:rPr>
      </w:pPr>
      <w:r>
        <w:rPr>
          <w:rFonts w:hint="eastAsia" w:ascii="宋体"/>
          <w:b/>
          <w:color w:val="auto"/>
          <w:sz w:val="36"/>
          <w:szCs w:val="36"/>
          <w:highlight w:val="none"/>
          <w:lang w:eastAsia="zh-CN"/>
        </w:rPr>
        <w:t>海虹街道排水设施排查养护项目</w:t>
      </w:r>
    </w:p>
    <w:p w14:paraId="1A2078C0">
      <w:pPr>
        <w:spacing w:beforeLines="100" w:line="360" w:lineRule="auto"/>
        <w:ind w:right="-108" w:firstLine="3960" w:firstLineChars="1100"/>
        <w:rPr>
          <w:rFonts w:ascii="宋体"/>
          <w:color w:val="auto"/>
          <w:sz w:val="36"/>
          <w:szCs w:val="36"/>
          <w:highlight w:val="none"/>
        </w:rPr>
      </w:pPr>
      <w:r>
        <w:rPr>
          <w:rFonts w:hint="eastAsia" w:ascii="宋体"/>
          <w:color w:val="auto"/>
          <w:sz w:val="36"/>
          <w:szCs w:val="36"/>
          <w:highlight w:val="none"/>
        </w:rPr>
        <w:t>项目编号：</w:t>
      </w:r>
      <w:r>
        <w:rPr>
          <w:rFonts w:ascii="宋体"/>
          <w:color w:val="auto"/>
          <w:sz w:val="36"/>
          <w:szCs w:val="36"/>
          <w:highlight w:val="none"/>
        </w:rPr>
        <w:t xml:space="preserve"> </w:t>
      </w:r>
    </w:p>
    <w:p w14:paraId="0FADFE54">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报</w:t>
      </w:r>
    </w:p>
    <w:p w14:paraId="6584C235">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价</w:t>
      </w:r>
    </w:p>
    <w:p w14:paraId="0FB43413">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文</w:t>
      </w:r>
    </w:p>
    <w:p w14:paraId="3D250903">
      <w:pPr>
        <w:spacing w:after="100" w:afterAutospacing="1" w:line="360" w:lineRule="auto"/>
        <w:ind w:right="-108"/>
        <w:jc w:val="center"/>
        <w:rPr>
          <w:rFonts w:ascii="宋体"/>
          <w:b/>
          <w:color w:val="auto"/>
          <w:spacing w:val="40"/>
          <w:sz w:val="84"/>
          <w:szCs w:val="84"/>
          <w:highlight w:val="none"/>
        </w:rPr>
      </w:pPr>
      <w:r>
        <w:rPr>
          <w:rFonts w:hint="eastAsia" w:ascii="宋体"/>
          <w:b/>
          <w:color w:val="auto"/>
          <w:spacing w:val="40"/>
          <w:sz w:val="84"/>
          <w:szCs w:val="84"/>
          <w:highlight w:val="none"/>
        </w:rPr>
        <w:t>件</w:t>
      </w:r>
    </w:p>
    <w:p w14:paraId="2C76D5A9">
      <w:pPr>
        <w:spacing w:line="360" w:lineRule="auto"/>
        <w:ind w:right="532"/>
        <w:rPr>
          <w:rFonts w:ascii="宋体"/>
          <w:color w:val="auto"/>
          <w:sz w:val="36"/>
          <w:szCs w:val="36"/>
          <w:highlight w:val="none"/>
        </w:rPr>
      </w:pPr>
    </w:p>
    <w:p w14:paraId="556A2E74">
      <w:pPr>
        <w:spacing w:line="360" w:lineRule="auto"/>
        <w:ind w:right="532"/>
        <w:jc w:val="center"/>
        <w:rPr>
          <w:rFonts w:ascii="宋体"/>
          <w:color w:val="auto"/>
          <w:sz w:val="36"/>
          <w:szCs w:val="36"/>
          <w:highlight w:val="none"/>
        </w:rPr>
      </w:pPr>
    </w:p>
    <w:p w14:paraId="5F7D7143">
      <w:pPr>
        <w:spacing w:line="360" w:lineRule="auto"/>
        <w:ind w:right="532" w:firstLine="720" w:firstLineChars="200"/>
        <w:rPr>
          <w:rFonts w:ascii="宋体"/>
          <w:color w:val="auto"/>
          <w:sz w:val="36"/>
          <w:szCs w:val="36"/>
          <w:highlight w:val="none"/>
        </w:rPr>
      </w:pPr>
      <w:r>
        <w:rPr>
          <w:rFonts w:hint="eastAsia" w:ascii="宋体"/>
          <w:color w:val="auto"/>
          <w:sz w:val="36"/>
          <w:szCs w:val="36"/>
          <w:highlight w:val="none"/>
        </w:rPr>
        <w:t>投标人全称（签电子公章）：</w:t>
      </w:r>
    </w:p>
    <w:p w14:paraId="3969DB82">
      <w:pPr>
        <w:spacing w:line="360" w:lineRule="auto"/>
        <w:ind w:right="-108" w:firstLine="720" w:firstLineChars="200"/>
        <w:rPr>
          <w:rFonts w:ascii="宋体"/>
          <w:color w:val="auto"/>
          <w:sz w:val="36"/>
          <w:szCs w:val="36"/>
          <w:highlight w:val="none"/>
        </w:rPr>
      </w:pPr>
      <w:r>
        <w:rPr>
          <w:rFonts w:hint="eastAsia" w:ascii="宋体"/>
          <w:color w:val="auto"/>
          <w:sz w:val="36"/>
          <w:szCs w:val="36"/>
          <w:highlight w:val="none"/>
        </w:rPr>
        <w:t>地    址：</w:t>
      </w:r>
    </w:p>
    <w:p w14:paraId="56753861">
      <w:pPr>
        <w:spacing w:line="360" w:lineRule="auto"/>
        <w:ind w:right="-108" w:firstLine="720" w:firstLineChars="200"/>
        <w:rPr>
          <w:rFonts w:hint="eastAsia" w:ascii="宋体"/>
          <w:color w:val="auto"/>
          <w:sz w:val="36"/>
          <w:szCs w:val="36"/>
          <w:highlight w:val="none"/>
        </w:rPr>
      </w:pPr>
      <w:r>
        <w:rPr>
          <w:rFonts w:hint="eastAsia" w:ascii="宋体"/>
          <w:color w:val="auto"/>
          <w:sz w:val="36"/>
          <w:szCs w:val="36"/>
          <w:highlight w:val="none"/>
        </w:rPr>
        <w:t>时    间：</w:t>
      </w:r>
    </w:p>
    <w:p w14:paraId="1869A69A">
      <w:pPr>
        <w:pStyle w:val="18"/>
        <w:rPr>
          <w:rFonts w:hint="eastAsia" w:ascii="宋体"/>
          <w:color w:val="auto"/>
          <w:sz w:val="36"/>
          <w:szCs w:val="36"/>
          <w:highlight w:val="none"/>
        </w:rPr>
      </w:pPr>
    </w:p>
    <w:p w14:paraId="3FBC89AB">
      <w:pPr>
        <w:pStyle w:val="18"/>
        <w:rPr>
          <w:rFonts w:hint="eastAsia" w:ascii="宋体"/>
          <w:color w:val="auto"/>
          <w:sz w:val="36"/>
          <w:szCs w:val="36"/>
          <w:highlight w:val="none"/>
        </w:rPr>
      </w:pPr>
    </w:p>
    <w:p w14:paraId="04CD10CF">
      <w:pPr>
        <w:spacing w:line="360" w:lineRule="auto"/>
        <w:ind w:right="-108"/>
        <w:jc w:val="center"/>
        <w:rPr>
          <w:rFonts w:ascii="仿宋_GB2312" w:eastAsia="仿宋_GB2312"/>
          <w:b/>
          <w:color w:val="auto"/>
          <w:sz w:val="36"/>
          <w:szCs w:val="36"/>
          <w:highlight w:val="none"/>
        </w:rPr>
      </w:pPr>
    </w:p>
    <w:p w14:paraId="7BBFBE4E">
      <w:pPr>
        <w:spacing w:line="360" w:lineRule="auto"/>
        <w:ind w:right="-108"/>
        <w:jc w:val="center"/>
        <w:rPr>
          <w:rFonts w:ascii="宋体"/>
          <w:b/>
          <w:color w:val="auto"/>
          <w:sz w:val="32"/>
          <w:szCs w:val="32"/>
          <w:highlight w:val="none"/>
        </w:rPr>
      </w:pPr>
      <w:r>
        <w:rPr>
          <w:rFonts w:hint="eastAsia" w:ascii="宋体"/>
          <w:b/>
          <w:color w:val="auto"/>
          <w:sz w:val="32"/>
          <w:szCs w:val="32"/>
          <w:highlight w:val="none"/>
        </w:rPr>
        <w:t>报价文件目录</w:t>
      </w:r>
    </w:p>
    <w:p w14:paraId="43481EAA">
      <w:pPr>
        <w:spacing w:line="360" w:lineRule="auto"/>
        <w:ind w:right="-108"/>
        <w:jc w:val="center"/>
        <w:rPr>
          <w:rFonts w:ascii="仿宋_GB2312" w:eastAsia="仿宋_GB2312"/>
          <w:b/>
          <w:color w:val="auto"/>
          <w:sz w:val="36"/>
          <w:szCs w:val="36"/>
          <w:highlight w:val="none"/>
        </w:rPr>
      </w:pPr>
    </w:p>
    <w:p w14:paraId="28D24AE6">
      <w:pPr>
        <w:spacing w:line="360" w:lineRule="auto"/>
        <w:rPr>
          <w:rFonts w:ascii="宋体"/>
          <w:color w:val="auto"/>
          <w:sz w:val="24"/>
          <w:highlight w:val="none"/>
        </w:rPr>
      </w:pPr>
    </w:p>
    <w:p w14:paraId="23270776">
      <w:pPr>
        <w:autoSpaceDE w:val="0"/>
        <w:autoSpaceDN w:val="0"/>
        <w:adjustRightInd w:val="0"/>
        <w:spacing w:line="360" w:lineRule="auto"/>
        <w:ind w:firstLine="480" w:firstLineChars="200"/>
        <w:rPr>
          <w:rFonts w:ascii="宋体"/>
          <w:color w:val="auto"/>
          <w:kern w:val="0"/>
          <w:sz w:val="24"/>
          <w:highlight w:val="none"/>
        </w:rPr>
      </w:pPr>
      <w:r>
        <w:rPr>
          <w:rFonts w:hint="eastAsia" w:ascii="宋体"/>
          <w:color w:val="auto"/>
          <w:kern w:val="0"/>
          <w:sz w:val="24"/>
          <w:highlight w:val="none"/>
        </w:rPr>
        <w:t>（1）开标一览表；</w:t>
      </w:r>
    </w:p>
    <w:p w14:paraId="7B3F8558">
      <w:pPr>
        <w:pStyle w:val="2"/>
        <w:rPr>
          <w:color w:val="auto"/>
          <w:highlight w:val="none"/>
        </w:rPr>
      </w:pPr>
    </w:p>
    <w:p w14:paraId="590B44DB">
      <w:pPr>
        <w:pStyle w:val="78"/>
        <w:spacing w:line="360" w:lineRule="auto"/>
        <w:rPr>
          <w:color w:val="auto"/>
          <w:sz w:val="24"/>
          <w:highlight w:val="none"/>
        </w:rPr>
      </w:pPr>
    </w:p>
    <w:p w14:paraId="0FEC91F6">
      <w:pPr>
        <w:widowControl/>
        <w:jc w:val="left"/>
        <w:rPr>
          <w:rFonts w:ascii="宋体"/>
          <w:b/>
          <w:color w:val="auto"/>
          <w:sz w:val="28"/>
          <w:highlight w:val="none"/>
        </w:rPr>
      </w:pPr>
      <w:r>
        <w:rPr>
          <w:rFonts w:ascii="宋体"/>
          <w:b/>
          <w:color w:val="auto"/>
          <w:sz w:val="28"/>
          <w:highlight w:val="none"/>
        </w:rPr>
        <w:br w:type="page"/>
      </w:r>
    </w:p>
    <w:p w14:paraId="74F54018">
      <w:pPr>
        <w:spacing w:line="360" w:lineRule="auto"/>
        <w:rPr>
          <w:rFonts w:ascii="宋体"/>
          <w:b/>
          <w:color w:val="auto"/>
          <w:sz w:val="28"/>
          <w:highlight w:val="none"/>
        </w:rPr>
      </w:pPr>
      <w:r>
        <w:rPr>
          <w:rFonts w:hint="eastAsia" w:ascii="宋体"/>
          <w:b/>
          <w:color w:val="auto"/>
          <w:sz w:val="28"/>
          <w:highlight w:val="none"/>
        </w:rPr>
        <w:t>附件1</w:t>
      </w:r>
      <w:r>
        <w:rPr>
          <w:rFonts w:hint="eastAsia" w:ascii="宋体"/>
          <w:b/>
          <w:color w:val="auto"/>
          <w:sz w:val="28"/>
          <w:highlight w:val="none"/>
          <w:lang w:val="en-US" w:eastAsia="zh-CN"/>
        </w:rPr>
        <w:t>5</w:t>
      </w:r>
      <w:r>
        <w:rPr>
          <w:rFonts w:hint="eastAsia" w:ascii="宋体"/>
          <w:b/>
          <w:color w:val="auto"/>
          <w:sz w:val="28"/>
          <w:highlight w:val="none"/>
        </w:rPr>
        <w:t>：</w:t>
      </w:r>
    </w:p>
    <w:p w14:paraId="1B45C61B">
      <w:pPr>
        <w:spacing w:line="360" w:lineRule="auto"/>
        <w:ind w:left="-2" w:hanging="2"/>
        <w:jc w:val="center"/>
        <w:rPr>
          <w:rFonts w:ascii="宋体"/>
          <w:b/>
          <w:color w:val="auto"/>
          <w:sz w:val="32"/>
          <w:szCs w:val="32"/>
          <w:highlight w:val="none"/>
        </w:rPr>
      </w:pPr>
      <w:r>
        <w:rPr>
          <w:rFonts w:hint="eastAsia" w:ascii="宋体"/>
          <w:b/>
          <w:color w:val="auto"/>
          <w:sz w:val="32"/>
          <w:szCs w:val="32"/>
          <w:highlight w:val="none"/>
        </w:rPr>
        <w:t xml:space="preserve">开标一览表 </w:t>
      </w:r>
    </w:p>
    <w:p w14:paraId="7540FD5B">
      <w:pPr>
        <w:spacing w:line="360" w:lineRule="auto"/>
        <w:rPr>
          <w:rFonts w:ascii="宋体"/>
          <w:b/>
          <w:color w:val="auto"/>
          <w:sz w:val="18"/>
          <w:szCs w:val="18"/>
          <w:highlight w:val="none"/>
        </w:rPr>
      </w:pPr>
      <w:r>
        <w:rPr>
          <w:rFonts w:hint="eastAsia" w:ascii="宋体"/>
          <w:b/>
          <w:color w:val="auto"/>
          <w:sz w:val="24"/>
          <w:szCs w:val="22"/>
          <w:highlight w:val="none"/>
        </w:rPr>
        <w:t>项目名称及编号：</w:t>
      </w:r>
    </w:p>
    <w:p w14:paraId="5B543675">
      <w:pPr>
        <w:pStyle w:val="21"/>
        <w:spacing w:line="320" w:lineRule="exact"/>
        <w:ind w:firstLine="5301" w:firstLineChars="2200"/>
        <w:rPr>
          <w:b/>
          <w:color w:val="auto"/>
          <w:sz w:val="24"/>
          <w:highlight w:val="none"/>
        </w:rPr>
      </w:pPr>
      <w:r>
        <w:rPr>
          <w:b/>
          <w:color w:val="auto"/>
          <w:sz w:val="24"/>
          <w:highlight w:val="none"/>
        </w:rPr>
        <w:t xml:space="preserve">      </w:t>
      </w:r>
    </w:p>
    <w:tbl>
      <w:tblPr>
        <w:tblStyle w:val="35"/>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4"/>
        <w:gridCol w:w="998"/>
        <w:gridCol w:w="5734"/>
      </w:tblGrid>
      <w:tr w14:paraId="22D2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084" w:type="dxa"/>
            <w:vMerge w:val="restart"/>
            <w:vAlign w:val="center"/>
          </w:tcPr>
          <w:p w14:paraId="524C3B7D">
            <w:pPr>
              <w:autoSpaceDE w:val="0"/>
              <w:autoSpaceDN w:val="0"/>
              <w:spacing w:line="450" w:lineRule="exact"/>
              <w:jc w:val="center"/>
              <w:textAlignment w:val="bottom"/>
              <w:rPr>
                <w:rFonts w:hint="eastAsia" w:ascii="宋体"/>
                <w:color w:val="auto"/>
                <w:sz w:val="24"/>
                <w:highlight w:val="none"/>
                <w:lang w:eastAsia="zh-CN"/>
              </w:rPr>
            </w:pPr>
            <w:r>
              <w:rPr>
                <w:rFonts w:hint="eastAsia" w:ascii="宋体"/>
                <w:color w:val="auto"/>
                <w:sz w:val="24"/>
                <w:highlight w:val="none"/>
                <w:lang w:eastAsia="zh-CN"/>
              </w:rPr>
              <w:t>综合单价</w:t>
            </w:r>
          </w:p>
          <w:p w14:paraId="3468EC23">
            <w:pPr>
              <w:autoSpaceDE w:val="0"/>
              <w:autoSpaceDN w:val="0"/>
              <w:spacing w:line="450" w:lineRule="exact"/>
              <w:jc w:val="center"/>
              <w:textAlignment w:val="bottom"/>
              <w:rPr>
                <w:rFonts w:ascii="宋体" w:hAnsi="宋体"/>
                <w:sz w:val="24"/>
              </w:rPr>
            </w:pPr>
            <w:r>
              <w:rPr>
                <w:rFonts w:hint="eastAsia" w:ascii="宋体" w:hAnsi="宋体"/>
                <w:sz w:val="24"/>
              </w:rPr>
              <w:t>结算率</w:t>
            </w:r>
          </w:p>
          <w:p w14:paraId="1404B957">
            <w:pPr>
              <w:autoSpaceDE w:val="0"/>
              <w:autoSpaceDN w:val="0"/>
              <w:spacing w:line="450" w:lineRule="exact"/>
              <w:jc w:val="center"/>
              <w:textAlignment w:val="bottom"/>
              <w:rPr>
                <w:rFonts w:ascii="宋体"/>
                <w:color w:val="auto"/>
                <w:sz w:val="24"/>
                <w:highlight w:val="none"/>
              </w:rPr>
            </w:pPr>
          </w:p>
        </w:tc>
        <w:tc>
          <w:tcPr>
            <w:tcW w:w="998" w:type="dxa"/>
            <w:vAlign w:val="center"/>
          </w:tcPr>
          <w:p w14:paraId="17324463">
            <w:pPr>
              <w:autoSpaceDE w:val="0"/>
              <w:autoSpaceDN w:val="0"/>
              <w:spacing w:line="450" w:lineRule="exact"/>
              <w:jc w:val="center"/>
              <w:textAlignment w:val="bottom"/>
              <w:rPr>
                <w:rFonts w:ascii="宋体"/>
                <w:color w:val="auto"/>
                <w:sz w:val="24"/>
                <w:highlight w:val="none"/>
              </w:rPr>
            </w:pPr>
            <w:r>
              <w:rPr>
                <w:rFonts w:hint="eastAsia" w:ascii="宋体"/>
                <w:color w:val="auto"/>
                <w:sz w:val="24"/>
                <w:highlight w:val="none"/>
              </w:rPr>
              <w:t>大写</w:t>
            </w:r>
          </w:p>
        </w:tc>
        <w:tc>
          <w:tcPr>
            <w:tcW w:w="5734" w:type="dxa"/>
            <w:vAlign w:val="center"/>
          </w:tcPr>
          <w:p w14:paraId="18189D9C">
            <w:pPr>
              <w:pStyle w:val="16"/>
              <w:tabs>
                <w:tab w:val="left" w:pos="3577"/>
              </w:tabs>
              <w:ind w:firstLine="1440" w:firstLineChars="600"/>
              <w:rPr>
                <w:rFonts w:hint="default" w:eastAsia="宋体"/>
                <w:color w:val="auto"/>
                <w:highlight w:val="none"/>
                <w:lang w:val="en-US" w:eastAsia="zh-CN"/>
              </w:rPr>
            </w:pPr>
            <w:r>
              <w:rPr>
                <w:rFonts w:hint="eastAsia" w:ascii="宋体" w:hAnsi="宋体"/>
                <w:snapToGrid w:val="0"/>
                <w:kern w:val="0"/>
                <w:sz w:val="24"/>
              </w:rPr>
              <w:t>百分之</w:t>
            </w:r>
            <w:r>
              <w:rPr>
                <w:rFonts w:hint="eastAsia" w:ascii="宋体" w:hAnsi="宋体"/>
                <w:snapToGrid w:val="0"/>
                <w:kern w:val="0"/>
                <w:sz w:val="24"/>
                <w:u w:val="single"/>
              </w:rPr>
              <w:t xml:space="preserve">  </w:t>
            </w:r>
            <w:r>
              <w:rPr>
                <w:rFonts w:hint="eastAsia" w:ascii="宋体" w:hAnsi="宋体"/>
                <w:snapToGrid w:val="0"/>
                <w:kern w:val="0"/>
                <w:sz w:val="24"/>
                <w:u w:val="single"/>
                <w:lang w:val="en-US" w:eastAsia="zh-CN"/>
              </w:rPr>
              <w:t xml:space="preserve">     </w:t>
            </w:r>
            <w:r>
              <w:rPr>
                <w:rFonts w:hint="eastAsia" w:ascii="宋体" w:hAnsi="宋体"/>
                <w:snapToGrid w:val="0"/>
                <w:kern w:val="0"/>
                <w:sz w:val="24"/>
                <w:u w:val="single"/>
              </w:rPr>
              <w:t xml:space="preserve">  </w:t>
            </w:r>
            <w:r>
              <w:rPr>
                <w:rFonts w:hint="eastAsia" w:ascii="宋体" w:hAnsi="宋体"/>
                <w:snapToGrid w:val="0"/>
                <w:kern w:val="0"/>
                <w:sz w:val="24"/>
                <w:u w:val="single"/>
                <w:lang w:val="en-US" w:eastAsia="zh-CN"/>
              </w:rPr>
              <w:t xml:space="preserve">   </w:t>
            </w:r>
          </w:p>
        </w:tc>
      </w:tr>
      <w:tr w14:paraId="412A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084" w:type="dxa"/>
            <w:vMerge w:val="continue"/>
            <w:vAlign w:val="center"/>
          </w:tcPr>
          <w:p w14:paraId="35B38A6F">
            <w:pPr>
              <w:rPr>
                <w:color w:val="auto"/>
                <w:highlight w:val="none"/>
              </w:rPr>
            </w:pPr>
          </w:p>
        </w:tc>
        <w:tc>
          <w:tcPr>
            <w:tcW w:w="998" w:type="dxa"/>
            <w:vAlign w:val="center"/>
          </w:tcPr>
          <w:p w14:paraId="3E4F5ABD">
            <w:pPr>
              <w:autoSpaceDE w:val="0"/>
              <w:autoSpaceDN w:val="0"/>
              <w:spacing w:line="450" w:lineRule="exact"/>
              <w:jc w:val="center"/>
              <w:textAlignment w:val="bottom"/>
              <w:rPr>
                <w:rFonts w:ascii="宋体"/>
                <w:color w:val="auto"/>
                <w:sz w:val="24"/>
                <w:highlight w:val="none"/>
              </w:rPr>
            </w:pPr>
            <w:r>
              <w:rPr>
                <w:rFonts w:hint="eastAsia" w:ascii="宋体"/>
                <w:color w:val="auto"/>
                <w:sz w:val="24"/>
                <w:highlight w:val="none"/>
              </w:rPr>
              <w:t>小写</w:t>
            </w:r>
          </w:p>
        </w:tc>
        <w:tc>
          <w:tcPr>
            <w:tcW w:w="5734" w:type="dxa"/>
            <w:vAlign w:val="center"/>
          </w:tcPr>
          <w:p w14:paraId="42F632D2">
            <w:pPr>
              <w:autoSpaceDE w:val="0"/>
              <w:autoSpaceDN w:val="0"/>
              <w:spacing w:line="450" w:lineRule="exact"/>
              <w:ind w:firstLine="1470" w:firstLineChars="700"/>
              <w:jc w:val="both"/>
              <w:textAlignment w:val="bottom"/>
              <w:rPr>
                <w:rFonts w:hint="eastAsia" w:ascii="宋体" w:eastAsia="宋体"/>
                <w:color w:val="auto"/>
                <w:sz w:val="24"/>
                <w:highlight w:val="none"/>
                <w:lang w:val="en-US" w:eastAsia="zh-CN"/>
              </w:rPr>
            </w:pPr>
            <w:r>
              <w:rPr>
                <w:rFonts w:hint="eastAsia"/>
                <w:color w:val="auto"/>
                <w:highlight w:val="none"/>
                <w:u w:val="single"/>
                <w:lang w:val="en-US" w:eastAsia="zh-CN"/>
              </w:rPr>
              <w:t xml:space="preserve">        </w:t>
            </w:r>
            <w:r>
              <w:rPr>
                <w:rFonts w:hint="eastAsia" w:ascii="宋体" w:hAnsi="宋体"/>
                <w:sz w:val="24"/>
              </w:rPr>
              <w:t>%</w:t>
            </w:r>
          </w:p>
        </w:tc>
      </w:tr>
    </w:tbl>
    <w:p w14:paraId="01941F40">
      <w:pPr>
        <w:spacing w:line="360" w:lineRule="auto"/>
        <w:rPr>
          <w:rFonts w:hint="eastAsia" w:ascii="宋体" w:hAnsi="宋体"/>
          <w:b/>
          <w:bCs/>
          <w:color w:val="auto"/>
          <w:kern w:val="0"/>
          <w:szCs w:val="21"/>
          <w:highlight w:val="none"/>
        </w:rPr>
      </w:pPr>
      <w:r>
        <w:rPr>
          <w:rFonts w:hint="eastAsia" w:ascii="宋体" w:hAnsi="宋体"/>
          <w:b/>
          <w:bCs/>
          <w:color w:val="auto"/>
          <w:kern w:val="0"/>
          <w:szCs w:val="21"/>
          <w:highlight w:val="none"/>
        </w:rPr>
        <w:t>填报要求：</w:t>
      </w:r>
    </w:p>
    <w:p w14:paraId="0DDC2E27">
      <w:pPr>
        <w:spacing w:line="360" w:lineRule="auto"/>
        <w:ind w:firstLine="422" w:firstLineChars="200"/>
        <w:rPr>
          <w:rFonts w:hint="eastAsia" w:ascii="宋体" w:hAnsi="宋体" w:cs="Times New Roman"/>
          <w:b/>
          <w:bCs/>
          <w:color w:val="auto"/>
          <w:kern w:val="0"/>
          <w:szCs w:val="21"/>
          <w:highlight w:val="none"/>
        </w:rPr>
      </w:pPr>
      <w:r>
        <w:rPr>
          <w:rFonts w:hint="eastAsia" w:ascii="宋体" w:hAnsi="宋体" w:cs="Times New Roman"/>
          <w:b/>
          <w:bCs/>
          <w:color w:val="auto"/>
          <w:kern w:val="0"/>
          <w:szCs w:val="21"/>
          <w:highlight w:val="none"/>
        </w:rPr>
        <w:t>1、结算率不得超过100%，否则做无效标处理。</w:t>
      </w:r>
    </w:p>
    <w:p w14:paraId="3F0DBD38">
      <w:pPr>
        <w:spacing w:line="360" w:lineRule="auto"/>
        <w:ind w:firstLine="422" w:firstLineChars="200"/>
        <w:rPr>
          <w:rFonts w:hint="eastAsia" w:ascii="宋体" w:hAnsi="宋体"/>
          <w:b/>
          <w:bCs/>
          <w:color w:val="auto"/>
          <w:kern w:val="0"/>
          <w:szCs w:val="21"/>
          <w:highlight w:val="none"/>
        </w:rPr>
      </w:pPr>
      <w:r>
        <w:rPr>
          <w:rFonts w:hint="eastAsia" w:ascii="宋体" w:hAnsi="宋体" w:cs="Times New Roman"/>
          <w:b/>
          <w:bCs/>
          <w:color w:val="auto"/>
          <w:kern w:val="0"/>
          <w:szCs w:val="21"/>
          <w:highlight w:val="none"/>
        </w:rPr>
        <w:t>2、结算率一次性包干，最终各项明细的结算单价=</w:t>
      </w:r>
      <w:r>
        <w:rPr>
          <w:rFonts w:hint="eastAsia" w:ascii="宋体" w:hAnsi="宋体" w:cs="Times New Roman"/>
          <w:b/>
          <w:bCs/>
          <w:color w:val="auto"/>
          <w:kern w:val="0"/>
          <w:szCs w:val="21"/>
          <w:highlight w:val="none"/>
          <w:lang w:eastAsia="zh-CN"/>
        </w:rPr>
        <w:t>采购清单单价表</w:t>
      </w:r>
      <w:r>
        <w:rPr>
          <w:rFonts w:hint="eastAsia" w:ascii="宋体" w:hAnsi="宋体" w:cs="Times New Roman"/>
          <w:b/>
          <w:bCs/>
          <w:color w:val="auto"/>
          <w:kern w:val="0"/>
          <w:szCs w:val="21"/>
          <w:highlight w:val="none"/>
        </w:rPr>
        <w:t>中各个项目明细的</w:t>
      </w:r>
      <w:r>
        <w:rPr>
          <w:rFonts w:hint="eastAsia" w:ascii="宋体" w:hAnsi="宋体" w:cs="Times New Roman"/>
          <w:b/>
          <w:bCs/>
          <w:color w:val="auto"/>
          <w:kern w:val="0"/>
          <w:szCs w:val="21"/>
          <w:highlight w:val="none"/>
          <w:lang w:eastAsia="zh-CN"/>
        </w:rPr>
        <w:t>综合单价控制价</w:t>
      </w:r>
      <w:r>
        <w:rPr>
          <w:rFonts w:hint="eastAsia" w:ascii="宋体" w:hAnsi="宋体" w:cs="Times New Roman"/>
          <w:b/>
          <w:bCs/>
          <w:color w:val="auto"/>
          <w:kern w:val="0"/>
          <w:szCs w:val="21"/>
          <w:highlight w:val="none"/>
        </w:rPr>
        <w:t>*结算率，最终各项明细的结算单价一次性包干。</w:t>
      </w:r>
    </w:p>
    <w:p w14:paraId="7C7C29B4">
      <w:pPr>
        <w:spacing w:line="360" w:lineRule="auto"/>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报价应包括采购内容及要求和服务工作内容中的全部内容可能发生的各项费用，如总报价应当包括所有一切人员工资、各种加班费、节假日补贴、各种社会保险、安全保险、食宿与交通、材料费、机械费、人工费、辅助材料费、建筑垃圾清运费、保险费、管理费、规费</w:t>
      </w:r>
      <w:r>
        <w:rPr>
          <w:rFonts w:hint="eastAsia" w:ascii="宋体" w:hAnsi="宋体" w:cs="Times New Roman"/>
          <w:color w:val="auto"/>
          <w:kern w:val="0"/>
          <w:szCs w:val="21"/>
          <w:highlight w:val="none"/>
        </w:rPr>
        <w:t>等</w:t>
      </w:r>
      <w:r>
        <w:rPr>
          <w:rFonts w:hint="eastAsia" w:ascii="宋体" w:hAnsi="宋体"/>
          <w:color w:val="auto"/>
          <w:kern w:val="0"/>
          <w:szCs w:val="21"/>
          <w:highlight w:val="none"/>
        </w:rPr>
        <w:t>政策性文件规定及合</w:t>
      </w:r>
      <w:r>
        <w:rPr>
          <w:rFonts w:hint="eastAsia" w:ascii="宋体" w:hAnsi="宋体"/>
          <w:color w:val="auto"/>
          <w:kern w:val="0"/>
          <w:szCs w:val="21"/>
          <w:highlight w:val="none"/>
        </w:rPr>
        <w:t>同包含的所有风险、责任等</w:t>
      </w:r>
      <w:r>
        <w:rPr>
          <w:rFonts w:hint="eastAsia" w:ascii="宋体" w:hAnsi="宋体"/>
          <w:color w:val="auto"/>
          <w:kern w:val="0"/>
          <w:szCs w:val="21"/>
          <w:highlight w:val="none"/>
          <w:lang w:eastAsia="zh-CN"/>
        </w:rPr>
        <w:t>所</w:t>
      </w:r>
      <w:r>
        <w:rPr>
          <w:rFonts w:hint="eastAsia" w:ascii="宋体" w:hAnsi="宋体"/>
          <w:color w:val="auto"/>
          <w:kern w:val="0"/>
          <w:szCs w:val="21"/>
          <w:highlight w:val="none"/>
        </w:rPr>
        <w:t>有费用</w:t>
      </w:r>
      <w:r>
        <w:rPr>
          <w:rFonts w:hint="eastAsia" w:ascii="宋体" w:hAnsi="宋体"/>
          <w:color w:val="auto"/>
          <w:kern w:val="0"/>
          <w:szCs w:val="21"/>
          <w:highlight w:val="none"/>
          <w:lang w:eastAsia="zh-CN"/>
        </w:rPr>
        <w:t>。</w:t>
      </w:r>
    </w:p>
    <w:p w14:paraId="29EF5DE3">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报价一经涂改，应在涂改处加盖单位公章，或者由法定代表人或全权代表签字或盖章，否则作无效标处理。</w:t>
      </w:r>
    </w:p>
    <w:p w14:paraId="170BADC6">
      <w:pPr>
        <w:spacing w:line="360" w:lineRule="auto"/>
        <w:ind w:firstLine="420" w:firstLineChars="200"/>
        <w:rPr>
          <w:rFonts w:hint="eastAsia" w:ascii="宋体" w:hAnsi="宋体"/>
          <w:color w:val="auto"/>
          <w:kern w:val="0"/>
          <w:szCs w:val="21"/>
          <w:highlight w:val="none"/>
          <w:lang w:eastAsia="zh-CN"/>
        </w:rPr>
      </w:pPr>
    </w:p>
    <w:p w14:paraId="0023AD4D">
      <w:pPr>
        <w:spacing w:line="360" w:lineRule="auto"/>
        <w:ind w:left="420"/>
        <w:rPr>
          <w:rFonts w:ascii="宋体"/>
          <w:color w:val="auto"/>
          <w:sz w:val="24"/>
          <w:highlight w:val="none"/>
        </w:rPr>
      </w:pPr>
    </w:p>
    <w:p w14:paraId="6ABD6C79">
      <w:pPr>
        <w:spacing w:line="360" w:lineRule="auto"/>
        <w:ind w:left="284" w:firstLine="134" w:firstLineChars="56"/>
        <w:rPr>
          <w:rFonts w:ascii="宋体"/>
          <w:color w:val="auto"/>
          <w:sz w:val="24"/>
          <w:highlight w:val="none"/>
        </w:rPr>
      </w:pPr>
      <w:r>
        <w:rPr>
          <w:rFonts w:hint="eastAsia" w:ascii="宋体"/>
          <w:color w:val="auto"/>
          <w:sz w:val="24"/>
          <w:highlight w:val="none"/>
        </w:rPr>
        <w:t xml:space="preserve">投标人名称（签电子公章）： </w:t>
      </w:r>
      <w:r>
        <w:rPr>
          <w:rFonts w:ascii="宋体"/>
          <w:color w:val="auto"/>
          <w:sz w:val="24"/>
          <w:highlight w:val="none"/>
        </w:rPr>
        <w:t xml:space="preserve">             </w:t>
      </w:r>
    </w:p>
    <w:p w14:paraId="1C578771">
      <w:pPr>
        <w:spacing w:line="360" w:lineRule="auto"/>
        <w:ind w:left="284" w:firstLine="134" w:firstLineChars="56"/>
        <w:rPr>
          <w:rFonts w:ascii="宋体"/>
          <w:color w:val="auto"/>
          <w:sz w:val="24"/>
          <w:highlight w:val="none"/>
        </w:rPr>
      </w:pPr>
      <w:r>
        <w:rPr>
          <w:rFonts w:hint="eastAsia" w:ascii="宋体"/>
          <w:color w:val="auto"/>
          <w:sz w:val="24"/>
          <w:highlight w:val="none"/>
        </w:rPr>
        <w:t>法定代表人或授权委托人(签章或签字)：</w:t>
      </w:r>
    </w:p>
    <w:p w14:paraId="0ACB022A">
      <w:pPr>
        <w:adjustRightInd w:val="0"/>
        <w:snapToGrid w:val="0"/>
        <w:spacing w:line="360" w:lineRule="auto"/>
        <w:ind w:left="284" w:firstLine="134" w:firstLineChars="56"/>
        <w:rPr>
          <w:rFonts w:hint="eastAsia"/>
          <w:b/>
          <w:color w:val="auto"/>
          <w:sz w:val="28"/>
          <w:highlight w:val="none"/>
        </w:rPr>
      </w:pPr>
      <w:r>
        <w:rPr>
          <w:rFonts w:hint="eastAsia"/>
          <w:color w:val="auto"/>
          <w:sz w:val="24"/>
          <w:highlight w:val="none"/>
        </w:rPr>
        <w:t>日        期：</w:t>
      </w:r>
      <w:r>
        <w:rPr>
          <w:rFonts w:ascii="宋体"/>
          <w:color w:val="auto"/>
          <w:sz w:val="24"/>
          <w:highlight w:val="none"/>
        </w:rPr>
        <w:t xml:space="preserve"> </w:t>
      </w:r>
      <w:bookmarkStart w:id="38" w:name="_Toc54092074"/>
    </w:p>
    <w:p w14:paraId="217EE397">
      <w:pPr>
        <w:adjustRightInd w:val="0"/>
        <w:snapToGrid w:val="0"/>
        <w:spacing w:line="360" w:lineRule="auto"/>
        <w:ind w:left="284" w:firstLine="157" w:firstLineChars="56"/>
        <w:rPr>
          <w:rFonts w:hint="eastAsia"/>
          <w:b/>
          <w:color w:val="auto"/>
          <w:sz w:val="28"/>
          <w:highlight w:val="none"/>
        </w:rPr>
      </w:pPr>
    </w:p>
    <w:p w14:paraId="7AC79513">
      <w:pPr>
        <w:adjustRightInd w:val="0"/>
        <w:snapToGrid w:val="0"/>
        <w:spacing w:line="360" w:lineRule="auto"/>
        <w:ind w:left="284" w:firstLine="157" w:firstLineChars="56"/>
        <w:rPr>
          <w:rFonts w:hint="eastAsia"/>
          <w:b/>
          <w:color w:val="auto"/>
          <w:sz w:val="28"/>
          <w:highlight w:val="none"/>
        </w:rPr>
      </w:pPr>
    </w:p>
    <w:p w14:paraId="2C1813F2">
      <w:pPr>
        <w:adjustRightInd w:val="0"/>
        <w:snapToGrid w:val="0"/>
        <w:spacing w:line="360" w:lineRule="auto"/>
        <w:ind w:left="284" w:firstLine="157" w:firstLineChars="56"/>
        <w:rPr>
          <w:rFonts w:hint="eastAsia"/>
          <w:b/>
          <w:color w:val="auto"/>
          <w:sz w:val="28"/>
          <w:highlight w:val="none"/>
        </w:rPr>
      </w:pPr>
    </w:p>
    <w:p w14:paraId="760539E6">
      <w:pPr>
        <w:adjustRightInd w:val="0"/>
        <w:snapToGrid w:val="0"/>
        <w:spacing w:line="360" w:lineRule="auto"/>
        <w:ind w:left="284" w:firstLine="157" w:firstLineChars="56"/>
        <w:rPr>
          <w:rFonts w:hint="eastAsia"/>
          <w:b/>
          <w:color w:val="auto"/>
          <w:sz w:val="28"/>
          <w:highlight w:val="none"/>
        </w:rPr>
      </w:pPr>
    </w:p>
    <w:bookmarkEnd w:id="38"/>
    <w:p w14:paraId="711EE6DA">
      <w:pP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16：</w:t>
      </w:r>
    </w:p>
    <w:p w14:paraId="1C4875E2">
      <w:pPr>
        <w:pStyle w:val="98"/>
        <w:widowControl w:val="0"/>
        <w:snapToGrid w:val="0"/>
        <w:spacing w:line="360" w:lineRule="auto"/>
        <w:rPr>
          <w:rFonts w:hAnsi="宋体"/>
          <w:b/>
          <w:color w:val="auto"/>
          <w:sz w:val="24"/>
          <w:szCs w:val="24"/>
          <w:highlight w:val="none"/>
        </w:rPr>
      </w:pPr>
      <w:r>
        <w:rPr>
          <w:rFonts w:ascii="仿宋" w:hAnsi="仿宋"/>
          <w:b/>
          <w:color w:val="auto"/>
          <w:szCs w:val="24"/>
          <w:highlight w:val="none"/>
        </w:rPr>
        <w:t xml:space="preserve"> (参加本项目采购活动的供应商须填写“政府采购活动现场确认声明书”，并在</w:t>
      </w:r>
      <w:r>
        <w:rPr>
          <w:rFonts w:hint="eastAsia" w:ascii="仿宋" w:hAnsi="仿宋"/>
          <w:b/>
          <w:color w:val="auto"/>
          <w:szCs w:val="24"/>
          <w:highlight w:val="none"/>
          <w:lang w:val="en-US" w:eastAsia="zh-CN"/>
        </w:rPr>
        <w:t>解密结束</w:t>
      </w:r>
      <w:r>
        <w:rPr>
          <w:rFonts w:ascii="仿宋" w:hAnsi="仿宋"/>
          <w:b/>
          <w:color w:val="auto"/>
          <w:szCs w:val="24"/>
          <w:highlight w:val="none"/>
        </w:rPr>
        <w:t>后填写完成，将扫描件发送至邮箱</w:t>
      </w:r>
      <w:r>
        <w:rPr>
          <w:rFonts w:hint="eastAsia" w:ascii="仿宋" w:hAnsi="仿宋"/>
          <w:b/>
          <w:color w:val="auto"/>
          <w:szCs w:val="24"/>
          <w:highlight w:val="none"/>
          <w:lang w:val="en-US" w:eastAsia="zh-CN"/>
        </w:rPr>
        <w:t>234908526@qq.com</w:t>
      </w:r>
      <w:r>
        <w:rPr>
          <w:rFonts w:ascii="仿宋" w:hAnsi="仿宋"/>
          <w:b/>
          <w:color w:val="auto"/>
          <w:szCs w:val="24"/>
          <w:highlight w:val="none"/>
        </w:rPr>
        <w:t>)</w:t>
      </w:r>
    </w:p>
    <w:p w14:paraId="79C6AECF">
      <w:pPr>
        <w:pStyle w:val="98"/>
        <w:widowControl w:val="0"/>
        <w:snapToGrid w:val="0"/>
        <w:spacing w:line="360" w:lineRule="auto"/>
        <w:jc w:val="center"/>
        <w:rPr>
          <w:rFonts w:hint="eastAsia" w:ascii="仿宋" w:hAnsi="仿宋"/>
          <w:color w:val="auto"/>
          <w:spacing w:val="6"/>
          <w:kern w:val="2"/>
          <w:sz w:val="24"/>
          <w:szCs w:val="24"/>
          <w:highlight w:val="none"/>
        </w:rPr>
      </w:pPr>
      <w:r>
        <w:rPr>
          <w:rFonts w:ascii="仿宋" w:hAnsi="仿宋" w:eastAsia="宋体" w:cs="Times New Roman"/>
          <w:b/>
          <w:bCs/>
          <w:color w:val="auto"/>
          <w:spacing w:val="6"/>
          <w:sz w:val="32"/>
          <w:szCs w:val="32"/>
          <w:highlight w:val="none"/>
        </w:rPr>
        <w:t>政府采购活动现场确认声明书</w:t>
      </w:r>
    </w:p>
    <w:p w14:paraId="3CE0B679">
      <w:pPr>
        <w:pStyle w:val="98"/>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仿宋" w:hAnsi="仿宋"/>
          <w:b/>
          <w:color w:val="auto"/>
          <w:sz w:val="24"/>
          <w:szCs w:val="24"/>
          <w:highlight w:val="none"/>
        </w:rPr>
      </w:pPr>
      <w:r>
        <w:rPr>
          <w:rFonts w:hint="eastAsia" w:ascii="仿宋" w:hAnsi="仿宋"/>
          <w:color w:val="auto"/>
          <w:kern w:val="0"/>
          <w:sz w:val="21"/>
          <w:szCs w:val="21"/>
          <w:highlight w:val="none"/>
          <w:u w:val="single"/>
          <w:lang w:val="en-US" w:eastAsia="zh-CN"/>
        </w:rPr>
        <w:t>台州市椒江区人民政府海虹街道办事处/台州中亿工程管理有限公司</w:t>
      </w:r>
      <w:r>
        <w:rPr>
          <w:rFonts w:ascii="仿宋" w:hAnsi="仿宋"/>
          <w:color w:val="auto"/>
          <w:kern w:val="0"/>
          <w:sz w:val="21"/>
          <w:szCs w:val="21"/>
          <w:highlight w:val="none"/>
        </w:rPr>
        <w:t>：</w:t>
      </w:r>
    </w:p>
    <w:p w14:paraId="631DAD20">
      <w:pPr>
        <w:pStyle w:val="116"/>
        <w:snapToGrid w:val="0"/>
        <w:spacing w:line="360" w:lineRule="auto"/>
        <w:ind w:firstLine="444" w:firstLineChars="200"/>
        <w:outlineLvl w:val="9"/>
        <w:rPr>
          <w:rFonts w:hint="eastAsia" w:ascii="宋体" w:hAnsi="宋体" w:eastAsia="宋体" w:cs="宋体"/>
          <w:spacing w:val="6"/>
          <w:szCs w:val="21"/>
          <w:highlight w:val="none"/>
        </w:rPr>
      </w:pPr>
      <w:r>
        <w:rPr>
          <w:rFonts w:hint="eastAsia" w:ascii="宋体" w:hAnsi="宋体" w:eastAsia="宋体" w:cs="宋体"/>
          <w:spacing w:val="6"/>
          <w:szCs w:val="21"/>
          <w:highlight w:val="none"/>
        </w:rPr>
        <w:t>本人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（授权代表姓名），经由</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（单位）</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法定代表人姓名）合法授权参加</w:t>
      </w:r>
      <w:r>
        <w:rPr>
          <w:rFonts w:hint="eastAsia" w:ascii="宋体" w:hAnsi="宋体" w:eastAsia="宋体" w:cs="宋体"/>
          <w:kern w:val="0"/>
          <w:szCs w:val="21"/>
          <w:highlight w:val="none"/>
          <w:u w:val="single"/>
          <w:lang w:val="en-US" w:eastAsia="zh-CN"/>
        </w:rPr>
        <w:t>海虹街道排水设施排查养护项目</w:t>
      </w:r>
      <w:r>
        <w:rPr>
          <w:rFonts w:hint="eastAsia" w:ascii="宋体" w:hAnsi="宋体" w:eastAsia="宋体" w:cs="宋体"/>
          <w:spacing w:val="6"/>
          <w:szCs w:val="21"/>
          <w:highlight w:val="none"/>
        </w:rPr>
        <w:t>（编号：</w:t>
      </w:r>
      <w:r>
        <w:rPr>
          <w:rFonts w:hint="eastAsia" w:ascii="宋体" w:hAnsi="宋体" w:eastAsia="宋体" w:cs="宋体"/>
          <w:color w:val="auto"/>
          <w:kern w:val="0"/>
          <w:sz w:val="21"/>
          <w:szCs w:val="21"/>
          <w:highlight w:val="none"/>
          <w:u w:val="single"/>
          <w:lang w:val="en-US" w:eastAsia="zh-CN"/>
        </w:rPr>
        <w:t>tzzy-2024013号</w:t>
      </w:r>
      <w:r>
        <w:rPr>
          <w:rFonts w:hint="eastAsia" w:ascii="宋体" w:hAnsi="宋体" w:eastAsia="宋体" w:cs="宋体"/>
          <w:spacing w:val="6"/>
          <w:szCs w:val="21"/>
          <w:highlight w:val="none"/>
        </w:rPr>
        <w:t>）政府采</w:t>
      </w:r>
      <w:r>
        <w:rPr>
          <w:rFonts w:hint="eastAsia" w:ascii="宋体" w:hAnsi="宋体" w:eastAsia="宋体" w:cs="宋体"/>
          <w:spacing w:val="6"/>
          <w:szCs w:val="21"/>
          <w:highlight w:val="none"/>
          <w:lang w:eastAsia="zh-CN"/>
        </w:rPr>
        <w:t>活</w:t>
      </w:r>
      <w:r>
        <w:rPr>
          <w:rFonts w:hint="eastAsia" w:ascii="宋体" w:hAnsi="宋体" w:eastAsia="宋体" w:cs="宋体"/>
          <w:spacing w:val="6"/>
          <w:szCs w:val="21"/>
          <w:highlight w:val="none"/>
        </w:rPr>
        <w:t>活动，经与本单位法人代表（负责人）联系确认，现就有关公平竞争事项郑重声明如下：</w:t>
      </w:r>
    </w:p>
    <w:p w14:paraId="5ED54A25">
      <w:pPr>
        <w:pStyle w:val="102"/>
        <w:widowControl/>
        <w:snapToGrid w:val="0"/>
        <w:spacing w:line="360" w:lineRule="auto"/>
        <w:ind w:firstLine="420" w:firstLineChars="200"/>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一、本单位与采购人之间</w:t>
      </w:r>
      <w:r>
        <w:rPr>
          <w:rFonts w:hint="eastAsia" w:ascii="宋体" w:hAnsi="宋体" w:eastAsia="宋体" w:cs="宋体"/>
          <w:b/>
          <w:bCs/>
          <w:kern w:val="0"/>
          <w:szCs w:val="21"/>
          <w:highlight w:val="none"/>
        </w:rPr>
        <w:t>□</w:t>
      </w:r>
      <w:r>
        <w:rPr>
          <w:rFonts w:hint="eastAsia" w:ascii="宋体" w:hAnsi="宋体" w:eastAsia="宋体" w:cs="宋体"/>
          <w:kern w:val="0"/>
          <w:szCs w:val="21"/>
          <w:highlight w:val="none"/>
        </w:rPr>
        <w:t>不存在利害关系</w:t>
      </w:r>
      <w:r>
        <w:rPr>
          <w:rFonts w:hint="eastAsia" w:ascii="宋体" w:hAnsi="宋体" w:eastAsia="宋体" w:cs="宋体"/>
          <w:b/>
          <w:bCs/>
          <w:kern w:val="0"/>
          <w:szCs w:val="21"/>
          <w:highlight w:val="none"/>
        </w:rPr>
        <w:t>□</w:t>
      </w:r>
      <w:r>
        <w:rPr>
          <w:rFonts w:hint="eastAsia" w:ascii="宋体" w:hAnsi="宋体" w:eastAsia="宋体" w:cs="宋体"/>
          <w:kern w:val="0"/>
          <w:szCs w:val="21"/>
          <w:highlight w:val="none"/>
        </w:rPr>
        <w:t>存在下列利害关系：</w:t>
      </w:r>
    </w:p>
    <w:p w14:paraId="654717A3">
      <w:pPr>
        <w:pStyle w:val="102"/>
        <w:widowControl/>
        <w:snapToGrid w:val="0"/>
        <w:spacing w:line="360" w:lineRule="auto"/>
        <w:ind w:firstLine="420" w:firstLineChars="200"/>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A.投资关系    B.行政隶属关系    C.业务指导关系</w:t>
      </w:r>
    </w:p>
    <w:p w14:paraId="43DB5ECE">
      <w:pPr>
        <w:pStyle w:val="102"/>
        <w:widowControl/>
        <w:snapToGrid w:val="0"/>
        <w:spacing w:line="360" w:lineRule="auto"/>
        <w:ind w:firstLine="420" w:firstLineChars="200"/>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D.其他可能</w:t>
      </w:r>
      <w:r>
        <w:rPr>
          <w:rFonts w:hint="eastAsia" w:ascii="宋体" w:hAnsi="宋体" w:eastAsia="宋体" w:cs="宋体"/>
          <w:szCs w:val="21"/>
          <w:highlight w:val="none"/>
        </w:rPr>
        <w:t>影响采购公正的</w:t>
      </w:r>
      <w:r>
        <w:rPr>
          <w:rFonts w:hint="eastAsia" w:ascii="宋体" w:hAnsi="宋体" w:eastAsia="宋体" w:cs="宋体"/>
          <w:kern w:val="0"/>
          <w:szCs w:val="21"/>
          <w:highlight w:val="none"/>
        </w:rPr>
        <w:t>利害关系</w:t>
      </w:r>
      <w:r>
        <w:rPr>
          <w:rFonts w:hint="eastAsia" w:ascii="宋体" w:hAnsi="宋体" w:eastAsia="宋体" w:cs="宋体"/>
          <w:kern w:val="0"/>
          <w:szCs w:val="21"/>
          <w:highlight w:val="none"/>
          <w:u w:val="single"/>
        </w:rPr>
        <w:t>（如有，请如实说明）</w:t>
      </w:r>
      <w:r>
        <w:rPr>
          <w:rFonts w:hint="eastAsia" w:ascii="宋体" w:hAnsi="宋体" w:eastAsia="宋体" w:cs="宋体"/>
          <w:kern w:val="0"/>
          <w:szCs w:val="21"/>
          <w:highlight w:val="none"/>
        </w:rPr>
        <w:t>。</w:t>
      </w:r>
    </w:p>
    <w:p w14:paraId="208D7376">
      <w:pPr>
        <w:pStyle w:val="102"/>
        <w:widowControl/>
        <w:snapToGrid w:val="0"/>
        <w:spacing w:line="360" w:lineRule="auto"/>
        <w:ind w:firstLine="444" w:firstLineChars="200"/>
        <w:outlineLvl w:val="9"/>
        <w:rPr>
          <w:rFonts w:hint="eastAsia" w:ascii="宋体" w:hAnsi="宋体" w:eastAsia="宋体" w:cs="宋体"/>
          <w:kern w:val="0"/>
          <w:szCs w:val="21"/>
          <w:highlight w:val="none"/>
        </w:rPr>
      </w:pPr>
      <w:r>
        <w:rPr>
          <w:rFonts w:hint="eastAsia" w:ascii="宋体" w:hAnsi="宋体" w:eastAsia="宋体" w:cs="宋体"/>
          <w:spacing w:val="6"/>
          <w:szCs w:val="21"/>
          <w:highlight w:val="none"/>
        </w:rPr>
        <w:t>二、</w:t>
      </w:r>
      <w:r>
        <w:rPr>
          <w:rFonts w:hint="eastAsia" w:ascii="宋体" w:hAnsi="宋体" w:eastAsia="宋体" w:cs="宋体"/>
          <w:kern w:val="0"/>
          <w:szCs w:val="21"/>
          <w:highlight w:val="none"/>
        </w:rPr>
        <w:t>现已清楚知道参加本项目采购活动的其他所有供应商名称，本单位</w:t>
      </w:r>
      <w:r>
        <w:rPr>
          <w:rFonts w:hint="eastAsia" w:ascii="宋体" w:hAnsi="宋体" w:eastAsia="宋体" w:cs="宋体"/>
          <w:b/>
          <w:bCs/>
          <w:kern w:val="0"/>
          <w:szCs w:val="21"/>
          <w:highlight w:val="none"/>
        </w:rPr>
        <w:t>□</w:t>
      </w:r>
      <w:r>
        <w:rPr>
          <w:rFonts w:hint="eastAsia" w:ascii="宋体" w:hAnsi="宋体" w:eastAsia="宋体" w:cs="宋体"/>
          <w:kern w:val="0"/>
          <w:szCs w:val="21"/>
          <w:highlight w:val="none"/>
        </w:rPr>
        <w:t>与其他所有供应商之间均不存在利害关系</w:t>
      </w:r>
      <w:r>
        <w:rPr>
          <w:rFonts w:hint="eastAsia" w:ascii="宋体" w:hAnsi="宋体" w:eastAsia="宋体" w:cs="宋体"/>
          <w:b/>
          <w:bCs/>
          <w:kern w:val="0"/>
          <w:szCs w:val="21"/>
          <w:highlight w:val="none"/>
        </w:rPr>
        <w:t>□</w:t>
      </w:r>
      <w:r>
        <w:rPr>
          <w:rFonts w:hint="eastAsia" w:ascii="宋体" w:hAnsi="宋体" w:eastAsia="宋体" w:cs="宋体"/>
          <w:kern w:val="0"/>
          <w:szCs w:val="21"/>
          <w:highlight w:val="none"/>
        </w:rPr>
        <w:t>与</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（供应商名称）之间存在下列利害关系：</w:t>
      </w:r>
    </w:p>
    <w:p w14:paraId="6344CAF2">
      <w:pPr>
        <w:pStyle w:val="116"/>
        <w:snapToGrid w:val="0"/>
        <w:spacing w:line="360" w:lineRule="auto"/>
        <w:ind w:firstLine="420" w:firstLineChars="200"/>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A.法定代表人或负责人或实际控制人是同一人；</w:t>
      </w:r>
    </w:p>
    <w:p w14:paraId="5ADC7CA3">
      <w:pPr>
        <w:pStyle w:val="116"/>
        <w:snapToGrid w:val="0"/>
        <w:spacing w:line="360" w:lineRule="auto"/>
        <w:ind w:firstLine="420" w:firstLineChars="200"/>
        <w:outlineLvl w:val="9"/>
        <w:rPr>
          <w:rFonts w:hint="eastAsia" w:ascii="宋体" w:hAnsi="宋体" w:eastAsia="宋体" w:cs="宋体"/>
          <w:spacing w:val="6"/>
          <w:szCs w:val="21"/>
          <w:highlight w:val="none"/>
        </w:rPr>
      </w:pPr>
      <w:r>
        <w:rPr>
          <w:rFonts w:hint="eastAsia" w:ascii="宋体" w:hAnsi="宋体" w:eastAsia="宋体" w:cs="宋体"/>
          <w:kern w:val="0"/>
          <w:szCs w:val="21"/>
          <w:highlight w:val="none"/>
        </w:rPr>
        <w:t>B.法定代表人或负责人或实际控制人是夫妻关系；</w:t>
      </w:r>
    </w:p>
    <w:p w14:paraId="0EB21A94">
      <w:pPr>
        <w:pStyle w:val="116"/>
        <w:snapToGrid w:val="0"/>
        <w:spacing w:line="360" w:lineRule="auto"/>
        <w:ind w:firstLine="420" w:firstLineChars="200"/>
        <w:outlineLvl w:val="9"/>
        <w:rPr>
          <w:rFonts w:hint="eastAsia" w:ascii="宋体" w:hAnsi="宋体" w:eastAsia="宋体" w:cs="宋体"/>
          <w:spacing w:val="6"/>
          <w:szCs w:val="21"/>
          <w:highlight w:val="none"/>
        </w:rPr>
      </w:pPr>
      <w:r>
        <w:rPr>
          <w:rFonts w:hint="eastAsia" w:ascii="宋体" w:hAnsi="宋体" w:eastAsia="宋体" w:cs="宋体"/>
          <w:kern w:val="0"/>
          <w:szCs w:val="21"/>
          <w:highlight w:val="none"/>
        </w:rPr>
        <w:t>C.法定代表人或负责人或实际控制人是直系血亲关系；</w:t>
      </w:r>
    </w:p>
    <w:p w14:paraId="71E10991">
      <w:pPr>
        <w:pStyle w:val="116"/>
        <w:snapToGrid w:val="0"/>
        <w:spacing w:line="360" w:lineRule="auto"/>
        <w:ind w:firstLine="420" w:firstLineChars="200"/>
        <w:outlineLvl w:val="9"/>
        <w:rPr>
          <w:rFonts w:hint="eastAsia" w:ascii="宋体" w:hAnsi="宋体" w:eastAsia="宋体" w:cs="宋体"/>
          <w:spacing w:val="6"/>
          <w:szCs w:val="21"/>
          <w:highlight w:val="none"/>
        </w:rPr>
      </w:pPr>
      <w:r>
        <w:rPr>
          <w:rFonts w:hint="eastAsia" w:ascii="宋体" w:hAnsi="宋体" w:eastAsia="宋体" w:cs="宋体"/>
          <w:kern w:val="0"/>
          <w:szCs w:val="21"/>
          <w:highlight w:val="none"/>
        </w:rPr>
        <w:t>D.法定代表人或负责人或实际控制人存在三代以内旁系血亲关系；</w:t>
      </w:r>
    </w:p>
    <w:p w14:paraId="4D613FD8">
      <w:pPr>
        <w:pStyle w:val="116"/>
        <w:snapToGrid w:val="0"/>
        <w:spacing w:line="360" w:lineRule="auto"/>
        <w:ind w:firstLine="420" w:firstLineChars="200"/>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E.法定代表人或负责人或实际控制人存在近姻亲关系；</w:t>
      </w:r>
    </w:p>
    <w:p w14:paraId="3F91D7B3">
      <w:pPr>
        <w:pStyle w:val="116"/>
        <w:snapToGrid w:val="0"/>
        <w:spacing w:line="360" w:lineRule="auto"/>
        <w:ind w:firstLine="420" w:firstLineChars="200"/>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F.法定代表人或负责人或实际控制人存在股份控制或实际控制关系；</w:t>
      </w:r>
    </w:p>
    <w:p w14:paraId="5483E671">
      <w:pPr>
        <w:pStyle w:val="116"/>
        <w:snapToGrid w:val="0"/>
        <w:spacing w:line="360" w:lineRule="auto"/>
        <w:ind w:firstLine="420" w:firstLineChars="200"/>
        <w:outlineLvl w:val="9"/>
        <w:rPr>
          <w:rFonts w:hint="eastAsia" w:ascii="宋体" w:hAnsi="宋体" w:eastAsia="宋体" w:cs="宋体"/>
          <w:kern w:val="0"/>
          <w:szCs w:val="21"/>
          <w:highlight w:val="none"/>
        </w:rPr>
      </w:pPr>
      <w:bookmarkStart w:id="39" w:name="_Toc17443"/>
      <w:bookmarkStart w:id="40" w:name="_Toc6204"/>
      <w:bookmarkStart w:id="41" w:name="_Toc24414"/>
      <w:bookmarkStart w:id="42" w:name="_Toc6796"/>
      <w:r>
        <w:rPr>
          <w:rFonts w:hint="eastAsia" w:ascii="宋体" w:hAnsi="宋体" w:eastAsia="宋体" w:cs="宋体"/>
          <w:kern w:val="0"/>
          <w:szCs w:val="21"/>
          <w:highlight w:val="none"/>
        </w:rPr>
        <w:t>G.存在共同直接或间接投资设立子公司、联营企业和合营企业情况；</w:t>
      </w:r>
      <w:bookmarkEnd w:id="39"/>
      <w:bookmarkEnd w:id="40"/>
      <w:bookmarkEnd w:id="41"/>
      <w:bookmarkEnd w:id="42"/>
    </w:p>
    <w:p w14:paraId="0F44CA36">
      <w:pPr>
        <w:pStyle w:val="116"/>
        <w:snapToGrid w:val="0"/>
        <w:spacing w:line="360" w:lineRule="auto"/>
        <w:ind w:firstLine="420" w:firstLineChars="200"/>
        <w:outlineLvl w:val="9"/>
        <w:rPr>
          <w:rFonts w:hint="eastAsia" w:ascii="宋体" w:hAnsi="宋体" w:eastAsia="宋体" w:cs="宋体"/>
          <w:szCs w:val="21"/>
          <w:highlight w:val="none"/>
        </w:rPr>
      </w:pPr>
      <w:r>
        <w:rPr>
          <w:rFonts w:hint="eastAsia" w:ascii="宋体" w:hAnsi="宋体" w:eastAsia="宋体" w:cs="宋体"/>
          <w:kern w:val="0"/>
          <w:szCs w:val="21"/>
          <w:highlight w:val="none"/>
        </w:rPr>
        <w:t>H.存在分级代理或代销关系、同一生产制造商关系、</w:t>
      </w:r>
      <w:r>
        <w:rPr>
          <w:rFonts w:hint="eastAsia" w:ascii="宋体" w:hAnsi="宋体" w:eastAsia="宋体" w:cs="宋体"/>
          <w:szCs w:val="21"/>
          <w:highlight w:val="none"/>
        </w:rPr>
        <w:t>管理关系、重要业务（占主营业务收入50%以上）或重要财务往来关系（如融资）等其他实质性控制关系；</w:t>
      </w:r>
    </w:p>
    <w:p w14:paraId="7B66A7F3">
      <w:pPr>
        <w:pStyle w:val="116"/>
        <w:snapToGrid w:val="0"/>
        <w:spacing w:line="360" w:lineRule="auto"/>
        <w:ind w:firstLine="420" w:firstLineChars="200"/>
        <w:outlineLvl w:val="9"/>
        <w:rPr>
          <w:rFonts w:hint="eastAsia" w:ascii="宋体" w:hAnsi="宋体" w:eastAsia="宋体" w:cs="宋体"/>
          <w:spacing w:val="6"/>
          <w:szCs w:val="21"/>
          <w:highlight w:val="none"/>
        </w:rPr>
      </w:pPr>
      <w:r>
        <w:rPr>
          <w:rFonts w:hint="eastAsia" w:ascii="宋体" w:hAnsi="宋体" w:eastAsia="宋体" w:cs="宋体"/>
          <w:szCs w:val="21"/>
          <w:highlight w:val="none"/>
        </w:rPr>
        <w:t>I</w:t>
      </w:r>
      <w:r>
        <w:rPr>
          <w:rFonts w:hint="eastAsia" w:ascii="宋体" w:hAnsi="宋体" w:eastAsia="宋体" w:cs="宋体"/>
          <w:kern w:val="0"/>
          <w:szCs w:val="21"/>
          <w:highlight w:val="none"/>
        </w:rPr>
        <w:t>.</w:t>
      </w:r>
      <w:r>
        <w:rPr>
          <w:rFonts w:hint="eastAsia" w:ascii="宋体" w:hAnsi="宋体" w:eastAsia="宋体" w:cs="宋体"/>
          <w:szCs w:val="21"/>
          <w:highlight w:val="none"/>
        </w:rPr>
        <w:t>其他利害关系情况</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rPr>
        <w:t>。</w:t>
      </w:r>
    </w:p>
    <w:p w14:paraId="7736C14E">
      <w:pPr>
        <w:pStyle w:val="102"/>
        <w:widowControl/>
        <w:snapToGrid w:val="0"/>
        <w:spacing w:line="360" w:lineRule="auto"/>
        <w:ind w:firstLine="420" w:firstLineChars="200"/>
        <w:outlineLvl w:val="9"/>
        <w:rPr>
          <w:rFonts w:hint="eastAsia" w:ascii="宋体" w:hAnsi="宋体" w:eastAsia="宋体" w:cs="宋体"/>
          <w:kern w:val="0"/>
          <w:szCs w:val="21"/>
          <w:highlight w:val="none"/>
        </w:rPr>
      </w:pPr>
      <w:r>
        <w:rPr>
          <w:rFonts w:hint="eastAsia" w:ascii="宋体" w:hAnsi="宋体" w:eastAsia="宋体" w:cs="宋体"/>
          <w:szCs w:val="21"/>
          <w:highlight w:val="none"/>
        </w:rPr>
        <w:t>三、现已清楚知道并</w:t>
      </w:r>
      <w:r>
        <w:rPr>
          <w:rFonts w:hint="eastAsia" w:ascii="宋体" w:hAnsi="宋体" w:eastAsia="宋体" w:cs="宋体"/>
          <w:kern w:val="0"/>
          <w:szCs w:val="21"/>
          <w:highlight w:val="none"/>
        </w:rPr>
        <w:t>严格遵守政府采购法律法规和现场纪律。</w:t>
      </w:r>
    </w:p>
    <w:p w14:paraId="60075B88">
      <w:pPr>
        <w:pStyle w:val="102"/>
        <w:widowControl/>
        <w:snapToGrid w:val="0"/>
        <w:spacing w:line="360" w:lineRule="auto"/>
        <w:ind w:firstLine="420" w:firstLineChars="200"/>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四、我发现</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供应商之间存在或可能存在上述第二条第</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项利害关系。</w:t>
      </w:r>
    </w:p>
    <w:p w14:paraId="4009A106">
      <w:pPr>
        <w:pStyle w:val="116"/>
        <w:snapToGrid w:val="0"/>
        <w:outlineLvl w:val="9"/>
        <w:rPr>
          <w:rFonts w:hint="eastAsia" w:ascii="宋体" w:hAnsi="宋体" w:eastAsia="宋体" w:cs="宋体"/>
          <w:szCs w:val="21"/>
          <w:highlight w:val="none"/>
        </w:rPr>
      </w:pPr>
    </w:p>
    <w:p w14:paraId="378B4453">
      <w:pPr>
        <w:pStyle w:val="116"/>
        <w:snapToGrid w:val="0"/>
        <w:ind w:firstLine="420" w:firstLineChars="200"/>
        <w:jc w:val="center"/>
        <w:outlineLvl w:val="9"/>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4143F67C">
      <w:pPr>
        <w:pStyle w:val="116"/>
        <w:snapToGrid w:val="0"/>
        <w:ind w:firstLine="420" w:firstLineChars="200"/>
        <w:jc w:val="center"/>
        <w:outlineLvl w:val="9"/>
        <w:rPr>
          <w:rFonts w:hint="eastAsia" w:ascii="宋体" w:hAnsi="宋体" w:eastAsia="宋体" w:cs="宋体"/>
          <w:szCs w:val="21"/>
          <w:highlight w:val="none"/>
        </w:rPr>
      </w:pPr>
    </w:p>
    <w:p w14:paraId="5E02C6B3">
      <w:pPr>
        <w:pStyle w:val="116"/>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 xml:space="preserve">                               （供应商代表签名）：</w:t>
      </w:r>
    </w:p>
    <w:p w14:paraId="717E82FC">
      <w:pPr>
        <w:keepNext w:val="0"/>
        <w:keepLines w:val="0"/>
        <w:pageBreakBefore w:val="0"/>
        <w:widowControl w:val="0"/>
        <w:kinsoku/>
        <w:wordWrap/>
        <w:overflowPunct/>
        <w:topLinePunct w:val="0"/>
        <w:autoSpaceDE/>
        <w:autoSpaceDN/>
        <w:bidi w:val="0"/>
        <w:adjustRightInd/>
        <w:spacing w:line="360" w:lineRule="auto"/>
        <w:ind w:right="420"/>
        <w:jc w:val="both"/>
        <w:textAlignment w:val="auto"/>
        <w:rPr>
          <w:rFonts w:hint="eastAsia" w:ascii="仿宋" w:hAnsi="仿宋"/>
          <w:color w:val="auto"/>
          <w:sz w:val="24"/>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 xml:space="preserve"> </w:t>
      </w:r>
      <w:bookmarkStart w:id="43" w:name="_Toc2331"/>
      <w:r>
        <w:rPr>
          <w:rFonts w:hint="eastAsia" w:ascii="宋体" w:hAnsi="宋体" w:eastAsia="宋体" w:cs="宋体"/>
          <w:b w:val="0"/>
          <w:bCs w:val="0"/>
          <w:sz w:val="21"/>
          <w:szCs w:val="21"/>
          <w:highlight w:val="none"/>
        </w:rPr>
        <w:t>年   月    日</w:t>
      </w:r>
      <w:bookmarkEnd w:id="43"/>
    </w:p>
    <w:sectPr>
      <w:footerReference r:id="rId6" w:type="default"/>
      <w:pgSz w:w="11906" w:h="16838"/>
      <w:pgMar w:top="1440" w:right="1800" w:bottom="1440" w:left="1800"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7A"/>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Segoe UI Emoji">
    <w:altName w:val="Segoe UI"/>
    <w:panose1 w:val="020B0502040204020203"/>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9D11C">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32AAE">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C32AAE">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CD4D">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01001">
                          <w:pPr>
                            <w:pStyle w:val="2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101001">
                    <w:pPr>
                      <w:pStyle w:val="26"/>
                    </w:pPr>
                    <w:r>
                      <w:fldChar w:fldCharType="begin"/>
                    </w:r>
                    <w:r>
                      <w:instrText xml:space="preserve"> PAGE  \* MERGEFORMAT </w:instrText>
                    </w:r>
                    <w:r>
                      <w:fldChar w:fldCharType="separate"/>
                    </w:r>
                    <w:r>
                      <w:t>47</w:t>
                    </w:r>
                    <w:r>
                      <w:fldChar w:fldCharType="end"/>
                    </w:r>
                  </w:p>
                </w:txbxContent>
              </v:textbox>
            </v:shape>
          </w:pict>
        </mc:Fallback>
      </mc:AlternateContent>
    </w:r>
  </w:p>
  <w:p w14:paraId="3C192B7D">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EDB4">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FD6AE">
                          <w:pPr>
                            <w:pStyle w:val="2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5FD6AE">
                    <w:pPr>
                      <w:pStyle w:val="26"/>
                    </w:pPr>
                    <w:r>
                      <w:fldChar w:fldCharType="begin"/>
                    </w:r>
                    <w:r>
                      <w:instrText xml:space="preserve"> PAGE  \* MERGEFORMAT </w:instrText>
                    </w:r>
                    <w:r>
                      <w:fldChar w:fldCharType="separate"/>
                    </w:r>
                    <w:r>
                      <w:t>57</w:t>
                    </w:r>
                    <w:r>
                      <w:fldChar w:fldCharType="end"/>
                    </w:r>
                  </w:p>
                </w:txbxContent>
              </v:textbox>
            </v:shape>
          </w:pict>
        </mc:Fallback>
      </mc:AlternateContent>
    </w:r>
  </w:p>
  <w:p w14:paraId="696E38C7">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1C4A">
    <w:pPr>
      <w:pStyle w:val="27"/>
      <w:jc w:val="right"/>
    </w:pPr>
    <w:r>
      <w:rPr>
        <w:rFonts w:hint="eastAsia"/>
        <w:lang w:eastAsia="zh-CN"/>
      </w:rPr>
      <w:t>海虹街道排水设施排查养护项目政府采购招标文件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8547A"/>
    <w:multiLevelType w:val="singleLevel"/>
    <w:tmpl w:val="A148547A"/>
    <w:lvl w:ilvl="0" w:tentative="0">
      <w:start w:val="1"/>
      <w:numFmt w:val="decimal"/>
      <w:suff w:val="nothing"/>
      <w:lvlText w:val="%1"/>
      <w:lvlJc w:val="left"/>
      <w:pPr>
        <w:tabs>
          <w:tab w:val="left" w:pos="0"/>
        </w:tabs>
      </w:pPr>
      <w:rPr>
        <w:rFonts w:hint="default"/>
      </w:rPr>
    </w:lvl>
  </w:abstractNum>
  <w:abstractNum w:abstractNumId="1">
    <w:nsid w:val="FFFFFF88"/>
    <w:multiLevelType w:val="singleLevel"/>
    <w:tmpl w:val="FFFFFF88"/>
    <w:lvl w:ilvl="0" w:tentative="0">
      <w:start w:val="1"/>
      <w:numFmt w:val="decimal"/>
      <w:pStyle w:val="7"/>
      <w:lvlText w:val="%1."/>
      <w:lvlJc w:val="left"/>
      <w:pPr>
        <w:tabs>
          <w:tab w:val="left" w:pos="360"/>
        </w:tabs>
        <w:ind w:left="360" w:hanging="360" w:hangingChars="200"/>
      </w:pPr>
    </w:lvl>
  </w:abstractNum>
  <w:abstractNum w:abstractNumId="2">
    <w:nsid w:val="763AAE79"/>
    <w:multiLevelType w:val="singleLevel"/>
    <w:tmpl w:val="763AAE79"/>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Y2UyMjQ3ZDgyYWVhNzkxNGZhNTQxNjljZmI5YTcifQ=="/>
  </w:docVars>
  <w:rsids>
    <w:rsidRoot w:val="003C32CA"/>
    <w:rsid w:val="000228CA"/>
    <w:rsid w:val="00030792"/>
    <w:rsid w:val="00076791"/>
    <w:rsid w:val="00076CC7"/>
    <w:rsid w:val="000A393C"/>
    <w:rsid w:val="000A455A"/>
    <w:rsid w:val="000A6D18"/>
    <w:rsid w:val="000D3794"/>
    <w:rsid w:val="000E1F87"/>
    <w:rsid w:val="000F2A77"/>
    <w:rsid w:val="001006E3"/>
    <w:rsid w:val="00104361"/>
    <w:rsid w:val="00116304"/>
    <w:rsid w:val="00126B5B"/>
    <w:rsid w:val="001351E1"/>
    <w:rsid w:val="0016106C"/>
    <w:rsid w:val="00162AE5"/>
    <w:rsid w:val="0016565B"/>
    <w:rsid w:val="00171858"/>
    <w:rsid w:val="00176B75"/>
    <w:rsid w:val="00187375"/>
    <w:rsid w:val="001A06DF"/>
    <w:rsid w:val="001A2BE1"/>
    <w:rsid w:val="001C11A3"/>
    <w:rsid w:val="001C14BE"/>
    <w:rsid w:val="001D3055"/>
    <w:rsid w:val="00210D77"/>
    <w:rsid w:val="00210DC3"/>
    <w:rsid w:val="00236005"/>
    <w:rsid w:val="00266C1E"/>
    <w:rsid w:val="0029164E"/>
    <w:rsid w:val="002A5166"/>
    <w:rsid w:val="002B46BE"/>
    <w:rsid w:val="002C082F"/>
    <w:rsid w:val="002C1DA5"/>
    <w:rsid w:val="002D5A1B"/>
    <w:rsid w:val="002D7379"/>
    <w:rsid w:val="002E72BB"/>
    <w:rsid w:val="002F6C66"/>
    <w:rsid w:val="00303DD8"/>
    <w:rsid w:val="0031306D"/>
    <w:rsid w:val="003241B0"/>
    <w:rsid w:val="00325AB7"/>
    <w:rsid w:val="003314CE"/>
    <w:rsid w:val="003405F1"/>
    <w:rsid w:val="003678E3"/>
    <w:rsid w:val="003858E5"/>
    <w:rsid w:val="003A3729"/>
    <w:rsid w:val="003C32CA"/>
    <w:rsid w:val="003E01E3"/>
    <w:rsid w:val="00420695"/>
    <w:rsid w:val="004251F5"/>
    <w:rsid w:val="0043419A"/>
    <w:rsid w:val="00442579"/>
    <w:rsid w:val="00444BDD"/>
    <w:rsid w:val="00460B5B"/>
    <w:rsid w:val="00482A20"/>
    <w:rsid w:val="004B6E11"/>
    <w:rsid w:val="004D29F9"/>
    <w:rsid w:val="004D3BAC"/>
    <w:rsid w:val="00503F87"/>
    <w:rsid w:val="005067E1"/>
    <w:rsid w:val="005077C6"/>
    <w:rsid w:val="00517465"/>
    <w:rsid w:val="0052041A"/>
    <w:rsid w:val="0052225C"/>
    <w:rsid w:val="0054328C"/>
    <w:rsid w:val="005567C1"/>
    <w:rsid w:val="0057638A"/>
    <w:rsid w:val="00576DE1"/>
    <w:rsid w:val="00584C0D"/>
    <w:rsid w:val="00587A80"/>
    <w:rsid w:val="005A174A"/>
    <w:rsid w:val="005C1C3F"/>
    <w:rsid w:val="005C6113"/>
    <w:rsid w:val="005F32B9"/>
    <w:rsid w:val="006043BF"/>
    <w:rsid w:val="006352DC"/>
    <w:rsid w:val="00655A39"/>
    <w:rsid w:val="00657A62"/>
    <w:rsid w:val="006964F4"/>
    <w:rsid w:val="00697E87"/>
    <w:rsid w:val="006C29E7"/>
    <w:rsid w:val="006E43A4"/>
    <w:rsid w:val="006E5AB7"/>
    <w:rsid w:val="006E686E"/>
    <w:rsid w:val="006E7616"/>
    <w:rsid w:val="00702E48"/>
    <w:rsid w:val="00734E4B"/>
    <w:rsid w:val="0076518A"/>
    <w:rsid w:val="0076608F"/>
    <w:rsid w:val="00773657"/>
    <w:rsid w:val="007751F5"/>
    <w:rsid w:val="00777263"/>
    <w:rsid w:val="008104BF"/>
    <w:rsid w:val="00816DF4"/>
    <w:rsid w:val="00822781"/>
    <w:rsid w:val="0082539C"/>
    <w:rsid w:val="00840FA5"/>
    <w:rsid w:val="008442A8"/>
    <w:rsid w:val="0085458B"/>
    <w:rsid w:val="00862DE0"/>
    <w:rsid w:val="008717A9"/>
    <w:rsid w:val="00886E7E"/>
    <w:rsid w:val="00891D50"/>
    <w:rsid w:val="00892011"/>
    <w:rsid w:val="008A0FAC"/>
    <w:rsid w:val="008A5874"/>
    <w:rsid w:val="008D0315"/>
    <w:rsid w:val="008E4022"/>
    <w:rsid w:val="008E4ABE"/>
    <w:rsid w:val="008E7CFC"/>
    <w:rsid w:val="00905B56"/>
    <w:rsid w:val="00912D9D"/>
    <w:rsid w:val="00914F2A"/>
    <w:rsid w:val="0093060C"/>
    <w:rsid w:val="0093156A"/>
    <w:rsid w:val="00952114"/>
    <w:rsid w:val="009750BE"/>
    <w:rsid w:val="00983737"/>
    <w:rsid w:val="009B0793"/>
    <w:rsid w:val="009B1A91"/>
    <w:rsid w:val="009B31BD"/>
    <w:rsid w:val="009C1C40"/>
    <w:rsid w:val="009C46E9"/>
    <w:rsid w:val="009D1BDF"/>
    <w:rsid w:val="009E16E9"/>
    <w:rsid w:val="009F63CD"/>
    <w:rsid w:val="00A013BA"/>
    <w:rsid w:val="00A23931"/>
    <w:rsid w:val="00A26655"/>
    <w:rsid w:val="00A31E23"/>
    <w:rsid w:val="00A64DB4"/>
    <w:rsid w:val="00A80C83"/>
    <w:rsid w:val="00AC6324"/>
    <w:rsid w:val="00AD282C"/>
    <w:rsid w:val="00AE1175"/>
    <w:rsid w:val="00B5118E"/>
    <w:rsid w:val="00B65422"/>
    <w:rsid w:val="00BA0B1E"/>
    <w:rsid w:val="00BC2F14"/>
    <w:rsid w:val="00BC5647"/>
    <w:rsid w:val="00BE7797"/>
    <w:rsid w:val="00BF24FD"/>
    <w:rsid w:val="00C15418"/>
    <w:rsid w:val="00C22706"/>
    <w:rsid w:val="00C36F3F"/>
    <w:rsid w:val="00C4024D"/>
    <w:rsid w:val="00C46A7A"/>
    <w:rsid w:val="00C50BE1"/>
    <w:rsid w:val="00C56274"/>
    <w:rsid w:val="00C6058D"/>
    <w:rsid w:val="00C613BA"/>
    <w:rsid w:val="00C6417C"/>
    <w:rsid w:val="00CA59C0"/>
    <w:rsid w:val="00CC4B56"/>
    <w:rsid w:val="00CC6215"/>
    <w:rsid w:val="00CC69C6"/>
    <w:rsid w:val="00D16FA7"/>
    <w:rsid w:val="00D31C06"/>
    <w:rsid w:val="00D47A06"/>
    <w:rsid w:val="00D5214B"/>
    <w:rsid w:val="00D53049"/>
    <w:rsid w:val="00D55AEB"/>
    <w:rsid w:val="00D8593F"/>
    <w:rsid w:val="00D944DD"/>
    <w:rsid w:val="00D952D1"/>
    <w:rsid w:val="00D95B24"/>
    <w:rsid w:val="00DB0834"/>
    <w:rsid w:val="00DC055B"/>
    <w:rsid w:val="00DD6A6A"/>
    <w:rsid w:val="00DE1B96"/>
    <w:rsid w:val="00DE4CBB"/>
    <w:rsid w:val="00DF4D17"/>
    <w:rsid w:val="00E16787"/>
    <w:rsid w:val="00E27AF2"/>
    <w:rsid w:val="00E335CD"/>
    <w:rsid w:val="00E337D7"/>
    <w:rsid w:val="00E545F3"/>
    <w:rsid w:val="00E551BD"/>
    <w:rsid w:val="00E653A9"/>
    <w:rsid w:val="00E77934"/>
    <w:rsid w:val="00EA53D9"/>
    <w:rsid w:val="00EB593D"/>
    <w:rsid w:val="00EC3E57"/>
    <w:rsid w:val="00EF25D5"/>
    <w:rsid w:val="00EF4CAC"/>
    <w:rsid w:val="00EF6D9B"/>
    <w:rsid w:val="00F072D4"/>
    <w:rsid w:val="00F10B2E"/>
    <w:rsid w:val="00F33DB9"/>
    <w:rsid w:val="00F625D4"/>
    <w:rsid w:val="00F82BD4"/>
    <w:rsid w:val="00FA3676"/>
    <w:rsid w:val="00FA3D13"/>
    <w:rsid w:val="00FA4BAE"/>
    <w:rsid w:val="00FB28E2"/>
    <w:rsid w:val="00FC02BF"/>
    <w:rsid w:val="00FC0533"/>
    <w:rsid w:val="00FC181A"/>
    <w:rsid w:val="00FC2041"/>
    <w:rsid w:val="00FC602C"/>
    <w:rsid w:val="00FD22F5"/>
    <w:rsid w:val="00FF4E1F"/>
    <w:rsid w:val="0112685E"/>
    <w:rsid w:val="01172A03"/>
    <w:rsid w:val="015123B9"/>
    <w:rsid w:val="01583748"/>
    <w:rsid w:val="016D6AC7"/>
    <w:rsid w:val="017716F4"/>
    <w:rsid w:val="01787946"/>
    <w:rsid w:val="01874497"/>
    <w:rsid w:val="01987FE8"/>
    <w:rsid w:val="019978BC"/>
    <w:rsid w:val="01B841E6"/>
    <w:rsid w:val="01D836F9"/>
    <w:rsid w:val="01E52CE0"/>
    <w:rsid w:val="01FC2C01"/>
    <w:rsid w:val="02005B8D"/>
    <w:rsid w:val="021427F2"/>
    <w:rsid w:val="021617DE"/>
    <w:rsid w:val="021F6013"/>
    <w:rsid w:val="02536620"/>
    <w:rsid w:val="02641C78"/>
    <w:rsid w:val="02720839"/>
    <w:rsid w:val="02903A9E"/>
    <w:rsid w:val="02B063CF"/>
    <w:rsid w:val="02D2752A"/>
    <w:rsid w:val="02EE59E6"/>
    <w:rsid w:val="03061150"/>
    <w:rsid w:val="03272E3D"/>
    <w:rsid w:val="035E700F"/>
    <w:rsid w:val="03653265"/>
    <w:rsid w:val="038A7E04"/>
    <w:rsid w:val="03906A9D"/>
    <w:rsid w:val="039D3360"/>
    <w:rsid w:val="039E00A4"/>
    <w:rsid w:val="03AC1B29"/>
    <w:rsid w:val="03D06770"/>
    <w:rsid w:val="0414147C"/>
    <w:rsid w:val="041A2F36"/>
    <w:rsid w:val="04386A36"/>
    <w:rsid w:val="045C354F"/>
    <w:rsid w:val="04654661"/>
    <w:rsid w:val="046D3707"/>
    <w:rsid w:val="04926F71"/>
    <w:rsid w:val="04ED064B"/>
    <w:rsid w:val="04F079DB"/>
    <w:rsid w:val="05600E1D"/>
    <w:rsid w:val="056A6957"/>
    <w:rsid w:val="056F1060"/>
    <w:rsid w:val="05812B41"/>
    <w:rsid w:val="05995C65"/>
    <w:rsid w:val="059D24A8"/>
    <w:rsid w:val="05C50C80"/>
    <w:rsid w:val="05CA7B46"/>
    <w:rsid w:val="06112593"/>
    <w:rsid w:val="061F3A0F"/>
    <w:rsid w:val="06640499"/>
    <w:rsid w:val="066F3B6B"/>
    <w:rsid w:val="06915006"/>
    <w:rsid w:val="06EC048E"/>
    <w:rsid w:val="070E48A8"/>
    <w:rsid w:val="07481B68"/>
    <w:rsid w:val="077E558A"/>
    <w:rsid w:val="07A82607"/>
    <w:rsid w:val="07D7113E"/>
    <w:rsid w:val="07D96C64"/>
    <w:rsid w:val="080474EF"/>
    <w:rsid w:val="0808754A"/>
    <w:rsid w:val="08204893"/>
    <w:rsid w:val="08365E65"/>
    <w:rsid w:val="084C7436"/>
    <w:rsid w:val="089D703E"/>
    <w:rsid w:val="08A91259"/>
    <w:rsid w:val="08C77405"/>
    <w:rsid w:val="08E41D65"/>
    <w:rsid w:val="08FD17C0"/>
    <w:rsid w:val="090221EB"/>
    <w:rsid w:val="091361A6"/>
    <w:rsid w:val="09143F7F"/>
    <w:rsid w:val="09416F2A"/>
    <w:rsid w:val="099077F7"/>
    <w:rsid w:val="09AB2883"/>
    <w:rsid w:val="09CA55C2"/>
    <w:rsid w:val="09D41DD9"/>
    <w:rsid w:val="09DF12FE"/>
    <w:rsid w:val="09E13D12"/>
    <w:rsid w:val="09ED69F7"/>
    <w:rsid w:val="09FE29B2"/>
    <w:rsid w:val="0A053D41"/>
    <w:rsid w:val="0A3E7253"/>
    <w:rsid w:val="0A3F208B"/>
    <w:rsid w:val="0A79472F"/>
    <w:rsid w:val="0A9357F1"/>
    <w:rsid w:val="0A9D68D7"/>
    <w:rsid w:val="0AAF1EFF"/>
    <w:rsid w:val="0AB85257"/>
    <w:rsid w:val="0AE61771"/>
    <w:rsid w:val="0B5A1E9C"/>
    <w:rsid w:val="0B64718D"/>
    <w:rsid w:val="0B76631A"/>
    <w:rsid w:val="0B835865"/>
    <w:rsid w:val="0BA4561E"/>
    <w:rsid w:val="0BB27EF8"/>
    <w:rsid w:val="0BBA6DAD"/>
    <w:rsid w:val="0BD26F0C"/>
    <w:rsid w:val="0BFA2408"/>
    <w:rsid w:val="0C0B13B7"/>
    <w:rsid w:val="0C3025B8"/>
    <w:rsid w:val="0C3152C1"/>
    <w:rsid w:val="0C420FA9"/>
    <w:rsid w:val="0C4971AD"/>
    <w:rsid w:val="0C9966F8"/>
    <w:rsid w:val="0CB057A5"/>
    <w:rsid w:val="0CB35CD6"/>
    <w:rsid w:val="0CBD6B55"/>
    <w:rsid w:val="0CD80FA8"/>
    <w:rsid w:val="0CD8398F"/>
    <w:rsid w:val="0CE25FD3"/>
    <w:rsid w:val="0CFF53BF"/>
    <w:rsid w:val="0D156991"/>
    <w:rsid w:val="0D222E5C"/>
    <w:rsid w:val="0D3E7A96"/>
    <w:rsid w:val="0D915F5A"/>
    <w:rsid w:val="0D9226D5"/>
    <w:rsid w:val="0DA823CA"/>
    <w:rsid w:val="0DAE46EF"/>
    <w:rsid w:val="0E214EC1"/>
    <w:rsid w:val="0E3E5A73"/>
    <w:rsid w:val="0E4228A2"/>
    <w:rsid w:val="0E4A23A8"/>
    <w:rsid w:val="0E6B6516"/>
    <w:rsid w:val="0E7771D7"/>
    <w:rsid w:val="0EDE1004"/>
    <w:rsid w:val="0EF40828"/>
    <w:rsid w:val="0F086CD2"/>
    <w:rsid w:val="0F467718"/>
    <w:rsid w:val="0F474DFC"/>
    <w:rsid w:val="0F5A4E7A"/>
    <w:rsid w:val="0F661166"/>
    <w:rsid w:val="0F7F6343"/>
    <w:rsid w:val="0FB00BF3"/>
    <w:rsid w:val="0FC226D4"/>
    <w:rsid w:val="0FDD12BC"/>
    <w:rsid w:val="0FEE68C2"/>
    <w:rsid w:val="0FFF56D6"/>
    <w:rsid w:val="10007BDE"/>
    <w:rsid w:val="101A371C"/>
    <w:rsid w:val="10923E54"/>
    <w:rsid w:val="109544D6"/>
    <w:rsid w:val="10AA73F0"/>
    <w:rsid w:val="10B94FC8"/>
    <w:rsid w:val="10BA6301"/>
    <w:rsid w:val="10CF50A9"/>
    <w:rsid w:val="114535BD"/>
    <w:rsid w:val="11673533"/>
    <w:rsid w:val="11715209"/>
    <w:rsid w:val="11800151"/>
    <w:rsid w:val="11934328"/>
    <w:rsid w:val="119B42DE"/>
    <w:rsid w:val="11A50FAD"/>
    <w:rsid w:val="11BC48FF"/>
    <w:rsid w:val="11C95E14"/>
    <w:rsid w:val="11D02E86"/>
    <w:rsid w:val="120B0362"/>
    <w:rsid w:val="1212349F"/>
    <w:rsid w:val="122D57E4"/>
    <w:rsid w:val="123553DF"/>
    <w:rsid w:val="12443949"/>
    <w:rsid w:val="12445622"/>
    <w:rsid w:val="125F245C"/>
    <w:rsid w:val="126128B3"/>
    <w:rsid w:val="12681311"/>
    <w:rsid w:val="126F6B43"/>
    <w:rsid w:val="127759F8"/>
    <w:rsid w:val="12B74662"/>
    <w:rsid w:val="12D13580"/>
    <w:rsid w:val="12E34E3B"/>
    <w:rsid w:val="12F4756B"/>
    <w:rsid w:val="131D4D58"/>
    <w:rsid w:val="133233CA"/>
    <w:rsid w:val="134A6C68"/>
    <w:rsid w:val="136046DE"/>
    <w:rsid w:val="13BD2632"/>
    <w:rsid w:val="13E1581F"/>
    <w:rsid w:val="13F37300"/>
    <w:rsid w:val="14074B59"/>
    <w:rsid w:val="142B0848"/>
    <w:rsid w:val="142F450A"/>
    <w:rsid w:val="14380D3E"/>
    <w:rsid w:val="143811B7"/>
    <w:rsid w:val="144162BD"/>
    <w:rsid w:val="146D6D3F"/>
    <w:rsid w:val="14706BA3"/>
    <w:rsid w:val="14877FF9"/>
    <w:rsid w:val="14AB3737"/>
    <w:rsid w:val="14AD5701"/>
    <w:rsid w:val="14DE7FCA"/>
    <w:rsid w:val="14EB6229"/>
    <w:rsid w:val="150572EB"/>
    <w:rsid w:val="15060895"/>
    <w:rsid w:val="152F3D7B"/>
    <w:rsid w:val="154315CF"/>
    <w:rsid w:val="15520056"/>
    <w:rsid w:val="15973CBB"/>
    <w:rsid w:val="15A308B2"/>
    <w:rsid w:val="15C20293"/>
    <w:rsid w:val="15D8055B"/>
    <w:rsid w:val="15F01D49"/>
    <w:rsid w:val="16294809"/>
    <w:rsid w:val="16361726"/>
    <w:rsid w:val="163C7280"/>
    <w:rsid w:val="16565924"/>
    <w:rsid w:val="166E4CBE"/>
    <w:rsid w:val="169D3084"/>
    <w:rsid w:val="16A42B33"/>
    <w:rsid w:val="16A677CD"/>
    <w:rsid w:val="16AE0B72"/>
    <w:rsid w:val="16BE7FB7"/>
    <w:rsid w:val="16E178E4"/>
    <w:rsid w:val="176D616F"/>
    <w:rsid w:val="17C07E11"/>
    <w:rsid w:val="18010622"/>
    <w:rsid w:val="181E37CA"/>
    <w:rsid w:val="18870E2E"/>
    <w:rsid w:val="189310B2"/>
    <w:rsid w:val="18C64FE3"/>
    <w:rsid w:val="18DC0363"/>
    <w:rsid w:val="195E736E"/>
    <w:rsid w:val="196B16E7"/>
    <w:rsid w:val="196C567D"/>
    <w:rsid w:val="198B3B37"/>
    <w:rsid w:val="19C31F4B"/>
    <w:rsid w:val="19E35721"/>
    <w:rsid w:val="19EA2C5B"/>
    <w:rsid w:val="1A09162B"/>
    <w:rsid w:val="1A165AF6"/>
    <w:rsid w:val="1A207FF3"/>
    <w:rsid w:val="1A8567D8"/>
    <w:rsid w:val="1A8707A2"/>
    <w:rsid w:val="1AD9612A"/>
    <w:rsid w:val="1AE96A0C"/>
    <w:rsid w:val="1AFA0F74"/>
    <w:rsid w:val="1B0342CC"/>
    <w:rsid w:val="1B18764C"/>
    <w:rsid w:val="1B1F09DB"/>
    <w:rsid w:val="1B2D1349"/>
    <w:rsid w:val="1B4346C9"/>
    <w:rsid w:val="1B50328A"/>
    <w:rsid w:val="1B522580"/>
    <w:rsid w:val="1B5A79DD"/>
    <w:rsid w:val="1B666609"/>
    <w:rsid w:val="1BAC6712"/>
    <w:rsid w:val="1BD17F27"/>
    <w:rsid w:val="1BE0460E"/>
    <w:rsid w:val="1C032B98"/>
    <w:rsid w:val="1C0A168B"/>
    <w:rsid w:val="1C4050AC"/>
    <w:rsid w:val="1C5C182F"/>
    <w:rsid w:val="1C8036FB"/>
    <w:rsid w:val="1C860AB9"/>
    <w:rsid w:val="1C8A6B97"/>
    <w:rsid w:val="1C8F393E"/>
    <w:rsid w:val="1C940F54"/>
    <w:rsid w:val="1CDA2E0B"/>
    <w:rsid w:val="1CE8630C"/>
    <w:rsid w:val="1D1C3424"/>
    <w:rsid w:val="1D493F9F"/>
    <w:rsid w:val="1D76522A"/>
    <w:rsid w:val="1D775AC3"/>
    <w:rsid w:val="1D880A35"/>
    <w:rsid w:val="1D966CAE"/>
    <w:rsid w:val="1DA84CB7"/>
    <w:rsid w:val="1DB43E72"/>
    <w:rsid w:val="1DBB7F27"/>
    <w:rsid w:val="1DC6338F"/>
    <w:rsid w:val="1DDF3766"/>
    <w:rsid w:val="1DEF0B38"/>
    <w:rsid w:val="1E1C551D"/>
    <w:rsid w:val="1E4C7D38"/>
    <w:rsid w:val="1E5C4616"/>
    <w:rsid w:val="1E616994"/>
    <w:rsid w:val="1E807798"/>
    <w:rsid w:val="1EB87933"/>
    <w:rsid w:val="1EC27FFB"/>
    <w:rsid w:val="1F345BBF"/>
    <w:rsid w:val="1F3B254F"/>
    <w:rsid w:val="1F44668D"/>
    <w:rsid w:val="1F7D0145"/>
    <w:rsid w:val="1F9F1984"/>
    <w:rsid w:val="2004175F"/>
    <w:rsid w:val="20256A93"/>
    <w:rsid w:val="203E7B55"/>
    <w:rsid w:val="20A26336"/>
    <w:rsid w:val="20AF2801"/>
    <w:rsid w:val="20B67565"/>
    <w:rsid w:val="20BE2A44"/>
    <w:rsid w:val="20CA3197"/>
    <w:rsid w:val="20D14525"/>
    <w:rsid w:val="20D34741"/>
    <w:rsid w:val="20DE3F27"/>
    <w:rsid w:val="211132C0"/>
    <w:rsid w:val="21137E50"/>
    <w:rsid w:val="214079DA"/>
    <w:rsid w:val="21472A39"/>
    <w:rsid w:val="21562C7C"/>
    <w:rsid w:val="219E6F6A"/>
    <w:rsid w:val="21B77BBF"/>
    <w:rsid w:val="21BF4CC5"/>
    <w:rsid w:val="21C10A3D"/>
    <w:rsid w:val="21C24923"/>
    <w:rsid w:val="22433200"/>
    <w:rsid w:val="22C72083"/>
    <w:rsid w:val="22D16A5E"/>
    <w:rsid w:val="22E744D4"/>
    <w:rsid w:val="2302130E"/>
    <w:rsid w:val="230B2CE6"/>
    <w:rsid w:val="231352C9"/>
    <w:rsid w:val="231D7EF5"/>
    <w:rsid w:val="233314C7"/>
    <w:rsid w:val="233A2855"/>
    <w:rsid w:val="23623B5A"/>
    <w:rsid w:val="23A81EB5"/>
    <w:rsid w:val="23AC3027"/>
    <w:rsid w:val="23BA5744"/>
    <w:rsid w:val="23BC1840"/>
    <w:rsid w:val="23ED1676"/>
    <w:rsid w:val="24136C12"/>
    <w:rsid w:val="2423471A"/>
    <w:rsid w:val="2455546D"/>
    <w:rsid w:val="246E7D69"/>
    <w:rsid w:val="249B5195"/>
    <w:rsid w:val="24B6415E"/>
    <w:rsid w:val="24EE1B49"/>
    <w:rsid w:val="25294857"/>
    <w:rsid w:val="252F25F4"/>
    <w:rsid w:val="25423C43"/>
    <w:rsid w:val="254C2D14"/>
    <w:rsid w:val="256040C9"/>
    <w:rsid w:val="25965D3D"/>
    <w:rsid w:val="25CB3C39"/>
    <w:rsid w:val="25D6438C"/>
    <w:rsid w:val="25DC7BF4"/>
    <w:rsid w:val="25E20F82"/>
    <w:rsid w:val="25F76F6E"/>
    <w:rsid w:val="25FB42F4"/>
    <w:rsid w:val="260A2551"/>
    <w:rsid w:val="26282E39"/>
    <w:rsid w:val="26307F40"/>
    <w:rsid w:val="26561A2D"/>
    <w:rsid w:val="26575474"/>
    <w:rsid w:val="266B541C"/>
    <w:rsid w:val="266F0A68"/>
    <w:rsid w:val="26821D36"/>
    <w:rsid w:val="26963F04"/>
    <w:rsid w:val="26A34BB6"/>
    <w:rsid w:val="26DA550C"/>
    <w:rsid w:val="27391968"/>
    <w:rsid w:val="273A72C8"/>
    <w:rsid w:val="27435A51"/>
    <w:rsid w:val="27455C6D"/>
    <w:rsid w:val="27547C5E"/>
    <w:rsid w:val="27604855"/>
    <w:rsid w:val="276A7481"/>
    <w:rsid w:val="27767BD4"/>
    <w:rsid w:val="279A7D67"/>
    <w:rsid w:val="27EE1E60"/>
    <w:rsid w:val="28357A8F"/>
    <w:rsid w:val="283A50A6"/>
    <w:rsid w:val="284460E4"/>
    <w:rsid w:val="285A7F94"/>
    <w:rsid w:val="286B525F"/>
    <w:rsid w:val="286C3431"/>
    <w:rsid w:val="28844573"/>
    <w:rsid w:val="28FA22D8"/>
    <w:rsid w:val="292864E8"/>
    <w:rsid w:val="295B1778"/>
    <w:rsid w:val="297A7E50"/>
    <w:rsid w:val="29AA1DB7"/>
    <w:rsid w:val="29AC1205"/>
    <w:rsid w:val="29BD58C3"/>
    <w:rsid w:val="29C9048F"/>
    <w:rsid w:val="2A0616E3"/>
    <w:rsid w:val="2A0A1434"/>
    <w:rsid w:val="2A3B6409"/>
    <w:rsid w:val="2A8B1BE9"/>
    <w:rsid w:val="2ACD3FAF"/>
    <w:rsid w:val="2ADE440E"/>
    <w:rsid w:val="2AE9690F"/>
    <w:rsid w:val="2B1463B5"/>
    <w:rsid w:val="2B253DEB"/>
    <w:rsid w:val="2B3C3111"/>
    <w:rsid w:val="2B54647E"/>
    <w:rsid w:val="2B733423"/>
    <w:rsid w:val="2B8C3E6A"/>
    <w:rsid w:val="2B8F5708"/>
    <w:rsid w:val="2B9E76FA"/>
    <w:rsid w:val="2BB04CB3"/>
    <w:rsid w:val="2BE07D12"/>
    <w:rsid w:val="2C006FE5"/>
    <w:rsid w:val="2C363BED"/>
    <w:rsid w:val="2C425D39"/>
    <w:rsid w:val="2C5B08E3"/>
    <w:rsid w:val="2C8D7E9A"/>
    <w:rsid w:val="2C970D19"/>
    <w:rsid w:val="2CBA0563"/>
    <w:rsid w:val="2CC3566A"/>
    <w:rsid w:val="2D621714"/>
    <w:rsid w:val="2D8079FF"/>
    <w:rsid w:val="2DCA2A28"/>
    <w:rsid w:val="2DCC2C44"/>
    <w:rsid w:val="2DF61A6F"/>
    <w:rsid w:val="2E0B376C"/>
    <w:rsid w:val="2E0C2639"/>
    <w:rsid w:val="2E2C7827"/>
    <w:rsid w:val="2E301C04"/>
    <w:rsid w:val="2E516CA5"/>
    <w:rsid w:val="2E641740"/>
    <w:rsid w:val="2E6E5AA9"/>
    <w:rsid w:val="2E7A61FC"/>
    <w:rsid w:val="2EA43279"/>
    <w:rsid w:val="2EA4771D"/>
    <w:rsid w:val="2EC70374"/>
    <w:rsid w:val="2ECB2EFB"/>
    <w:rsid w:val="2ED578D6"/>
    <w:rsid w:val="2F1E28F9"/>
    <w:rsid w:val="2F283EAA"/>
    <w:rsid w:val="2F3C7955"/>
    <w:rsid w:val="2F48454C"/>
    <w:rsid w:val="2F5F53F2"/>
    <w:rsid w:val="2F6649D2"/>
    <w:rsid w:val="2F6824F8"/>
    <w:rsid w:val="2F6A44C2"/>
    <w:rsid w:val="2F803CE6"/>
    <w:rsid w:val="2FC45995"/>
    <w:rsid w:val="2FDA54B6"/>
    <w:rsid w:val="2FE53B49"/>
    <w:rsid w:val="30161F54"/>
    <w:rsid w:val="302B340D"/>
    <w:rsid w:val="30390BB0"/>
    <w:rsid w:val="304B1741"/>
    <w:rsid w:val="304E5B92"/>
    <w:rsid w:val="305E56A9"/>
    <w:rsid w:val="30696528"/>
    <w:rsid w:val="307153DD"/>
    <w:rsid w:val="30777A18"/>
    <w:rsid w:val="308570DA"/>
    <w:rsid w:val="309A2B85"/>
    <w:rsid w:val="30A47560"/>
    <w:rsid w:val="30B04157"/>
    <w:rsid w:val="30D25E1E"/>
    <w:rsid w:val="30DB0403"/>
    <w:rsid w:val="30E91B0B"/>
    <w:rsid w:val="30F13D1D"/>
    <w:rsid w:val="31061FC9"/>
    <w:rsid w:val="311F752F"/>
    <w:rsid w:val="314B3E80"/>
    <w:rsid w:val="315D67FD"/>
    <w:rsid w:val="31A258F0"/>
    <w:rsid w:val="31B934DF"/>
    <w:rsid w:val="31B9528D"/>
    <w:rsid w:val="31BB11E7"/>
    <w:rsid w:val="31E63BA8"/>
    <w:rsid w:val="31F167D5"/>
    <w:rsid w:val="31F34794"/>
    <w:rsid w:val="322D17D7"/>
    <w:rsid w:val="323E39E4"/>
    <w:rsid w:val="32786AAE"/>
    <w:rsid w:val="32867865"/>
    <w:rsid w:val="32902492"/>
    <w:rsid w:val="32BB6DE3"/>
    <w:rsid w:val="333746BC"/>
    <w:rsid w:val="335C05C6"/>
    <w:rsid w:val="33723946"/>
    <w:rsid w:val="33A06705"/>
    <w:rsid w:val="33A34CC3"/>
    <w:rsid w:val="33AE5764"/>
    <w:rsid w:val="33B43F5E"/>
    <w:rsid w:val="33EC41F0"/>
    <w:rsid w:val="341E0659"/>
    <w:rsid w:val="34330856"/>
    <w:rsid w:val="34806536"/>
    <w:rsid w:val="34B2456D"/>
    <w:rsid w:val="34B65B98"/>
    <w:rsid w:val="34B87A7E"/>
    <w:rsid w:val="34CE2DFE"/>
    <w:rsid w:val="34F0546A"/>
    <w:rsid w:val="34F8431E"/>
    <w:rsid w:val="352B0250"/>
    <w:rsid w:val="352C0348"/>
    <w:rsid w:val="355A0B35"/>
    <w:rsid w:val="35611EC4"/>
    <w:rsid w:val="358B6F41"/>
    <w:rsid w:val="35C90E59"/>
    <w:rsid w:val="35E36D7D"/>
    <w:rsid w:val="36176A26"/>
    <w:rsid w:val="362353CB"/>
    <w:rsid w:val="362B5325"/>
    <w:rsid w:val="368E5920"/>
    <w:rsid w:val="369B1405"/>
    <w:rsid w:val="36F45D1E"/>
    <w:rsid w:val="37893954"/>
    <w:rsid w:val="380947BE"/>
    <w:rsid w:val="383C4522"/>
    <w:rsid w:val="384358B1"/>
    <w:rsid w:val="385B52F0"/>
    <w:rsid w:val="387719FE"/>
    <w:rsid w:val="387B0662"/>
    <w:rsid w:val="38D330D8"/>
    <w:rsid w:val="38DE55D9"/>
    <w:rsid w:val="38F33840"/>
    <w:rsid w:val="38FB618B"/>
    <w:rsid w:val="39007C46"/>
    <w:rsid w:val="390C0398"/>
    <w:rsid w:val="39167469"/>
    <w:rsid w:val="39205BF2"/>
    <w:rsid w:val="392A1E4D"/>
    <w:rsid w:val="39576CFC"/>
    <w:rsid w:val="39754190"/>
    <w:rsid w:val="39763A64"/>
    <w:rsid w:val="39875C71"/>
    <w:rsid w:val="39D4513C"/>
    <w:rsid w:val="39E66E3B"/>
    <w:rsid w:val="3A145757"/>
    <w:rsid w:val="3A180975"/>
    <w:rsid w:val="3A1C24A8"/>
    <w:rsid w:val="3A3F71F7"/>
    <w:rsid w:val="3A661D2A"/>
    <w:rsid w:val="3A7C154E"/>
    <w:rsid w:val="3A9A1B48"/>
    <w:rsid w:val="3AC70A1B"/>
    <w:rsid w:val="3ACA2BEB"/>
    <w:rsid w:val="3ACA4067"/>
    <w:rsid w:val="3AE15C73"/>
    <w:rsid w:val="3B1353E1"/>
    <w:rsid w:val="3B2220F5"/>
    <w:rsid w:val="3B2A71FC"/>
    <w:rsid w:val="3B2D43E9"/>
    <w:rsid w:val="3B725E6E"/>
    <w:rsid w:val="3B8166D7"/>
    <w:rsid w:val="3B9D2138"/>
    <w:rsid w:val="3BA66882"/>
    <w:rsid w:val="3BB23479"/>
    <w:rsid w:val="3BBF535C"/>
    <w:rsid w:val="3C0E61D6"/>
    <w:rsid w:val="3C9006C9"/>
    <w:rsid w:val="3CAB7EC8"/>
    <w:rsid w:val="3CAF1767"/>
    <w:rsid w:val="3D0C4D6D"/>
    <w:rsid w:val="3D385850"/>
    <w:rsid w:val="3D464FA7"/>
    <w:rsid w:val="3D817202"/>
    <w:rsid w:val="3D913562"/>
    <w:rsid w:val="3DA02B22"/>
    <w:rsid w:val="3DA412EB"/>
    <w:rsid w:val="3DAB4624"/>
    <w:rsid w:val="3DB50FFF"/>
    <w:rsid w:val="3DBF65CE"/>
    <w:rsid w:val="3DC1580C"/>
    <w:rsid w:val="3DD40C2E"/>
    <w:rsid w:val="3DEB4A20"/>
    <w:rsid w:val="3EFF2F63"/>
    <w:rsid w:val="3F255D10"/>
    <w:rsid w:val="3F4343E8"/>
    <w:rsid w:val="3F6031EC"/>
    <w:rsid w:val="3F951D52"/>
    <w:rsid w:val="3F9D61EE"/>
    <w:rsid w:val="3FAA26B9"/>
    <w:rsid w:val="3FC73E49"/>
    <w:rsid w:val="3FC9502E"/>
    <w:rsid w:val="40133C67"/>
    <w:rsid w:val="401B0359"/>
    <w:rsid w:val="407077F6"/>
    <w:rsid w:val="40A77B1B"/>
    <w:rsid w:val="40B363F3"/>
    <w:rsid w:val="40CF687B"/>
    <w:rsid w:val="40F736DC"/>
    <w:rsid w:val="40FB344F"/>
    <w:rsid w:val="411A73CB"/>
    <w:rsid w:val="414A4154"/>
    <w:rsid w:val="416D658D"/>
    <w:rsid w:val="41850CE8"/>
    <w:rsid w:val="418D7B1A"/>
    <w:rsid w:val="41CF4659"/>
    <w:rsid w:val="41E57B4F"/>
    <w:rsid w:val="41EC6FB9"/>
    <w:rsid w:val="422C3859"/>
    <w:rsid w:val="424858EF"/>
    <w:rsid w:val="425A03C6"/>
    <w:rsid w:val="425F0B72"/>
    <w:rsid w:val="42A96C58"/>
    <w:rsid w:val="42C65A5C"/>
    <w:rsid w:val="42E303BC"/>
    <w:rsid w:val="42E70003"/>
    <w:rsid w:val="43071ED2"/>
    <w:rsid w:val="43421586"/>
    <w:rsid w:val="43543068"/>
    <w:rsid w:val="4359067E"/>
    <w:rsid w:val="436B4765"/>
    <w:rsid w:val="436D237B"/>
    <w:rsid w:val="43A23DD3"/>
    <w:rsid w:val="43C63452"/>
    <w:rsid w:val="43C95804"/>
    <w:rsid w:val="44020D16"/>
    <w:rsid w:val="44523338"/>
    <w:rsid w:val="446472DA"/>
    <w:rsid w:val="447514E8"/>
    <w:rsid w:val="44784B34"/>
    <w:rsid w:val="448160DE"/>
    <w:rsid w:val="44A45929"/>
    <w:rsid w:val="44A8366B"/>
    <w:rsid w:val="44AB6CB7"/>
    <w:rsid w:val="44E67D5D"/>
    <w:rsid w:val="44F248E6"/>
    <w:rsid w:val="44FC7513"/>
    <w:rsid w:val="44FF0DB1"/>
    <w:rsid w:val="45025D73"/>
    <w:rsid w:val="451231DA"/>
    <w:rsid w:val="452A0524"/>
    <w:rsid w:val="453734C5"/>
    <w:rsid w:val="453A7865"/>
    <w:rsid w:val="454D5FC1"/>
    <w:rsid w:val="455B4F7B"/>
    <w:rsid w:val="457C68A6"/>
    <w:rsid w:val="457F593A"/>
    <w:rsid w:val="45835E86"/>
    <w:rsid w:val="459B31D0"/>
    <w:rsid w:val="459E4A6E"/>
    <w:rsid w:val="45CC15DB"/>
    <w:rsid w:val="45EC772E"/>
    <w:rsid w:val="45F428E0"/>
    <w:rsid w:val="46004DE1"/>
    <w:rsid w:val="46013F3A"/>
    <w:rsid w:val="46067EBB"/>
    <w:rsid w:val="4607133A"/>
    <w:rsid w:val="460E4462"/>
    <w:rsid w:val="46641814"/>
    <w:rsid w:val="46C67DD9"/>
    <w:rsid w:val="46C87FF5"/>
    <w:rsid w:val="46D10932"/>
    <w:rsid w:val="47281BB9"/>
    <w:rsid w:val="47634B44"/>
    <w:rsid w:val="47975C19"/>
    <w:rsid w:val="47A83982"/>
    <w:rsid w:val="47CC4952"/>
    <w:rsid w:val="47CF7161"/>
    <w:rsid w:val="47DF61FB"/>
    <w:rsid w:val="47E662F7"/>
    <w:rsid w:val="47ED75E7"/>
    <w:rsid w:val="480037BE"/>
    <w:rsid w:val="480A0199"/>
    <w:rsid w:val="48111527"/>
    <w:rsid w:val="481E3C44"/>
    <w:rsid w:val="482904EA"/>
    <w:rsid w:val="4871646A"/>
    <w:rsid w:val="487675DC"/>
    <w:rsid w:val="49623BE8"/>
    <w:rsid w:val="49627B61"/>
    <w:rsid w:val="49731D6E"/>
    <w:rsid w:val="49AF29CC"/>
    <w:rsid w:val="49D7054F"/>
    <w:rsid w:val="4A0F4D11"/>
    <w:rsid w:val="4A5B1180"/>
    <w:rsid w:val="4A633B90"/>
    <w:rsid w:val="4AAA5C63"/>
    <w:rsid w:val="4ABB577A"/>
    <w:rsid w:val="4AC97E97"/>
    <w:rsid w:val="4B157580"/>
    <w:rsid w:val="4B2C4766"/>
    <w:rsid w:val="4B303FF2"/>
    <w:rsid w:val="4B321EE0"/>
    <w:rsid w:val="4B5A1437"/>
    <w:rsid w:val="4B661B8A"/>
    <w:rsid w:val="4B80775D"/>
    <w:rsid w:val="4BA40904"/>
    <w:rsid w:val="4BC82811"/>
    <w:rsid w:val="4BCA33EF"/>
    <w:rsid w:val="4BCF3098"/>
    <w:rsid w:val="4BD905AE"/>
    <w:rsid w:val="4BDF0008"/>
    <w:rsid w:val="4C0513A3"/>
    <w:rsid w:val="4C2E3605"/>
    <w:rsid w:val="4C3B648F"/>
    <w:rsid w:val="4C490FDB"/>
    <w:rsid w:val="4C575977"/>
    <w:rsid w:val="4C820C46"/>
    <w:rsid w:val="4C9D5A7F"/>
    <w:rsid w:val="4CB61830"/>
    <w:rsid w:val="4CBB7772"/>
    <w:rsid w:val="4CD6689C"/>
    <w:rsid w:val="4D20220D"/>
    <w:rsid w:val="4D2770F7"/>
    <w:rsid w:val="4D292E6F"/>
    <w:rsid w:val="4D2B6437"/>
    <w:rsid w:val="4D423F31"/>
    <w:rsid w:val="4D577285"/>
    <w:rsid w:val="4D586B3B"/>
    <w:rsid w:val="4DBC1FFF"/>
    <w:rsid w:val="4DCB3F26"/>
    <w:rsid w:val="4E037B64"/>
    <w:rsid w:val="4E0631B0"/>
    <w:rsid w:val="4E0918C7"/>
    <w:rsid w:val="4E0E5268"/>
    <w:rsid w:val="4E353A96"/>
    <w:rsid w:val="4E3A6C98"/>
    <w:rsid w:val="4E406DDB"/>
    <w:rsid w:val="4E467A51"/>
    <w:rsid w:val="4E573A0C"/>
    <w:rsid w:val="4E5E342E"/>
    <w:rsid w:val="4E616639"/>
    <w:rsid w:val="4E8D742E"/>
    <w:rsid w:val="4EC310A1"/>
    <w:rsid w:val="4ED60DD5"/>
    <w:rsid w:val="4EF31987"/>
    <w:rsid w:val="4F343D4D"/>
    <w:rsid w:val="4F363F69"/>
    <w:rsid w:val="4F382730"/>
    <w:rsid w:val="4F9667B6"/>
    <w:rsid w:val="4FCB6460"/>
    <w:rsid w:val="4FCD2322"/>
    <w:rsid w:val="4FE6773D"/>
    <w:rsid w:val="50151DD1"/>
    <w:rsid w:val="503815AB"/>
    <w:rsid w:val="503D1B2F"/>
    <w:rsid w:val="505667BA"/>
    <w:rsid w:val="509F53A1"/>
    <w:rsid w:val="50BE5FC4"/>
    <w:rsid w:val="50F96FFC"/>
    <w:rsid w:val="51220301"/>
    <w:rsid w:val="51312C3A"/>
    <w:rsid w:val="516A3A56"/>
    <w:rsid w:val="516E79EA"/>
    <w:rsid w:val="518C60C3"/>
    <w:rsid w:val="51C413B8"/>
    <w:rsid w:val="51E27A91"/>
    <w:rsid w:val="520C318E"/>
    <w:rsid w:val="522E0F28"/>
    <w:rsid w:val="52397FF8"/>
    <w:rsid w:val="5253400E"/>
    <w:rsid w:val="52554706"/>
    <w:rsid w:val="52662470"/>
    <w:rsid w:val="5268268C"/>
    <w:rsid w:val="52704B3A"/>
    <w:rsid w:val="527109D2"/>
    <w:rsid w:val="528943B0"/>
    <w:rsid w:val="528F5E6A"/>
    <w:rsid w:val="52BC29D7"/>
    <w:rsid w:val="52D65847"/>
    <w:rsid w:val="52DA2EF0"/>
    <w:rsid w:val="530A3743"/>
    <w:rsid w:val="53191BD8"/>
    <w:rsid w:val="531B14AC"/>
    <w:rsid w:val="532C36B9"/>
    <w:rsid w:val="53B15D43"/>
    <w:rsid w:val="53CB2ED2"/>
    <w:rsid w:val="540520E7"/>
    <w:rsid w:val="54357DC7"/>
    <w:rsid w:val="54A13905"/>
    <w:rsid w:val="54C3004D"/>
    <w:rsid w:val="54D8139E"/>
    <w:rsid w:val="54DA0EF3"/>
    <w:rsid w:val="54EC75A4"/>
    <w:rsid w:val="54FE4BE1"/>
    <w:rsid w:val="551213A1"/>
    <w:rsid w:val="553C0E6E"/>
    <w:rsid w:val="556F5ADF"/>
    <w:rsid w:val="558A401D"/>
    <w:rsid w:val="55A57B89"/>
    <w:rsid w:val="55AF5684"/>
    <w:rsid w:val="55B7348B"/>
    <w:rsid w:val="55BE59BE"/>
    <w:rsid w:val="55CE2806"/>
    <w:rsid w:val="56026D60"/>
    <w:rsid w:val="56101070"/>
    <w:rsid w:val="56220DA3"/>
    <w:rsid w:val="565427B5"/>
    <w:rsid w:val="56685F29"/>
    <w:rsid w:val="567A298E"/>
    <w:rsid w:val="56837A94"/>
    <w:rsid w:val="56980AD3"/>
    <w:rsid w:val="569B401B"/>
    <w:rsid w:val="56B25A84"/>
    <w:rsid w:val="56EB388B"/>
    <w:rsid w:val="571921A6"/>
    <w:rsid w:val="57335353"/>
    <w:rsid w:val="57462870"/>
    <w:rsid w:val="574A6F99"/>
    <w:rsid w:val="57601B83"/>
    <w:rsid w:val="578053C5"/>
    <w:rsid w:val="57A06424"/>
    <w:rsid w:val="57D808C1"/>
    <w:rsid w:val="57DC3A18"/>
    <w:rsid w:val="57EE53E1"/>
    <w:rsid w:val="580B4386"/>
    <w:rsid w:val="580B4A27"/>
    <w:rsid w:val="581A4428"/>
    <w:rsid w:val="581D7A74"/>
    <w:rsid w:val="58256929"/>
    <w:rsid w:val="584D65AC"/>
    <w:rsid w:val="58574529"/>
    <w:rsid w:val="58A41F44"/>
    <w:rsid w:val="58A87664"/>
    <w:rsid w:val="58BA26D5"/>
    <w:rsid w:val="58E6430A"/>
    <w:rsid w:val="594C3389"/>
    <w:rsid w:val="597C5892"/>
    <w:rsid w:val="598558D1"/>
    <w:rsid w:val="59D16D68"/>
    <w:rsid w:val="5A0740B4"/>
    <w:rsid w:val="5A2D0035"/>
    <w:rsid w:val="5A391297"/>
    <w:rsid w:val="5A623E64"/>
    <w:rsid w:val="5ACC60BC"/>
    <w:rsid w:val="5AF076C2"/>
    <w:rsid w:val="5B070568"/>
    <w:rsid w:val="5B2C3611"/>
    <w:rsid w:val="5B3255E5"/>
    <w:rsid w:val="5B490B80"/>
    <w:rsid w:val="5B8D57A4"/>
    <w:rsid w:val="5BCB77E7"/>
    <w:rsid w:val="5BE014E5"/>
    <w:rsid w:val="5BE33A34"/>
    <w:rsid w:val="5BFF1759"/>
    <w:rsid w:val="5C167865"/>
    <w:rsid w:val="5C1C7A3B"/>
    <w:rsid w:val="5C3B496D"/>
    <w:rsid w:val="5C531CB7"/>
    <w:rsid w:val="5C675762"/>
    <w:rsid w:val="5C877BB2"/>
    <w:rsid w:val="5C8A17E6"/>
    <w:rsid w:val="5CCD7CBB"/>
    <w:rsid w:val="5CD64696"/>
    <w:rsid w:val="5CFF3BED"/>
    <w:rsid w:val="5D2B424C"/>
    <w:rsid w:val="5D414205"/>
    <w:rsid w:val="5D445AA3"/>
    <w:rsid w:val="5D9945C8"/>
    <w:rsid w:val="5DA17252"/>
    <w:rsid w:val="5DB04EE7"/>
    <w:rsid w:val="5DB93D9B"/>
    <w:rsid w:val="5DD37873"/>
    <w:rsid w:val="5DDE3802"/>
    <w:rsid w:val="5DED3B6D"/>
    <w:rsid w:val="5DFD16C2"/>
    <w:rsid w:val="5E282CCF"/>
    <w:rsid w:val="5E4915C3"/>
    <w:rsid w:val="5E5D6E1D"/>
    <w:rsid w:val="5EAC56AE"/>
    <w:rsid w:val="5ED82947"/>
    <w:rsid w:val="5F1576F7"/>
    <w:rsid w:val="5F245CB8"/>
    <w:rsid w:val="5F743E84"/>
    <w:rsid w:val="5F7C1524"/>
    <w:rsid w:val="5F907FA7"/>
    <w:rsid w:val="5FA465C3"/>
    <w:rsid w:val="5FA9422D"/>
    <w:rsid w:val="5FB15AF3"/>
    <w:rsid w:val="5FC131EA"/>
    <w:rsid w:val="5FFC0099"/>
    <w:rsid w:val="601A4C5D"/>
    <w:rsid w:val="60206354"/>
    <w:rsid w:val="60367925"/>
    <w:rsid w:val="60593614"/>
    <w:rsid w:val="606725AC"/>
    <w:rsid w:val="60716BAF"/>
    <w:rsid w:val="60CA4511"/>
    <w:rsid w:val="60EA27A3"/>
    <w:rsid w:val="60FD48E7"/>
    <w:rsid w:val="61017D2B"/>
    <w:rsid w:val="6111133A"/>
    <w:rsid w:val="61405F8F"/>
    <w:rsid w:val="6194022F"/>
    <w:rsid w:val="61A66D2D"/>
    <w:rsid w:val="61AD1E69"/>
    <w:rsid w:val="61C45551"/>
    <w:rsid w:val="61DD00E2"/>
    <w:rsid w:val="61F25F27"/>
    <w:rsid w:val="620D46B6"/>
    <w:rsid w:val="622B0FE0"/>
    <w:rsid w:val="624A76B8"/>
    <w:rsid w:val="625748C5"/>
    <w:rsid w:val="62630539"/>
    <w:rsid w:val="6263685B"/>
    <w:rsid w:val="626558FA"/>
    <w:rsid w:val="6267026A"/>
    <w:rsid w:val="62AD7C47"/>
    <w:rsid w:val="62CA07F9"/>
    <w:rsid w:val="62EA0E9B"/>
    <w:rsid w:val="630A766E"/>
    <w:rsid w:val="632E49B4"/>
    <w:rsid w:val="63302D52"/>
    <w:rsid w:val="63343EC4"/>
    <w:rsid w:val="636429FB"/>
    <w:rsid w:val="63715118"/>
    <w:rsid w:val="637864A7"/>
    <w:rsid w:val="63850A01"/>
    <w:rsid w:val="640146EE"/>
    <w:rsid w:val="64191880"/>
    <w:rsid w:val="641A130C"/>
    <w:rsid w:val="643D56FD"/>
    <w:rsid w:val="64505BE2"/>
    <w:rsid w:val="64540CC2"/>
    <w:rsid w:val="64691F93"/>
    <w:rsid w:val="647A771F"/>
    <w:rsid w:val="64910949"/>
    <w:rsid w:val="64A86918"/>
    <w:rsid w:val="65006CC3"/>
    <w:rsid w:val="65264404"/>
    <w:rsid w:val="655F16CC"/>
    <w:rsid w:val="65705687"/>
    <w:rsid w:val="657131AE"/>
    <w:rsid w:val="657D4F8B"/>
    <w:rsid w:val="65817895"/>
    <w:rsid w:val="659375C8"/>
    <w:rsid w:val="659557F7"/>
    <w:rsid w:val="65C76DAC"/>
    <w:rsid w:val="65F31E15"/>
    <w:rsid w:val="65FA7422"/>
    <w:rsid w:val="662B6761"/>
    <w:rsid w:val="662B6B50"/>
    <w:rsid w:val="66524D8D"/>
    <w:rsid w:val="66630D48"/>
    <w:rsid w:val="66707909"/>
    <w:rsid w:val="66BB6DD6"/>
    <w:rsid w:val="66C8504F"/>
    <w:rsid w:val="66FB3114"/>
    <w:rsid w:val="67006EDF"/>
    <w:rsid w:val="67074C6F"/>
    <w:rsid w:val="670C5884"/>
    <w:rsid w:val="670F0ED0"/>
    <w:rsid w:val="671169F6"/>
    <w:rsid w:val="6716225F"/>
    <w:rsid w:val="676861C1"/>
    <w:rsid w:val="676B07FC"/>
    <w:rsid w:val="67B6134C"/>
    <w:rsid w:val="67D30150"/>
    <w:rsid w:val="67EB36EB"/>
    <w:rsid w:val="68494449"/>
    <w:rsid w:val="684C54B8"/>
    <w:rsid w:val="68995C25"/>
    <w:rsid w:val="68B7181F"/>
    <w:rsid w:val="68C404F4"/>
    <w:rsid w:val="69071182"/>
    <w:rsid w:val="69150006"/>
    <w:rsid w:val="691A342D"/>
    <w:rsid w:val="691D5B26"/>
    <w:rsid w:val="692549DB"/>
    <w:rsid w:val="692A0243"/>
    <w:rsid w:val="69401815"/>
    <w:rsid w:val="694F7CAA"/>
    <w:rsid w:val="698F62F8"/>
    <w:rsid w:val="69DC4A99"/>
    <w:rsid w:val="69F148BD"/>
    <w:rsid w:val="6A1862EE"/>
    <w:rsid w:val="6A2627B9"/>
    <w:rsid w:val="6A6634FD"/>
    <w:rsid w:val="6AF91C7B"/>
    <w:rsid w:val="6B0D2186"/>
    <w:rsid w:val="6B2A452A"/>
    <w:rsid w:val="6B3023EA"/>
    <w:rsid w:val="6B38327E"/>
    <w:rsid w:val="6B5718FA"/>
    <w:rsid w:val="6B6B36EF"/>
    <w:rsid w:val="6B9D2F4E"/>
    <w:rsid w:val="6BA75B7B"/>
    <w:rsid w:val="6BAD2A66"/>
    <w:rsid w:val="6BCE327F"/>
    <w:rsid w:val="6BD14C21"/>
    <w:rsid w:val="6BF15048"/>
    <w:rsid w:val="6BF568E6"/>
    <w:rsid w:val="6BFBB5E9"/>
    <w:rsid w:val="6C0B79E7"/>
    <w:rsid w:val="6C73221A"/>
    <w:rsid w:val="6C77379F"/>
    <w:rsid w:val="6C7B5288"/>
    <w:rsid w:val="6C8D2FC3"/>
    <w:rsid w:val="6C9C3206"/>
    <w:rsid w:val="6CB57E24"/>
    <w:rsid w:val="6CC10EBE"/>
    <w:rsid w:val="6CF76895"/>
    <w:rsid w:val="6D5C2995"/>
    <w:rsid w:val="6D621EAE"/>
    <w:rsid w:val="6D6F0CA7"/>
    <w:rsid w:val="6D6F4477"/>
    <w:rsid w:val="6DA305C4"/>
    <w:rsid w:val="6DA82294"/>
    <w:rsid w:val="6DB4632D"/>
    <w:rsid w:val="6DCF1C93"/>
    <w:rsid w:val="6DDF784E"/>
    <w:rsid w:val="6E3A0F28"/>
    <w:rsid w:val="6E5D69C5"/>
    <w:rsid w:val="6E7B6E4B"/>
    <w:rsid w:val="6E8977BA"/>
    <w:rsid w:val="6EE42C42"/>
    <w:rsid w:val="6EF70BC7"/>
    <w:rsid w:val="6EFF7063"/>
    <w:rsid w:val="6F266ACC"/>
    <w:rsid w:val="6F2A4AF9"/>
    <w:rsid w:val="6F3D1103"/>
    <w:rsid w:val="6F616041"/>
    <w:rsid w:val="6F6D03D1"/>
    <w:rsid w:val="6F6D2C38"/>
    <w:rsid w:val="6FE030A4"/>
    <w:rsid w:val="6FED64B3"/>
    <w:rsid w:val="70187047"/>
    <w:rsid w:val="70380CAC"/>
    <w:rsid w:val="70802A43"/>
    <w:rsid w:val="7089224D"/>
    <w:rsid w:val="708D657F"/>
    <w:rsid w:val="70CD6084"/>
    <w:rsid w:val="70D87E5D"/>
    <w:rsid w:val="70F058CE"/>
    <w:rsid w:val="70FA5042"/>
    <w:rsid w:val="71060233"/>
    <w:rsid w:val="710F70C3"/>
    <w:rsid w:val="716B31A7"/>
    <w:rsid w:val="71864485"/>
    <w:rsid w:val="71BC1C54"/>
    <w:rsid w:val="71CF69E7"/>
    <w:rsid w:val="71D84CE0"/>
    <w:rsid w:val="71EE7F96"/>
    <w:rsid w:val="71EF202A"/>
    <w:rsid w:val="721F2C81"/>
    <w:rsid w:val="72441E03"/>
    <w:rsid w:val="72481EB3"/>
    <w:rsid w:val="72604CD6"/>
    <w:rsid w:val="72646574"/>
    <w:rsid w:val="727B7064"/>
    <w:rsid w:val="72CB4092"/>
    <w:rsid w:val="72EB0A43"/>
    <w:rsid w:val="730B2E93"/>
    <w:rsid w:val="7318110C"/>
    <w:rsid w:val="732A300A"/>
    <w:rsid w:val="736B4896"/>
    <w:rsid w:val="73826F6D"/>
    <w:rsid w:val="738F5872"/>
    <w:rsid w:val="739C7E09"/>
    <w:rsid w:val="73C372CA"/>
    <w:rsid w:val="73D94061"/>
    <w:rsid w:val="745746EA"/>
    <w:rsid w:val="745D327B"/>
    <w:rsid w:val="746C5D4C"/>
    <w:rsid w:val="748D7E9C"/>
    <w:rsid w:val="749F7D37"/>
    <w:rsid w:val="74C07CAE"/>
    <w:rsid w:val="74D7576A"/>
    <w:rsid w:val="75071439"/>
    <w:rsid w:val="7535244A"/>
    <w:rsid w:val="75467F10"/>
    <w:rsid w:val="754F13DE"/>
    <w:rsid w:val="75722D56"/>
    <w:rsid w:val="75A03D67"/>
    <w:rsid w:val="75B94E29"/>
    <w:rsid w:val="76206C56"/>
    <w:rsid w:val="76260573"/>
    <w:rsid w:val="76326989"/>
    <w:rsid w:val="7639054C"/>
    <w:rsid w:val="764C5C54"/>
    <w:rsid w:val="767C665B"/>
    <w:rsid w:val="768F7938"/>
    <w:rsid w:val="76DC0816"/>
    <w:rsid w:val="77204A34"/>
    <w:rsid w:val="77742182"/>
    <w:rsid w:val="77807041"/>
    <w:rsid w:val="77CF724E"/>
    <w:rsid w:val="77DA1086"/>
    <w:rsid w:val="77FC0FFD"/>
    <w:rsid w:val="7808031B"/>
    <w:rsid w:val="78A21BA4"/>
    <w:rsid w:val="78B53E24"/>
    <w:rsid w:val="78D36201"/>
    <w:rsid w:val="78F30652"/>
    <w:rsid w:val="790463BB"/>
    <w:rsid w:val="79064D12"/>
    <w:rsid w:val="790E0FE8"/>
    <w:rsid w:val="794B3587"/>
    <w:rsid w:val="79652BD2"/>
    <w:rsid w:val="796A30D8"/>
    <w:rsid w:val="798E7572"/>
    <w:rsid w:val="7995655B"/>
    <w:rsid w:val="79B3393D"/>
    <w:rsid w:val="79D833A4"/>
    <w:rsid w:val="7A081EDB"/>
    <w:rsid w:val="7A1C7734"/>
    <w:rsid w:val="7A664E53"/>
    <w:rsid w:val="7A7031C8"/>
    <w:rsid w:val="7A990D85"/>
    <w:rsid w:val="7AD75013"/>
    <w:rsid w:val="7AD8037C"/>
    <w:rsid w:val="7B1E74DC"/>
    <w:rsid w:val="7B51165F"/>
    <w:rsid w:val="7B5A49B8"/>
    <w:rsid w:val="7B6044DF"/>
    <w:rsid w:val="7B6C46EB"/>
    <w:rsid w:val="7B761975"/>
    <w:rsid w:val="7B86755B"/>
    <w:rsid w:val="7B933A26"/>
    <w:rsid w:val="7B9A3006"/>
    <w:rsid w:val="7BB15F64"/>
    <w:rsid w:val="7BC23010"/>
    <w:rsid w:val="7BFF4F8C"/>
    <w:rsid w:val="7C1120EB"/>
    <w:rsid w:val="7C122B9D"/>
    <w:rsid w:val="7C2154D6"/>
    <w:rsid w:val="7C336FB7"/>
    <w:rsid w:val="7C5A0E1C"/>
    <w:rsid w:val="7C7A6994"/>
    <w:rsid w:val="7C9A3071"/>
    <w:rsid w:val="7CA83501"/>
    <w:rsid w:val="7CAC3A0A"/>
    <w:rsid w:val="7CE34539"/>
    <w:rsid w:val="7CE97F32"/>
    <w:rsid w:val="7CF9497D"/>
    <w:rsid w:val="7D1F7C67"/>
    <w:rsid w:val="7D20753B"/>
    <w:rsid w:val="7D322ED9"/>
    <w:rsid w:val="7D3359E4"/>
    <w:rsid w:val="7D3F5BD2"/>
    <w:rsid w:val="7D4F1BCF"/>
    <w:rsid w:val="7D507EEB"/>
    <w:rsid w:val="7DA61DC5"/>
    <w:rsid w:val="7DC600E3"/>
    <w:rsid w:val="7DE71E07"/>
    <w:rsid w:val="7DF1206F"/>
    <w:rsid w:val="7E097FCF"/>
    <w:rsid w:val="7E244E09"/>
    <w:rsid w:val="7E3A287F"/>
    <w:rsid w:val="7E5576B9"/>
    <w:rsid w:val="7E584AB3"/>
    <w:rsid w:val="7EDC7492"/>
    <w:rsid w:val="7EE17D2D"/>
    <w:rsid w:val="7EEB3B79"/>
    <w:rsid w:val="7EEF2121"/>
    <w:rsid w:val="7F3F4173"/>
    <w:rsid w:val="7F4A6AF1"/>
    <w:rsid w:val="7F5A3157"/>
    <w:rsid w:val="7F64085D"/>
    <w:rsid w:val="7F74591C"/>
    <w:rsid w:val="7FB978CB"/>
    <w:rsid w:val="7FCE7723"/>
    <w:rsid w:val="7FE40CF4"/>
    <w:rsid w:val="7FE52A52"/>
    <w:rsid w:val="7FE66FFF"/>
    <w:rsid w:val="D7CD57C1"/>
    <w:rsid w:val="FDFFA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autoRedefine/>
    <w:qFormat/>
    <w:uiPriority w:val="0"/>
    <w:pPr>
      <w:keepNext/>
      <w:keepLines/>
      <w:spacing w:before="260" w:after="260" w:line="415" w:lineRule="auto"/>
      <w:outlineLvl w:val="1"/>
    </w:pPr>
    <w:rPr>
      <w:rFonts w:ascii="Calibri Light" w:hAnsi="Calibri Light"/>
      <w:b/>
      <w:bCs/>
      <w:sz w:val="32"/>
      <w:szCs w:val="32"/>
    </w:rPr>
  </w:style>
  <w:style w:type="paragraph" w:styleId="5">
    <w:name w:val="heading 3"/>
    <w:basedOn w:val="1"/>
    <w:next w:val="1"/>
    <w:link w:val="51"/>
    <w:autoRedefine/>
    <w:qFormat/>
    <w:uiPriority w:val="0"/>
    <w:pPr>
      <w:keepNext/>
      <w:keepLines/>
      <w:spacing w:before="260" w:after="260" w:line="415"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52"/>
    <w:autoRedefine/>
    <w:qFormat/>
    <w:uiPriority w:val="99"/>
    <w:pPr>
      <w:spacing w:before="240" w:after="60"/>
      <w:jc w:val="center"/>
      <w:outlineLvl w:val="0"/>
    </w:pPr>
    <w:rPr>
      <w:rFonts w:ascii="Arial" w:hAnsi="Arial" w:cs="Arial"/>
      <w:b/>
      <w:bCs/>
      <w:sz w:val="32"/>
      <w:szCs w:val="32"/>
    </w:rPr>
  </w:style>
  <w:style w:type="paragraph" w:styleId="7">
    <w:name w:val="List Number"/>
    <w:basedOn w:val="1"/>
    <w:autoRedefine/>
    <w:qFormat/>
    <w:uiPriority w:val="0"/>
    <w:pPr>
      <w:numPr>
        <w:ilvl w:val="0"/>
        <w:numId w:val="1"/>
      </w:numPr>
      <w:tabs>
        <w:tab w:val="left" w:pos="0"/>
        <w:tab w:val="clear" w:pos="360"/>
      </w:tabs>
      <w:ind w:firstLine="0" w:firstLineChars="0"/>
    </w:pPr>
  </w:style>
  <w:style w:type="paragraph" w:styleId="8">
    <w:name w:val="Normal Indent"/>
    <w:basedOn w:val="1"/>
    <w:next w:val="9"/>
    <w:autoRedefine/>
    <w:qFormat/>
    <w:uiPriority w:val="0"/>
    <w:pPr>
      <w:ind w:firstLine="420"/>
    </w:pPr>
    <w:rPr>
      <w:szCs w:val="20"/>
    </w:rPr>
  </w:style>
  <w:style w:type="paragraph" w:styleId="9">
    <w:name w:val="Body Text Indent"/>
    <w:basedOn w:val="1"/>
    <w:next w:val="10"/>
    <w:link w:val="57"/>
    <w:autoRedefine/>
    <w:qFormat/>
    <w:uiPriority w:val="0"/>
    <w:pPr>
      <w:spacing w:after="120"/>
      <w:ind w:left="200" w:leftChars="200"/>
    </w:pPr>
  </w:style>
  <w:style w:type="paragraph" w:styleId="10">
    <w:name w:val="envelope return"/>
    <w:basedOn w:val="1"/>
    <w:autoRedefine/>
    <w:qFormat/>
    <w:uiPriority w:val="0"/>
    <w:pPr>
      <w:snapToGrid w:val="0"/>
      <w:spacing w:line="400" w:lineRule="exact"/>
    </w:pPr>
    <w:rPr>
      <w:rFonts w:ascii="Arial" w:hAnsi="Arial"/>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Document Map"/>
    <w:basedOn w:val="1"/>
    <w:link w:val="53"/>
    <w:autoRedefine/>
    <w:qFormat/>
    <w:uiPriority w:val="0"/>
    <w:rPr>
      <w:rFonts w:ascii="宋体"/>
      <w:sz w:val="18"/>
      <w:szCs w:val="18"/>
    </w:rPr>
  </w:style>
  <w:style w:type="paragraph" w:styleId="13">
    <w:name w:val="toa heading"/>
    <w:basedOn w:val="1"/>
    <w:next w:val="1"/>
    <w:autoRedefine/>
    <w:qFormat/>
    <w:uiPriority w:val="0"/>
    <w:pPr>
      <w:spacing w:before="120"/>
    </w:pPr>
    <w:rPr>
      <w:rFonts w:ascii="Calibri Light" w:hAnsi="Calibri Light" w:cs="宋体"/>
      <w:sz w:val="24"/>
    </w:rPr>
  </w:style>
  <w:style w:type="paragraph" w:styleId="14">
    <w:name w:val="annotation text"/>
    <w:basedOn w:val="1"/>
    <w:link w:val="54"/>
    <w:autoRedefine/>
    <w:qFormat/>
    <w:uiPriority w:val="0"/>
    <w:pPr>
      <w:jc w:val="left"/>
    </w:pPr>
  </w:style>
  <w:style w:type="paragraph" w:styleId="15">
    <w:name w:val="Body Text 3"/>
    <w:basedOn w:val="1"/>
    <w:link w:val="55"/>
    <w:autoRedefine/>
    <w:qFormat/>
    <w:uiPriority w:val="0"/>
    <w:pPr>
      <w:spacing w:after="120"/>
    </w:pPr>
    <w:rPr>
      <w:sz w:val="16"/>
      <w:szCs w:val="16"/>
    </w:rPr>
  </w:style>
  <w:style w:type="paragraph" w:styleId="16">
    <w:name w:val="Body Text"/>
    <w:basedOn w:val="1"/>
    <w:next w:val="17"/>
    <w:link w:val="56"/>
    <w:autoRedefine/>
    <w:qFormat/>
    <w:uiPriority w:val="0"/>
    <w:pPr>
      <w:spacing w:line="360" w:lineRule="exact"/>
    </w:pPr>
    <w:rPr>
      <w:sz w:val="24"/>
    </w:rPr>
  </w:style>
  <w:style w:type="paragraph" w:styleId="17">
    <w:name w:val="Body Text First Indent"/>
    <w:basedOn w:val="16"/>
    <w:next w:val="18"/>
    <w:link w:val="65"/>
    <w:autoRedefine/>
    <w:qFormat/>
    <w:uiPriority w:val="0"/>
    <w:pPr>
      <w:spacing w:after="120" w:line="240" w:lineRule="auto"/>
      <w:ind w:firstLine="100" w:firstLineChars="100"/>
    </w:pPr>
    <w:rPr>
      <w:sz w:val="21"/>
    </w:rPr>
  </w:style>
  <w:style w:type="paragraph" w:styleId="18">
    <w:name w:val="Body Text First Indent 2"/>
    <w:basedOn w:val="9"/>
    <w:next w:val="19"/>
    <w:link w:val="66"/>
    <w:autoRedefine/>
    <w:qFormat/>
    <w:uiPriority w:val="0"/>
    <w:pPr>
      <w:ind w:firstLine="200" w:firstLineChars="200"/>
    </w:pPr>
  </w:style>
  <w:style w:type="paragraph" w:styleId="19">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0">
    <w:name w:val="toc 3"/>
    <w:basedOn w:val="1"/>
    <w:next w:val="1"/>
    <w:autoRedefine/>
    <w:qFormat/>
    <w:uiPriority w:val="0"/>
    <w:pPr>
      <w:ind w:left="400" w:leftChars="400"/>
    </w:pPr>
  </w:style>
  <w:style w:type="paragraph" w:styleId="21">
    <w:name w:val="Plain Text"/>
    <w:basedOn w:val="1"/>
    <w:next w:val="22"/>
    <w:link w:val="58"/>
    <w:autoRedefine/>
    <w:qFormat/>
    <w:uiPriority w:val="0"/>
    <w:rPr>
      <w:rFonts w:ascii="宋体" w:cs="Arial"/>
    </w:rPr>
  </w:style>
  <w:style w:type="paragraph" w:styleId="22">
    <w:name w:val="Date"/>
    <w:basedOn w:val="1"/>
    <w:next w:val="1"/>
    <w:link w:val="59"/>
    <w:autoRedefine/>
    <w:qFormat/>
    <w:uiPriority w:val="0"/>
    <w:pPr>
      <w:ind w:left="2500" w:leftChars="2500"/>
    </w:pPr>
    <w:rPr>
      <w:rFonts w:ascii="Calibri" w:hAnsi="Calibri" w:eastAsia="楷体_GB2312" w:cs="Arial"/>
      <w:sz w:val="32"/>
      <w:szCs w:val="22"/>
    </w:rPr>
  </w:style>
  <w:style w:type="paragraph" w:styleId="23">
    <w:name w:val="toc 8"/>
    <w:basedOn w:val="1"/>
    <w:next w:val="1"/>
    <w:autoRedefine/>
    <w:unhideWhenUsed/>
    <w:qFormat/>
    <w:uiPriority w:val="39"/>
    <w:pPr>
      <w:widowControl/>
      <w:ind w:left="2940" w:leftChars="1400"/>
      <w:jc w:val="left"/>
    </w:pPr>
    <w:rPr>
      <w:rFonts w:ascii="宋体" w:hAnsi="宋体" w:cs="宋体"/>
      <w:kern w:val="0"/>
      <w:sz w:val="24"/>
    </w:rPr>
  </w:style>
  <w:style w:type="paragraph" w:styleId="24">
    <w:name w:val="Body Text Indent 2"/>
    <w:basedOn w:val="1"/>
    <w:link w:val="60"/>
    <w:autoRedefine/>
    <w:qFormat/>
    <w:uiPriority w:val="0"/>
    <w:pPr>
      <w:spacing w:after="120" w:line="480" w:lineRule="auto"/>
      <w:ind w:left="200" w:leftChars="200"/>
    </w:pPr>
  </w:style>
  <w:style w:type="paragraph" w:styleId="25">
    <w:name w:val="Balloon Text"/>
    <w:basedOn w:val="1"/>
    <w:link w:val="61"/>
    <w:autoRedefine/>
    <w:qFormat/>
    <w:uiPriority w:val="0"/>
    <w:rPr>
      <w:sz w:val="18"/>
      <w:szCs w:val="18"/>
    </w:rPr>
  </w:style>
  <w:style w:type="paragraph" w:styleId="26">
    <w:name w:val="footer"/>
    <w:basedOn w:val="1"/>
    <w:link w:val="48"/>
    <w:autoRedefine/>
    <w:unhideWhenUsed/>
    <w:qFormat/>
    <w:uiPriority w:val="0"/>
    <w:pPr>
      <w:tabs>
        <w:tab w:val="center" w:pos="4153"/>
        <w:tab w:val="right" w:pos="8306"/>
      </w:tabs>
      <w:snapToGrid w:val="0"/>
      <w:jc w:val="left"/>
    </w:pPr>
    <w:rPr>
      <w:sz w:val="18"/>
      <w:szCs w:val="18"/>
    </w:rPr>
  </w:style>
  <w:style w:type="paragraph" w:styleId="27">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style>
  <w:style w:type="paragraph" w:styleId="29">
    <w:name w:val="footnote text"/>
    <w:basedOn w:val="1"/>
    <w:link w:val="62"/>
    <w:autoRedefine/>
    <w:qFormat/>
    <w:uiPriority w:val="0"/>
    <w:pPr>
      <w:snapToGrid w:val="0"/>
      <w:jc w:val="left"/>
    </w:pPr>
    <w:rPr>
      <w:rFonts w:ascii="Calibri" w:hAnsi="Calibri" w:eastAsia="Calibri"/>
      <w:sz w:val="18"/>
    </w:rPr>
  </w:style>
  <w:style w:type="paragraph" w:styleId="30">
    <w:name w:val="toc 6"/>
    <w:basedOn w:val="1"/>
    <w:next w:val="1"/>
    <w:autoRedefine/>
    <w:qFormat/>
    <w:uiPriority w:val="0"/>
    <w:pPr>
      <w:ind w:left="1050"/>
      <w:jc w:val="left"/>
    </w:pPr>
    <w:rPr>
      <w:sz w:val="18"/>
      <w:szCs w:val="18"/>
    </w:rPr>
  </w:style>
  <w:style w:type="paragraph" w:styleId="31">
    <w:name w:val="Body Text Indent 3"/>
    <w:basedOn w:val="1"/>
    <w:link w:val="63"/>
    <w:autoRedefine/>
    <w:qFormat/>
    <w:uiPriority w:val="0"/>
    <w:pPr>
      <w:spacing w:after="120"/>
      <w:ind w:left="200" w:leftChars="200"/>
    </w:pPr>
    <w:rPr>
      <w:sz w:val="16"/>
      <w:szCs w:val="16"/>
    </w:rPr>
  </w:style>
  <w:style w:type="paragraph" w:styleId="32">
    <w:name w:val="toc 2"/>
    <w:basedOn w:val="1"/>
    <w:next w:val="1"/>
    <w:autoRedefine/>
    <w:qFormat/>
    <w:uiPriority w:val="39"/>
    <w:pPr>
      <w:ind w:left="200" w:leftChars="200"/>
    </w:pPr>
  </w:style>
  <w:style w:type="paragraph" w:styleId="33">
    <w:name w:val="Normal (Web)"/>
    <w:basedOn w:val="1"/>
    <w:link w:val="96"/>
    <w:autoRedefine/>
    <w:qFormat/>
    <w:uiPriority w:val="0"/>
    <w:pPr>
      <w:widowControl/>
      <w:spacing w:before="100" w:beforeAutospacing="1" w:after="100" w:afterAutospacing="1"/>
      <w:jc w:val="left"/>
    </w:pPr>
    <w:rPr>
      <w:rFonts w:ascii="宋体"/>
      <w:kern w:val="0"/>
      <w:sz w:val="24"/>
    </w:rPr>
  </w:style>
  <w:style w:type="paragraph" w:styleId="34">
    <w:name w:val="annotation subject"/>
    <w:basedOn w:val="14"/>
    <w:next w:val="14"/>
    <w:link w:val="64"/>
    <w:autoRedefine/>
    <w:qFormat/>
    <w:uiPriority w:val="0"/>
    <w:rPr>
      <w:b/>
      <w:bCs/>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rFonts w:ascii="Tahoma" w:hAnsi="Tahoma" w:cs="Tahoma"/>
      <w:b/>
      <w:sz w:val="24"/>
    </w:rPr>
  </w:style>
  <w:style w:type="character" w:styleId="39">
    <w:name w:val="Hyperlink"/>
    <w:basedOn w:val="37"/>
    <w:autoRedefine/>
    <w:qFormat/>
    <w:uiPriority w:val="99"/>
    <w:rPr>
      <w:color w:val="0563C1"/>
      <w:u w:val="single"/>
    </w:rPr>
  </w:style>
  <w:style w:type="character" w:styleId="40">
    <w:name w:val="annotation reference"/>
    <w:basedOn w:val="37"/>
    <w:autoRedefine/>
    <w:qFormat/>
    <w:uiPriority w:val="0"/>
    <w:rPr>
      <w:sz w:val="21"/>
      <w:szCs w:val="21"/>
    </w:rPr>
  </w:style>
  <w:style w:type="character" w:styleId="41">
    <w:name w:val="footnote reference"/>
    <w:basedOn w:val="37"/>
    <w:autoRedefine/>
    <w:qFormat/>
    <w:uiPriority w:val="0"/>
    <w:rPr>
      <w:vertAlign w:val="superscript"/>
    </w:rPr>
  </w:style>
  <w:style w:type="paragraph" w:customStyle="1" w:styleId="42">
    <w:name w:val="无间隔1"/>
    <w:autoRedefine/>
    <w:qFormat/>
    <w:uiPriority w:val="0"/>
    <w:pPr>
      <w:adjustRightInd w:val="0"/>
      <w:snapToGrid w:val="0"/>
    </w:pPr>
    <w:rPr>
      <w:rFonts w:ascii="Tahoma" w:hAnsi="Tahoma" w:eastAsia="微软雅黑" w:cs="Arial"/>
      <w:sz w:val="22"/>
      <w:szCs w:val="22"/>
      <w:lang w:val="en-US" w:eastAsia="zh-CN" w:bidi="ar-SA"/>
    </w:rPr>
  </w:style>
  <w:style w:type="paragraph" w:customStyle="1" w:styleId="43">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4">
    <w:name w:val="表格文字"/>
    <w:basedOn w:val="21"/>
    <w:next w:val="16"/>
    <w:autoRedefine/>
    <w:qFormat/>
    <w:uiPriority w:val="0"/>
    <w:pPr>
      <w:spacing w:before="25" w:after="25"/>
      <w:jc w:val="left"/>
    </w:pPr>
    <w:rPr>
      <w:bCs/>
      <w:spacing w:val="10"/>
      <w:kern w:val="0"/>
      <w:sz w:val="28"/>
      <w:szCs w:val="20"/>
    </w:rPr>
  </w:style>
  <w:style w:type="paragraph" w:customStyle="1" w:styleId="45">
    <w:name w:val="段落"/>
    <w:autoRedefine/>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46">
    <w:name w:val="签发人"/>
    <w:basedOn w:val="1"/>
    <w:autoRedefine/>
    <w:qFormat/>
    <w:uiPriority w:val="0"/>
    <w:rPr>
      <w:rFonts w:eastAsia="楷体"/>
      <w:sz w:val="32"/>
    </w:rPr>
  </w:style>
  <w:style w:type="character" w:customStyle="1" w:styleId="47">
    <w:name w:val="页眉 Char"/>
    <w:basedOn w:val="37"/>
    <w:link w:val="27"/>
    <w:autoRedefine/>
    <w:qFormat/>
    <w:uiPriority w:val="99"/>
    <w:rPr>
      <w:sz w:val="18"/>
      <w:szCs w:val="18"/>
    </w:rPr>
  </w:style>
  <w:style w:type="character" w:customStyle="1" w:styleId="48">
    <w:name w:val="页脚 Char"/>
    <w:basedOn w:val="37"/>
    <w:link w:val="26"/>
    <w:autoRedefine/>
    <w:qFormat/>
    <w:uiPriority w:val="99"/>
    <w:rPr>
      <w:sz w:val="18"/>
      <w:szCs w:val="18"/>
    </w:rPr>
  </w:style>
  <w:style w:type="character" w:customStyle="1" w:styleId="49">
    <w:name w:val="标题 1 Char"/>
    <w:basedOn w:val="37"/>
    <w:link w:val="3"/>
    <w:autoRedefine/>
    <w:qFormat/>
    <w:uiPriority w:val="0"/>
    <w:rPr>
      <w:rFonts w:ascii="Times New Roman" w:hAnsi="Times New Roman" w:eastAsia="宋体" w:cs="Times New Roman"/>
      <w:b/>
      <w:bCs/>
      <w:kern w:val="44"/>
      <w:sz w:val="44"/>
      <w:szCs w:val="44"/>
    </w:rPr>
  </w:style>
  <w:style w:type="character" w:customStyle="1" w:styleId="50">
    <w:name w:val="标题 2 Char"/>
    <w:basedOn w:val="37"/>
    <w:link w:val="4"/>
    <w:autoRedefine/>
    <w:qFormat/>
    <w:uiPriority w:val="0"/>
    <w:rPr>
      <w:rFonts w:ascii="Calibri Light" w:hAnsi="Calibri Light" w:eastAsia="宋体" w:cs="Times New Roman"/>
      <w:b/>
      <w:bCs/>
      <w:sz w:val="32"/>
      <w:szCs w:val="32"/>
    </w:rPr>
  </w:style>
  <w:style w:type="character" w:customStyle="1" w:styleId="51">
    <w:name w:val="标题 3 Char"/>
    <w:basedOn w:val="37"/>
    <w:link w:val="5"/>
    <w:autoRedefine/>
    <w:qFormat/>
    <w:uiPriority w:val="0"/>
    <w:rPr>
      <w:rFonts w:ascii="Times New Roman" w:hAnsi="Times New Roman" w:eastAsia="宋体" w:cs="Times New Roman"/>
      <w:b/>
      <w:bCs/>
      <w:sz w:val="32"/>
      <w:szCs w:val="32"/>
    </w:rPr>
  </w:style>
  <w:style w:type="character" w:customStyle="1" w:styleId="52">
    <w:name w:val="标题 Char"/>
    <w:basedOn w:val="37"/>
    <w:link w:val="2"/>
    <w:autoRedefine/>
    <w:qFormat/>
    <w:uiPriority w:val="99"/>
    <w:rPr>
      <w:rFonts w:ascii="Arial" w:hAnsi="Arial" w:eastAsia="宋体" w:cs="Arial"/>
      <w:b/>
      <w:bCs/>
      <w:sz w:val="32"/>
      <w:szCs w:val="32"/>
    </w:rPr>
  </w:style>
  <w:style w:type="character" w:customStyle="1" w:styleId="53">
    <w:name w:val="文档结构图 Char"/>
    <w:basedOn w:val="37"/>
    <w:link w:val="12"/>
    <w:autoRedefine/>
    <w:qFormat/>
    <w:uiPriority w:val="0"/>
    <w:rPr>
      <w:rFonts w:ascii="宋体" w:hAnsi="Times New Roman" w:eastAsia="宋体" w:cs="Times New Roman"/>
      <w:sz w:val="18"/>
      <w:szCs w:val="18"/>
    </w:rPr>
  </w:style>
  <w:style w:type="character" w:customStyle="1" w:styleId="54">
    <w:name w:val="批注文字 Char"/>
    <w:basedOn w:val="37"/>
    <w:link w:val="14"/>
    <w:autoRedefine/>
    <w:qFormat/>
    <w:uiPriority w:val="0"/>
    <w:rPr>
      <w:rFonts w:ascii="Times New Roman" w:hAnsi="Times New Roman" w:eastAsia="宋体" w:cs="Times New Roman"/>
      <w:szCs w:val="24"/>
    </w:rPr>
  </w:style>
  <w:style w:type="character" w:customStyle="1" w:styleId="55">
    <w:name w:val="正文文本 3 Char"/>
    <w:basedOn w:val="37"/>
    <w:link w:val="15"/>
    <w:autoRedefine/>
    <w:qFormat/>
    <w:uiPriority w:val="0"/>
    <w:rPr>
      <w:rFonts w:ascii="Times New Roman" w:hAnsi="Times New Roman" w:eastAsia="宋体" w:cs="Times New Roman"/>
      <w:sz w:val="16"/>
      <w:szCs w:val="16"/>
    </w:rPr>
  </w:style>
  <w:style w:type="character" w:customStyle="1" w:styleId="56">
    <w:name w:val="正文文本 Char"/>
    <w:basedOn w:val="37"/>
    <w:link w:val="16"/>
    <w:autoRedefine/>
    <w:qFormat/>
    <w:uiPriority w:val="0"/>
    <w:rPr>
      <w:rFonts w:ascii="Times New Roman" w:hAnsi="Times New Roman" w:eastAsia="宋体" w:cs="Times New Roman"/>
      <w:sz w:val="24"/>
      <w:szCs w:val="24"/>
    </w:rPr>
  </w:style>
  <w:style w:type="character" w:customStyle="1" w:styleId="57">
    <w:name w:val="正文文本缩进 Char"/>
    <w:basedOn w:val="37"/>
    <w:link w:val="9"/>
    <w:autoRedefine/>
    <w:qFormat/>
    <w:uiPriority w:val="0"/>
    <w:rPr>
      <w:rFonts w:ascii="Times New Roman" w:hAnsi="Times New Roman" w:eastAsia="宋体" w:cs="Times New Roman"/>
      <w:szCs w:val="24"/>
    </w:rPr>
  </w:style>
  <w:style w:type="character" w:customStyle="1" w:styleId="58">
    <w:name w:val="纯文本 Char1"/>
    <w:basedOn w:val="37"/>
    <w:link w:val="21"/>
    <w:autoRedefine/>
    <w:qFormat/>
    <w:uiPriority w:val="0"/>
    <w:rPr>
      <w:rFonts w:ascii="宋体" w:hAnsi="Times New Roman" w:eastAsia="宋体" w:cs="Arial"/>
      <w:szCs w:val="24"/>
    </w:rPr>
  </w:style>
  <w:style w:type="character" w:customStyle="1" w:styleId="59">
    <w:name w:val="日期 Char"/>
    <w:basedOn w:val="37"/>
    <w:link w:val="22"/>
    <w:autoRedefine/>
    <w:qFormat/>
    <w:uiPriority w:val="0"/>
    <w:rPr>
      <w:rFonts w:ascii="Calibri" w:hAnsi="Calibri" w:eastAsia="楷体_GB2312" w:cs="Arial"/>
      <w:sz w:val="32"/>
    </w:rPr>
  </w:style>
  <w:style w:type="character" w:customStyle="1" w:styleId="60">
    <w:name w:val="正文文本缩进 2 Char"/>
    <w:basedOn w:val="37"/>
    <w:link w:val="24"/>
    <w:autoRedefine/>
    <w:qFormat/>
    <w:uiPriority w:val="0"/>
    <w:rPr>
      <w:rFonts w:ascii="Times New Roman" w:hAnsi="Times New Roman" w:eastAsia="宋体" w:cs="Times New Roman"/>
      <w:szCs w:val="24"/>
    </w:rPr>
  </w:style>
  <w:style w:type="character" w:customStyle="1" w:styleId="61">
    <w:name w:val="批注框文本 Char"/>
    <w:basedOn w:val="37"/>
    <w:link w:val="25"/>
    <w:autoRedefine/>
    <w:qFormat/>
    <w:uiPriority w:val="0"/>
    <w:rPr>
      <w:rFonts w:ascii="Times New Roman" w:hAnsi="Times New Roman" w:eastAsia="宋体" w:cs="Times New Roman"/>
      <w:sz w:val="18"/>
      <w:szCs w:val="18"/>
    </w:rPr>
  </w:style>
  <w:style w:type="character" w:customStyle="1" w:styleId="62">
    <w:name w:val="脚注文本 Char"/>
    <w:basedOn w:val="37"/>
    <w:link w:val="29"/>
    <w:autoRedefine/>
    <w:qFormat/>
    <w:uiPriority w:val="0"/>
    <w:rPr>
      <w:rFonts w:ascii="Calibri" w:hAnsi="Calibri" w:eastAsia="Calibri" w:cs="Times New Roman"/>
      <w:sz w:val="18"/>
      <w:szCs w:val="24"/>
    </w:rPr>
  </w:style>
  <w:style w:type="character" w:customStyle="1" w:styleId="63">
    <w:name w:val="正文文本缩进 3 Char"/>
    <w:basedOn w:val="37"/>
    <w:link w:val="31"/>
    <w:autoRedefine/>
    <w:qFormat/>
    <w:uiPriority w:val="0"/>
    <w:rPr>
      <w:rFonts w:ascii="Times New Roman" w:hAnsi="Times New Roman" w:eastAsia="宋体" w:cs="Times New Roman"/>
      <w:sz w:val="16"/>
      <w:szCs w:val="16"/>
    </w:rPr>
  </w:style>
  <w:style w:type="character" w:customStyle="1" w:styleId="64">
    <w:name w:val="批注主题 Char"/>
    <w:basedOn w:val="54"/>
    <w:link w:val="34"/>
    <w:autoRedefine/>
    <w:qFormat/>
    <w:uiPriority w:val="0"/>
    <w:rPr>
      <w:rFonts w:ascii="Times New Roman" w:hAnsi="Times New Roman" w:eastAsia="宋体" w:cs="Times New Roman"/>
      <w:b/>
      <w:bCs/>
      <w:szCs w:val="24"/>
    </w:rPr>
  </w:style>
  <w:style w:type="character" w:customStyle="1" w:styleId="65">
    <w:name w:val="正文首行缩进 Char"/>
    <w:basedOn w:val="56"/>
    <w:link w:val="17"/>
    <w:autoRedefine/>
    <w:qFormat/>
    <w:uiPriority w:val="0"/>
    <w:rPr>
      <w:rFonts w:ascii="Times New Roman" w:hAnsi="Times New Roman" w:eastAsia="宋体" w:cs="Times New Roman"/>
      <w:sz w:val="24"/>
      <w:szCs w:val="24"/>
    </w:rPr>
  </w:style>
  <w:style w:type="character" w:customStyle="1" w:styleId="66">
    <w:name w:val="正文首行缩进 2 Char"/>
    <w:basedOn w:val="57"/>
    <w:link w:val="18"/>
    <w:autoRedefine/>
    <w:qFormat/>
    <w:uiPriority w:val="0"/>
    <w:rPr>
      <w:rFonts w:ascii="Times New Roman" w:hAnsi="Times New Roman" w:eastAsia="宋体" w:cs="Times New Roman"/>
      <w:szCs w:val="24"/>
    </w:rPr>
  </w:style>
  <w:style w:type="paragraph" w:customStyle="1" w:styleId="67">
    <w:name w:val="zw"/>
    <w:basedOn w:val="1"/>
    <w:autoRedefine/>
    <w:qFormat/>
    <w:uiPriority w:val="0"/>
    <w:pPr>
      <w:widowControl/>
      <w:spacing w:before="30"/>
      <w:ind w:left="100" w:right="100"/>
    </w:pPr>
    <w:rPr>
      <w:rFonts w:ascii="方正书宋简体" w:eastAsia="方正书宋简体"/>
      <w:color w:val="000000"/>
      <w:kern w:val="0"/>
      <w:szCs w:val="21"/>
    </w:rPr>
  </w:style>
  <w:style w:type="paragraph" w:styleId="68">
    <w:name w:val="List Paragraph"/>
    <w:basedOn w:val="1"/>
    <w:autoRedefine/>
    <w:qFormat/>
    <w:uiPriority w:val="0"/>
    <w:pPr>
      <w:ind w:firstLine="200" w:firstLineChars="200"/>
    </w:pPr>
    <w:rPr>
      <w:rFonts w:ascii="Calibri" w:hAnsi="Calibri"/>
      <w:szCs w:val="22"/>
    </w:rPr>
  </w:style>
  <w:style w:type="paragraph" w:customStyle="1" w:styleId="69">
    <w:name w:val="列出段落1"/>
    <w:basedOn w:val="1"/>
    <w:autoRedefine/>
    <w:qFormat/>
    <w:uiPriority w:val="0"/>
    <w:pPr>
      <w:ind w:firstLine="200" w:firstLineChars="200"/>
    </w:pPr>
    <w:rPr>
      <w:rFonts w:ascii="Calibri" w:hAnsi="Calibri"/>
      <w:kern w:val="0"/>
      <w:szCs w:val="20"/>
    </w:rPr>
  </w:style>
  <w:style w:type="paragraph" w:customStyle="1" w:styleId="70">
    <w:name w:val="无间隔11"/>
    <w:autoRedefine/>
    <w:qFormat/>
    <w:uiPriority w:val="0"/>
    <w:pPr>
      <w:adjustRightInd w:val="0"/>
      <w:snapToGrid w:val="0"/>
    </w:pPr>
    <w:rPr>
      <w:rFonts w:ascii="Tahoma" w:hAnsi="Tahoma" w:eastAsia="微软雅黑" w:cs="Arial"/>
      <w:sz w:val="22"/>
      <w:szCs w:val="22"/>
      <w:lang w:val="en-US" w:eastAsia="zh-CN" w:bidi="ar-SA"/>
    </w:rPr>
  </w:style>
  <w:style w:type="paragraph" w:customStyle="1" w:styleId="71">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72">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4"/>
    <w:autoRedefine/>
    <w:qFormat/>
    <w:uiPriority w:val="0"/>
    <w:rPr>
      <w:rFonts w:ascii="Times New Roman" w:hAnsi="Times New Roman" w:eastAsia="宋体" w:cs="Times New Roman"/>
      <w:sz w:val="21"/>
      <w:szCs w:val="22"/>
      <w:lang w:val="en-US" w:eastAsia="zh-CN" w:bidi="ar-SA"/>
    </w:rPr>
  </w:style>
  <w:style w:type="paragraph" w:customStyle="1" w:styleId="7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纯文本_3"/>
    <w:basedOn w:val="76"/>
    <w:autoRedefine/>
    <w:qFormat/>
    <w:uiPriority w:val="0"/>
    <w:pPr>
      <w:widowControl/>
      <w:jc w:val="left"/>
    </w:pPr>
    <w:rPr>
      <w:rFonts w:ascii="宋体" w:cs="Arial"/>
      <w:szCs w:val="21"/>
    </w:rPr>
  </w:style>
  <w:style w:type="paragraph" w:customStyle="1" w:styleId="78">
    <w:name w:val="纯文本_0_1"/>
    <w:basedOn w:val="1"/>
    <w:autoRedefine/>
    <w:qFormat/>
    <w:uiPriority w:val="0"/>
    <w:pPr>
      <w:widowControl/>
      <w:jc w:val="left"/>
    </w:pPr>
    <w:rPr>
      <w:rFonts w:ascii="宋体" w:cs="Arial"/>
      <w:szCs w:val="21"/>
    </w:rPr>
  </w:style>
  <w:style w:type="paragraph" w:customStyle="1" w:styleId="7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标准"/>
    <w:basedOn w:val="1"/>
    <w:autoRedefine/>
    <w:qFormat/>
    <w:uiPriority w:val="0"/>
    <w:pPr>
      <w:spacing w:line="360" w:lineRule="auto"/>
      <w:ind w:firstLine="200" w:firstLineChars="200"/>
    </w:pPr>
    <w:rPr>
      <w:rFonts w:ascii="宋体"/>
      <w:sz w:val="24"/>
      <w:szCs w:val="20"/>
    </w:rPr>
  </w:style>
  <w:style w:type="paragraph" w:customStyle="1" w:styleId="84">
    <w:name w:val="TOC 标题1"/>
    <w:basedOn w:val="3"/>
    <w:next w:val="1"/>
    <w:autoRedefine/>
    <w:qFormat/>
    <w:uiPriority w:val="0"/>
    <w:pPr>
      <w:widowControl/>
      <w:spacing w:before="480" w:after="0" w:line="276" w:lineRule="auto"/>
      <w:jc w:val="left"/>
      <w:outlineLvl w:val="9"/>
    </w:pPr>
    <w:rPr>
      <w:rFonts w:ascii="Calibri Light" w:hAnsi="Calibri Light"/>
      <w:color w:val="2E74B5"/>
      <w:kern w:val="0"/>
      <w:sz w:val="28"/>
      <w:szCs w:val="28"/>
    </w:rPr>
  </w:style>
  <w:style w:type="paragraph" w:customStyle="1" w:styleId="85">
    <w:name w:val="正文2"/>
    <w:basedOn w:val="1"/>
    <w:autoRedefine/>
    <w:qFormat/>
    <w:uiPriority w:val="0"/>
    <w:pPr>
      <w:spacing w:before="156" w:line="360" w:lineRule="auto"/>
      <w:ind w:firstLine="200" w:firstLineChars="200"/>
    </w:pPr>
    <w:rPr>
      <w:sz w:val="24"/>
      <w:szCs w:val="20"/>
    </w:rPr>
  </w:style>
  <w:style w:type="paragraph" w:customStyle="1" w:styleId="86">
    <w:name w:val="正文文本缩进1"/>
    <w:basedOn w:val="1"/>
    <w:autoRedefine/>
    <w:qFormat/>
    <w:uiPriority w:val="0"/>
    <w:pPr>
      <w:adjustRightInd w:val="0"/>
      <w:spacing w:line="360" w:lineRule="auto"/>
      <w:ind w:firstLine="490"/>
      <w:jc w:val="left"/>
    </w:pPr>
    <w:rPr>
      <w:rFonts w:ascii="Century Gothic" w:hAnsi="Century Gothic" w:eastAsia="Century Gothic"/>
      <w:sz w:val="24"/>
      <w:szCs w:val="20"/>
    </w:rPr>
  </w:style>
  <w:style w:type="paragraph" w:customStyle="1" w:styleId="87">
    <w:name w:val="内文"/>
    <w:autoRedefine/>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88">
    <w:name w:val="无间隔2"/>
    <w:autoRedefine/>
    <w:qFormat/>
    <w:uiPriority w:val="0"/>
    <w:rPr>
      <w:rFonts w:ascii="Calibri" w:hAnsi="Calibri" w:eastAsia="宋体" w:cs="Times New Roman"/>
      <w:sz w:val="22"/>
      <w:szCs w:val="22"/>
      <w:lang w:val="en-US" w:eastAsia="zh-CN" w:bidi="ar-SA"/>
    </w:rPr>
  </w:style>
  <w:style w:type="character" w:customStyle="1" w:styleId="89">
    <w:name w:val="纯文本 Char"/>
    <w:autoRedefine/>
    <w:qFormat/>
    <w:uiPriority w:val="0"/>
    <w:rPr>
      <w:rFonts w:ascii="宋体" w:eastAsia="宋体"/>
      <w:kern w:val="2"/>
      <w:sz w:val="24"/>
      <w:szCs w:val="24"/>
      <w:lang w:val="en-US" w:eastAsia="zh-CN" w:bidi="ar-SA"/>
    </w:rPr>
  </w:style>
  <w:style w:type="paragraph" w:customStyle="1" w:styleId="90">
    <w:name w:val="p0"/>
    <w:basedOn w:val="1"/>
    <w:autoRedefine/>
    <w:qFormat/>
    <w:uiPriority w:val="0"/>
    <w:pPr>
      <w:widowControl/>
    </w:pPr>
    <w:rPr>
      <w:rFonts w:ascii="Calibri" w:hAnsi="Calibri" w:cs="宋体"/>
      <w:kern w:val="0"/>
      <w:szCs w:val="21"/>
    </w:rPr>
  </w:style>
  <w:style w:type="paragraph" w:styleId="91">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92">
    <w:name w:val="Char Char Char Char Char Char Char Char Char"/>
    <w:basedOn w:val="1"/>
    <w:autoRedefine/>
    <w:qFormat/>
    <w:uiPriority w:val="0"/>
    <w:pPr>
      <w:widowControl/>
      <w:spacing w:after="160" w:line="240" w:lineRule="exact"/>
      <w:jc w:val="left"/>
    </w:pPr>
    <w:rPr>
      <w:rFonts w:eastAsia="Times New Roman"/>
      <w:kern w:val="0"/>
      <w:sz w:val="24"/>
      <w:szCs w:val="20"/>
    </w:rPr>
  </w:style>
  <w:style w:type="paragraph" w:customStyle="1" w:styleId="93">
    <w:name w:val="普通(网站)1"/>
    <w:basedOn w:val="1"/>
    <w:autoRedefine/>
    <w:qFormat/>
    <w:uiPriority w:val="0"/>
    <w:pPr>
      <w:widowControl/>
      <w:spacing w:before="100" w:beforeAutospacing="1" w:after="100" w:afterAutospacing="1"/>
      <w:jc w:val="left"/>
    </w:pPr>
    <w:rPr>
      <w:rFonts w:hint="eastAsia" w:ascii="楷体_GB2312" w:hAnsi="楷体_GB2312"/>
      <w:kern w:val="0"/>
      <w:sz w:val="24"/>
    </w:rPr>
  </w:style>
  <w:style w:type="paragraph" w:customStyle="1" w:styleId="94">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6">
    <w:name w:val="普通(网站) Char"/>
    <w:link w:val="33"/>
    <w:autoRedefine/>
    <w:qFormat/>
    <w:uiPriority w:val="0"/>
    <w:rPr>
      <w:rFonts w:ascii="宋体"/>
      <w:sz w:val="24"/>
      <w:szCs w:val="24"/>
    </w:rPr>
  </w:style>
  <w:style w:type="paragraph" w:customStyle="1" w:styleId="97">
    <w:name w:val="无间隔3"/>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98">
    <w:name w:val="Plain Text"/>
    <w:basedOn w:val="99"/>
    <w:autoRedefine/>
    <w:qFormat/>
    <w:uiPriority w:val="0"/>
    <w:pPr>
      <w:widowControl/>
      <w:jc w:val="left"/>
    </w:pPr>
    <w:rPr>
      <w:rFonts w:ascii="宋体" w:hAnsi="Courier New"/>
    </w:rPr>
  </w:style>
  <w:style w:type="paragraph" w:customStyle="1" w:styleId="99">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
    <w:name w:val="正文 A"/>
    <w:autoRedefine/>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101">
    <w:name w:val="纯文本2"/>
    <w:basedOn w:val="102"/>
    <w:autoRedefine/>
    <w:qFormat/>
    <w:uiPriority w:val="0"/>
    <w:pPr>
      <w:widowControl/>
      <w:jc w:val="left"/>
    </w:pPr>
    <w:rPr>
      <w:rFonts w:ascii="宋体" w:hAnsi="Courier New"/>
    </w:rPr>
  </w:style>
  <w:style w:type="paragraph" w:customStyle="1" w:styleId="10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03">
    <w:name w:val="font41"/>
    <w:basedOn w:val="37"/>
    <w:autoRedefine/>
    <w:qFormat/>
    <w:uiPriority w:val="0"/>
    <w:rPr>
      <w:rFonts w:hint="eastAsia" w:ascii="宋体" w:hAnsi="宋体" w:eastAsia="宋体" w:cs="宋体"/>
      <w:color w:val="000000"/>
      <w:sz w:val="22"/>
      <w:szCs w:val="22"/>
      <w:u w:val="none"/>
    </w:rPr>
  </w:style>
  <w:style w:type="character" w:customStyle="1" w:styleId="104">
    <w:name w:val="font91"/>
    <w:basedOn w:val="37"/>
    <w:autoRedefine/>
    <w:qFormat/>
    <w:uiPriority w:val="0"/>
    <w:rPr>
      <w:rFonts w:hint="eastAsia" w:ascii="宋体" w:hAnsi="宋体" w:eastAsia="宋体" w:cs="宋体"/>
      <w:color w:val="000000"/>
      <w:sz w:val="22"/>
      <w:szCs w:val="22"/>
      <w:u w:val="none"/>
      <w:vertAlign w:val="subscript"/>
    </w:rPr>
  </w:style>
  <w:style w:type="character" w:customStyle="1" w:styleId="105">
    <w:name w:val="font61"/>
    <w:basedOn w:val="37"/>
    <w:autoRedefine/>
    <w:qFormat/>
    <w:uiPriority w:val="0"/>
    <w:rPr>
      <w:rFonts w:hint="eastAsia" w:ascii="宋体" w:hAnsi="宋体" w:eastAsia="宋体" w:cs="宋体"/>
      <w:color w:val="000000"/>
      <w:sz w:val="22"/>
      <w:szCs w:val="22"/>
      <w:u w:val="none"/>
    </w:rPr>
  </w:style>
  <w:style w:type="character" w:customStyle="1" w:styleId="106">
    <w:name w:val="font31"/>
    <w:basedOn w:val="37"/>
    <w:autoRedefine/>
    <w:qFormat/>
    <w:uiPriority w:val="0"/>
    <w:rPr>
      <w:rFonts w:hint="eastAsia" w:ascii="宋体" w:hAnsi="宋体" w:eastAsia="宋体" w:cs="宋体"/>
      <w:color w:val="000000"/>
      <w:sz w:val="22"/>
      <w:szCs w:val="22"/>
      <w:u w:val="none"/>
    </w:rPr>
  </w:style>
  <w:style w:type="paragraph" w:customStyle="1" w:styleId="107">
    <w:name w:val="样式 样式1 + 首行缩进:  2 字符"/>
    <w:basedOn w:val="1"/>
    <w:autoRedefine/>
    <w:qFormat/>
    <w:uiPriority w:val="0"/>
    <w:pPr>
      <w:spacing w:line="360" w:lineRule="exact"/>
      <w:ind w:firstLine="420" w:firstLineChars="200"/>
    </w:pPr>
    <w:rPr>
      <w:rFonts w:ascii="Arial" w:hAnsi="Arial" w:cs="宋体"/>
      <w:szCs w:val="20"/>
    </w:rPr>
  </w:style>
  <w:style w:type="table" w:customStyle="1" w:styleId="108">
    <w:name w:val="Table Normal"/>
    <w:autoRedefine/>
    <w:semiHidden/>
    <w:unhideWhenUsed/>
    <w:qFormat/>
    <w:uiPriority w:val="0"/>
    <w:tblPr>
      <w:tblCellMar>
        <w:top w:w="0" w:type="dxa"/>
        <w:left w:w="0" w:type="dxa"/>
        <w:bottom w:w="0" w:type="dxa"/>
        <w:right w:w="0" w:type="dxa"/>
      </w:tblCellMar>
    </w:tblPr>
  </w:style>
  <w:style w:type="paragraph" w:customStyle="1" w:styleId="109">
    <w:name w:val="正文文字2"/>
    <w:basedOn w:val="16"/>
    <w:autoRedefine/>
    <w:qFormat/>
    <w:uiPriority w:val="0"/>
    <w:pPr>
      <w:adjustRightInd w:val="0"/>
      <w:spacing w:after="60" w:line="360" w:lineRule="atLeast"/>
      <w:ind w:left="72" w:leftChars="30" w:right="72" w:rightChars="30"/>
      <w:jc w:val="center"/>
    </w:pPr>
    <w:rPr>
      <w:rFonts w:hAnsi="Times New Roman"/>
      <w:sz w:val="21"/>
    </w:rPr>
  </w:style>
  <w:style w:type="paragraph" w:customStyle="1" w:styleId="110">
    <w:name w:val="Blockquote"/>
    <w:basedOn w:val="1"/>
    <w:autoRedefine/>
    <w:qFormat/>
    <w:uiPriority w:val="0"/>
    <w:pPr>
      <w:autoSpaceDE w:val="0"/>
      <w:autoSpaceDN w:val="0"/>
      <w:adjustRightInd w:val="0"/>
      <w:spacing w:before="100" w:after="100"/>
      <w:ind w:left="360" w:right="360"/>
    </w:pPr>
    <w:rPr>
      <w:rFonts w:ascii="宋体" w:hAnsi="宋体" w:cs="宋体"/>
      <w:sz w:val="34"/>
      <w:szCs w:val="34"/>
    </w:rPr>
  </w:style>
  <w:style w:type="paragraph" w:customStyle="1" w:styleId="11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112">
    <w:name w:val="Other|1"/>
    <w:basedOn w:val="1"/>
    <w:autoRedefine/>
    <w:qFormat/>
    <w:uiPriority w:val="0"/>
    <w:pPr>
      <w:spacing w:line="439" w:lineRule="auto"/>
      <w:ind w:firstLine="400"/>
    </w:pPr>
    <w:rPr>
      <w:rFonts w:ascii="宋体" w:hAnsi="宋体" w:eastAsia="宋体" w:cs="宋体"/>
      <w:sz w:val="22"/>
      <w:szCs w:val="22"/>
      <w:lang w:val="zh-TW" w:eastAsia="zh-TW" w:bidi="zh-TW"/>
    </w:rPr>
  </w:style>
  <w:style w:type="paragraph" w:customStyle="1" w:styleId="113">
    <w:name w:val="Body text|1"/>
    <w:basedOn w:val="1"/>
    <w:autoRedefine/>
    <w:qFormat/>
    <w:uiPriority w:val="0"/>
    <w:pPr>
      <w:spacing w:line="439" w:lineRule="auto"/>
      <w:ind w:firstLine="400"/>
    </w:pPr>
    <w:rPr>
      <w:rFonts w:ascii="宋体" w:hAnsi="宋体" w:eastAsia="宋体" w:cs="宋体"/>
      <w:sz w:val="22"/>
      <w:szCs w:val="22"/>
      <w:lang w:val="zh-TW" w:eastAsia="zh-TW" w:bidi="zh-TW"/>
    </w:rPr>
  </w:style>
  <w:style w:type="paragraph" w:customStyle="1" w:styleId="114">
    <w:name w:val="正文缩进1"/>
    <w:basedOn w:val="1"/>
    <w:autoRedefine/>
    <w:qFormat/>
    <w:uiPriority w:val="0"/>
    <w:pPr>
      <w:ind w:firstLine="420"/>
    </w:pPr>
    <w:rPr>
      <w:rFonts w:ascii="Calibri" w:hAnsi="Calibri"/>
      <w:szCs w:val="20"/>
    </w:rPr>
  </w:style>
  <w:style w:type="character" w:customStyle="1" w:styleId="115">
    <w:name w:val="NormalCharacter"/>
    <w:autoRedefine/>
    <w:qFormat/>
    <w:uiPriority w:val="0"/>
  </w:style>
  <w:style w:type="paragraph" w:customStyle="1" w:styleId="116">
    <w:name w:val="纯文本1"/>
    <w:basedOn w:val="1"/>
    <w:autoRedefine/>
    <w:qFormat/>
    <w:uiPriority w:val="0"/>
    <w:rPr>
      <w:rFonts w:ascii="楷体_GB2312" w:hAnsi="Courier New" w:eastAsia="楷体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ZhongXing</Company>
  <Pages>60</Pages>
  <Words>28304</Words>
  <Characters>29907</Characters>
  <Lines>229</Lines>
  <Paragraphs>64</Paragraphs>
  <TotalTime>1002</TotalTime>
  <ScaleCrop>false</ScaleCrop>
  <LinksUpToDate>false</LinksUpToDate>
  <CharactersWithSpaces>31564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2021-12-20T17:55:00Z</dcterms:created>
  <dc:creator>未知</dc:creator>
  <cp:lastModifiedBy>悬空的虾米</cp:lastModifiedBy>
  <cp:lastPrinted>2023-01-07T23:04:00Z</cp:lastPrinted>
  <dcterms:modified xsi:type="dcterms:W3CDTF">2024-09-20T00:24:53Z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F36DA34BEC0A4860B2F33598771588E6_13</vt:lpwstr>
  </property>
</Properties>
</file>