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7F0E9">
      <w:pPr>
        <w:pStyle w:val="32"/>
        <w:rPr>
          <w:rFonts w:hint="eastAsia" w:eastAsia="宋体"/>
          <w:highlight w:val="none"/>
          <w:lang w:eastAsia="zh-CN"/>
        </w:rPr>
      </w:pPr>
      <w:r>
        <w:rPr>
          <w:rFonts w:hint="eastAsia" w:eastAsia="宋体"/>
          <w:highlight w:val="none"/>
          <w:lang w:eastAsia="zh-CN"/>
        </w:rPr>
        <w:drawing>
          <wp:inline distT="0" distB="0" distL="114300" distR="114300">
            <wp:extent cx="2647950" cy="2038350"/>
            <wp:effectExtent l="0" t="0" r="0" b="0"/>
            <wp:docPr id="2" name="图片 2" descr="e46206a6752d10306f77ab997943b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46206a6752d10306f77ab997943b89"/>
                    <pic:cNvPicPr>
                      <a:picLocks noChangeAspect="1"/>
                    </pic:cNvPicPr>
                  </pic:nvPicPr>
                  <pic:blipFill>
                    <a:blip r:embed="rId7"/>
                    <a:stretch>
                      <a:fillRect/>
                    </a:stretch>
                  </pic:blipFill>
                  <pic:spPr>
                    <a:xfrm>
                      <a:off x="0" y="0"/>
                      <a:ext cx="2647950" cy="2038350"/>
                    </a:xfrm>
                    <a:prstGeom prst="rect">
                      <a:avLst/>
                    </a:prstGeom>
                  </pic:spPr>
                </pic:pic>
              </a:graphicData>
            </a:graphic>
          </wp:inline>
        </w:drawing>
      </w:r>
    </w:p>
    <w:p w14:paraId="5EFED23E">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b/>
          <w:color w:val="auto"/>
          <w:kern w:val="0"/>
          <w:sz w:val="52"/>
          <w:szCs w:val="52"/>
          <w:highlight w:val="none"/>
        </w:rPr>
      </w:pPr>
      <w:r>
        <w:rPr>
          <w:rFonts w:hint="eastAsia" w:ascii="宋体" w:hAnsi="宋体" w:cs="宋体"/>
          <w:b/>
          <w:color w:val="auto"/>
          <w:kern w:val="0"/>
          <w:sz w:val="52"/>
          <w:highlight w:val="none"/>
        </w:rPr>
        <w:t>政府采购</w:t>
      </w:r>
      <w:r>
        <w:rPr>
          <w:rFonts w:hint="eastAsia" w:ascii="宋体" w:hAnsi="宋体" w:cs="宋体"/>
          <w:b/>
          <w:color w:val="auto"/>
          <w:kern w:val="0"/>
          <w:sz w:val="52"/>
          <w:szCs w:val="52"/>
          <w:highlight w:val="none"/>
        </w:rPr>
        <w:t>竞争性磋商文件</w:t>
      </w:r>
    </w:p>
    <w:p w14:paraId="4D73675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28"/>
          <w:highlight w:val="none"/>
        </w:rPr>
      </w:pPr>
      <w:r>
        <w:rPr>
          <w:rFonts w:hint="eastAsia" w:ascii="宋体" w:hAnsi="宋体" w:cs="宋体"/>
          <w:color w:val="auto"/>
          <w:kern w:val="0"/>
          <w:sz w:val="28"/>
          <w:highlight w:val="none"/>
        </w:rPr>
        <w:t>项目编号：</w:t>
      </w:r>
      <w:r>
        <w:rPr>
          <w:rFonts w:hint="eastAsia" w:ascii="宋体" w:hAnsi="宋体" w:cs="宋体"/>
          <w:color w:val="auto"/>
          <w:kern w:val="0"/>
          <w:sz w:val="28"/>
          <w:highlight w:val="none"/>
          <w:lang w:eastAsia="zh-CN"/>
        </w:rPr>
        <w:t>tzzy-2024</w:t>
      </w:r>
      <w:r>
        <w:rPr>
          <w:rFonts w:hint="eastAsia" w:ascii="宋体" w:hAnsi="宋体" w:cs="宋体"/>
          <w:color w:val="auto"/>
          <w:kern w:val="0"/>
          <w:sz w:val="28"/>
          <w:highlight w:val="none"/>
          <w:u w:val="single"/>
          <w:lang w:val="en-US" w:eastAsia="zh-CN"/>
        </w:rPr>
        <w:t>023</w:t>
      </w:r>
      <w:r>
        <w:rPr>
          <w:rFonts w:hint="eastAsia" w:ascii="宋体" w:hAnsi="宋体" w:cs="宋体"/>
          <w:color w:val="auto"/>
          <w:kern w:val="0"/>
          <w:sz w:val="28"/>
          <w:highlight w:val="none"/>
          <w:lang w:eastAsia="zh-CN"/>
        </w:rPr>
        <w:t>号</w:t>
      </w:r>
    </w:p>
    <w:p w14:paraId="4977975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30"/>
          <w:szCs w:val="30"/>
          <w:highlight w:val="none"/>
        </w:rPr>
      </w:pPr>
      <w:r>
        <w:rPr>
          <w:rFonts w:hint="eastAsia" w:ascii="宋体" w:hAnsi="宋体" w:cs="宋体"/>
          <w:b/>
          <w:color w:val="auto"/>
          <w:sz w:val="36"/>
          <w:highlight w:val="none"/>
        </w:rPr>
        <w:t>（线上电子招投标）</w:t>
      </w:r>
    </w:p>
    <w:p w14:paraId="175907E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color w:val="auto"/>
          <w:kern w:val="0"/>
          <w:sz w:val="30"/>
          <w:szCs w:val="30"/>
          <w:highlight w:val="none"/>
        </w:rPr>
      </w:pPr>
    </w:p>
    <w:p w14:paraId="6835947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rPr>
          <w:rFonts w:ascii="宋体" w:hAnsi="宋体" w:cs="宋体"/>
          <w:color w:val="auto"/>
          <w:kern w:val="0"/>
          <w:sz w:val="28"/>
          <w:szCs w:val="28"/>
          <w:highlight w:val="none"/>
        </w:rPr>
      </w:pPr>
    </w:p>
    <w:p w14:paraId="4158F82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840" w:firstLineChars="300"/>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rPr>
        <w:t>采购项目：</w:t>
      </w:r>
      <w:r>
        <w:rPr>
          <w:rFonts w:hint="eastAsia" w:ascii="宋体" w:hAnsi="宋体" w:cs="宋体"/>
          <w:color w:val="auto"/>
          <w:kern w:val="0"/>
          <w:sz w:val="28"/>
          <w:szCs w:val="28"/>
          <w:highlight w:val="none"/>
          <w:lang w:eastAsia="zh-CN"/>
        </w:rPr>
        <w:t>大陈岛5G+互联数智无人机采购项目</w:t>
      </w:r>
    </w:p>
    <w:p w14:paraId="2DC3148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840" w:firstLineChars="300"/>
        <w:rPr>
          <w:rFonts w:ascii="宋体" w:hAnsi="宋体" w:cs="宋体"/>
          <w:color w:val="auto"/>
          <w:kern w:val="0"/>
          <w:sz w:val="28"/>
          <w:szCs w:val="28"/>
          <w:highlight w:val="none"/>
        </w:rPr>
      </w:pPr>
      <w:r>
        <w:rPr>
          <w:rFonts w:hint="eastAsia" w:ascii="宋体" w:hAnsi="宋体" w:cs="宋体"/>
          <w:color w:val="auto"/>
          <w:kern w:val="0"/>
          <w:sz w:val="28"/>
          <w:szCs w:val="28"/>
          <w:highlight w:val="none"/>
        </w:rPr>
        <w:t>采购人：</w:t>
      </w:r>
      <w:r>
        <w:rPr>
          <w:rFonts w:hint="eastAsia" w:ascii="宋体" w:hAnsi="宋体" w:cs="宋体"/>
          <w:color w:val="auto"/>
          <w:kern w:val="0"/>
          <w:sz w:val="28"/>
          <w:szCs w:val="28"/>
          <w:highlight w:val="none"/>
          <w:lang w:eastAsia="zh-CN"/>
        </w:rPr>
        <w:t>台州市椒江区大陈镇人民政府</w:t>
      </w:r>
      <w:r>
        <w:rPr>
          <w:rFonts w:hint="eastAsia" w:ascii="宋体" w:hAnsi="宋体" w:cs="宋体"/>
          <w:color w:val="auto"/>
          <w:kern w:val="0"/>
          <w:sz w:val="28"/>
          <w:szCs w:val="28"/>
          <w:highlight w:val="none"/>
        </w:rPr>
        <w:t>（盖章）</w:t>
      </w:r>
    </w:p>
    <w:p w14:paraId="4FEE159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w:t>
      </w:r>
    </w:p>
    <w:p w14:paraId="143ADFD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auto"/>
          <w:kern w:val="0"/>
          <w:sz w:val="30"/>
          <w:szCs w:val="30"/>
          <w:highlight w:val="none"/>
        </w:rPr>
      </w:pPr>
    </w:p>
    <w:p w14:paraId="1FC4D0F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auto"/>
          <w:kern w:val="0"/>
          <w:sz w:val="30"/>
          <w:szCs w:val="30"/>
          <w:highlight w:val="none"/>
        </w:rPr>
      </w:pPr>
    </w:p>
    <w:p w14:paraId="4ADA74C0">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台州中亿工程管理有限公司（盖章）</w:t>
      </w:r>
    </w:p>
    <w:p w14:paraId="13E87EA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28"/>
          <w:szCs w:val="28"/>
          <w:highlight w:val="none"/>
        </w:rPr>
      </w:pPr>
      <w:r>
        <w:rPr>
          <w:rFonts w:hint="eastAsia" w:ascii="宋体" w:hAnsi="宋体" w:cs="宋体"/>
          <w:color w:val="auto"/>
          <w:sz w:val="28"/>
          <w:szCs w:val="28"/>
          <w:highlight w:val="none"/>
        </w:rPr>
        <w:t>202</w:t>
      </w:r>
      <w:r>
        <w:rPr>
          <w:rFonts w:hint="eastAsia" w:ascii="宋体" w:hAnsi="宋体" w:cs="宋体"/>
          <w:color w:val="auto"/>
          <w:sz w:val="28"/>
          <w:szCs w:val="28"/>
          <w:highlight w:val="none"/>
          <w:lang w:val="en-US" w:eastAsia="zh-CN"/>
        </w:rPr>
        <w:t>4</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11</w:t>
      </w:r>
      <w:r>
        <w:rPr>
          <w:rFonts w:hint="eastAsia" w:ascii="宋体" w:hAnsi="宋体" w:cs="宋体"/>
          <w:color w:val="auto"/>
          <w:kern w:val="0"/>
          <w:sz w:val="28"/>
          <w:szCs w:val="28"/>
          <w:highlight w:val="none"/>
        </w:rPr>
        <w:t>月</w:t>
      </w:r>
    </w:p>
    <w:p w14:paraId="56C93505">
      <w:pPr>
        <w:jc w:val="both"/>
        <w:rPr>
          <w:rFonts w:ascii="宋体" w:hAnsi="宋体" w:cs="宋体"/>
          <w:b/>
          <w:bCs/>
          <w:color w:val="auto"/>
          <w:sz w:val="36"/>
          <w:szCs w:val="36"/>
          <w:highlight w:val="none"/>
        </w:rPr>
      </w:pPr>
    </w:p>
    <w:p w14:paraId="6D7D5E82">
      <w:pPr>
        <w:jc w:val="center"/>
        <w:rPr>
          <w:rFonts w:hint="eastAsia" w:ascii="宋体" w:hAnsi="宋体" w:cs="宋体"/>
          <w:b/>
          <w:bCs/>
          <w:color w:val="auto"/>
          <w:sz w:val="36"/>
          <w:szCs w:val="36"/>
          <w:highlight w:val="none"/>
        </w:rPr>
      </w:pPr>
    </w:p>
    <w:p w14:paraId="54BABF3A">
      <w:pPr>
        <w:jc w:val="center"/>
        <w:rPr>
          <w:rFonts w:hint="eastAsia" w:ascii="宋体" w:hAnsi="宋体" w:cs="宋体"/>
          <w:b/>
          <w:bCs/>
          <w:color w:val="auto"/>
          <w:sz w:val="36"/>
          <w:szCs w:val="36"/>
          <w:highlight w:val="none"/>
        </w:rPr>
      </w:pPr>
    </w:p>
    <w:p w14:paraId="5CB781A7">
      <w:pPr>
        <w:pStyle w:val="16"/>
        <w:rPr>
          <w:rFonts w:hint="eastAsia"/>
          <w:highlight w:val="none"/>
        </w:rPr>
      </w:pPr>
    </w:p>
    <w:p w14:paraId="20C87AA3">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062BF750">
      <w:pPr>
        <w:spacing w:line="360" w:lineRule="auto"/>
        <w:ind w:left="960"/>
        <w:rPr>
          <w:rFonts w:ascii="宋体" w:hAnsi="宋体" w:cs="宋体"/>
          <w:color w:val="auto"/>
          <w:sz w:val="10"/>
          <w:highlight w:val="none"/>
        </w:rPr>
      </w:pPr>
    </w:p>
    <w:p w14:paraId="7B1D43F0">
      <w:pPr>
        <w:spacing w:line="360" w:lineRule="auto"/>
        <w:ind w:left="960"/>
        <w:rPr>
          <w:rFonts w:ascii="宋体" w:hAnsi="宋体" w:cs="宋体"/>
          <w:color w:val="auto"/>
          <w:sz w:val="10"/>
          <w:highlight w:val="none"/>
        </w:rPr>
      </w:pPr>
    </w:p>
    <w:p w14:paraId="727E19A5">
      <w:pPr>
        <w:spacing w:line="360" w:lineRule="auto"/>
        <w:ind w:left="960"/>
        <w:rPr>
          <w:rFonts w:ascii="宋体" w:hAnsi="宋体" w:cs="宋体"/>
          <w:color w:val="auto"/>
          <w:sz w:val="10"/>
          <w:highlight w:val="none"/>
        </w:rPr>
      </w:pPr>
    </w:p>
    <w:p w14:paraId="16E9D981">
      <w:pPr>
        <w:spacing w:line="360" w:lineRule="auto"/>
        <w:ind w:left="359" w:leftChars="171" w:firstLine="481" w:firstLineChars="171"/>
        <w:rPr>
          <w:rFonts w:ascii="宋体" w:hAnsi="宋体" w:cs="宋体"/>
          <w:b/>
          <w:color w:val="auto"/>
          <w:sz w:val="28"/>
          <w:szCs w:val="28"/>
          <w:highlight w:val="none"/>
        </w:rPr>
      </w:pPr>
      <w:r>
        <w:rPr>
          <w:rFonts w:hint="eastAsia" w:ascii="宋体" w:hAnsi="宋体" w:cs="宋体"/>
          <w:b/>
          <w:color w:val="auto"/>
          <w:sz w:val="28"/>
          <w:szCs w:val="28"/>
          <w:highlight w:val="none"/>
        </w:rPr>
        <w:t>一、竞争性磋商公告</w:t>
      </w:r>
    </w:p>
    <w:p w14:paraId="42D196CF">
      <w:pPr>
        <w:spacing w:line="360" w:lineRule="auto"/>
        <w:ind w:left="359" w:leftChars="171" w:firstLine="481" w:firstLineChars="171"/>
        <w:rPr>
          <w:rFonts w:ascii="宋体" w:hAnsi="宋体" w:cs="宋体"/>
          <w:b/>
          <w:color w:val="auto"/>
          <w:sz w:val="28"/>
          <w:szCs w:val="28"/>
          <w:highlight w:val="none"/>
        </w:rPr>
      </w:pPr>
      <w:r>
        <w:rPr>
          <w:rFonts w:hint="eastAsia" w:ascii="宋体" w:hAnsi="宋体" w:cs="宋体"/>
          <w:b/>
          <w:color w:val="auto"/>
          <w:sz w:val="28"/>
          <w:szCs w:val="28"/>
          <w:highlight w:val="none"/>
        </w:rPr>
        <w:t>二、供应商须知</w:t>
      </w:r>
    </w:p>
    <w:p w14:paraId="558CB756">
      <w:pPr>
        <w:spacing w:line="360" w:lineRule="auto"/>
        <w:ind w:left="359" w:leftChars="171" w:firstLine="481" w:firstLineChars="171"/>
        <w:rPr>
          <w:rFonts w:ascii="宋体" w:hAnsi="宋体" w:cs="宋体"/>
          <w:b/>
          <w:color w:val="auto"/>
          <w:sz w:val="28"/>
          <w:szCs w:val="28"/>
          <w:highlight w:val="none"/>
        </w:rPr>
      </w:pPr>
      <w:r>
        <w:rPr>
          <w:rFonts w:hint="eastAsia" w:ascii="宋体" w:hAnsi="宋体" w:cs="宋体"/>
          <w:b/>
          <w:color w:val="auto"/>
          <w:sz w:val="28"/>
          <w:szCs w:val="28"/>
          <w:highlight w:val="none"/>
        </w:rPr>
        <w:t xml:space="preserve">三、评审办法及评审标准  </w:t>
      </w:r>
    </w:p>
    <w:p w14:paraId="3A304EEF">
      <w:pPr>
        <w:spacing w:line="360" w:lineRule="auto"/>
        <w:ind w:left="359" w:leftChars="171" w:firstLine="481" w:firstLineChars="171"/>
        <w:rPr>
          <w:rFonts w:ascii="宋体" w:hAnsi="宋体" w:cs="宋体"/>
          <w:b/>
          <w:color w:val="auto"/>
          <w:sz w:val="28"/>
          <w:szCs w:val="28"/>
          <w:highlight w:val="none"/>
        </w:rPr>
      </w:pPr>
      <w:r>
        <w:rPr>
          <w:rFonts w:hint="eastAsia" w:ascii="宋体" w:hAnsi="宋体" w:cs="宋体"/>
          <w:b/>
          <w:color w:val="auto"/>
          <w:sz w:val="28"/>
          <w:szCs w:val="28"/>
          <w:highlight w:val="none"/>
        </w:rPr>
        <w:t>四、</w:t>
      </w:r>
      <w:r>
        <w:rPr>
          <w:rFonts w:hint="eastAsia" w:ascii="宋体" w:hAnsi="宋体" w:cs="宋体"/>
          <w:b/>
          <w:color w:val="auto"/>
          <w:kern w:val="0"/>
          <w:sz w:val="28"/>
          <w:szCs w:val="28"/>
          <w:highlight w:val="none"/>
        </w:rPr>
        <w:t>项目需求</w:t>
      </w:r>
    </w:p>
    <w:p w14:paraId="376FA712">
      <w:pPr>
        <w:spacing w:line="360" w:lineRule="auto"/>
        <w:ind w:firstLine="703" w:firstLineChars="250"/>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 五、政府采购合同主要条款指引       </w:t>
      </w:r>
    </w:p>
    <w:p w14:paraId="0EB74C59">
      <w:pPr>
        <w:spacing w:line="360" w:lineRule="auto"/>
        <w:ind w:left="359" w:leftChars="171" w:firstLine="481" w:firstLineChars="171"/>
        <w:rPr>
          <w:rFonts w:ascii="宋体" w:hAnsi="宋体" w:cs="宋体"/>
          <w:b/>
          <w:color w:val="auto"/>
          <w:sz w:val="28"/>
          <w:szCs w:val="28"/>
          <w:highlight w:val="none"/>
        </w:rPr>
      </w:pPr>
      <w:r>
        <w:rPr>
          <w:rFonts w:hint="eastAsia" w:ascii="宋体" w:hAnsi="宋体" w:cs="宋体"/>
          <w:b/>
          <w:color w:val="auto"/>
          <w:sz w:val="28"/>
          <w:szCs w:val="28"/>
          <w:highlight w:val="none"/>
        </w:rPr>
        <w:t>六、响应文件格式附件</w:t>
      </w:r>
    </w:p>
    <w:p w14:paraId="62D06639">
      <w:pPr>
        <w:spacing w:line="360" w:lineRule="auto"/>
        <w:rPr>
          <w:rFonts w:ascii="宋体" w:hAnsi="宋体" w:cs="宋体"/>
          <w:b/>
          <w:color w:val="auto"/>
          <w:sz w:val="28"/>
          <w:szCs w:val="28"/>
          <w:highlight w:val="none"/>
        </w:rPr>
      </w:pPr>
    </w:p>
    <w:p w14:paraId="1EE7427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color w:val="auto"/>
          <w:kern w:val="0"/>
          <w:sz w:val="30"/>
          <w:szCs w:val="30"/>
          <w:highlight w:val="none"/>
        </w:rPr>
      </w:pPr>
    </w:p>
    <w:p w14:paraId="07BB80E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color w:val="auto"/>
          <w:kern w:val="0"/>
          <w:sz w:val="30"/>
          <w:szCs w:val="30"/>
          <w:highlight w:val="none"/>
        </w:rPr>
      </w:pPr>
    </w:p>
    <w:p w14:paraId="62CD027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color w:val="auto"/>
          <w:kern w:val="0"/>
          <w:sz w:val="30"/>
          <w:szCs w:val="30"/>
          <w:highlight w:val="none"/>
        </w:rPr>
      </w:pPr>
    </w:p>
    <w:p w14:paraId="5891F5B3">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pPr>
    </w:p>
    <w:p w14:paraId="660D3EB0">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pPr>
    </w:p>
    <w:p w14:paraId="3B605FD5">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pPr>
    </w:p>
    <w:p w14:paraId="5B64E7AC">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pPr>
    </w:p>
    <w:p w14:paraId="375A9F42">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pPr>
    </w:p>
    <w:p w14:paraId="5FB4AA85">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pPr>
    </w:p>
    <w:p w14:paraId="7D09BEC9">
      <w:pPr>
        <w:tabs>
          <w:tab w:val="left" w:pos="180"/>
          <w:tab w:val="left" w:pos="360"/>
          <w:tab w:val="left" w:pos="540"/>
          <w:tab w:val="left" w:pos="8280"/>
        </w:tabs>
        <w:autoSpaceDE w:val="0"/>
        <w:autoSpaceDN w:val="0"/>
        <w:adjustRightInd w:val="0"/>
        <w:spacing w:line="360" w:lineRule="auto"/>
        <w:ind w:right="23"/>
        <w:rPr>
          <w:rFonts w:ascii="宋体" w:hAnsi="宋体" w:cs="宋体"/>
          <w:b/>
          <w:color w:val="auto"/>
          <w:kern w:val="0"/>
          <w:sz w:val="36"/>
          <w:szCs w:val="36"/>
          <w:highlight w:val="none"/>
        </w:rPr>
      </w:pPr>
    </w:p>
    <w:p w14:paraId="3E7561E5">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14:paraId="5FE6B1F0">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第一章  竞争性磋商公告 </w:t>
      </w:r>
    </w:p>
    <w:p w14:paraId="5F1F02B3">
      <w:pPr>
        <w:spacing w:line="360" w:lineRule="auto"/>
        <w:ind w:right="-197" w:rightChars="-94"/>
        <w:jc w:val="left"/>
        <w:rPr>
          <w:rFonts w:ascii="宋体" w:hAnsi="宋体" w:cs="宋体"/>
          <w:color w:val="auto"/>
          <w:kern w:val="0"/>
          <w:sz w:val="24"/>
          <w:highlight w:val="none"/>
        </w:rPr>
      </w:pPr>
      <w:r>
        <w:rPr>
          <w:rFonts w:hint="eastAsia" w:ascii="宋体" w:hAnsi="宋体" w:cs="宋体"/>
          <w:color w:val="auto"/>
          <w:kern w:val="0"/>
          <w:sz w:val="30"/>
          <w:szCs w:val="30"/>
          <w:highlight w:val="none"/>
        </w:rPr>
        <w:t xml:space="preserve">   </w:t>
      </w:r>
      <w:r>
        <w:rPr>
          <w:rFonts w:hint="eastAsia" w:ascii="宋体" w:hAnsi="宋体" w:cs="宋体"/>
          <w:color w:val="auto"/>
          <w:kern w:val="0"/>
          <w:sz w:val="24"/>
          <w:highlight w:val="none"/>
        </w:rPr>
        <w:t xml:space="preserve"> 根据《中华人民共和国政府采购法》</w:t>
      </w:r>
      <w:r>
        <w:rPr>
          <w:rFonts w:hint="eastAsia" w:ascii="宋体"/>
          <w:color w:val="auto"/>
          <w:kern w:val="0"/>
          <w:sz w:val="24"/>
          <w:highlight w:val="none"/>
        </w:rPr>
        <w:t>、《中华人民共和国政府采购法实施条例》</w:t>
      </w:r>
      <w:r>
        <w:rPr>
          <w:rFonts w:hint="eastAsia" w:ascii="宋体"/>
          <w:color w:val="auto"/>
          <w:kern w:val="0"/>
          <w:sz w:val="24"/>
          <w:highlight w:val="none"/>
          <w:lang w:eastAsia="zh-CN"/>
        </w:rPr>
        <w:t>、</w:t>
      </w:r>
      <w:r>
        <w:rPr>
          <w:rFonts w:hint="eastAsia" w:ascii="宋体" w:hAnsi="宋体" w:cs="宋体"/>
          <w:color w:val="auto"/>
          <w:sz w:val="24"/>
          <w:highlight w:val="none"/>
        </w:rPr>
        <w:t>《政府采购竞争性磋商采购方式管理暂行办法》等</w:t>
      </w:r>
      <w:r>
        <w:rPr>
          <w:rFonts w:hint="eastAsia" w:ascii="宋体" w:hAnsi="宋体" w:cs="宋体"/>
          <w:color w:val="auto"/>
          <w:kern w:val="0"/>
          <w:sz w:val="24"/>
          <w:highlight w:val="none"/>
        </w:rPr>
        <w:t>有关规定, 受采购人的委托，现就</w:t>
      </w:r>
      <w:r>
        <w:rPr>
          <w:rFonts w:hint="eastAsia" w:ascii="宋体" w:hAnsi="宋体" w:cs="宋体"/>
          <w:color w:val="auto"/>
          <w:sz w:val="24"/>
          <w:highlight w:val="none"/>
          <w:u w:val="single"/>
          <w:lang w:eastAsia="zh-CN"/>
        </w:rPr>
        <w:t>台州市椒江区大陈镇人民政府</w:t>
      </w:r>
      <w:r>
        <w:rPr>
          <w:rFonts w:hint="eastAsia" w:ascii="宋体" w:hAnsi="宋体" w:cs="宋体"/>
          <w:color w:val="auto"/>
          <w:sz w:val="24"/>
          <w:highlight w:val="none"/>
        </w:rPr>
        <w:t>（单</w:t>
      </w:r>
      <w:r>
        <w:rPr>
          <w:rFonts w:hint="eastAsia" w:ascii="宋体" w:hAnsi="宋体" w:cs="宋体"/>
          <w:color w:val="auto"/>
          <w:kern w:val="0"/>
          <w:sz w:val="24"/>
          <w:highlight w:val="none"/>
        </w:rPr>
        <w:t>位）的</w:t>
      </w:r>
      <w:r>
        <w:rPr>
          <w:rFonts w:hint="eastAsia" w:ascii="宋体" w:hAnsi="宋体" w:cs="宋体"/>
          <w:color w:val="auto"/>
          <w:sz w:val="24"/>
          <w:highlight w:val="none"/>
          <w:u w:val="single"/>
          <w:lang w:eastAsia="zh-CN"/>
        </w:rPr>
        <w:t>大陈岛5G+互联数智无人机采购项目</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椒财采确[2024]2228号、椒财采确[2024]2227号</w:t>
      </w:r>
      <w:r>
        <w:rPr>
          <w:rFonts w:hint="eastAsia" w:ascii="宋体" w:hAnsi="宋体" w:cs="宋体"/>
          <w:color w:val="auto"/>
          <w:sz w:val="24"/>
          <w:highlight w:val="none"/>
          <w:u w:val="single"/>
        </w:rPr>
        <w:t>）</w:t>
      </w:r>
      <w:r>
        <w:rPr>
          <w:rFonts w:hint="eastAsia" w:ascii="宋体" w:hAnsi="宋体" w:cs="宋体"/>
          <w:color w:val="auto"/>
          <w:kern w:val="0"/>
          <w:sz w:val="24"/>
          <w:highlight w:val="none"/>
        </w:rPr>
        <w:t>进行竞争性磋商采购，欢迎合格供应商前来磋商。</w:t>
      </w:r>
    </w:p>
    <w:p w14:paraId="597FFFAF">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一、项目编号: </w:t>
      </w:r>
      <w:r>
        <w:rPr>
          <w:rFonts w:hint="eastAsia" w:ascii="宋体" w:hAnsi="宋体" w:cs="宋体"/>
          <w:b/>
          <w:color w:val="auto"/>
          <w:kern w:val="0"/>
          <w:sz w:val="24"/>
          <w:highlight w:val="none"/>
          <w:lang w:eastAsia="zh-CN"/>
        </w:rPr>
        <w:t>tzzy-2024</w:t>
      </w:r>
      <w:r>
        <w:rPr>
          <w:rFonts w:hint="eastAsia" w:ascii="宋体" w:hAnsi="宋体" w:cs="宋体"/>
          <w:b/>
          <w:color w:val="auto"/>
          <w:kern w:val="0"/>
          <w:sz w:val="24"/>
          <w:highlight w:val="none"/>
          <w:u w:val="single"/>
          <w:lang w:val="en-US" w:eastAsia="zh-CN"/>
        </w:rPr>
        <w:t>023</w:t>
      </w:r>
      <w:r>
        <w:rPr>
          <w:rFonts w:hint="eastAsia" w:ascii="宋体" w:hAnsi="宋体" w:cs="宋体"/>
          <w:b/>
          <w:color w:val="auto"/>
          <w:kern w:val="0"/>
          <w:sz w:val="24"/>
          <w:highlight w:val="none"/>
          <w:lang w:eastAsia="zh-CN"/>
        </w:rPr>
        <w:t>号</w:t>
      </w:r>
    </w:p>
    <w:p w14:paraId="41721503">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cs="宋体"/>
          <w:color w:val="auto"/>
          <w:kern w:val="0"/>
          <w:sz w:val="24"/>
          <w:highlight w:val="none"/>
        </w:rPr>
      </w:pPr>
      <w:r>
        <w:rPr>
          <w:rFonts w:hint="eastAsia" w:ascii="宋体" w:hAnsi="宋体" w:cs="宋体"/>
          <w:b/>
          <w:color w:val="auto"/>
          <w:kern w:val="0"/>
          <w:sz w:val="24"/>
          <w:highlight w:val="none"/>
        </w:rPr>
        <w:t>二、磋商内容：</w:t>
      </w:r>
    </w:p>
    <w:tbl>
      <w:tblPr>
        <w:tblStyle w:val="35"/>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95"/>
        <w:gridCol w:w="1176"/>
        <w:gridCol w:w="654"/>
        <w:gridCol w:w="703"/>
        <w:gridCol w:w="1230"/>
        <w:gridCol w:w="1099"/>
        <w:gridCol w:w="1248"/>
        <w:gridCol w:w="1193"/>
      </w:tblGrid>
      <w:tr w14:paraId="0010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04" w:type="dxa"/>
            <w:vAlign w:val="center"/>
          </w:tcPr>
          <w:p w14:paraId="62EFEFFC">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标段号</w:t>
            </w:r>
          </w:p>
        </w:tc>
        <w:tc>
          <w:tcPr>
            <w:tcW w:w="1795" w:type="dxa"/>
            <w:vAlign w:val="center"/>
          </w:tcPr>
          <w:p w14:paraId="3AB4691C">
            <w:pPr>
              <w:tabs>
                <w:tab w:val="left" w:pos="8280"/>
              </w:tabs>
              <w:autoSpaceDE w:val="0"/>
              <w:autoSpaceDN w:val="0"/>
              <w:adjustRightInd w:val="0"/>
              <w:ind w:right="25"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176" w:type="dxa"/>
            <w:vAlign w:val="center"/>
          </w:tcPr>
          <w:p w14:paraId="3C88E94E">
            <w:pPr>
              <w:tabs>
                <w:tab w:val="left" w:pos="8280"/>
              </w:tabs>
              <w:autoSpaceDE w:val="0"/>
              <w:autoSpaceDN w:val="0"/>
              <w:adjustRightInd w:val="0"/>
              <w:ind w:right="-100" w:rightChars="0"/>
              <w:jc w:val="center"/>
              <w:rPr>
                <w:rFonts w:ascii="宋体" w:hAnsi="宋体" w:cs="宋体"/>
                <w:b/>
                <w:color w:val="auto"/>
                <w:sz w:val="24"/>
                <w:highlight w:val="none"/>
              </w:rPr>
            </w:pPr>
            <w:r>
              <w:rPr>
                <w:rFonts w:hint="eastAsia" w:ascii="宋体" w:hAnsi="宋体" w:cs="宋体"/>
                <w:b/>
                <w:color w:val="auto"/>
                <w:kern w:val="0"/>
                <w:sz w:val="24"/>
                <w:highlight w:val="none"/>
              </w:rPr>
              <w:t>简要要求</w:t>
            </w:r>
          </w:p>
        </w:tc>
        <w:tc>
          <w:tcPr>
            <w:tcW w:w="654" w:type="dxa"/>
            <w:vAlign w:val="center"/>
          </w:tcPr>
          <w:p w14:paraId="4D624C3E">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703" w:type="dxa"/>
            <w:vAlign w:val="center"/>
          </w:tcPr>
          <w:p w14:paraId="7658538C">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230" w:type="dxa"/>
            <w:vAlign w:val="center"/>
          </w:tcPr>
          <w:p w14:paraId="436428F5">
            <w:pPr>
              <w:tabs>
                <w:tab w:val="left" w:pos="8280"/>
              </w:tabs>
              <w:autoSpaceDE w:val="0"/>
              <w:autoSpaceDN w:val="0"/>
              <w:adjustRightInd w:val="0"/>
              <w:ind w:right="25"/>
              <w:jc w:val="center"/>
              <w:rPr>
                <w:rFonts w:hint="eastAsia" w:ascii="宋体" w:hAnsi="宋体" w:cs="宋体"/>
                <w:b/>
                <w:color w:val="auto"/>
                <w:sz w:val="24"/>
                <w:highlight w:val="none"/>
                <w:lang w:eastAsia="zh-CN"/>
              </w:rPr>
            </w:pPr>
            <w:r>
              <w:rPr>
                <w:rFonts w:hint="eastAsia" w:ascii="宋体" w:hAnsi="宋体" w:cs="宋体"/>
                <w:b/>
                <w:color w:val="auto"/>
                <w:sz w:val="24"/>
                <w:highlight w:val="none"/>
              </w:rPr>
              <w:t>预算</w:t>
            </w:r>
            <w:r>
              <w:rPr>
                <w:rFonts w:hint="eastAsia" w:ascii="宋体" w:hAnsi="宋体" w:cs="宋体"/>
                <w:b/>
                <w:color w:val="auto"/>
                <w:sz w:val="24"/>
                <w:highlight w:val="none"/>
                <w:lang w:eastAsia="zh-CN"/>
              </w:rPr>
              <w:t>金额</w:t>
            </w:r>
          </w:p>
          <w:p w14:paraId="5C995398">
            <w:pPr>
              <w:tabs>
                <w:tab w:val="left" w:pos="8280"/>
              </w:tabs>
              <w:autoSpaceDE w:val="0"/>
              <w:autoSpaceDN w:val="0"/>
              <w:adjustRightInd w:val="0"/>
              <w:ind w:right="25"/>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（万元）</w:t>
            </w:r>
          </w:p>
        </w:tc>
        <w:tc>
          <w:tcPr>
            <w:tcW w:w="1099" w:type="dxa"/>
            <w:vAlign w:val="center"/>
          </w:tcPr>
          <w:p w14:paraId="02EA3179">
            <w:pPr>
              <w:tabs>
                <w:tab w:val="left" w:pos="8280"/>
              </w:tabs>
              <w:autoSpaceDE w:val="0"/>
              <w:autoSpaceDN w:val="0"/>
              <w:adjustRightInd w:val="0"/>
              <w:ind w:right="25"/>
              <w:jc w:val="center"/>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上限价</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eastAsia="zh-CN"/>
              </w:rPr>
              <w:t>（万元）</w:t>
            </w:r>
          </w:p>
        </w:tc>
        <w:tc>
          <w:tcPr>
            <w:tcW w:w="1248" w:type="dxa"/>
            <w:vAlign w:val="center"/>
          </w:tcPr>
          <w:p w14:paraId="59BAC18D">
            <w:pPr>
              <w:tabs>
                <w:tab w:val="left" w:pos="8280"/>
              </w:tabs>
              <w:autoSpaceDE w:val="0"/>
              <w:autoSpaceDN w:val="0"/>
              <w:adjustRightInd w:val="0"/>
              <w:ind w:right="25"/>
              <w:jc w:val="center"/>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供货期限</w:t>
            </w:r>
          </w:p>
        </w:tc>
        <w:tc>
          <w:tcPr>
            <w:tcW w:w="1193" w:type="dxa"/>
            <w:vAlign w:val="center"/>
          </w:tcPr>
          <w:p w14:paraId="237384F1">
            <w:pPr>
              <w:widowControl/>
              <w:jc w:val="center"/>
              <w:rPr>
                <w:rFonts w:hint="eastAsia" w:ascii="宋体" w:hAnsi="宋体" w:cs="宋体"/>
                <w:b/>
                <w:color w:val="auto"/>
                <w:sz w:val="24"/>
                <w:highlight w:val="none"/>
                <w:lang w:eastAsia="zh-CN"/>
              </w:rPr>
            </w:pPr>
            <w:r>
              <w:rPr>
                <w:rFonts w:hint="eastAsia" w:ascii="宋体"/>
                <w:b/>
                <w:sz w:val="21"/>
                <w:szCs w:val="21"/>
                <w:highlight w:val="none"/>
              </w:rPr>
              <w:t>项目地点</w:t>
            </w:r>
          </w:p>
        </w:tc>
      </w:tr>
      <w:tr w14:paraId="1BB6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04" w:type="dxa"/>
            <w:vAlign w:val="center"/>
          </w:tcPr>
          <w:p w14:paraId="48231D06">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1795" w:type="dxa"/>
            <w:vAlign w:val="center"/>
          </w:tcPr>
          <w:p w14:paraId="0E5BDF77">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大陈岛5G+互联数智无人机采购项目</w:t>
            </w:r>
          </w:p>
        </w:tc>
        <w:tc>
          <w:tcPr>
            <w:tcW w:w="1176" w:type="dxa"/>
            <w:vAlign w:val="center"/>
          </w:tcPr>
          <w:p w14:paraId="77829DAB">
            <w:pPr>
              <w:jc w:val="center"/>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p>
        </w:tc>
        <w:tc>
          <w:tcPr>
            <w:tcW w:w="654" w:type="dxa"/>
            <w:vAlign w:val="center"/>
          </w:tcPr>
          <w:p w14:paraId="2A4C1232">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03" w:type="dxa"/>
            <w:vAlign w:val="center"/>
          </w:tcPr>
          <w:p w14:paraId="76B52804">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架</w:t>
            </w:r>
          </w:p>
        </w:tc>
        <w:tc>
          <w:tcPr>
            <w:tcW w:w="1230" w:type="dxa"/>
            <w:vAlign w:val="center"/>
          </w:tcPr>
          <w:p w14:paraId="516C1F15">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80 </w:t>
            </w:r>
          </w:p>
        </w:tc>
        <w:tc>
          <w:tcPr>
            <w:tcW w:w="1099" w:type="dxa"/>
            <w:vAlign w:val="center"/>
          </w:tcPr>
          <w:p w14:paraId="22B94CE9">
            <w:pPr>
              <w:jc w:val="center"/>
              <w:rPr>
                <w:rFonts w:hint="default" w:ascii="宋体" w:hAnsi="宋体" w:cs="宋体"/>
                <w:color w:val="auto"/>
                <w:szCs w:val="21"/>
                <w:highlight w:val="none"/>
                <w:lang w:val="en-US" w:eastAsia="zh-CN"/>
              </w:rPr>
            </w:pPr>
            <w:bookmarkStart w:id="0" w:name="B17_备注"/>
            <w:bookmarkEnd w:id="0"/>
            <w:r>
              <w:rPr>
                <w:rFonts w:hint="eastAsia" w:ascii="宋体" w:hAnsi="宋体" w:cs="宋体"/>
                <w:color w:val="auto"/>
                <w:szCs w:val="21"/>
                <w:highlight w:val="none"/>
                <w:lang w:val="en-US" w:eastAsia="zh-CN"/>
              </w:rPr>
              <w:t xml:space="preserve"> 80 </w:t>
            </w:r>
          </w:p>
        </w:tc>
        <w:tc>
          <w:tcPr>
            <w:tcW w:w="1248" w:type="dxa"/>
            <w:vAlign w:val="center"/>
          </w:tcPr>
          <w:p w14:paraId="25866274">
            <w:pPr>
              <w:jc w:val="center"/>
              <w:rPr>
                <w:rFonts w:hint="default" w:ascii="宋体" w:hAnsi="宋体" w:cs="宋体"/>
                <w:color w:val="auto"/>
                <w:szCs w:val="21"/>
                <w:highlight w:val="none"/>
                <w:lang w:val="en-US" w:eastAsia="zh-CN"/>
              </w:rPr>
            </w:pPr>
            <w:r>
              <w:rPr>
                <w:rFonts w:hint="eastAsia" w:ascii="新宋体" w:hAnsi="新宋体" w:eastAsia="新宋体" w:cs="Times New Roman"/>
                <w:color w:val="000000"/>
                <w:sz w:val="22"/>
                <w:szCs w:val="22"/>
                <w:highlight w:val="none"/>
              </w:rPr>
              <w:t>自签订合同之日起</w:t>
            </w:r>
            <w:r>
              <w:rPr>
                <w:rFonts w:hint="eastAsia" w:ascii="新宋体" w:hAnsi="新宋体" w:eastAsia="新宋体" w:cs="Times New Roman"/>
                <w:color w:val="000000"/>
                <w:sz w:val="22"/>
                <w:szCs w:val="22"/>
                <w:highlight w:val="none"/>
                <w:lang w:val="en-US" w:eastAsia="zh-CN"/>
              </w:rPr>
              <w:t>1</w:t>
            </w:r>
            <w:r>
              <w:rPr>
                <w:rFonts w:hint="eastAsia" w:ascii="新宋体" w:hAnsi="新宋体" w:eastAsia="新宋体" w:cs="Times New Roman"/>
                <w:color w:val="000000"/>
                <w:sz w:val="22"/>
                <w:szCs w:val="22"/>
                <w:highlight w:val="none"/>
              </w:rPr>
              <w:t>个月内完成所有产品的供货、安装、调试、测试并通过验收。</w:t>
            </w:r>
          </w:p>
        </w:tc>
        <w:tc>
          <w:tcPr>
            <w:tcW w:w="1193" w:type="dxa"/>
            <w:vAlign w:val="center"/>
          </w:tcPr>
          <w:p w14:paraId="73ABB242">
            <w:pPr>
              <w:rPr>
                <w:rFonts w:hint="eastAsia" w:ascii="宋体" w:hAnsi="宋体" w:cs="宋体"/>
                <w:color w:val="auto"/>
                <w:szCs w:val="21"/>
                <w:highlight w:val="none"/>
                <w:lang w:val="en-US" w:eastAsia="zh-CN"/>
              </w:rPr>
            </w:pPr>
            <w:r>
              <w:rPr>
                <w:rFonts w:hint="eastAsia" w:ascii="宋体" w:cs="宋体"/>
                <w:szCs w:val="21"/>
                <w:highlight w:val="none"/>
                <w:lang w:val="en-US" w:eastAsia="zh-CN"/>
              </w:rPr>
              <w:t>采购人指定地点</w:t>
            </w:r>
          </w:p>
        </w:tc>
      </w:tr>
    </w:tbl>
    <w:p w14:paraId="383E7602">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三、合格磋商供应商的资格条件：</w:t>
      </w:r>
    </w:p>
    <w:p w14:paraId="75742178">
      <w:pPr>
        <w:pStyle w:val="65"/>
        <w:adjustRightInd w:val="0"/>
        <w:snapToGrid w:val="0"/>
        <w:spacing w:before="0" w:line="360" w:lineRule="auto"/>
        <w:ind w:left="0" w:leftChars="0" w:right="10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（一）符合《中华人民共和国政府采购法》第二十二条规定的磋商供应商资格条件。</w:t>
      </w:r>
    </w:p>
    <w:p w14:paraId="2FA7E2D9">
      <w:pPr>
        <w:pStyle w:val="65"/>
        <w:keepNext w:val="0"/>
        <w:keepLines w:val="0"/>
        <w:pageBreakBefore w:val="0"/>
        <w:kinsoku/>
        <w:wordWrap/>
        <w:overflowPunct/>
        <w:topLinePunct w:val="0"/>
        <w:bidi w:val="0"/>
        <w:adjustRightInd w:val="0"/>
        <w:snapToGrid w:val="0"/>
        <w:spacing w:before="0" w:beforeLines="0" w:line="360" w:lineRule="auto"/>
        <w:ind w:left="0" w:right="0"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rPr>
        <w:t>（二）未</w:t>
      </w:r>
      <w:r>
        <w:rPr>
          <w:rFonts w:hint="eastAsia" w:ascii="宋体" w:hAnsi="宋体" w:eastAsia="宋体" w:cs="Times New Roman"/>
          <w:color w:val="auto"/>
          <w:sz w:val="24"/>
          <w:szCs w:val="24"/>
          <w:highlight w:val="none"/>
        </w:rPr>
        <w:t>被“信用中国”（www.creditchina.gov.cn）、中国政府采购网（www.ccgp.gov.cn）列入失信被执行人、重大税收违法案件当事人名单、政府采购严重违法失信行为记录名单。</w:t>
      </w:r>
    </w:p>
    <w:p w14:paraId="1C7ED524">
      <w:pPr>
        <w:pStyle w:val="65"/>
        <w:adjustRightInd w:val="0"/>
        <w:snapToGrid w:val="0"/>
        <w:spacing w:before="0" w:line="360" w:lineRule="auto"/>
        <w:ind w:right="102" w:firstLine="240" w:firstLineChars="1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（三）落实政府采购政策需满足的资格要求：</w:t>
      </w:r>
      <w:r>
        <w:rPr>
          <w:rFonts w:hint="eastAsia" w:ascii="宋体" w:hAnsi="宋体" w:eastAsia="宋体"/>
          <w:color w:val="auto"/>
          <w:sz w:val="24"/>
          <w:szCs w:val="24"/>
          <w:highlight w:val="none"/>
        </w:rPr>
        <w:t>本项目按照《政府采购促进中小企业发展管理办法》【财库（2020）46号】第七条规定：</w:t>
      </w:r>
      <w:r>
        <w:rPr>
          <w:rFonts w:hint="eastAsia" w:ascii="宋体" w:hAnsi="宋体"/>
          <w:b/>
          <w:bCs/>
          <w:sz w:val="24"/>
          <w:highlight w:val="none"/>
          <w:u w:val="single"/>
        </w:rPr>
        <w:t>专门面向中小企业采购。</w:t>
      </w:r>
      <w:r>
        <w:rPr>
          <w:rFonts w:hint="eastAsia" w:ascii="宋体" w:hAnsi="宋体" w:cs="宋体"/>
          <w:b/>
          <w:bCs/>
          <w:sz w:val="24"/>
          <w:highlight w:val="none"/>
          <w:u w:val="single"/>
        </w:rPr>
        <w:t>监狱企业、残疾人福利性单位</w:t>
      </w:r>
      <w:r>
        <w:rPr>
          <w:rFonts w:hint="eastAsia" w:ascii="宋体" w:hAnsi="宋体" w:cs="宋体"/>
          <w:b/>
          <w:bCs/>
          <w:sz w:val="24"/>
          <w:highlight w:val="none"/>
          <w:u w:val="single"/>
          <w:lang w:val="en-US" w:eastAsia="zh-CN"/>
        </w:rPr>
        <w:t>视同小型、微型企业。</w:t>
      </w:r>
    </w:p>
    <w:p w14:paraId="709241F9">
      <w:pPr>
        <w:pStyle w:val="65"/>
        <w:adjustRightInd w:val="0"/>
        <w:snapToGrid w:val="0"/>
        <w:spacing w:before="0" w:line="360" w:lineRule="auto"/>
        <w:ind w:left="479" w:leftChars="228" w:right="102" w:firstLine="0" w:firstLineChars="0"/>
        <w:rPr>
          <w:rFonts w:hint="eastAsia" w:ascii="宋体" w:hAnsi="宋体" w:eastAsia="宋体" w:cs="宋体"/>
          <w:color w:val="auto"/>
          <w:sz w:val="24"/>
          <w:szCs w:val="24"/>
          <w:highlight w:val="none"/>
          <w:lang w:eastAsia="zh-CN"/>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四</w:t>
      </w:r>
      <w:r>
        <w:rPr>
          <w:rFonts w:hint="eastAsia" w:ascii="宋体" w:hAnsi="宋体" w:eastAsia="宋体" w:cs="Times New Roman"/>
          <w:color w:val="auto"/>
          <w:sz w:val="24"/>
          <w:szCs w:val="24"/>
          <w:highlight w:val="none"/>
        </w:rPr>
        <w:t>）</w:t>
      </w:r>
      <w:r>
        <w:rPr>
          <w:rFonts w:hint="eastAsia" w:ascii="宋体"/>
          <w:kern w:val="0"/>
          <w:sz w:val="24"/>
          <w:highlight w:val="none"/>
        </w:rPr>
        <w:t>本项目供应商特定条件：</w:t>
      </w:r>
      <w:r>
        <w:rPr>
          <w:rFonts w:hint="eastAsia" w:ascii="宋体" w:hAnsi="宋体" w:eastAsia="宋体" w:cs="宋体"/>
          <w:color w:val="auto"/>
          <w:sz w:val="24"/>
          <w:szCs w:val="24"/>
          <w:highlight w:val="none"/>
        </w:rPr>
        <w:t>本项目不接受联合体磋商</w:t>
      </w:r>
      <w:r>
        <w:rPr>
          <w:rFonts w:hint="eastAsia" w:ascii="宋体" w:hAnsi="宋体" w:eastAsia="宋体" w:cs="宋体"/>
          <w:color w:val="auto"/>
          <w:sz w:val="24"/>
          <w:szCs w:val="24"/>
          <w:highlight w:val="none"/>
          <w:lang w:eastAsia="zh-CN"/>
        </w:rPr>
        <w:t>。</w:t>
      </w:r>
    </w:p>
    <w:p w14:paraId="368012AD">
      <w:pPr>
        <w:pStyle w:val="65"/>
        <w:adjustRightInd w:val="0"/>
        <w:snapToGrid w:val="0"/>
        <w:spacing w:before="0" w:line="360" w:lineRule="auto"/>
        <w:ind w:right="10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单位负责人为同一人或者存在直接控股、管理关系的不同供应商，不得参加同一合同项下的采购活动。电子交易平台运营机构，以及与该机构有直接控股或者管理关系可能影响采购公正性的任何单位和个人，不得在该平台进行的政府采购项目电子交易中投标、响应和代理政府采购项目。</w:t>
      </w:r>
    </w:p>
    <w:p w14:paraId="0FD9700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四、磋商文件获取的方式、时间：</w:t>
      </w:r>
    </w:p>
    <w:p w14:paraId="5B21F9CC">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本项目磋商文件实行“政府采购云平台”在线获取，不提供磋商文件纸质版。供应商获取磋商文件前应先完成“政府采购云平台”的账号注册；</w:t>
      </w:r>
    </w:p>
    <w:p w14:paraId="6769C660">
      <w:pPr>
        <w:spacing w:line="360" w:lineRule="auto"/>
        <w:ind w:firstLine="600" w:firstLineChars="250"/>
        <w:rPr>
          <w:rFonts w:ascii="宋体" w:hAnsi="宋体" w:cs="宋体"/>
          <w:color w:val="auto"/>
          <w:sz w:val="24"/>
          <w:szCs w:val="32"/>
          <w:highlight w:val="none"/>
        </w:rPr>
      </w:pPr>
      <w:r>
        <w:rPr>
          <w:rFonts w:hint="eastAsia" w:ascii="宋体" w:hAnsi="宋体" w:cs="宋体"/>
          <w:color w:val="auto"/>
          <w:sz w:val="24"/>
          <w:szCs w:val="32"/>
          <w:highlight w:val="none"/>
        </w:rPr>
        <w:t>1、获取地址：</w:t>
      </w:r>
    </w:p>
    <w:p w14:paraId="6E1E6C76">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（1）政采云平台（</w:t>
      </w:r>
      <w:r>
        <w:rPr>
          <w:rFonts w:hint="eastAsia" w:ascii="宋体" w:hAnsi="宋体" w:cs="宋体"/>
          <w:sz w:val="24"/>
          <w:highlight w:val="none"/>
        </w:rPr>
        <w:t>www.zcygov.cn</w:t>
      </w:r>
      <w:r>
        <w:rPr>
          <w:rFonts w:hint="eastAsia" w:ascii="宋体" w:hAnsi="宋体" w:cs="宋体"/>
          <w:color w:val="auto"/>
          <w:sz w:val="24"/>
          <w:szCs w:val="32"/>
          <w:highlight w:val="none"/>
        </w:rPr>
        <w:t>）；</w:t>
      </w:r>
    </w:p>
    <w:p w14:paraId="278E2C9A">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（2）供应商网上报名操作指南：“浙江政府采购网-办事指南-省采中心-网上报名”（http://zfcg.czt.zj.gov.cn/bs_other/2018-03-30/12002.html）。</w:t>
      </w:r>
    </w:p>
    <w:p w14:paraId="0632E42F">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获取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6B620C96">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3、供应商获取</w:t>
      </w:r>
      <w:r>
        <w:rPr>
          <w:rFonts w:hint="eastAsia" w:ascii="宋体" w:hAnsi="宋体" w:cs="宋体"/>
          <w:color w:val="auto"/>
          <w:sz w:val="24"/>
          <w:szCs w:val="32"/>
          <w:highlight w:val="none"/>
          <w:lang w:eastAsia="zh-CN"/>
        </w:rPr>
        <w:t>采购</w:t>
      </w:r>
      <w:r>
        <w:rPr>
          <w:rFonts w:hint="eastAsia" w:ascii="宋体" w:hAnsi="宋体" w:cs="宋体"/>
          <w:color w:val="auto"/>
          <w:sz w:val="24"/>
          <w:szCs w:val="32"/>
          <w:highlight w:val="none"/>
        </w:rPr>
        <w:t>文件时须提交的文件资料：无，按政</w:t>
      </w:r>
      <w:r>
        <w:rPr>
          <w:rFonts w:hint="eastAsia" w:ascii="宋体" w:hAnsi="宋体" w:cs="宋体"/>
          <w:color w:val="auto"/>
          <w:sz w:val="24"/>
          <w:szCs w:val="32"/>
          <w:highlight w:val="none"/>
          <w:lang w:val="en-US" w:eastAsia="zh-CN"/>
        </w:rPr>
        <w:t>采</w:t>
      </w:r>
      <w:r>
        <w:rPr>
          <w:rFonts w:hint="eastAsia" w:ascii="宋体" w:hAnsi="宋体" w:cs="宋体"/>
          <w:color w:val="auto"/>
          <w:sz w:val="24"/>
          <w:szCs w:val="32"/>
          <w:highlight w:val="none"/>
        </w:rPr>
        <w:t>云系统要求进行获取。</w:t>
      </w:r>
    </w:p>
    <w:p w14:paraId="27226C4A">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4、获取时间：公告发布时间至投标截止时间。</w:t>
      </w:r>
    </w:p>
    <w:p w14:paraId="3E5D464C">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备注：招标公告附件内的磋商文件（或磋商需求）仅供阅览使用，供应商只有在“政府采购云平台”完成获取磋商文件申请并下载了磋商文件后才视作依法获取磋商文件（法律法规所指的供应商获取磋商文件时间以供应商完成获取磋商文件申请后下载磋商文件的时间为准）。仅需浏览磋商文件的供应商可点击“游客，浏览磋商文件”直接下载磋商文件浏览，如需参加项目投标，请供应商按上述要求获取磋商文件，</w:t>
      </w:r>
      <w:r>
        <w:rPr>
          <w:rFonts w:hint="eastAsia" w:ascii="宋体" w:hAnsi="宋体" w:cs="宋体"/>
          <w:bCs/>
          <w:sz w:val="24"/>
          <w:highlight w:val="none"/>
        </w:rPr>
        <w:t>▲</w:t>
      </w:r>
      <w:r>
        <w:rPr>
          <w:rFonts w:hint="eastAsia" w:ascii="宋体" w:hAnsi="宋体" w:cs="宋体"/>
          <w:color w:val="auto"/>
          <w:sz w:val="24"/>
          <w:szCs w:val="32"/>
          <w:highlight w:val="none"/>
        </w:rPr>
        <w:t>如未在政采云系统内完成相关流程，采购组织机构将拒绝非报名供应商的磋商响应文件，引起的投标无效责任自负。</w:t>
      </w:r>
    </w:p>
    <w:p w14:paraId="7EB3009A">
      <w:pPr>
        <w:pStyle w:val="84"/>
        <w:spacing w:line="360" w:lineRule="auto"/>
        <w:ind w:firstLine="482" w:firstLineChars="200"/>
        <w:rPr>
          <w:rStyle w:val="38"/>
          <w:rFonts w:ascii="宋体" w:hAnsi="宋体" w:cs="宋体"/>
          <w:color w:val="auto"/>
          <w:sz w:val="24"/>
          <w:highlight w:val="none"/>
        </w:rPr>
      </w:pPr>
      <w:bookmarkStart w:id="1" w:name="_Hlk37939045"/>
      <w:r>
        <w:rPr>
          <w:rStyle w:val="38"/>
          <w:rFonts w:hint="eastAsia" w:ascii="宋体" w:hAnsi="宋体" w:cs="宋体"/>
          <w:color w:val="auto"/>
          <w:sz w:val="24"/>
          <w:highlight w:val="none"/>
        </w:rPr>
        <w:t>五、投标说明：</w:t>
      </w:r>
    </w:p>
    <w:p w14:paraId="6C20F58A">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磋商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kern w:val="0"/>
          <w:sz w:val="24"/>
          <w:highlight w:val="none"/>
          <w:u w:val="single"/>
          <w:lang w:val="en-US" w:eastAsia="zh-CN"/>
        </w:rPr>
        <w:t>95763</w:t>
      </w:r>
      <w:r>
        <w:rPr>
          <w:rFonts w:hint="eastAsia" w:ascii="宋体" w:hAnsi="宋体" w:cs="宋体"/>
          <w:color w:val="auto"/>
          <w:kern w:val="0"/>
          <w:sz w:val="24"/>
          <w:highlight w:val="none"/>
          <w:u w:val="single"/>
        </w:rPr>
        <w:t>。</w:t>
      </w:r>
    </w:p>
    <w:p w14:paraId="372F1575">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w:t>
      </w:r>
      <w:r>
        <w:rPr>
          <w:color w:val="auto"/>
          <w:highlight w:val="none"/>
        </w:rPr>
        <w:fldChar w:fldCharType="begin"/>
      </w:r>
      <w:r>
        <w:rPr>
          <w:color w:val="auto"/>
          <w:highlight w:val="none"/>
        </w:rPr>
        <w:instrText xml:space="preserve"> HYPERLINK "http://www.zjzfcg.gov.cn/bidClientTemplate/2019-05-27/12946.html）" </w:instrText>
      </w:r>
      <w:r>
        <w:rPr>
          <w:color w:val="auto"/>
          <w:highlight w:val="none"/>
        </w:rPr>
        <w:fldChar w:fldCharType="separate"/>
      </w:r>
      <w:r>
        <w:rPr>
          <w:rFonts w:hint="eastAsia" w:ascii="宋体" w:hAnsi="宋体" w:cs="宋体"/>
          <w:color w:val="auto"/>
          <w:kern w:val="0"/>
          <w:sz w:val="24"/>
          <w:highlight w:val="none"/>
          <w:u w:val="single"/>
        </w:rPr>
        <w:t>http://zfcg.czt.zj.gov.cn/bidClientTemplate/2019-05-27/12946.html）</w:t>
      </w:r>
      <w:r>
        <w:rPr>
          <w:rFonts w:hint="eastAsia" w:ascii="宋体" w:hAnsi="宋体" w:cs="宋体"/>
          <w:color w:val="auto"/>
          <w:kern w:val="0"/>
          <w:sz w:val="24"/>
          <w:highlight w:val="none"/>
          <w:u w:val="single"/>
        </w:rPr>
        <w:fldChar w:fldCharType="end"/>
      </w:r>
    </w:p>
    <w:p w14:paraId="0087E768">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3.投标人应在开标前完成CA数字证书办理。（办理流程详见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hint="eastAsia" w:ascii="宋体" w:hAnsi="宋体" w:cs="宋体"/>
          <w:color w:val="auto"/>
          <w:kern w:val="0"/>
          <w:sz w:val="24"/>
          <w:highlight w:val="none"/>
          <w:u w:val="single"/>
        </w:rPr>
        <w:t>http://zfcg.czt.zj.gov.cn/bidClientTemplate/2019-05-27/12945.html</w:t>
      </w:r>
      <w:r>
        <w:rPr>
          <w:rFonts w:hint="eastAsia" w:ascii="宋体" w:hAnsi="宋体" w:cs="宋体"/>
          <w:color w:val="auto"/>
          <w:kern w:val="0"/>
          <w:sz w:val="24"/>
          <w:highlight w:val="none"/>
          <w:u w:val="single"/>
        </w:rPr>
        <w:fldChar w:fldCharType="end"/>
      </w:r>
      <w:r>
        <w:rPr>
          <w:rFonts w:hint="eastAsia" w:ascii="宋体" w:hAnsi="宋体" w:cs="宋体"/>
          <w:color w:val="auto"/>
          <w:kern w:val="0"/>
          <w:sz w:val="24"/>
          <w:highlight w:val="none"/>
          <w:u w:val="single"/>
        </w:rPr>
        <w:t>，完成CA数字证书办理预计一周左右，请各投标人自行把握时间）</w:t>
      </w:r>
    </w:p>
    <w:p w14:paraId="548D0A53">
      <w:pPr>
        <w:spacing w:line="360" w:lineRule="auto"/>
        <w:ind w:firstLine="480" w:firstLineChars="200"/>
        <w:rPr>
          <w:rFonts w:ascii="宋体" w:hAnsi="宋体" w:cs="宋体"/>
          <w:color w:val="auto"/>
          <w:kern w:val="0"/>
          <w:sz w:val="24"/>
          <w:highlight w:val="none"/>
          <w:u w:val="single"/>
        </w:rPr>
      </w:pPr>
      <w:r>
        <w:rPr>
          <w:rFonts w:hint="eastAsia" w:ascii="宋体" w:hAnsi="宋体" w:cs="宋体"/>
          <w:bCs/>
          <w:sz w:val="24"/>
          <w:highlight w:val="none"/>
        </w:rPr>
        <w:t>▲</w:t>
      </w:r>
      <w:r>
        <w:rPr>
          <w:rFonts w:hint="eastAsia" w:ascii="宋体" w:hAnsi="宋体" w:cs="宋体"/>
          <w:color w:val="auto"/>
          <w:kern w:val="0"/>
          <w:sz w:val="24"/>
          <w:highlight w:val="none"/>
          <w:u w:val="single"/>
        </w:rPr>
        <w:t>4.</w:t>
      </w:r>
      <w:r>
        <w:rPr>
          <w:rFonts w:hint="eastAsia" w:ascii="宋体" w:hAnsi="宋体" w:cs="宋体"/>
          <w:color w:val="auto"/>
          <w:sz w:val="24"/>
          <w:highlight w:val="none"/>
          <w:u w:val="single"/>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w:t>
      </w:r>
    </w:p>
    <w:p w14:paraId="30049B6A">
      <w:pPr>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5.响应文件的组成、份数、密封、效力</w:t>
      </w:r>
    </w:p>
    <w:p w14:paraId="1C0F565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本项目实行电子投标，供应商应按要求编制、密封、提交电子加密响应文件。</w:t>
      </w:r>
    </w:p>
    <w:p w14:paraId="568EC641">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5.1电子投标文件，按政采云平台项目采购--电子招投标操作指南及本磋商文件要求编制。</w:t>
      </w:r>
    </w:p>
    <w:p w14:paraId="233FD316">
      <w:pPr>
        <w:spacing w:line="360" w:lineRule="auto"/>
        <w:ind w:firstLine="480" w:firstLineChars="200"/>
        <w:rPr>
          <w:rFonts w:ascii="宋体" w:hAnsi="宋体" w:cs="宋体"/>
          <w:sz w:val="24"/>
          <w:highlight w:val="none"/>
          <w:u w:val="single"/>
        </w:rPr>
      </w:pPr>
      <w:bookmarkStart w:id="2" w:name="_Hlk34639647"/>
      <w:r>
        <w:rPr>
          <w:rFonts w:ascii="宋体" w:hAnsi="宋体" w:cs="宋体"/>
          <w:sz w:val="24"/>
          <w:highlight w:val="none"/>
        </w:rPr>
        <w:t>5.2</w:t>
      </w:r>
      <w:r>
        <w:rPr>
          <w:rFonts w:hint="eastAsia" w:ascii="宋体" w:hAnsi="宋体" w:cs="宋体"/>
          <w:sz w:val="24"/>
          <w:highlight w:val="none"/>
          <w:u w:val="single"/>
        </w:rPr>
        <w:t>投标供应商在“政府采购云平台”完成“电子加密投标文件”的上传递交后，还可以在投标截止时间前递交</w:t>
      </w:r>
      <w:r>
        <w:rPr>
          <w:rFonts w:hint="eastAsia" w:ascii="宋体" w:hAnsi="宋体" w:cs="宋体"/>
          <w:sz w:val="24"/>
          <w:highlight w:val="none"/>
          <w:u w:val="single"/>
          <w:lang w:eastAsia="zh-CN"/>
        </w:rPr>
        <w:t>（发送至采购代理机构指定邮箱）</w:t>
      </w:r>
      <w:r>
        <w:rPr>
          <w:rFonts w:hint="eastAsia" w:ascii="宋体" w:hAnsi="宋体" w:cs="宋体"/>
          <w:sz w:val="24"/>
          <w:highlight w:val="none"/>
          <w:u w:val="single"/>
        </w:rPr>
        <w:t>经政采云平台加密处理的、以数据电文形式的 “备份投标文件”，可采用以下方式（逾期</w:t>
      </w:r>
      <w:r>
        <w:rPr>
          <w:rFonts w:hint="eastAsia" w:ascii="宋体" w:hAnsi="宋体" w:cs="宋体"/>
          <w:sz w:val="24"/>
          <w:highlight w:val="none"/>
          <w:u w:val="single"/>
          <w:lang w:eastAsia="zh-CN"/>
        </w:rPr>
        <w:t>递交</w:t>
      </w:r>
      <w:r>
        <w:rPr>
          <w:rFonts w:hint="eastAsia" w:ascii="宋体" w:hAnsi="宋体" w:cs="宋体"/>
          <w:sz w:val="24"/>
          <w:highlight w:val="none"/>
          <w:u w:val="single"/>
        </w:rPr>
        <w:t>将被</w:t>
      </w:r>
      <w:r>
        <w:rPr>
          <w:rFonts w:hint="eastAsia" w:ascii="宋体" w:hAnsi="宋体" w:cs="宋体"/>
          <w:sz w:val="24"/>
          <w:highlight w:val="none"/>
          <w:u w:val="single"/>
          <w:lang w:eastAsia="zh-CN"/>
        </w:rPr>
        <w:t>视为未递交</w:t>
      </w:r>
      <w:r>
        <w:rPr>
          <w:rFonts w:hint="eastAsia" w:ascii="宋体" w:hAnsi="宋体" w:cs="宋体"/>
          <w:sz w:val="24"/>
          <w:highlight w:val="none"/>
          <w:u w:val="single"/>
        </w:rPr>
        <w:t>）：</w:t>
      </w:r>
    </w:p>
    <w:p w14:paraId="0A5FB14C">
      <w:pPr>
        <w:numPr>
          <w:ilvl w:val="0"/>
          <w:numId w:val="0"/>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在磋商截止时间前</w:t>
      </w:r>
      <w:r>
        <w:rPr>
          <w:rFonts w:hint="default" w:ascii="宋体" w:hAnsi="宋体" w:cs="宋体"/>
          <w:sz w:val="24"/>
          <w:highlight w:val="none"/>
          <w:lang w:eastAsia="zh-CN"/>
        </w:rPr>
        <w:t>递交（以邮箱收到时间为准）</w:t>
      </w:r>
      <w:r>
        <w:rPr>
          <w:rFonts w:hint="eastAsia" w:ascii="宋体" w:hAnsi="宋体" w:cs="宋体"/>
          <w:sz w:val="24"/>
          <w:highlight w:val="none"/>
        </w:rPr>
        <w:t>到</w:t>
      </w:r>
      <w:r>
        <w:rPr>
          <w:rFonts w:hint="default" w:ascii="宋体" w:hAnsi="宋体" w:cs="宋体"/>
          <w:sz w:val="24"/>
          <w:highlight w:val="none"/>
          <w:lang w:eastAsia="zh-CN"/>
        </w:rPr>
        <w:t>采购代理机构指定邮箱（投递邮</w:t>
      </w:r>
      <w:r>
        <w:rPr>
          <w:rFonts w:hint="eastAsia" w:ascii="宋体" w:hAnsi="宋体" w:cs="宋体"/>
          <w:snapToGrid w:val="0"/>
          <w:color w:val="000000"/>
          <w:kern w:val="0"/>
          <w:sz w:val="24"/>
          <w:highlight w:val="none"/>
          <w:lang w:eastAsia="zh-CN"/>
        </w:rPr>
        <w:t>箱：</w:t>
      </w:r>
      <w:r>
        <w:rPr>
          <w:rFonts w:hint="eastAsia" w:ascii="宋体" w:hAnsi="宋体" w:cs="宋体"/>
          <w:snapToGrid w:val="0"/>
          <w:color w:val="000000"/>
          <w:kern w:val="0"/>
          <w:sz w:val="24"/>
          <w:highlight w:val="none"/>
          <w:lang w:val="en-US" w:eastAsia="zh-CN"/>
        </w:rPr>
        <w:fldChar w:fldCharType="begin"/>
      </w:r>
      <w:r>
        <w:rPr>
          <w:rFonts w:hint="eastAsia" w:ascii="宋体" w:hAnsi="宋体" w:cs="宋体"/>
          <w:snapToGrid w:val="0"/>
          <w:color w:val="000000"/>
          <w:kern w:val="0"/>
          <w:sz w:val="24"/>
          <w:highlight w:val="none"/>
          <w:lang w:val="en-US" w:eastAsia="zh-CN"/>
        </w:rPr>
        <w:instrText xml:space="preserve"> HYPERLINK "mailto:158031591@qq.com，邮件标题注明投标项目名称、投标单位名称）；" </w:instrText>
      </w:r>
      <w:r>
        <w:rPr>
          <w:rFonts w:hint="eastAsia" w:ascii="宋体" w:hAnsi="宋体" w:cs="宋体"/>
          <w:snapToGrid w:val="0"/>
          <w:color w:val="000000"/>
          <w:kern w:val="0"/>
          <w:sz w:val="24"/>
          <w:highlight w:val="none"/>
          <w:lang w:val="en-US" w:eastAsia="zh-CN"/>
        </w:rPr>
        <w:fldChar w:fldCharType="separate"/>
      </w:r>
      <w:r>
        <w:rPr>
          <w:rStyle w:val="37"/>
          <w:rFonts w:hint="eastAsia" w:ascii="宋体" w:hAnsi="宋体" w:cs="宋体"/>
          <w:snapToGrid w:val="0"/>
          <w:color w:val="000000"/>
          <w:kern w:val="0"/>
          <w:sz w:val="24"/>
          <w:highlight w:val="none"/>
          <w:lang w:val="en-US" w:eastAsia="zh-CN"/>
        </w:rPr>
        <w:t>907539667@qq.com</w:t>
      </w:r>
      <w:r>
        <w:rPr>
          <w:rStyle w:val="37"/>
          <w:rFonts w:hint="eastAsia" w:ascii="宋体" w:hAnsi="宋体" w:cs="宋体"/>
          <w:snapToGrid w:val="0"/>
          <w:color w:val="000000"/>
          <w:kern w:val="0"/>
          <w:sz w:val="24"/>
          <w:highlight w:val="none"/>
          <w:lang w:eastAsia="zh-CN"/>
        </w:rPr>
        <w:t>，</w:t>
      </w:r>
      <w:r>
        <w:rPr>
          <w:rStyle w:val="37"/>
          <w:rFonts w:hint="eastAsia" w:ascii="宋体" w:hAnsi="宋体" w:cs="宋体"/>
          <w:snapToGrid w:val="0"/>
          <w:color w:val="000000"/>
          <w:kern w:val="0"/>
          <w:sz w:val="24"/>
          <w:highlight w:val="none"/>
          <w:lang w:val="en-US" w:eastAsia="zh-CN"/>
        </w:rPr>
        <w:t>邮件标题注明投标项目名称、投标单位名称</w:t>
      </w:r>
      <w:r>
        <w:rPr>
          <w:rStyle w:val="37"/>
          <w:rFonts w:hint="eastAsia" w:ascii="宋体" w:hAnsi="宋体" w:cs="宋体"/>
          <w:snapToGrid w:val="0"/>
          <w:color w:val="000000"/>
          <w:kern w:val="0"/>
          <w:sz w:val="24"/>
          <w:highlight w:val="none"/>
          <w:lang w:eastAsia="zh-CN"/>
        </w:rPr>
        <w:t>）</w:t>
      </w:r>
      <w:r>
        <w:rPr>
          <w:rStyle w:val="37"/>
          <w:rFonts w:hint="eastAsia" w:ascii="宋体" w:hAnsi="宋体" w:cs="宋体"/>
          <w:snapToGrid w:val="0"/>
          <w:color w:val="000000"/>
          <w:kern w:val="0"/>
          <w:sz w:val="24"/>
          <w:highlight w:val="none"/>
        </w:rPr>
        <w:t>；</w:t>
      </w:r>
      <w:r>
        <w:rPr>
          <w:rFonts w:hint="eastAsia" w:ascii="宋体" w:hAnsi="宋体" w:cs="宋体"/>
          <w:snapToGrid w:val="0"/>
          <w:color w:val="000000"/>
          <w:kern w:val="0"/>
          <w:sz w:val="24"/>
          <w:highlight w:val="none"/>
          <w:lang w:val="en-US" w:eastAsia="zh-CN"/>
        </w:rPr>
        <w:fldChar w:fldCharType="end"/>
      </w:r>
    </w:p>
    <w:p w14:paraId="62F82759">
      <w:pPr>
        <w:spacing w:line="360" w:lineRule="auto"/>
        <w:ind w:firstLine="480" w:firstLineChars="200"/>
        <w:rPr>
          <w:rFonts w:hint="eastAsia" w:ascii="宋体" w:hAnsi="宋体" w:cs="宋体"/>
          <w:color w:val="auto"/>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备份响应文件由供应商自行确定是否提交，因备份响应文件未加密而造成失密等情况，采购代理机构概不负责。</w:t>
      </w:r>
      <w:r>
        <w:rPr>
          <w:rFonts w:hint="eastAsia" w:ascii="宋体" w:hAnsi="宋体" w:cs="宋体"/>
          <w:bCs/>
          <w:sz w:val="24"/>
          <w:highlight w:val="none"/>
        </w:rPr>
        <w:t>▲</w:t>
      </w:r>
      <w:r>
        <w:rPr>
          <w:rFonts w:hint="eastAsia" w:ascii="宋体" w:hAnsi="宋体" w:cs="宋体"/>
          <w:sz w:val="24"/>
          <w:highlight w:val="none"/>
        </w:rPr>
        <w:t>未在系统上提交响应文件而仅提交备份响应文件的，其响应无效。</w:t>
      </w:r>
    </w:p>
    <w:p w14:paraId="6AAAFC6F">
      <w:pPr>
        <w:spacing w:line="360" w:lineRule="auto"/>
        <w:ind w:firstLine="480" w:firstLineChars="200"/>
        <w:rPr>
          <w:rFonts w:ascii="宋体" w:hAnsi="宋体" w:cs="宋体"/>
          <w:color w:val="auto"/>
          <w:sz w:val="24"/>
          <w:highlight w:val="none"/>
        </w:rPr>
      </w:pPr>
      <w:r>
        <w:rPr>
          <w:rFonts w:hint="eastAsia" w:ascii="宋体" w:hAnsi="宋体" w:cs="宋体"/>
          <w:bCs/>
          <w:sz w:val="24"/>
          <w:highlight w:val="none"/>
        </w:rPr>
        <w:t>▲</w:t>
      </w:r>
      <w:r>
        <w:rPr>
          <w:rFonts w:hint="eastAsia" w:ascii="宋体" w:hAnsi="宋体" w:cs="宋体"/>
          <w:color w:val="auto"/>
          <w:sz w:val="24"/>
          <w:highlight w:val="none"/>
        </w:rPr>
        <w:t>5.3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14:paraId="3DF19801">
      <w:pPr>
        <w:snapToGrid w:val="0"/>
        <w:spacing w:line="360" w:lineRule="auto"/>
        <w:ind w:firstLine="482" w:firstLineChars="200"/>
        <w:rPr>
          <w:rFonts w:ascii="宋体" w:hAnsi="宋体" w:cs="宋体"/>
          <w:b/>
          <w:bCs/>
          <w:color w:val="auto"/>
          <w:kern w:val="0"/>
          <w:sz w:val="24"/>
          <w:highlight w:val="none"/>
        </w:rPr>
      </w:pPr>
      <w:r>
        <w:rPr>
          <w:rStyle w:val="85"/>
          <w:rFonts w:hint="eastAsia" w:ascii="宋体" w:hAnsi="宋体" w:cs="宋体"/>
          <w:b/>
          <w:bCs/>
          <w:color w:val="auto"/>
          <w:sz w:val="24"/>
          <w:highlight w:val="none"/>
        </w:rPr>
        <w:t>六、</w:t>
      </w:r>
      <w:r>
        <w:rPr>
          <w:rFonts w:hint="eastAsia" w:ascii="宋体" w:hAnsi="宋体" w:cs="宋体"/>
          <w:b/>
          <w:bCs/>
          <w:color w:val="auto"/>
          <w:kern w:val="0"/>
          <w:sz w:val="24"/>
          <w:highlight w:val="none"/>
        </w:rPr>
        <w:t>招</w:t>
      </w:r>
      <w:r>
        <w:rPr>
          <w:rFonts w:hint="eastAsia" w:ascii="宋体" w:hAnsi="宋体" w:cs="宋体"/>
          <w:b/>
          <w:color w:val="auto"/>
          <w:kern w:val="0"/>
          <w:sz w:val="24"/>
          <w:highlight w:val="none"/>
        </w:rPr>
        <w:t>标答疑会：无。</w:t>
      </w:r>
    </w:p>
    <w:p w14:paraId="31C75F05">
      <w:pPr>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响应文件递交截止时间及开标时间、地点：</w:t>
      </w:r>
    </w:p>
    <w:p w14:paraId="52687F73">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1、投标截止时间：</w:t>
      </w:r>
      <w:r>
        <w:rPr>
          <w:rFonts w:hint="eastAsia" w:ascii="宋体" w:hAnsi="宋体" w:cs="宋体"/>
          <w:sz w:val="24"/>
          <w:highlight w:val="none"/>
          <w:lang w:val="en-US" w:eastAsia="zh-CN"/>
        </w:rPr>
        <w:t>2024年11月21日09 时00分（北京时间）</w:t>
      </w:r>
    </w:p>
    <w:p w14:paraId="644702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2、开标时间：</w:t>
      </w:r>
      <w:r>
        <w:rPr>
          <w:rFonts w:hint="eastAsia" w:ascii="宋体" w:hAnsi="宋体" w:cs="宋体"/>
          <w:sz w:val="24"/>
          <w:highlight w:val="none"/>
          <w:lang w:val="en-US" w:eastAsia="zh-CN"/>
        </w:rPr>
        <w:t>2024年11月21日09时00分（北京时间）</w:t>
      </w:r>
      <w:r>
        <w:rPr>
          <w:rFonts w:hint="eastAsia" w:ascii="宋体" w:hAnsi="宋体" w:cs="宋体"/>
          <w:color w:val="auto"/>
          <w:sz w:val="24"/>
          <w:highlight w:val="none"/>
        </w:rPr>
        <w:t xml:space="preserve">    </w:t>
      </w:r>
    </w:p>
    <w:p w14:paraId="2A7123EA">
      <w:pPr>
        <w:pStyle w:val="63"/>
        <w:rPr>
          <w:rFonts w:ascii="宋体" w:hAnsi="宋体" w:cs="宋体"/>
          <w:color w:val="auto"/>
          <w:highlight w:val="none"/>
        </w:rPr>
      </w:pPr>
      <w:r>
        <w:rPr>
          <w:rFonts w:hint="eastAsia" w:ascii="宋体" w:hAnsi="宋体" w:cs="宋体"/>
          <w:color w:val="auto"/>
          <w:sz w:val="24"/>
          <w:highlight w:val="none"/>
        </w:rPr>
        <w:t xml:space="preserve">    3、开标地点：</w:t>
      </w:r>
      <w:r>
        <w:rPr>
          <w:rFonts w:hint="eastAsia" w:ascii="宋体" w:hAnsi="宋体" w:cs="宋体"/>
          <w:sz w:val="24"/>
          <w:highlight w:val="none"/>
        </w:rPr>
        <w:t>政采云电子交易平台</w:t>
      </w:r>
    </w:p>
    <w:p w14:paraId="743D56BF">
      <w:pPr>
        <w:widowControl/>
        <w:spacing w:line="360" w:lineRule="auto"/>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rPr>
        <w:t>八、</w:t>
      </w:r>
      <w:r>
        <w:rPr>
          <w:rFonts w:hint="eastAsia" w:ascii="宋体" w:hAnsi="宋体" w:cs="宋体"/>
          <w:b/>
          <w:color w:val="auto"/>
          <w:kern w:val="0"/>
          <w:sz w:val="24"/>
          <w:highlight w:val="none"/>
        </w:rPr>
        <w:t>根据财库[2016]125号《关于在政府采购活动中查询及使用信用记录有关问题的通知》要求，采购代理机构会对供应商信用记录进行查询并甄别</w:t>
      </w:r>
    </w:p>
    <w:p w14:paraId="373FEBDE">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14:paraId="21EC604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szCs w:val="32"/>
          <w:highlight w:val="none"/>
        </w:rPr>
        <w:t>2）</w:t>
      </w:r>
      <w:r>
        <w:rPr>
          <w:rFonts w:hint="eastAsia" w:ascii="宋体" w:hAnsi="宋体" w:cs="宋体"/>
          <w:color w:val="auto"/>
          <w:kern w:val="0"/>
          <w:sz w:val="24"/>
          <w:highlight w:val="none"/>
        </w:rPr>
        <w:t>查询渠道：“信用中国”（www.creditchina.gov.cn）、“中国政府采购网”（www.ccgp.gov.cn）；</w:t>
      </w:r>
    </w:p>
    <w:p w14:paraId="200090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szCs w:val="32"/>
          <w:highlight w:val="none"/>
        </w:rPr>
        <w:t>3）信用信息查询记录和证据留存具体方式：采购代理机构经办人将查询网页打印与其他项目相关文件一并保存；</w:t>
      </w:r>
    </w:p>
    <w:p w14:paraId="6D0A2F56">
      <w:pPr>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32"/>
          <w:highlight w:val="none"/>
        </w:rPr>
        <w:t>4）</w:t>
      </w:r>
      <w:r>
        <w:rPr>
          <w:rFonts w:hint="eastAsia" w:ascii="宋体" w:hAnsi="宋体" w:cs="宋体"/>
          <w:bCs/>
          <w:sz w:val="24"/>
          <w:highlight w:val="none"/>
        </w:rPr>
        <w:t>▲</w:t>
      </w:r>
      <w:r>
        <w:rPr>
          <w:rFonts w:hint="eastAsia" w:ascii="宋体" w:hAnsi="宋体" w:cs="宋体"/>
          <w:color w:val="auto"/>
          <w:sz w:val="24"/>
          <w:szCs w:val="32"/>
          <w:highlight w:val="none"/>
        </w:rPr>
        <w:t>信用信息的使用规则：投标人存在不良信用记录的，其投标将被作为无效投标被拒绝</w:t>
      </w:r>
      <w:r>
        <w:rPr>
          <w:rFonts w:hint="eastAsia" w:ascii="宋体" w:hAnsi="宋体" w:cs="宋体"/>
          <w:color w:val="auto"/>
          <w:sz w:val="24"/>
          <w:highlight w:val="none"/>
        </w:rPr>
        <w:t xml:space="preserve">； </w:t>
      </w:r>
    </w:p>
    <w:p w14:paraId="5680801C">
      <w:pPr>
        <w:snapToGrid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szCs w:val="32"/>
          <w:highlight w:val="none"/>
        </w:rPr>
        <w:t>5）不良信用记录指：被列入失信被执行人、重大税收违法案件当事人名单、政府采购严重违法失信行为记录名单中尚在行政处罚期内的。</w:t>
      </w:r>
    </w:p>
    <w:p w14:paraId="602F5515">
      <w:pPr>
        <w:snapToGrid w:val="0"/>
        <w:spacing w:line="360" w:lineRule="auto"/>
        <w:ind w:firstLine="482" w:firstLineChars="200"/>
        <w:rPr>
          <w:rFonts w:ascii="宋体" w:hAnsi="宋体" w:cs="宋体"/>
          <w:b/>
          <w:bCs/>
          <w:color w:val="auto"/>
          <w:sz w:val="24"/>
          <w:highlight w:val="none"/>
        </w:rPr>
      </w:pPr>
      <w:r>
        <w:rPr>
          <w:rFonts w:hint="eastAsia" w:ascii="宋体" w:hAnsi="宋体" w:cs="宋体"/>
          <w:b/>
          <w:color w:val="auto"/>
          <w:sz w:val="24"/>
          <w:highlight w:val="none"/>
        </w:rPr>
        <w:t>九、相关注意事项</w:t>
      </w:r>
      <w:r>
        <w:rPr>
          <w:rFonts w:hint="eastAsia" w:ascii="宋体" w:hAnsi="宋体" w:cs="宋体"/>
          <w:color w:val="auto"/>
          <w:sz w:val="24"/>
          <w:highlight w:val="none"/>
        </w:rPr>
        <w:t>：</w:t>
      </w:r>
    </w:p>
    <w:p w14:paraId="30961A14">
      <w:pPr>
        <w:snapToGrid w:val="0"/>
        <w:spacing w:line="360" w:lineRule="auto"/>
        <w:ind w:firstLine="480" w:firstLineChars="200"/>
        <w:rPr>
          <w:rFonts w:ascii="宋体" w:hAnsi="宋体" w:cs="宋体"/>
          <w:color w:val="auto"/>
          <w:sz w:val="24"/>
          <w:highlight w:val="none"/>
        </w:rPr>
      </w:pPr>
      <w:bookmarkStart w:id="3" w:name="_Hlk68701840"/>
      <w:r>
        <w:rPr>
          <w:rFonts w:hint="eastAsia" w:ascii="宋体" w:hAnsi="宋体" w:cs="宋体"/>
          <w:color w:val="auto"/>
          <w:kern w:val="0"/>
          <w:sz w:val="24"/>
          <w:highlight w:val="none"/>
        </w:rPr>
        <w:t>1、</w:t>
      </w:r>
      <w:r>
        <w:rPr>
          <w:rFonts w:hint="eastAsia" w:ascii="宋体" w:hAnsi="宋体" w:cs="宋体"/>
          <w:color w:val="auto"/>
          <w:sz w:val="24"/>
          <w:highlight w:val="none"/>
        </w:rPr>
        <w:t>本项目公告期限为3个工作日。</w:t>
      </w:r>
    </w:p>
    <w:p w14:paraId="53B60AFA">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供应商认为采购文件使自己的权益受到损害的，可以自获取采购文件之日或者采购文件公告期限届满之日起7个工作日内，以书面形式一次性针对同一环节(包括</w:t>
      </w:r>
      <w:r>
        <w:rPr>
          <w:rFonts w:hint="eastAsia" w:ascii="宋体" w:hAnsi="宋体" w:cs="宋体"/>
          <w:kern w:val="0"/>
          <w:sz w:val="24"/>
          <w:highlight w:val="none"/>
        </w:rPr>
        <w:t>后续</w:t>
      </w:r>
      <w:r>
        <w:rPr>
          <w:rFonts w:hint="eastAsia" w:ascii="宋体" w:hAnsi="宋体" w:cs="宋体"/>
          <w:color w:val="auto"/>
          <w:kern w:val="0"/>
          <w:sz w:val="24"/>
          <w:highlight w:val="none"/>
        </w:rPr>
        <w:t>采购过程、中标结果等</w:t>
      </w:r>
      <w:r>
        <w:rPr>
          <w:rFonts w:hint="eastAsia" w:ascii="宋体" w:hAnsi="宋体" w:cs="宋体"/>
          <w:kern w:val="0"/>
          <w:sz w:val="24"/>
          <w:highlight w:val="none"/>
        </w:rPr>
        <w:t>也应一次性在同一环节提出</w:t>
      </w:r>
      <w:r>
        <w:rPr>
          <w:rFonts w:hint="eastAsia" w:ascii="宋体" w:hAnsi="宋体" w:cs="宋体"/>
          <w:color w:val="auto"/>
          <w:kern w:val="0"/>
          <w:sz w:val="24"/>
          <w:highlight w:val="none"/>
        </w:rPr>
        <w:t>)向采购人或采购代理机构提出质疑。否则，被质疑人可不予接受。质疑供应商对采购人、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rPr>
        <w:t>的答复不满意或者采购人、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rPr>
        <w:t>未在规定的时间内作出答复的，可以在答复期满后十五个工作日内向同级政府采购监督管理部门投诉。</w:t>
      </w:r>
      <w:bookmarkEnd w:id="3"/>
    </w:p>
    <w:p w14:paraId="4C0F40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3、根据《浙江省政府采购供应商注册及诚信管理暂行办法》浙财采监【2009】28号文件，请各投标供应商及时办理浙江政府采购网“政府采购供应商注册”手续。</w:t>
      </w:r>
    </w:p>
    <w:p w14:paraId="007DAC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4、参与政府采购活动的注册供应商，需登录浙江政府采购网（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40"/>
          <w:rFonts w:hint="eastAsia" w:ascii="宋体" w:hAnsi="宋体" w:cs="宋体"/>
          <w:color w:val="auto"/>
          <w:sz w:val="24"/>
          <w:highlight w:val="none"/>
        </w:rPr>
        <w:t>http：//zfcg.czt.zj.gov.cn/</w:t>
      </w:r>
      <w:r>
        <w:rPr>
          <w:rStyle w:val="40"/>
          <w:rFonts w:hint="eastAsia" w:ascii="宋体" w:hAnsi="宋体" w:cs="宋体"/>
          <w:color w:val="auto"/>
          <w:sz w:val="24"/>
          <w:highlight w:val="none"/>
        </w:rPr>
        <w:fldChar w:fldCharType="end"/>
      </w:r>
      <w:r>
        <w:rPr>
          <w:rFonts w:hint="eastAsia" w:ascii="宋体" w:hAnsi="宋体" w:cs="宋体"/>
          <w:color w:val="auto"/>
          <w:sz w:val="24"/>
          <w:highlight w:val="none"/>
        </w:rPr>
        <w:t>）进行网上报名；尚未注册的供应商应当先在浙江政府采购网上申请注册，注册终审通过后再进行网上报名。</w:t>
      </w:r>
    </w:p>
    <w:p w14:paraId="7044024E">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5、本项目所有公告发布网站：“浙江政府采购网”（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40"/>
          <w:rFonts w:hint="eastAsia" w:ascii="宋体" w:hAnsi="宋体" w:cs="宋体"/>
          <w:color w:val="auto"/>
          <w:sz w:val="24"/>
          <w:highlight w:val="none"/>
        </w:rPr>
        <w:t>http：//zfcg.czt.zj.gov</w:t>
      </w:r>
      <w:bookmarkStart w:id="4" w:name="_Hlt40273496"/>
      <w:bookmarkStart w:id="5" w:name="_Hlt40273497"/>
      <w:r>
        <w:rPr>
          <w:rStyle w:val="40"/>
          <w:rFonts w:hint="eastAsia" w:ascii="宋体" w:hAnsi="宋体" w:cs="宋体"/>
          <w:color w:val="auto"/>
          <w:sz w:val="24"/>
          <w:highlight w:val="none"/>
        </w:rPr>
        <w:t>.</w:t>
      </w:r>
      <w:bookmarkEnd w:id="4"/>
      <w:bookmarkEnd w:id="5"/>
      <w:r>
        <w:rPr>
          <w:rStyle w:val="40"/>
          <w:rFonts w:hint="eastAsia" w:ascii="宋体" w:hAnsi="宋体" w:cs="宋体"/>
          <w:color w:val="auto"/>
          <w:sz w:val="24"/>
          <w:highlight w:val="none"/>
        </w:rPr>
        <w:t>cn/</w:t>
      </w:r>
      <w:r>
        <w:rPr>
          <w:rStyle w:val="40"/>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color w:val="auto"/>
          <w:kern w:val="0"/>
          <w:sz w:val="24"/>
          <w:highlight w:val="none"/>
        </w:rPr>
        <w:t xml:space="preserve"> </w:t>
      </w:r>
    </w:p>
    <w:p w14:paraId="53AE4969">
      <w:pPr>
        <w:snapToGrid w:val="0"/>
        <w:spacing w:line="360" w:lineRule="auto"/>
        <w:ind w:firstLine="482" w:firstLineChars="200"/>
        <w:rPr>
          <w:rFonts w:ascii="宋体" w:hAnsi="宋体" w:cs="宋体"/>
          <w:color w:val="auto"/>
          <w:kern w:val="0"/>
          <w:sz w:val="24"/>
          <w:highlight w:val="none"/>
        </w:rPr>
      </w:pPr>
      <w:r>
        <w:rPr>
          <w:rFonts w:hint="eastAsia" w:ascii="宋体" w:hAnsi="宋体" w:cs="宋体"/>
          <w:b/>
          <w:bCs/>
          <w:color w:val="auto"/>
          <w:sz w:val="24"/>
          <w:highlight w:val="none"/>
        </w:rPr>
        <w:t>十、</w:t>
      </w:r>
      <w:r>
        <w:rPr>
          <w:rFonts w:hint="eastAsia" w:ascii="宋体" w:hAnsi="宋体" w:cs="宋体"/>
          <w:b/>
          <w:color w:val="auto"/>
          <w:sz w:val="24"/>
          <w:highlight w:val="none"/>
        </w:rPr>
        <w:t>联系方式：</w:t>
      </w:r>
    </w:p>
    <w:p w14:paraId="68981CC4">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（一）采购代理机构</w:t>
      </w:r>
    </w:p>
    <w:p w14:paraId="011731CB">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名称：台州中亿工程管理有限公司</w:t>
      </w:r>
    </w:p>
    <w:p w14:paraId="6648BEBE">
      <w:pPr>
        <w:snapToGrid w:val="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项目联系人：</w:t>
      </w:r>
      <w:r>
        <w:rPr>
          <w:rFonts w:hint="eastAsia" w:ascii="宋体" w:hAnsi="宋体" w:cs="宋体"/>
          <w:color w:val="auto"/>
          <w:kern w:val="0"/>
          <w:sz w:val="24"/>
          <w:highlight w:val="none"/>
          <w:lang w:val="en-US" w:eastAsia="zh-CN"/>
        </w:rPr>
        <w:t>蔡女士</w:t>
      </w:r>
    </w:p>
    <w:p w14:paraId="7652DC80">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联系电话：0576-88832068     </w:t>
      </w:r>
    </w:p>
    <w:p w14:paraId="3BA5B4A7">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地址：台州市椒江区亿嘉路华中大厦1-701</w:t>
      </w:r>
    </w:p>
    <w:p w14:paraId="29FAE64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Calibri Light"/>
          <w:kern w:val="0"/>
          <w:sz w:val="24"/>
          <w:highlight w:val="none"/>
        </w:rPr>
      </w:pPr>
      <w:r>
        <w:rPr>
          <w:rFonts w:hint="eastAsia" w:ascii="宋体" w:hAnsi="宋体" w:cs="Calibri Light"/>
          <w:kern w:val="0"/>
          <w:sz w:val="24"/>
          <w:highlight w:val="none"/>
        </w:rPr>
        <w:t>采购</w:t>
      </w:r>
      <w:r>
        <w:rPr>
          <w:rFonts w:ascii="宋体" w:hAnsi="宋体" w:cs="Calibri Light"/>
          <w:kern w:val="0"/>
          <w:sz w:val="24"/>
          <w:highlight w:val="none"/>
        </w:rPr>
        <w:t>代理机构</w:t>
      </w:r>
      <w:r>
        <w:rPr>
          <w:rFonts w:hint="eastAsia" w:ascii="宋体" w:hAnsi="宋体" w:cs="Calibri Light"/>
          <w:kern w:val="0"/>
          <w:sz w:val="24"/>
          <w:highlight w:val="none"/>
        </w:rPr>
        <w:t>书面质疑接收人：戴</w:t>
      </w:r>
      <w:r>
        <w:rPr>
          <w:rFonts w:hint="eastAsia" w:ascii="宋体" w:hAnsi="宋体" w:eastAsia="宋体" w:cs="Calibri Light"/>
          <w:kern w:val="0"/>
          <w:sz w:val="24"/>
          <w:highlight w:val="none"/>
        </w:rPr>
        <w:t xml:space="preserve">林平 </w:t>
      </w:r>
    </w:p>
    <w:p w14:paraId="61C5192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Calibri Light"/>
          <w:kern w:val="0"/>
          <w:sz w:val="24"/>
          <w:highlight w:val="none"/>
        </w:rPr>
      </w:pPr>
      <w:r>
        <w:rPr>
          <w:rFonts w:hint="eastAsia" w:ascii="宋体" w:hAnsi="宋体" w:eastAsia="宋体" w:cs="Calibri Light"/>
          <w:kern w:val="0"/>
          <w:sz w:val="24"/>
          <w:highlight w:val="none"/>
        </w:rPr>
        <w:t>联系电话：13736686963</w:t>
      </w:r>
    </w:p>
    <w:p w14:paraId="0EB13C9C">
      <w:pPr>
        <w:snapToGrid w:val="0"/>
        <w:spacing w:line="360" w:lineRule="auto"/>
        <w:ind w:firstLine="480" w:firstLineChars="200"/>
        <w:rPr>
          <w:rFonts w:hint="eastAsia" w:ascii="宋体" w:hAnsi="宋体" w:cs="宋体"/>
          <w:b/>
          <w:color w:val="auto"/>
          <w:sz w:val="24"/>
          <w:highlight w:val="none"/>
        </w:rPr>
      </w:pPr>
      <w:r>
        <w:rPr>
          <w:rFonts w:hint="eastAsia" w:ascii="宋体" w:hAnsi="宋体" w:eastAsia="宋体" w:cs="Calibri Light"/>
          <w:kern w:val="0"/>
          <w:sz w:val="24"/>
          <w:highlight w:val="none"/>
        </w:rPr>
        <w:t>书面质疑接收地址：台州市椒江区亿嘉路华中大厦1-701</w:t>
      </w:r>
    </w:p>
    <w:p w14:paraId="0B8BA29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cs="Calibri Light"/>
          <w:b/>
          <w:bCs/>
          <w:kern w:val="0"/>
          <w:sz w:val="24"/>
          <w:highlight w:val="none"/>
        </w:rPr>
      </w:pPr>
      <w:r>
        <w:rPr>
          <w:rFonts w:hint="eastAsia" w:ascii="宋体" w:hAnsi="宋体" w:eastAsia="宋体" w:cs="Calibri Light"/>
          <w:b/>
          <w:bCs/>
          <w:kern w:val="0"/>
          <w:sz w:val="24"/>
          <w:highlight w:val="none"/>
        </w:rPr>
        <w:t>（二）采购人</w:t>
      </w:r>
    </w:p>
    <w:p w14:paraId="317178E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Calibri Light"/>
          <w:kern w:val="0"/>
          <w:sz w:val="24"/>
          <w:highlight w:val="none"/>
          <w:lang w:eastAsia="zh-CN"/>
        </w:rPr>
      </w:pPr>
      <w:r>
        <w:rPr>
          <w:rFonts w:hint="eastAsia" w:ascii="宋体" w:hAnsi="宋体" w:eastAsia="宋体" w:cs="Calibri Light"/>
          <w:kern w:val="0"/>
          <w:sz w:val="24"/>
          <w:highlight w:val="none"/>
        </w:rPr>
        <w:t>名称：</w:t>
      </w:r>
      <w:r>
        <w:rPr>
          <w:rFonts w:hint="eastAsia" w:ascii="宋体" w:hAnsi="宋体" w:eastAsia="宋体" w:cs="Calibri Light"/>
          <w:kern w:val="0"/>
          <w:sz w:val="24"/>
          <w:highlight w:val="none"/>
          <w:lang w:eastAsia="zh-CN"/>
        </w:rPr>
        <w:t>台州市椒江区大陈镇人民政府</w:t>
      </w:r>
    </w:p>
    <w:p w14:paraId="2C98479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Calibri Light"/>
          <w:kern w:val="0"/>
          <w:sz w:val="24"/>
          <w:highlight w:val="none"/>
        </w:rPr>
      </w:pPr>
      <w:r>
        <w:rPr>
          <w:rFonts w:hint="eastAsia" w:ascii="宋体" w:hAnsi="宋体" w:eastAsia="宋体" w:cs="Calibri Light"/>
          <w:kern w:val="0"/>
          <w:sz w:val="24"/>
          <w:highlight w:val="none"/>
        </w:rPr>
        <w:t>联系人：</w:t>
      </w:r>
      <w:r>
        <w:rPr>
          <w:rFonts w:hint="eastAsia" w:ascii="宋体" w:hAnsi="宋体" w:eastAsia="宋体" w:cs="Calibri Light"/>
          <w:kern w:val="0"/>
          <w:sz w:val="24"/>
          <w:highlight w:val="none"/>
          <w:lang w:val="en-US" w:eastAsia="zh-CN"/>
        </w:rPr>
        <w:t xml:space="preserve">崔伟军         </w:t>
      </w:r>
      <w:r>
        <w:rPr>
          <w:rFonts w:hint="eastAsia" w:ascii="宋体" w:hAnsi="宋体" w:eastAsia="宋体" w:cs="Calibri Light"/>
          <w:kern w:val="0"/>
          <w:sz w:val="24"/>
          <w:highlight w:val="none"/>
        </w:rPr>
        <w:t xml:space="preserve">      </w:t>
      </w:r>
    </w:p>
    <w:p w14:paraId="1A5A03C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Calibri Light"/>
          <w:kern w:val="0"/>
          <w:sz w:val="24"/>
          <w:highlight w:val="none"/>
          <w:lang w:eastAsia="zh-CN"/>
        </w:rPr>
      </w:pPr>
      <w:r>
        <w:rPr>
          <w:rFonts w:hint="eastAsia" w:ascii="宋体" w:hAnsi="宋体" w:eastAsia="宋体" w:cs="Calibri Light"/>
          <w:kern w:val="0"/>
          <w:sz w:val="24"/>
          <w:highlight w:val="none"/>
        </w:rPr>
        <w:t>联</w:t>
      </w:r>
      <w:r>
        <w:rPr>
          <w:rFonts w:hint="eastAsia" w:ascii="宋体" w:hAnsi="宋体" w:eastAsia="宋体" w:cs="Calibri Light"/>
          <w:kern w:val="0"/>
          <w:sz w:val="24"/>
          <w:highlight w:val="none"/>
          <w:lang w:eastAsia="zh-CN"/>
        </w:rPr>
        <w:t>系电话：</w:t>
      </w:r>
      <w:r>
        <w:rPr>
          <w:rFonts w:hint="eastAsia" w:ascii="宋体" w:hAnsi="宋体" w:eastAsia="宋体" w:cs="Calibri Light"/>
          <w:kern w:val="0"/>
          <w:sz w:val="24"/>
          <w:highlight w:val="none"/>
          <w:lang w:val="en-US" w:eastAsia="zh-CN"/>
        </w:rPr>
        <w:t>15958625333</w:t>
      </w:r>
    </w:p>
    <w:p w14:paraId="117736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Calibri Light"/>
          <w:kern w:val="0"/>
          <w:sz w:val="24"/>
          <w:highlight w:val="none"/>
          <w:lang w:val="en-US" w:eastAsia="zh-CN"/>
        </w:rPr>
      </w:pPr>
      <w:r>
        <w:rPr>
          <w:rFonts w:hint="eastAsia" w:ascii="宋体" w:hAnsi="宋体" w:eastAsia="宋体" w:cs="Calibri Light"/>
          <w:kern w:val="0"/>
          <w:sz w:val="24"/>
          <w:highlight w:val="none"/>
          <w:lang w:eastAsia="zh-CN"/>
        </w:rPr>
        <w:t>采购人书面质疑接收人：</w:t>
      </w:r>
      <w:r>
        <w:rPr>
          <w:rFonts w:hint="eastAsia" w:ascii="宋体" w:hAnsi="宋体" w:eastAsia="宋体" w:cs="Calibri Light"/>
          <w:kern w:val="0"/>
          <w:sz w:val="24"/>
          <w:highlight w:val="none"/>
          <w:lang w:val="en-US" w:eastAsia="zh-CN"/>
        </w:rPr>
        <w:t xml:space="preserve">王晓军                           </w:t>
      </w:r>
    </w:p>
    <w:p w14:paraId="216A02C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Calibri Light"/>
          <w:kern w:val="0"/>
          <w:sz w:val="24"/>
          <w:highlight w:val="none"/>
          <w:lang w:val="en-US" w:eastAsia="zh-CN"/>
        </w:rPr>
      </w:pPr>
      <w:r>
        <w:rPr>
          <w:rFonts w:hint="eastAsia" w:ascii="宋体" w:hAnsi="宋体" w:eastAsia="宋体" w:cs="Calibri Light"/>
          <w:kern w:val="0"/>
          <w:sz w:val="24"/>
          <w:highlight w:val="none"/>
          <w:lang w:eastAsia="zh-CN"/>
        </w:rPr>
        <w:t>联系电话：13586148614</w:t>
      </w:r>
      <w:r>
        <w:rPr>
          <w:rFonts w:hint="eastAsia" w:ascii="宋体" w:hAnsi="宋体" w:eastAsia="宋体" w:cs="Calibri Light"/>
          <w:kern w:val="0"/>
          <w:sz w:val="24"/>
          <w:highlight w:val="none"/>
          <w:lang w:val="en-US" w:eastAsia="zh-CN"/>
        </w:rPr>
        <w:t xml:space="preserve">     </w:t>
      </w:r>
    </w:p>
    <w:p w14:paraId="49B2FF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Calibri Light"/>
          <w:kern w:val="0"/>
          <w:sz w:val="24"/>
          <w:highlight w:val="none"/>
          <w:lang w:val="en-US" w:eastAsia="zh-CN"/>
        </w:rPr>
      </w:pPr>
      <w:r>
        <w:rPr>
          <w:rFonts w:hint="eastAsia" w:ascii="宋体" w:hAnsi="宋体" w:eastAsia="宋体" w:cs="Calibri Light"/>
          <w:kern w:val="0"/>
          <w:sz w:val="24"/>
          <w:highlight w:val="none"/>
        </w:rPr>
        <w:t>书面质疑接收地址：椒江区青年路404号3号楼</w:t>
      </w:r>
      <w:r>
        <w:rPr>
          <w:rFonts w:hint="eastAsia" w:ascii="宋体" w:hAnsi="宋体" w:eastAsia="宋体" w:cs="Calibri Light"/>
          <w:kern w:val="0"/>
          <w:sz w:val="24"/>
          <w:highlight w:val="none"/>
          <w:lang w:val="en-US" w:eastAsia="zh-CN"/>
        </w:rPr>
        <w:t xml:space="preserve">    </w:t>
      </w:r>
    </w:p>
    <w:p w14:paraId="40CD9CE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（三）同级政府采购监督管理部门</w:t>
      </w:r>
    </w:p>
    <w:bookmarkEnd w:id="1"/>
    <w:p w14:paraId="2CBD9FD1">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名称：台州市椒江区财政局政府采购监管科</w:t>
      </w:r>
    </w:p>
    <w:p w14:paraId="0421BA15">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lang w:eastAsia="zh-CN"/>
        </w:rPr>
        <w:t>王</w:t>
      </w:r>
      <w:r>
        <w:rPr>
          <w:rFonts w:hint="eastAsia" w:ascii="宋体" w:hAnsi="宋体" w:cs="宋体"/>
          <w:color w:val="auto"/>
          <w:kern w:val="0"/>
          <w:sz w:val="24"/>
          <w:highlight w:val="none"/>
        </w:rPr>
        <w:t xml:space="preserve">女士                  </w:t>
      </w:r>
    </w:p>
    <w:p w14:paraId="1281E9B4">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监督投诉电话：</w:t>
      </w:r>
      <w:r>
        <w:rPr>
          <w:rFonts w:hint="eastAsia" w:ascii="宋体" w:hAnsi="宋体" w:cs="Calibri Light"/>
          <w:kern w:val="0"/>
          <w:sz w:val="24"/>
          <w:highlight w:val="none"/>
        </w:rPr>
        <w:t>0576-89069286</w:t>
      </w:r>
    </w:p>
    <w:p w14:paraId="2D62636B">
      <w:pPr>
        <w:snapToGrid w:val="0"/>
        <w:spacing w:line="44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b/>
          <w:color w:val="auto"/>
          <w:sz w:val="24"/>
          <w:highlight w:val="none"/>
        </w:rPr>
        <w:t>（四）其余事项</w:t>
      </w:r>
    </w:p>
    <w:p w14:paraId="51AE5C9C">
      <w:pPr>
        <w:snapToGrid w:val="0"/>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中标人可根据项目情况及自身需求向以下银行申请企业贷款，利率从优。</w:t>
      </w:r>
      <w:r>
        <w:rPr>
          <w:rFonts w:hint="eastAsia" w:ascii="宋体" w:hAnsi="宋体" w:cs="宋体"/>
          <w:color w:val="auto"/>
          <w:kern w:val="0"/>
          <w:sz w:val="23"/>
          <w:szCs w:val="23"/>
          <w:highlight w:val="none"/>
        </w:rPr>
        <w:t> </w:t>
      </w:r>
    </w:p>
    <w:tbl>
      <w:tblPr>
        <w:tblStyle w:val="35"/>
        <w:tblpPr w:leftFromText="180" w:rightFromText="180" w:vertAnchor="text" w:horzAnchor="page" w:tblpXSpec="center" w:tblpY="458"/>
        <w:tblOverlap w:val="never"/>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1585"/>
        <w:gridCol w:w="1677"/>
        <w:gridCol w:w="2550"/>
      </w:tblGrid>
      <w:tr w14:paraId="4E83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98BECF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银行</w:t>
            </w:r>
          </w:p>
        </w:tc>
        <w:tc>
          <w:tcPr>
            <w:tcW w:w="1585" w:type="dxa"/>
            <w:tcBorders>
              <w:top w:val="single" w:color="auto" w:sz="4" w:space="0"/>
              <w:left w:val="single" w:color="auto" w:sz="4" w:space="0"/>
              <w:bottom w:val="single" w:color="auto" w:sz="4" w:space="0"/>
              <w:right w:val="single" w:color="auto" w:sz="4" w:space="0"/>
            </w:tcBorders>
            <w:vAlign w:val="center"/>
          </w:tcPr>
          <w:p w14:paraId="5E976F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贷款年利率</w:t>
            </w:r>
          </w:p>
        </w:tc>
        <w:tc>
          <w:tcPr>
            <w:tcW w:w="1677" w:type="dxa"/>
            <w:tcBorders>
              <w:top w:val="single" w:color="auto" w:sz="4" w:space="0"/>
              <w:left w:val="single" w:color="auto" w:sz="4" w:space="0"/>
              <w:bottom w:val="single" w:color="auto" w:sz="4" w:space="0"/>
              <w:right w:val="single" w:color="auto" w:sz="4" w:space="0"/>
            </w:tcBorders>
            <w:vAlign w:val="center"/>
          </w:tcPr>
          <w:p w14:paraId="195BCAD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50" w:type="dxa"/>
            <w:tcBorders>
              <w:top w:val="single" w:color="auto" w:sz="4" w:space="0"/>
              <w:left w:val="single" w:color="auto" w:sz="4" w:space="0"/>
              <w:bottom w:val="single" w:color="auto" w:sz="4" w:space="0"/>
              <w:right w:val="single" w:color="auto" w:sz="4" w:space="0"/>
            </w:tcBorders>
            <w:vAlign w:val="center"/>
          </w:tcPr>
          <w:p w14:paraId="0E9C8B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联系电话</w:t>
            </w:r>
          </w:p>
        </w:tc>
      </w:tr>
      <w:tr w14:paraId="657A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470E500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中国工商银行</w:t>
            </w:r>
          </w:p>
        </w:tc>
        <w:tc>
          <w:tcPr>
            <w:tcW w:w="1585" w:type="dxa"/>
            <w:tcBorders>
              <w:top w:val="single" w:color="auto" w:sz="4" w:space="0"/>
              <w:left w:val="single" w:color="auto" w:sz="4" w:space="0"/>
              <w:bottom w:val="single" w:color="auto" w:sz="4" w:space="0"/>
              <w:right w:val="single" w:color="auto" w:sz="4" w:space="0"/>
            </w:tcBorders>
            <w:vAlign w:val="center"/>
          </w:tcPr>
          <w:p w14:paraId="552001A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3.8%起</w:t>
            </w:r>
          </w:p>
        </w:tc>
        <w:tc>
          <w:tcPr>
            <w:tcW w:w="1677" w:type="dxa"/>
            <w:tcBorders>
              <w:top w:val="single" w:color="auto" w:sz="4" w:space="0"/>
              <w:left w:val="single" w:color="auto" w:sz="4" w:space="0"/>
              <w:bottom w:val="single" w:color="auto" w:sz="4" w:space="0"/>
              <w:right w:val="single" w:color="auto" w:sz="4" w:space="0"/>
            </w:tcBorders>
            <w:vAlign w:val="center"/>
          </w:tcPr>
          <w:p w14:paraId="62D14B9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王霖</w:t>
            </w:r>
          </w:p>
        </w:tc>
        <w:tc>
          <w:tcPr>
            <w:tcW w:w="2550" w:type="dxa"/>
            <w:tcBorders>
              <w:top w:val="single" w:color="auto" w:sz="4" w:space="0"/>
              <w:left w:val="single" w:color="auto" w:sz="4" w:space="0"/>
              <w:bottom w:val="single" w:color="auto" w:sz="4" w:space="0"/>
              <w:right w:val="single" w:color="auto" w:sz="4" w:space="0"/>
            </w:tcBorders>
            <w:vAlign w:val="center"/>
          </w:tcPr>
          <w:p w14:paraId="095CAC4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88588246、13857654562</w:t>
            </w:r>
          </w:p>
        </w:tc>
      </w:tr>
      <w:tr w14:paraId="7AA0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3FE0FD4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中国农业银行</w:t>
            </w:r>
          </w:p>
        </w:tc>
        <w:tc>
          <w:tcPr>
            <w:tcW w:w="1585" w:type="dxa"/>
            <w:tcBorders>
              <w:top w:val="single" w:color="auto" w:sz="4" w:space="0"/>
              <w:left w:val="single" w:color="auto" w:sz="4" w:space="0"/>
              <w:bottom w:val="single" w:color="auto" w:sz="4" w:space="0"/>
              <w:right w:val="single" w:color="auto" w:sz="4" w:space="0"/>
            </w:tcBorders>
            <w:vAlign w:val="center"/>
          </w:tcPr>
          <w:p w14:paraId="77D51DB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3.8%起</w:t>
            </w:r>
          </w:p>
        </w:tc>
        <w:tc>
          <w:tcPr>
            <w:tcW w:w="1677" w:type="dxa"/>
            <w:tcBorders>
              <w:top w:val="single" w:color="auto" w:sz="4" w:space="0"/>
              <w:left w:val="single" w:color="auto" w:sz="4" w:space="0"/>
              <w:bottom w:val="single" w:color="auto" w:sz="4" w:space="0"/>
              <w:right w:val="single" w:color="auto" w:sz="4" w:space="0"/>
            </w:tcBorders>
            <w:vAlign w:val="center"/>
          </w:tcPr>
          <w:p w14:paraId="4020522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龚盛</w:t>
            </w:r>
          </w:p>
        </w:tc>
        <w:tc>
          <w:tcPr>
            <w:tcW w:w="2550" w:type="dxa"/>
            <w:tcBorders>
              <w:top w:val="single" w:color="auto" w:sz="4" w:space="0"/>
              <w:left w:val="single" w:color="auto" w:sz="4" w:space="0"/>
              <w:bottom w:val="single" w:color="auto" w:sz="4" w:space="0"/>
              <w:right w:val="single" w:color="auto" w:sz="4" w:space="0"/>
            </w:tcBorders>
            <w:vAlign w:val="center"/>
          </w:tcPr>
          <w:p w14:paraId="7AEA02B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15858682216</w:t>
            </w:r>
          </w:p>
        </w:tc>
      </w:tr>
      <w:tr w14:paraId="4CB3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58D6839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中国建设银行</w:t>
            </w:r>
          </w:p>
        </w:tc>
        <w:tc>
          <w:tcPr>
            <w:tcW w:w="1585" w:type="dxa"/>
            <w:tcBorders>
              <w:top w:val="single" w:color="auto" w:sz="4" w:space="0"/>
              <w:left w:val="single" w:color="auto" w:sz="4" w:space="0"/>
              <w:bottom w:val="single" w:color="auto" w:sz="4" w:space="0"/>
              <w:right w:val="single" w:color="auto" w:sz="4" w:space="0"/>
            </w:tcBorders>
            <w:vAlign w:val="center"/>
          </w:tcPr>
          <w:p w14:paraId="2AB4685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3.8%起</w:t>
            </w:r>
          </w:p>
        </w:tc>
        <w:tc>
          <w:tcPr>
            <w:tcW w:w="1677" w:type="dxa"/>
            <w:tcBorders>
              <w:top w:val="single" w:color="auto" w:sz="4" w:space="0"/>
              <w:left w:val="single" w:color="auto" w:sz="4" w:space="0"/>
              <w:bottom w:val="single" w:color="auto" w:sz="4" w:space="0"/>
              <w:right w:val="single" w:color="auto" w:sz="4" w:space="0"/>
            </w:tcBorders>
            <w:vAlign w:val="center"/>
          </w:tcPr>
          <w:p w14:paraId="18E1109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梅晶晶</w:t>
            </w:r>
          </w:p>
        </w:tc>
        <w:tc>
          <w:tcPr>
            <w:tcW w:w="2550" w:type="dxa"/>
            <w:tcBorders>
              <w:top w:val="single" w:color="auto" w:sz="4" w:space="0"/>
              <w:left w:val="single" w:color="auto" w:sz="4" w:space="0"/>
              <w:bottom w:val="single" w:color="auto" w:sz="4" w:space="0"/>
              <w:right w:val="single" w:color="auto" w:sz="4" w:space="0"/>
            </w:tcBorders>
            <w:vAlign w:val="center"/>
          </w:tcPr>
          <w:p w14:paraId="7BFF45B0">
            <w:pPr>
              <w:spacing w:line="360" w:lineRule="auto"/>
              <w:rPr>
                <w:rFonts w:ascii="宋体" w:hAnsi="宋体" w:cs="宋体"/>
                <w:color w:val="auto"/>
                <w:szCs w:val="21"/>
                <w:highlight w:val="none"/>
              </w:rPr>
            </w:pPr>
            <w:r>
              <w:rPr>
                <w:rFonts w:hint="eastAsia" w:ascii="宋体" w:hAnsi="宋体" w:cs="宋体"/>
                <w:color w:val="auto"/>
                <w:szCs w:val="21"/>
                <w:highlight w:val="none"/>
              </w:rPr>
              <w:t>88525339、13736585303</w:t>
            </w:r>
          </w:p>
        </w:tc>
      </w:tr>
      <w:tr w14:paraId="3F26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D9A147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中国银行</w:t>
            </w:r>
          </w:p>
        </w:tc>
        <w:tc>
          <w:tcPr>
            <w:tcW w:w="1585" w:type="dxa"/>
            <w:tcBorders>
              <w:top w:val="single" w:color="auto" w:sz="4" w:space="0"/>
              <w:left w:val="single" w:color="auto" w:sz="4" w:space="0"/>
              <w:bottom w:val="single" w:color="auto" w:sz="4" w:space="0"/>
              <w:right w:val="single" w:color="auto" w:sz="4" w:space="0"/>
            </w:tcBorders>
            <w:vAlign w:val="center"/>
          </w:tcPr>
          <w:p w14:paraId="693BD6F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3.75%起</w:t>
            </w:r>
          </w:p>
        </w:tc>
        <w:tc>
          <w:tcPr>
            <w:tcW w:w="1677" w:type="dxa"/>
            <w:tcBorders>
              <w:top w:val="single" w:color="auto" w:sz="4" w:space="0"/>
              <w:left w:val="single" w:color="auto" w:sz="4" w:space="0"/>
              <w:bottom w:val="single" w:color="auto" w:sz="4" w:space="0"/>
              <w:right w:val="single" w:color="auto" w:sz="4" w:space="0"/>
            </w:tcBorders>
            <w:vAlign w:val="center"/>
          </w:tcPr>
          <w:p w14:paraId="6B88BAB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任茜</w:t>
            </w:r>
          </w:p>
        </w:tc>
        <w:tc>
          <w:tcPr>
            <w:tcW w:w="2550" w:type="dxa"/>
            <w:tcBorders>
              <w:top w:val="single" w:color="auto" w:sz="4" w:space="0"/>
              <w:left w:val="single" w:color="auto" w:sz="4" w:space="0"/>
              <w:bottom w:val="single" w:color="auto" w:sz="4" w:space="0"/>
              <w:right w:val="single" w:color="auto" w:sz="4" w:space="0"/>
            </w:tcBorders>
            <w:vAlign w:val="center"/>
          </w:tcPr>
          <w:p w14:paraId="414B4B0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13857695378</w:t>
            </w:r>
          </w:p>
        </w:tc>
      </w:tr>
      <w:tr w14:paraId="7066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6ECD03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浦发银行台州分行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333E166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4.05%起</w:t>
            </w:r>
          </w:p>
        </w:tc>
        <w:tc>
          <w:tcPr>
            <w:tcW w:w="1677" w:type="dxa"/>
            <w:tcBorders>
              <w:top w:val="single" w:color="auto" w:sz="4" w:space="0"/>
              <w:left w:val="single" w:color="auto" w:sz="4" w:space="0"/>
              <w:bottom w:val="single" w:color="auto" w:sz="4" w:space="0"/>
              <w:right w:val="single" w:color="auto" w:sz="4" w:space="0"/>
            </w:tcBorders>
            <w:vAlign w:val="center"/>
          </w:tcPr>
          <w:p w14:paraId="10D771E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王渊</w:t>
            </w:r>
          </w:p>
        </w:tc>
        <w:tc>
          <w:tcPr>
            <w:tcW w:w="2550" w:type="dxa"/>
            <w:tcBorders>
              <w:top w:val="single" w:color="auto" w:sz="4" w:space="0"/>
              <w:left w:val="single" w:color="auto" w:sz="4" w:space="0"/>
              <w:bottom w:val="single" w:color="auto" w:sz="4" w:space="0"/>
              <w:right w:val="single" w:color="auto" w:sz="4" w:space="0"/>
            </w:tcBorders>
            <w:vAlign w:val="center"/>
          </w:tcPr>
          <w:p w14:paraId="4634532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13616676319</w:t>
            </w:r>
          </w:p>
        </w:tc>
      </w:tr>
      <w:tr w14:paraId="3F76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532E537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浦发银行椒江分行</w:t>
            </w:r>
          </w:p>
        </w:tc>
        <w:tc>
          <w:tcPr>
            <w:tcW w:w="1585" w:type="dxa"/>
            <w:tcBorders>
              <w:top w:val="single" w:color="auto" w:sz="4" w:space="0"/>
              <w:left w:val="single" w:color="auto" w:sz="4" w:space="0"/>
              <w:bottom w:val="single" w:color="auto" w:sz="4" w:space="0"/>
              <w:right w:val="single" w:color="auto" w:sz="4" w:space="0"/>
            </w:tcBorders>
            <w:vAlign w:val="center"/>
          </w:tcPr>
          <w:p w14:paraId="3FDFAB1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4.05%起</w:t>
            </w:r>
          </w:p>
        </w:tc>
        <w:tc>
          <w:tcPr>
            <w:tcW w:w="1677" w:type="dxa"/>
            <w:tcBorders>
              <w:top w:val="single" w:color="auto" w:sz="4" w:space="0"/>
              <w:left w:val="single" w:color="auto" w:sz="4" w:space="0"/>
              <w:bottom w:val="single" w:color="auto" w:sz="4" w:space="0"/>
              <w:right w:val="single" w:color="auto" w:sz="4" w:space="0"/>
            </w:tcBorders>
            <w:vAlign w:val="center"/>
          </w:tcPr>
          <w:p w14:paraId="551E4FF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孙瑞华</w:t>
            </w:r>
          </w:p>
        </w:tc>
        <w:tc>
          <w:tcPr>
            <w:tcW w:w="2550" w:type="dxa"/>
            <w:tcBorders>
              <w:top w:val="single" w:color="auto" w:sz="4" w:space="0"/>
              <w:left w:val="single" w:color="auto" w:sz="4" w:space="0"/>
              <w:bottom w:val="single" w:color="auto" w:sz="4" w:space="0"/>
              <w:right w:val="single" w:color="auto" w:sz="4" w:space="0"/>
            </w:tcBorders>
            <w:vAlign w:val="center"/>
          </w:tcPr>
          <w:p w14:paraId="1098AFC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13857688081</w:t>
            </w:r>
          </w:p>
        </w:tc>
      </w:tr>
      <w:tr w14:paraId="1A89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07FEFA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交通银行台州分行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47EC875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3.75%起</w:t>
            </w:r>
          </w:p>
        </w:tc>
        <w:tc>
          <w:tcPr>
            <w:tcW w:w="1677" w:type="dxa"/>
            <w:tcBorders>
              <w:top w:val="single" w:color="auto" w:sz="4" w:space="0"/>
              <w:left w:val="single" w:color="auto" w:sz="4" w:space="0"/>
              <w:bottom w:val="single" w:color="auto" w:sz="4" w:space="0"/>
              <w:right w:val="single" w:color="auto" w:sz="4" w:space="0"/>
            </w:tcBorders>
            <w:vAlign w:val="center"/>
          </w:tcPr>
          <w:p w14:paraId="0426049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周翔宇</w:t>
            </w:r>
          </w:p>
        </w:tc>
        <w:tc>
          <w:tcPr>
            <w:tcW w:w="2550" w:type="dxa"/>
            <w:tcBorders>
              <w:top w:val="single" w:color="auto" w:sz="4" w:space="0"/>
              <w:left w:val="single" w:color="auto" w:sz="4" w:space="0"/>
              <w:bottom w:val="single" w:color="auto" w:sz="4" w:space="0"/>
              <w:right w:val="single" w:color="auto" w:sz="4" w:space="0"/>
            </w:tcBorders>
            <w:vAlign w:val="center"/>
          </w:tcPr>
          <w:p w14:paraId="3279BF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13867697018</w:t>
            </w:r>
          </w:p>
        </w:tc>
      </w:tr>
      <w:tr w14:paraId="1627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5E07F4F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招商银行台州分行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1631E40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4.32%起</w:t>
            </w:r>
          </w:p>
        </w:tc>
        <w:tc>
          <w:tcPr>
            <w:tcW w:w="1677" w:type="dxa"/>
            <w:tcBorders>
              <w:top w:val="single" w:color="auto" w:sz="4" w:space="0"/>
              <w:left w:val="single" w:color="auto" w:sz="4" w:space="0"/>
              <w:bottom w:val="single" w:color="auto" w:sz="4" w:space="0"/>
              <w:right w:val="single" w:color="auto" w:sz="4" w:space="0"/>
            </w:tcBorders>
            <w:vAlign w:val="center"/>
          </w:tcPr>
          <w:p w14:paraId="7F396E7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王海玲</w:t>
            </w:r>
          </w:p>
        </w:tc>
        <w:tc>
          <w:tcPr>
            <w:tcW w:w="2550" w:type="dxa"/>
            <w:tcBorders>
              <w:top w:val="single" w:color="auto" w:sz="4" w:space="0"/>
              <w:left w:val="single" w:color="auto" w:sz="4" w:space="0"/>
              <w:bottom w:val="single" w:color="auto" w:sz="4" w:space="0"/>
              <w:right w:val="single" w:color="auto" w:sz="4" w:space="0"/>
            </w:tcBorders>
            <w:vAlign w:val="center"/>
          </w:tcPr>
          <w:p w14:paraId="6C0EBA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13566413827</w:t>
            </w:r>
          </w:p>
        </w:tc>
      </w:tr>
      <w:tr w14:paraId="1620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54451F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浙商银行台州分行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52104EC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5.01%起</w:t>
            </w:r>
          </w:p>
        </w:tc>
        <w:tc>
          <w:tcPr>
            <w:tcW w:w="1677" w:type="dxa"/>
            <w:tcBorders>
              <w:top w:val="single" w:color="auto" w:sz="4" w:space="0"/>
              <w:left w:val="single" w:color="auto" w:sz="4" w:space="0"/>
              <w:bottom w:val="single" w:color="auto" w:sz="4" w:space="0"/>
              <w:right w:val="single" w:color="auto" w:sz="4" w:space="0"/>
            </w:tcBorders>
            <w:vAlign w:val="center"/>
          </w:tcPr>
          <w:p w14:paraId="2E1948F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章涉漪</w:t>
            </w:r>
          </w:p>
        </w:tc>
        <w:tc>
          <w:tcPr>
            <w:tcW w:w="2550" w:type="dxa"/>
            <w:tcBorders>
              <w:top w:val="single" w:color="auto" w:sz="4" w:space="0"/>
              <w:left w:val="single" w:color="auto" w:sz="4" w:space="0"/>
              <w:bottom w:val="single" w:color="auto" w:sz="4" w:space="0"/>
              <w:right w:val="single" w:color="auto" w:sz="4" w:space="0"/>
            </w:tcBorders>
            <w:vAlign w:val="center"/>
          </w:tcPr>
          <w:p w14:paraId="7F1C9020">
            <w:pPr>
              <w:spacing w:line="360" w:lineRule="auto"/>
              <w:rPr>
                <w:rFonts w:ascii="宋体" w:hAnsi="宋体" w:cs="宋体"/>
                <w:color w:val="auto"/>
                <w:szCs w:val="21"/>
                <w:highlight w:val="none"/>
              </w:rPr>
            </w:pPr>
            <w:r>
              <w:rPr>
                <w:rFonts w:hint="eastAsia" w:ascii="宋体" w:hAnsi="宋体" w:cs="宋体"/>
                <w:color w:val="auto"/>
                <w:szCs w:val="21"/>
                <w:highlight w:val="none"/>
              </w:rPr>
              <w:t>81880185、13606681262</w:t>
            </w:r>
          </w:p>
        </w:tc>
      </w:tr>
      <w:tr w14:paraId="417D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3F90FC1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中信银行台州分行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4B37509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4.15%起</w:t>
            </w:r>
          </w:p>
        </w:tc>
        <w:tc>
          <w:tcPr>
            <w:tcW w:w="1677" w:type="dxa"/>
            <w:tcBorders>
              <w:top w:val="single" w:color="auto" w:sz="4" w:space="0"/>
              <w:left w:val="single" w:color="auto" w:sz="4" w:space="0"/>
              <w:bottom w:val="single" w:color="auto" w:sz="4" w:space="0"/>
              <w:right w:val="single" w:color="auto" w:sz="4" w:space="0"/>
            </w:tcBorders>
            <w:vAlign w:val="center"/>
          </w:tcPr>
          <w:p w14:paraId="0F3106A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陈金园</w:t>
            </w:r>
          </w:p>
        </w:tc>
        <w:tc>
          <w:tcPr>
            <w:tcW w:w="2550" w:type="dxa"/>
            <w:tcBorders>
              <w:top w:val="single" w:color="auto" w:sz="4" w:space="0"/>
              <w:left w:val="single" w:color="auto" w:sz="4" w:space="0"/>
              <w:bottom w:val="single" w:color="auto" w:sz="4" w:space="0"/>
              <w:right w:val="single" w:color="auto" w:sz="4" w:space="0"/>
            </w:tcBorders>
            <w:vAlign w:val="center"/>
          </w:tcPr>
          <w:p w14:paraId="673B8E5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13586052161</w:t>
            </w:r>
          </w:p>
        </w:tc>
      </w:tr>
      <w:tr w14:paraId="1D9F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5B8F7C9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华夏银行台州分行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262322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4.5%起</w:t>
            </w:r>
          </w:p>
        </w:tc>
        <w:tc>
          <w:tcPr>
            <w:tcW w:w="1677" w:type="dxa"/>
            <w:tcBorders>
              <w:top w:val="single" w:color="auto" w:sz="4" w:space="0"/>
              <w:left w:val="single" w:color="auto" w:sz="4" w:space="0"/>
              <w:bottom w:val="single" w:color="auto" w:sz="4" w:space="0"/>
              <w:right w:val="single" w:color="auto" w:sz="4" w:space="0"/>
            </w:tcBorders>
            <w:vAlign w:val="center"/>
          </w:tcPr>
          <w:p w14:paraId="457438C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邱明达</w:t>
            </w:r>
          </w:p>
        </w:tc>
        <w:tc>
          <w:tcPr>
            <w:tcW w:w="2550" w:type="dxa"/>
            <w:tcBorders>
              <w:top w:val="single" w:color="auto" w:sz="4" w:space="0"/>
              <w:left w:val="single" w:color="auto" w:sz="4" w:space="0"/>
              <w:bottom w:val="single" w:color="auto" w:sz="4" w:space="0"/>
              <w:right w:val="single" w:color="auto" w:sz="4" w:space="0"/>
            </w:tcBorders>
            <w:vAlign w:val="center"/>
          </w:tcPr>
          <w:p w14:paraId="0F7FF093">
            <w:pPr>
              <w:spacing w:line="360" w:lineRule="auto"/>
              <w:rPr>
                <w:rFonts w:ascii="宋体" w:hAnsi="宋体" w:cs="宋体"/>
                <w:color w:val="auto"/>
                <w:szCs w:val="21"/>
                <w:highlight w:val="none"/>
              </w:rPr>
            </w:pPr>
            <w:r>
              <w:rPr>
                <w:rFonts w:hint="eastAsia" w:ascii="宋体" w:hAnsi="宋体" w:cs="宋体"/>
                <w:color w:val="auto"/>
                <w:szCs w:val="21"/>
                <w:highlight w:val="none"/>
              </w:rPr>
              <w:t>81871518、13736252233</w:t>
            </w:r>
          </w:p>
        </w:tc>
      </w:tr>
      <w:tr w14:paraId="4C9C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78C5DF0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泰隆银行开发区支行</w:t>
            </w:r>
          </w:p>
        </w:tc>
        <w:tc>
          <w:tcPr>
            <w:tcW w:w="1585" w:type="dxa"/>
            <w:tcBorders>
              <w:top w:val="single" w:color="auto" w:sz="4" w:space="0"/>
              <w:left w:val="single" w:color="auto" w:sz="4" w:space="0"/>
              <w:bottom w:val="single" w:color="auto" w:sz="4" w:space="0"/>
              <w:right w:val="single" w:color="auto" w:sz="4" w:space="0"/>
            </w:tcBorders>
            <w:vAlign w:val="center"/>
          </w:tcPr>
          <w:p w14:paraId="71B39B4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5.6%起</w:t>
            </w:r>
          </w:p>
        </w:tc>
        <w:tc>
          <w:tcPr>
            <w:tcW w:w="1677" w:type="dxa"/>
            <w:tcBorders>
              <w:top w:val="single" w:color="auto" w:sz="4" w:space="0"/>
              <w:left w:val="single" w:color="auto" w:sz="4" w:space="0"/>
              <w:bottom w:val="single" w:color="auto" w:sz="4" w:space="0"/>
              <w:right w:val="single" w:color="auto" w:sz="4" w:space="0"/>
            </w:tcBorders>
            <w:vAlign w:val="center"/>
          </w:tcPr>
          <w:p w14:paraId="19125F1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梁宛莉</w:t>
            </w:r>
          </w:p>
        </w:tc>
        <w:tc>
          <w:tcPr>
            <w:tcW w:w="2550" w:type="dxa"/>
            <w:tcBorders>
              <w:top w:val="single" w:color="auto" w:sz="4" w:space="0"/>
              <w:left w:val="single" w:color="auto" w:sz="4" w:space="0"/>
              <w:bottom w:val="single" w:color="auto" w:sz="4" w:space="0"/>
              <w:right w:val="single" w:color="auto" w:sz="4" w:space="0"/>
            </w:tcBorders>
            <w:vAlign w:val="center"/>
          </w:tcPr>
          <w:p w14:paraId="5300A60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13306869100</w:t>
            </w:r>
          </w:p>
        </w:tc>
      </w:tr>
      <w:tr w14:paraId="5988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33AA2E5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民泰银行椒江支行</w:t>
            </w:r>
          </w:p>
        </w:tc>
        <w:tc>
          <w:tcPr>
            <w:tcW w:w="1585" w:type="dxa"/>
            <w:tcBorders>
              <w:top w:val="single" w:color="auto" w:sz="4" w:space="0"/>
              <w:left w:val="single" w:color="auto" w:sz="4" w:space="0"/>
              <w:bottom w:val="single" w:color="auto" w:sz="4" w:space="0"/>
              <w:right w:val="single" w:color="auto" w:sz="4" w:space="0"/>
            </w:tcBorders>
            <w:vAlign w:val="center"/>
          </w:tcPr>
          <w:p w14:paraId="4483C40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5.8%起</w:t>
            </w:r>
          </w:p>
        </w:tc>
        <w:tc>
          <w:tcPr>
            <w:tcW w:w="1677" w:type="dxa"/>
            <w:tcBorders>
              <w:top w:val="single" w:color="auto" w:sz="4" w:space="0"/>
              <w:left w:val="single" w:color="auto" w:sz="4" w:space="0"/>
              <w:bottom w:val="single" w:color="auto" w:sz="4" w:space="0"/>
              <w:right w:val="single" w:color="auto" w:sz="4" w:space="0"/>
            </w:tcBorders>
            <w:vAlign w:val="center"/>
          </w:tcPr>
          <w:p w14:paraId="6C28D2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陈慧珠</w:t>
            </w:r>
          </w:p>
        </w:tc>
        <w:tc>
          <w:tcPr>
            <w:tcW w:w="2550" w:type="dxa"/>
            <w:tcBorders>
              <w:top w:val="single" w:color="auto" w:sz="4" w:space="0"/>
              <w:left w:val="single" w:color="auto" w:sz="4" w:space="0"/>
              <w:bottom w:val="single" w:color="auto" w:sz="4" w:space="0"/>
              <w:right w:val="single" w:color="auto" w:sz="4" w:space="0"/>
            </w:tcBorders>
            <w:vAlign w:val="center"/>
          </w:tcPr>
          <w:p w14:paraId="1DE760D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13857699669</w:t>
            </w:r>
          </w:p>
        </w:tc>
      </w:tr>
      <w:tr w14:paraId="62C4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059898A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绍兴银行台州分行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760BC46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5.1%起</w:t>
            </w:r>
          </w:p>
        </w:tc>
        <w:tc>
          <w:tcPr>
            <w:tcW w:w="1677" w:type="dxa"/>
            <w:tcBorders>
              <w:top w:val="single" w:color="auto" w:sz="4" w:space="0"/>
              <w:left w:val="single" w:color="auto" w:sz="4" w:space="0"/>
              <w:bottom w:val="single" w:color="auto" w:sz="4" w:space="0"/>
              <w:right w:val="single" w:color="auto" w:sz="4" w:space="0"/>
            </w:tcBorders>
            <w:vAlign w:val="center"/>
          </w:tcPr>
          <w:p w14:paraId="44F374A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郭庭斌</w:t>
            </w:r>
          </w:p>
        </w:tc>
        <w:tc>
          <w:tcPr>
            <w:tcW w:w="2550" w:type="dxa"/>
            <w:tcBorders>
              <w:top w:val="single" w:color="auto" w:sz="4" w:space="0"/>
              <w:left w:val="single" w:color="auto" w:sz="4" w:space="0"/>
              <w:bottom w:val="single" w:color="auto" w:sz="4" w:space="0"/>
              <w:right w:val="single" w:color="auto" w:sz="4" w:space="0"/>
            </w:tcBorders>
            <w:vAlign w:val="center"/>
          </w:tcPr>
          <w:p w14:paraId="346650C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15958633119</w:t>
            </w:r>
          </w:p>
        </w:tc>
      </w:tr>
      <w:tr w14:paraId="3344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0C7280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温州银行台州分行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2ACE807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4.55%起</w:t>
            </w:r>
          </w:p>
        </w:tc>
        <w:tc>
          <w:tcPr>
            <w:tcW w:w="1677" w:type="dxa"/>
            <w:tcBorders>
              <w:top w:val="single" w:color="auto" w:sz="4" w:space="0"/>
              <w:left w:val="single" w:color="auto" w:sz="4" w:space="0"/>
              <w:bottom w:val="single" w:color="auto" w:sz="4" w:space="0"/>
              <w:right w:val="single" w:color="auto" w:sz="4" w:space="0"/>
            </w:tcBorders>
            <w:vAlign w:val="center"/>
          </w:tcPr>
          <w:p w14:paraId="790C35F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王晓波</w:t>
            </w:r>
          </w:p>
        </w:tc>
        <w:tc>
          <w:tcPr>
            <w:tcW w:w="2550" w:type="dxa"/>
            <w:tcBorders>
              <w:top w:val="single" w:color="auto" w:sz="4" w:space="0"/>
              <w:left w:val="single" w:color="auto" w:sz="4" w:space="0"/>
              <w:bottom w:val="single" w:color="auto" w:sz="4" w:space="0"/>
              <w:right w:val="single" w:color="auto" w:sz="4" w:space="0"/>
            </w:tcBorders>
            <w:vAlign w:val="center"/>
          </w:tcPr>
          <w:p w14:paraId="5FB9B7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15824005475</w:t>
            </w:r>
          </w:p>
        </w:tc>
      </w:tr>
      <w:tr w14:paraId="0799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4D3E2E1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平安银行台州分行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6696CB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6.53%起</w:t>
            </w:r>
          </w:p>
        </w:tc>
        <w:tc>
          <w:tcPr>
            <w:tcW w:w="1677" w:type="dxa"/>
            <w:tcBorders>
              <w:top w:val="single" w:color="auto" w:sz="4" w:space="0"/>
              <w:left w:val="single" w:color="auto" w:sz="4" w:space="0"/>
              <w:bottom w:val="single" w:color="auto" w:sz="4" w:space="0"/>
              <w:right w:val="single" w:color="auto" w:sz="4" w:space="0"/>
            </w:tcBorders>
            <w:vAlign w:val="center"/>
          </w:tcPr>
          <w:p w14:paraId="3723A68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李俊丽</w:t>
            </w:r>
          </w:p>
        </w:tc>
        <w:tc>
          <w:tcPr>
            <w:tcW w:w="2550" w:type="dxa"/>
            <w:tcBorders>
              <w:top w:val="single" w:color="auto" w:sz="4" w:space="0"/>
              <w:left w:val="single" w:color="auto" w:sz="4" w:space="0"/>
              <w:bottom w:val="single" w:color="auto" w:sz="4" w:space="0"/>
              <w:right w:val="single" w:color="auto" w:sz="4" w:space="0"/>
            </w:tcBorders>
            <w:vAlign w:val="center"/>
          </w:tcPr>
          <w:p w14:paraId="44F99A6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15906861025</w:t>
            </w:r>
          </w:p>
        </w:tc>
      </w:tr>
      <w:tr w14:paraId="4681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7C1904A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宁波银行台州分行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3442523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4.35%起</w:t>
            </w:r>
          </w:p>
        </w:tc>
        <w:tc>
          <w:tcPr>
            <w:tcW w:w="1677" w:type="dxa"/>
            <w:tcBorders>
              <w:top w:val="single" w:color="auto" w:sz="4" w:space="0"/>
              <w:left w:val="single" w:color="auto" w:sz="4" w:space="0"/>
              <w:bottom w:val="single" w:color="auto" w:sz="4" w:space="0"/>
              <w:right w:val="single" w:color="auto" w:sz="4" w:space="0"/>
            </w:tcBorders>
            <w:vAlign w:val="center"/>
          </w:tcPr>
          <w:p w14:paraId="6D4569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戴莉丽</w:t>
            </w:r>
          </w:p>
        </w:tc>
        <w:tc>
          <w:tcPr>
            <w:tcW w:w="2550" w:type="dxa"/>
            <w:tcBorders>
              <w:top w:val="single" w:color="auto" w:sz="4" w:space="0"/>
              <w:left w:val="single" w:color="auto" w:sz="4" w:space="0"/>
              <w:bottom w:val="single" w:color="auto" w:sz="4" w:space="0"/>
              <w:right w:val="single" w:color="auto" w:sz="4" w:space="0"/>
            </w:tcBorders>
            <w:vAlign w:val="center"/>
          </w:tcPr>
          <w:p w14:paraId="4D1A077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13566627207</w:t>
            </w:r>
          </w:p>
        </w:tc>
      </w:tr>
      <w:tr w14:paraId="141C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68BBADD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金华银行台州分行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22F17E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4.05%起</w:t>
            </w:r>
          </w:p>
        </w:tc>
        <w:tc>
          <w:tcPr>
            <w:tcW w:w="1677" w:type="dxa"/>
            <w:tcBorders>
              <w:top w:val="single" w:color="auto" w:sz="4" w:space="0"/>
              <w:left w:val="single" w:color="auto" w:sz="4" w:space="0"/>
              <w:bottom w:val="single" w:color="auto" w:sz="4" w:space="0"/>
              <w:right w:val="single" w:color="auto" w:sz="4" w:space="0"/>
            </w:tcBorders>
            <w:vAlign w:val="center"/>
          </w:tcPr>
          <w:p w14:paraId="30BB8AE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金雪婷</w:t>
            </w:r>
          </w:p>
        </w:tc>
        <w:tc>
          <w:tcPr>
            <w:tcW w:w="2550" w:type="dxa"/>
            <w:tcBorders>
              <w:top w:val="single" w:color="auto" w:sz="4" w:space="0"/>
              <w:left w:val="single" w:color="auto" w:sz="4" w:space="0"/>
              <w:bottom w:val="single" w:color="auto" w:sz="4" w:space="0"/>
              <w:right w:val="single" w:color="auto" w:sz="4" w:space="0"/>
            </w:tcBorders>
            <w:vAlign w:val="center"/>
          </w:tcPr>
          <w:p w14:paraId="440FFA95">
            <w:pPr>
              <w:spacing w:line="360" w:lineRule="auto"/>
              <w:rPr>
                <w:rFonts w:ascii="宋体" w:hAnsi="宋体" w:cs="宋体"/>
                <w:color w:val="auto"/>
                <w:szCs w:val="21"/>
                <w:highlight w:val="none"/>
              </w:rPr>
            </w:pPr>
            <w:r>
              <w:rPr>
                <w:rFonts w:hint="eastAsia" w:ascii="宋体" w:hAnsi="宋体" w:cs="宋体"/>
                <w:color w:val="auto"/>
                <w:szCs w:val="21"/>
                <w:highlight w:val="none"/>
              </w:rPr>
              <w:t>81886670、15968661569</w:t>
            </w:r>
          </w:p>
        </w:tc>
      </w:tr>
      <w:tr w14:paraId="0779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678FD42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台州银行</w:t>
            </w:r>
          </w:p>
        </w:tc>
        <w:tc>
          <w:tcPr>
            <w:tcW w:w="1585" w:type="dxa"/>
            <w:tcBorders>
              <w:top w:val="single" w:color="auto" w:sz="4" w:space="0"/>
              <w:left w:val="single" w:color="auto" w:sz="4" w:space="0"/>
              <w:bottom w:val="single" w:color="auto" w:sz="4" w:space="0"/>
              <w:right w:val="single" w:color="auto" w:sz="4" w:space="0"/>
            </w:tcBorders>
            <w:vAlign w:val="center"/>
          </w:tcPr>
          <w:p w14:paraId="2D5E0B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5.6%起</w:t>
            </w:r>
          </w:p>
        </w:tc>
        <w:tc>
          <w:tcPr>
            <w:tcW w:w="1677" w:type="dxa"/>
            <w:tcBorders>
              <w:top w:val="single" w:color="auto" w:sz="4" w:space="0"/>
              <w:left w:val="single" w:color="auto" w:sz="4" w:space="0"/>
              <w:bottom w:val="single" w:color="auto" w:sz="4" w:space="0"/>
              <w:right w:val="single" w:color="auto" w:sz="4" w:space="0"/>
            </w:tcBorders>
            <w:vAlign w:val="center"/>
          </w:tcPr>
          <w:p w14:paraId="2DE62B8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洪婷</w:t>
            </w:r>
          </w:p>
        </w:tc>
        <w:tc>
          <w:tcPr>
            <w:tcW w:w="2550" w:type="dxa"/>
            <w:tcBorders>
              <w:top w:val="single" w:color="auto" w:sz="4" w:space="0"/>
              <w:left w:val="single" w:color="auto" w:sz="4" w:space="0"/>
              <w:bottom w:val="single" w:color="auto" w:sz="4" w:space="0"/>
              <w:right w:val="single" w:color="auto" w:sz="4" w:space="0"/>
            </w:tcBorders>
            <w:vAlign w:val="center"/>
          </w:tcPr>
          <w:p w14:paraId="2F3D185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15858624999</w:t>
            </w:r>
          </w:p>
        </w:tc>
      </w:tr>
      <w:tr w14:paraId="5A1E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774E7CB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邮储银行台州分行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2AF7EC3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3.85%起</w:t>
            </w:r>
          </w:p>
        </w:tc>
        <w:tc>
          <w:tcPr>
            <w:tcW w:w="1677" w:type="dxa"/>
            <w:tcBorders>
              <w:top w:val="single" w:color="auto" w:sz="4" w:space="0"/>
              <w:left w:val="single" w:color="auto" w:sz="4" w:space="0"/>
              <w:bottom w:val="single" w:color="auto" w:sz="4" w:space="0"/>
              <w:right w:val="single" w:color="auto" w:sz="4" w:space="0"/>
            </w:tcBorders>
            <w:vAlign w:val="center"/>
          </w:tcPr>
          <w:p w14:paraId="42FB8F7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董庆</w:t>
            </w:r>
          </w:p>
        </w:tc>
        <w:tc>
          <w:tcPr>
            <w:tcW w:w="2550" w:type="dxa"/>
            <w:tcBorders>
              <w:top w:val="single" w:color="auto" w:sz="4" w:space="0"/>
              <w:left w:val="single" w:color="auto" w:sz="4" w:space="0"/>
              <w:bottom w:val="single" w:color="auto" w:sz="4" w:space="0"/>
              <w:right w:val="single" w:color="auto" w:sz="4" w:space="0"/>
            </w:tcBorders>
            <w:vAlign w:val="center"/>
          </w:tcPr>
          <w:p w14:paraId="45EA6900">
            <w:pPr>
              <w:spacing w:line="360" w:lineRule="auto"/>
              <w:rPr>
                <w:rFonts w:ascii="宋体" w:hAnsi="宋体" w:cs="宋体"/>
                <w:color w:val="auto"/>
                <w:szCs w:val="21"/>
                <w:highlight w:val="none"/>
              </w:rPr>
            </w:pPr>
            <w:r>
              <w:rPr>
                <w:rFonts w:hint="eastAsia" w:ascii="宋体" w:hAnsi="宋体" w:cs="宋体"/>
                <w:color w:val="auto"/>
                <w:szCs w:val="21"/>
                <w:highlight w:val="none"/>
              </w:rPr>
              <w:t>81888982、18957683735</w:t>
            </w:r>
          </w:p>
        </w:tc>
      </w:tr>
    </w:tbl>
    <w:p w14:paraId="084420D4">
      <w:pPr>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合同履约保函联系方式</w:t>
      </w:r>
    </w:p>
    <w:tbl>
      <w:tblPr>
        <w:tblStyle w:val="35"/>
        <w:tblW w:w="89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6"/>
        <w:gridCol w:w="1814"/>
        <w:gridCol w:w="974"/>
        <w:gridCol w:w="1461"/>
      </w:tblGrid>
      <w:tr w14:paraId="7B89D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9917">
            <w:pP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734D">
            <w:pP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2BEE">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E525">
            <w:pP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6F622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14:paraId="06CE079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中国人寿财产保险股份有限公司台州中心支公司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14:paraId="5CF8F50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年费率1%，最低保费500元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14:paraId="2859D1F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徐凌</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14:paraId="6E2BCE9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13905168070</w:t>
            </w:r>
          </w:p>
        </w:tc>
      </w:tr>
      <w:tr w14:paraId="734C9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14:paraId="53CA5FD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永诚财产保险股份有限公司台州分公司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14:paraId="662F36E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年费率1%，最低保费1000元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14:paraId="1A0F4D1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尹刚强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14:paraId="358F893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13750668184</w:t>
            </w:r>
          </w:p>
        </w:tc>
      </w:tr>
      <w:tr w14:paraId="1CA59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14:paraId="20B89D0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华泰财产保险有限公司台州中心支公司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14:paraId="1D6F5FA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年费率0.5%，最低保费1000元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14:paraId="271AB6C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王灵芳</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14:paraId="073EA0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88869818 13586123199</w:t>
            </w:r>
          </w:p>
        </w:tc>
      </w:tr>
      <w:tr w14:paraId="788CD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14:paraId="3609069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中国大地财产保险股份有限公司台州中心支公司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14:paraId="207E784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年费率1.5%，最低保费1000元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14:paraId="7409740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徐小明</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14:paraId="2085EF1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88552788      13968603112</w:t>
            </w:r>
          </w:p>
        </w:tc>
      </w:tr>
      <w:tr w14:paraId="15E43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14:paraId="4AC9C45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阳光保险台州中心支公司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14:paraId="33813A3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年费率1%，最低保费500元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14:paraId="700DF02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林高明</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14:paraId="4C93B41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15888682693</w:t>
            </w:r>
          </w:p>
        </w:tc>
      </w:tr>
      <w:tr w14:paraId="11B92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14:paraId="648EA7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中华联合财产保险股份有限公司台州中心支公司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14:paraId="122001E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年费率2%，最低保费500元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14:paraId="0DBF395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王仙高</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14:paraId="2CA54E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13858600221</w:t>
            </w:r>
          </w:p>
        </w:tc>
      </w:tr>
      <w:tr w14:paraId="4A833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14:paraId="263D7B3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中国人民财产保险股份有限公司台州中心支公司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14:paraId="78A4D71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年费率0.3%，最低保费1000元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14:paraId="17EE8D2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王仙春</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14:paraId="4F43D3A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13515769179</w:t>
            </w:r>
          </w:p>
        </w:tc>
      </w:tr>
      <w:tr w14:paraId="3A635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14:paraId="20607F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永安财产保险股份有限公司台州中心支公司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14:paraId="7CA83D4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年费率0.3%，最低保费1000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14:paraId="5B05617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王春宇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14:paraId="3198E42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13676675331</w:t>
            </w:r>
          </w:p>
        </w:tc>
      </w:tr>
    </w:tbl>
    <w:p w14:paraId="272993C4">
      <w:pPr>
        <w:ind w:firstLine="2720" w:firstLineChars="850"/>
        <w:rPr>
          <w:rFonts w:ascii="宋体" w:hAnsi="宋体" w:cs="宋体"/>
          <w:color w:val="auto"/>
          <w:sz w:val="32"/>
          <w:szCs w:val="32"/>
          <w:highlight w:val="none"/>
        </w:rPr>
      </w:pPr>
      <w:r>
        <w:rPr>
          <w:rFonts w:hint="eastAsia" w:ascii="宋体" w:hAnsi="宋体" w:cs="宋体"/>
          <w:color w:val="auto"/>
          <w:sz w:val="32"/>
          <w:szCs w:val="32"/>
          <w:highlight w:val="none"/>
        </w:rPr>
        <w:t>预付款保函联系方式</w:t>
      </w:r>
    </w:p>
    <w:tbl>
      <w:tblPr>
        <w:tblStyle w:val="35"/>
        <w:tblW w:w="92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92"/>
        <w:gridCol w:w="1808"/>
        <w:gridCol w:w="853"/>
        <w:gridCol w:w="1565"/>
      </w:tblGrid>
      <w:tr w14:paraId="3A767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B7A9">
            <w:pP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E43F">
            <w:pPr>
              <w:jc w:val="center"/>
              <w:rPr>
                <w:rFonts w:ascii="宋体" w:hAnsi="宋体" w:cs="宋体"/>
                <w:color w:val="auto"/>
                <w:highlight w:val="none"/>
              </w:rPr>
            </w:pPr>
            <w:r>
              <w:rPr>
                <w:rFonts w:hint="eastAsia" w:ascii="宋体" w:hAnsi="宋体" w:cs="宋体"/>
                <w:color w:val="auto"/>
                <w:highlight w:val="none"/>
              </w:rPr>
              <w:t>保费率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152C">
            <w:pPr>
              <w:jc w:val="center"/>
              <w:rPr>
                <w:rFonts w:ascii="宋体" w:hAnsi="宋体" w:cs="宋体"/>
                <w:color w:val="auto"/>
                <w:highlight w:val="none"/>
              </w:rPr>
            </w:pPr>
            <w:r>
              <w:rPr>
                <w:rFonts w:hint="eastAsia" w:ascii="宋体" w:hAnsi="宋体" w:cs="宋体"/>
                <w:color w:val="auto"/>
                <w:highlight w:val="none"/>
              </w:rPr>
              <w:t>联系人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4008">
            <w:pPr>
              <w:jc w:val="center"/>
              <w:rPr>
                <w:rFonts w:ascii="宋体" w:hAnsi="宋体" w:cs="宋体"/>
                <w:color w:val="auto"/>
                <w:highlight w:val="none"/>
              </w:rPr>
            </w:pPr>
            <w:r>
              <w:rPr>
                <w:rFonts w:hint="eastAsia" w:ascii="宋体" w:hAnsi="宋体" w:cs="宋体"/>
                <w:color w:val="auto"/>
                <w:highlight w:val="none"/>
              </w:rPr>
              <w:t>联系电话</w:t>
            </w:r>
          </w:p>
        </w:tc>
      </w:tr>
      <w:tr w14:paraId="24390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jc w:val="center"/>
        </w:trPr>
        <w:tc>
          <w:tcPr>
            <w:tcW w:w="4992" w:type="dxa"/>
            <w:tcBorders>
              <w:top w:val="single" w:color="000000" w:sz="4" w:space="0"/>
              <w:left w:val="single" w:color="000000" w:sz="4" w:space="0"/>
              <w:bottom w:val="single" w:color="000000" w:sz="4" w:space="0"/>
              <w:right w:val="single" w:color="000000" w:sz="4" w:space="0"/>
            </w:tcBorders>
            <w:shd w:val="clear" w:color="auto" w:fill="auto"/>
          </w:tcPr>
          <w:p w14:paraId="43AFA03F">
            <w:pPr>
              <w:rPr>
                <w:rFonts w:ascii="宋体" w:hAnsi="宋体" w:cs="宋体"/>
                <w:color w:val="auto"/>
                <w:highlight w:val="none"/>
              </w:rPr>
            </w:pPr>
            <w:r>
              <w:rPr>
                <w:rFonts w:hint="eastAsia" w:ascii="宋体" w:hAnsi="宋体" w:cs="宋体"/>
                <w:color w:val="auto"/>
                <w:highlight w:val="none"/>
              </w:rPr>
              <w:t>中国人寿财产保险股份有限公司台州中心支公司</w:t>
            </w:r>
          </w:p>
        </w:tc>
        <w:tc>
          <w:tcPr>
            <w:tcW w:w="1808" w:type="dxa"/>
            <w:tcBorders>
              <w:top w:val="single" w:color="000000" w:sz="4" w:space="0"/>
              <w:left w:val="single" w:color="000000" w:sz="4" w:space="0"/>
              <w:bottom w:val="single" w:color="000000" w:sz="4" w:space="0"/>
              <w:right w:val="single" w:color="000000" w:sz="4" w:space="0"/>
            </w:tcBorders>
            <w:shd w:val="clear" w:color="auto" w:fill="auto"/>
          </w:tcPr>
          <w:p w14:paraId="6AB6A580">
            <w:pPr>
              <w:rPr>
                <w:rFonts w:ascii="宋体" w:hAnsi="宋体" w:cs="宋体"/>
                <w:color w:val="auto"/>
                <w:highlight w:val="none"/>
              </w:rPr>
            </w:pPr>
            <w:r>
              <w:rPr>
                <w:rFonts w:hint="eastAsia" w:ascii="宋体" w:hAnsi="宋体" w:cs="宋体"/>
                <w:color w:val="auto"/>
                <w:highlight w:val="none"/>
              </w:rPr>
              <w:t>年费率3%，最低保费500元</w:t>
            </w:r>
          </w:p>
        </w:tc>
        <w:tc>
          <w:tcPr>
            <w:tcW w:w="853" w:type="dxa"/>
            <w:tcBorders>
              <w:top w:val="single" w:color="000000" w:sz="4" w:space="0"/>
              <w:left w:val="single" w:color="000000" w:sz="4" w:space="0"/>
              <w:bottom w:val="single" w:color="000000" w:sz="4" w:space="0"/>
              <w:right w:val="single" w:color="000000" w:sz="4" w:space="0"/>
            </w:tcBorders>
            <w:shd w:val="clear" w:color="auto" w:fill="auto"/>
          </w:tcPr>
          <w:p w14:paraId="1BB5ECF0">
            <w:pPr>
              <w:rPr>
                <w:rFonts w:ascii="宋体" w:hAnsi="宋体" w:cs="宋体"/>
                <w:color w:val="auto"/>
                <w:highlight w:val="none"/>
              </w:rPr>
            </w:pPr>
            <w:r>
              <w:rPr>
                <w:rFonts w:hint="eastAsia" w:ascii="宋体" w:hAnsi="宋体" w:cs="宋体"/>
                <w:color w:val="auto"/>
                <w:highlight w:val="none"/>
              </w:rPr>
              <w:t>徐凌</w:t>
            </w:r>
          </w:p>
        </w:tc>
        <w:tc>
          <w:tcPr>
            <w:tcW w:w="1565" w:type="dxa"/>
            <w:tcBorders>
              <w:top w:val="single" w:color="000000" w:sz="4" w:space="0"/>
              <w:left w:val="single" w:color="000000" w:sz="4" w:space="0"/>
              <w:bottom w:val="single" w:color="000000" w:sz="4" w:space="0"/>
              <w:right w:val="single" w:color="000000" w:sz="4" w:space="0"/>
            </w:tcBorders>
            <w:shd w:val="clear" w:color="auto" w:fill="auto"/>
          </w:tcPr>
          <w:p w14:paraId="3569300C">
            <w:pPr>
              <w:rPr>
                <w:rFonts w:ascii="宋体" w:hAnsi="宋体" w:cs="宋体"/>
                <w:color w:val="auto"/>
                <w:highlight w:val="none"/>
              </w:rPr>
            </w:pPr>
            <w:r>
              <w:rPr>
                <w:rFonts w:hint="eastAsia" w:ascii="宋体" w:hAnsi="宋体" w:cs="宋体"/>
                <w:color w:val="auto"/>
                <w:highlight w:val="none"/>
              </w:rPr>
              <w:t>13905168070</w:t>
            </w:r>
          </w:p>
        </w:tc>
      </w:tr>
      <w:tr w14:paraId="30689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4992" w:type="dxa"/>
            <w:tcBorders>
              <w:top w:val="single" w:color="000000" w:sz="4" w:space="0"/>
              <w:left w:val="single" w:color="000000" w:sz="4" w:space="0"/>
              <w:bottom w:val="single" w:color="000000" w:sz="4" w:space="0"/>
              <w:right w:val="single" w:color="000000" w:sz="4" w:space="0"/>
            </w:tcBorders>
            <w:shd w:val="clear" w:color="auto" w:fill="auto"/>
          </w:tcPr>
          <w:p w14:paraId="382386EE">
            <w:pPr>
              <w:rPr>
                <w:rFonts w:ascii="宋体" w:hAnsi="宋体" w:cs="宋体"/>
                <w:color w:val="auto"/>
                <w:highlight w:val="none"/>
              </w:rPr>
            </w:pPr>
            <w:r>
              <w:rPr>
                <w:rFonts w:hint="eastAsia" w:ascii="宋体" w:hAnsi="宋体" w:cs="宋体"/>
                <w:color w:val="auto"/>
                <w:highlight w:val="none"/>
              </w:rPr>
              <w:t>阳光保险台州中心支公司</w:t>
            </w:r>
          </w:p>
        </w:tc>
        <w:tc>
          <w:tcPr>
            <w:tcW w:w="1808" w:type="dxa"/>
            <w:tcBorders>
              <w:top w:val="single" w:color="000000" w:sz="4" w:space="0"/>
              <w:left w:val="single" w:color="000000" w:sz="4" w:space="0"/>
              <w:bottom w:val="single" w:color="000000" w:sz="4" w:space="0"/>
              <w:right w:val="single" w:color="000000" w:sz="4" w:space="0"/>
            </w:tcBorders>
            <w:shd w:val="clear" w:color="auto" w:fill="auto"/>
          </w:tcPr>
          <w:p w14:paraId="07659675">
            <w:pPr>
              <w:rPr>
                <w:rFonts w:ascii="宋体" w:hAnsi="宋体" w:cs="宋体"/>
                <w:color w:val="auto"/>
                <w:highlight w:val="none"/>
              </w:rPr>
            </w:pPr>
            <w:r>
              <w:rPr>
                <w:rFonts w:hint="eastAsia" w:ascii="宋体" w:hAnsi="宋体" w:cs="宋体"/>
                <w:color w:val="auto"/>
                <w:highlight w:val="none"/>
              </w:rPr>
              <w:t>年费率1%，最低保费500元</w:t>
            </w:r>
          </w:p>
        </w:tc>
        <w:tc>
          <w:tcPr>
            <w:tcW w:w="853" w:type="dxa"/>
            <w:tcBorders>
              <w:top w:val="single" w:color="000000" w:sz="4" w:space="0"/>
              <w:left w:val="single" w:color="000000" w:sz="4" w:space="0"/>
              <w:bottom w:val="single" w:color="000000" w:sz="4" w:space="0"/>
              <w:right w:val="single" w:color="000000" w:sz="4" w:space="0"/>
            </w:tcBorders>
            <w:shd w:val="clear" w:color="auto" w:fill="auto"/>
          </w:tcPr>
          <w:p w14:paraId="0E73127A">
            <w:pPr>
              <w:rPr>
                <w:rFonts w:ascii="宋体" w:hAnsi="宋体" w:cs="宋体"/>
                <w:color w:val="auto"/>
                <w:highlight w:val="none"/>
              </w:rPr>
            </w:pPr>
            <w:r>
              <w:rPr>
                <w:rFonts w:hint="eastAsia" w:ascii="宋体" w:hAnsi="宋体" w:cs="宋体"/>
                <w:color w:val="auto"/>
                <w:highlight w:val="none"/>
              </w:rPr>
              <w:t>林高明</w:t>
            </w:r>
          </w:p>
        </w:tc>
        <w:tc>
          <w:tcPr>
            <w:tcW w:w="1565" w:type="dxa"/>
            <w:tcBorders>
              <w:top w:val="single" w:color="000000" w:sz="4" w:space="0"/>
              <w:left w:val="single" w:color="000000" w:sz="4" w:space="0"/>
              <w:bottom w:val="single" w:color="000000" w:sz="4" w:space="0"/>
              <w:right w:val="single" w:color="000000" w:sz="4" w:space="0"/>
            </w:tcBorders>
            <w:shd w:val="clear" w:color="auto" w:fill="auto"/>
          </w:tcPr>
          <w:p w14:paraId="37B571B3">
            <w:pPr>
              <w:rPr>
                <w:rFonts w:ascii="宋体" w:hAnsi="宋体" w:cs="宋体"/>
                <w:color w:val="auto"/>
                <w:highlight w:val="none"/>
              </w:rPr>
            </w:pPr>
            <w:r>
              <w:rPr>
                <w:rFonts w:hint="eastAsia" w:ascii="宋体" w:hAnsi="宋体" w:cs="宋体"/>
                <w:color w:val="auto"/>
                <w:highlight w:val="none"/>
              </w:rPr>
              <w:t>15888682693</w:t>
            </w:r>
          </w:p>
        </w:tc>
      </w:tr>
      <w:tr w14:paraId="59153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4992" w:type="dxa"/>
            <w:tcBorders>
              <w:top w:val="single" w:color="000000" w:sz="4" w:space="0"/>
              <w:left w:val="single" w:color="000000" w:sz="4" w:space="0"/>
              <w:bottom w:val="single" w:color="000000" w:sz="4" w:space="0"/>
              <w:right w:val="single" w:color="000000" w:sz="4" w:space="0"/>
            </w:tcBorders>
            <w:shd w:val="clear" w:color="auto" w:fill="auto"/>
          </w:tcPr>
          <w:p w14:paraId="63283B7A">
            <w:pPr>
              <w:rPr>
                <w:rFonts w:ascii="宋体" w:hAnsi="宋体" w:cs="宋体"/>
                <w:color w:val="auto"/>
                <w:highlight w:val="none"/>
              </w:rPr>
            </w:pPr>
            <w:r>
              <w:rPr>
                <w:rFonts w:hint="eastAsia" w:ascii="宋体" w:hAnsi="宋体" w:cs="宋体"/>
                <w:color w:val="auto"/>
                <w:highlight w:val="none"/>
              </w:rPr>
              <w:t>天安财产保险股份有限公司台州中心支公司</w:t>
            </w:r>
          </w:p>
        </w:tc>
        <w:tc>
          <w:tcPr>
            <w:tcW w:w="1808" w:type="dxa"/>
            <w:tcBorders>
              <w:top w:val="single" w:color="000000" w:sz="4" w:space="0"/>
              <w:left w:val="single" w:color="000000" w:sz="4" w:space="0"/>
              <w:bottom w:val="single" w:color="000000" w:sz="4" w:space="0"/>
              <w:right w:val="single" w:color="000000" w:sz="4" w:space="0"/>
            </w:tcBorders>
            <w:shd w:val="clear" w:color="auto" w:fill="auto"/>
          </w:tcPr>
          <w:p w14:paraId="02A5A237">
            <w:pPr>
              <w:rPr>
                <w:rFonts w:ascii="宋体" w:hAnsi="宋体" w:cs="宋体"/>
                <w:color w:val="auto"/>
                <w:highlight w:val="none"/>
              </w:rPr>
            </w:pPr>
            <w:r>
              <w:rPr>
                <w:rFonts w:hint="eastAsia" w:ascii="宋体" w:hAnsi="宋体" w:cs="宋体"/>
                <w:color w:val="auto"/>
                <w:highlight w:val="none"/>
              </w:rPr>
              <w:t>年费率1%-2%，最低保费500元</w:t>
            </w:r>
          </w:p>
        </w:tc>
        <w:tc>
          <w:tcPr>
            <w:tcW w:w="853" w:type="dxa"/>
            <w:tcBorders>
              <w:top w:val="single" w:color="000000" w:sz="4" w:space="0"/>
              <w:left w:val="single" w:color="000000" w:sz="4" w:space="0"/>
              <w:bottom w:val="single" w:color="000000" w:sz="4" w:space="0"/>
              <w:right w:val="single" w:color="000000" w:sz="4" w:space="0"/>
            </w:tcBorders>
            <w:shd w:val="clear" w:color="auto" w:fill="auto"/>
          </w:tcPr>
          <w:p w14:paraId="41EFF030">
            <w:pPr>
              <w:rPr>
                <w:rFonts w:ascii="宋体" w:hAnsi="宋体" w:cs="宋体"/>
                <w:color w:val="auto"/>
                <w:highlight w:val="none"/>
              </w:rPr>
            </w:pPr>
            <w:r>
              <w:rPr>
                <w:rFonts w:hint="eastAsia" w:ascii="宋体" w:hAnsi="宋体" w:cs="宋体"/>
                <w:color w:val="auto"/>
                <w:highlight w:val="none"/>
              </w:rPr>
              <w:t>罗赛</w:t>
            </w:r>
          </w:p>
        </w:tc>
        <w:tc>
          <w:tcPr>
            <w:tcW w:w="1565" w:type="dxa"/>
            <w:tcBorders>
              <w:top w:val="single" w:color="000000" w:sz="4" w:space="0"/>
              <w:left w:val="single" w:color="000000" w:sz="4" w:space="0"/>
              <w:bottom w:val="single" w:color="000000" w:sz="4" w:space="0"/>
              <w:right w:val="single" w:color="000000" w:sz="4" w:space="0"/>
            </w:tcBorders>
            <w:shd w:val="clear" w:color="auto" w:fill="auto"/>
          </w:tcPr>
          <w:p w14:paraId="1B8CE3E8">
            <w:pPr>
              <w:rPr>
                <w:rFonts w:ascii="宋体" w:hAnsi="宋体" w:cs="宋体"/>
                <w:color w:val="auto"/>
                <w:highlight w:val="none"/>
              </w:rPr>
            </w:pPr>
            <w:r>
              <w:rPr>
                <w:rFonts w:hint="eastAsia" w:ascii="宋体" w:hAnsi="宋体" w:cs="宋体"/>
                <w:color w:val="auto"/>
                <w:highlight w:val="none"/>
              </w:rPr>
              <w:t>13736605643</w:t>
            </w:r>
          </w:p>
        </w:tc>
      </w:tr>
    </w:tbl>
    <w:p w14:paraId="4FAD1ADC">
      <w:pPr>
        <w:pStyle w:val="32"/>
        <w:jc w:val="right"/>
        <w:rPr>
          <w:rFonts w:ascii="宋体" w:hAnsi="Times New Roman" w:cs="宋体"/>
          <w:b w:val="0"/>
          <w:bCs w:val="0"/>
          <w:color w:val="auto"/>
          <w:sz w:val="24"/>
          <w:szCs w:val="24"/>
          <w:highlight w:val="none"/>
        </w:rPr>
      </w:pPr>
      <w:r>
        <w:rPr>
          <w:rFonts w:hint="eastAsia" w:ascii="宋体" w:hAnsi="Times New Roman" w:cs="宋体"/>
          <w:b w:val="0"/>
          <w:bCs w:val="0"/>
          <w:color w:val="auto"/>
          <w:sz w:val="24"/>
          <w:szCs w:val="24"/>
          <w:highlight w:val="none"/>
        </w:rPr>
        <w:t>台州中亿工程管理有限公司</w:t>
      </w:r>
    </w:p>
    <w:p w14:paraId="2C73FE86">
      <w:pPr>
        <w:pStyle w:val="32"/>
        <w:rPr>
          <w:rFonts w:ascii="宋体" w:hAnsi="宋体" w:cs="宋体"/>
          <w:b w:val="0"/>
          <w:bCs w:val="0"/>
          <w:color w:val="auto"/>
          <w:sz w:val="24"/>
          <w:szCs w:val="24"/>
          <w:highlight w:val="none"/>
        </w:rPr>
      </w:pPr>
      <w:r>
        <w:rPr>
          <w:rFonts w:hint="eastAsia" w:ascii="宋体" w:cs="宋体"/>
          <w:color w:val="auto"/>
          <w:sz w:val="24"/>
          <w:highlight w:val="none"/>
        </w:rPr>
        <w:t xml:space="preserve">                                              </w:t>
      </w:r>
      <w:r>
        <w:rPr>
          <w:rFonts w:hint="eastAsia" w:ascii="宋体" w:hAnsi="Times New Roman" w:cs="宋体"/>
          <w:b w:val="0"/>
          <w:bCs w:val="0"/>
          <w:color w:val="auto"/>
          <w:sz w:val="24"/>
          <w:szCs w:val="24"/>
          <w:highlight w:val="none"/>
        </w:rPr>
        <w:t xml:space="preserve">    202</w:t>
      </w:r>
      <w:r>
        <w:rPr>
          <w:rFonts w:hint="eastAsia" w:ascii="宋体" w:hAnsi="Times New Roman" w:cs="宋体"/>
          <w:b w:val="0"/>
          <w:bCs w:val="0"/>
          <w:color w:val="auto"/>
          <w:sz w:val="24"/>
          <w:szCs w:val="24"/>
          <w:highlight w:val="none"/>
          <w:lang w:val="en-US" w:eastAsia="zh-CN"/>
        </w:rPr>
        <w:t>4</w:t>
      </w:r>
      <w:r>
        <w:rPr>
          <w:rFonts w:hint="eastAsia" w:ascii="宋体" w:hAnsi="Times New Roman" w:cs="宋体"/>
          <w:b w:val="0"/>
          <w:bCs w:val="0"/>
          <w:color w:val="auto"/>
          <w:sz w:val="24"/>
          <w:szCs w:val="24"/>
          <w:highlight w:val="none"/>
        </w:rPr>
        <w:t>年</w:t>
      </w:r>
      <w:r>
        <w:rPr>
          <w:rFonts w:hint="eastAsia" w:ascii="宋体" w:hAnsi="Times New Roman" w:cs="宋体"/>
          <w:b w:val="0"/>
          <w:bCs w:val="0"/>
          <w:color w:val="auto"/>
          <w:sz w:val="24"/>
          <w:szCs w:val="24"/>
          <w:highlight w:val="none"/>
          <w:lang w:val="en-US" w:eastAsia="zh-CN"/>
        </w:rPr>
        <w:t>11</w:t>
      </w:r>
      <w:r>
        <w:rPr>
          <w:rFonts w:hint="eastAsia" w:ascii="宋体" w:hAnsi="Times New Roman" w:cs="宋体"/>
          <w:b w:val="0"/>
          <w:bCs w:val="0"/>
          <w:color w:val="auto"/>
          <w:sz w:val="24"/>
          <w:szCs w:val="24"/>
          <w:highlight w:val="none"/>
        </w:rPr>
        <w:t>月</w:t>
      </w:r>
    </w:p>
    <w:p w14:paraId="4CD98FF5">
      <w:pPr>
        <w:widowControl/>
        <w:spacing w:before="60" w:after="60" w:line="360" w:lineRule="auto"/>
        <w:ind w:left="60" w:right="60" w:firstLine="540"/>
        <w:jc w:val="left"/>
        <w:rPr>
          <w:rFonts w:ascii="宋体" w:hAnsi="宋体" w:cs="宋体"/>
          <w:b/>
          <w:color w:val="auto"/>
          <w:sz w:val="36"/>
          <w:szCs w:val="36"/>
          <w:highlight w:val="none"/>
        </w:rPr>
        <w:sectPr>
          <w:pgSz w:w="11906" w:h="16838"/>
          <w:pgMar w:top="1440" w:right="1800" w:bottom="1440" w:left="1800" w:header="851" w:footer="992" w:gutter="0"/>
          <w:cols w:space="720" w:num="1"/>
          <w:docGrid w:type="lines" w:linePitch="312" w:charSpace="0"/>
        </w:sectPr>
      </w:pPr>
      <w:r>
        <w:rPr>
          <w:rFonts w:hint="eastAsia" w:ascii="宋体" w:hAnsi="宋体" w:cs="宋体"/>
          <w:color w:val="auto"/>
          <w:sz w:val="36"/>
          <w:szCs w:val="36"/>
          <w:highlight w:val="none"/>
        </w:rPr>
        <w:br w:type="page"/>
      </w:r>
    </w:p>
    <w:p w14:paraId="707DEB56">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第二章  供应商须知</w:t>
      </w:r>
    </w:p>
    <w:p w14:paraId="1E7E16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前附表</w:t>
      </w:r>
    </w:p>
    <w:tbl>
      <w:tblPr>
        <w:tblStyle w:val="35"/>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380"/>
        <w:gridCol w:w="5950"/>
      </w:tblGrid>
      <w:tr w14:paraId="31C1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7680726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2380" w:type="dxa"/>
            <w:tcBorders>
              <w:top w:val="single" w:color="auto" w:sz="4" w:space="0"/>
              <w:left w:val="single" w:color="auto" w:sz="4" w:space="0"/>
              <w:bottom w:val="single" w:color="auto" w:sz="4" w:space="0"/>
              <w:right w:val="single" w:color="auto" w:sz="4" w:space="0"/>
            </w:tcBorders>
            <w:vAlign w:val="center"/>
          </w:tcPr>
          <w:p w14:paraId="6C54DA1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项    目</w:t>
            </w:r>
          </w:p>
        </w:tc>
        <w:tc>
          <w:tcPr>
            <w:tcW w:w="5950" w:type="dxa"/>
            <w:tcBorders>
              <w:top w:val="single" w:color="auto" w:sz="4" w:space="0"/>
              <w:left w:val="single" w:color="auto" w:sz="4" w:space="0"/>
              <w:bottom w:val="single" w:color="auto" w:sz="4" w:space="0"/>
              <w:right w:val="single" w:color="auto" w:sz="4" w:space="0"/>
            </w:tcBorders>
            <w:vAlign w:val="center"/>
          </w:tcPr>
          <w:p w14:paraId="06ECF44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内                 容</w:t>
            </w:r>
          </w:p>
        </w:tc>
      </w:tr>
      <w:tr w14:paraId="5658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2433470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380" w:type="dxa"/>
            <w:tcBorders>
              <w:top w:val="single" w:color="auto" w:sz="4" w:space="0"/>
              <w:left w:val="single" w:color="auto" w:sz="4" w:space="0"/>
              <w:bottom w:val="single" w:color="auto" w:sz="4" w:space="0"/>
              <w:right w:val="single" w:color="auto" w:sz="4" w:space="0"/>
            </w:tcBorders>
            <w:vAlign w:val="center"/>
          </w:tcPr>
          <w:p w14:paraId="2EC98D0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5950" w:type="dxa"/>
            <w:tcBorders>
              <w:top w:val="single" w:color="auto" w:sz="4" w:space="0"/>
              <w:left w:val="single" w:color="auto" w:sz="4" w:space="0"/>
              <w:bottom w:val="single" w:color="auto" w:sz="4" w:space="0"/>
              <w:right w:val="single" w:color="auto" w:sz="4" w:space="0"/>
            </w:tcBorders>
            <w:vAlign w:val="center"/>
          </w:tcPr>
          <w:p w14:paraId="06A06532">
            <w:pPr>
              <w:spacing w:line="400" w:lineRule="exact"/>
              <w:rPr>
                <w:rFonts w:ascii="宋体" w:hAnsi="宋体" w:cs="宋体"/>
                <w:color w:val="auto"/>
                <w:sz w:val="24"/>
                <w:highlight w:val="none"/>
              </w:rPr>
            </w:pPr>
            <w:r>
              <w:rPr>
                <w:rFonts w:hint="eastAsia" w:ascii="宋体" w:hAnsi="宋体" w:cs="宋体"/>
                <w:color w:val="auto"/>
                <w:sz w:val="24"/>
                <w:highlight w:val="none"/>
              </w:rPr>
              <w:t>符合竞争性磋商公告资格要求的供应商</w:t>
            </w:r>
          </w:p>
        </w:tc>
      </w:tr>
      <w:tr w14:paraId="275E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2711EE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2380" w:type="dxa"/>
            <w:tcBorders>
              <w:top w:val="single" w:color="auto" w:sz="4" w:space="0"/>
              <w:left w:val="single" w:color="auto" w:sz="4" w:space="0"/>
              <w:bottom w:val="single" w:color="auto" w:sz="4" w:space="0"/>
              <w:right w:val="single" w:color="auto" w:sz="4" w:space="0"/>
            </w:tcBorders>
            <w:vAlign w:val="center"/>
          </w:tcPr>
          <w:p w14:paraId="6366B818">
            <w:pPr>
              <w:spacing w:line="400" w:lineRule="exact"/>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5950" w:type="dxa"/>
            <w:tcBorders>
              <w:top w:val="single" w:color="auto" w:sz="4" w:space="0"/>
              <w:left w:val="single" w:color="auto" w:sz="4" w:space="0"/>
              <w:bottom w:val="single" w:color="auto" w:sz="4" w:space="0"/>
              <w:right w:val="single" w:color="auto" w:sz="4" w:space="0"/>
            </w:tcBorders>
            <w:vAlign w:val="center"/>
          </w:tcPr>
          <w:p w14:paraId="69D79668">
            <w:pPr>
              <w:spacing w:line="400" w:lineRule="exact"/>
              <w:rPr>
                <w:rFonts w:ascii="宋体" w:hAnsi="宋体" w:cs="宋体"/>
                <w:color w:val="auto"/>
                <w:sz w:val="24"/>
                <w:highlight w:val="none"/>
              </w:rPr>
            </w:pPr>
            <w:r>
              <w:rPr>
                <w:rFonts w:hint="eastAsia" w:ascii="宋体" w:hAnsi="宋体" w:cs="宋体"/>
                <w:color w:val="auto"/>
                <w:sz w:val="24"/>
                <w:highlight w:val="none"/>
              </w:rPr>
              <w:t>本次采购招标不组织现场勘察。</w:t>
            </w:r>
          </w:p>
        </w:tc>
      </w:tr>
      <w:tr w14:paraId="47D5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416CFE1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2380" w:type="dxa"/>
            <w:tcBorders>
              <w:top w:val="single" w:color="auto" w:sz="4" w:space="0"/>
              <w:left w:val="single" w:color="auto" w:sz="4" w:space="0"/>
              <w:bottom w:val="single" w:color="auto" w:sz="4" w:space="0"/>
              <w:right w:val="single" w:color="auto" w:sz="4" w:space="0"/>
            </w:tcBorders>
            <w:vAlign w:val="center"/>
          </w:tcPr>
          <w:p w14:paraId="52441B7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磋商响应文件（即投标文件）的编制</w:t>
            </w:r>
          </w:p>
        </w:tc>
        <w:tc>
          <w:tcPr>
            <w:tcW w:w="5950" w:type="dxa"/>
            <w:tcBorders>
              <w:top w:val="single" w:color="auto" w:sz="4" w:space="0"/>
              <w:left w:val="single" w:color="auto" w:sz="4" w:space="0"/>
              <w:bottom w:val="single" w:color="auto" w:sz="4" w:space="0"/>
              <w:right w:val="single" w:color="auto" w:sz="4" w:space="0"/>
            </w:tcBorders>
            <w:vAlign w:val="center"/>
          </w:tcPr>
          <w:p w14:paraId="732B0196">
            <w:pPr>
              <w:spacing w:line="400" w:lineRule="exact"/>
              <w:rPr>
                <w:rFonts w:ascii="宋体" w:hAnsi="宋体" w:cs="宋体"/>
                <w:color w:val="auto"/>
                <w:sz w:val="24"/>
                <w:highlight w:val="none"/>
              </w:rPr>
            </w:pPr>
            <w:r>
              <w:rPr>
                <w:rFonts w:hint="eastAsia" w:ascii="宋体" w:hAnsi="宋体" w:cs="宋体"/>
                <w:color w:val="auto"/>
                <w:sz w:val="24"/>
                <w:highlight w:val="none"/>
              </w:rPr>
              <w:t>供应商应先安装“政采云电子交易客户端”，并按照本招标文件和“政府采购云平台”的要求，通过“政采云电子交易客户端”编制并加密投标文件。</w:t>
            </w:r>
          </w:p>
        </w:tc>
      </w:tr>
      <w:tr w14:paraId="4118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724D2FE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2380" w:type="dxa"/>
            <w:tcBorders>
              <w:top w:val="single" w:color="auto" w:sz="4" w:space="0"/>
              <w:left w:val="single" w:color="auto" w:sz="4" w:space="0"/>
              <w:bottom w:val="single" w:color="auto" w:sz="4" w:space="0"/>
              <w:right w:val="single" w:color="auto" w:sz="4" w:space="0"/>
            </w:tcBorders>
            <w:vAlign w:val="center"/>
          </w:tcPr>
          <w:p w14:paraId="06916A1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投标文件的签章</w:t>
            </w:r>
          </w:p>
        </w:tc>
        <w:tc>
          <w:tcPr>
            <w:tcW w:w="5950" w:type="dxa"/>
            <w:tcBorders>
              <w:top w:val="single" w:color="auto" w:sz="4" w:space="0"/>
              <w:left w:val="single" w:color="auto" w:sz="4" w:space="0"/>
              <w:bottom w:val="single" w:color="auto" w:sz="4" w:space="0"/>
              <w:right w:val="single" w:color="auto" w:sz="4" w:space="0"/>
            </w:tcBorders>
            <w:vAlign w:val="center"/>
          </w:tcPr>
          <w:p w14:paraId="3A828CFD">
            <w:pPr>
              <w:spacing w:line="400" w:lineRule="exact"/>
              <w:rPr>
                <w:rFonts w:ascii="宋体" w:hAnsi="宋体" w:cs="宋体"/>
                <w:color w:val="auto"/>
                <w:sz w:val="24"/>
                <w:highlight w:val="none"/>
              </w:rPr>
            </w:pPr>
            <w:r>
              <w:rPr>
                <w:rFonts w:hint="eastAsia" w:ascii="宋体" w:hAnsi="宋体" w:cs="宋体"/>
                <w:color w:val="auto"/>
                <w:sz w:val="24"/>
                <w:highlight w:val="none"/>
              </w:rPr>
              <w:t>电子签章。</w:t>
            </w:r>
          </w:p>
        </w:tc>
      </w:tr>
      <w:tr w14:paraId="6439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1353F1F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2380" w:type="dxa"/>
            <w:tcBorders>
              <w:top w:val="single" w:color="auto" w:sz="4" w:space="0"/>
              <w:left w:val="single" w:color="auto" w:sz="4" w:space="0"/>
              <w:bottom w:val="single" w:color="auto" w:sz="4" w:space="0"/>
              <w:right w:val="single" w:color="auto" w:sz="4" w:space="0"/>
            </w:tcBorders>
            <w:vAlign w:val="center"/>
          </w:tcPr>
          <w:p w14:paraId="2E77405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投标文件的形式</w:t>
            </w:r>
          </w:p>
        </w:tc>
        <w:tc>
          <w:tcPr>
            <w:tcW w:w="5950" w:type="dxa"/>
            <w:tcBorders>
              <w:top w:val="single" w:color="auto" w:sz="4" w:space="0"/>
              <w:left w:val="single" w:color="auto" w:sz="4" w:space="0"/>
              <w:bottom w:val="single" w:color="auto" w:sz="4" w:space="0"/>
              <w:right w:val="single" w:color="auto" w:sz="4" w:space="0"/>
            </w:tcBorders>
            <w:vAlign w:val="center"/>
          </w:tcPr>
          <w:p w14:paraId="55039B87">
            <w:pPr>
              <w:spacing w:line="360" w:lineRule="auto"/>
              <w:rPr>
                <w:rFonts w:ascii="宋体" w:hAnsi="宋体" w:cs="宋体"/>
                <w:color w:val="auto"/>
                <w:sz w:val="24"/>
                <w:highlight w:val="none"/>
              </w:rPr>
            </w:pPr>
            <w:r>
              <w:rPr>
                <w:rFonts w:hint="eastAsia" w:ascii="宋体" w:hAnsi="宋体" w:cs="宋体"/>
                <w:color w:val="auto"/>
                <w:sz w:val="24"/>
                <w:highlight w:val="none"/>
              </w:rPr>
              <w:t>☑电子投标文件（包括“电子加密投标文件”和“备份投标文件”，在投标文件编制完成后同时生成）；</w:t>
            </w:r>
          </w:p>
          <w:p w14:paraId="7932E9E5">
            <w:pPr>
              <w:spacing w:line="360" w:lineRule="auto"/>
              <w:rPr>
                <w:rFonts w:ascii="宋体" w:hAnsi="宋体" w:cs="宋体"/>
                <w:color w:val="auto"/>
                <w:sz w:val="24"/>
                <w:highlight w:val="none"/>
              </w:rPr>
            </w:pPr>
            <w:r>
              <w:rPr>
                <w:rFonts w:hint="eastAsia" w:ascii="宋体" w:hAnsi="宋体" w:cs="宋体"/>
                <w:color w:val="auto"/>
                <w:sz w:val="24"/>
                <w:highlight w:val="none"/>
              </w:rPr>
              <w:t>（1）“电子加密投标文件”是指通过“政采云电子交易客户端”完成投标文件编制后生成并加密的数据电文形式的投标文件。</w:t>
            </w:r>
          </w:p>
          <w:p w14:paraId="67D4C0BB">
            <w:pPr>
              <w:spacing w:line="360" w:lineRule="auto"/>
              <w:rPr>
                <w:rFonts w:ascii="宋体" w:hAnsi="宋体" w:cs="宋体"/>
                <w:color w:val="auto"/>
                <w:sz w:val="24"/>
                <w:highlight w:val="none"/>
              </w:rPr>
            </w:pPr>
            <w:r>
              <w:rPr>
                <w:rFonts w:hint="eastAsia" w:ascii="宋体" w:hAnsi="宋体" w:cs="宋体"/>
                <w:color w:val="auto"/>
                <w:sz w:val="24"/>
                <w:highlight w:val="none"/>
              </w:rPr>
              <w:t>（2）“备份投标文件”是指与“电子加密投标文件”同时生成的数据电文形式的电子文件（备份标书），其他方式编制的备份投标文件视为无效备份投标文件。</w:t>
            </w:r>
          </w:p>
          <w:p w14:paraId="62CC27B7">
            <w:pPr>
              <w:spacing w:line="360" w:lineRule="auto"/>
              <w:rPr>
                <w:rFonts w:ascii="宋体" w:hAnsi="宋体" w:cs="宋体"/>
                <w:color w:val="auto"/>
                <w:sz w:val="24"/>
                <w:highlight w:val="none"/>
              </w:rPr>
            </w:pPr>
            <w:r>
              <w:rPr>
                <w:rFonts w:hint="eastAsia" w:ascii="宋体" w:hAnsi="宋体" w:cs="宋体"/>
                <w:b/>
                <w:bCs/>
                <w:color w:val="auto"/>
                <w:kern w:val="0"/>
                <w:sz w:val="24"/>
                <w:szCs w:val="22"/>
                <w:highlight w:val="none"/>
              </w:rPr>
              <w:t>（</w:t>
            </w:r>
            <w:r>
              <w:rPr>
                <w:rFonts w:hint="eastAsia" w:ascii="宋体" w:hAnsi="宋体" w:cs="宋体"/>
                <w:b/>
                <w:bCs/>
                <w:color w:val="auto"/>
                <w:kern w:val="0"/>
                <w:sz w:val="24"/>
                <w:szCs w:val="22"/>
                <w:highlight w:val="none"/>
                <w:lang w:val="en-US" w:eastAsia="zh-CN"/>
              </w:rPr>
              <w:t>3</w:t>
            </w:r>
            <w:r>
              <w:rPr>
                <w:rFonts w:hint="eastAsia" w:ascii="宋体" w:hAnsi="宋体" w:cs="宋体"/>
                <w:b/>
                <w:bCs/>
                <w:color w:val="auto"/>
                <w:kern w:val="0"/>
                <w:sz w:val="24"/>
                <w:szCs w:val="22"/>
                <w:highlight w:val="none"/>
              </w:rPr>
              <w:t>）中标供应商中标后需提供纸质投标文件给招标代理机构作为备案存档，纸质投标文件系电子投标文件纸质版，两者内容应一致，若提供的纸质不一致导致发生的所有法律责任由中标供应商承担；数量为：资格证明文件6份；商务技术文件6份；报价文件6份。</w:t>
            </w:r>
          </w:p>
        </w:tc>
      </w:tr>
      <w:tr w14:paraId="3EB1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1A3F53A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2380" w:type="dxa"/>
            <w:tcBorders>
              <w:top w:val="single" w:color="auto" w:sz="4" w:space="0"/>
              <w:left w:val="single" w:color="auto" w:sz="4" w:space="0"/>
              <w:bottom w:val="single" w:color="auto" w:sz="4" w:space="0"/>
              <w:right w:val="single" w:color="auto" w:sz="4" w:space="0"/>
            </w:tcBorders>
            <w:vAlign w:val="center"/>
          </w:tcPr>
          <w:p w14:paraId="2356666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投标文件份数</w:t>
            </w:r>
          </w:p>
        </w:tc>
        <w:tc>
          <w:tcPr>
            <w:tcW w:w="5950" w:type="dxa"/>
            <w:tcBorders>
              <w:top w:val="single" w:color="auto" w:sz="4" w:space="0"/>
              <w:left w:val="single" w:color="auto" w:sz="4" w:space="0"/>
              <w:bottom w:val="single" w:color="auto" w:sz="4" w:space="0"/>
              <w:right w:val="single" w:color="auto" w:sz="4" w:space="0"/>
            </w:tcBorders>
            <w:vAlign w:val="center"/>
          </w:tcPr>
          <w:p w14:paraId="1C5F8F65">
            <w:pPr>
              <w:spacing w:line="360" w:lineRule="auto"/>
              <w:rPr>
                <w:rFonts w:ascii="宋体" w:hAnsi="宋体" w:cs="宋体"/>
                <w:color w:val="auto"/>
                <w:sz w:val="24"/>
                <w:highlight w:val="none"/>
              </w:rPr>
            </w:pPr>
            <w:r>
              <w:rPr>
                <w:rFonts w:hint="eastAsia" w:ascii="宋体" w:hAnsi="宋体" w:cs="宋体"/>
                <w:color w:val="auto"/>
                <w:sz w:val="24"/>
                <w:highlight w:val="none"/>
              </w:rPr>
              <w:t>（1）“电子加密投标文件”：在线上传递交一份。</w:t>
            </w:r>
          </w:p>
          <w:p w14:paraId="30AFA406">
            <w:pPr>
              <w:spacing w:line="400" w:lineRule="exact"/>
              <w:rPr>
                <w:rFonts w:ascii="宋体" w:hAnsi="宋体" w:cs="宋体"/>
                <w:color w:val="auto"/>
                <w:sz w:val="24"/>
                <w:highlight w:val="none"/>
              </w:rPr>
            </w:pPr>
            <w:r>
              <w:rPr>
                <w:rFonts w:hint="eastAsia" w:ascii="宋体" w:hAnsi="宋体" w:eastAsia="宋体" w:cs="宋体"/>
                <w:snapToGrid/>
                <w:color w:val="auto"/>
                <w:kern w:val="2"/>
                <w:sz w:val="24"/>
                <w:szCs w:val="24"/>
                <w:highlight w:val="none"/>
                <w:lang w:val="en-US" w:eastAsia="zh-CN" w:bidi="ar-SA"/>
              </w:rPr>
              <w:t>（2）“备份投标文件”：于投标截止时间前递交至采购代理机构指定邮箱(</w:t>
            </w:r>
            <w:r>
              <w:rPr>
                <w:rFonts w:hint="eastAsia" w:ascii="宋体" w:hAnsi="宋体" w:cs="宋体"/>
                <w:b/>
                <w:bCs/>
                <w:snapToGrid/>
                <w:color w:val="auto"/>
                <w:kern w:val="2"/>
                <w:sz w:val="24"/>
                <w:szCs w:val="24"/>
                <w:highlight w:val="none"/>
                <w:lang w:val="en-US" w:eastAsia="zh-CN" w:bidi="ar-SA"/>
              </w:rPr>
              <w:t>907539667@qq.com</w:t>
            </w:r>
            <w:r>
              <w:rPr>
                <w:rFonts w:hint="eastAsia" w:ascii="宋体" w:hAnsi="宋体" w:eastAsia="宋体" w:cs="宋体"/>
                <w:snapToGrid/>
                <w:color w:val="auto"/>
                <w:kern w:val="2"/>
                <w:sz w:val="24"/>
                <w:szCs w:val="24"/>
                <w:highlight w:val="none"/>
                <w:lang w:val="en-US" w:eastAsia="zh-CN" w:bidi="ar-SA"/>
              </w:rPr>
              <w:t>)。备份响应文件由供应商自行确定是否提交，因备份响应文件未加密而造成失密等情况，采购代理机构概不负责。</w:t>
            </w:r>
            <w:r>
              <w:rPr>
                <w:rFonts w:hint="eastAsia" w:ascii="宋体" w:hAnsi="宋体" w:cs="宋体"/>
                <w:bCs/>
                <w:sz w:val="24"/>
                <w:highlight w:val="none"/>
              </w:rPr>
              <w:t>▲</w:t>
            </w:r>
            <w:r>
              <w:rPr>
                <w:rFonts w:hint="eastAsia" w:ascii="宋体" w:hAnsi="宋体" w:eastAsia="宋体" w:cs="宋体"/>
                <w:snapToGrid/>
                <w:color w:val="auto"/>
                <w:kern w:val="2"/>
                <w:sz w:val="24"/>
                <w:szCs w:val="24"/>
                <w:highlight w:val="none"/>
                <w:lang w:val="en-US" w:eastAsia="zh-CN" w:bidi="ar-SA"/>
              </w:rPr>
              <w:t>未在系统上提交响应文件而仅提交备份响应文件的，其响应无效。</w:t>
            </w:r>
          </w:p>
        </w:tc>
      </w:tr>
      <w:tr w14:paraId="469A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D81E05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2380" w:type="dxa"/>
            <w:tcBorders>
              <w:top w:val="single" w:color="auto" w:sz="4" w:space="0"/>
              <w:left w:val="single" w:color="auto" w:sz="4" w:space="0"/>
              <w:bottom w:val="single" w:color="auto" w:sz="4" w:space="0"/>
              <w:right w:val="single" w:color="auto" w:sz="4" w:space="0"/>
            </w:tcBorders>
            <w:vAlign w:val="center"/>
          </w:tcPr>
          <w:p w14:paraId="45F49A9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投标文件的上传和递交</w:t>
            </w:r>
          </w:p>
        </w:tc>
        <w:tc>
          <w:tcPr>
            <w:tcW w:w="5950" w:type="dxa"/>
            <w:tcBorders>
              <w:top w:val="single" w:color="auto" w:sz="4" w:space="0"/>
              <w:left w:val="single" w:color="auto" w:sz="4" w:space="0"/>
              <w:bottom w:val="single" w:color="auto" w:sz="4" w:space="0"/>
              <w:right w:val="single" w:color="auto" w:sz="4" w:space="0"/>
            </w:tcBorders>
            <w:vAlign w:val="center"/>
          </w:tcPr>
          <w:p w14:paraId="3A811AC4">
            <w:pPr>
              <w:spacing w:line="360" w:lineRule="auto"/>
              <w:rPr>
                <w:rFonts w:ascii="宋体" w:hAnsi="宋体" w:cs="宋体"/>
                <w:color w:val="auto"/>
                <w:sz w:val="24"/>
                <w:highlight w:val="none"/>
              </w:rPr>
            </w:pPr>
            <w:r>
              <w:rPr>
                <w:rFonts w:hint="eastAsia" w:ascii="宋体" w:hAnsi="宋体" w:cs="宋体"/>
                <w:color w:val="auto"/>
                <w:sz w:val="24"/>
                <w:highlight w:val="none"/>
              </w:rPr>
              <w:t>（1）“电子加密投标文件”的上传、递交：</w:t>
            </w:r>
          </w:p>
          <w:p w14:paraId="5D6BAD41">
            <w:pPr>
              <w:spacing w:line="360" w:lineRule="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a.投标供应商应在投标截止时间前将“电子加密投标文件”成功上传递交至“政府采购云平台”，否则投标无效。</w:t>
            </w:r>
          </w:p>
          <w:p w14:paraId="04C2D741">
            <w:pPr>
              <w:spacing w:line="360" w:lineRule="auto"/>
              <w:rPr>
                <w:rFonts w:ascii="宋体" w:hAnsi="宋体" w:cs="宋体"/>
                <w:color w:val="auto"/>
                <w:sz w:val="24"/>
                <w:highlight w:val="none"/>
              </w:rPr>
            </w:pPr>
            <w:r>
              <w:rPr>
                <w:rFonts w:hint="eastAsia" w:ascii="宋体" w:hAnsi="宋体" w:cs="宋体"/>
                <w:color w:val="auto"/>
                <w:sz w:val="24"/>
                <w:highlight w:val="none"/>
              </w:rPr>
              <w:t>b.“电子加密投标文件”成功上传递交后，供应商可自行打印投标文件接收回执。</w:t>
            </w:r>
          </w:p>
          <w:p w14:paraId="299FE178">
            <w:pPr>
              <w:spacing w:line="360" w:lineRule="auto"/>
              <w:rPr>
                <w:rFonts w:ascii="宋体" w:hAnsi="宋体" w:cs="宋体"/>
                <w:color w:val="auto"/>
                <w:sz w:val="24"/>
                <w:highlight w:val="none"/>
              </w:rPr>
            </w:pPr>
            <w:r>
              <w:rPr>
                <w:rFonts w:hint="eastAsia" w:ascii="宋体" w:hAnsi="宋体" w:cs="宋体"/>
                <w:color w:val="auto"/>
                <w:sz w:val="24"/>
                <w:highlight w:val="none"/>
              </w:rPr>
              <w:t>（2）“备份投标文件”的递交：</w:t>
            </w:r>
          </w:p>
          <w:p w14:paraId="0A049B2D">
            <w:pPr>
              <w:spacing w:line="360" w:lineRule="auto"/>
              <w:rPr>
                <w:rFonts w:ascii="宋体" w:hAnsi="宋体" w:cs="宋体"/>
                <w:color w:val="auto"/>
                <w:sz w:val="24"/>
                <w:highlight w:val="none"/>
              </w:rPr>
            </w:pPr>
            <w:r>
              <w:rPr>
                <w:rFonts w:hint="eastAsia" w:ascii="宋体" w:hAnsi="宋体" w:cs="宋体"/>
                <w:color w:val="auto"/>
                <w:sz w:val="24"/>
                <w:highlight w:val="none"/>
              </w:rPr>
              <w:t>a.投标供应商在“政府采购云平台”完成“电子加密投标文件”的上传递交后，还可以在投标截止时间前</w:t>
            </w:r>
            <w:r>
              <w:rPr>
                <w:rFonts w:hint="eastAsia" w:ascii="宋体" w:hAnsi="宋体" w:cs="宋体"/>
                <w:color w:val="auto"/>
                <w:sz w:val="24"/>
                <w:highlight w:val="none"/>
                <w:lang w:eastAsia="zh-CN"/>
              </w:rPr>
              <w:t>以邮件方式</w:t>
            </w:r>
            <w:r>
              <w:rPr>
                <w:rFonts w:hint="eastAsia" w:ascii="宋体" w:hAnsi="宋体" w:cs="宋体"/>
                <w:color w:val="auto"/>
                <w:sz w:val="24"/>
                <w:highlight w:val="none"/>
              </w:rPr>
              <w:t>递交 “备份投标文件”（一份）</w:t>
            </w:r>
            <w:r>
              <w:rPr>
                <w:rFonts w:hint="eastAsia" w:ascii="宋体" w:hAnsi="宋体" w:cs="宋体"/>
                <w:color w:val="auto"/>
                <w:sz w:val="24"/>
                <w:highlight w:val="none"/>
                <w:lang w:eastAsia="zh-CN"/>
              </w:rPr>
              <w:t>（投递邮箱：</w:t>
            </w:r>
            <w:r>
              <w:rPr>
                <w:rFonts w:hint="eastAsia" w:ascii="宋体" w:hAnsi="宋体" w:cs="宋体"/>
                <w:color w:val="auto"/>
                <w:sz w:val="24"/>
                <w:highlight w:val="none"/>
                <w:lang w:val="en-US" w:eastAsia="zh-CN"/>
              </w:rPr>
              <w:t>907539667@qq.com</w:t>
            </w:r>
            <w:r>
              <w:rPr>
                <w:rFonts w:hint="default" w:ascii="宋体" w:hAnsi="宋体" w:cs="宋体"/>
                <w:color w:val="auto"/>
                <w:sz w:val="24"/>
                <w:highlight w:val="none"/>
                <w:lang w:eastAsia="zh-CN"/>
              </w:rPr>
              <w:t>，</w:t>
            </w:r>
            <w:r>
              <w:rPr>
                <w:rFonts w:hint="eastAsia" w:ascii="宋体" w:hAnsi="宋体" w:cs="宋体"/>
                <w:color w:val="auto"/>
                <w:sz w:val="24"/>
                <w:highlight w:val="none"/>
                <w:lang w:val="en-US" w:eastAsia="zh-Hans"/>
              </w:rPr>
              <w:t>邮件标题注明投标项目名称、投标单位名称</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w:t>
            </w:r>
          </w:p>
          <w:p w14:paraId="1B4C52B6">
            <w:pPr>
              <w:spacing w:line="360" w:lineRule="auto"/>
              <w:rPr>
                <w:rFonts w:ascii="宋体" w:hAnsi="宋体" w:cs="宋体"/>
                <w:color w:val="auto"/>
                <w:highlight w:val="none"/>
              </w:rPr>
            </w:pPr>
            <w:r>
              <w:rPr>
                <w:rFonts w:hint="eastAsia" w:ascii="宋体" w:hAnsi="宋体" w:cs="宋体"/>
                <w:color w:val="auto"/>
                <w:sz w:val="24"/>
                <w:highlight w:val="none"/>
              </w:rPr>
              <w:t>b.“备份投标文件”逾期</w:t>
            </w:r>
            <w:r>
              <w:rPr>
                <w:rFonts w:hint="eastAsia" w:ascii="宋体" w:hAnsi="宋体" w:cs="宋体"/>
                <w:color w:val="auto"/>
                <w:sz w:val="24"/>
                <w:highlight w:val="none"/>
                <w:lang w:eastAsia="zh-CN"/>
              </w:rPr>
              <w:t>递交</w:t>
            </w:r>
            <w:r>
              <w:rPr>
                <w:rFonts w:hint="eastAsia" w:ascii="宋体" w:hAnsi="宋体" w:cs="宋体"/>
                <w:color w:val="auto"/>
                <w:sz w:val="24"/>
                <w:highlight w:val="none"/>
              </w:rPr>
              <w:t>将被</w:t>
            </w:r>
            <w:r>
              <w:rPr>
                <w:rFonts w:hint="eastAsia" w:ascii="宋体" w:hAnsi="宋体" w:cs="宋体"/>
                <w:color w:val="auto"/>
                <w:sz w:val="24"/>
                <w:highlight w:val="none"/>
                <w:lang w:eastAsia="zh-CN"/>
              </w:rPr>
              <w:t>视为未递交</w:t>
            </w:r>
            <w:r>
              <w:rPr>
                <w:rFonts w:hint="eastAsia" w:ascii="宋体" w:hAnsi="宋体" w:cs="宋体"/>
                <w:color w:val="auto"/>
                <w:sz w:val="24"/>
                <w:highlight w:val="none"/>
              </w:rPr>
              <w:t>；</w:t>
            </w:r>
          </w:p>
          <w:p w14:paraId="67FA4C08">
            <w:pPr>
              <w:spacing w:line="360" w:lineRule="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6707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CEB590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2380" w:type="dxa"/>
            <w:tcBorders>
              <w:top w:val="single" w:color="auto" w:sz="4" w:space="0"/>
              <w:left w:val="single" w:color="auto" w:sz="4" w:space="0"/>
              <w:bottom w:val="single" w:color="auto" w:sz="4" w:space="0"/>
              <w:right w:val="single" w:color="auto" w:sz="4" w:space="0"/>
            </w:tcBorders>
            <w:vAlign w:val="center"/>
          </w:tcPr>
          <w:p w14:paraId="54490C01">
            <w:pPr>
              <w:spacing w:line="360" w:lineRule="auto"/>
              <w:rPr>
                <w:rFonts w:ascii="宋体" w:hAnsi="宋体" w:cs="宋体"/>
                <w:color w:val="auto"/>
                <w:sz w:val="24"/>
                <w:highlight w:val="none"/>
              </w:rPr>
            </w:pPr>
            <w:r>
              <w:rPr>
                <w:rFonts w:hint="eastAsia" w:ascii="宋体" w:hAnsi="宋体" w:cs="宋体"/>
                <w:color w:val="auto"/>
                <w:sz w:val="24"/>
                <w:highlight w:val="none"/>
              </w:rPr>
              <w:t>电子加密投标文件的解密和异常情况处理</w:t>
            </w:r>
          </w:p>
          <w:p w14:paraId="2FE1B561">
            <w:pPr>
              <w:spacing w:line="400" w:lineRule="exact"/>
              <w:jc w:val="center"/>
              <w:rPr>
                <w:rFonts w:ascii="宋体" w:hAnsi="宋体" w:cs="宋体"/>
                <w:color w:val="auto"/>
                <w:sz w:val="24"/>
                <w:highlight w:val="none"/>
              </w:rPr>
            </w:pPr>
          </w:p>
        </w:tc>
        <w:tc>
          <w:tcPr>
            <w:tcW w:w="5950" w:type="dxa"/>
            <w:tcBorders>
              <w:top w:val="single" w:color="auto" w:sz="4" w:space="0"/>
              <w:left w:val="single" w:color="auto" w:sz="4" w:space="0"/>
              <w:bottom w:val="single" w:color="auto" w:sz="4" w:space="0"/>
              <w:right w:val="single" w:color="auto" w:sz="4" w:space="0"/>
            </w:tcBorders>
            <w:vAlign w:val="center"/>
          </w:tcPr>
          <w:p w14:paraId="6DF352A5">
            <w:pPr>
              <w:spacing w:line="360" w:lineRule="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（1）开标后，采购组织机构将向各投标供应商发出“电子加密投标文件”的解密通知，各投标供应商代表应当在接到解密通知后30分钟内自行完成“电子加密投标文件”的在线解密。</w:t>
            </w:r>
          </w:p>
          <w:p w14:paraId="599A2192">
            <w:pPr>
              <w:spacing w:line="360" w:lineRule="auto"/>
              <w:rPr>
                <w:rFonts w:ascii="宋体" w:hAnsi="宋体" w:cs="宋体"/>
                <w:color w:val="auto"/>
                <w:sz w:val="24"/>
                <w:highlight w:val="none"/>
              </w:rPr>
            </w:pPr>
            <w:r>
              <w:rPr>
                <w:rFonts w:hint="eastAsia" w:ascii="宋体" w:cs="宋体"/>
                <w:b/>
                <w:sz w:val="24"/>
                <w:highlight w:val="none"/>
              </w:rPr>
              <w:t>▲</w:t>
            </w:r>
            <w:r>
              <w:rPr>
                <w:rFonts w:hint="eastAsia" w:ascii="宋体" w:hAnsi="宋体" w:cs="宋体"/>
                <w:color w:val="auto"/>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2E130F6">
            <w:pPr>
              <w:spacing w:line="400" w:lineRule="exac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（3）投标截止时间前，投标供应商仅递交了“备份投标文件”而未将电子加密投标文件上传至“政府采购云平台”的，投标无效。</w:t>
            </w:r>
          </w:p>
          <w:p w14:paraId="5D3E775A">
            <w:pPr>
              <w:spacing w:line="400" w:lineRule="exact"/>
              <w:rPr>
                <w:rFonts w:ascii="宋体" w:hAnsi="宋体" w:cs="宋体"/>
                <w:color w:val="auto"/>
                <w:sz w:val="24"/>
                <w:highlight w:val="none"/>
              </w:rPr>
            </w:pPr>
            <w:r>
              <w:rPr>
                <w:rFonts w:hint="eastAsia" w:ascii="宋体" w:hAnsi="宋体" w:cs="宋体"/>
                <w:b/>
                <w:bCs/>
                <w:color w:val="auto"/>
                <w:sz w:val="24"/>
                <w:highlight w:val="none"/>
              </w:rPr>
              <w:t>注：供应商在使用系统进行投标的过程中遇到涉及平台使用的任何问题，可致电政采云平台技术支持热线咨询，联系方式：</w:t>
            </w:r>
            <w:r>
              <w:rPr>
                <w:rFonts w:hint="eastAsia" w:ascii="宋体" w:hAnsi="宋体" w:eastAsia="宋体" w:cs="Calibri Light"/>
                <w:b/>
                <w:bCs/>
                <w:sz w:val="24"/>
                <w:highlight w:val="none"/>
                <w:lang w:val="en-US" w:eastAsia="zh-CN"/>
              </w:rPr>
              <w:t>95763</w:t>
            </w:r>
            <w:r>
              <w:rPr>
                <w:rFonts w:hint="eastAsia" w:ascii="宋体" w:hAnsi="宋体" w:cs="宋体"/>
                <w:b/>
                <w:bCs/>
                <w:color w:val="auto"/>
                <w:sz w:val="24"/>
                <w:highlight w:val="none"/>
              </w:rPr>
              <w:t>。</w:t>
            </w:r>
          </w:p>
        </w:tc>
      </w:tr>
      <w:tr w14:paraId="25ED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2142CB2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2380" w:type="dxa"/>
            <w:tcBorders>
              <w:top w:val="single" w:color="auto" w:sz="4" w:space="0"/>
              <w:left w:val="single" w:color="auto" w:sz="4" w:space="0"/>
              <w:bottom w:val="single" w:color="auto" w:sz="4" w:space="0"/>
              <w:right w:val="single" w:color="auto" w:sz="4" w:space="0"/>
            </w:tcBorders>
            <w:vAlign w:val="center"/>
          </w:tcPr>
          <w:p w14:paraId="1760A0A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磋商响应文件有效期</w:t>
            </w:r>
          </w:p>
        </w:tc>
        <w:tc>
          <w:tcPr>
            <w:tcW w:w="5950" w:type="dxa"/>
            <w:tcBorders>
              <w:top w:val="single" w:color="auto" w:sz="4" w:space="0"/>
              <w:left w:val="single" w:color="auto" w:sz="4" w:space="0"/>
              <w:bottom w:val="single" w:color="auto" w:sz="4" w:space="0"/>
              <w:right w:val="single" w:color="auto" w:sz="4" w:space="0"/>
            </w:tcBorders>
            <w:vAlign w:val="center"/>
          </w:tcPr>
          <w:p w14:paraId="4429D5D9">
            <w:pPr>
              <w:spacing w:line="400" w:lineRule="exact"/>
              <w:rPr>
                <w:rFonts w:ascii="宋体" w:hAnsi="宋体" w:cs="宋体"/>
                <w:color w:val="auto"/>
                <w:sz w:val="24"/>
                <w:highlight w:val="none"/>
              </w:rPr>
            </w:pPr>
            <w:r>
              <w:rPr>
                <w:rFonts w:hint="eastAsia" w:ascii="宋体" w:hAnsi="宋体" w:cs="宋体"/>
                <w:bCs/>
                <w:sz w:val="24"/>
                <w:highlight w:val="none"/>
              </w:rPr>
              <w:t>▲</w:t>
            </w:r>
            <w:r>
              <w:rPr>
                <w:rFonts w:hint="eastAsia" w:ascii="宋体" w:hAnsi="宋体" w:cs="宋体"/>
                <w:color w:val="auto"/>
                <w:sz w:val="24"/>
                <w:highlight w:val="none"/>
              </w:rPr>
              <w:t>磋商响应有效期为90天，磋商响应</w:t>
            </w:r>
            <w:r>
              <w:rPr>
                <w:rFonts w:hint="eastAsia" w:ascii="宋体" w:hAnsi="宋体" w:cs="宋体"/>
                <w:color w:val="auto"/>
                <w:kern w:val="0"/>
                <w:sz w:val="24"/>
                <w:highlight w:val="none"/>
              </w:rPr>
              <w:t>有效期从提交</w:t>
            </w:r>
            <w:r>
              <w:rPr>
                <w:rFonts w:hint="eastAsia" w:ascii="宋体" w:hAnsi="宋体" w:cs="宋体"/>
                <w:color w:val="auto"/>
                <w:sz w:val="24"/>
                <w:highlight w:val="none"/>
              </w:rPr>
              <w:t>磋商响应</w:t>
            </w:r>
            <w:r>
              <w:rPr>
                <w:rFonts w:hint="eastAsia" w:ascii="宋体" w:hAnsi="宋体" w:cs="宋体"/>
                <w:color w:val="auto"/>
                <w:kern w:val="0"/>
                <w:sz w:val="24"/>
                <w:highlight w:val="none"/>
              </w:rPr>
              <w:t>文件的截止之日起算。</w:t>
            </w:r>
          </w:p>
        </w:tc>
      </w:tr>
      <w:tr w14:paraId="1DA0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2913A4A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2380" w:type="dxa"/>
            <w:tcBorders>
              <w:top w:val="single" w:color="auto" w:sz="4" w:space="0"/>
              <w:left w:val="single" w:color="auto" w:sz="4" w:space="0"/>
              <w:bottom w:val="single" w:color="auto" w:sz="4" w:space="0"/>
              <w:right w:val="single" w:color="auto" w:sz="4" w:space="0"/>
            </w:tcBorders>
            <w:vAlign w:val="center"/>
          </w:tcPr>
          <w:p w14:paraId="79FAD2E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磋商响应文件递交截止时间及地点</w:t>
            </w:r>
          </w:p>
        </w:tc>
        <w:tc>
          <w:tcPr>
            <w:tcW w:w="5950" w:type="dxa"/>
            <w:tcBorders>
              <w:top w:val="single" w:color="auto" w:sz="4" w:space="0"/>
              <w:left w:val="single" w:color="auto" w:sz="4" w:space="0"/>
              <w:bottom w:val="single" w:color="auto" w:sz="4" w:space="0"/>
              <w:right w:val="single" w:color="auto" w:sz="4" w:space="0"/>
            </w:tcBorders>
            <w:vAlign w:val="center"/>
          </w:tcPr>
          <w:p w14:paraId="5619E536">
            <w:pPr>
              <w:keepNext w:val="0"/>
              <w:keepLines w:val="0"/>
              <w:pageBreakBefore w:val="0"/>
              <w:kinsoku/>
              <w:wordWrap/>
              <w:overflowPunct/>
              <w:topLinePunct w:val="0"/>
              <w:bidi w:val="0"/>
              <w:snapToGrid/>
              <w:spacing w:line="400" w:lineRule="exact"/>
              <w:textAlignment w:val="auto"/>
              <w:rPr>
                <w:rFonts w:hint="eastAsia" w:ascii="宋体" w:hAnsi="宋体" w:eastAsia="宋体" w:cs="Calibri Light"/>
                <w:kern w:val="0"/>
                <w:sz w:val="24"/>
                <w:highlight w:val="none"/>
                <w:lang w:val="en-US" w:eastAsia="zh-CN"/>
              </w:rPr>
            </w:pPr>
            <w:r>
              <w:rPr>
                <w:rFonts w:hint="eastAsia" w:ascii="宋体" w:hAnsi="宋体" w:eastAsia="宋体" w:cs="Calibri Light"/>
                <w:kern w:val="0"/>
                <w:sz w:val="24"/>
                <w:highlight w:val="none"/>
                <w:lang w:val="en-US" w:eastAsia="zh-CN"/>
              </w:rPr>
              <w:t>202</w:t>
            </w:r>
            <w:r>
              <w:rPr>
                <w:rFonts w:hint="eastAsia" w:ascii="宋体" w:hAnsi="宋体" w:cs="Calibri Light"/>
                <w:kern w:val="0"/>
                <w:sz w:val="24"/>
                <w:highlight w:val="none"/>
                <w:lang w:val="en-US" w:eastAsia="zh-CN"/>
              </w:rPr>
              <w:t>4</w:t>
            </w:r>
            <w:r>
              <w:rPr>
                <w:rFonts w:hint="eastAsia" w:ascii="宋体" w:hAnsi="宋体" w:eastAsia="宋体" w:cs="Calibri Light"/>
                <w:kern w:val="0"/>
                <w:sz w:val="24"/>
                <w:highlight w:val="none"/>
                <w:lang w:val="en-US" w:eastAsia="zh-CN"/>
              </w:rPr>
              <w:t>年</w:t>
            </w:r>
            <w:r>
              <w:rPr>
                <w:rFonts w:hint="eastAsia" w:ascii="宋体" w:hAnsi="宋体" w:cs="Calibri Light"/>
                <w:kern w:val="0"/>
                <w:sz w:val="24"/>
                <w:highlight w:val="none"/>
                <w:lang w:val="en-US" w:eastAsia="zh-CN"/>
              </w:rPr>
              <w:t>11</w:t>
            </w:r>
            <w:r>
              <w:rPr>
                <w:rFonts w:hint="eastAsia" w:ascii="宋体" w:hAnsi="宋体" w:eastAsia="宋体" w:cs="Calibri Light"/>
                <w:kern w:val="0"/>
                <w:sz w:val="24"/>
                <w:highlight w:val="none"/>
                <w:lang w:val="en-US" w:eastAsia="zh-CN"/>
              </w:rPr>
              <w:t>月</w:t>
            </w:r>
            <w:r>
              <w:rPr>
                <w:rFonts w:hint="eastAsia" w:ascii="宋体" w:hAnsi="宋体" w:cs="Calibri Light"/>
                <w:kern w:val="0"/>
                <w:sz w:val="24"/>
                <w:highlight w:val="none"/>
                <w:lang w:val="en-US" w:eastAsia="zh-CN"/>
              </w:rPr>
              <w:t>21</w:t>
            </w:r>
            <w:r>
              <w:rPr>
                <w:rFonts w:hint="eastAsia" w:ascii="宋体" w:hAnsi="宋体" w:eastAsia="宋体" w:cs="Calibri Light"/>
                <w:kern w:val="0"/>
                <w:sz w:val="24"/>
                <w:highlight w:val="none"/>
                <w:lang w:val="en-US" w:eastAsia="zh-CN"/>
              </w:rPr>
              <w:t>日</w:t>
            </w:r>
            <w:r>
              <w:rPr>
                <w:rFonts w:hint="eastAsia" w:ascii="宋体" w:hAnsi="宋体" w:cs="Calibri Light"/>
                <w:kern w:val="0"/>
                <w:sz w:val="24"/>
                <w:highlight w:val="none"/>
                <w:lang w:val="en-US" w:eastAsia="zh-CN"/>
              </w:rPr>
              <w:t>09</w:t>
            </w:r>
            <w:r>
              <w:rPr>
                <w:rFonts w:hint="eastAsia" w:ascii="宋体" w:hAnsi="宋体" w:eastAsia="宋体" w:cs="Calibri Light"/>
                <w:kern w:val="0"/>
                <w:sz w:val="24"/>
                <w:highlight w:val="none"/>
                <w:lang w:val="en-US" w:eastAsia="zh-CN"/>
              </w:rPr>
              <w:t>时</w:t>
            </w:r>
            <w:r>
              <w:rPr>
                <w:rFonts w:hint="eastAsia" w:ascii="宋体" w:hAnsi="宋体" w:cs="Calibri Light"/>
                <w:kern w:val="0"/>
                <w:sz w:val="24"/>
                <w:highlight w:val="none"/>
                <w:lang w:val="en-US" w:eastAsia="zh-CN"/>
              </w:rPr>
              <w:t>00</w:t>
            </w:r>
            <w:r>
              <w:rPr>
                <w:rFonts w:hint="eastAsia" w:ascii="宋体" w:hAnsi="宋体" w:eastAsia="宋体" w:cs="Calibri Light"/>
                <w:kern w:val="0"/>
                <w:sz w:val="24"/>
                <w:highlight w:val="none"/>
                <w:lang w:val="en-US" w:eastAsia="zh-CN"/>
              </w:rPr>
              <w:t>分（北京时间）</w:t>
            </w:r>
          </w:p>
          <w:p w14:paraId="50ACD8C1">
            <w:pPr>
              <w:spacing w:line="400" w:lineRule="exact"/>
              <w:rPr>
                <w:rFonts w:ascii="宋体" w:hAnsi="宋体" w:cs="宋体"/>
                <w:color w:val="auto"/>
                <w:sz w:val="24"/>
                <w:highlight w:val="none"/>
              </w:rPr>
            </w:pPr>
            <w:r>
              <w:rPr>
                <w:rFonts w:hint="eastAsia" w:ascii="宋体" w:hAnsi="宋体" w:eastAsia="宋体" w:cs="Calibri Light"/>
                <w:kern w:val="0"/>
                <w:sz w:val="24"/>
                <w:highlight w:val="none"/>
              </w:rPr>
              <w:t>磋商响应文件递交</w:t>
            </w:r>
            <w:r>
              <w:rPr>
                <w:rFonts w:hint="eastAsia" w:ascii="宋体" w:hAnsi="宋体" w:eastAsia="宋体" w:cs="Calibri Light"/>
                <w:kern w:val="0"/>
                <w:sz w:val="24"/>
                <w:highlight w:val="none"/>
                <w:lang w:eastAsia="zh-CN"/>
              </w:rPr>
              <w:t>地点：</w:t>
            </w:r>
            <w:r>
              <w:rPr>
                <w:rFonts w:hint="eastAsia" w:ascii="宋体" w:hAnsi="宋体" w:eastAsia="宋体" w:cs="Calibri Light"/>
                <w:kern w:val="0"/>
                <w:sz w:val="24"/>
                <w:highlight w:val="none"/>
              </w:rPr>
              <w:t>“政府采购云平台”</w:t>
            </w:r>
          </w:p>
        </w:tc>
      </w:tr>
      <w:tr w14:paraId="3565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7719F82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2380" w:type="dxa"/>
            <w:tcBorders>
              <w:top w:val="single" w:color="auto" w:sz="4" w:space="0"/>
              <w:left w:val="single" w:color="auto" w:sz="4" w:space="0"/>
              <w:bottom w:val="single" w:color="auto" w:sz="4" w:space="0"/>
              <w:right w:val="single" w:color="auto" w:sz="4" w:space="0"/>
            </w:tcBorders>
            <w:vAlign w:val="center"/>
          </w:tcPr>
          <w:p w14:paraId="05895F7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磋商时间及地点</w:t>
            </w:r>
          </w:p>
        </w:tc>
        <w:tc>
          <w:tcPr>
            <w:tcW w:w="5950" w:type="dxa"/>
            <w:tcBorders>
              <w:top w:val="single" w:color="auto" w:sz="4" w:space="0"/>
              <w:left w:val="single" w:color="auto" w:sz="4" w:space="0"/>
              <w:bottom w:val="single" w:color="auto" w:sz="4" w:space="0"/>
              <w:right w:val="single" w:color="auto" w:sz="4" w:space="0"/>
            </w:tcBorders>
            <w:vAlign w:val="center"/>
          </w:tcPr>
          <w:p w14:paraId="727860F5">
            <w:pPr>
              <w:keepNext w:val="0"/>
              <w:keepLines w:val="0"/>
              <w:pageBreakBefore w:val="0"/>
              <w:kinsoku/>
              <w:wordWrap/>
              <w:overflowPunct/>
              <w:topLinePunct w:val="0"/>
              <w:bidi w:val="0"/>
              <w:snapToGrid/>
              <w:spacing w:line="400" w:lineRule="exact"/>
              <w:textAlignment w:val="auto"/>
              <w:rPr>
                <w:rFonts w:hint="eastAsia" w:ascii="宋体" w:hAnsi="宋体" w:eastAsia="宋体" w:cs="Calibri Light"/>
                <w:kern w:val="0"/>
                <w:sz w:val="24"/>
                <w:highlight w:val="none"/>
                <w:lang w:val="en-US" w:eastAsia="zh-CN"/>
              </w:rPr>
            </w:pPr>
            <w:r>
              <w:rPr>
                <w:rFonts w:hint="eastAsia" w:ascii="宋体" w:hAnsi="宋体" w:eastAsia="宋体" w:cs="Calibri Light"/>
                <w:kern w:val="0"/>
                <w:sz w:val="24"/>
                <w:highlight w:val="none"/>
                <w:lang w:val="en-US" w:eastAsia="zh-CN"/>
              </w:rPr>
              <w:t>202</w:t>
            </w:r>
            <w:r>
              <w:rPr>
                <w:rFonts w:hint="eastAsia" w:ascii="宋体" w:hAnsi="宋体" w:cs="Calibri Light"/>
                <w:kern w:val="0"/>
                <w:sz w:val="24"/>
                <w:highlight w:val="none"/>
                <w:lang w:val="en-US" w:eastAsia="zh-CN"/>
              </w:rPr>
              <w:t>4</w:t>
            </w:r>
            <w:r>
              <w:rPr>
                <w:rFonts w:hint="eastAsia" w:ascii="宋体" w:hAnsi="宋体" w:eastAsia="宋体" w:cs="Calibri Light"/>
                <w:kern w:val="0"/>
                <w:sz w:val="24"/>
                <w:highlight w:val="none"/>
                <w:lang w:val="en-US" w:eastAsia="zh-CN"/>
              </w:rPr>
              <w:t>年</w:t>
            </w:r>
            <w:r>
              <w:rPr>
                <w:rFonts w:hint="eastAsia" w:ascii="宋体" w:hAnsi="宋体" w:cs="Calibri Light"/>
                <w:kern w:val="0"/>
                <w:sz w:val="24"/>
                <w:highlight w:val="none"/>
                <w:lang w:val="en-US" w:eastAsia="zh-CN"/>
              </w:rPr>
              <w:t>11</w:t>
            </w:r>
            <w:r>
              <w:rPr>
                <w:rFonts w:hint="eastAsia" w:ascii="宋体" w:hAnsi="宋体" w:eastAsia="宋体" w:cs="Calibri Light"/>
                <w:kern w:val="0"/>
                <w:sz w:val="24"/>
                <w:highlight w:val="none"/>
                <w:lang w:val="en-US" w:eastAsia="zh-CN"/>
              </w:rPr>
              <w:t>月</w:t>
            </w:r>
            <w:r>
              <w:rPr>
                <w:rFonts w:hint="eastAsia" w:ascii="宋体" w:hAnsi="宋体" w:cs="Calibri Light"/>
                <w:kern w:val="0"/>
                <w:sz w:val="24"/>
                <w:highlight w:val="none"/>
                <w:lang w:val="en-US" w:eastAsia="zh-CN"/>
              </w:rPr>
              <w:t>21</w:t>
            </w:r>
            <w:r>
              <w:rPr>
                <w:rFonts w:hint="eastAsia" w:ascii="宋体" w:hAnsi="宋体" w:eastAsia="宋体" w:cs="Calibri Light"/>
                <w:kern w:val="0"/>
                <w:sz w:val="24"/>
                <w:highlight w:val="none"/>
                <w:lang w:val="en-US" w:eastAsia="zh-CN"/>
              </w:rPr>
              <w:t>日</w:t>
            </w:r>
            <w:r>
              <w:rPr>
                <w:rFonts w:hint="eastAsia" w:ascii="宋体" w:hAnsi="宋体" w:cs="Calibri Light"/>
                <w:kern w:val="0"/>
                <w:sz w:val="24"/>
                <w:highlight w:val="none"/>
                <w:lang w:val="en-US" w:eastAsia="zh-CN"/>
              </w:rPr>
              <w:t>09</w:t>
            </w:r>
            <w:r>
              <w:rPr>
                <w:rFonts w:hint="eastAsia" w:ascii="宋体" w:hAnsi="宋体" w:eastAsia="宋体" w:cs="Calibri Light"/>
                <w:kern w:val="0"/>
                <w:sz w:val="24"/>
                <w:highlight w:val="none"/>
                <w:lang w:val="en-US" w:eastAsia="zh-CN"/>
              </w:rPr>
              <w:t>时</w:t>
            </w:r>
            <w:r>
              <w:rPr>
                <w:rFonts w:hint="eastAsia" w:ascii="宋体" w:hAnsi="宋体" w:cs="Calibri Light"/>
                <w:kern w:val="0"/>
                <w:sz w:val="24"/>
                <w:highlight w:val="none"/>
                <w:lang w:val="en-US" w:eastAsia="zh-CN"/>
              </w:rPr>
              <w:t>00</w:t>
            </w:r>
            <w:r>
              <w:rPr>
                <w:rFonts w:hint="eastAsia" w:ascii="宋体" w:hAnsi="宋体" w:eastAsia="宋体" w:cs="Calibri Light"/>
                <w:kern w:val="0"/>
                <w:sz w:val="24"/>
                <w:highlight w:val="none"/>
                <w:lang w:val="en-US" w:eastAsia="zh-CN"/>
              </w:rPr>
              <w:t>分（北京时间）</w:t>
            </w:r>
          </w:p>
          <w:p w14:paraId="6EF47FB7">
            <w:pPr>
              <w:spacing w:line="400" w:lineRule="exact"/>
              <w:rPr>
                <w:rFonts w:ascii="宋体" w:hAnsi="宋体" w:cs="宋体"/>
                <w:color w:val="auto"/>
                <w:sz w:val="24"/>
                <w:highlight w:val="none"/>
              </w:rPr>
            </w:pPr>
            <w:r>
              <w:rPr>
                <w:rFonts w:hint="eastAsia" w:ascii="宋体" w:hAnsi="宋体" w:eastAsia="宋体" w:cs="Calibri Light"/>
                <w:kern w:val="0"/>
                <w:sz w:val="24"/>
                <w:highlight w:val="none"/>
              </w:rPr>
              <w:t>磋商响应文件递交</w:t>
            </w:r>
            <w:r>
              <w:rPr>
                <w:rFonts w:hint="eastAsia" w:ascii="宋体" w:hAnsi="宋体" w:eastAsia="宋体" w:cs="Calibri Light"/>
                <w:kern w:val="0"/>
                <w:sz w:val="24"/>
                <w:highlight w:val="none"/>
                <w:lang w:eastAsia="zh-CN"/>
              </w:rPr>
              <w:t>地点：</w:t>
            </w:r>
            <w:r>
              <w:rPr>
                <w:rFonts w:hint="eastAsia" w:ascii="宋体" w:hAnsi="宋体" w:eastAsia="宋体" w:cs="Calibri Light"/>
                <w:kern w:val="0"/>
                <w:sz w:val="24"/>
                <w:highlight w:val="none"/>
              </w:rPr>
              <w:t>“政府采购云平台”</w:t>
            </w:r>
          </w:p>
        </w:tc>
      </w:tr>
      <w:tr w14:paraId="7D68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4F73FB9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2380" w:type="dxa"/>
            <w:tcBorders>
              <w:top w:val="single" w:color="auto" w:sz="4" w:space="0"/>
              <w:left w:val="single" w:color="auto" w:sz="4" w:space="0"/>
              <w:bottom w:val="single" w:color="auto" w:sz="4" w:space="0"/>
              <w:right w:val="single" w:color="auto" w:sz="4" w:space="0"/>
            </w:tcBorders>
            <w:vAlign w:val="center"/>
          </w:tcPr>
          <w:p w14:paraId="0D8ACF8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磋商保证金</w:t>
            </w:r>
          </w:p>
        </w:tc>
        <w:tc>
          <w:tcPr>
            <w:tcW w:w="5950" w:type="dxa"/>
            <w:tcBorders>
              <w:top w:val="single" w:color="auto" w:sz="4" w:space="0"/>
              <w:left w:val="single" w:color="auto" w:sz="4" w:space="0"/>
              <w:bottom w:val="single" w:color="auto" w:sz="4" w:space="0"/>
              <w:right w:val="single" w:color="auto" w:sz="4" w:space="0"/>
            </w:tcBorders>
            <w:vAlign w:val="center"/>
          </w:tcPr>
          <w:p w14:paraId="74ADF556">
            <w:pPr>
              <w:spacing w:line="400" w:lineRule="exact"/>
              <w:jc w:val="left"/>
              <w:rPr>
                <w:rFonts w:ascii="宋体" w:hAnsi="宋体" w:cs="宋体"/>
                <w:color w:val="auto"/>
                <w:sz w:val="24"/>
                <w:highlight w:val="none"/>
              </w:rPr>
            </w:pPr>
            <w:r>
              <w:rPr>
                <w:rFonts w:hint="eastAsia" w:ascii="宋体" w:hAnsi="宋体" w:cs="宋体"/>
                <w:color w:val="auto"/>
                <w:sz w:val="24"/>
                <w:highlight w:val="none"/>
              </w:rPr>
              <w:t>无</w:t>
            </w:r>
          </w:p>
        </w:tc>
      </w:tr>
      <w:tr w14:paraId="3853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18F100C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2380" w:type="dxa"/>
            <w:tcBorders>
              <w:top w:val="single" w:color="auto" w:sz="4" w:space="0"/>
              <w:left w:val="single" w:color="auto" w:sz="4" w:space="0"/>
              <w:bottom w:val="single" w:color="auto" w:sz="4" w:space="0"/>
              <w:right w:val="single" w:color="auto" w:sz="4" w:space="0"/>
            </w:tcBorders>
            <w:vAlign w:val="center"/>
          </w:tcPr>
          <w:p w14:paraId="31EBDD6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5950" w:type="dxa"/>
            <w:tcBorders>
              <w:top w:val="single" w:color="auto" w:sz="4" w:space="0"/>
              <w:left w:val="single" w:color="auto" w:sz="4" w:space="0"/>
              <w:bottom w:val="single" w:color="auto" w:sz="4" w:space="0"/>
              <w:right w:val="single" w:color="auto" w:sz="4" w:space="0"/>
            </w:tcBorders>
            <w:vAlign w:val="center"/>
          </w:tcPr>
          <w:p w14:paraId="25EB609E">
            <w:pPr>
              <w:pStyle w:val="20"/>
              <w:spacing w:line="36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tc>
      </w:tr>
      <w:tr w14:paraId="7017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1F071DB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2380" w:type="dxa"/>
            <w:tcBorders>
              <w:top w:val="single" w:color="auto" w:sz="4" w:space="0"/>
              <w:left w:val="single" w:color="auto" w:sz="4" w:space="0"/>
              <w:bottom w:val="single" w:color="auto" w:sz="4" w:space="0"/>
              <w:right w:val="single" w:color="auto" w:sz="4" w:space="0"/>
            </w:tcBorders>
            <w:vAlign w:val="center"/>
          </w:tcPr>
          <w:p w14:paraId="3E2C7DF2">
            <w:pPr>
              <w:autoSpaceDE w:val="0"/>
              <w:autoSpaceDN w:val="0"/>
              <w:adjustRightInd w:val="0"/>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5950" w:type="dxa"/>
            <w:tcBorders>
              <w:top w:val="single" w:color="auto" w:sz="4" w:space="0"/>
              <w:left w:val="single" w:color="auto" w:sz="4" w:space="0"/>
              <w:bottom w:val="single" w:color="auto" w:sz="4" w:space="0"/>
              <w:right w:val="single" w:color="auto" w:sz="4" w:space="0"/>
            </w:tcBorders>
            <w:vAlign w:val="center"/>
          </w:tcPr>
          <w:p w14:paraId="5CAA1B0F">
            <w:pPr>
              <w:autoSpaceDE w:val="0"/>
              <w:autoSpaceDN w:val="0"/>
              <w:adjustRightInd w:val="0"/>
              <w:spacing w:line="400" w:lineRule="exact"/>
              <w:ind w:hanging="3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带“</w:t>
            </w:r>
            <w:r>
              <w:rPr>
                <w:rFonts w:hint="eastAsia" w:ascii="宋体" w:hAnsi="宋体" w:cs="宋体"/>
                <w:bCs/>
                <w:color w:val="auto"/>
                <w:sz w:val="24"/>
                <w:highlight w:val="none"/>
              </w:rPr>
              <w:t>▲”的条款是实质性条款，磋商</w:t>
            </w:r>
            <w:r>
              <w:rPr>
                <w:rFonts w:hint="eastAsia" w:ascii="宋体" w:hAnsi="宋体" w:cs="宋体"/>
                <w:color w:val="auto"/>
                <w:sz w:val="24"/>
                <w:highlight w:val="none"/>
              </w:rPr>
              <w:t>响应</w:t>
            </w:r>
            <w:r>
              <w:rPr>
                <w:rFonts w:hint="eastAsia" w:ascii="宋体" w:hAnsi="宋体" w:cs="宋体"/>
                <w:bCs/>
                <w:color w:val="auto"/>
                <w:sz w:val="24"/>
                <w:highlight w:val="none"/>
              </w:rPr>
              <w:t>文件须作出实质性响应，否则终止磋商。</w:t>
            </w:r>
          </w:p>
        </w:tc>
      </w:tr>
      <w:tr w14:paraId="3A12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1CDAB64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2380" w:type="dxa"/>
            <w:tcBorders>
              <w:top w:val="single" w:color="auto" w:sz="4" w:space="0"/>
              <w:left w:val="single" w:color="auto" w:sz="4" w:space="0"/>
              <w:bottom w:val="single" w:color="auto" w:sz="4" w:space="0"/>
              <w:right w:val="single" w:color="auto" w:sz="4" w:space="0"/>
            </w:tcBorders>
            <w:vAlign w:val="center"/>
          </w:tcPr>
          <w:p w14:paraId="21727F89">
            <w:pPr>
              <w:autoSpaceDE w:val="0"/>
              <w:autoSpaceDN w:val="0"/>
              <w:adjustRightIn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5950" w:type="dxa"/>
            <w:tcBorders>
              <w:top w:val="single" w:color="auto" w:sz="4" w:space="0"/>
              <w:left w:val="single" w:color="auto" w:sz="4" w:space="0"/>
              <w:bottom w:val="single" w:color="auto" w:sz="4" w:space="0"/>
              <w:right w:val="single" w:color="auto" w:sz="4" w:space="0"/>
            </w:tcBorders>
            <w:vAlign w:val="center"/>
          </w:tcPr>
          <w:p w14:paraId="64B5C87C">
            <w:pPr>
              <w:autoSpaceDE w:val="0"/>
              <w:autoSpaceDN w:val="0"/>
              <w:adjustRightInd w:val="0"/>
              <w:spacing w:line="400" w:lineRule="exact"/>
              <w:rPr>
                <w:rFonts w:ascii="宋体" w:hAnsi="宋体" w:cs="宋体"/>
                <w:color w:val="auto"/>
                <w:sz w:val="24"/>
                <w:highlight w:val="none"/>
              </w:rPr>
            </w:pPr>
            <w:r>
              <w:rPr>
                <w:rFonts w:hint="eastAsia" w:ascii="宋体" w:hAnsi="宋体" w:cs="宋体"/>
                <w:color w:val="auto"/>
                <w:sz w:val="24"/>
                <w:highlight w:val="none"/>
              </w:rPr>
              <w:t>本磋商文件解释权属于采购人和采购代理机构。</w:t>
            </w:r>
          </w:p>
        </w:tc>
      </w:tr>
      <w:tr w14:paraId="185E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2B65057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2380" w:type="dxa"/>
            <w:tcBorders>
              <w:top w:val="single" w:color="auto" w:sz="4" w:space="0"/>
              <w:left w:val="single" w:color="auto" w:sz="4" w:space="0"/>
              <w:bottom w:val="single" w:color="auto" w:sz="4" w:space="0"/>
              <w:right w:val="single" w:color="auto" w:sz="4" w:space="0"/>
            </w:tcBorders>
            <w:vAlign w:val="center"/>
          </w:tcPr>
          <w:p w14:paraId="2A208BBE">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rPr>
              <w:t>其它事项</w:t>
            </w:r>
          </w:p>
        </w:tc>
        <w:tc>
          <w:tcPr>
            <w:tcW w:w="5950" w:type="dxa"/>
            <w:tcBorders>
              <w:top w:val="single" w:color="auto" w:sz="4" w:space="0"/>
              <w:left w:val="single" w:color="auto" w:sz="4" w:space="0"/>
              <w:bottom w:val="single" w:color="auto" w:sz="4" w:space="0"/>
              <w:right w:val="single" w:color="auto" w:sz="4" w:space="0"/>
            </w:tcBorders>
            <w:vAlign w:val="center"/>
          </w:tcPr>
          <w:p w14:paraId="67DA9B5D">
            <w:pPr>
              <w:spacing w:line="360" w:lineRule="auto"/>
              <w:jc w:val="left"/>
              <w:rPr>
                <w:rFonts w:ascii="宋体" w:cs="宋体"/>
                <w:bCs/>
                <w:color w:val="auto"/>
                <w:sz w:val="24"/>
                <w:highlight w:val="none"/>
              </w:rPr>
            </w:pPr>
            <w:r>
              <w:rPr>
                <w:rFonts w:hint="eastAsia" w:ascii="宋体" w:cs="宋体"/>
                <w:bCs/>
                <w:color w:val="auto"/>
                <w:sz w:val="24"/>
                <w:highlight w:val="none"/>
              </w:rPr>
              <w:t>中标供应商如有融资需求，可使用政采贷服务。</w:t>
            </w:r>
          </w:p>
        </w:tc>
      </w:tr>
      <w:tr w14:paraId="413B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D995C7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17</w:t>
            </w:r>
          </w:p>
        </w:tc>
        <w:tc>
          <w:tcPr>
            <w:tcW w:w="2380" w:type="dxa"/>
            <w:tcBorders>
              <w:top w:val="single" w:color="auto" w:sz="4" w:space="0"/>
              <w:left w:val="single" w:color="auto" w:sz="4" w:space="0"/>
              <w:bottom w:val="single" w:color="auto" w:sz="4" w:space="0"/>
              <w:right w:val="single" w:color="auto" w:sz="4" w:space="0"/>
            </w:tcBorders>
            <w:vAlign w:val="center"/>
          </w:tcPr>
          <w:p w14:paraId="08FBE6AE">
            <w:pPr>
              <w:autoSpaceDE w:val="0"/>
              <w:autoSpaceDN w:val="0"/>
              <w:adjustRightInd w:val="0"/>
              <w:spacing w:line="360" w:lineRule="auto"/>
              <w:jc w:val="center"/>
              <w:rPr>
                <w:rFonts w:ascii="宋体" w:hAnsi="宋体" w:cs="宋体"/>
                <w:color w:val="auto"/>
                <w:sz w:val="24"/>
                <w:highlight w:val="none"/>
              </w:rPr>
            </w:pPr>
            <w:r>
              <w:rPr>
                <w:rFonts w:hint="eastAsia" w:ascii="宋体" w:cs="宋体"/>
                <w:color w:val="auto"/>
                <w:sz w:val="24"/>
                <w:highlight w:val="none"/>
              </w:rPr>
              <w:t>本项目所属行业</w:t>
            </w:r>
          </w:p>
        </w:tc>
        <w:tc>
          <w:tcPr>
            <w:tcW w:w="5950" w:type="dxa"/>
            <w:tcBorders>
              <w:top w:val="single" w:color="auto" w:sz="4" w:space="0"/>
              <w:left w:val="single" w:color="auto" w:sz="4" w:space="0"/>
              <w:bottom w:val="single" w:color="auto" w:sz="4" w:space="0"/>
              <w:right w:val="single" w:color="auto" w:sz="4" w:space="0"/>
            </w:tcBorders>
            <w:vAlign w:val="center"/>
          </w:tcPr>
          <w:p w14:paraId="7E45C367">
            <w:pPr>
              <w:spacing w:line="360" w:lineRule="auto"/>
              <w:jc w:val="left"/>
              <w:rPr>
                <w:rFonts w:ascii="宋体" w:hAnsi="宋体" w:cs="宋体"/>
                <w:b/>
                <w:color w:val="auto"/>
                <w:sz w:val="24"/>
                <w:highlight w:val="none"/>
              </w:rPr>
            </w:pPr>
            <w:r>
              <w:rPr>
                <w:rFonts w:hint="eastAsia" w:ascii="宋体" w:cs="宋体"/>
                <w:b/>
                <w:bCs/>
                <w:color w:val="auto"/>
                <w:sz w:val="24"/>
                <w:highlight w:val="none"/>
                <w:lang w:eastAsia="zh-CN"/>
              </w:rPr>
              <w:t>中小企业划型标准规定（</w:t>
            </w:r>
            <w:r>
              <w:rPr>
                <w:rFonts w:hint="eastAsia" w:ascii="宋体" w:cs="宋体"/>
                <w:b/>
                <w:bCs/>
                <w:color w:val="auto"/>
                <w:sz w:val="24"/>
                <w:highlight w:val="none"/>
              </w:rPr>
              <w:t>工信部联企业[2011]300号）</w:t>
            </w:r>
            <w:r>
              <w:rPr>
                <w:rFonts w:hint="eastAsia" w:ascii="宋体" w:cs="宋体"/>
                <w:b/>
                <w:bCs/>
                <w:color w:val="auto"/>
                <w:sz w:val="24"/>
                <w:highlight w:val="none"/>
                <w:lang w:eastAsia="zh-CN"/>
              </w:rPr>
              <w:t>：</w:t>
            </w:r>
            <w:r>
              <w:rPr>
                <w:rFonts w:hint="eastAsia" w:ascii="宋体" w:cs="宋体"/>
                <w:b/>
                <w:bCs/>
                <w:color w:val="auto"/>
                <w:sz w:val="24"/>
                <w:highlight w:val="none"/>
                <w:lang w:val="en-US" w:eastAsia="zh-CN"/>
              </w:rPr>
              <w:t>工业</w:t>
            </w:r>
          </w:p>
        </w:tc>
      </w:tr>
    </w:tbl>
    <w:p w14:paraId="5F6CD1EE">
      <w:pPr>
        <w:pStyle w:val="19"/>
        <w:snapToGrid w:val="0"/>
        <w:spacing w:before="120" w:after="120" w:line="360" w:lineRule="auto"/>
        <w:jc w:val="left"/>
        <w:rPr>
          <w:rFonts w:ascii="宋体" w:hAnsi="宋体" w:eastAsia="宋体" w:cs="宋体"/>
          <w:b/>
          <w:color w:val="auto"/>
          <w:sz w:val="24"/>
          <w:highlight w:val="none"/>
        </w:rPr>
        <w:sectPr>
          <w:pgSz w:w="11906" w:h="16838"/>
          <w:pgMar w:top="1440" w:right="1800" w:bottom="1440" w:left="1800" w:header="851" w:footer="992" w:gutter="0"/>
          <w:cols w:space="720" w:num="1"/>
          <w:docGrid w:type="lines" w:linePitch="312" w:charSpace="0"/>
        </w:sectPr>
      </w:pPr>
    </w:p>
    <w:p w14:paraId="5C13531D">
      <w:pPr>
        <w:pStyle w:val="19"/>
        <w:snapToGrid w:val="0"/>
        <w:spacing w:before="120" w:after="120" w:line="360" w:lineRule="auto"/>
        <w:jc w:val="left"/>
        <w:rPr>
          <w:rFonts w:ascii="宋体" w:hAnsi="宋体" w:eastAsia="宋体" w:cs="宋体"/>
          <w:b/>
          <w:color w:val="auto"/>
          <w:sz w:val="24"/>
          <w:highlight w:val="none"/>
        </w:rPr>
      </w:pPr>
      <w:r>
        <w:rPr>
          <w:rFonts w:hint="eastAsia" w:ascii="宋体" w:hAnsi="宋体" w:eastAsia="宋体" w:cs="宋体"/>
          <w:b/>
          <w:color w:val="auto"/>
          <w:sz w:val="24"/>
          <w:highlight w:val="none"/>
        </w:rPr>
        <w:t>一 、总  则</w:t>
      </w:r>
    </w:p>
    <w:p w14:paraId="4E8CF042">
      <w:pPr>
        <w:pStyle w:val="19"/>
        <w:snapToGrid w:val="0"/>
        <w:spacing w:before="120" w:after="120" w:line="360" w:lineRule="auto"/>
        <w:ind w:firstLine="361" w:firstLineChars="150"/>
        <w:jc w:val="left"/>
        <w:rPr>
          <w:rFonts w:ascii="宋体" w:hAnsi="宋体" w:eastAsia="宋体" w:cs="宋体"/>
          <w:b/>
          <w:color w:val="auto"/>
          <w:sz w:val="24"/>
          <w:highlight w:val="none"/>
        </w:rPr>
      </w:pPr>
      <w:r>
        <w:rPr>
          <w:rFonts w:hint="eastAsia" w:ascii="宋体" w:hAnsi="宋体" w:eastAsia="宋体" w:cs="宋体"/>
          <w:b/>
          <w:color w:val="auto"/>
          <w:sz w:val="24"/>
          <w:highlight w:val="none"/>
        </w:rPr>
        <w:t>（一） 适用范围</w:t>
      </w:r>
    </w:p>
    <w:p w14:paraId="5FB6217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w:t>
      </w:r>
      <w:r>
        <w:rPr>
          <w:rFonts w:hint="eastAsia" w:ascii="宋体" w:hAnsi="宋体" w:cs="宋体"/>
          <w:bCs/>
          <w:color w:val="auto"/>
          <w:sz w:val="24"/>
          <w:highlight w:val="none"/>
        </w:rPr>
        <w:t>磋商文件</w:t>
      </w:r>
      <w:r>
        <w:rPr>
          <w:rFonts w:hint="eastAsia" w:ascii="宋体" w:hAnsi="宋体" w:cs="宋体"/>
          <w:color w:val="auto"/>
          <w:sz w:val="24"/>
          <w:highlight w:val="none"/>
        </w:rPr>
        <w:t>适用于</w:t>
      </w:r>
      <w:r>
        <w:rPr>
          <w:rFonts w:hint="eastAsia" w:ascii="宋体" w:hAnsi="宋体" w:cs="宋体"/>
          <w:bCs/>
          <w:color w:val="auto"/>
          <w:sz w:val="24"/>
          <w:highlight w:val="none"/>
        </w:rPr>
        <w:t>本次</w:t>
      </w:r>
      <w:r>
        <w:rPr>
          <w:rFonts w:hint="eastAsia" w:ascii="宋体" w:hAnsi="宋体" w:cs="宋体"/>
          <w:color w:val="auto"/>
          <w:sz w:val="24"/>
          <w:highlight w:val="none"/>
        </w:rPr>
        <w:t>项目的磋商、</w:t>
      </w:r>
      <w:r>
        <w:rPr>
          <w:rFonts w:hint="eastAsia" w:ascii="宋体" w:hAnsi="宋体" w:cs="宋体"/>
          <w:bCs/>
          <w:color w:val="auto"/>
          <w:sz w:val="24"/>
          <w:highlight w:val="none"/>
        </w:rPr>
        <w:t>评审、确定成交供应商</w:t>
      </w:r>
      <w:r>
        <w:rPr>
          <w:rFonts w:hint="eastAsia" w:ascii="宋体" w:hAnsi="宋体" w:cs="宋体"/>
          <w:color w:val="auto"/>
          <w:sz w:val="24"/>
          <w:highlight w:val="none"/>
        </w:rPr>
        <w:t>、验收、合同履约、付款等行为（法律、法规另有规定的，从其规定）。</w:t>
      </w:r>
    </w:p>
    <w:p w14:paraId="1AA40EE1">
      <w:pPr>
        <w:snapToGrid w:val="0"/>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（二）定义</w:t>
      </w:r>
    </w:p>
    <w:p w14:paraId="0B04847E">
      <w:pPr>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1、采购组织机构：指采购人委托组织磋商的集中采购机构或采购代理机构。</w:t>
      </w:r>
    </w:p>
    <w:p w14:paraId="1DEFFF9E">
      <w:pPr>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2、采购人：是指委托集中采购机构或采购代理机构采购本次项目的国家机关、事业单位和团体组织。</w:t>
      </w:r>
    </w:p>
    <w:p w14:paraId="42881823">
      <w:pPr>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3、磋商供应商：是指向采购组织机构提交磋商响应文件的单位或个人。</w:t>
      </w:r>
    </w:p>
    <w:p w14:paraId="743E75AE">
      <w:pPr>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4、货物：是指各种形态和种类的物品，包括原材料、燃料、设备、产品等。</w:t>
      </w:r>
    </w:p>
    <w:p w14:paraId="661055A6">
      <w:pPr>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5、工程：是指建设工程，包括建筑物和构筑物的新建、改建、扩建、 装修、拆除、修缮等。</w:t>
      </w:r>
    </w:p>
    <w:p w14:paraId="6AD113F7">
      <w:pPr>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6、服务：是指除货物和工程以外的政府采购对象，包括各类专业服务、信息网络开发服务、金融保险服务、运输服务，以及维修与维护服务等。</w:t>
      </w:r>
    </w:p>
    <w:p w14:paraId="74432617">
      <w:pPr>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7、“书面形式”包括信函、传真等。</w:t>
      </w:r>
    </w:p>
    <w:p w14:paraId="55DBB374">
      <w:pPr>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8、“▲”系指实质性要求条款。</w:t>
      </w:r>
    </w:p>
    <w:p w14:paraId="7BFA34DA">
      <w:pPr>
        <w:snapToGrid w:val="0"/>
        <w:spacing w:beforeLines="50" w:line="360" w:lineRule="auto"/>
        <w:ind w:firstLine="472" w:firstLineChars="196"/>
        <w:jc w:val="left"/>
        <w:outlineLvl w:val="1"/>
        <w:rPr>
          <w:rFonts w:ascii="宋体" w:hAnsi="宋体" w:cs="宋体"/>
          <w:b/>
          <w:color w:val="auto"/>
          <w:sz w:val="24"/>
          <w:highlight w:val="none"/>
        </w:rPr>
      </w:pPr>
      <w:r>
        <w:rPr>
          <w:rFonts w:hint="eastAsia" w:ascii="宋体" w:hAnsi="宋体" w:cs="宋体"/>
          <w:b/>
          <w:color w:val="auto"/>
          <w:sz w:val="24"/>
          <w:highlight w:val="none"/>
        </w:rPr>
        <w:t>（三）磋商费用</w:t>
      </w:r>
    </w:p>
    <w:p w14:paraId="4CB8288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不论磋商结果如何，供应商均应自行承担所有与磋商有关的全部费用（</w:t>
      </w:r>
      <w:r>
        <w:rPr>
          <w:rFonts w:hint="eastAsia" w:ascii="宋体" w:hAnsi="宋体" w:cs="宋体"/>
          <w:bCs/>
          <w:color w:val="auto"/>
          <w:sz w:val="24"/>
          <w:highlight w:val="none"/>
        </w:rPr>
        <w:t>磋商文件</w:t>
      </w:r>
      <w:r>
        <w:rPr>
          <w:rFonts w:hint="eastAsia" w:ascii="宋体" w:hAnsi="宋体" w:cs="宋体"/>
          <w:color w:val="auto"/>
          <w:sz w:val="24"/>
          <w:highlight w:val="none"/>
        </w:rPr>
        <w:t>有相关规定除外）。</w:t>
      </w:r>
    </w:p>
    <w:p w14:paraId="1C2BA162">
      <w:pPr>
        <w:snapToGrid w:val="0"/>
        <w:spacing w:line="360" w:lineRule="auto"/>
        <w:ind w:right="-199" w:rightChars="-95" w:firstLine="480" w:firstLineChars="200"/>
        <w:jc w:val="left"/>
        <w:rPr>
          <w:rFonts w:hint="eastAsia" w:ascii="宋体" w:eastAsia="宋体"/>
          <w:sz w:val="24"/>
          <w:highlight w:val="none"/>
          <w:lang w:eastAsia="zh-CN"/>
        </w:rPr>
      </w:pPr>
      <w:r>
        <w:rPr>
          <w:rFonts w:hint="eastAsia" w:ascii="宋体" w:hAnsi="宋体" w:eastAsia="宋体" w:cs="宋体"/>
          <w:color w:val="auto"/>
          <w:sz w:val="24"/>
          <w:highlight w:val="none"/>
        </w:rPr>
        <w:t>招标代理服务费：</w:t>
      </w:r>
      <w:r>
        <w:rPr>
          <w:rFonts w:hint="eastAsia" w:ascii="宋体" w:hAnsi="宋体"/>
          <w:sz w:val="24"/>
          <w:highlight w:val="none"/>
        </w:rPr>
        <w:t>按照下列表格标准根据中标价采用差额定率累进计费方式计取，不足8000元的按8000元收取。由中标人在领取中标通知书时一次性支付给招标代理机构</w:t>
      </w:r>
      <w:r>
        <w:rPr>
          <w:rFonts w:hint="eastAsia" w:ascii="宋体" w:hAnsi="宋体"/>
          <w:sz w:val="24"/>
          <w:highlight w:val="none"/>
          <w:lang w:eastAsia="zh-CN"/>
        </w:rPr>
        <w:t>：</w:t>
      </w:r>
    </w:p>
    <w:p w14:paraId="112514BA">
      <w:pPr>
        <w:snapToGrid w:val="0"/>
        <w:spacing w:line="360" w:lineRule="auto"/>
        <w:ind w:firstLine="1200" w:firstLineChars="500"/>
        <w:jc w:val="left"/>
        <w:rPr>
          <w:rFonts w:hint="eastAsia" w:ascii="宋体" w:eastAsia="宋体" w:cs="Times New Roman"/>
          <w:sz w:val="24"/>
          <w:highlight w:val="none"/>
        </w:rPr>
      </w:pPr>
      <w:r>
        <w:rPr>
          <w:rFonts w:hint="eastAsia" w:ascii="宋体" w:eastAsia="宋体" w:cs="Times New Roman"/>
          <w:sz w:val="24"/>
          <w:highlight w:val="none"/>
        </w:rPr>
        <w:t xml:space="preserve">户名：台州中亿工程管理有限公司天台分公司  </w:t>
      </w:r>
    </w:p>
    <w:p w14:paraId="52A2F820">
      <w:pPr>
        <w:snapToGrid w:val="0"/>
        <w:spacing w:line="360" w:lineRule="auto"/>
        <w:ind w:firstLine="1200" w:firstLineChars="500"/>
        <w:jc w:val="left"/>
        <w:rPr>
          <w:rFonts w:hint="eastAsia" w:ascii="宋体" w:eastAsia="宋体" w:cs="Times New Roman"/>
          <w:sz w:val="24"/>
          <w:highlight w:val="none"/>
        </w:rPr>
      </w:pPr>
      <w:r>
        <w:rPr>
          <w:rFonts w:hint="eastAsia" w:ascii="宋体" w:eastAsia="宋体" w:cs="Times New Roman"/>
          <w:sz w:val="24"/>
          <w:highlight w:val="none"/>
        </w:rPr>
        <w:t>统一信用代码：9133123MA2DWBNE88</w:t>
      </w:r>
    </w:p>
    <w:p w14:paraId="65794C47">
      <w:pPr>
        <w:snapToGrid w:val="0"/>
        <w:spacing w:line="360" w:lineRule="auto"/>
        <w:ind w:firstLine="1200" w:firstLineChars="500"/>
        <w:jc w:val="left"/>
        <w:rPr>
          <w:rFonts w:hint="eastAsia" w:ascii="宋体" w:eastAsia="宋体" w:cs="Times New Roman"/>
          <w:sz w:val="24"/>
          <w:highlight w:val="none"/>
        </w:rPr>
      </w:pPr>
      <w:r>
        <w:rPr>
          <w:rFonts w:hint="eastAsia" w:ascii="宋体" w:eastAsia="宋体" w:cs="Times New Roman"/>
          <w:sz w:val="24"/>
          <w:highlight w:val="none"/>
        </w:rPr>
        <w:t>开户行：台州银行天台始丰小微企业专营支行</w:t>
      </w:r>
    </w:p>
    <w:p w14:paraId="356ECC9A">
      <w:pPr>
        <w:snapToGrid w:val="0"/>
        <w:spacing w:line="360" w:lineRule="auto"/>
        <w:ind w:firstLine="1200" w:firstLineChars="500"/>
        <w:jc w:val="left"/>
        <w:rPr>
          <w:rFonts w:hint="eastAsia" w:ascii="宋体" w:eastAsia="宋体" w:cs="Times New Roman"/>
          <w:sz w:val="24"/>
          <w:highlight w:val="none"/>
        </w:rPr>
      </w:pPr>
      <w:r>
        <w:rPr>
          <w:rFonts w:hint="eastAsia" w:ascii="宋体" w:eastAsia="宋体" w:cs="Times New Roman"/>
          <w:sz w:val="24"/>
          <w:highlight w:val="none"/>
        </w:rPr>
        <w:t>账号：550184548300015</w:t>
      </w:r>
    </w:p>
    <w:tbl>
      <w:tblPr>
        <w:tblStyle w:val="35"/>
        <w:tblW w:w="0" w:type="auto"/>
        <w:jc w:val="center"/>
        <w:tblLayout w:type="autofit"/>
        <w:tblCellMar>
          <w:top w:w="0" w:type="dxa"/>
          <w:left w:w="0" w:type="dxa"/>
          <w:bottom w:w="0" w:type="dxa"/>
          <w:right w:w="0" w:type="dxa"/>
        </w:tblCellMar>
      </w:tblPr>
      <w:tblGrid>
        <w:gridCol w:w="3486"/>
        <w:gridCol w:w="2900"/>
      </w:tblGrid>
      <w:tr w14:paraId="0DE74B0C">
        <w:tblPrEx>
          <w:tblCellMar>
            <w:top w:w="0" w:type="dxa"/>
            <w:left w:w="0" w:type="dxa"/>
            <w:bottom w:w="0" w:type="dxa"/>
            <w:right w:w="0" w:type="dxa"/>
          </w:tblCellMar>
        </w:tblPrEx>
        <w:trPr>
          <w:trHeight w:val="564" w:hRule="exact"/>
          <w:jc w:val="center"/>
        </w:trPr>
        <w:tc>
          <w:tcPr>
            <w:tcW w:w="348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A1D8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Verdana" w:hAnsi="Verdana" w:cs="宋体"/>
                <w:kern w:val="0"/>
                <w:sz w:val="18"/>
                <w:szCs w:val="18"/>
                <w:highlight w:val="none"/>
              </w:rPr>
            </w:pPr>
            <w:r>
              <w:rPr>
                <w:rFonts w:hint="eastAsia" w:ascii="宋体" w:hAnsi="宋体" w:cs="宋体"/>
                <w:b/>
                <w:bCs/>
                <w:kern w:val="0"/>
                <w:sz w:val="18"/>
                <w:szCs w:val="18"/>
                <w:highlight w:val="none"/>
              </w:rPr>
              <w:t>中标金额（万元）</w:t>
            </w:r>
          </w:p>
        </w:tc>
        <w:tc>
          <w:tcPr>
            <w:tcW w:w="290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682D0F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Verdana" w:hAnsi="Verdana" w:cs="宋体"/>
                <w:kern w:val="0"/>
                <w:sz w:val="18"/>
                <w:szCs w:val="18"/>
                <w:highlight w:val="none"/>
              </w:rPr>
            </w:pPr>
            <w:r>
              <w:rPr>
                <w:rFonts w:hint="eastAsia" w:ascii="宋体" w:hAnsi="宋体" w:cs="宋体"/>
                <w:b/>
                <w:bCs/>
                <w:kern w:val="0"/>
                <w:sz w:val="18"/>
                <w:szCs w:val="18"/>
                <w:highlight w:val="none"/>
              </w:rPr>
              <w:t>货物招标</w:t>
            </w:r>
          </w:p>
        </w:tc>
      </w:tr>
      <w:tr w14:paraId="5DACC97F">
        <w:tblPrEx>
          <w:tblCellMar>
            <w:top w:w="0" w:type="dxa"/>
            <w:left w:w="0" w:type="dxa"/>
            <w:bottom w:w="0" w:type="dxa"/>
            <w:right w:w="0" w:type="dxa"/>
          </w:tblCellMar>
        </w:tblPrEx>
        <w:trPr>
          <w:trHeight w:val="454" w:hRule="exact"/>
          <w:jc w:val="center"/>
        </w:trPr>
        <w:tc>
          <w:tcPr>
            <w:tcW w:w="348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BC8A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Verdana" w:hAnsi="Verdana" w:cs="宋体"/>
                <w:kern w:val="0"/>
                <w:sz w:val="18"/>
                <w:szCs w:val="18"/>
                <w:highlight w:val="none"/>
              </w:rPr>
            </w:pPr>
            <w:r>
              <w:rPr>
                <w:rFonts w:ascii="Verdana" w:hAnsi="Verdana" w:cs="宋体"/>
                <w:kern w:val="0"/>
                <w:sz w:val="18"/>
                <w:szCs w:val="18"/>
                <w:highlight w:val="none"/>
              </w:rPr>
              <w:t>100</w:t>
            </w:r>
            <w:r>
              <w:rPr>
                <w:rFonts w:hint="eastAsia" w:ascii="宋体" w:hAnsi="宋体" w:cs="宋体"/>
                <w:kern w:val="0"/>
                <w:sz w:val="18"/>
                <w:szCs w:val="18"/>
                <w:highlight w:val="none"/>
              </w:rPr>
              <w:t>以下</w:t>
            </w:r>
          </w:p>
        </w:tc>
        <w:tc>
          <w:tcPr>
            <w:tcW w:w="29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4C144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Verdana" w:hAnsi="Verdana" w:cs="宋体"/>
                <w:kern w:val="0"/>
                <w:sz w:val="18"/>
                <w:szCs w:val="18"/>
                <w:highlight w:val="none"/>
              </w:rPr>
            </w:pPr>
            <w:r>
              <w:rPr>
                <w:rFonts w:ascii="Verdana" w:hAnsi="Verdana" w:cs="宋体"/>
                <w:kern w:val="0"/>
                <w:sz w:val="18"/>
                <w:szCs w:val="18"/>
                <w:highlight w:val="none"/>
              </w:rPr>
              <w:t>1.5</w:t>
            </w:r>
            <w:r>
              <w:rPr>
                <w:rFonts w:hint="eastAsia" w:ascii="宋体" w:hAnsi="宋体" w:cs="宋体"/>
                <w:kern w:val="0"/>
                <w:sz w:val="18"/>
                <w:szCs w:val="18"/>
                <w:highlight w:val="none"/>
              </w:rPr>
              <w:t>％</w:t>
            </w:r>
          </w:p>
        </w:tc>
      </w:tr>
      <w:tr w14:paraId="4ADDF0A5">
        <w:tblPrEx>
          <w:tblCellMar>
            <w:top w:w="0" w:type="dxa"/>
            <w:left w:w="0" w:type="dxa"/>
            <w:bottom w:w="0" w:type="dxa"/>
            <w:right w:w="0" w:type="dxa"/>
          </w:tblCellMar>
        </w:tblPrEx>
        <w:trPr>
          <w:trHeight w:val="454" w:hRule="exact"/>
          <w:jc w:val="center"/>
        </w:trPr>
        <w:tc>
          <w:tcPr>
            <w:tcW w:w="348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1A92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Verdana" w:hAnsi="Verdana" w:cs="宋体"/>
                <w:kern w:val="0"/>
                <w:sz w:val="18"/>
                <w:szCs w:val="18"/>
                <w:highlight w:val="none"/>
              </w:rPr>
            </w:pPr>
            <w:r>
              <w:rPr>
                <w:rFonts w:ascii="Verdana" w:hAnsi="Verdana" w:cs="宋体"/>
                <w:kern w:val="0"/>
                <w:sz w:val="18"/>
                <w:szCs w:val="18"/>
                <w:highlight w:val="none"/>
              </w:rPr>
              <w:t>100—500</w:t>
            </w:r>
          </w:p>
        </w:tc>
        <w:tc>
          <w:tcPr>
            <w:tcW w:w="29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67751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Verdana" w:hAnsi="Verdana" w:cs="宋体"/>
                <w:kern w:val="0"/>
                <w:sz w:val="18"/>
                <w:szCs w:val="18"/>
                <w:highlight w:val="none"/>
              </w:rPr>
            </w:pPr>
            <w:r>
              <w:rPr>
                <w:rFonts w:ascii="Verdana" w:hAnsi="Verdana" w:cs="宋体"/>
                <w:kern w:val="0"/>
                <w:sz w:val="18"/>
                <w:szCs w:val="18"/>
                <w:highlight w:val="none"/>
              </w:rPr>
              <w:t>1.1</w:t>
            </w:r>
            <w:r>
              <w:rPr>
                <w:rFonts w:hint="eastAsia" w:ascii="宋体" w:hAnsi="宋体" w:cs="宋体"/>
                <w:kern w:val="0"/>
                <w:sz w:val="18"/>
                <w:szCs w:val="18"/>
                <w:highlight w:val="none"/>
              </w:rPr>
              <w:t>％</w:t>
            </w:r>
          </w:p>
        </w:tc>
      </w:tr>
      <w:tr w14:paraId="60A781CE">
        <w:tblPrEx>
          <w:tblCellMar>
            <w:top w:w="0" w:type="dxa"/>
            <w:left w:w="0" w:type="dxa"/>
            <w:bottom w:w="0" w:type="dxa"/>
            <w:right w:w="0" w:type="dxa"/>
          </w:tblCellMar>
        </w:tblPrEx>
        <w:trPr>
          <w:trHeight w:val="454" w:hRule="exact"/>
          <w:jc w:val="center"/>
        </w:trPr>
        <w:tc>
          <w:tcPr>
            <w:tcW w:w="348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5650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Verdana" w:hAnsi="Verdana" w:cs="宋体"/>
                <w:kern w:val="0"/>
                <w:sz w:val="18"/>
                <w:szCs w:val="18"/>
                <w:highlight w:val="none"/>
              </w:rPr>
            </w:pPr>
            <w:r>
              <w:rPr>
                <w:rFonts w:ascii="Verdana" w:hAnsi="Verdana" w:cs="宋体"/>
                <w:kern w:val="0"/>
                <w:sz w:val="18"/>
                <w:szCs w:val="18"/>
                <w:highlight w:val="none"/>
              </w:rPr>
              <w:t>500—1000</w:t>
            </w:r>
          </w:p>
        </w:tc>
        <w:tc>
          <w:tcPr>
            <w:tcW w:w="29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7480F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Verdana" w:hAnsi="Verdana" w:cs="宋体"/>
                <w:kern w:val="0"/>
                <w:sz w:val="18"/>
                <w:szCs w:val="18"/>
                <w:highlight w:val="none"/>
              </w:rPr>
            </w:pPr>
            <w:r>
              <w:rPr>
                <w:rFonts w:ascii="Verdana" w:hAnsi="Verdana" w:cs="宋体"/>
                <w:kern w:val="0"/>
                <w:sz w:val="18"/>
                <w:szCs w:val="18"/>
                <w:highlight w:val="none"/>
              </w:rPr>
              <w:t>0.8</w:t>
            </w:r>
            <w:r>
              <w:rPr>
                <w:rFonts w:hint="eastAsia" w:ascii="宋体" w:hAnsi="宋体" w:cs="宋体"/>
                <w:kern w:val="0"/>
                <w:sz w:val="18"/>
                <w:szCs w:val="18"/>
                <w:highlight w:val="none"/>
              </w:rPr>
              <w:t>％</w:t>
            </w:r>
          </w:p>
        </w:tc>
      </w:tr>
      <w:tr w14:paraId="178748CE">
        <w:tblPrEx>
          <w:tblCellMar>
            <w:top w:w="0" w:type="dxa"/>
            <w:left w:w="0" w:type="dxa"/>
            <w:bottom w:w="0" w:type="dxa"/>
            <w:right w:w="0" w:type="dxa"/>
          </w:tblCellMar>
        </w:tblPrEx>
        <w:trPr>
          <w:trHeight w:val="454" w:hRule="exact"/>
          <w:jc w:val="center"/>
        </w:trPr>
        <w:tc>
          <w:tcPr>
            <w:tcW w:w="348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16C3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Verdana" w:hAnsi="Verdana" w:cs="宋体"/>
                <w:kern w:val="0"/>
                <w:sz w:val="18"/>
                <w:szCs w:val="18"/>
                <w:highlight w:val="none"/>
              </w:rPr>
            </w:pPr>
            <w:r>
              <w:rPr>
                <w:rFonts w:ascii="Verdana" w:hAnsi="Verdana" w:cs="宋体"/>
                <w:kern w:val="0"/>
                <w:sz w:val="18"/>
                <w:szCs w:val="18"/>
                <w:highlight w:val="none"/>
              </w:rPr>
              <w:t>1000—5000</w:t>
            </w:r>
          </w:p>
        </w:tc>
        <w:tc>
          <w:tcPr>
            <w:tcW w:w="29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6D9AC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Verdana" w:hAnsi="Verdana" w:cs="宋体"/>
                <w:kern w:val="0"/>
                <w:sz w:val="18"/>
                <w:szCs w:val="18"/>
                <w:highlight w:val="none"/>
              </w:rPr>
            </w:pPr>
            <w:r>
              <w:rPr>
                <w:rFonts w:ascii="Verdana" w:hAnsi="Verdana" w:cs="宋体"/>
                <w:kern w:val="0"/>
                <w:sz w:val="18"/>
                <w:szCs w:val="18"/>
                <w:highlight w:val="none"/>
              </w:rPr>
              <w:t>0.5</w:t>
            </w:r>
            <w:r>
              <w:rPr>
                <w:rFonts w:hint="eastAsia" w:ascii="宋体" w:hAnsi="宋体" w:cs="宋体"/>
                <w:kern w:val="0"/>
                <w:sz w:val="18"/>
                <w:szCs w:val="18"/>
                <w:highlight w:val="none"/>
              </w:rPr>
              <w:t>％</w:t>
            </w:r>
          </w:p>
        </w:tc>
      </w:tr>
      <w:tr w14:paraId="03DD8632">
        <w:tblPrEx>
          <w:tblCellMar>
            <w:top w:w="0" w:type="dxa"/>
            <w:left w:w="0" w:type="dxa"/>
            <w:bottom w:w="0" w:type="dxa"/>
            <w:right w:w="0" w:type="dxa"/>
          </w:tblCellMar>
        </w:tblPrEx>
        <w:trPr>
          <w:trHeight w:val="454" w:hRule="exact"/>
          <w:jc w:val="center"/>
        </w:trPr>
        <w:tc>
          <w:tcPr>
            <w:tcW w:w="348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1D8D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Verdana" w:hAnsi="Verdana" w:cs="宋体"/>
                <w:kern w:val="0"/>
                <w:sz w:val="18"/>
                <w:szCs w:val="18"/>
                <w:highlight w:val="none"/>
              </w:rPr>
            </w:pPr>
            <w:r>
              <w:rPr>
                <w:rFonts w:ascii="Verdana" w:hAnsi="Verdana" w:cs="宋体"/>
                <w:kern w:val="0"/>
                <w:sz w:val="18"/>
                <w:szCs w:val="18"/>
                <w:highlight w:val="none"/>
              </w:rPr>
              <w:t>5000—10000</w:t>
            </w:r>
          </w:p>
        </w:tc>
        <w:tc>
          <w:tcPr>
            <w:tcW w:w="29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F62BF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Verdana" w:hAnsi="Verdana" w:cs="宋体"/>
                <w:kern w:val="0"/>
                <w:sz w:val="18"/>
                <w:szCs w:val="18"/>
                <w:highlight w:val="none"/>
              </w:rPr>
            </w:pPr>
            <w:r>
              <w:rPr>
                <w:rFonts w:ascii="Verdana" w:hAnsi="Verdana" w:cs="宋体"/>
                <w:kern w:val="0"/>
                <w:sz w:val="18"/>
                <w:szCs w:val="18"/>
                <w:highlight w:val="none"/>
              </w:rPr>
              <w:t>0.25</w:t>
            </w:r>
            <w:r>
              <w:rPr>
                <w:rFonts w:hint="eastAsia" w:ascii="宋体" w:hAnsi="宋体" w:cs="宋体"/>
                <w:kern w:val="0"/>
                <w:sz w:val="18"/>
                <w:szCs w:val="18"/>
                <w:highlight w:val="none"/>
              </w:rPr>
              <w:t>％</w:t>
            </w:r>
          </w:p>
        </w:tc>
      </w:tr>
    </w:tbl>
    <w:p w14:paraId="1E94B1C7">
      <w:pPr>
        <w:pStyle w:val="19"/>
        <w:snapToGrid w:val="0"/>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（四）特别说明</w:t>
      </w:r>
    </w:p>
    <w:p w14:paraId="423BC1E9">
      <w:pPr>
        <w:pStyle w:val="19"/>
        <w:snapToGrid w:val="0"/>
        <w:spacing w:line="360" w:lineRule="auto"/>
        <w:ind w:left="2" w:leftChars="1" w:firstLine="482" w:firstLineChars="200"/>
        <w:rPr>
          <w:rFonts w:ascii="宋体" w:hAnsi="宋体" w:eastAsia="宋体" w:cs="宋体"/>
          <w:color w:val="auto"/>
          <w:sz w:val="24"/>
          <w:highlight w:val="none"/>
        </w:rPr>
      </w:pPr>
      <w:r>
        <w:rPr>
          <w:rFonts w:hint="eastAsia" w:ascii="宋体" w:cs="宋体"/>
          <w:b/>
          <w:sz w:val="24"/>
          <w:highlight w:val="none"/>
        </w:rPr>
        <w:t>▲</w:t>
      </w:r>
      <w:r>
        <w:rPr>
          <w:rFonts w:hint="eastAsia" w:ascii="宋体" w:hAnsi="宋体" w:eastAsia="宋体" w:cs="宋体"/>
          <w:color w:val="auto"/>
          <w:sz w:val="24"/>
          <w:highlight w:val="none"/>
        </w:rPr>
        <w:t>1、供应商磋商所使用的资格、信誉、荣誉、业绩与企业认证必须为本法人所拥有。供应商磋商所使用的采购项目实施人员必须为本法人员工。</w:t>
      </w:r>
      <w:r>
        <w:rPr>
          <w:rFonts w:hint="eastAsia" w:ascii="宋体" w:hAnsi="宋体" w:eastAsia="宋体"/>
          <w:sz w:val="24"/>
          <w:highlight w:val="none"/>
        </w:rPr>
        <w:t>其中涉及资格条件的如非本法人所拥有，则投标无效。</w:t>
      </w:r>
    </w:p>
    <w:p w14:paraId="28DB7A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2、供应商所标产品除</w:t>
      </w:r>
      <w:r>
        <w:rPr>
          <w:rFonts w:hint="eastAsia" w:ascii="宋体" w:hAnsi="宋体" w:cs="宋体"/>
          <w:bCs/>
          <w:color w:val="auto"/>
          <w:sz w:val="24"/>
          <w:highlight w:val="none"/>
        </w:rPr>
        <w:t>磋商文件</w:t>
      </w:r>
      <w:r>
        <w:rPr>
          <w:rFonts w:hint="eastAsia" w:ascii="宋体" w:hAnsi="宋体" w:cs="宋体"/>
          <w:color w:val="auto"/>
          <w:sz w:val="24"/>
          <w:highlight w:val="none"/>
        </w:rPr>
        <w:t>中明确规定要求“提供官网截图或相应检测报告的证明材料”以外，所有技术参数描述均以磋商响应文件为准。</w:t>
      </w:r>
      <w:r>
        <w:rPr>
          <w:rFonts w:hint="eastAsia" w:ascii="宋体" w:hAnsi="宋体" w:cs="宋体"/>
          <w:b/>
          <w:color w:val="auto"/>
          <w:sz w:val="24"/>
          <w:highlight w:val="none"/>
        </w:rPr>
        <w:t>磋商供应商对所标产品技术参数的真实性承担法律责任。</w:t>
      </w:r>
      <w:r>
        <w:rPr>
          <w:rFonts w:hint="eastAsia" w:ascii="宋体" w:hAnsi="宋体" w:cs="宋体"/>
          <w:color w:val="auto"/>
          <w:sz w:val="24"/>
          <w:highlight w:val="none"/>
        </w:rPr>
        <w:t>项目</w:t>
      </w:r>
      <w:r>
        <w:rPr>
          <w:rFonts w:hint="eastAsia" w:ascii="宋体" w:hAnsi="宋体" w:cs="宋体"/>
          <w:bCs/>
          <w:color w:val="auto"/>
          <w:sz w:val="24"/>
          <w:highlight w:val="none"/>
        </w:rPr>
        <w:t>磋商</w:t>
      </w:r>
      <w:r>
        <w:rPr>
          <w:rFonts w:hint="eastAsia" w:ascii="宋体" w:hAnsi="宋体" w:cs="宋体"/>
          <w:color w:val="auto"/>
          <w:sz w:val="24"/>
          <w:highlight w:val="none"/>
        </w:rPr>
        <w:t>结束后、质疑期限内，如有质疑供应商认为成交供应商所标产品、磋商响应文件技术参数与采购需求存在重大偏离、错误、甚至造假的情况，应提供具体有效的证明材料。</w:t>
      </w:r>
      <w:r>
        <w:rPr>
          <w:rFonts w:hint="eastAsia" w:ascii="宋体" w:hAnsi="宋体" w:cs="宋体"/>
          <w:color w:val="auto"/>
          <w:sz w:val="24"/>
          <w:highlight w:val="none"/>
        </w:rPr>
        <w:tab/>
      </w:r>
    </w:p>
    <w:p w14:paraId="391656FA">
      <w:pPr>
        <w:pStyle w:val="54"/>
        <w:snapToGrid w:val="0"/>
        <w:spacing w:line="360" w:lineRule="auto"/>
        <w:ind w:firstLineChars="0"/>
        <w:rPr>
          <w:rFonts w:ascii="宋体" w:hAnsi="宋体" w:eastAsia="宋体" w:cs="宋体"/>
          <w:color w:val="auto"/>
          <w:sz w:val="24"/>
          <w:szCs w:val="24"/>
          <w:highlight w:val="none"/>
        </w:rPr>
      </w:pPr>
      <w:r>
        <w:rPr>
          <w:rFonts w:hint="eastAsia" w:ascii="宋体" w:hAnsi="宋体" w:cs="宋体"/>
          <w:sz w:val="24"/>
          <w:highlight w:val="none"/>
        </w:rPr>
        <w:t>▲</w:t>
      </w:r>
      <w:r>
        <w:rPr>
          <w:rFonts w:hint="eastAsia" w:ascii="宋体" w:hAnsi="宋体" w:eastAsia="宋体" w:cs="宋体"/>
          <w:color w:val="auto"/>
          <w:sz w:val="24"/>
          <w:szCs w:val="24"/>
          <w:highlight w:val="none"/>
        </w:rPr>
        <w:t>3、供应商在</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6613E26">
      <w:pPr>
        <w:pStyle w:val="54"/>
        <w:snapToGrid w:val="0"/>
        <w:spacing w:line="360" w:lineRule="auto"/>
        <w:ind w:firstLineChars="0"/>
        <w:rPr>
          <w:rFonts w:ascii="宋体" w:hAnsi="宋体" w:eastAsia="宋体" w:cs="宋体"/>
          <w:color w:val="auto"/>
          <w:sz w:val="24"/>
          <w:szCs w:val="24"/>
          <w:highlight w:val="none"/>
        </w:rPr>
      </w:pPr>
      <w:r>
        <w:rPr>
          <w:rFonts w:hint="eastAsia" w:ascii="宋体" w:hAnsi="宋体" w:cs="宋体"/>
          <w:sz w:val="24"/>
          <w:highlight w:val="none"/>
        </w:rPr>
        <w:t>▲</w:t>
      </w:r>
      <w:r>
        <w:rPr>
          <w:rFonts w:hint="eastAsia" w:ascii="宋体" w:hAnsi="宋体" w:eastAsia="宋体" w:cs="宋体"/>
          <w:color w:val="auto"/>
          <w:sz w:val="24"/>
          <w:szCs w:val="24"/>
          <w:highlight w:val="none"/>
        </w:rPr>
        <w:t>4、供应商不得相互串通磋商报价，不得妨碍其他供应商的公平竞争，不得损害采购人或其他供应商的合法权益，供应商不得以向采购人、磋商小组成员行贿或者采取其他不正当手段谋取成交。</w:t>
      </w:r>
    </w:p>
    <w:p w14:paraId="57A72B6C">
      <w:pPr>
        <w:pStyle w:val="54"/>
        <w:snapToGrid w:val="0"/>
        <w:spacing w:line="360" w:lineRule="auto"/>
        <w:ind w:firstLineChars="0"/>
        <w:rPr>
          <w:rFonts w:ascii="宋体" w:hAnsi="宋体" w:eastAsia="宋体" w:cs="宋体"/>
          <w:color w:val="auto"/>
          <w:sz w:val="24"/>
          <w:szCs w:val="24"/>
          <w:highlight w:val="none"/>
        </w:rPr>
      </w:pPr>
      <w:r>
        <w:rPr>
          <w:rFonts w:hint="eastAsia" w:ascii="宋体" w:hAnsi="宋体" w:cs="宋体"/>
          <w:sz w:val="24"/>
          <w:highlight w:val="none"/>
        </w:rPr>
        <w:t>▲</w:t>
      </w:r>
      <w:r>
        <w:rPr>
          <w:rFonts w:hint="eastAsia" w:ascii="宋体" w:hAnsi="宋体" w:eastAsia="宋体" w:cs="宋体"/>
          <w:color w:val="auto"/>
          <w:sz w:val="24"/>
          <w:szCs w:val="24"/>
          <w:highlight w:val="none"/>
        </w:rPr>
        <w:t>5、为采购项目提供整体设计、规范编制或者项目管理、监理、检测等服务的供应商，不得再参加该采购项目的其他采购活动。</w:t>
      </w:r>
    </w:p>
    <w:p w14:paraId="4577F026">
      <w:pPr>
        <w:pStyle w:val="54"/>
        <w:snapToGrid w:val="0"/>
        <w:spacing w:line="360" w:lineRule="auto"/>
        <w:ind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6、磋商响应文件格式中的表格式样可以根据项目差别做适当调整,但应当保持表格样式基本形态不变。</w:t>
      </w:r>
    </w:p>
    <w:p w14:paraId="220C2A6A">
      <w:pPr>
        <w:pStyle w:val="6"/>
        <w:keepNext w:val="0"/>
        <w:keepLines w:val="0"/>
        <w:tabs>
          <w:tab w:val="left" w:pos="851"/>
        </w:tabs>
        <w:autoSpaceDE w:val="0"/>
        <w:autoSpaceDN w:val="0"/>
        <w:adjustRightInd w:val="0"/>
        <w:snapToGrid w:val="0"/>
        <w:spacing w:before="0" w:after="0"/>
        <w:ind w:firstLine="480"/>
        <w:rPr>
          <w:rFonts w:hint="eastAsia" w:ascii="宋体" w:hAnsi="宋体" w:eastAsia="宋体" w:cs="宋体"/>
          <w:b w:val="0"/>
          <w:bCs w:val="0"/>
          <w:color w:val="auto"/>
          <w:sz w:val="24"/>
          <w:szCs w:val="24"/>
          <w:highlight w:val="none"/>
          <w:lang w:eastAsia="zh-CN"/>
        </w:rPr>
      </w:pPr>
      <w:r>
        <w:rPr>
          <w:rFonts w:hint="eastAsia" w:ascii="宋体" w:hAnsi="宋体" w:cs="宋体"/>
          <w:sz w:val="24"/>
          <w:highlight w:val="none"/>
        </w:rPr>
        <w:t>▲</w:t>
      </w:r>
      <w:r>
        <w:rPr>
          <w:rFonts w:hint="eastAsia" w:ascii="宋体" w:hAnsi="宋体" w:eastAsia="宋体" w:cs="宋体"/>
          <w:b w:val="0"/>
          <w:bCs w:val="0"/>
          <w:color w:val="auto"/>
          <w:sz w:val="24"/>
          <w:szCs w:val="24"/>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r>
        <w:rPr>
          <w:rFonts w:hint="eastAsia" w:ascii="宋体" w:hAnsi="宋体" w:eastAsia="宋体" w:cs="宋体"/>
          <w:b w:val="0"/>
          <w:bCs w:val="0"/>
          <w:color w:val="auto"/>
          <w:sz w:val="24"/>
          <w:szCs w:val="24"/>
          <w:highlight w:val="none"/>
          <w:lang w:eastAsia="zh-CN"/>
        </w:rPr>
        <w:t>。</w:t>
      </w:r>
    </w:p>
    <w:p w14:paraId="3A6349E9">
      <w:pPr>
        <w:pStyle w:val="6"/>
        <w:keepNext w:val="0"/>
        <w:keepLines w:val="0"/>
        <w:tabs>
          <w:tab w:val="left" w:pos="851"/>
        </w:tabs>
        <w:autoSpaceDE w:val="0"/>
        <w:autoSpaceDN w:val="0"/>
        <w:adjustRightInd w:val="0"/>
        <w:snapToGrid w:val="0"/>
        <w:spacing w:before="0" w:after="0"/>
        <w:ind w:firstLine="480"/>
        <w:rPr>
          <w:rFonts w:hint="eastAsia" w:ascii="宋体" w:hAnsi="宋体" w:eastAsia="宋体" w:cs="宋体"/>
          <w:b w:val="0"/>
          <w:bCs w:val="0"/>
          <w:color w:val="auto"/>
          <w:sz w:val="24"/>
          <w:szCs w:val="24"/>
          <w:highlight w:val="none"/>
        </w:rPr>
      </w:pPr>
      <w:r>
        <w:rPr>
          <w:rFonts w:hint="eastAsia" w:ascii="宋体" w:hAnsi="宋体" w:cs="宋体"/>
          <w:sz w:val="24"/>
          <w:highlight w:val="none"/>
        </w:rPr>
        <w:t>▲</w:t>
      </w:r>
      <w:r>
        <w:rPr>
          <w:rFonts w:hint="eastAsia" w:ascii="宋体" w:hAnsi="宋体" w:eastAsia="宋体" w:cs="宋体"/>
          <w:b w:val="0"/>
          <w:bCs w:val="0"/>
          <w:color w:val="auto"/>
          <w:sz w:val="24"/>
          <w:szCs w:val="24"/>
          <w:highlight w:val="none"/>
        </w:rPr>
        <w:t>8、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20B65BC0">
      <w:pPr>
        <w:pStyle w:val="6"/>
        <w:keepNext w:val="0"/>
        <w:keepLines w:val="0"/>
        <w:tabs>
          <w:tab w:val="left" w:pos="851"/>
        </w:tabs>
        <w:autoSpaceDE w:val="0"/>
        <w:autoSpaceDN w:val="0"/>
        <w:adjustRightInd w:val="0"/>
        <w:snapToGrid w:val="0"/>
        <w:spacing w:before="0" w:after="0"/>
        <w:ind w:firstLine="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、本项目不允许</w:t>
      </w:r>
      <w:r>
        <w:rPr>
          <w:rFonts w:hint="eastAsia" w:ascii="宋体" w:hAnsi="宋体" w:eastAsia="宋体" w:cs="宋体"/>
          <w:b w:val="0"/>
          <w:bCs w:val="0"/>
          <w:color w:val="auto"/>
          <w:sz w:val="24"/>
          <w:szCs w:val="24"/>
          <w:highlight w:val="none"/>
          <w:lang w:eastAsia="zh-CN"/>
        </w:rPr>
        <w:t>转包、</w:t>
      </w:r>
      <w:r>
        <w:rPr>
          <w:rFonts w:hint="eastAsia" w:ascii="宋体" w:hAnsi="宋体" w:eastAsia="宋体" w:cs="宋体"/>
          <w:b w:val="0"/>
          <w:bCs w:val="0"/>
          <w:color w:val="auto"/>
          <w:sz w:val="24"/>
          <w:szCs w:val="24"/>
          <w:highlight w:val="none"/>
        </w:rPr>
        <w:t>分包。</w:t>
      </w:r>
    </w:p>
    <w:p w14:paraId="613B1615">
      <w:pPr>
        <w:pStyle w:val="6"/>
        <w:keepNext w:val="0"/>
        <w:keepLines w:val="0"/>
        <w:tabs>
          <w:tab w:val="left" w:pos="851"/>
        </w:tabs>
        <w:autoSpaceDE w:val="0"/>
        <w:autoSpaceDN w:val="0"/>
        <w:adjustRightInd w:val="0"/>
        <w:snapToGrid w:val="0"/>
        <w:spacing w:before="0" w:after="0"/>
        <w:ind w:firstLine="480"/>
        <w:rPr>
          <w:rFonts w:hint="eastAsia" w:ascii="宋体" w:hAnsi="宋体" w:cs="宋体"/>
          <w:b/>
          <w:color w:val="auto"/>
          <w:kern w:val="0"/>
          <w:sz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10、本招标文件中关于电子招标、响应内容、流程如与政采云系统中最新的内容、操作不一致的，以政采云系统中的要求为准。</w:t>
      </w:r>
    </w:p>
    <w:p w14:paraId="34DA8E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cs="宋体"/>
          <w:b/>
          <w:color w:val="auto"/>
          <w:kern w:val="0"/>
          <w:sz w:val="24"/>
          <w:highlight w:val="none"/>
        </w:rPr>
      </w:pPr>
      <w:r>
        <w:rPr>
          <w:rFonts w:hint="eastAsia" w:ascii="宋体" w:hAnsi="宋体" w:cs="宋体"/>
          <w:b/>
          <w:color w:val="auto"/>
          <w:kern w:val="0"/>
          <w:sz w:val="24"/>
          <w:highlight w:val="none"/>
        </w:rPr>
        <w:t>二、磋商响应文件</w:t>
      </w:r>
    </w:p>
    <w:p w14:paraId="1C94EAE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cs="宋体"/>
          <w:b/>
          <w:color w:val="auto"/>
          <w:kern w:val="0"/>
          <w:sz w:val="24"/>
          <w:highlight w:val="none"/>
        </w:rPr>
      </w:pPr>
      <w:r>
        <w:rPr>
          <w:rFonts w:hint="eastAsia" w:ascii="宋体" w:hAnsi="宋体" w:cs="宋体"/>
          <w:b/>
          <w:color w:val="auto"/>
          <w:kern w:val="0"/>
          <w:sz w:val="24"/>
          <w:highlight w:val="none"/>
        </w:rPr>
        <w:t>（一）磋商响应文件的组成</w:t>
      </w:r>
    </w:p>
    <w:p w14:paraId="2AE77E52">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供应商应仔细阅读磋商采购文件的所有内容，按磋商采购文件的要求，详细编制磋商响应文件</w:t>
      </w:r>
      <w:r>
        <w:rPr>
          <w:rFonts w:hint="eastAsia" w:ascii="宋体" w:hAnsi="宋体" w:cs="宋体"/>
          <w:color w:val="auto"/>
          <w:sz w:val="24"/>
          <w:highlight w:val="none"/>
        </w:rPr>
        <w:t>。</w:t>
      </w:r>
      <w:r>
        <w:rPr>
          <w:rFonts w:hint="eastAsia" w:ascii="宋体" w:hAnsi="宋体" w:cs="宋体"/>
          <w:b/>
          <w:bCs/>
          <w:color w:val="auto"/>
          <w:sz w:val="24"/>
          <w:highlight w:val="none"/>
        </w:rPr>
        <w:t>具体包含的内容及组成以政采云电子交易客户端为准。</w:t>
      </w:r>
    </w:p>
    <w:p w14:paraId="4C7BCAE8">
      <w:pPr>
        <w:snapToGri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▲1、资格证明内容的组成：</w:t>
      </w:r>
    </w:p>
    <w:p w14:paraId="092ACA9B">
      <w:pPr>
        <w:pStyle w:val="19"/>
        <w:snapToGrid w:val="0"/>
        <w:spacing w:line="360" w:lineRule="auto"/>
        <w:ind w:left="2" w:leftChars="1" w:firstLine="480" w:firstLineChars="200"/>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（1）投标声明书（详见附件）；</w:t>
      </w:r>
    </w:p>
    <w:p w14:paraId="0F254381">
      <w:pPr>
        <w:pStyle w:val="19"/>
        <w:snapToGrid w:val="0"/>
        <w:spacing w:line="360" w:lineRule="auto"/>
        <w:ind w:left="2" w:leftChars="1" w:firstLine="480" w:firstLineChars="200"/>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（2）授权委托书（法定代表人亲自办理投标事宜的，则无需提交)（详见附件）；</w:t>
      </w:r>
    </w:p>
    <w:p w14:paraId="5789C5C5">
      <w:pPr>
        <w:pStyle w:val="19"/>
        <w:snapToGrid w:val="0"/>
        <w:spacing w:line="360" w:lineRule="auto"/>
        <w:ind w:left="2" w:leftChars="1" w:firstLine="480" w:firstLineChars="200"/>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 xml:space="preserve">（3）法人或者其他组织的营业执照等证明文件； </w:t>
      </w:r>
    </w:p>
    <w:p w14:paraId="1DD3EB62">
      <w:pPr>
        <w:pStyle w:val="19"/>
        <w:snapToGrid w:val="0"/>
        <w:spacing w:line="360" w:lineRule="auto"/>
        <w:ind w:left="2" w:leftChars="1" w:firstLine="480" w:firstLineChars="200"/>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（4）具有符合《中华人民共和国政府采购法》第二十二条规定的供应商资格条件的承诺函（详见附件）；</w:t>
      </w:r>
    </w:p>
    <w:p w14:paraId="1F87EDAF">
      <w:pPr>
        <w:snapToGrid w:val="0"/>
        <w:spacing w:line="360" w:lineRule="auto"/>
        <w:ind w:firstLine="480" w:firstLineChars="200"/>
        <w:rPr>
          <w:rFonts w:hint="eastAsia"/>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）磋商供应商没有失信记录承诺函（详见附件）；</w:t>
      </w:r>
    </w:p>
    <w:p w14:paraId="0B02D654">
      <w:pPr>
        <w:pStyle w:val="19"/>
        <w:snapToGrid w:val="0"/>
        <w:spacing w:line="360" w:lineRule="auto"/>
        <w:ind w:left="2" w:leftChars="1" w:firstLine="480" w:firstLineChars="200"/>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（6）落实政府采购政策需满足资格要求声明函等[提供中小企业声明函（详见格式附件）或残疾人福利性单位声明函（详见格式附件）或监狱企业证明文件]；</w:t>
      </w:r>
    </w:p>
    <w:p w14:paraId="3D19A787">
      <w:pPr>
        <w:pStyle w:val="19"/>
        <w:snapToGrid w:val="0"/>
        <w:spacing w:line="360" w:lineRule="auto"/>
        <w:ind w:left="2" w:leftChars="1" w:firstLine="480" w:firstLineChars="200"/>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（7）提供采购公告中符合供应商特定条件的有效证书或证明资料扫描件（投标供应商特定条件中有要求的必须提供），以及需要说明的其他资料；</w:t>
      </w:r>
    </w:p>
    <w:p w14:paraId="739CEFA3">
      <w:pPr>
        <w:pStyle w:val="50"/>
        <w:ind w:left="0" w:leftChars="0" w:firstLine="593" w:firstLineChars="246"/>
        <w:rPr>
          <w:rFonts w:ascii="宋体" w:hAnsi="宋体" w:cs="宋体"/>
          <w:color w:val="auto"/>
          <w:highlight w:val="none"/>
        </w:rPr>
      </w:pPr>
      <w:r>
        <w:rPr>
          <w:rFonts w:hint="eastAsia" w:ascii="宋体" w:hAnsi="宋体" w:cs="宋体"/>
          <w:color w:val="auto"/>
          <w:highlight w:val="none"/>
        </w:rPr>
        <w:t>2、商务与技术内容的组成：</w:t>
      </w:r>
    </w:p>
    <w:p w14:paraId="4ED64102">
      <w:pPr>
        <w:pStyle w:val="19"/>
        <w:snapToGrid w:val="0"/>
        <w:spacing w:line="360" w:lineRule="auto"/>
        <w:ind w:left="2" w:leftChars="1" w:firstLine="480" w:firstLineChars="200"/>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（1）供应商基本情况表（详见附件）；</w:t>
      </w:r>
    </w:p>
    <w:p w14:paraId="22383659">
      <w:pPr>
        <w:pStyle w:val="19"/>
        <w:snapToGrid w:val="0"/>
        <w:spacing w:line="360" w:lineRule="auto"/>
        <w:ind w:left="2" w:leftChars="1" w:firstLine="480" w:firstLineChars="200"/>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（2）商务及技术偏离表（详见附件）；</w:t>
      </w:r>
    </w:p>
    <w:p w14:paraId="033F2855">
      <w:pPr>
        <w:pStyle w:val="19"/>
        <w:snapToGrid w:val="0"/>
        <w:spacing w:line="360" w:lineRule="auto"/>
        <w:ind w:left="2" w:leftChars="1" w:firstLine="480" w:firstLineChars="200"/>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（3）设备配置清单（详见附件）；</w:t>
      </w:r>
    </w:p>
    <w:p w14:paraId="373B421D">
      <w:pPr>
        <w:pStyle w:val="19"/>
        <w:snapToGrid w:val="0"/>
        <w:spacing w:line="360" w:lineRule="auto"/>
        <w:ind w:left="2" w:leftChars="1" w:firstLine="480" w:firstLineChars="200"/>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（4）其余内容根据评标办法自拟（详见附件）；</w:t>
      </w:r>
    </w:p>
    <w:p w14:paraId="5D4CE690">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szCs w:val="21"/>
          <w:highlight w:val="none"/>
        </w:rPr>
        <w:t>（</w:t>
      </w:r>
      <w:r>
        <w:rPr>
          <w:rFonts w:hint="eastAsia" w:ascii="宋体" w:hAnsi="宋体" w:cs="宋体"/>
          <w:color w:val="auto"/>
          <w:sz w:val="24"/>
          <w:szCs w:val="21"/>
          <w:highlight w:val="none"/>
          <w:lang w:val="en-US" w:eastAsia="zh-CN"/>
        </w:rPr>
        <w:t>5</w:t>
      </w:r>
      <w:r>
        <w:rPr>
          <w:rFonts w:hint="eastAsia" w:ascii="宋体" w:hAnsi="宋体" w:cs="宋体"/>
          <w:color w:val="auto"/>
          <w:sz w:val="24"/>
          <w:szCs w:val="21"/>
          <w:highlight w:val="none"/>
        </w:rPr>
        <w:t>）投标人认为需要提供的其他资料</w:t>
      </w:r>
      <w:r>
        <w:rPr>
          <w:rFonts w:hint="eastAsia" w:ascii="宋体" w:hAnsi="宋体" w:cs="宋体"/>
          <w:color w:val="auto"/>
          <w:kern w:val="0"/>
          <w:sz w:val="24"/>
          <w:highlight w:val="none"/>
        </w:rPr>
        <w:t>。</w:t>
      </w:r>
    </w:p>
    <w:p w14:paraId="24071EBE">
      <w:pPr>
        <w:pStyle w:val="11"/>
        <w:widowControl/>
        <w:adjustRightInd w:val="0"/>
        <w:snapToGrid w:val="0"/>
        <w:spacing w:line="360" w:lineRule="auto"/>
        <w:ind w:left="218" w:leftChars="104" w:firstLine="482" w:firstLineChars="200"/>
        <w:rPr>
          <w:rFonts w:ascii="宋体" w:hAnsi="宋体" w:cs="宋体"/>
          <w:color w:val="auto"/>
          <w:sz w:val="24"/>
          <w:szCs w:val="24"/>
          <w:highlight w:val="none"/>
        </w:rPr>
      </w:pPr>
      <w:r>
        <w:rPr>
          <w:rFonts w:hint="eastAsia" w:ascii="宋体" w:hAnsi="宋体" w:cs="宋体"/>
          <w:b/>
          <w:color w:val="auto"/>
          <w:kern w:val="0"/>
          <w:sz w:val="24"/>
          <w:highlight w:val="none"/>
        </w:rPr>
        <w:t>招标需求中要求提供的相关证明材料及根据评标办法提供的证明材料均需在磋商响应文件中提供扫描件。</w:t>
      </w:r>
    </w:p>
    <w:p w14:paraId="3A4E82A3">
      <w:pPr>
        <w:autoSpaceDE w:val="0"/>
        <w:autoSpaceDN w:val="0"/>
        <w:adjustRightInd w:val="0"/>
        <w:spacing w:line="360" w:lineRule="auto"/>
        <w:ind w:left="426" w:firstLine="65" w:firstLineChars="27"/>
        <w:rPr>
          <w:rFonts w:ascii="宋体" w:hAnsi="宋体" w:cs="宋体"/>
          <w:b/>
          <w:color w:val="auto"/>
          <w:kern w:val="0"/>
          <w:sz w:val="24"/>
          <w:highlight w:val="none"/>
        </w:rPr>
      </w:pPr>
      <w:r>
        <w:rPr>
          <w:rFonts w:hint="eastAsia" w:ascii="宋体" w:hAnsi="宋体" w:cs="宋体"/>
          <w:b/>
          <w:color w:val="auto"/>
          <w:kern w:val="0"/>
          <w:sz w:val="24"/>
          <w:highlight w:val="none"/>
        </w:rPr>
        <w:t>3、报价内容的组成</w:t>
      </w:r>
    </w:p>
    <w:p w14:paraId="48C558B5">
      <w:pPr>
        <w:autoSpaceDE w:val="0"/>
        <w:autoSpaceDN w:val="0"/>
        <w:adjustRightIn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（1）首次报价一览表；</w:t>
      </w:r>
    </w:p>
    <w:p w14:paraId="288E653A">
      <w:pPr>
        <w:autoSpaceDE w:val="0"/>
        <w:autoSpaceDN w:val="0"/>
        <w:adjustRightInd w:val="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报价明细表；</w:t>
      </w:r>
    </w:p>
    <w:p w14:paraId="1533E89E">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宋体" w:hAnsi="宋体" w:cs="宋体"/>
          <w:color w:val="auto"/>
          <w:kern w:val="0"/>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注：①此报价为供应商针对本项目报出的唯一的首次报价，包含其它一切所要涉及到的费用，</w:t>
      </w:r>
      <w:r>
        <w:rPr>
          <w:rFonts w:hint="eastAsia" w:ascii="宋体" w:hAnsi="宋体" w:cs="宋体"/>
          <w:color w:val="auto"/>
          <w:kern w:val="0"/>
          <w:sz w:val="24"/>
          <w:highlight w:val="none"/>
          <w:lang w:val="en-US" w:eastAsia="zh-CN"/>
        </w:rPr>
        <w:t>有条件、</w:t>
      </w:r>
      <w:r>
        <w:rPr>
          <w:rFonts w:hint="eastAsia" w:ascii="宋体" w:hAnsi="宋体" w:cs="宋体"/>
          <w:color w:val="auto"/>
          <w:kern w:val="0"/>
          <w:sz w:val="24"/>
          <w:highlight w:val="none"/>
        </w:rPr>
        <w:t>有选择的报价将被拒绝。</w:t>
      </w:r>
    </w:p>
    <w:p w14:paraId="7B34373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②</w:t>
      </w:r>
      <w:r>
        <w:rPr>
          <w:rFonts w:hint="eastAsia" w:ascii="宋体" w:hAnsi="宋体" w:cs="宋体"/>
          <w:color w:val="auto"/>
          <w:kern w:val="0"/>
          <w:sz w:val="24"/>
          <w:highlight w:val="none"/>
          <w:lang w:eastAsia="zh-CN"/>
        </w:rPr>
        <w:t>此</w:t>
      </w:r>
      <w:r>
        <w:rPr>
          <w:rFonts w:hint="eastAsia" w:ascii="宋体" w:hAnsi="宋体" w:cs="宋体"/>
          <w:color w:val="auto"/>
          <w:kern w:val="0"/>
          <w:sz w:val="24"/>
          <w:highlight w:val="none"/>
        </w:rPr>
        <w:t>报价应</w:t>
      </w:r>
      <w:r>
        <w:rPr>
          <w:rFonts w:hint="eastAsia" w:ascii="宋体" w:hAnsi="宋体" w:eastAsia="宋体" w:cs="宋体"/>
          <w:color w:val="auto"/>
          <w:kern w:val="0"/>
          <w:sz w:val="24"/>
          <w:highlight w:val="none"/>
          <w:lang w:eastAsia="zh-CN"/>
        </w:rPr>
        <w:t>当是完全履行磋商内容及要求的价格体现，报价中须包含完成项目内容所需的货物物资的供货、运输、装卸、专用工具、人工费、技术服务及培训、售后服务、质保期保障、保险、利润、税金、政策性文件规定及合同包含的所有风险、责任等各项全部费用。</w:t>
      </w:r>
    </w:p>
    <w:p w14:paraId="000364A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③磋商响应报价表不得涂改和增删，</w:t>
      </w:r>
      <w:r>
        <w:rPr>
          <w:rFonts w:hint="eastAsia" w:ascii="宋体" w:hAnsi="宋体" w:cs="宋体"/>
          <w:b/>
          <w:sz w:val="24"/>
          <w:highlight w:val="none"/>
        </w:rPr>
        <w:t>▲</w:t>
      </w:r>
      <w:r>
        <w:rPr>
          <w:rFonts w:hint="eastAsia" w:ascii="宋体" w:hAnsi="宋体" w:cs="宋体"/>
          <w:color w:val="auto"/>
          <w:kern w:val="0"/>
          <w:sz w:val="24"/>
          <w:highlight w:val="none"/>
        </w:rPr>
        <w:t>如有错漏必须修改，修改处须由同一签署人签字或盖章。由于字迹模糊或表达不清</w:t>
      </w:r>
      <w:r>
        <w:rPr>
          <w:rFonts w:hint="eastAsia" w:ascii="宋体" w:hAnsi="宋体" w:cs="宋体"/>
          <w:color w:val="auto"/>
          <w:kern w:val="0"/>
          <w:sz w:val="24"/>
          <w:highlight w:val="none"/>
          <w:lang w:val="en-US" w:eastAsia="zh-CN"/>
        </w:rPr>
        <w:t>等</w:t>
      </w:r>
      <w:r>
        <w:rPr>
          <w:rFonts w:hint="eastAsia" w:ascii="宋体" w:hAnsi="宋体" w:cs="宋体"/>
          <w:color w:val="auto"/>
          <w:kern w:val="0"/>
          <w:sz w:val="24"/>
          <w:highlight w:val="none"/>
        </w:rPr>
        <w:t>引起的</w:t>
      </w:r>
      <w:r>
        <w:rPr>
          <w:rFonts w:hint="eastAsia" w:ascii="宋体" w:hAnsi="宋体" w:cs="宋体"/>
          <w:color w:val="auto"/>
          <w:kern w:val="0"/>
          <w:sz w:val="24"/>
          <w:highlight w:val="none"/>
          <w:lang w:val="en-US" w:eastAsia="zh-CN"/>
        </w:rPr>
        <w:t>投标无效</w:t>
      </w:r>
      <w:r>
        <w:rPr>
          <w:rFonts w:hint="eastAsia" w:ascii="宋体" w:hAnsi="宋体" w:cs="宋体"/>
          <w:color w:val="auto"/>
          <w:kern w:val="0"/>
          <w:sz w:val="24"/>
          <w:highlight w:val="none"/>
        </w:rPr>
        <w:t>后果由供应商负责。</w:t>
      </w:r>
    </w:p>
    <w:p w14:paraId="42C9532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④报价有关表格应按磋商采购文件中相关附表格式填写。</w:t>
      </w:r>
    </w:p>
    <w:p w14:paraId="08BDA6F0">
      <w:pPr>
        <w:keepNext w:val="0"/>
        <w:keepLines w:val="0"/>
        <w:pageBreakBefore w:val="0"/>
        <w:widowControl w:val="0"/>
        <w:kinsoku/>
        <w:wordWrap/>
        <w:overflowPunct/>
        <w:topLinePunct w:val="0"/>
        <w:bidi w:val="0"/>
        <w:snapToGrid/>
        <w:spacing w:line="360" w:lineRule="auto"/>
        <w:ind w:firstLine="482" w:firstLineChars="200"/>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⑤全权代表或法定代表人的手机号码和电子邮箱必须准确填写，开评标过程中须保持手机号码和电子邮箱畅通，随时进行项目磋商情况通报及回执。若法定代表人无法准时及全过程参加本项目线上招投标活动的，建议授权全权代表参加。</w:t>
      </w:r>
    </w:p>
    <w:p w14:paraId="6582A1B5">
      <w:pPr>
        <w:numPr>
          <w:ilvl w:val="0"/>
          <w:numId w:val="2"/>
        </w:numPr>
        <w:snapToGrid w:val="0"/>
        <w:spacing w:line="360" w:lineRule="auto"/>
        <w:rPr>
          <w:rFonts w:ascii="宋体" w:hAnsi="宋体" w:cs="宋体"/>
          <w:b/>
          <w:color w:val="auto"/>
          <w:sz w:val="24"/>
          <w:highlight w:val="none"/>
        </w:rPr>
      </w:pPr>
      <w:r>
        <w:rPr>
          <w:rFonts w:hint="eastAsia" w:ascii="宋体" w:hAnsi="宋体" w:cs="宋体"/>
          <w:b/>
          <w:bCs/>
          <w:color w:val="auto"/>
          <w:kern w:val="0"/>
          <w:sz w:val="24"/>
          <w:highlight w:val="none"/>
        </w:rPr>
        <w:t>磋商响应文件的制作及递交要求</w:t>
      </w:r>
    </w:p>
    <w:p w14:paraId="5F95CBCC">
      <w:pPr>
        <w:numPr>
          <w:ilvl w:val="0"/>
          <w:numId w:val="0"/>
        </w:numPr>
        <w:snapToGrid w:val="0"/>
        <w:spacing w:line="360" w:lineRule="auto"/>
        <w:ind w:left="480" w:leftChars="0" w:firstLine="241" w:firstLineChars="100"/>
        <w:rPr>
          <w:rFonts w:ascii="宋体" w:hAnsi="宋体" w:cs="宋体"/>
          <w:b/>
          <w:color w:val="auto"/>
          <w:sz w:val="24"/>
          <w:highlight w:val="none"/>
        </w:rPr>
      </w:pPr>
      <w:r>
        <w:rPr>
          <w:rFonts w:hint="eastAsia" w:ascii="宋体" w:hAnsi="宋体" w:cs="宋体"/>
          <w:b/>
          <w:color w:val="auto"/>
          <w:sz w:val="24"/>
          <w:highlight w:val="none"/>
        </w:rPr>
        <w:t>1、磋商响应文件的制作要求</w:t>
      </w:r>
    </w:p>
    <w:p w14:paraId="3F4971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（1）本项目通过“政府采购云平台（www.zcygov.cn）”实行在线投标响应（电子投标）。供应商应通过“政采云电子交易客户端”，并按照本招标文件和“政府采购云平台”的要求编制并加密投标文件。</w:t>
      </w:r>
    </w:p>
    <w:p w14:paraId="4F361452">
      <w:pPr>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（2）投标供应商应当按照本章节 “投标文件组成”规定的内容及顺序在“政采云电子交易客户端”编制投标文件。</w:t>
      </w:r>
    </w:p>
    <w:p w14:paraId="170F82D5">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 xml:space="preserve">（3）本文件《第六部分  </w:t>
      </w:r>
      <w:r>
        <w:rPr>
          <w:rFonts w:hint="eastAsia" w:ascii="宋体" w:hAnsi="宋体" w:cs="宋体"/>
          <w:bCs/>
          <w:color w:val="auto"/>
          <w:sz w:val="24"/>
          <w:highlight w:val="none"/>
          <w:lang w:val="en-US" w:eastAsia="zh-CN"/>
        </w:rPr>
        <w:t>响应文件格式附件</w:t>
      </w:r>
      <w:r>
        <w:rPr>
          <w:rFonts w:hint="eastAsia" w:ascii="宋体" w:hAnsi="宋体" w:cs="宋体"/>
          <w:bCs/>
          <w:color w:val="auto"/>
          <w:sz w:val="24"/>
          <w:highlight w:val="none"/>
        </w:rPr>
        <w:t>》中有提供格式的，投标供应商须参照格式进行编制（格式中要求提供相关证明材料的还需后附相关证明材料），并按格式要求在指定位置根据要求进行电子签章，否则视为未提供</w:t>
      </w:r>
      <w:r>
        <w:rPr>
          <w:rFonts w:hint="eastAsia" w:ascii="宋体" w:hAnsi="宋体" w:cs="宋体"/>
          <w:bCs/>
          <w:color w:val="auto"/>
          <w:sz w:val="24"/>
          <w:highlight w:val="none"/>
          <w:lang w:eastAsia="zh-CN"/>
        </w:rPr>
        <w:t>，</w:t>
      </w:r>
      <w:r>
        <w:rPr>
          <w:rFonts w:hint="eastAsia" w:ascii="宋体" w:cs="宋体"/>
          <w:b/>
          <w:bCs w:val="0"/>
          <w:color w:val="auto"/>
          <w:sz w:val="24"/>
          <w:highlight w:val="none"/>
        </w:rPr>
        <w:t>▲</w:t>
      </w:r>
      <w:r>
        <w:rPr>
          <w:rFonts w:ascii="宋体"/>
          <w:b/>
          <w:bCs w:val="0"/>
          <w:color w:val="auto"/>
          <w:sz w:val="24"/>
          <w:highlight w:val="none"/>
        </w:rPr>
        <w:t>如该文件未提供将影响投标有效性的，则视为投标无效</w:t>
      </w:r>
      <w:r>
        <w:rPr>
          <w:rFonts w:hint="eastAsia" w:ascii="宋体" w:hAnsi="宋体" w:cs="宋体"/>
          <w:bCs/>
          <w:sz w:val="24"/>
          <w:highlight w:val="none"/>
        </w:rPr>
        <w:t>；</w:t>
      </w:r>
      <w:r>
        <w:rPr>
          <w:rFonts w:hint="eastAsia" w:ascii="宋体" w:hAnsi="宋体" w:cs="宋体"/>
          <w:bCs/>
          <w:color w:val="auto"/>
          <w:sz w:val="24"/>
          <w:highlight w:val="none"/>
        </w:rPr>
        <w:t xml:space="preserve">本文件《第六部分   </w:t>
      </w:r>
      <w:r>
        <w:rPr>
          <w:rFonts w:hint="eastAsia" w:ascii="宋体" w:hAnsi="宋体" w:cs="宋体"/>
          <w:bCs/>
          <w:color w:val="auto"/>
          <w:sz w:val="24"/>
          <w:highlight w:val="none"/>
          <w:lang w:val="en-US" w:eastAsia="zh-CN"/>
        </w:rPr>
        <w:t>响应文件格式附件</w:t>
      </w:r>
      <w:r>
        <w:rPr>
          <w:rFonts w:hint="eastAsia" w:ascii="宋体" w:hAnsi="宋体" w:cs="宋体"/>
          <w:bCs/>
          <w:color w:val="auto"/>
          <w:sz w:val="24"/>
          <w:highlight w:val="none"/>
        </w:rPr>
        <w:t>》未提供格式的，请各投标单位自行拟定格式</w:t>
      </w:r>
      <w:r>
        <w:rPr>
          <w:rFonts w:hint="eastAsia" w:ascii="宋体" w:hAnsi="宋体" w:cs="宋体"/>
          <w:color w:val="auto"/>
          <w:sz w:val="24"/>
          <w:highlight w:val="none"/>
        </w:rPr>
        <w:t>。</w:t>
      </w:r>
    </w:p>
    <w:p w14:paraId="199DD834">
      <w:pPr>
        <w:autoSpaceDE w:val="0"/>
        <w:autoSpaceDN w:val="0"/>
        <w:adjustRightIn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（4）供应商应对所提供的全部资料的真实性承担法律责任。</w:t>
      </w:r>
    </w:p>
    <w:p w14:paraId="025A9CE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5</w:t>
      </w:r>
      <w:r>
        <w:rPr>
          <w:rFonts w:hint="eastAsia" w:ascii="宋体" w:hAnsi="宋体" w:cs="宋体"/>
          <w:color w:val="auto"/>
          <w:kern w:val="0"/>
          <w:sz w:val="24"/>
          <w:highlight w:val="none"/>
          <w:lang w:val="zh-CN"/>
        </w:rPr>
        <w:t>）</w:t>
      </w:r>
      <w:r>
        <w:rPr>
          <w:rFonts w:hint="eastAsia" w:ascii="宋体" w:hAnsi="宋体" w:cs="宋体"/>
          <w:color w:val="auto"/>
          <w:sz w:val="24"/>
          <w:highlight w:val="none"/>
        </w:rPr>
        <w:t>磋商响应文件以及磋商供应商与采购组织机构就有关磋商事宜的所有来往函电，均应以中文汉语书写。</w:t>
      </w:r>
      <w:r>
        <w:rPr>
          <w:rFonts w:hint="eastAsia" w:ascii="宋体" w:hAnsi="宋体" w:cs="宋体"/>
          <w:b/>
          <w:sz w:val="24"/>
          <w:highlight w:val="none"/>
        </w:rPr>
        <w:t>▲</w:t>
      </w:r>
      <w:r>
        <w:rPr>
          <w:rFonts w:hint="eastAsia" w:ascii="宋体" w:hAnsi="宋体" w:cs="宋体"/>
          <w:color w:val="auto"/>
          <w:sz w:val="24"/>
          <w:highlight w:val="none"/>
        </w:rPr>
        <w:t>除签字、盖章、专用名称等特殊情形外，以中文汉语以外的文字表述的磋商响应文件视同未提供。</w:t>
      </w:r>
      <w:r>
        <w:rPr>
          <w:rFonts w:hint="eastAsia" w:ascii="宋体" w:cs="宋体"/>
          <w:b/>
          <w:bCs w:val="0"/>
          <w:color w:val="auto"/>
          <w:sz w:val="24"/>
          <w:highlight w:val="none"/>
        </w:rPr>
        <w:t>▲</w:t>
      </w:r>
      <w:r>
        <w:rPr>
          <w:rFonts w:ascii="宋体"/>
          <w:b/>
          <w:bCs w:val="0"/>
          <w:color w:val="auto"/>
          <w:sz w:val="24"/>
          <w:highlight w:val="none"/>
        </w:rPr>
        <w:t>如该文件未提供将影响投标有效性的，则视为投标无效</w:t>
      </w:r>
      <w:r>
        <w:rPr>
          <w:rFonts w:hint="eastAsia" w:ascii="宋体" w:hAnsi="宋体" w:cs="宋体"/>
          <w:sz w:val="24"/>
          <w:highlight w:val="none"/>
        </w:rPr>
        <w:t>。</w:t>
      </w:r>
    </w:p>
    <w:p w14:paraId="3888BEC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b/>
          <w:sz w:val="24"/>
          <w:highlight w:val="none"/>
        </w:rPr>
        <w:t>▲</w:t>
      </w:r>
      <w:r>
        <w:rPr>
          <w:rFonts w:hint="eastAsia" w:ascii="宋体" w:hAnsi="宋体" w:cs="宋体"/>
          <w:color w:val="auto"/>
          <w:sz w:val="24"/>
          <w:highlight w:val="none"/>
        </w:rPr>
        <w:t>磋商计量单位，</w:t>
      </w:r>
      <w:r>
        <w:rPr>
          <w:rFonts w:hint="eastAsia" w:ascii="宋体" w:hAnsi="宋体" w:cs="宋体"/>
          <w:bCs/>
          <w:color w:val="auto"/>
          <w:sz w:val="24"/>
          <w:highlight w:val="none"/>
        </w:rPr>
        <w:t>磋商采购文件</w:t>
      </w:r>
      <w:r>
        <w:rPr>
          <w:rFonts w:hint="eastAsia" w:ascii="宋体" w:hAnsi="宋体" w:cs="宋体"/>
          <w:color w:val="auto"/>
          <w:sz w:val="24"/>
          <w:highlight w:val="none"/>
        </w:rPr>
        <w:t>已有明确规定的，使用</w:t>
      </w:r>
      <w:r>
        <w:rPr>
          <w:rFonts w:hint="eastAsia" w:ascii="宋体" w:hAnsi="宋体" w:cs="宋体"/>
          <w:bCs/>
          <w:color w:val="auto"/>
          <w:sz w:val="24"/>
          <w:highlight w:val="none"/>
        </w:rPr>
        <w:t>磋商采购文件</w:t>
      </w:r>
      <w:r>
        <w:rPr>
          <w:rFonts w:hint="eastAsia" w:ascii="宋体" w:hAnsi="宋体" w:cs="宋体"/>
          <w:color w:val="auto"/>
          <w:sz w:val="24"/>
          <w:highlight w:val="none"/>
        </w:rPr>
        <w:t>规定的计量单位；</w:t>
      </w:r>
      <w:r>
        <w:rPr>
          <w:rFonts w:hint="eastAsia" w:ascii="宋体" w:hAnsi="宋体" w:cs="宋体"/>
          <w:bCs/>
          <w:color w:val="auto"/>
          <w:sz w:val="24"/>
          <w:highlight w:val="none"/>
        </w:rPr>
        <w:t>磋商采购文件</w:t>
      </w:r>
      <w:r>
        <w:rPr>
          <w:rFonts w:hint="eastAsia" w:ascii="宋体" w:hAnsi="宋体" w:cs="宋体"/>
          <w:color w:val="auto"/>
          <w:sz w:val="24"/>
          <w:highlight w:val="none"/>
        </w:rPr>
        <w:t>没有规定的，应采用中华人民共和国法定计量单位（货币单位：人民币元），否则视同未响应。</w:t>
      </w:r>
    </w:p>
    <w:p w14:paraId="6D485B43">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（7）若磋商供应商不按采购文件的要求提供资格审查材料，其风险由磋商供应商自行承担。</w:t>
      </w:r>
    </w:p>
    <w:p w14:paraId="45802073">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color w:val="auto"/>
          <w:kern w:val="0"/>
          <w:sz w:val="24"/>
          <w:highlight w:val="none"/>
        </w:rPr>
        <w:t>（8）</w:t>
      </w:r>
      <w:r>
        <w:rPr>
          <w:rFonts w:hint="eastAsia" w:ascii="宋体" w:hAnsi="宋体" w:cs="宋体"/>
          <w:color w:val="auto"/>
          <w:sz w:val="24"/>
          <w:highlight w:val="none"/>
        </w:rPr>
        <w:t>与本次磋商无关的内容请不要制作在内，确保磋商响应文件有针对性、简洁明了。</w:t>
      </w:r>
    </w:p>
    <w:p w14:paraId="49A37D0B">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b/>
          <w:bCs/>
          <w:color w:val="auto"/>
          <w:sz w:val="24"/>
          <w:highlight w:val="none"/>
        </w:rPr>
        <w:t>2、投标文件的签章</w:t>
      </w:r>
    </w:p>
    <w:p w14:paraId="7238B10A">
      <w:pPr>
        <w:spacing w:line="360" w:lineRule="auto"/>
        <w:ind w:firstLine="460" w:firstLineChars="192"/>
        <w:rPr>
          <w:rFonts w:ascii="宋体" w:hAnsi="宋体" w:cs="宋体"/>
          <w:bCs/>
          <w:color w:val="auto"/>
          <w:kern w:val="0"/>
          <w:sz w:val="24"/>
          <w:highlight w:val="none"/>
        </w:rPr>
      </w:pPr>
      <w:r>
        <w:rPr>
          <w:rFonts w:hint="eastAsia" w:ascii="宋体" w:hAnsi="宋体" w:cs="宋体"/>
          <w:bCs/>
          <w:color w:val="auto"/>
          <w:kern w:val="0"/>
          <w:sz w:val="24"/>
          <w:highlight w:val="none"/>
        </w:rPr>
        <w:t>（1）《投标文件》的签章：</w:t>
      </w:r>
      <w:r>
        <w:rPr>
          <w:rFonts w:hint="eastAsia" w:ascii="宋体" w:hAnsi="宋体" w:cs="宋体"/>
          <w:bCs/>
          <w:color w:val="auto"/>
          <w:sz w:val="24"/>
          <w:highlight w:val="none"/>
        </w:rPr>
        <w:t>见《前附表》；</w:t>
      </w:r>
    </w:p>
    <w:p w14:paraId="2E8586CA">
      <w:pPr>
        <w:spacing w:line="360" w:lineRule="auto"/>
        <w:ind w:firstLine="403" w:firstLineChars="192"/>
        <w:rPr>
          <w:rFonts w:ascii="宋体" w:hAnsi="宋体" w:cs="宋体"/>
          <w:bCs/>
          <w:color w:val="auto"/>
          <w:kern w:val="0"/>
          <w:sz w:val="24"/>
          <w:highlight w:val="none"/>
        </w:rPr>
      </w:pPr>
      <w:r>
        <w:rPr>
          <w:rFonts w:hint="eastAsia" w:ascii="宋体" w:hAnsi="宋体" w:cs="宋体"/>
          <w:color w:val="auto"/>
          <w:highlight w:val="none"/>
        </w:rPr>
        <w:t>▲</w:t>
      </w:r>
      <w:r>
        <w:rPr>
          <w:rFonts w:hint="eastAsia" w:ascii="宋体" w:hAnsi="宋体" w:cs="宋体"/>
          <w:bCs/>
          <w:color w:val="auto"/>
          <w:kern w:val="0"/>
          <w:sz w:val="24"/>
          <w:highlight w:val="none"/>
        </w:rPr>
        <w:t>（2）《投标文件》应由投标供应商法定代表人或其授权代表签字（或签章），并同时加盖投标供应商公章</w:t>
      </w:r>
      <w:r>
        <w:rPr>
          <w:rFonts w:hint="eastAsia" w:ascii="宋体" w:hAnsi="宋体" w:cs="宋体"/>
          <w:bCs/>
          <w:color w:val="auto"/>
          <w:kern w:val="0"/>
          <w:sz w:val="24"/>
          <w:highlight w:val="none"/>
          <w:lang w:eastAsia="zh-CN"/>
        </w:rPr>
        <w:t>，</w:t>
      </w:r>
      <w:r>
        <w:rPr>
          <w:rFonts w:ascii="宋体"/>
          <w:b/>
          <w:bCs w:val="0"/>
          <w:color w:val="auto"/>
          <w:sz w:val="24"/>
          <w:highlight w:val="none"/>
        </w:rPr>
        <w:t>如该文件未提供将影响投标有效性的，则视为投标无效</w:t>
      </w:r>
      <w:r>
        <w:rPr>
          <w:rFonts w:hint="eastAsia" w:ascii="宋体" w:hAnsi="Times New Roman" w:eastAsia="宋体" w:cs="Arial"/>
          <w:b/>
          <w:color w:val="auto"/>
          <w:kern w:val="0"/>
          <w:sz w:val="24"/>
          <w:szCs w:val="24"/>
          <w:highlight w:val="none"/>
          <w:lang w:val="zh-CN"/>
        </w:rPr>
        <w:t>。</w:t>
      </w:r>
    </w:p>
    <w:p w14:paraId="7B66F950">
      <w:pPr>
        <w:autoSpaceDE w:val="0"/>
        <w:autoSpaceDN w:val="0"/>
        <w:adjustRightInd w:val="0"/>
        <w:spacing w:line="360" w:lineRule="auto"/>
        <w:ind w:firstLine="480"/>
        <w:rPr>
          <w:rFonts w:ascii="宋体" w:hAnsi="宋体" w:cs="宋体"/>
          <w:color w:val="auto"/>
          <w:kern w:val="0"/>
          <w:sz w:val="24"/>
          <w:highlight w:val="none"/>
          <w:lang w:val="zh-CN"/>
        </w:rPr>
      </w:pPr>
      <w:r>
        <w:rPr>
          <w:rFonts w:hint="eastAsia" w:ascii="宋体" w:hAnsi="宋体" w:cs="宋体"/>
          <w:bCs/>
          <w:color w:val="auto"/>
          <w:kern w:val="0"/>
          <w:sz w:val="24"/>
          <w:highlight w:val="none"/>
        </w:rPr>
        <w:t>（3）电子签章操作指南详见</w:t>
      </w:r>
      <w:r>
        <w:rPr>
          <w:rFonts w:hint="eastAsia" w:ascii="宋体" w:hAnsi="宋体" w:cs="宋体"/>
          <w:bCs/>
          <w:color w:val="auto"/>
          <w:sz w:val="24"/>
          <w:highlight w:val="none"/>
        </w:rPr>
        <w:t>《供应商项目采购-电子招投标操作指南》。</w:t>
      </w:r>
    </w:p>
    <w:p w14:paraId="1C7C2DA0">
      <w:pPr>
        <w:autoSpaceDE w:val="0"/>
        <w:autoSpaceDN w:val="0"/>
        <w:adjustRightInd w:val="0"/>
        <w:spacing w:line="360" w:lineRule="auto"/>
        <w:ind w:firstLine="480"/>
        <w:rPr>
          <w:rFonts w:ascii="宋体" w:hAnsi="宋体" w:cs="宋体"/>
          <w:b/>
          <w:color w:val="auto"/>
          <w:kern w:val="0"/>
          <w:sz w:val="24"/>
          <w:highlight w:val="none"/>
        </w:rPr>
      </w:pPr>
      <w:r>
        <w:rPr>
          <w:rFonts w:hint="eastAsia" w:ascii="宋体" w:hAnsi="宋体" w:cs="宋体"/>
          <w:b/>
          <w:color w:val="auto"/>
          <w:kern w:val="0"/>
          <w:sz w:val="24"/>
          <w:highlight w:val="none"/>
        </w:rPr>
        <w:t>3、投标文件的形式</w:t>
      </w:r>
    </w:p>
    <w:p w14:paraId="0591B237">
      <w:pPr>
        <w:spacing w:line="360" w:lineRule="auto"/>
        <w:ind w:firstLine="422" w:firstLineChars="176"/>
        <w:rPr>
          <w:rFonts w:ascii="宋体" w:hAnsi="宋体" w:cs="宋体"/>
          <w:bCs/>
          <w:color w:val="auto"/>
          <w:sz w:val="24"/>
          <w:highlight w:val="none"/>
        </w:rPr>
      </w:pPr>
      <w:r>
        <w:rPr>
          <w:rFonts w:hint="eastAsia" w:ascii="宋体" w:hAnsi="宋体" w:cs="宋体"/>
          <w:bCs/>
          <w:color w:val="auto"/>
          <w:sz w:val="24"/>
          <w:highlight w:val="none"/>
        </w:rPr>
        <w:t>（1）投标文件的形式：见《前附表》；</w:t>
      </w:r>
    </w:p>
    <w:p w14:paraId="0CB8F584">
      <w:pPr>
        <w:spacing w:line="360" w:lineRule="auto"/>
        <w:ind w:firstLine="422" w:firstLineChars="176"/>
        <w:rPr>
          <w:rFonts w:ascii="宋体" w:hAnsi="宋体" w:cs="宋体"/>
          <w:bCs/>
          <w:color w:val="auto"/>
          <w:sz w:val="24"/>
          <w:highlight w:val="none"/>
        </w:rPr>
      </w:pPr>
      <w:r>
        <w:rPr>
          <w:rFonts w:hint="eastAsia" w:ascii="宋体" w:hAnsi="宋体" w:cs="宋体"/>
          <w:bCs/>
          <w:color w:val="auto"/>
          <w:sz w:val="24"/>
          <w:highlight w:val="none"/>
        </w:rPr>
        <w:t>（2）“电子加密投标文件”：“电子加密投标文件”是指通过“政采云电子交易客户端”完成投标文件编制后生成并加密的数据电文形式的投标文件。</w:t>
      </w:r>
    </w:p>
    <w:p w14:paraId="0DDB7694">
      <w:pPr>
        <w:autoSpaceDE w:val="0"/>
        <w:autoSpaceDN w:val="0"/>
        <w:adjustRightIn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（3）“备份投标文件”：“备份投标文件”是指与“电子加密投标文件”同时生成的数据电文形式的电子文件（备份标书），</w:t>
      </w:r>
      <w:r>
        <w:rPr>
          <w:rFonts w:hint="eastAsia" w:ascii="宋体" w:hAnsi="宋体" w:cs="宋体"/>
          <w:b/>
          <w:sz w:val="24"/>
          <w:highlight w:val="none"/>
        </w:rPr>
        <w:t>▲</w:t>
      </w:r>
      <w:r>
        <w:rPr>
          <w:rFonts w:hint="eastAsia" w:ascii="宋体" w:hAnsi="宋体" w:cs="宋体"/>
          <w:bCs/>
          <w:color w:val="auto"/>
          <w:sz w:val="24"/>
          <w:highlight w:val="none"/>
        </w:rPr>
        <w:t>其他方式编制的“备份投标文件”视为无效的“备份投标文件”。</w:t>
      </w:r>
    </w:p>
    <w:p w14:paraId="6022B0B0">
      <w:pPr>
        <w:autoSpaceDE w:val="0"/>
        <w:autoSpaceDN w:val="0"/>
        <w:adjustRightInd w:val="0"/>
        <w:spacing w:line="360" w:lineRule="auto"/>
        <w:ind w:firstLine="480"/>
        <w:rPr>
          <w:rFonts w:ascii="宋体" w:hAnsi="宋体" w:cs="宋体"/>
          <w:b/>
          <w:color w:val="auto"/>
          <w:kern w:val="0"/>
          <w:sz w:val="24"/>
          <w:highlight w:val="none"/>
        </w:rPr>
      </w:pPr>
      <w:r>
        <w:rPr>
          <w:rFonts w:hint="eastAsia" w:ascii="宋体" w:hAnsi="宋体" w:cs="宋体"/>
          <w:b/>
          <w:color w:val="auto"/>
          <w:kern w:val="0"/>
          <w:sz w:val="24"/>
          <w:highlight w:val="none"/>
        </w:rPr>
        <w:t>4、投标文件的份数</w:t>
      </w:r>
    </w:p>
    <w:p w14:paraId="16587863">
      <w:pPr>
        <w:autoSpaceDE w:val="0"/>
        <w:autoSpaceDN w:val="0"/>
        <w:adjustRightInd w:val="0"/>
        <w:spacing w:line="360" w:lineRule="auto"/>
        <w:ind w:firstLine="480"/>
        <w:rPr>
          <w:rFonts w:ascii="宋体" w:hAnsi="宋体" w:cs="宋体"/>
          <w:bCs/>
          <w:color w:val="auto"/>
          <w:kern w:val="0"/>
          <w:sz w:val="24"/>
          <w:highlight w:val="none"/>
        </w:rPr>
      </w:pPr>
      <w:r>
        <w:rPr>
          <w:rFonts w:hint="eastAsia" w:ascii="宋体" w:hAnsi="宋体" w:cs="宋体"/>
          <w:bCs/>
          <w:color w:val="auto"/>
          <w:kern w:val="0"/>
          <w:sz w:val="24"/>
          <w:highlight w:val="none"/>
        </w:rPr>
        <w:t>（1）投标文件的份数：见《前附表》。</w:t>
      </w:r>
    </w:p>
    <w:p w14:paraId="36C485A0">
      <w:pPr>
        <w:tabs>
          <w:tab w:val="left" w:pos="1898"/>
        </w:tabs>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5、磋商响应文件的补充、修改和撤回。</w:t>
      </w:r>
    </w:p>
    <w:p w14:paraId="24F0DDC9">
      <w:pPr>
        <w:tabs>
          <w:tab w:val="left" w:pos="960"/>
          <w:tab w:val="left" w:pos="1418"/>
        </w:tabs>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sz w:val="24"/>
          <w:highlight w:val="none"/>
        </w:rPr>
        <w:t>▲</w:t>
      </w:r>
      <w:r>
        <w:rPr>
          <w:rFonts w:hint="eastAsia" w:ascii="宋体" w:hAnsi="宋体" w:cs="宋体"/>
          <w:color w:val="auto"/>
          <w:kern w:val="0"/>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7D445D2B">
      <w:pPr>
        <w:numPr>
          <w:ilvl w:val="0"/>
          <w:numId w:val="3"/>
        </w:numPr>
        <w:tabs>
          <w:tab w:val="left" w:pos="1418"/>
        </w:tabs>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投标截止时间后，投标供应商不得撤回、修改《投标文件》。</w:t>
      </w:r>
    </w:p>
    <w:p w14:paraId="17FA361A">
      <w:pPr>
        <w:tabs>
          <w:tab w:val="left" w:pos="1418"/>
        </w:tabs>
        <w:autoSpaceDE w:val="0"/>
        <w:autoSpaceDN w:val="0"/>
        <w:adjustRightInd w:val="0"/>
        <w:spacing w:line="360" w:lineRule="auto"/>
        <w:ind w:left="480"/>
        <w:rPr>
          <w:rFonts w:ascii="宋体" w:hAnsi="宋体" w:cs="宋体"/>
          <w:color w:val="auto"/>
          <w:kern w:val="0"/>
          <w:sz w:val="24"/>
          <w:highlight w:val="none"/>
        </w:rPr>
      </w:pPr>
      <w:r>
        <w:rPr>
          <w:rFonts w:hint="eastAsia" w:ascii="宋体" w:hAnsi="宋体" w:cs="宋体"/>
          <w:b/>
          <w:color w:val="auto"/>
          <w:kern w:val="0"/>
          <w:sz w:val="24"/>
          <w:highlight w:val="none"/>
        </w:rPr>
        <w:t>（三）磋商响应文件的有效期</w:t>
      </w:r>
    </w:p>
    <w:p w14:paraId="42C0FCB0">
      <w:pPr>
        <w:pStyle w:val="10"/>
        <w:widowControl w:val="0"/>
        <w:numPr>
          <w:ilvl w:val="0"/>
          <w:numId w:val="0"/>
        </w:numPr>
        <w:tabs>
          <w:tab w:val="left" w:pos="0"/>
          <w:tab w:val="left" w:pos="1200"/>
          <w:tab w:val="clear" w:pos="454"/>
        </w:tabs>
        <w:snapToGrid w:val="0"/>
        <w:spacing w:afterLines="0" w:line="360" w:lineRule="auto"/>
        <w:ind w:firstLine="480" w:firstLineChars="200"/>
        <w:rPr>
          <w:rFonts w:ascii="宋体" w:hAnsi="宋体" w:cs="宋体"/>
          <w:color w:val="auto"/>
          <w:szCs w:val="24"/>
          <w:highlight w:val="none"/>
          <w:lang w:val="en-GB"/>
        </w:rPr>
      </w:pPr>
      <w:r>
        <w:rPr>
          <w:rFonts w:hint="eastAsia" w:ascii="宋体" w:hAnsi="宋体" w:cs="宋体"/>
          <w:bCs/>
          <w:sz w:val="24"/>
          <w:highlight w:val="none"/>
        </w:rPr>
        <w:t>▲</w:t>
      </w:r>
      <w:r>
        <w:rPr>
          <w:rFonts w:hint="eastAsia" w:ascii="宋体" w:hAnsi="宋体" w:cs="宋体"/>
          <w:color w:val="auto"/>
          <w:szCs w:val="24"/>
          <w:highlight w:val="none"/>
        </w:rPr>
        <w:t>1、</w:t>
      </w:r>
      <w:r>
        <w:rPr>
          <w:rFonts w:hint="eastAsia" w:ascii="宋体" w:hAnsi="宋体" w:cs="宋体"/>
          <w:color w:val="auto"/>
          <w:szCs w:val="24"/>
          <w:highlight w:val="none"/>
          <w:lang w:val="en-GB"/>
        </w:rPr>
        <w:t>自磋商响应截止日起90天磋商响应文件应保持有效。有效期不足的磋商响应文件将被拒绝。</w:t>
      </w:r>
    </w:p>
    <w:p w14:paraId="48D95280">
      <w:pPr>
        <w:pStyle w:val="10"/>
        <w:widowControl w:val="0"/>
        <w:numPr>
          <w:ilvl w:val="0"/>
          <w:numId w:val="0"/>
        </w:numPr>
        <w:tabs>
          <w:tab w:val="left" w:pos="0"/>
          <w:tab w:val="left" w:pos="1200"/>
          <w:tab w:val="clear" w:pos="454"/>
        </w:tabs>
        <w:snapToGrid w:val="0"/>
        <w:spacing w:afterLines="0"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2、在特殊情况下，采购人可与磋商供应商协商延长磋商响应文件的有效期，这种要求和答复均以书面形式进行。</w:t>
      </w:r>
    </w:p>
    <w:p w14:paraId="4FFA7FF1">
      <w:pPr>
        <w:pStyle w:val="10"/>
        <w:widowControl w:val="0"/>
        <w:numPr>
          <w:ilvl w:val="0"/>
          <w:numId w:val="0"/>
        </w:numPr>
        <w:tabs>
          <w:tab w:val="left" w:pos="0"/>
          <w:tab w:val="left" w:pos="425"/>
          <w:tab w:val="left" w:pos="1200"/>
          <w:tab w:val="clear" w:pos="454"/>
        </w:tabs>
        <w:snapToGrid w:val="0"/>
        <w:spacing w:afterLines="0" w:line="360" w:lineRule="auto"/>
        <w:ind w:firstLine="420" w:firstLineChars="175"/>
        <w:rPr>
          <w:rFonts w:ascii="宋体" w:hAnsi="宋体" w:cs="宋体"/>
          <w:color w:val="auto"/>
          <w:szCs w:val="24"/>
          <w:highlight w:val="none"/>
        </w:rPr>
      </w:pPr>
      <w:r>
        <w:rPr>
          <w:rFonts w:hint="eastAsia" w:ascii="宋体" w:hAnsi="宋体" w:cs="宋体"/>
          <w:color w:val="auto"/>
          <w:szCs w:val="24"/>
          <w:highlight w:val="none"/>
        </w:rPr>
        <w:t xml:space="preserve">3、磋商供应商可拒绝接受延期要求。同意延长有效期的磋商供应商不能修改磋商响应文件。 </w:t>
      </w:r>
    </w:p>
    <w:p w14:paraId="7D538810">
      <w:pPr>
        <w:snapToGrid w:val="0"/>
        <w:spacing w:line="360" w:lineRule="auto"/>
        <w:ind w:firstLine="241" w:firstLineChars="100"/>
        <w:jc w:val="left"/>
        <w:outlineLvl w:val="0"/>
        <w:rPr>
          <w:rFonts w:ascii="宋体" w:hAnsi="宋体" w:cs="宋体"/>
          <w:color w:val="auto"/>
          <w:kern w:val="0"/>
          <w:sz w:val="24"/>
          <w:highlight w:val="none"/>
        </w:rPr>
      </w:pPr>
      <w:r>
        <w:rPr>
          <w:rFonts w:hint="eastAsia" w:ascii="宋体" w:hAnsi="宋体" w:cs="宋体"/>
          <w:b/>
          <w:sz w:val="24"/>
          <w:highlight w:val="none"/>
        </w:rPr>
        <w:t>▲</w:t>
      </w:r>
      <w:r>
        <w:rPr>
          <w:rFonts w:hint="eastAsia" w:ascii="宋体" w:hAnsi="宋体" w:cs="宋体"/>
          <w:color w:val="auto"/>
          <w:kern w:val="0"/>
          <w:sz w:val="24"/>
          <w:highlight w:val="none"/>
        </w:rPr>
        <w:t>4</w:t>
      </w:r>
      <w:r>
        <w:rPr>
          <w:rFonts w:hint="eastAsia" w:ascii="宋体" w:hAnsi="宋体" w:cs="宋体"/>
          <w:color w:val="auto"/>
          <w:szCs w:val="24"/>
          <w:highlight w:val="none"/>
        </w:rPr>
        <w:t>、</w:t>
      </w:r>
      <w:r>
        <w:rPr>
          <w:rFonts w:hint="eastAsia" w:ascii="宋体" w:hAnsi="宋体" w:cs="宋体"/>
          <w:color w:val="auto"/>
          <w:kern w:val="0"/>
          <w:sz w:val="24"/>
          <w:highlight w:val="none"/>
        </w:rPr>
        <w:t>成交供应商的</w:t>
      </w:r>
      <w:r>
        <w:rPr>
          <w:rFonts w:hint="eastAsia" w:ascii="宋体" w:hAnsi="宋体" w:cs="宋体"/>
          <w:color w:val="auto"/>
          <w:sz w:val="24"/>
          <w:highlight w:val="none"/>
        </w:rPr>
        <w:t>磋商响应文件</w:t>
      </w:r>
      <w:r>
        <w:rPr>
          <w:rFonts w:hint="eastAsia" w:ascii="宋体" w:hAnsi="宋体" w:cs="宋体"/>
          <w:color w:val="auto"/>
          <w:kern w:val="0"/>
          <w:sz w:val="24"/>
          <w:highlight w:val="none"/>
        </w:rPr>
        <w:t>自磋商之日起至合同履行完毕均应保持有效。</w:t>
      </w:r>
    </w:p>
    <w:p w14:paraId="7E1FE8CA">
      <w:pPr>
        <w:snapToGrid w:val="0"/>
        <w:spacing w:line="360" w:lineRule="auto"/>
        <w:ind w:firstLine="482" w:firstLineChars="200"/>
        <w:jc w:val="left"/>
        <w:outlineLvl w:val="0"/>
        <w:rPr>
          <w:rFonts w:ascii="宋体" w:hAnsi="宋体" w:cs="宋体"/>
          <w:b/>
          <w:color w:val="auto"/>
          <w:kern w:val="0"/>
          <w:sz w:val="24"/>
          <w:highlight w:val="none"/>
        </w:rPr>
      </w:pPr>
      <w:r>
        <w:rPr>
          <w:rFonts w:hint="eastAsia" w:ascii="宋体" w:hAnsi="宋体" w:cs="宋体"/>
          <w:b/>
          <w:color w:val="auto"/>
          <w:kern w:val="0"/>
          <w:sz w:val="24"/>
          <w:highlight w:val="none"/>
        </w:rPr>
        <w:t>（四）投标文件的备选方案</w:t>
      </w:r>
    </w:p>
    <w:p w14:paraId="18ABECB4">
      <w:pPr>
        <w:snapToGrid w:val="0"/>
        <w:spacing w:line="360" w:lineRule="auto"/>
        <w:ind w:firstLine="482" w:firstLineChars="200"/>
        <w:jc w:val="left"/>
        <w:outlineLvl w:val="0"/>
        <w:rPr>
          <w:rFonts w:ascii="宋体" w:hAnsi="宋体" w:cs="宋体"/>
          <w:color w:val="auto"/>
          <w:kern w:val="0"/>
          <w:sz w:val="24"/>
          <w:highlight w:val="none"/>
        </w:rPr>
      </w:pPr>
      <w:r>
        <w:rPr>
          <w:rFonts w:hint="eastAsia" w:ascii="宋体" w:hAnsi="宋体" w:cs="宋体"/>
          <w:b/>
          <w:sz w:val="24"/>
          <w:highlight w:val="none"/>
        </w:rPr>
        <w:t>▲</w:t>
      </w:r>
      <w:r>
        <w:rPr>
          <w:rFonts w:hint="eastAsia" w:ascii="宋体" w:hAnsi="宋体" w:cs="宋体"/>
          <w:color w:val="auto"/>
          <w:kern w:val="0"/>
          <w:sz w:val="24"/>
          <w:highlight w:val="none"/>
        </w:rPr>
        <w:t>1、投标供应商不得递交任何的投标备选（替代）方案，否则其投标文件将作无效标处理。</w:t>
      </w:r>
      <w:r>
        <w:rPr>
          <w:rFonts w:hint="eastAsia" w:ascii="宋体" w:hAnsi="宋体" w:cs="宋体"/>
          <w:b/>
          <w:bCs/>
          <w:color w:val="auto"/>
          <w:kern w:val="0"/>
          <w:sz w:val="24"/>
          <w:highlight w:val="none"/>
        </w:rPr>
        <w:t>与“电子加密投标文件”同时生成的“备份投标文件”不是投标备选（替代）方案。</w:t>
      </w:r>
    </w:p>
    <w:p w14:paraId="478F2195">
      <w:pPr>
        <w:tabs>
          <w:tab w:val="left" w:pos="1418"/>
        </w:tabs>
        <w:autoSpaceDE w:val="0"/>
        <w:autoSpaceDN w:val="0"/>
        <w:adjustRightInd w:val="0"/>
        <w:spacing w:line="360" w:lineRule="auto"/>
        <w:ind w:firstLine="482" w:firstLineChars="200"/>
        <w:rPr>
          <w:rFonts w:ascii="宋体" w:hAnsi="宋体" w:cs="宋体"/>
          <w:b/>
          <w:bCs w:val="0"/>
          <w:color w:val="auto"/>
          <w:sz w:val="24"/>
          <w:highlight w:val="none"/>
        </w:rPr>
      </w:pPr>
      <w:r>
        <w:rPr>
          <w:rFonts w:hint="eastAsia" w:ascii="宋体" w:hAnsi="宋体" w:cs="宋体"/>
          <w:b/>
          <w:bCs w:val="0"/>
          <w:color w:val="auto"/>
          <w:kern w:val="0"/>
          <w:sz w:val="24"/>
          <w:highlight w:val="none"/>
        </w:rPr>
        <w:t>三、磋商保证金</w:t>
      </w:r>
      <w:r>
        <w:rPr>
          <w:rFonts w:hint="eastAsia" w:ascii="宋体" w:hAnsi="宋体" w:cs="宋体"/>
          <w:b/>
          <w:bCs w:val="0"/>
          <w:color w:val="auto"/>
          <w:kern w:val="0"/>
          <w:sz w:val="24"/>
          <w:highlight w:val="none"/>
          <w:lang w:val="en-US" w:eastAsia="zh-CN"/>
        </w:rPr>
        <w:t>:</w:t>
      </w:r>
      <w:r>
        <w:rPr>
          <w:rFonts w:hint="eastAsia" w:ascii="宋体" w:hAnsi="宋体" w:cs="宋体"/>
          <w:b/>
          <w:bCs w:val="0"/>
          <w:color w:val="auto"/>
          <w:kern w:val="0"/>
          <w:sz w:val="24"/>
          <w:highlight w:val="none"/>
        </w:rPr>
        <w:t>无</w:t>
      </w:r>
    </w:p>
    <w:p w14:paraId="67395BDC">
      <w:pPr>
        <w:tabs>
          <w:tab w:val="left" w:pos="1418"/>
        </w:tabs>
        <w:autoSpaceDE w:val="0"/>
        <w:autoSpaceDN w:val="0"/>
        <w:adjustRightInd w:val="0"/>
        <w:spacing w:line="360" w:lineRule="auto"/>
        <w:ind w:firstLine="602" w:firstLineChars="250"/>
        <w:rPr>
          <w:rFonts w:ascii="宋体" w:hAnsi="宋体" w:cs="宋体"/>
          <w:b/>
          <w:color w:val="auto"/>
          <w:kern w:val="0"/>
          <w:sz w:val="24"/>
          <w:highlight w:val="none"/>
        </w:rPr>
      </w:pPr>
      <w:r>
        <w:rPr>
          <w:rFonts w:hint="eastAsia" w:ascii="宋体" w:hAnsi="宋体" w:cs="宋体"/>
          <w:b/>
          <w:color w:val="auto"/>
          <w:kern w:val="0"/>
          <w:sz w:val="24"/>
          <w:highlight w:val="none"/>
        </w:rPr>
        <w:t>四、磋商</w:t>
      </w:r>
    </w:p>
    <w:p w14:paraId="253CBC89">
      <w:pPr>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b/>
          <w:color w:val="auto"/>
          <w:sz w:val="24"/>
          <w:highlight w:val="none"/>
        </w:rPr>
        <w:t>（一）磋商说明</w:t>
      </w:r>
    </w:p>
    <w:p w14:paraId="4A8052F5">
      <w:pPr>
        <w:autoSpaceDE w:val="0"/>
        <w:autoSpaceDN w:val="0"/>
        <w:adjustRightInd w:val="0"/>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因电子交易平台故障无法登录、无法正常操作等导致平台无法正常运行，或者无法保证电子交易的公平、公正和安全时，采购组织机构可中止电子交易活动。</w:t>
      </w:r>
    </w:p>
    <w:p w14:paraId="297E9E5E">
      <w:pPr>
        <w:autoSpaceDE w:val="0"/>
        <w:autoSpaceDN w:val="0"/>
        <w:adjustRightInd w:val="0"/>
        <w:spacing w:line="360" w:lineRule="auto"/>
        <w:ind w:firstLine="477" w:firstLineChars="198"/>
        <w:rPr>
          <w:rFonts w:ascii="宋体" w:hAnsi="宋体" w:cs="宋体"/>
          <w:b/>
          <w:bCs/>
          <w:color w:val="auto"/>
          <w:sz w:val="24"/>
          <w:highlight w:val="none"/>
        </w:rPr>
      </w:pPr>
      <w:r>
        <w:rPr>
          <w:rFonts w:hint="eastAsia" w:ascii="宋体" w:hAnsi="宋体" w:cs="宋体"/>
          <w:b/>
          <w:bCs/>
          <w:color w:val="auto"/>
          <w:sz w:val="24"/>
          <w:highlight w:val="none"/>
        </w:rPr>
        <w:t>（二）磋商流程</w:t>
      </w:r>
    </w:p>
    <w:p w14:paraId="79F866F5">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2CA016BB">
      <w:pPr>
        <w:spacing w:line="360" w:lineRule="auto"/>
        <w:ind w:firstLine="426" w:firstLineChars="177"/>
        <w:jc w:val="left"/>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highlight w:val="none"/>
        </w:rPr>
        <w:t>（2）</w:t>
      </w:r>
      <w:r>
        <w:rPr>
          <w:rFonts w:ascii="宋体" w:hAnsi="宋体" w:cs="Arial"/>
          <w:b/>
          <w:color w:val="auto"/>
          <w:kern w:val="0"/>
          <w:sz w:val="24"/>
          <w:szCs w:val="24"/>
          <w:highlight w:val="none"/>
        </w:rPr>
        <w:t>投标文件解密结束</w:t>
      </w:r>
      <w:r>
        <w:rPr>
          <w:rFonts w:hint="eastAsia" w:ascii="宋体" w:hAnsi="宋体" w:cs="Arial"/>
          <w:b/>
          <w:color w:val="auto"/>
          <w:kern w:val="0"/>
          <w:sz w:val="24"/>
          <w:szCs w:val="24"/>
          <w:highlight w:val="none"/>
          <w:lang w:val="en-US" w:eastAsia="zh-CN"/>
        </w:rPr>
        <w:t>后</w:t>
      </w:r>
      <w:r>
        <w:rPr>
          <w:rFonts w:ascii="宋体" w:hAnsi="宋体" w:cs="Arial"/>
          <w:b/>
          <w:color w:val="auto"/>
          <w:kern w:val="0"/>
          <w:sz w:val="24"/>
          <w:szCs w:val="24"/>
          <w:highlight w:val="none"/>
        </w:rPr>
        <w:t>，供应商通过电子邮件形式将经授权代表签署的《政府采购活动现场确认声明书》（格式见采购文件最后一页内容）的扫描件或（图片）发至采购代理机构邮箱：</w:t>
      </w:r>
      <w:r>
        <w:rPr>
          <w:rFonts w:hint="eastAsia" w:ascii="宋体" w:hAnsi="宋体" w:cs="Arial"/>
          <w:b/>
          <w:kern w:val="0"/>
          <w:sz w:val="24"/>
          <w:highlight w:val="none"/>
          <w:lang w:val="en-US" w:eastAsia="zh-CN"/>
        </w:rPr>
        <w:t>907539667@qq.com</w:t>
      </w:r>
      <w:r>
        <w:rPr>
          <w:rFonts w:ascii="宋体" w:hAnsi="宋体" w:cs="Arial"/>
          <w:b/>
          <w:color w:val="auto"/>
          <w:kern w:val="0"/>
          <w:sz w:val="24"/>
          <w:szCs w:val="24"/>
          <w:highlight w:val="none"/>
        </w:rPr>
        <w:t>，如没有发送的，视为对采购代理机构和采购人之间、投标人与其</w:t>
      </w:r>
      <w:r>
        <w:rPr>
          <w:rFonts w:hint="eastAsia" w:ascii="宋体" w:hAnsi="宋体" w:cs="Arial"/>
          <w:b/>
          <w:color w:val="auto"/>
          <w:kern w:val="0"/>
          <w:sz w:val="24"/>
          <w:szCs w:val="24"/>
          <w:highlight w:val="none"/>
        </w:rPr>
        <w:t>他供应商均不存在利害关系</w:t>
      </w:r>
      <w:r>
        <w:rPr>
          <w:rFonts w:hint="eastAsia" w:ascii="宋体" w:hAnsi="宋体" w:cs="宋体"/>
          <w:b/>
          <w:bCs/>
          <w:color w:val="auto"/>
          <w:kern w:val="0"/>
          <w:sz w:val="24"/>
          <w:highlight w:val="none"/>
          <w:lang w:eastAsia="zh-CN"/>
        </w:rPr>
        <w:t>。</w:t>
      </w:r>
    </w:p>
    <w:p w14:paraId="06297604">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3）开启投标文件，首先进行资格审查；如发现投标供应商所提交的资格证明材料不合法或与事实不符，可取消其中标资格并追究投标供应商的法律责任。如资格证明材料无法证明其符合招标文件规定的“投标供应商资格要求”的，将对其作资格审查不通过处理（无效投标），并不进入后续磋商小组评审。</w:t>
      </w:r>
    </w:p>
    <w:p w14:paraId="7453AEC7">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（4）资格审查通过的投标供应商的进入商务与技术的符合性审查、评审；</w:t>
      </w:r>
    </w:p>
    <w:p w14:paraId="5A475F8F">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（5）公布资格审查、符合性审查、商务技术文件评审无效供应商名称及理由；公布有效磋商供应商的名单。</w:t>
      </w:r>
    </w:p>
    <w:p w14:paraId="1F9A0CEA">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（6）磋商小组所有成员集中与单一供应商分别进行磋商，并给予所有参加磋商的供应商平等的磋商机会。</w:t>
      </w:r>
    </w:p>
    <w:p w14:paraId="5E95D56F">
      <w:pPr>
        <w:spacing w:line="360" w:lineRule="auto"/>
        <w:ind w:firstLine="424" w:firstLineChars="177"/>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（7）磋商文件能够详细列明采购标的的技术、服务要求的，磋商结束后，磋商小组将要求所有实质性响应的供应商在规定时间内在“政采云平台”上提交最后报价</w:t>
      </w:r>
      <w:bookmarkStart w:id="6" w:name="_Hlk78637543"/>
      <w:r>
        <w:rPr>
          <w:rFonts w:hint="eastAsia" w:ascii="宋体" w:hAnsi="宋体" w:cs="宋体"/>
          <w:color w:val="000000" w:themeColor="text1"/>
          <w:kern w:val="0"/>
          <w:sz w:val="24"/>
          <w:highlight w:val="none"/>
        </w:rPr>
        <w:t>（报价明细表各项单价按最终报价/首次报价*100%的比例进行</w:t>
      </w:r>
      <w:r>
        <w:rPr>
          <w:rFonts w:hint="eastAsia" w:ascii="宋体" w:hAnsi="宋体" w:cs="宋体"/>
          <w:color w:val="000000" w:themeColor="text1"/>
          <w:kern w:val="0"/>
          <w:sz w:val="24"/>
          <w:highlight w:val="none"/>
          <w:lang w:val="en-US" w:eastAsia="zh-CN"/>
        </w:rPr>
        <w:t>计</w:t>
      </w:r>
      <w:r>
        <w:rPr>
          <w:rFonts w:hint="eastAsia" w:ascii="宋体" w:hAnsi="宋体" w:cs="宋体"/>
          <w:color w:val="000000" w:themeColor="text1"/>
          <w:kern w:val="0"/>
          <w:sz w:val="24"/>
          <w:highlight w:val="none"/>
        </w:rPr>
        <w:t>算）</w:t>
      </w:r>
      <w:bookmarkEnd w:id="6"/>
      <w:r>
        <w:rPr>
          <w:rFonts w:hint="eastAsia" w:ascii="宋体" w:hAnsi="宋体" w:cs="宋体"/>
          <w:color w:val="auto"/>
          <w:kern w:val="0"/>
          <w:sz w:val="24"/>
          <w:highlight w:val="none"/>
        </w:rPr>
        <w:t>，</w:t>
      </w:r>
      <w:r>
        <w:rPr>
          <w:rFonts w:hint="eastAsia" w:ascii="宋体" w:hAnsi="宋体" w:eastAsia="宋体" w:cs="Arial"/>
          <w:b/>
          <w:color w:val="auto"/>
          <w:kern w:val="0"/>
          <w:sz w:val="24"/>
          <w:highlight w:val="none"/>
        </w:rPr>
        <w:t>最后报价是供应商响应文件的有效组成部分。</w:t>
      </w:r>
      <w:r>
        <w:rPr>
          <w:rFonts w:hint="eastAsia" w:ascii="宋体" w:hAnsi="宋体" w:cs="宋体"/>
          <w:b/>
          <w:color w:val="auto"/>
          <w:sz w:val="24"/>
          <w:highlight w:val="none"/>
        </w:rPr>
        <w:t>▲</w:t>
      </w:r>
      <w:r>
        <w:rPr>
          <w:rFonts w:hint="eastAsia" w:ascii="宋体" w:hAnsi="宋体" w:eastAsia="宋体" w:cs="Arial"/>
          <w:b/>
          <w:color w:val="auto"/>
          <w:kern w:val="0"/>
          <w:sz w:val="24"/>
          <w:highlight w:val="none"/>
        </w:rPr>
        <w:t>若实质性采购需求技术、服务未作改变的，最后报价不得高于首次报价，否则做无效标处理</w:t>
      </w:r>
      <w:r>
        <w:rPr>
          <w:rFonts w:hint="eastAsia" w:ascii="宋体" w:hAnsi="宋体" w:cs="Arial"/>
          <w:b/>
          <w:color w:val="auto"/>
          <w:kern w:val="0"/>
          <w:sz w:val="24"/>
          <w:highlight w:val="none"/>
          <w:lang w:eastAsia="zh-CN"/>
        </w:rPr>
        <w:t>。</w:t>
      </w:r>
    </w:p>
    <w:p w14:paraId="4ED68138">
      <w:pPr>
        <w:spacing w:line="360" w:lineRule="auto"/>
        <w:ind w:firstLine="426" w:firstLineChars="177"/>
        <w:jc w:val="left"/>
        <w:rPr>
          <w:rFonts w:ascii="宋体" w:hAnsi="宋体" w:cs="宋体"/>
          <w:b/>
          <w:bCs/>
          <w:color w:val="auto"/>
          <w:kern w:val="0"/>
          <w:sz w:val="24"/>
          <w:highlight w:val="none"/>
        </w:rPr>
      </w:pPr>
      <w:r>
        <w:rPr>
          <w:rFonts w:hint="eastAsia" w:ascii="宋体" w:hAnsi="宋体" w:cs="宋体"/>
          <w:b/>
          <w:sz w:val="24"/>
          <w:highlight w:val="none"/>
        </w:rPr>
        <w:t>▲</w:t>
      </w:r>
      <w:r>
        <w:rPr>
          <w:rFonts w:hint="eastAsia" w:ascii="宋体" w:hAnsi="宋体" w:cs="宋体"/>
          <w:b/>
          <w:bCs/>
          <w:color w:val="auto"/>
          <w:kern w:val="0"/>
          <w:sz w:val="24"/>
          <w:highlight w:val="none"/>
        </w:rPr>
        <w:t>若在规定报价时间内，供应商未完成最终报价的，则该供应商作无效处理，由此引起的后果由供应商自行承担。</w:t>
      </w:r>
    </w:p>
    <w:p w14:paraId="05D7EA97">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（8）经磋商确定最终采购需求和提交最后报价的供应商后，由磋商小组采用综合评分法对提交最后报价的供应商的响应文件和最后报价进行综合评分。</w:t>
      </w:r>
    </w:p>
    <w:p w14:paraId="5986914A">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（9）磋商小组根据综合评分情况，按照评审得分由高到低顺序确定预成交供应商，编写评审报告。</w:t>
      </w:r>
    </w:p>
    <w:p w14:paraId="3C022709">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（10）评审结束后，公布中标（成交）候选供应商名单，或在政釆云平台上进行公布结果。</w:t>
      </w:r>
    </w:p>
    <w:p w14:paraId="0BFA598C">
      <w:pPr>
        <w:spacing w:line="360" w:lineRule="auto"/>
        <w:ind w:firstLine="426" w:firstLineChars="177"/>
        <w:jc w:val="left"/>
        <w:rPr>
          <w:rFonts w:ascii="宋体" w:hAnsi="宋体" w:cs="宋体"/>
          <w:b/>
          <w:color w:val="auto"/>
          <w:kern w:val="0"/>
          <w:sz w:val="24"/>
          <w:highlight w:val="none"/>
        </w:rPr>
      </w:pPr>
      <w:r>
        <w:rPr>
          <w:rFonts w:hint="eastAsia" w:ascii="宋体" w:hAnsi="宋体" w:cs="宋体"/>
          <w:b/>
          <w:color w:val="auto"/>
          <w:kern w:val="0"/>
          <w:sz w:val="24"/>
          <w:highlight w:val="none"/>
        </w:rPr>
        <w:t>特别说明：1、如遇“政府采购云平台”电子化开标或评审程序调整的，按调整后程序执行。</w:t>
      </w:r>
    </w:p>
    <w:p w14:paraId="3B5C0B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2、磋商小组必须按照客观、公正、审慎的原则，根据磋商文件规定的评审程序、评审方法和评审标准进行独立评审。</w:t>
      </w:r>
      <w:r>
        <w:rPr>
          <w:rFonts w:hint="eastAsia" w:ascii="宋体" w:hAnsi="宋体" w:cs="宋体"/>
          <w:b/>
          <w:sz w:val="24"/>
          <w:highlight w:val="none"/>
        </w:rPr>
        <w:t>▲</w:t>
      </w:r>
      <w:r>
        <w:rPr>
          <w:rFonts w:hint="eastAsia" w:ascii="宋体" w:hAnsi="宋体" w:cs="宋体"/>
          <w:color w:val="auto"/>
          <w:sz w:val="24"/>
          <w:highlight w:val="none"/>
        </w:rPr>
        <w:t>未实质性响应磋商文件的响应文件按无效响应处理，磋商小组应当告知提交响应文件的供应商。</w:t>
      </w:r>
    </w:p>
    <w:p w14:paraId="09A7F858">
      <w:pPr>
        <w:pStyle w:val="19"/>
        <w:snapToGrid w:val="0"/>
        <w:spacing w:line="360" w:lineRule="auto"/>
        <w:ind w:left="720" w:leftChars="228" w:hanging="241" w:hangingChars="100"/>
        <w:rPr>
          <w:rFonts w:ascii="宋体" w:hAnsi="宋体" w:eastAsia="宋体" w:cs="宋体"/>
          <w:color w:val="auto"/>
          <w:sz w:val="24"/>
          <w:highlight w:val="none"/>
        </w:rPr>
      </w:pPr>
      <w:r>
        <w:rPr>
          <w:rFonts w:hint="eastAsia" w:ascii="宋体" w:hAnsi="宋体" w:eastAsia="宋体" w:cs="宋体"/>
          <w:b/>
          <w:color w:val="auto"/>
          <w:sz w:val="24"/>
          <w:highlight w:val="none"/>
        </w:rPr>
        <w:t>（三）澄清问题的形式</w:t>
      </w:r>
    </w:p>
    <w:p w14:paraId="7413CA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磋商供应商的澄清、说明或者补正应当采用书面形式，并加盖公章，或者由法定代理人或其授权的代表签字，并不得超出磋商响应文件的范围或者改变磋商响应文件的实质性内容。</w:t>
      </w:r>
    </w:p>
    <w:p w14:paraId="7545780D">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（四）错误修正</w:t>
      </w:r>
    </w:p>
    <w:p w14:paraId="769AAB4D">
      <w:pPr>
        <w:pStyle w:val="31"/>
        <w:spacing w:before="0" w:beforeAutospacing="0" w:after="0" w:afterAutospacing="0" w:line="360" w:lineRule="auto"/>
        <w:ind w:firstLine="480" w:firstLineChars="200"/>
        <w:jc w:val="both"/>
        <w:rPr>
          <w:rFonts w:hint="default" w:ascii="宋体" w:hAnsi="宋体" w:cs="宋体"/>
          <w:color w:val="auto"/>
          <w:highlight w:val="none"/>
        </w:rPr>
      </w:pPr>
      <w:r>
        <w:rPr>
          <w:rFonts w:ascii="宋体" w:hAnsi="宋体" w:cs="宋体"/>
          <w:color w:val="auto"/>
          <w:highlight w:val="none"/>
        </w:rPr>
        <w:t>磋商响应文件报价出现前后不一致的，除</w:t>
      </w:r>
      <w:r>
        <w:rPr>
          <w:rFonts w:ascii="宋体" w:hAnsi="宋体" w:cs="宋体"/>
          <w:bCs/>
          <w:color w:val="auto"/>
          <w:highlight w:val="none"/>
        </w:rPr>
        <w:t>磋商采购文件</w:t>
      </w:r>
      <w:r>
        <w:rPr>
          <w:rFonts w:ascii="宋体" w:hAnsi="宋体" w:cs="宋体"/>
          <w:color w:val="auto"/>
          <w:highlight w:val="none"/>
        </w:rPr>
        <w:t>另有规定外，按照下列规定修正：</w:t>
      </w:r>
    </w:p>
    <w:p w14:paraId="7EB953B2">
      <w:pPr>
        <w:pStyle w:val="31"/>
        <w:spacing w:before="0" w:beforeAutospacing="0" w:after="0" w:afterAutospacing="0" w:line="360" w:lineRule="auto"/>
        <w:jc w:val="both"/>
        <w:rPr>
          <w:rFonts w:hint="default" w:ascii="宋体" w:hAnsi="宋体" w:cs="宋体"/>
          <w:color w:val="auto"/>
          <w:highlight w:val="none"/>
        </w:rPr>
      </w:pPr>
      <w:r>
        <w:rPr>
          <w:rFonts w:ascii="宋体" w:hAnsi="宋体" w:cs="宋体"/>
          <w:color w:val="auto"/>
          <w:highlight w:val="none"/>
        </w:rPr>
        <w:t>　　1、磋商响应文件中首次报价一览表内容与磋商响应文件中相应内容不一致的，以首次报价一览表为准；</w:t>
      </w:r>
    </w:p>
    <w:p w14:paraId="3A97099B">
      <w:pPr>
        <w:pStyle w:val="31"/>
        <w:spacing w:before="0" w:beforeAutospacing="0" w:after="0" w:afterAutospacing="0" w:line="360" w:lineRule="auto"/>
        <w:jc w:val="both"/>
        <w:rPr>
          <w:rFonts w:hint="default" w:ascii="宋体" w:hAnsi="宋体" w:cs="宋体"/>
          <w:color w:val="auto"/>
          <w:highlight w:val="none"/>
        </w:rPr>
      </w:pPr>
      <w:r>
        <w:rPr>
          <w:rFonts w:ascii="宋体" w:hAnsi="宋体" w:cs="宋体"/>
          <w:color w:val="auto"/>
          <w:highlight w:val="none"/>
        </w:rPr>
        <w:t>　　2、大写金额和小写金额不一致的，以大写金额为准；</w:t>
      </w:r>
    </w:p>
    <w:p w14:paraId="05B6940A">
      <w:pPr>
        <w:pStyle w:val="31"/>
        <w:spacing w:before="0" w:beforeAutospacing="0" w:after="0" w:afterAutospacing="0" w:line="360" w:lineRule="auto"/>
        <w:jc w:val="both"/>
        <w:rPr>
          <w:rFonts w:hint="default" w:ascii="宋体" w:hAnsi="宋体" w:cs="宋体"/>
          <w:color w:val="auto"/>
          <w:highlight w:val="none"/>
        </w:rPr>
      </w:pPr>
      <w:r>
        <w:rPr>
          <w:rFonts w:ascii="宋体" w:hAnsi="宋体" w:cs="宋体"/>
          <w:color w:val="auto"/>
          <w:highlight w:val="none"/>
        </w:rPr>
        <w:t>　　3、单价金额小数点或者百分比有明显错位的，以首次报价一览表的总价为准，并修改单价；</w:t>
      </w:r>
    </w:p>
    <w:p w14:paraId="00C4C36E">
      <w:pPr>
        <w:pStyle w:val="31"/>
        <w:spacing w:before="0" w:beforeAutospacing="0" w:after="0" w:afterAutospacing="0" w:line="360" w:lineRule="auto"/>
        <w:jc w:val="both"/>
        <w:rPr>
          <w:rFonts w:hint="default" w:ascii="宋体" w:hAnsi="宋体" w:cs="宋体"/>
          <w:color w:val="auto"/>
          <w:highlight w:val="none"/>
        </w:rPr>
      </w:pPr>
      <w:r>
        <w:rPr>
          <w:rFonts w:ascii="宋体" w:hAnsi="宋体" w:cs="宋体"/>
          <w:color w:val="auto"/>
          <w:highlight w:val="none"/>
        </w:rPr>
        <w:t>　　4、总价金额与按单价汇总金额不一致的，以单价金额计算结果为准。</w:t>
      </w:r>
    </w:p>
    <w:p w14:paraId="6CDD5EFC">
      <w:pPr>
        <w:pStyle w:val="31"/>
        <w:spacing w:before="0" w:beforeAutospacing="0" w:after="0" w:afterAutospacing="0" w:line="360" w:lineRule="auto"/>
        <w:ind w:firstLine="480"/>
        <w:jc w:val="both"/>
        <w:rPr>
          <w:rFonts w:hint="default" w:ascii="宋体" w:hAnsi="宋体" w:cs="宋体"/>
          <w:color w:val="auto"/>
          <w:highlight w:val="none"/>
        </w:rPr>
      </w:pPr>
      <w:r>
        <w:rPr>
          <w:rFonts w:hint="eastAsia" w:ascii="宋体" w:hAnsi="宋体" w:cs="宋体"/>
          <w:b/>
          <w:sz w:val="24"/>
          <w:highlight w:val="none"/>
        </w:rPr>
        <w:t>▲</w:t>
      </w:r>
      <w:r>
        <w:rPr>
          <w:rFonts w:ascii="宋体" w:hAnsi="宋体" w:cs="宋体"/>
          <w:color w:val="auto"/>
          <w:highlight w:val="none"/>
        </w:rPr>
        <w:t>同时出现两种以上不一致的，按照前款规定的顺序修正。按上述修正错误的原则及方法调整或修正磋商响应文件的投标报价，磋商供应商同意并签字确认后，以扫描件形式发送至指定邮箱。修正后的报价经磋商供应商确认后产生约束力，磋商供应商不确认</w:t>
      </w:r>
      <w:r>
        <w:rPr>
          <w:rFonts w:ascii="宋体" w:hAnsi="宋体"/>
          <w:highlight w:val="none"/>
        </w:rPr>
        <w:t>或在规定的时间内未能有效澄清</w:t>
      </w:r>
      <w:r>
        <w:rPr>
          <w:rFonts w:ascii="宋体" w:hAnsi="宋体" w:cs="宋体"/>
          <w:color w:val="auto"/>
          <w:highlight w:val="none"/>
        </w:rPr>
        <w:t>的，将终止磋商。</w:t>
      </w:r>
    </w:p>
    <w:p w14:paraId="4746A0C1">
      <w:pPr>
        <w:pStyle w:val="31"/>
        <w:spacing w:before="0" w:beforeAutospacing="0" w:after="0" w:afterAutospacing="0" w:line="360" w:lineRule="auto"/>
        <w:ind w:firstLine="480"/>
        <w:rPr>
          <w:rFonts w:hint="default" w:ascii="宋体" w:hAnsi="宋体" w:cs="宋体"/>
          <w:color w:val="auto"/>
          <w:highlight w:val="none"/>
        </w:rPr>
      </w:pPr>
      <w:r>
        <w:rPr>
          <w:rFonts w:hint="eastAsia" w:ascii="宋体" w:hAnsi="宋体" w:cs="宋体"/>
          <w:b/>
          <w:sz w:val="24"/>
          <w:highlight w:val="none"/>
        </w:rPr>
        <w:t>▲</w:t>
      </w:r>
      <w:r>
        <w:rPr>
          <w:rFonts w:ascii="宋体" w:hAnsi="宋体" w:cs="宋体"/>
          <w:b/>
          <w:bCs/>
          <w:color w:val="auto"/>
          <w:highlight w:val="none"/>
        </w:rPr>
        <w:t>（五）</w:t>
      </w:r>
      <w:r>
        <w:rPr>
          <w:rFonts w:ascii="宋体" w:hAnsi="宋体" w:cs="宋体"/>
          <w:b/>
          <w:color w:val="auto"/>
          <w:highlight w:val="none"/>
        </w:rPr>
        <w:t>磋商供应商存在下列情况之一的，响应无效，终止磋商</w:t>
      </w:r>
    </w:p>
    <w:p w14:paraId="20422256">
      <w:pPr>
        <w:adjustRightInd w:val="0"/>
        <w:snapToGrid w:val="0"/>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kern w:val="0"/>
          <w:sz w:val="24"/>
          <w:highlight w:val="none"/>
        </w:rPr>
        <w:t>1、磋商响应文件中的报价</w:t>
      </w:r>
      <w:r>
        <w:rPr>
          <w:rFonts w:hint="eastAsia" w:ascii="宋体" w:hAnsi="宋体" w:cs="宋体"/>
          <w:color w:val="auto"/>
          <w:kern w:val="0"/>
          <w:sz w:val="24"/>
          <w:highlight w:val="none"/>
          <w:lang w:eastAsia="zh-CN"/>
        </w:rPr>
        <w:t>货物</w:t>
      </w:r>
      <w:r>
        <w:rPr>
          <w:rFonts w:hint="eastAsia" w:ascii="宋体" w:hAnsi="宋体" w:cs="宋体"/>
          <w:color w:val="auto"/>
          <w:kern w:val="0"/>
          <w:sz w:val="24"/>
          <w:highlight w:val="none"/>
        </w:rPr>
        <w:t>跟商务与技术内容</w:t>
      </w:r>
      <w:r>
        <w:rPr>
          <w:rFonts w:hint="eastAsia" w:ascii="宋体" w:hAnsi="宋体" w:cs="宋体"/>
          <w:color w:val="auto"/>
          <w:kern w:val="0"/>
          <w:sz w:val="24"/>
          <w:highlight w:val="none"/>
          <w:lang w:eastAsia="zh-CN"/>
        </w:rPr>
        <w:t>中</w:t>
      </w:r>
      <w:r>
        <w:rPr>
          <w:rFonts w:hint="eastAsia" w:ascii="宋体" w:hAnsi="宋体" w:cs="宋体"/>
          <w:color w:val="auto"/>
          <w:kern w:val="0"/>
          <w:sz w:val="24"/>
          <w:highlight w:val="none"/>
        </w:rPr>
        <w:t>的</w:t>
      </w:r>
      <w:r>
        <w:rPr>
          <w:rFonts w:hint="eastAsia" w:ascii="宋体" w:hAnsi="宋体" w:cs="宋体"/>
          <w:color w:val="auto"/>
          <w:kern w:val="0"/>
          <w:sz w:val="24"/>
          <w:highlight w:val="none"/>
          <w:lang w:eastAsia="zh-CN"/>
        </w:rPr>
        <w:t>货物</w:t>
      </w:r>
      <w:r>
        <w:rPr>
          <w:rFonts w:hint="eastAsia" w:ascii="宋体" w:hAnsi="宋体" w:cs="宋体"/>
          <w:color w:val="auto"/>
          <w:kern w:val="0"/>
          <w:sz w:val="24"/>
          <w:highlight w:val="none"/>
        </w:rPr>
        <w:t>出现重大偏差的；</w:t>
      </w:r>
    </w:p>
    <w:p w14:paraId="0B181682">
      <w:pPr>
        <w:pStyle w:val="31"/>
        <w:tabs>
          <w:tab w:val="left" w:pos="7380"/>
        </w:tabs>
        <w:adjustRightInd w:val="0"/>
        <w:snapToGrid w:val="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2、不具备磋商采购文件中规定的资格要求的。</w:t>
      </w:r>
    </w:p>
    <w:p w14:paraId="692F3805">
      <w:pPr>
        <w:pStyle w:val="31"/>
        <w:adjustRightInd w:val="0"/>
        <w:snapToGrid w:val="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3、磋商响应文件含有采购人不能接受的附加条件的。</w:t>
      </w:r>
    </w:p>
    <w:p w14:paraId="6F0EF31E">
      <w:pPr>
        <w:adjustRightInd w:val="0"/>
        <w:snapToGrid w:val="0"/>
        <w:spacing w:line="360" w:lineRule="auto"/>
        <w:ind w:right="-340" w:rightChars="-162" w:firstLine="480" w:firstLineChars="200"/>
        <w:jc w:val="left"/>
        <w:rPr>
          <w:rFonts w:ascii="宋体" w:hAnsi="宋体" w:cs="宋体"/>
          <w:bCs/>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sz w:val="24"/>
          <w:highlight w:val="none"/>
        </w:rPr>
        <w:t>、供应商代表人未能出具身份证明或与法定代表人授权委托人身份不符的；</w:t>
      </w:r>
    </w:p>
    <w:p w14:paraId="300714FE">
      <w:pPr>
        <w:pStyle w:val="31"/>
        <w:adjustRightInd w:val="0"/>
        <w:snapToGrid w:val="0"/>
        <w:spacing w:before="0" w:beforeAutospacing="0" w:after="0" w:afterAutospacing="0" w:line="360" w:lineRule="auto"/>
        <w:ind w:firstLine="480" w:firstLineChars="200"/>
        <w:rPr>
          <w:rFonts w:hint="default" w:ascii="宋体" w:hAnsi="宋体" w:eastAsia="宋体" w:cs="宋体"/>
          <w:color w:val="auto"/>
          <w:highlight w:val="none"/>
        </w:rPr>
      </w:pPr>
      <w:r>
        <w:rPr>
          <w:rFonts w:ascii="宋体" w:hAnsi="宋体" w:cs="宋体"/>
          <w:color w:val="auto"/>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w:t>
      </w:r>
      <w:r>
        <w:rPr>
          <w:rFonts w:ascii="宋体" w:hAnsi="宋体" w:eastAsia="宋体" w:cs="宋体"/>
          <w:color w:val="auto"/>
          <w:highlight w:val="none"/>
        </w:rPr>
        <w:t>磋商。</w:t>
      </w:r>
    </w:p>
    <w:p w14:paraId="53599D0F">
      <w:pPr>
        <w:pStyle w:val="31"/>
        <w:adjustRightInd w:val="0"/>
        <w:snapToGrid w:val="0"/>
        <w:spacing w:before="0" w:beforeAutospacing="0" w:after="0" w:afterAutospacing="0" w:line="360" w:lineRule="auto"/>
        <w:ind w:firstLine="480" w:firstLineChars="200"/>
        <w:rPr>
          <w:rFonts w:ascii="宋体" w:hAnsi="宋体" w:eastAsia="宋体" w:cs="宋体"/>
          <w:color w:val="auto"/>
          <w:highlight w:val="none"/>
        </w:rPr>
      </w:pPr>
      <w:r>
        <w:rPr>
          <w:rFonts w:ascii="宋体" w:hAnsi="宋体" w:eastAsia="宋体" w:cs="宋体"/>
          <w:color w:val="auto"/>
          <w:highlight w:val="none"/>
        </w:rPr>
        <w:t>6、报价超过磋商采购文件中规定的预算金额/</w:t>
      </w:r>
      <w:r>
        <w:rPr>
          <w:rFonts w:hint="eastAsia" w:ascii="宋体" w:hAnsi="宋体" w:eastAsia="宋体" w:cs="宋体"/>
          <w:color w:val="auto"/>
          <w:highlight w:val="none"/>
          <w:lang w:eastAsia="zh-CN"/>
        </w:rPr>
        <w:t>上</w:t>
      </w:r>
      <w:r>
        <w:rPr>
          <w:rFonts w:ascii="宋体" w:hAnsi="宋体" w:eastAsia="宋体" w:cs="宋体"/>
          <w:color w:val="auto"/>
          <w:highlight w:val="none"/>
        </w:rPr>
        <w:t>限（单）价。</w:t>
      </w:r>
    </w:p>
    <w:p w14:paraId="2424957F">
      <w:pPr>
        <w:tabs>
          <w:tab w:val="left" w:pos="1898"/>
        </w:tabs>
        <w:autoSpaceDE w:val="0"/>
        <w:autoSpaceDN w:val="0"/>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、磋商参数未如实填写的。</w:t>
      </w:r>
    </w:p>
    <w:p w14:paraId="652391D2">
      <w:pPr>
        <w:tabs>
          <w:tab w:val="left" w:pos="1898"/>
        </w:tabs>
        <w:autoSpaceDE w:val="0"/>
        <w:autoSpaceDN w:val="0"/>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、磋商响应文件提供虚假材料的。</w:t>
      </w:r>
    </w:p>
    <w:p w14:paraId="302DFC38">
      <w:pPr>
        <w:tabs>
          <w:tab w:val="left" w:pos="1898"/>
        </w:tabs>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w:t>
      </w:r>
      <w:r>
        <w:rPr>
          <w:rFonts w:hint="eastAsia" w:ascii="宋体" w:hAnsi="宋体" w:cs="宋体"/>
          <w:color w:val="auto"/>
          <w:sz w:val="24"/>
          <w:highlight w:val="none"/>
        </w:rPr>
        <w:t>不同供应商的磋商响应文件由同一单位或者个人编制；</w:t>
      </w:r>
    </w:p>
    <w:p w14:paraId="1C5B710F">
      <w:pPr>
        <w:pStyle w:val="31"/>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lang w:val="en-US" w:eastAsia="zh-CN"/>
        </w:rPr>
        <w:t>0</w:t>
      </w:r>
      <w:r>
        <w:rPr>
          <w:rFonts w:ascii="宋体" w:hAnsi="宋体" w:cs="宋体"/>
          <w:color w:val="auto"/>
          <w:highlight w:val="none"/>
        </w:rPr>
        <w:t>、不同供应商委托同一单位或者个人办理磋商事宜；</w:t>
      </w:r>
    </w:p>
    <w:p w14:paraId="5946CEC2">
      <w:pPr>
        <w:pStyle w:val="31"/>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lang w:val="en-US" w:eastAsia="zh-CN"/>
        </w:rPr>
        <w:t>1</w:t>
      </w:r>
      <w:r>
        <w:rPr>
          <w:rFonts w:ascii="宋体" w:hAnsi="宋体" w:cs="宋体"/>
          <w:color w:val="auto"/>
          <w:highlight w:val="none"/>
        </w:rPr>
        <w:t>、不同供应商的磋商响应文件载明的项目管理成员或者联系人员为同一人；</w:t>
      </w:r>
    </w:p>
    <w:p w14:paraId="65F60927">
      <w:pPr>
        <w:pStyle w:val="31"/>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lang w:val="en-US" w:eastAsia="zh-CN"/>
        </w:rPr>
        <w:t>2</w:t>
      </w:r>
      <w:r>
        <w:rPr>
          <w:rFonts w:ascii="宋体" w:hAnsi="宋体" w:cs="宋体"/>
          <w:color w:val="auto"/>
          <w:highlight w:val="none"/>
        </w:rPr>
        <w:t>、不同供应商的磋商响应文件异常一致或者报价呈规律性差异；</w:t>
      </w:r>
    </w:p>
    <w:p w14:paraId="271E0684">
      <w:pPr>
        <w:pStyle w:val="31"/>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lang w:val="en-US" w:eastAsia="zh-CN"/>
        </w:rPr>
        <w:t>3</w:t>
      </w:r>
      <w:r>
        <w:rPr>
          <w:rFonts w:ascii="宋体" w:hAnsi="宋体" w:cs="宋体"/>
          <w:color w:val="auto"/>
          <w:highlight w:val="none"/>
        </w:rPr>
        <w:t>、不同供应商的磋商响应文件相互混装；</w:t>
      </w:r>
    </w:p>
    <w:p w14:paraId="066FBE13">
      <w:pPr>
        <w:pStyle w:val="31"/>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lang w:val="en-US" w:eastAsia="zh-CN"/>
        </w:rPr>
        <w:t>4</w:t>
      </w:r>
      <w:r>
        <w:rPr>
          <w:rFonts w:ascii="宋体" w:hAnsi="宋体" w:cs="宋体"/>
          <w:color w:val="auto"/>
          <w:highlight w:val="none"/>
        </w:rPr>
        <w:t>、不符合法律、法规和磋商采购文件中规定的其他实质性要求的（磋商采购文件中打“▲”内容及被拒绝的条款）。</w:t>
      </w:r>
    </w:p>
    <w:p w14:paraId="01A85006">
      <w:pPr>
        <w:pStyle w:val="31"/>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lang w:val="en-US" w:eastAsia="zh-CN"/>
        </w:rPr>
        <w:t>5</w:t>
      </w:r>
      <w:r>
        <w:rPr>
          <w:rFonts w:ascii="宋体" w:hAnsi="宋体" w:cs="宋体"/>
          <w:color w:val="auto"/>
          <w:highlight w:val="none"/>
        </w:rPr>
        <w:t>、</w:t>
      </w:r>
      <w:r>
        <w:rPr>
          <w:rFonts w:ascii="宋体" w:hAnsi="宋体" w:cs="宋体"/>
          <w:b/>
          <w:bCs/>
          <w:color w:val="auto"/>
          <w:highlight w:val="none"/>
        </w:rPr>
        <w:t>仅提交“备份投标文件”或电子磋商响应文件未按时完成解密，又未提供备份电子磋商响应文件的；</w:t>
      </w:r>
    </w:p>
    <w:p w14:paraId="15F1DCE4">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color w:val="auto"/>
          <w:kern w:val="0"/>
          <w:sz w:val="24"/>
          <w:highlight w:val="none"/>
        </w:rPr>
        <w:t>（六）有下列情况之一的，本次磋商终止。</w:t>
      </w:r>
    </w:p>
    <w:p w14:paraId="31CA0476">
      <w:pPr>
        <w:pStyle w:val="31"/>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1、出现影响采购公正的违法、违规行为的；</w:t>
      </w:r>
    </w:p>
    <w:p w14:paraId="023201CB">
      <w:pPr>
        <w:pStyle w:val="31"/>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 xml:space="preserve">2、磋商小组发现磋商文件存在歧义、重大缺陷导致评审工作无法进行，或者磋商文件内容违反国家有关强制性规定的； </w:t>
      </w:r>
    </w:p>
    <w:p w14:paraId="47E7E525">
      <w:pPr>
        <w:pStyle w:val="31"/>
        <w:spacing w:before="0" w:beforeAutospacing="0" w:after="0" w:afterAutospacing="0" w:line="360" w:lineRule="auto"/>
        <w:ind w:firstLine="600" w:firstLineChars="250"/>
        <w:jc w:val="both"/>
        <w:rPr>
          <w:rFonts w:hint="default" w:ascii="宋体" w:hAnsi="宋体" w:eastAsia="宋体" w:cs="宋体"/>
          <w:color w:val="auto"/>
          <w:highlight w:val="none"/>
        </w:rPr>
      </w:pPr>
      <w:r>
        <w:rPr>
          <w:rFonts w:ascii="宋体" w:hAnsi="宋体" w:eastAsia="宋体" w:cs="宋体"/>
          <w:color w:val="auto"/>
          <w:highlight w:val="none"/>
        </w:rPr>
        <w:t>3、因重大变故，采购任务取消的；</w:t>
      </w:r>
    </w:p>
    <w:p w14:paraId="04E70A31">
      <w:pPr>
        <w:pStyle w:val="31"/>
        <w:spacing w:before="0" w:beforeAutospacing="0" w:after="0" w:afterAutospacing="0" w:line="360" w:lineRule="auto"/>
        <w:ind w:firstLine="600" w:firstLineChars="250"/>
        <w:jc w:val="both"/>
        <w:rPr>
          <w:rFonts w:hint="default" w:ascii="宋体" w:hAnsi="宋体" w:eastAsia="宋体" w:cs="宋体"/>
          <w:color w:val="auto"/>
          <w:highlight w:val="none"/>
        </w:rPr>
      </w:pPr>
      <w:r>
        <w:rPr>
          <w:rFonts w:ascii="宋体" w:hAnsi="宋体" w:eastAsia="宋体" w:cs="宋体"/>
          <w:color w:val="auto"/>
          <w:highlight w:val="none"/>
        </w:rPr>
        <w:t>4、法律、法规和磋商文件规定的其他导致评审结果无效的。</w:t>
      </w:r>
    </w:p>
    <w:p w14:paraId="2E82A607">
      <w:pPr>
        <w:pStyle w:val="31"/>
        <w:spacing w:before="0" w:beforeAutospacing="0" w:after="0" w:afterAutospacing="0" w:line="360" w:lineRule="auto"/>
        <w:ind w:firstLine="600" w:firstLineChars="25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5、因电子交易平台故障无法登录、无法正常操作等导致平台无法正常运行，或者无法保证电子交易的公平、公正和安全时，采购组织机构可中止电子交易活动</w:t>
      </w:r>
      <w:r>
        <w:rPr>
          <w:rFonts w:hint="eastAsia" w:ascii="宋体" w:hAnsi="宋体" w:eastAsia="宋体" w:cs="宋体"/>
          <w:color w:val="auto"/>
          <w:highlight w:val="none"/>
          <w:lang w:eastAsia="zh-CN"/>
        </w:rPr>
        <w:t>。</w:t>
      </w:r>
    </w:p>
    <w:p w14:paraId="62804D8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（七）磋商原则和方法</w:t>
      </w:r>
    </w:p>
    <w:p w14:paraId="6A5A2066">
      <w:pPr>
        <w:pStyle w:val="19"/>
        <w:snapToGrid w:val="0"/>
        <w:spacing w:line="360" w:lineRule="auto"/>
        <w:ind w:firstLine="600" w:firstLineChars="250"/>
        <w:rPr>
          <w:rFonts w:ascii="宋体" w:hAnsi="宋体" w:eastAsia="宋体" w:cs="宋体"/>
          <w:color w:val="auto"/>
          <w:sz w:val="24"/>
          <w:highlight w:val="none"/>
        </w:rPr>
      </w:pPr>
      <w:r>
        <w:rPr>
          <w:rFonts w:hint="eastAsia" w:ascii="宋体" w:hAnsi="宋体" w:eastAsia="宋体" w:cs="宋体"/>
          <w:color w:val="auto"/>
          <w:sz w:val="24"/>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392F10D2">
      <w:pPr>
        <w:pStyle w:val="19"/>
        <w:snapToGrid w:val="0"/>
        <w:spacing w:line="360" w:lineRule="auto"/>
        <w:ind w:firstLine="600" w:firstLineChars="250"/>
        <w:rPr>
          <w:rFonts w:ascii="宋体" w:hAnsi="宋体" w:eastAsia="宋体" w:cs="宋体"/>
          <w:color w:val="auto"/>
          <w:sz w:val="24"/>
          <w:highlight w:val="none"/>
        </w:rPr>
      </w:pPr>
      <w:r>
        <w:rPr>
          <w:rFonts w:hint="eastAsia" w:ascii="宋体" w:hAnsi="宋体" w:eastAsia="宋体" w:cs="宋体"/>
          <w:color w:val="auto"/>
          <w:sz w:val="24"/>
          <w:highlight w:val="none"/>
        </w:rPr>
        <w:t>2、磋商办法。具体磋商内容及评分标准等详见《第三章：评审方法及评分标准》。</w:t>
      </w:r>
    </w:p>
    <w:p w14:paraId="1AE84456">
      <w:pPr>
        <w:pStyle w:val="19"/>
        <w:snapToGrid w:val="0"/>
        <w:spacing w:line="360" w:lineRule="auto"/>
        <w:ind w:firstLine="602" w:firstLineChars="250"/>
        <w:rPr>
          <w:rFonts w:ascii="宋体" w:hAnsi="宋体" w:eastAsia="宋体" w:cs="宋体"/>
          <w:color w:val="auto"/>
          <w:sz w:val="24"/>
          <w:highlight w:val="none"/>
        </w:rPr>
      </w:pPr>
      <w:r>
        <w:rPr>
          <w:rFonts w:hint="eastAsia" w:ascii="宋体" w:hAnsi="宋体" w:eastAsia="宋体" w:cs="宋体"/>
          <w:b/>
          <w:color w:val="auto"/>
          <w:sz w:val="24"/>
          <w:highlight w:val="none"/>
        </w:rPr>
        <w:t>（八）评审过程的监控</w:t>
      </w:r>
    </w:p>
    <w:p w14:paraId="39F30EDF">
      <w:pPr>
        <w:pStyle w:val="31"/>
        <w:spacing w:before="0" w:beforeAutospacing="0" w:after="0" w:afterAutospacing="0" w:line="360" w:lineRule="auto"/>
        <w:ind w:firstLine="480" w:firstLineChars="200"/>
        <w:jc w:val="both"/>
        <w:rPr>
          <w:rFonts w:hint="default" w:ascii="宋体" w:hAnsi="宋体" w:cs="宋体"/>
          <w:color w:val="auto"/>
          <w:highlight w:val="none"/>
        </w:rPr>
      </w:pPr>
      <w:r>
        <w:rPr>
          <w:rFonts w:ascii="宋体" w:hAnsi="宋体" w:cs="宋体"/>
          <w:color w:val="auto"/>
          <w:highlight w:val="none"/>
        </w:rPr>
        <w:t>本项目评审过程实行全程录音、录像监控，政府采购监管部门视情进行现场监督，供应商在评审过程中所进行的试图影响评审结果的不公正活动，可能导致其被拒绝磋商。</w:t>
      </w:r>
    </w:p>
    <w:p w14:paraId="65007567">
      <w:pPr>
        <w:autoSpaceDE w:val="0"/>
        <w:autoSpaceDN w:val="0"/>
        <w:adjustRightInd w:val="0"/>
        <w:spacing w:line="420" w:lineRule="exact"/>
        <w:ind w:left="480"/>
        <w:rPr>
          <w:rFonts w:ascii="宋体" w:hAnsi="宋体"/>
          <w:b/>
          <w:color w:val="auto"/>
          <w:kern w:val="0"/>
          <w:sz w:val="24"/>
          <w:highlight w:val="none"/>
        </w:rPr>
      </w:pPr>
      <w:r>
        <w:rPr>
          <w:rFonts w:hint="eastAsia" w:ascii="宋体" w:hAnsi="宋体"/>
          <w:b/>
          <w:color w:val="auto"/>
          <w:kern w:val="0"/>
          <w:sz w:val="24"/>
          <w:highlight w:val="none"/>
        </w:rPr>
        <w:t>（九）电子交易异常情形处理</w:t>
      </w:r>
    </w:p>
    <w:p w14:paraId="397B5DAD">
      <w:pPr>
        <w:pStyle w:val="31"/>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采购过程中出现以下情形，导致电子交易平台无法正常运行，或者无法保证电子交易的公平、公正和安全时，采购组织机构可中止电子交易活动：</w:t>
      </w:r>
    </w:p>
    <w:p w14:paraId="0317D53E">
      <w:pPr>
        <w:pStyle w:val="31"/>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1、电子交易平台发生故障而无法登录访问的；</w:t>
      </w:r>
    </w:p>
    <w:p w14:paraId="0D7844F0">
      <w:pPr>
        <w:pStyle w:val="31"/>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2、电子交易平台应用或数据库出现错误，不能进行正常操作的；</w:t>
      </w:r>
    </w:p>
    <w:p w14:paraId="07CB77C2">
      <w:pPr>
        <w:pStyle w:val="31"/>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3、电子交易平台发现严重安全漏洞，有潜在泄密危险的；</w:t>
      </w:r>
    </w:p>
    <w:p w14:paraId="288C4E60">
      <w:pPr>
        <w:pStyle w:val="31"/>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4、病毒发作导致不能进行正常操作的；</w:t>
      </w:r>
    </w:p>
    <w:p w14:paraId="5E5484AB">
      <w:pPr>
        <w:pStyle w:val="31"/>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5、其他无法保证电子交易的公平、公正和安全的情况。</w:t>
      </w:r>
    </w:p>
    <w:p w14:paraId="2AD07476">
      <w:pPr>
        <w:pStyle w:val="31"/>
        <w:spacing w:before="0" w:beforeAutospacing="0" w:after="0" w:afterAutospacing="0" w:line="360" w:lineRule="auto"/>
        <w:ind w:firstLine="480" w:firstLineChars="200"/>
        <w:jc w:val="both"/>
        <w:rPr>
          <w:rFonts w:ascii="宋体" w:hAnsi="宋体" w:eastAsia="宋体" w:cs="宋体"/>
          <w:color w:val="auto"/>
          <w:highlight w:val="none"/>
        </w:rPr>
      </w:pPr>
      <w:r>
        <w:rPr>
          <w:rFonts w:ascii="宋体" w:hAnsi="宋体" w:eastAsia="宋体" w:cs="宋体"/>
          <w:color w:val="auto"/>
          <w:highlight w:val="none"/>
        </w:rPr>
        <w:t>出现前款规定情形，不影响采购公平、公正性的，采购组织机构可以待上述情形消除后继续组织电子交易活动；影响或可能影响采购公平、公正性的，应当重新采购。</w:t>
      </w:r>
    </w:p>
    <w:p w14:paraId="7E903990">
      <w:pPr>
        <w:pStyle w:val="31"/>
        <w:spacing w:before="0" w:beforeAutospacing="0" w:after="0" w:afterAutospacing="0" w:line="360" w:lineRule="auto"/>
        <w:ind w:firstLine="482" w:firstLineChars="200"/>
        <w:jc w:val="both"/>
        <w:rPr>
          <w:rFonts w:hint="default" w:ascii="宋体" w:hAnsi="宋体" w:cs="宋体"/>
          <w:b/>
          <w:color w:val="auto"/>
          <w:kern w:val="2"/>
          <w:highlight w:val="none"/>
        </w:rPr>
      </w:pPr>
      <w:r>
        <w:rPr>
          <w:rFonts w:ascii="宋体" w:hAnsi="宋体" w:cs="宋体"/>
          <w:b/>
          <w:color w:val="auto"/>
          <w:kern w:val="2"/>
          <w:highlight w:val="none"/>
        </w:rPr>
        <w:t>五、磋商结果确定</w:t>
      </w:r>
    </w:p>
    <w:p w14:paraId="33A3CABF">
      <w:pPr>
        <w:pStyle w:val="31"/>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2BEB072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2、发布成交结果公告。采购组织机构应当在成交供应商确定后2个工作日内，在省级以上财政部门指定的政府采购信息发布媒体及相关网站上公告成交结果，并将磋商文件随同公告。</w:t>
      </w:r>
    </w:p>
    <w:p w14:paraId="4F6F32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3、发出成交通知书。采购组织机构在发布成交结果同时，向成交供应商发出成交通知书。</w:t>
      </w:r>
    </w:p>
    <w:p w14:paraId="054546A6">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六、合同签订及公告</w:t>
      </w:r>
    </w:p>
    <w:p w14:paraId="7CB2CEB7">
      <w:pPr>
        <w:pStyle w:val="3"/>
        <w:ind w:firstLine="482" w:firstLineChars="200"/>
        <w:rPr>
          <w:rFonts w:ascii="宋体" w:hAnsi="宋体" w:cs="宋体"/>
          <w:b/>
          <w:color w:val="auto"/>
          <w:szCs w:val="24"/>
          <w:highlight w:val="none"/>
        </w:rPr>
      </w:pPr>
      <w:r>
        <w:rPr>
          <w:rFonts w:hint="eastAsia" w:ascii="宋体" w:hAnsi="宋体" w:cs="宋体"/>
          <w:b/>
          <w:color w:val="auto"/>
          <w:szCs w:val="24"/>
          <w:highlight w:val="none"/>
        </w:rPr>
        <w:t>（一）签订合同</w:t>
      </w:r>
    </w:p>
    <w:p w14:paraId="684C7A1D">
      <w:pPr>
        <w:pStyle w:val="3"/>
        <w:ind w:firstLine="480" w:firstLineChars="200"/>
        <w:rPr>
          <w:rFonts w:ascii="宋体" w:hAnsi="宋体" w:cs="宋体"/>
          <w:color w:val="auto"/>
          <w:szCs w:val="24"/>
          <w:highlight w:val="none"/>
        </w:rPr>
      </w:pPr>
      <w:r>
        <w:rPr>
          <w:rFonts w:hint="eastAsia" w:ascii="宋体" w:hAnsi="宋体" w:cs="宋体"/>
          <w:color w:val="auto"/>
          <w:szCs w:val="24"/>
          <w:highlight w:val="none"/>
        </w:rPr>
        <w:t>1、采购人应当自成交通知书发出之日起30日内，按照磋商采购文件确定的合同文本以及采购标的、规格型号、采购金额、采购数量和服务要求等事项签订政府采购合同。</w:t>
      </w:r>
    </w:p>
    <w:p w14:paraId="1F43B757">
      <w:pPr>
        <w:pStyle w:val="31"/>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5257369E">
      <w:pPr>
        <w:pStyle w:val="31"/>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3、成交供应商无故拖延、拒签合同的,取消成交资格。</w:t>
      </w:r>
    </w:p>
    <w:p w14:paraId="3E9EE88F">
      <w:pPr>
        <w:pStyle w:val="31"/>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4、成交供应商拒绝与采购人签订合同或因成交供应商原因造成采购人无法与成交供应商签订合同的，采购人可以按照评审报告名单排序，确定</w:t>
      </w:r>
      <w:r>
        <w:rPr>
          <w:rFonts w:hint="eastAsia" w:ascii="宋体" w:hAnsi="宋体" w:cs="宋体"/>
          <w:color w:val="auto"/>
          <w:highlight w:val="none"/>
        </w:rPr>
        <w:t>下一候选</w:t>
      </w:r>
      <w:r>
        <w:rPr>
          <w:rFonts w:hint="eastAsia" w:ascii="宋体" w:hAnsi="宋体" w:eastAsia="宋体" w:cs="宋体"/>
          <w:sz w:val="24"/>
          <w:highlight w:val="none"/>
        </w:rPr>
        <w:t>供应商</w:t>
      </w:r>
      <w:r>
        <w:rPr>
          <w:rFonts w:ascii="宋体" w:hAnsi="宋体" w:cs="宋体"/>
          <w:color w:val="auto"/>
          <w:highlight w:val="none"/>
        </w:rPr>
        <w:t>为成交供应商，也可以重新开展政府采购活动。同时，拒绝与采购人签订合同的供应商，由同级财政部门依法作出处理。</w:t>
      </w:r>
    </w:p>
    <w:p w14:paraId="74D05957">
      <w:pPr>
        <w:pStyle w:val="31"/>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5、询问或者质疑事项可能影响成交结果的，采购人应当暂停签订合同，已经签订合同的，应当中止履行合同（成交结果的质疑期为成交结果公告期限届满之日起七个工作日）。</w:t>
      </w:r>
    </w:p>
    <w:p w14:paraId="6CB4B8C5">
      <w:pPr>
        <w:pStyle w:val="31"/>
        <w:spacing w:line="360" w:lineRule="auto"/>
        <w:ind w:firstLine="602" w:firstLineChars="250"/>
        <w:rPr>
          <w:rFonts w:hint="default" w:ascii="宋体" w:hAnsi="宋体" w:cs="宋体"/>
          <w:b/>
          <w:color w:val="auto"/>
          <w:highlight w:val="none"/>
        </w:rPr>
      </w:pPr>
      <w:r>
        <w:rPr>
          <w:rFonts w:ascii="宋体" w:hAnsi="宋体" w:cs="宋体"/>
          <w:b/>
          <w:color w:val="auto"/>
          <w:highlight w:val="none"/>
        </w:rPr>
        <w:t>（二）合同公告及备案</w:t>
      </w:r>
    </w:p>
    <w:p w14:paraId="4B1079E8">
      <w:pPr>
        <w:pStyle w:val="3"/>
        <w:ind w:firstLine="480" w:firstLineChars="200"/>
        <w:rPr>
          <w:rFonts w:ascii="宋体" w:hAnsi="宋体" w:cs="宋体"/>
          <w:color w:val="auto"/>
          <w:szCs w:val="24"/>
          <w:highlight w:val="none"/>
        </w:rPr>
      </w:pPr>
      <w:r>
        <w:rPr>
          <w:rFonts w:hint="eastAsia" w:ascii="宋体" w:hAnsi="宋体" w:cs="宋体"/>
          <w:color w:val="auto"/>
          <w:szCs w:val="24"/>
          <w:highlight w:val="none"/>
        </w:rPr>
        <w:t>1、采购人应当自政府采购合同签订之日起2个工作日内，在省级以上财政部门指定的政府采购信息发布媒体及相关网站上公告。</w:t>
      </w:r>
    </w:p>
    <w:p w14:paraId="6FE14ABA">
      <w:pPr>
        <w:pStyle w:val="3"/>
        <w:ind w:firstLine="480" w:firstLineChars="200"/>
        <w:rPr>
          <w:rFonts w:ascii="宋体" w:hAnsi="宋体" w:cs="宋体"/>
          <w:color w:val="auto"/>
          <w:szCs w:val="24"/>
          <w:highlight w:val="none"/>
        </w:rPr>
      </w:pPr>
      <w:r>
        <w:rPr>
          <w:rFonts w:hint="eastAsia" w:ascii="宋体" w:hAnsi="宋体" w:cs="宋体"/>
          <w:color w:val="auto"/>
          <w:szCs w:val="24"/>
          <w:highlight w:val="none"/>
        </w:rPr>
        <w:t>2、采购人应当自政府采购合同签订之日起7个工作日内，将政府采购合同副本报同级人民政府财政部门备案以及采购组织机构存档。</w:t>
      </w:r>
    </w:p>
    <w:p w14:paraId="03A9C6CA">
      <w:pPr>
        <w:spacing w:line="360" w:lineRule="auto"/>
        <w:jc w:val="both"/>
        <w:rPr>
          <w:rFonts w:ascii="宋体" w:hAnsi="宋体" w:cs="宋体"/>
          <w:b/>
          <w:color w:val="auto"/>
          <w:sz w:val="36"/>
          <w:szCs w:val="36"/>
          <w:highlight w:val="none"/>
        </w:rPr>
        <w:sectPr>
          <w:pgSz w:w="11906" w:h="16838"/>
          <w:pgMar w:top="1440" w:right="1066" w:bottom="1440" w:left="1800" w:header="851" w:footer="992" w:gutter="0"/>
          <w:cols w:space="720" w:num="1"/>
          <w:docGrid w:type="lines" w:linePitch="312" w:charSpace="0"/>
        </w:sectPr>
      </w:pPr>
    </w:p>
    <w:p w14:paraId="71DA861F">
      <w:pPr>
        <w:spacing w:line="360" w:lineRule="auto"/>
        <w:jc w:val="center"/>
        <w:rPr>
          <w:rFonts w:ascii="宋体" w:hAnsi="宋体" w:cs="宋体"/>
          <w:color w:val="auto"/>
          <w:kern w:val="0"/>
          <w:sz w:val="36"/>
          <w:szCs w:val="36"/>
          <w:highlight w:val="none"/>
        </w:rPr>
      </w:pPr>
      <w:r>
        <w:rPr>
          <w:rFonts w:hint="eastAsia" w:ascii="宋体" w:hAnsi="宋体" w:cs="宋体"/>
          <w:b/>
          <w:color w:val="auto"/>
          <w:sz w:val="36"/>
          <w:szCs w:val="36"/>
          <w:highlight w:val="none"/>
        </w:rPr>
        <w:t>第三章　评审办法及评审标准</w:t>
      </w:r>
    </w:p>
    <w:p w14:paraId="5C9959F9">
      <w:pPr>
        <w:autoSpaceDE w:val="0"/>
        <w:autoSpaceDN w:val="0"/>
        <w:spacing w:line="360" w:lineRule="auto"/>
        <w:ind w:firstLine="480" w:firstLineChars="200"/>
        <w:rPr>
          <w:rFonts w:ascii="宋体" w:hAnsi="宋体" w:cs="宋体"/>
          <w:b/>
          <w:i/>
          <w:color w:val="auto"/>
          <w:kern w:val="0"/>
          <w:sz w:val="24"/>
          <w:highlight w:val="none"/>
        </w:rPr>
      </w:pPr>
      <w:r>
        <w:rPr>
          <w:rFonts w:hint="eastAsia" w:ascii="宋体" w:hAnsi="宋体" w:cs="宋体"/>
          <w:color w:val="auto"/>
          <w:kern w:val="0"/>
          <w:sz w:val="24"/>
          <w:highlight w:val="none"/>
        </w:rPr>
        <w:t>一、采购组织机构将组织</w:t>
      </w:r>
      <w:r>
        <w:rPr>
          <w:rFonts w:hint="eastAsia" w:ascii="宋体" w:hAnsi="宋体" w:cs="宋体"/>
          <w:color w:val="auto"/>
          <w:sz w:val="24"/>
          <w:highlight w:val="none"/>
        </w:rPr>
        <w:t>磋商小组</w:t>
      </w:r>
      <w:r>
        <w:rPr>
          <w:rFonts w:hint="eastAsia" w:ascii="宋体" w:hAnsi="宋体" w:cs="宋体"/>
          <w:color w:val="auto"/>
          <w:kern w:val="0"/>
          <w:sz w:val="24"/>
          <w:highlight w:val="none"/>
        </w:rPr>
        <w:t>，对</w:t>
      </w:r>
      <w:r>
        <w:rPr>
          <w:rFonts w:hint="eastAsia" w:ascii="宋体" w:hAnsi="宋体" w:cs="宋体"/>
          <w:color w:val="auto"/>
          <w:sz w:val="24"/>
          <w:highlight w:val="none"/>
        </w:rPr>
        <w:t>供应商</w:t>
      </w:r>
      <w:r>
        <w:rPr>
          <w:rFonts w:hint="eastAsia" w:ascii="宋体" w:hAnsi="宋体" w:cs="宋体"/>
          <w:color w:val="auto"/>
          <w:kern w:val="0"/>
          <w:sz w:val="24"/>
          <w:highlight w:val="none"/>
        </w:rPr>
        <w:t>提供的</w:t>
      </w:r>
      <w:r>
        <w:rPr>
          <w:rFonts w:hint="eastAsia" w:ascii="宋体" w:hAnsi="宋体" w:cs="宋体"/>
          <w:color w:val="auto"/>
          <w:sz w:val="24"/>
          <w:highlight w:val="none"/>
        </w:rPr>
        <w:t>磋商响应文件</w:t>
      </w:r>
      <w:r>
        <w:rPr>
          <w:rFonts w:hint="eastAsia" w:ascii="宋体" w:hAnsi="宋体" w:cs="宋体"/>
          <w:color w:val="auto"/>
          <w:kern w:val="0"/>
          <w:sz w:val="24"/>
          <w:highlight w:val="none"/>
        </w:rPr>
        <w:t xml:space="preserve">进行综合评审。   </w:t>
      </w:r>
    </w:p>
    <w:p w14:paraId="75F2A9D8">
      <w:pPr>
        <w:autoSpaceDE w:val="0"/>
        <w:autoSpaceDN w:val="0"/>
        <w:adjustRightInd w:val="0"/>
        <w:spacing w:line="360" w:lineRule="auto"/>
        <w:ind w:left="359" w:leftChars="171"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二、本次磋商项目的评审方法为</w:t>
      </w:r>
      <w:r>
        <w:rPr>
          <w:rFonts w:hint="eastAsia" w:ascii="宋体" w:hAnsi="宋体" w:cs="宋体"/>
          <w:b/>
          <w:color w:val="auto"/>
          <w:kern w:val="0"/>
          <w:sz w:val="24"/>
          <w:highlight w:val="none"/>
        </w:rPr>
        <w:t>综合评分法</w:t>
      </w:r>
      <w:r>
        <w:rPr>
          <w:rFonts w:hint="eastAsia" w:ascii="宋体" w:hAnsi="宋体" w:cs="宋体"/>
          <w:color w:val="auto"/>
          <w:kern w:val="0"/>
          <w:sz w:val="24"/>
          <w:highlight w:val="none"/>
        </w:rPr>
        <w:t>，总计100分。评审标准按以下2项内容及分值进行评审。</w:t>
      </w:r>
    </w:p>
    <w:tbl>
      <w:tblPr>
        <w:tblStyle w:val="35"/>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2"/>
        <w:gridCol w:w="4305"/>
      </w:tblGrid>
      <w:tr w14:paraId="3DE6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002" w:type="dxa"/>
            <w:tcBorders>
              <w:tl2br w:val="single" w:color="auto" w:sz="4" w:space="0"/>
            </w:tcBorders>
          </w:tcPr>
          <w:p w14:paraId="1466D5BD">
            <w:pPr>
              <w:autoSpaceDE w:val="0"/>
              <w:autoSpaceDN w:val="0"/>
              <w:adjustRightInd w:val="0"/>
              <w:jc w:val="left"/>
              <w:rPr>
                <w:rFonts w:ascii="宋体" w:hAnsi="宋体" w:cs="宋体"/>
                <w:color w:val="auto"/>
                <w:sz w:val="24"/>
                <w:highlight w:val="none"/>
              </w:rPr>
            </w:pPr>
            <w:r>
              <w:rPr>
                <w:rFonts w:hint="eastAsia" w:ascii="宋体" w:hAnsi="宋体" w:cs="宋体"/>
                <w:color w:val="auto"/>
                <w:sz w:val="24"/>
                <w:highlight w:val="none"/>
              </w:rPr>
              <w:t xml:space="preserve">                   标段</w:t>
            </w:r>
          </w:p>
          <w:p w14:paraId="692D3A21">
            <w:pPr>
              <w:autoSpaceDE w:val="0"/>
              <w:autoSpaceDN w:val="0"/>
              <w:adjustRightInd w:val="0"/>
              <w:ind w:firstLine="480" w:firstLineChars="200"/>
              <w:jc w:val="left"/>
              <w:rPr>
                <w:rFonts w:ascii="宋体" w:hAnsi="宋体" w:cs="宋体"/>
                <w:color w:val="auto"/>
                <w:sz w:val="24"/>
                <w:highlight w:val="none"/>
              </w:rPr>
            </w:pPr>
            <w:r>
              <w:rPr>
                <w:rFonts w:hint="eastAsia" w:ascii="宋体" w:hAnsi="宋体" w:cs="宋体"/>
                <w:color w:val="auto"/>
                <w:sz w:val="24"/>
                <w:highlight w:val="none"/>
              </w:rPr>
              <w:t>类别</w:t>
            </w:r>
          </w:p>
        </w:tc>
        <w:tc>
          <w:tcPr>
            <w:tcW w:w="4305" w:type="dxa"/>
            <w:vAlign w:val="center"/>
          </w:tcPr>
          <w:p w14:paraId="79FF1E42">
            <w:pPr>
              <w:autoSpaceDE w:val="0"/>
              <w:autoSpaceDN w:val="0"/>
              <w:adjustRightInd w:val="0"/>
              <w:spacing w:line="480" w:lineRule="auto"/>
              <w:jc w:val="center"/>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1 \* CHINESENUM3</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一</w:t>
            </w:r>
            <w:r>
              <w:rPr>
                <w:rFonts w:hint="eastAsia" w:ascii="宋体" w:hAnsi="宋体" w:cs="宋体"/>
                <w:color w:val="auto"/>
                <w:sz w:val="24"/>
                <w:highlight w:val="none"/>
              </w:rPr>
              <w:fldChar w:fldCharType="end"/>
            </w:r>
          </w:p>
        </w:tc>
      </w:tr>
      <w:tr w14:paraId="4E57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002" w:type="dxa"/>
            <w:vAlign w:val="center"/>
          </w:tcPr>
          <w:p w14:paraId="66ACE949">
            <w:pPr>
              <w:autoSpaceDE w:val="0"/>
              <w:autoSpaceDN w:val="0"/>
              <w:adjustRightInd w:val="0"/>
              <w:jc w:val="center"/>
              <w:rPr>
                <w:rFonts w:ascii="宋体" w:hAnsi="宋体" w:cs="宋体"/>
                <w:color w:val="auto"/>
                <w:sz w:val="24"/>
                <w:highlight w:val="none"/>
              </w:rPr>
            </w:pPr>
            <w:r>
              <w:rPr>
                <w:rFonts w:hint="eastAsia" w:ascii="宋体" w:hAnsi="宋体" w:cs="宋体"/>
                <w:color w:val="auto"/>
                <w:kern w:val="0"/>
                <w:sz w:val="24"/>
                <w:highlight w:val="none"/>
              </w:rPr>
              <w:t>商务</w:t>
            </w:r>
            <w:r>
              <w:rPr>
                <w:rFonts w:hint="eastAsia" w:ascii="宋体" w:hAnsi="宋体" w:cs="宋体"/>
                <w:color w:val="auto"/>
                <w:kern w:val="0"/>
                <w:sz w:val="24"/>
                <w:highlight w:val="none"/>
                <w:lang w:eastAsia="zh-CN"/>
              </w:rPr>
              <w:t>与</w:t>
            </w:r>
            <w:r>
              <w:rPr>
                <w:rFonts w:hint="eastAsia" w:ascii="宋体" w:hAnsi="宋体" w:cs="宋体"/>
                <w:color w:val="auto"/>
                <w:kern w:val="0"/>
                <w:sz w:val="24"/>
                <w:highlight w:val="none"/>
              </w:rPr>
              <w:t>技术分值</w:t>
            </w:r>
          </w:p>
        </w:tc>
        <w:tc>
          <w:tcPr>
            <w:tcW w:w="4305" w:type="dxa"/>
            <w:vAlign w:val="center"/>
          </w:tcPr>
          <w:p w14:paraId="7FF9F48F">
            <w:pPr>
              <w:autoSpaceDE w:val="0"/>
              <w:autoSpaceDN w:val="0"/>
              <w:adjustRightInd w:val="0"/>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70</w:t>
            </w:r>
          </w:p>
        </w:tc>
      </w:tr>
      <w:tr w14:paraId="5238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002" w:type="dxa"/>
            <w:vAlign w:val="center"/>
          </w:tcPr>
          <w:p w14:paraId="717D9FD6">
            <w:pPr>
              <w:autoSpaceDE w:val="0"/>
              <w:autoSpaceDN w:val="0"/>
              <w:adjustRightInd w:val="0"/>
              <w:jc w:val="center"/>
              <w:rPr>
                <w:rFonts w:ascii="宋体" w:hAnsi="宋体" w:cs="宋体"/>
                <w:color w:val="auto"/>
                <w:sz w:val="24"/>
                <w:highlight w:val="none"/>
              </w:rPr>
            </w:pPr>
            <w:r>
              <w:rPr>
                <w:rFonts w:hint="eastAsia" w:ascii="宋体" w:hAnsi="宋体" w:cs="宋体"/>
                <w:color w:val="auto"/>
                <w:kern w:val="0"/>
                <w:sz w:val="24"/>
                <w:highlight w:val="none"/>
              </w:rPr>
              <w:t>价格分</w:t>
            </w:r>
          </w:p>
        </w:tc>
        <w:tc>
          <w:tcPr>
            <w:tcW w:w="4305" w:type="dxa"/>
            <w:vAlign w:val="center"/>
          </w:tcPr>
          <w:p w14:paraId="00F584BD">
            <w:pPr>
              <w:autoSpaceDE w:val="0"/>
              <w:autoSpaceDN w:val="0"/>
              <w:adjustRightInd w:val="0"/>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30</w:t>
            </w:r>
          </w:p>
        </w:tc>
      </w:tr>
    </w:tbl>
    <w:p w14:paraId="6CD85F1D">
      <w:pPr>
        <w:autoSpaceDE w:val="0"/>
        <w:autoSpaceDN w:val="0"/>
        <w:adjustRightInd w:val="0"/>
        <w:spacing w:line="500" w:lineRule="exact"/>
        <w:ind w:right="84" w:firstLine="472"/>
        <w:rPr>
          <w:rFonts w:hint="eastAsia" w:ascii="宋体"/>
          <w:bCs/>
          <w:sz w:val="24"/>
          <w:highlight w:val="none"/>
          <w:lang w:val="zh-CN"/>
        </w:rPr>
      </w:pPr>
      <w:r>
        <w:rPr>
          <w:rFonts w:hint="eastAsia" w:ascii="宋体"/>
          <w:bCs/>
          <w:sz w:val="24"/>
          <w:highlight w:val="none"/>
          <w:lang w:val="zh-CN"/>
        </w:rPr>
        <w:t>（一）商务技术文件中的客观分打分分值应一致，由评标委员会独立打分，客观分打分不一致时，采购人及采购代理机构可以提示评审委员会复核或书面说明理由。其余在规定的分值内单独评定打分。</w:t>
      </w:r>
    </w:p>
    <w:p w14:paraId="0398997B">
      <w:pPr>
        <w:autoSpaceDE w:val="0"/>
        <w:autoSpaceDN w:val="0"/>
        <w:adjustRightInd w:val="0"/>
        <w:spacing w:line="500" w:lineRule="exact"/>
        <w:ind w:right="84" w:firstLine="472"/>
        <w:rPr>
          <w:rFonts w:hint="eastAsia" w:ascii="宋体"/>
          <w:bCs/>
          <w:sz w:val="24"/>
          <w:highlight w:val="none"/>
          <w:lang w:val="zh-CN"/>
        </w:rPr>
      </w:pPr>
      <w:r>
        <w:rPr>
          <w:rFonts w:hint="eastAsia" w:ascii="宋体"/>
          <w:bCs/>
          <w:sz w:val="24"/>
          <w:highlight w:val="none"/>
          <w:lang w:val="zh-CN"/>
        </w:rPr>
        <w:t>（二）各投标人商务技术文件得分按照评标委员会成员的独立评分结果汇总后的算术平均分计算，计算公式为：</w:t>
      </w:r>
    </w:p>
    <w:p w14:paraId="635E57AB">
      <w:pPr>
        <w:autoSpaceDE w:val="0"/>
        <w:autoSpaceDN w:val="0"/>
        <w:adjustRightInd w:val="0"/>
        <w:spacing w:line="500" w:lineRule="exact"/>
        <w:ind w:right="84" w:firstLine="472"/>
        <w:rPr>
          <w:rFonts w:hint="eastAsia" w:ascii="宋体"/>
          <w:bCs/>
          <w:sz w:val="24"/>
          <w:highlight w:val="none"/>
          <w:lang w:val="zh-CN"/>
        </w:rPr>
      </w:pPr>
      <w:r>
        <w:rPr>
          <w:rFonts w:hint="eastAsia" w:ascii="宋体"/>
          <w:bCs/>
          <w:sz w:val="24"/>
          <w:highlight w:val="none"/>
          <w:lang w:val="zh-CN"/>
        </w:rPr>
        <w:t>商务技术文件得分=评标委员会所有成员评分合计数/评标委员会组成人员数。</w:t>
      </w:r>
    </w:p>
    <w:p w14:paraId="47198E63">
      <w:pPr>
        <w:autoSpaceDE w:val="0"/>
        <w:autoSpaceDN w:val="0"/>
        <w:adjustRightInd w:val="0"/>
        <w:spacing w:line="500" w:lineRule="exact"/>
        <w:ind w:right="84" w:firstLine="472"/>
        <w:rPr>
          <w:rFonts w:hint="eastAsia" w:ascii="宋体"/>
          <w:bCs/>
          <w:sz w:val="24"/>
          <w:highlight w:val="none"/>
          <w:lang w:val="zh-CN"/>
        </w:rPr>
      </w:pPr>
      <w:r>
        <w:rPr>
          <w:rFonts w:hint="eastAsia" w:ascii="宋体"/>
          <w:bCs/>
          <w:sz w:val="24"/>
          <w:highlight w:val="none"/>
          <w:lang w:val="zh-CN"/>
        </w:rPr>
        <w:t>（三）投标报价得分采用低价优先法计算，即满足招标文件要求且经评审投标价格最低的投标报价为评标基准价，其报价得满分。其他投标人的投标报价得分按下列公式计算：</w:t>
      </w:r>
    </w:p>
    <w:p w14:paraId="1DAFFAB0">
      <w:pPr>
        <w:autoSpaceDE w:val="0"/>
        <w:autoSpaceDN w:val="0"/>
        <w:adjustRightInd w:val="0"/>
        <w:spacing w:line="500" w:lineRule="exact"/>
        <w:ind w:right="84" w:firstLine="472"/>
        <w:rPr>
          <w:rFonts w:hint="eastAsia" w:ascii="宋体"/>
          <w:bCs/>
          <w:sz w:val="24"/>
          <w:highlight w:val="none"/>
          <w:lang w:val="zh-CN"/>
        </w:rPr>
      </w:pPr>
      <w:r>
        <w:rPr>
          <w:rFonts w:hint="eastAsia"/>
          <w:sz w:val="24"/>
          <w:highlight w:val="none"/>
          <w:u w:val="single"/>
        </w:rPr>
        <w:t>投标报价得</w:t>
      </w:r>
      <w:r>
        <w:rPr>
          <w:sz w:val="24"/>
          <w:highlight w:val="none"/>
          <w:u w:val="single"/>
        </w:rPr>
        <w:t>分=(评标基准价／投</w:t>
      </w:r>
      <w:r>
        <w:rPr>
          <w:rFonts w:ascii="宋体"/>
          <w:sz w:val="24"/>
          <w:highlight w:val="none"/>
          <w:u w:val="single"/>
        </w:rPr>
        <w:t>标报价)×</w:t>
      </w:r>
      <w:r>
        <w:rPr>
          <w:rFonts w:hint="eastAsia" w:ascii="宋体"/>
          <w:sz w:val="24"/>
          <w:highlight w:val="none"/>
          <w:u w:val="single"/>
          <w:lang w:val="en-US" w:eastAsia="zh-CN"/>
        </w:rPr>
        <w:t>30</w:t>
      </w:r>
      <w:r>
        <w:rPr>
          <w:rFonts w:hint="eastAsia" w:ascii="宋体"/>
          <w:sz w:val="24"/>
          <w:highlight w:val="none"/>
          <w:u w:val="single"/>
        </w:rPr>
        <w:t>%</w:t>
      </w:r>
      <w:r>
        <w:rPr>
          <w:rFonts w:ascii="宋体"/>
          <w:sz w:val="24"/>
          <w:highlight w:val="none"/>
          <w:u w:val="single"/>
        </w:rPr>
        <w:t>×100</w:t>
      </w:r>
      <w:r>
        <w:rPr>
          <w:rFonts w:hint="eastAsia" w:ascii="宋体"/>
          <w:sz w:val="24"/>
          <w:highlight w:val="none"/>
          <w:u w:val="single"/>
        </w:rPr>
        <w:t>。</w:t>
      </w:r>
    </w:p>
    <w:p w14:paraId="45C211D8">
      <w:pPr>
        <w:autoSpaceDE w:val="0"/>
        <w:autoSpaceDN w:val="0"/>
        <w:adjustRightInd w:val="0"/>
        <w:spacing w:line="500" w:lineRule="exact"/>
        <w:ind w:right="84" w:firstLine="472"/>
        <w:rPr>
          <w:rFonts w:hint="default" w:ascii="宋体" w:eastAsia="宋体"/>
          <w:bCs/>
          <w:sz w:val="24"/>
          <w:highlight w:val="none"/>
          <w:lang w:val="en-US" w:eastAsia="zh-CN"/>
        </w:rPr>
      </w:pPr>
      <w:r>
        <w:rPr>
          <w:rFonts w:hint="eastAsia" w:ascii="宋体"/>
          <w:bCs/>
          <w:sz w:val="24"/>
          <w:highlight w:val="none"/>
          <w:lang w:val="zh-CN"/>
        </w:rPr>
        <w:t>三、在最大限度地满足招标文件实质性要求前提下，评标委员会按照</w:t>
      </w:r>
      <w:r>
        <w:rPr>
          <w:rFonts w:hint="eastAsia" w:ascii="宋体"/>
          <w:bCs/>
          <w:sz w:val="24"/>
          <w:highlight w:val="none"/>
          <w:lang w:val="en-US" w:eastAsia="zh-CN"/>
        </w:rPr>
        <w:t>磋商</w:t>
      </w:r>
      <w:r>
        <w:rPr>
          <w:rFonts w:hint="eastAsia" w:ascii="宋体"/>
          <w:bCs/>
          <w:sz w:val="24"/>
          <w:highlight w:val="none"/>
          <w:lang w:val="zh-CN"/>
        </w:rPr>
        <w:t>文件中规定的各项因素进行综合评审后，以评审总得分最高的供应商为第一中标候选供应商，</w:t>
      </w:r>
      <w:r>
        <w:rPr>
          <w:rFonts w:hint="eastAsia" w:ascii="宋体"/>
          <w:bCs/>
          <w:sz w:val="24"/>
          <w:highlight w:val="none"/>
          <w:lang w:val="en-US" w:eastAsia="zh-CN"/>
        </w:rPr>
        <w:t>次高</w:t>
      </w:r>
      <w:r>
        <w:rPr>
          <w:rFonts w:hint="eastAsia" w:ascii="宋体"/>
          <w:bCs/>
          <w:sz w:val="24"/>
          <w:highlight w:val="none"/>
          <w:lang w:val="zh-CN"/>
        </w:rPr>
        <w:t>的供应商为第</w:t>
      </w:r>
      <w:r>
        <w:rPr>
          <w:rFonts w:hint="eastAsia" w:ascii="宋体"/>
          <w:bCs/>
          <w:sz w:val="24"/>
          <w:highlight w:val="none"/>
          <w:lang w:val="en-US" w:eastAsia="zh-CN"/>
        </w:rPr>
        <w:t>二</w:t>
      </w:r>
      <w:r>
        <w:rPr>
          <w:rFonts w:hint="eastAsia" w:ascii="宋体"/>
          <w:bCs/>
          <w:sz w:val="24"/>
          <w:highlight w:val="none"/>
          <w:lang w:val="zh-CN"/>
        </w:rPr>
        <w:t>中标候选供应商</w:t>
      </w:r>
    </w:p>
    <w:p w14:paraId="278A5A8C">
      <w:pPr>
        <w:autoSpaceDE w:val="0"/>
        <w:autoSpaceDN w:val="0"/>
        <w:adjustRightInd w:val="0"/>
        <w:spacing w:line="500" w:lineRule="exact"/>
        <w:ind w:right="84" w:firstLine="472"/>
        <w:rPr>
          <w:rFonts w:hint="eastAsia" w:ascii="宋体"/>
          <w:bCs/>
          <w:sz w:val="24"/>
          <w:highlight w:val="none"/>
          <w:lang w:val="zh-CN"/>
        </w:rPr>
      </w:pPr>
      <w:r>
        <w:rPr>
          <w:rFonts w:hint="eastAsia" w:ascii="宋体"/>
          <w:bCs/>
          <w:sz w:val="24"/>
          <w:highlight w:val="none"/>
          <w:lang w:val="zh-CN"/>
        </w:rPr>
        <w:t>四、如综合得分相同，投标报价低者为先；如综合得分且投标报价相同的，以投标产品技术响应情况得分较高者为先，均相同的抽签确定。</w:t>
      </w:r>
    </w:p>
    <w:p w14:paraId="2BF82A8D">
      <w:pPr>
        <w:autoSpaceDE w:val="0"/>
        <w:autoSpaceDN w:val="0"/>
        <w:adjustRightInd w:val="0"/>
        <w:spacing w:line="440" w:lineRule="exact"/>
        <w:ind w:right="85" w:firstLine="480" w:firstLineChars="200"/>
        <w:rPr>
          <w:rFonts w:ascii="宋体" w:hAnsi="宋体" w:cs="宋体"/>
          <w:sz w:val="24"/>
          <w:highlight w:val="none"/>
          <w:lang w:val="zh-CN"/>
        </w:rPr>
      </w:pPr>
      <w:r>
        <w:rPr>
          <w:rFonts w:hint="eastAsia" w:ascii="宋体" w:hAnsi="宋体" w:cs="宋体"/>
          <w:sz w:val="24"/>
          <w:highlight w:val="none"/>
          <w:lang w:val="zh-CN"/>
        </w:rPr>
        <w:t>五、</w:t>
      </w:r>
      <w:r>
        <w:rPr>
          <w:rFonts w:ascii="宋体" w:hAnsi="宋体" w:cs="宋体"/>
          <w:sz w:val="24"/>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B680775">
      <w:pPr>
        <w:autoSpaceDE w:val="0"/>
        <w:autoSpaceDN w:val="0"/>
        <w:adjustRightInd w:val="0"/>
        <w:spacing w:line="440" w:lineRule="exact"/>
        <w:ind w:right="85" w:firstLine="480" w:firstLineChars="200"/>
        <w:rPr>
          <w:rFonts w:ascii="宋体" w:hAnsi="宋体" w:cs="宋体"/>
          <w:sz w:val="24"/>
          <w:highlight w:val="none"/>
          <w:lang w:val="zh-CN"/>
        </w:rPr>
      </w:pPr>
      <w:r>
        <w:rPr>
          <w:rFonts w:ascii="宋体" w:hAnsi="宋体" w:cs="宋体"/>
          <w:sz w:val="24"/>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cs="宋体"/>
          <w:sz w:val="24"/>
          <w:highlight w:val="none"/>
          <w:lang w:val="en-US" w:eastAsia="zh-CN"/>
        </w:rPr>
        <w:t>磋商</w:t>
      </w:r>
      <w:r>
        <w:rPr>
          <w:rFonts w:ascii="宋体" w:hAnsi="宋体" w:cs="宋体"/>
          <w:sz w:val="24"/>
          <w:highlight w:val="none"/>
          <w:lang w:val="zh-CN"/>
        </w:rPr>
        <w:t>文件规定的方式确定一个投标人获得中标人推荐资格，</w:t>
      </w:r>
      <w:r>
        <w:rPr>
          <w:rFonts w:hint="eastAsia" w:ascii="宋体" w:hAnsi="宋体" w:cs="宋体"/>
          <w:sz w:val="24"/>
          <w:highlight w:val="none"/>
          <w:lang w:val="en-US" w:eastAsia="zh-CN"/>
        </w:rPr>
        <w:t>磋商</w:t>
      </w:r>
      <w:r>
        <w:rPr>
          <w:rFonts w:ascii="宋体" w:hAnsi="宋体" w:cs="宋体"/>
          <w:sz w:val="24"/>
          <w:highlight w:val="none"/>
          <w:lang w:val="zh-CN"/>
        </w:rPr>
        <w:t>文件未规定的采取随机抽取方式确定，其他同品牌投标人不作为中标候选人。</w:t>
      </w:r>
    </w:p>
    <w:p w14:paraId="63365751">
      <w:pPr>
        <w:autoSpaceDE w:val="0"/>
        <w:autoSpaceDN w:val="0"/>
        <w:adjustRightInd w:val="0"/>
        <w:spacing w:line="440" w:lineRule="exact"/>
        <w:ind w:right="85" w:firstLine="480" w:firstLineChars="200"/>
        <w:rPr>
          <w:rFonts w:ascii="宋体" w:hAnsi="宋体" w:cs="宋体"/>
          <w:sz w:val="24"/>
          <w:highlight w:val="none"/>
          <w:lang w:val="zh-CN"/>
        </w:rPr>
      </w:pPr>
      <w:r>
        <w:rPr>
          <w:rFonts w:ascii="宋体" w:hAnsi="宋体" w:cs="宋体"/>
          <w:sz w:val="24"/>
          <w:highlight w:val="none"/>
          <w:lang w:val="zh-CN"/>
        </w:rPr>
        <w:t>非单一产品采购项目，采购人应当根据采购项目技术构成、产品价格比重等合理确定核心产品</w:t>
      </w:r>
      <w:r>
        <w:rPr>
          <w:rFonts w:hint="eastAsia" w:ascii="宋体" w:hAnsi="宋体" w:cs="宋体"/>
          <w:b/>
          <w:sz w:val="24"/>
          <w:highlight w:val="none"/>
          <w:lang w:val="zh-CN"/>
        </w:rPr>
        <w:t>（本项目核心产品为</w:t>
      </w:r>
      <w:r>
        <w:rPr>
          <w:rFonts w:hint="eastAsia" w:ascii="宋体" w:hAnsi="宋体" w:cs="宋体"/>
          <w:b/>
          <w:sz w:val="24"/>
          <w:highlight w:val="none"/>
          <w:lang w:val="en-US" w:eastAsia="zh-CN"/>
        </w:rPr>
        <w:t>无人机</w:t>
      </w:r>
      <w:r>
        <w:rPr>
          <w:rFonts w:hint="eastAsia" w:ascii="宋体" w:hAnsi="宋体" w:cs="宋体"/>
          <w:b/>
          <w:sz w:val="24"/>
          <w:highlight w:val="none"/>
          <w:lang w:val="zh-CN"/>
        </w:rPr>
        <w:t>）</w:t>
      </w:r>
      <w:r>
        <w:rPr>
          <w:rFonts w:ascii="宋体" w:hAnsi="宋体" w:cs="宋体"/>
          <w:sz w:val="24"/>
          <w:highlight w:val="none"/>
          <w:lang w:val="zh-CN"/>
        </w:rPr>
        <w:t>。多家投标人提供的核心产品品牌相同的，按前两款规定处理。</w:t>
      </w:r>
    </w:p>
    <w:p w14:paraId="1013235A">
      <w:pPr>
        <w:autoSpaceDE w:val="0"/>
        <w:autoSpaceDN w:val="0"/>
        <w:adjustRightInd w:val="0"/>
        <w:spacing w:line="500" w:lineRule="exact"/>
        <w:ind w:right="84" w:firstLine="472"/>
        <w:rPr>
          <w:rFonts w:hint="eastAsia" w:ascii="宋体"/>
          <w:bCs/>
          <w:sz w:val="24"/>
          <w:highlight w:val="none"/>
          <w:lang w:val="zh-CN"/>
        </w:rPr>
      </w:pPr>
      <w:r>
        <w:rPr>
          <w:rFonts w:hint="eastAsia" w:ascii="宋体"/>
          <w:bCs/>
          <w:sz w:val="24"/>
          <w:highlight w:val="none"/>
          <w:lang w:val="en-US" w:eastAsia="zh-CN"/>
        </w:rPr>
        <w:t>六</w:t>
      </w:r>
      <w:r>
        <w:rPr>
          <w:rFonts w:hint="eastAsia" w:ascii="宋体"/>
          <w:bCs/>
          <w:sz w:val="24"/>
          <w:highlight w:val="none"/>
          <w:lang w:val="zh-CN"/>
        </w:rPr>
        <w:t>、本次评分具体分值细化条款如下表：</w:t>
      </w:r>
    </w:p>
    <w:p w14:paraId="613362B9">
      <w:pPr>
        <w:spacing w:line="460" w:lineRule="exact"/>
        <w:jc w:val="center"/>
        <w:rPr>
          <w:rFonts w:ascii="宋体" w:hAnsi="宋体" w:cs="宋体"/>
          <w:b/>
          <w:color w:val="auto"/>
          <w:sz w:val="36"/>
          <w:szCs w:val="36"/>
          <w:highlight w:val="none"/>
        </w:rPr>
      </w:pPr>
      <w:r>
        <w:rPr>
          <w:rFonts w:hint="eastAsia" w:ascii="宋体" w:hAnsi="宋体" w:cs="宋体"/>
          <w:b/>
          <w:color w:val="auto"/>
          <w:sz w:val="24"/>
          <w:highlight w:val="none"/>
        </w:rPr>
        <w:t>评分表格式（商务</w:t>
      </w:r>
      <w:r>
        <w:rPr>
          <w:rFonts w:hint="eastAsia" w:ascii="宋体" w:hAnsi="宋体" w:cs="宋体"/>
          <w:b/>
          <w:color w:val="auto"/>
          <w:sz w:val="24"/>
          <w:highlight w:val="none"/>
          <w:lang w:eastAsia="zh-CN"/>
        </w:rPr>
        <w:t>与</w:t>
      </w:r>
      <w:r>
        <w:rPr>
          <w:rFonts w:hint="eastAsia" w:ascii="宋体" w:hAnsi="宋体" w:cs="宋体"/>
          <w:b/>
          <w:color w:val="auto"/>
          <w:sz w:val="24"/>
          <w:highlight w:val="none"/>
        </w:rPr>
        <w:t>技术，共</w:t>
      </w:r>
      <w:r>
        <w:rPr>
          <w:rFonts w:hint="eastAsia" w:ascii="宋体" w:hAnsi="宋体" w:cs="宋体"/>
          <w:b/>
          <w:color w:val="auto"/>
          <w:sz w:val="24"/>
          <w:highlight w:val="none"/>
          <w:lang w:val="en-US" w:eastAsia="zh-CN"/>
        </w:rPr>
        <w:t>70</w:t>
      </w:r>
      <w:r>
        <w:rPr>
          <w:rFonts w:hint="eastAsia" w:ascii="宋体" w:hAnsi="宋体" w:cs="宋体"/>
          <w:b/>
          <w:color w:val="auto"/>
          <w:sz w:val="24"/>
          <w:highlight w:val="none"/>
        </w:rPr>
        <w:t>分）</w:t>
      </w:r>
    </w:p>
    <w:tbl>
      <w:tblPr>
        <w:tblStyle w:val="35"/>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105"/>
        <w:gridCol w:w="7389"/>
        <w:gridCol w:w="690"/>
      </w:tblGrid>
      <w:tr w14:paraId="32E3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30" w:type="dxa"/>
            <w:vAlign w:val="center"/>
          </w:tcPr>
          <w:p w14:paraId="1FA57C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pacing w:val="-4"/>
                <w:szCs w:val="21"/>
                <w:highlight w:val="none"/>
              </w:rPr>
            </w:pPr>
            <w:r>
              <w:rPr>
                <w:rFonts w:hint="eastAsia" w:ascii="宋体" w:hAnsi="宋体" w:eastAsia="宋体" w:cs="宋体"/>
                <w:b/>
                <w:bCs/>
                <w:color w:val="auto"/>
                <w:spacing w:val="-4"/>
                <w:szCs w:val="21"/>
                <w:highlight w:val="none"/>
              </w:rPr>
              <w:t>序号</w:t>
            </w:r>
          </w:p>
        </w:tc>
        <w:tc>
          <w:tcPr>
            <w:tcW w:w="1105" w:type="dxa"/>
            <w:vAlign w:val="center"/>
          </w:tcPr>
          <w:p w14:paraId="14ADAD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pacing w:val="-4"/>
                <w:szCs w:val="21"/>
                <w:highlight w:val="none"/>
                <w:lang w:eastAsia="zh-CN"/>
              </w:rPr>
            </w:pPr>
            <w:r>
              <w:rPr>
                <w:rFonts w:hint="eastAsia" w:ascii="宋体" w:hAnsi="宋体" w:eastAsia="宋体" w:cs="宋体"/>
                <w:b/>
                <w:color w:val="auto"/>
                <w:szCs w:val="21"/>
                <w:highlight w:val="none"/>
              </w:rPr>
              <w:t>评分</w:t>
            </w:r>
            <w:r>
              <w:rPr>
                <w:rFonts w:hint="eastAsia" w:ascii="宋体" w:hAnsi="宋体" w:eastAsia="宋体" w:cs="宋体"/>
                <w:b/>
                <w:color w:val="auto"/>
                <w:szCs w:val="21"/>
                <w:highlight w:val="none"/>
                <w:lang w:eastAsia="zh-CN"/>
              </w:rPr>
              <w:t>内容</w:t>
            </w:r>
          </w:p>
        </w:tc>
        <w:tc>
          <w:tcPr>
            <w:tcW w:w="7389" w:type="dxa"/>
            <w:vAlign w:val="center"/>
          </w:tcPr>
          <w:p w14:paraId="009F0BCC">
            <w:pPr>
              <w:keepNext w:val="0"/>
              <w:keepLines w:val="0"/>
              <w:pageBreakBefore w:val="0"/>
              <w:widowControl w:val="0"/>
              <w:kinsoku/>
              <w:wordWrap/>
              <w:overflowPunct/>
              <w:topLinePunct w:val="0"/>
              <w:autoSpaceDE/>
              <w:autoSpaceDN/>
              <w:bidi w:val="0"/>
              <w:adjustRightInd/>
              <w:snapToGrid/>
              <w:spacing w:line="320" w:lineRule="exact"/>
              <w:ind w:firstLine="422" w:firstLineChars="200"/>
              <w:jc w:val="center"/>
              <w:textAlignment w:val="auto"/>
              <w:rPr>
                <w:rFonts w:hint="eastAsia" w:ascii="宋体" w:hAnsi="宋体" w:eastAsia="宋体" w:cs="宋体"/>
                <w:b/>
                <w:bCs/>
                <w:color w:val="auto"/>
                <w:spacing w:val="-4"/>
                <w:szCs w:val="21"/>
                <w:highlight w:val="none"/>
              </w:rPr>
            </w:pPr>
            <w:r>
              <w:rPr>
                <w:rFonts w:hint="eastAsia" w:ascii="宋体" w:hAnsi="宋体" w:eastAsia="宋体" w:cs="宋体"/>
                <w:b/>
                <w:color w:val="auto"/>
                <w:szCs w:val="21"/>
                <w:highlight w:val="none"/>
              </w:rPr>
              <w:t>评分标准及内容</w:t>
            </w:r>
          </w:p>
        </w:tc>
        <w:tc>
          <w:tcPr>
            <w:tcW w:w="690" w:type="dxa"/>
            <w:vAlign w:val="center"/>
          </w:tcPr>
          <w:p w14:paraId="7F57B5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pacing w:val="-4"/>
                <w:szCs w:val="21"/>
                <w:highlight w:val="none"/>
              </w:rPr>
            </w:pPr>
            <w:r>
              <w:rPr>
                <w:rFonts w:hint="eastAsia" w:ascii="宋体" w:hAnsi="宋体" w:eastAsia="宋体" w:cs="宋体"/>
                <w:b/>
                <w:bCs/>
                <w:color w:val="auto"/>
                <w:spacing w:val="-4"/>
                <w:szCs w:val="21"/>
                <w:highlight w:val="none"/>
              </w:rPr>
              <w:t>分值</w:t>
            </w:r>
          </w:p>
        </w:tc>
      </w:tr>
      <w:tr w14:paraId="2ED0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30" w:type="dxa"/>
            <w:vAlign w:val="center"/>
          </w:tcPr>
          <w:p w14:paraId="062F4B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105" w:type="dxa"/>
            <w:vAlign w:val="center"/>
          </w:tcPr>
          <w:p w14:paraId="403C036F">
            <w:pPr>
              <w:spacing w:line="300" w:lineRule="exact"/>
              <w:jc w:val="center"/>
              <w:rPr>
                <w:rFonts w:hint="default" w:ascii="新宋体" w:hAnsi="新宋体" w:eastAsia="新宋体" w:cs="新宋体"/>
                <w:sz w:val="22"/>
                <w:szCs w:val="22"/>
                <w:highlight w:val="none"/>
                <w:lang w:val="en-US" w:eastAsia="zh-CN"/>
              </w:rPr>
            </w:pPr>
            <w:r>
              <w:rPr>
                <w:rFonts w:hint="eastAsia" w:ascii="新宋体" w:hAnsi="新宋体" w:eastAsia="新宋体" w:cs="新宋体"/>
                <w:kern w:val="0"/>
                <w:sz w:val="22"/>
                <w:szCs w:val="22"/>
                <w:highlight w:val="none"/>
              </w:rPr>
              <w:t>单位资质及相关证书</w:t>
            </w:r>
          </w:p>
        </w:tc>
        <w:tc>
          <w:tcPr>
            <w:tcW w:w="7389" w:type="dxa"/>
            <w:vAlign w:val="center"/>
          </w:tcPr>
          <w:p w14:paraId="4010A3EB">
            <w:pPr>
              <w:numPr>
                <w:ilvl w:val="0"/>
                <w:numId w:val="0"/>
              </w:numPr>
              <w:ind w:leftChars="0"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1、投标供应商具有有效的质量管理体系认证证书、环境管理体系认证证书、职业健康安全管理体系认证证书，每项证书得1分，最高得3分。</w:t>
            </w:r>
          </w:p>
          <w:p w14:paraId="4C0ABC32">
            <w:pPr>
              <w:numPr>
                <w:ilvl w:val="0"/>
                <w:numId w:val="0"/>
              </w:numPr>
              <w:ind w:leftChars="0"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2、所投产品的信息化平台具备信息系统安全等级保护备案证明，得2分；</w:t>
            </w:r>
          </w:p>
          <w:p w14:paraId="6AE79598">
            <w:pPr>
              <w:numPr>
                <w:ilvl w:val="0"/>
                <w:numId w:val="0"/>
              </w:numPr>
              <w:ind w:leftChars="0" w:firstLine="420" w:firstLineChars="20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3、所投产品生产厂家具有无人机发动机、无人机机载设备、无人机结构系统相关发明专利，每提供一份得1分，本项最高得2分；</w:t>
            </w:r>
          </w:p>
          <w:p w14:paraId="3F6EB39C">
            <w:pPr>
              <w:numPr>
                <w:ilvl w:val="0"/>
                <w:numId w:val="0"/>
              </w:numPr>
              <w:ind w:leftChars="0" w:firstLine="420" w:firstLineChars="20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注：提供证书原件的扫描件，未按要求提供的不得分。</w:t>
            </w:r>
          </w:p>
        </w:tc>
        <w:tc>
          <w:tcPr>
            <w:tcW w:w="690" w:type="dxa"/>
            <w:vAlign w:val="center"/>
          </w:tcPr>
          <w:p w14:paraId="458FB9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spacing w:val="0"/>
                <w:szCs w:val="21"/>
                <w:highlight w:val="none"/>
                <w:lang w:val="en-US" w:eastAsia="zh-CN"/>
              </w:rPr>
            </w:pPr>
            <w:r>
              <w:rPr>
                <w:rFonts w:hint="eastAsia" w:ascii="宋体" w:hAnsi="宋体" w:cs="宋体"/>
                <w:b w:val="0"/>
                <w:bCs w:val="0"/>
                <w:color w:val="auto"/>
                <w:spacing w:val="0"/>
                <w:szCs w:val="21"/>
                <w:highlight w:val="none"/>
                <w:lang w:val="en-US" w:eastAsia="zh-CN"/>
              </w:rPr>
              <w:t>7</w:t>
            </w:r>
          </w:p>
        </w:tc>
      </w:tr>
      <w:tr w14:paraId="162D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jc w:val="center"/>
        </w:trPr>
        <w:tc>
          <w:tcPr>
            <w:tcW w:w="530" w:type="dxa"/>
            <w:vAlign w:val="center"/>
          </w:tcPr>
          <w:p w14:paraId="2452B7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1105" w:type="dxa"/>
            <w:vAlign w:val="center"/>
          </w:tcPr>
          <w:p w14:paraId="4D350CE8">
            <w:pPr>
              <w:spacing w:line="300" w:lineRule="exact"/>
              <w:jc w:val="center"/>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rPr>
              <w:t xml:space="preserve">投标供应商业绩 </w:t>
            </w:r>
          </w:p>
        </w:tc>
        <w:tc>
          <w:tcPr>
            <w:tcW w:w="7389" w:type="dxa"/>
            <w:vAlign w:val="center"/>
          </w:tcPr>
          <w:p w14:paraId="321C13DA">
            <w:pPr>
              <w:spacing w:line="300" w:lineRule="exact"/>
              <w:ind w:firstLine="440" w:firstLineChars="200"/>
              <w:jc w:val="both"/>
              <w:rPr>
                <w:rFonts w:hint="eastAsia" w:ascii="新宋体" w:hAnsi="新宋体" w:eastAsia="新宋体" w:cs="新宋体"/>
                <w:sz w:val="22"/>
                <w:szCs w:val="22"/>
                <w:highlight w:val="none"/>
                <w:lang w:eastAsia="zh-CN"/>
              </w:rPr>
            </w:pPr>
            <w:r>
              <w:rPr>
                <w:rFonts w:hint="eastAsia" w:ascii="新宋体" w:hAnsi="新宋体" w:eastAsia="新宋体" w:cs="新宋体"/>
                <w:sz w:val="22"/>
                <w:szCs w:val="22"/>
                <w:highlight w:val="none"/>
              </w:rPr>
              <w:t>投标供应商2021年</w:t>
            </w:r>
            <w:r>
              <w:rPr>
                <w:rFonts w:hint="eastAsia" w:ascii="新宋体" w:hAnsi="新宋体" w:eastAsia="新宋体" w:cs="新宋体"/>
                <w:sz w:val="22"/>
                <w:szCs w:val="22"/>
                <w:highlight w:val="none"/>
                <w:lang w:val="en-US" w:eastAsia="zh-CN"/>
              </w:rPr>
              <w:t>1</w:t>
            </w:r>
            <w:r>
              <w:rPr>
                <w:rFonts w:hint="eastAsia" w:ascii="新宋体" w:hAnsi="新宋体" w:eastAsia="新宋体" w:cs="新宋体"/>
                <w:sz w:val="22"/>
                <w:szCs w:val="22"/>
                <w:highlight w:val="none"/>
              </w:rPr>
              <w:t>月1日以来（以合同签署日期为准）承担过</w:t>
            </w:r>
            <w:r>
              <w:rPr>
                <w:rFonts w:hint="eastAsia" w:ascii="新宋体" w:hAnsi="新宋体" w:eastAsia="新宋体" w:cs="新宋体"/>
                <w:sz w:val="22"/>
                <w:szCs w:val="22"/>
                <w:highlight w:val="none"/>
                <w:lang w:eastAsia="zh-CN"/>
              </w:rPr>
              <w:t>无人机采购项目</w:t>
            </w:r>
            <w:r>
              <w:rPr>
                <w:rFonts w:hint="eastAsia" w:ascii="新宋体" w:hAnsi="新宋体" w:eastAsia="新宋体" w:cs="新宋体"/>
                <w:sz w:val="22"/>
                <w:szCs w:val="22"/>
                <w:highlight w:val="none"/>
              </w:rPr>
              <w:t>业绩的，每提供1个业绩得1分，最高</w:t>
            </w:r>
            <w:r>
              <w:rPr>
                <w:rFonts w:hint="eastAsia" w:ascii="新宋体" w:hAnsi="新宋体" w:eastAsia="新宋体" w:cs="新宋体"/>
                <w:sz w:val="22"/>
                <w:szCs w:val="22"/>
                <w:highlight w:val="none"/>
                <w:lang w:val="en-US" w:eastAsia="zh-CN"/>
              </w:rPr>
              <w:t>3</w:t>
            </w:r>
            <w:r>
              <w:rPr>
                <w:rFonts w:hint="eastAsia" w:ascii="新宋体" w:hAnsi="新宋体" w:eastAsia="新宋体" w:cs="新宋体"/>
                <w:sz w:val="22"/>
                <w:szCs w:val="22"/>
                <w:highlight w:val="none"/>
              </w:rPr>
              <w:t>分。</w:t>
            </w:r>
          </w:p>
          <w:p w14:paraId="58761803">
            <w:pPr>
              <w:spacing w:line="300" w:lineRule="exact"/>
              <w:ind w:firstLine="440" w:firstLineChars="200"/>
              <w:jc w:val="both"/>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eastAsia="zh-CN"/>
              </w:rPr>
              <w:t>备注：提供有效的合同</w:t>
            </w:r>
            <w:r>
              <w:rPr>
                <w:rFonts w:hint="eastAsia" w:ascii="新宋体" w:hAnsi="新宋体" w:eastAsia="新宋体" w:cs="新宋体"/>
                <w:sz w:val="22"/>
                <w:szCs w:val="22"/>
                <w:highlight w:val="none"/>
                <w:lang w:val="en-US" w:eastAsia="zh-CN"/>
              </w:rPr>
              <w:t>原件扫描件，未按要求提供的不得分。</w:t>
            </w:r>
          </w:p>
        </w:tc>
        <w:tc>
          <w:tcPr>
            <w:tcW w:w="690" w:type="dxa"/>
            <w:vAlign w:val="center"/>
          </w:tcPr>
          <w:p w14:paraId="7F2E96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r>
      <w:tr w14:paraId="522D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30" w:type="dxa"/>
            <w:vAlign w:val="center"/>
          </w:tcPr>
          <w:p w14:paraId="3E34BB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105" w:type="dxa"/>
            <w:vAlign w:val="center"/>
          </w:tcPr>
          <w:p w14:paraId="17CEF96A">
            <w:pPr>
              <w:tabs>
                <w:tab w:val="left" w:pos="840"/>
              </w:tabs>
              <w:spacing w:line="300" w:lineRule="exact"/>
              <w:ind w:right="-99" w:rightChars="-47"/>
              <w:jc w:val="left"/>
              <w:rPr>
                <w:rFonts w:hint="eastAsia" w:ascii="宋体" w:hAnsi="宋体" w:eastAsia="宋体" w:cs="宋体"/>
                <w:kern w:val="0"/>
                <w:sz w:val="21"/>
                <w:szCs w:val="21"/>
                <w:highlight w:val="none"/>
                <w:lang w:eastAsia="zh-CN"/>
              </w:rPr>
            </w:pPr>
            <w:r>
              <w:rPr>
                <w:rFonts w:hint="eastAsia" w:ascii="新宋体" w:hAnsi="新宋体" w:eastAsia="新宋体" w:cs="新宋体"/>
                <w:sz w:val="22"/>
                <w:szCs w:val="22"/>
                <w:highlight w:val="none"/>
              </w:rPr>
              <w:t>投标产品技术响应情况</w:t>
            </w:r>
          </w:p>
        </w:tc>
        <w:tc>
          <w:tcPr>
            <w:tcW w:w="7389" w:type="dxa"/>
            <w:vAlign w:val="center"/>
          </w:tcPr>
          <w:p w14:paraId="58EFF7E9">
            <w:pPr>
              <w:spacing w:line="300" w:lineRule="exact"/>
              <w:ind w:firstLine="440" w:firstLineChars="200"/>
              <w:jc w:val="both"/>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投标产品的技术参数和性能指标全部响应或满足招标文件要求的得满分25分，标“★”的为重要性指标，不满足或负偏离的一项扣2分，其他技术指标不满足或负偏离的一项扣1分，扣完为止。</w:t>
            </w:r>
          </w:p>
          <w:p w14:paraId="1DA97890">
            <w:pPr>
              <w:spacing w:line="300" w:lineRule="exact"/>
              <w:ind w:firstLine="440" w:firstLineChars="200"/>
              <w:jc w:val="both"/>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注：标“★”的重要性指标，要求提供证明资料的，不提供的以负偏离处理。其他非重要性技术指标，若采购文件中要求提供相关证明资料的，不提供的以负偏离处理。</w:t>
            </w:r>
          </w:p>
        </w:tc>
        <w:tc>
          <w:tcPr>
            <w:tcW w:w="690" w:type="dxa"/>
            <w:vAlign w:val="center"/>
          </w:tcPr>
          <w:p w14:paraId="295E3D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w:t>
            </w:r>
          </w:p>
        </w:tc>
      </w:tr>
      <w:tr w14:paraId="00A8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3" w:hRule="atLeast"/>
          <w:jc w:val="center"/>
        </w:trPr>
        <w:tc>
          <w:tcPr>
            <w:tcW w:w="530" w:type="dxa"/>
            <w:vAlign w:val="center"/>
          </w:tcPr>
          <w:p w14:paraId="711F23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105" w:type="dxa"/>
            <w:vAlign w:val="center"/>
          </w:tcPr>
          <w:p w14:paraId="74B72D7B">
            <w:pPr>
              <w:widowControl/>
              <w:spacing w:line="300" w:lineRule="exact"/>
              <w:rPr>
                <w:rFonts w:hint="eastAsia" w:ascii="宋体" w:hAnsi="宋体" w:eastAsia="宋体" w:cs="宋体"/>
                <w:kern w:val="0"/>
                <w:sz w:val="21"/>
                <w:szCs w:val="21"/>
                <w:highlight w:val="none"/>
              </w:rPr>
            </w:pPr>
            <w:r>
              <w:rPr>
                <w:rFonts w:hint="eastAsia" w:ascii="新宋体" w:hAnsi="新宋体" w:eastAsia="新宋体" w:cs="新宋体"/>
                <w:sz w:val="22"/>
                <w:szCs w:val="22"/>
                <w:highlight w:val="none"/>
              </w:rPr>
              <w:t>技术</w:t>
            </w:r>
            <w:r>
              <w:rPr>
                <w:rFonts w:hint="eastAsia" w:ascii="新宋体" w:hAnsi="新宋体" w:eastAsia="新宋体" w:cs="新宋体"/>
                <w:bCs/>
                <w:kern w:val="0"/>
                <w:sz w:val="22"/>
                <w:szCs w:val="22"/>
                <w:highlight w:val="none"/>
              </w:rPr>
              <w:t>团队实力</w:t>
            </w:r>
          </w:p>
        </w:tc>
        <w:tc>
          <w:tcPr>
            <w:tcW w:w="7389" w:type="dxa"/>
            <w:vAlign w:val="center"/>
          </w:tcPr>
          <w:p w14:paraId="1063E8AD">
            <w:pPr>
              <w:spacing w:line="300" w:lineRule="exact"/>
              <w:ind w:firstLine="440" w:firstLineChars="200"/>
              <w:jc w:val="both"/>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1.所投产品生产厂家技术人员具有无人机相关专业（包括航测、遥感、机械、电子类等）高级及以上工程师职称，每具有1个证书得1分，本项最高得4分。</w:t>
            </w:r>
          </w:p>
          <w:p w14:paraId="7AE2674B">
            <w:pPr>
              <w:spacing w:line="300" w:lineRule="exact"/>
              <w:ind w:firstLine="440" w:firstLineChars="200"/>
              <w:jc w:val="both"/>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2.所投产品生产厂家具有3名及以上（含）CAAC垂直起降固定翼超视距驾驶员证书的技术人员，得3分，具有6名及以上（含）CAAC垂直起降固定翼超视距驾驶员证书，得5分，本项最高得5分。</w:t>
            </w:r>
          </w:p>
          <w:p w14:paraId="41A505EC">
            <w:pPr>
              <w:spacing w:line="300" w:lineRule="exact"/>
              <w:ind w:firstLine="440" w:firstLineChars="200"/>
              <w:jc w:val="both"/>
              <w:rPr>
                <w:rFonts w:hint="eastAsia" w:ascii="新宋体" w:hAnsi="新宋体" w:eastAsia="新宋体" w:cs="新宋体"/>
                <w:sz w:val="22"/>
                <w:szCs w:val="22"/>
                <w:highlight w:val="none"/>
                <w:lang w:val="zh-CN" w:eastAsia="zh-CN"/>
              </w:rPr>
            </w:pPr>
            <w:r>
              <w:rPr>
                <w:rFonts w:hint="eastAsia" w:ascii="新宋体" w:hAnsi="新宋体" w:eastAsia="新宋体" w:cs="新宋体"/>
                <w:sz w:val="22"/>
                <w:szCs w:val="22"/>
                <w:highlight w:val="none"/>
                <w:lang w:val="zh-CN" w:eastAsia="zh-CN"/>
              </w:rPr>
              <w:t>注：提供</w:t>
            </w:r>
            <w:r>
              <w:rPr>
                <w:rFonts w:hint="eastAsia" w:ascii="新宋体" w:hAnsi="新宋体" w:eastAsia="新宋体" w:cs="新宋体"/>
                <w:sz w:val="22"/>
                <w:szCs w:val="22"/>
                <w:highlight w:val="none"/>
                <w:lang w:val="en-US" w:eastAsia="zh-CN"/>
              </w:rPr>
              <w:t>设备生产厂家</w:t>
            </w:r>
            <w:r>
              <w:rPr>
                <w:rFonts w:hint="eastAsia" w:ascii="新宋体" w:hAnsi="新宋体" w:eastAsia="新宋体" w:cs="新宋体"/>
                <w:sz w:val="22"/>
                <w:szCs w:val="22"/>
                <w:highlight w:val="none"/>
                <w:lang w:val="zh-CN" w:eastAsia="zh-CN"/>
              </w:rPr>
              <w:t>相关人员</w:t>
            </w:r>
            <w:r>
              <w:rPr>
                <w:rFonts w:hint="eastAsia" w:ascii="新宋体" w:hAnsi="新宋体" w:eastAsia="新宋体" w:cs="新宋体"/>
                <w:sz w:val="22"/>
                <w:szCs w:val="22"/>
                <w:highlight w:val="none"/>
                <w:lang w:val="en-US" w:eastAsia="zh-CN"/>
              </w:rPr>
              <w:t>证书原件的扫描件和在生产厂家缴纳的2024年7月或8月或9月社保证明，</w:t>
            </w:r>
            <w:r>
              <w:rPr>
                <w:rFonts w:hint="eastAsia" w:ascii="新宋体" w:hAnsi="新宋体" w:eastAsia="新宋体" w:cs="新宋体"/>
                <w:sz w:val="22"/>
                <w:szCs w:val="22"/>
                <w:highlight w:val="none"/>
                <w:lang w:val="zh-CN" w:eastAsia="zh-CN"/>
              </w:rPr>
              <w:t>未按要求提供的不得分。</w:t>
            </w:r>
          </w:p>
        </w:tc>
        <w:tc>
          <w:tcPr>
            <w:tcW w:w="690" w:type="dxa"/>
            <w:vAlign w:val="center"/>
          </w:tcPr>
          <w:p w14:paraId="6FCF31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r>
      <w:tr w14:paraId="2413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530" w:type="dxa"/>
            <w:vAlign w:val="center"/>
          </w:tcPr>
          <w:p w14:paraId="4A2641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105" w:type="dxa"/>
            <w:vAlign w:val="center"/>
          </w:tcPr>
          <w:p w14:paraId="29891C63">
            <w:pPr>
              <w:widowControl/>
              <w:spacing w:line="300" w:lineRule="exact"/>
              <w:rPr>
                <w:rFonts w:hint="eastAsia" w:ascii="宋体" w:hAnsi="宋体" w:eastAsia="宋体" w:cs="宋体"/>
                <w:color w:val="auto"/>
                <w:sz w:val="24"/>
                <w:szCs w:val="24"/>
                <w:highlight w:val="none"/>
                <w:lang w:eastAsia="zh-CN"/>
              </w:rPr>
            </w:pPr>
            <w:r>
              <w:rPr>
                <w:rFonts w:hint="eastAsia" w:ascii="新宋体" w:hAnsi="新宋体" w:eastAsia="新宋体" w:cs="新宋体"/>
                <w:sz w:val="22"/>
                <w:szCs w:val="22"/>
                <w:highlight w:val="none"/>
              </w:rPr>
              <w:t>项目组织实施方案</w:t>
            </w:r>
          </w:p>
        </w:tc>
        <w:tc>
          <w:tcPr>
            <w:tcW w:w="7389" w:type="dxa"/>
            <w:vAlign w:val="center"/>
          </w:tcPr>
          <w:p w14:paraId="3B7B8296">
            <w:pPr>
              <w:spacing w:line="300" w:lineRule="exact"/>
              <w:jc w:val="left"/>
              <w:rPr>
                <w:rFonts w:hint="eastAsia" w:ascii="仿宋" w:hAnsi="仿宋" w:eastAsia="宋体"/>
                <w:highlight w:val="none"/>
                <w:lang w:eastAsia="zh-CN"/>
              </w:rPr>
            </w:pPr>
            <w:r>
              <w:rPr>
                <w:rFonts w:hint="eastAsia" w:ascii="仿宋" w:hAnsi="仿宋" w:eastAsia="宋体"/>
                <w:highlight w:val="none"/>
              </w:rPr>
              <w:t>根据投标人针对本项目的实施方案进行评审</w:t>
            </w:r>
            <w:r>
              <w:rPr>
                <w:rFonts w:hint="eastAsia" w:ascii="仿宋" w:hAnsi="仿宋" w:eastAsia="宋体"/>
                <w:highlight w:val="none"/>
                <w:lang w:eastAsia="zh-CN"/>
              </w:rPr>
              <w:t>；</w:t>
            </w:r>
          </w:p>
          <w:p w14:paraId="184DC30C">
            <w:pPr>
              <w:spacing w:line="300" w:lineRule="exact"/>
              <w:jc w:val="left"/>
              <w:rPr>
                <w:rFonts w:hint="eastAsia" w:ascii="仿宋" w:hAnsi="仿宋" w:eastAsia="宋体"/>
                <w:highlight w:val="none"/>
              </w:rPr>
            </w:pPr>
            <w:r>
              <w:rPr>
                <w:rFonts w:hint="eastAsia" w:ascii="仿宋" w:hAnsi="仿宋" w:eastAsia="宋体"/>
                <w:highlight w:val="none"/>
                <w:lang w:val="en-US" w:eastAsia="zh-CN"/>
              </w:rPr>
              <w:t>1.</w:t>
            </w:r>
            <w:r>
              <w:rPr>
                <w:rFonts w:hint="eastAsia" w:ascii="仿宋" w:hAnsi="仿宋" w:eastAsia="宋体"/>
                <w:highlight w:val="none"/>
              </w:rPr>
              <w:t>实施方案编制完整且科学合理，充分考虑用户需求的，得</w:t>
            </w:r>
            <w:r>
              <w:rPr>
                <w:rFonts w:hint="eastAsia" w:ascii="宋体" w:hAnsi="宋体" w:eastAsia="宋体" w:cs="宋体"/>
                <w:highlight w:val="none"/>
                <w:lang w:val="en-US" w:eastAsia="zh-CN"/>
              </w:rPr>
              <w:t>9</w:t>
            </w:r>
            <w:r>
              <w:rPr>
                <w:rFonts w:hint="eastAsia" w:ascii="仿宋" w:hAnsi="仿宋" w:eastAsia="宋体"/>
                <w:highlight w:val="none"/>
              </w:rPr>
              <w:t>分；</w:t>
            </w:r>
          </w:p>
          <w:p w14:paraId="2F9DEB04">
            <w:pPr>
              <w:spacing w:line="300" w:lineRule="exact"/>
              <w:jc w:val="left"/>
              <w:rPr>
                <w:rFonts w:hint="eastAsia" w:ascii="仿宋" w:hAnsi="仿宋" w:eastAsia="宋体"/>
                <w:highlight w:val="none"/>
              </w:rPr>
            </w:pPr>
            <w:r>
              <w:rPr>
                <w:rFonts w:hint="eastAsia" w:ascii="仿宋" w:hAnsi="仿宋" w:eastAsia="宋体"/>
                <w:highlight w:val="none"/>
                <w:lang w:val="en-US" w:eastAsia="zh-CN"/>
              </w:rPr>
              <w:t>2.</w:t>
            </w:r>
            <w:r>
              <w:rPr>
                <w:rFonts w:hint="eastAsia" w:ascii="仿宋" w:hAnsi="仿宋" w:eastAsia="宋体"/>
                <w:highlight w:val="none"/>
              </w:rPr>
              <w:t>实施方案编制完整性和合理性一般的，</w:t>
            </w:r>
            <w:r>
              <w:rPr>
                <w:rFonts w:hint="eastAsia" w:ascii="仿宋" w:hAnsi="仿宋" w:eastAsia="宋体"/>
                <w:highlight w:val="none"/>
                <w:lang w:eastAsia="zh-CN"/>
              </w:rPr>
              <w:t>较</w:t>
            </w:r>
            <w:r>
              <w:rPr>
                <w:rFonts w:hint="eastAsia" w:ascii="仿宋" w:hAnsi="仿宋" w:eastAsia="宋体"/>
                <w:highlight w:val="none"/>
              </w:rPr>
              <w:t>能考虑用户需求的，得</w:t>
            </w:r>
            <w:r>
              <w:rPr>
                <w:rFonts w:hint="eastAsia" w:ascii="宋体" w:hAnsi="宋体" w:eastAsia="宋体" w:cs="宋体"/>
                <w:highlight w:val="none"/>
                <w:lang w:val="en-US" w:eastAsia="zh-CN"/>
              </w:rPr>
              <w:t>7</w:t>
            </w:r>
            <w:r>
              <w:rPr>
                <w:rFonts w:hint="eastAsia" w:ascii="仿宋" w:hAnsi="仿宋" w:eastAsia="宋体"/>
                <w:highlight w:val="none"/>
              </w:rPr>
              <w:t>分；</w:t>
            </w:r>
          </w:p>
          <w:p w14:paraId="24016BBD">
            <w:pPr>
              <w:spacing w:line="300" w:lineRule="exact"/>
              <w:jc w:val="left"/>
              <w:rPr>
                <w:rFonts w:hint="eastAsia" w:ascii="仿宋" w:hAnsi="仿宋" w:eastAsia="宋体"/>
                <w:highlight w:val="none"/>
                <w:lang w:eastAsia="zh-CN"/>
              </w:rPr>
            </w:pPr>
            <w:r>
              <w:rPr>
                <w:rFonts w:hint="eastAsia" w:ascii="仿宋" w:hAnsi="仿宋" w:eastAsia="宋体"/>
                <w:highlight w:val="none"/>
                <w:lang w:val="en-US" w:eastAsia="zh-CN"/>
              </w:rPr>
              <w:t>3.</w:t>
            </w:r>
            <w:r>
              <w:rPr>
                <w:rFonts w:hint="eastAsia" w:ascii="仿宋" w:hAnsi="仿宋" w:eastAsia="宋体"/>
                <w:highlight w:val="none"/>
              </w:rPr>
              <w:t>实施方案</w:t>
            </w:r>
            <w:r>
              <w:rPr>
                <w:rFonts w:hint="eastAsia" w:ascii="仿宋" w:hAnsi="仿宋" w:eastAsia="宋体"/>
                <w:highlight w:val="none"/>
                <w:lang w:eastAsia="zh-CN"/>
              </w:rPr>
              <w:t>有缺陷</w:t>
            </w:r>
            <w:r>
              <w:rPr>
                <w:rFonts w:hint="eastAsia" w:ascii="仿宋" w:hAnsi="仿宋" w:eastAsia="宋体"/>
                <w:highlight w:val="none"/>
              </w:rPr>
              <w:t>或未能充分考虑用户需求的，</w:t>
            </w:r>
            <w:r>
              <w:rPr>
                <w:rFonts w:hint="eastAsia" w:ascii="仿宋" w:hAnsi="仿宋" w:eastAsia="宋体"/>
                <w:highlight w:val="none"/>
                <w:lang w:val="zh-CN" w:eastAsia="zh-CN"/>
              </w:rPr>
              <w:t>可行性一般得</w:t>
            </w:r>
            <w:r>
              <w:rPr>
                <w:rFonts w:hint="eastAsia" w:ascii="宋体" w:hAnsi="宋体" w:eastAsia="宋体" w:cs="宋体"/>
                <w:highlight w:val="none"/>
                <w:lang w:val="en-US" w:eastAsia="zh-CN"/>
              </w:rPr>
              <w:t>5</w:t>
            </w:r>
            <w:r>
              <w:rPr>
                <w:rFonts w:hint="eastAsia" w:ascii="仿宋" w:hAnsi="仿宋" w:eastAsia="宋体"/>
                <w:highlight w:val="none"/>
              </w:rPr>
              <w:t>分</w:t>
            </w:r>
            <w:r>
              <w:rPr>
                <w:rFonts w:hint="eastAsia" w:ascii="仿宋" w:hAnsi="仿宋" w:eastAsia="宋体"/>
                <w:highlight w:val="none"/>
                <w:lang w:eastAsia="zh-CN"/>
              </w:rPr>
              <w:t>；</w:t>
            </w:r>
          </w:p>
          <w:p w14:paraId="1BBA9A15">
            <w:pPr>
              <w:spacing w:line="300" w:lineRule="exact"/>
              <w:jc w:val="left"/>
              <w:rPr>
                <w:rFonts w:hint="eastAsia" w:ascii="仿宋" w:hAnsi="仿宋" w:eastAsia="宋体"/>
                <w:highlight w:val="none"/>
                <w:lang w:eastAsia="zh-CN"/>
              </w:rPr>
            </w:pPr>
            <w:r>
              <w:rPr>
                <w:rFonts w:hint="eastAsia" w:ascii="仿宋" w:hAnsi="仿宋" w:eastAsia="宋体"/>
                <w:highlight w:val="none"/>
                <w:lang w:val="en-US" w:eastAsia="zh-CN"/>
              </w:rPr>
              <w:t>4.</w:t>
            </w:r>
            <w:r>
              <w:rPr>
                <w:rFonts w:hint="eastAsia" w:ascii="仿宋" w:hAnsi="仿宋" w:eastAsia="宋体"/>
                <w:highlight w:val="none"/>
              </w:rPr>
              <w:t>实施方案</w:t>
            </w:r>
            <w:r>
              <w:rPr>
                <w:rFonts w:hint="eastAsia" w:ascii="仿宋" w:hAnsi="仿宋" w:eastAsia="宋体"/>
                <w:highlight w:val="none"/>
                <w:lang w:val="en-US" w:eastAsia="zh-CN"/>
              </w:rPr>
              <w:t>可行性较差的得</w:t>
            </w:r>
            <w:r>
              <w:rPr>
                <w:rFonts w:hint="eastAsia" w:ascii="宋体" w:hAnsi="宋体" w:eastAsia="宋体" w:cs="宋体"/>
                <w:highlight w:val="none"/>
                <w:lang w:val="en-US" w:eastAsia="zh-CN"/>
              </w:rPr>
              <w:t>3</w:t>
            </w:r>
            <w:r>
              <w:rPr>
                <w:rFonts w:hint="eastAsia" w:ascii="仿宋" w:hAnsi="仿宋" w:eastAsia="宋体"/>
                <w:highlight w:val="none"/>
                <w:lang w:val="en-US" w:eastAsia="zh-CN"/>
              </w:rPr>
              <w:t>分</w:t>
            </w:r>
          </w:p>
          <w:p w14:paraId="597AACF8">
            <w:pPr>
              <w:spacing w:line="300" w:lineRule="exact"/>
              <w:jc w:val="left"/>
              <w:rPr>
                <w:rFonts w:hint="default" w:eastAsia="宋体"/>
                <w:highlight w:val="none"/>
                <w:lang w:val="en-US" w:eastAsia="zh-CN"/>
              </w:rPr>
            </w:pPr>
            <w:r>
              <w:rPr>
                <w:rFonts w:hint="eastAsia" w:ascii="仿宋" w:hAnsi="仿宋" w:eastAsia="宋体"/>
                <w:highlight w:val="none"/>
                <w:lang w:val="zh-CN" w:eastAsia="zh-CN"/>
              </w:rPr>
              <w:t>5.缺项不得分</w:t>
            </w:r>
            <w:r>
              <w:rPr>
                <w:rFonts w:hint="eastAsia" w:ascii="仿宋" w:hAnsi="仿宋"/>
                <w:highlight w:val="none"/>
                <w:lang w:val="zh-CN" w:eastAsia="zh-CN"/>
              </w:rPr>
              <w:t>。</w:t>
            </w:r>
          </w:p>
        </w:tc>
        <w:tc>
          <w:tcPr>
            <w:tcW w:w="690" w:type="dxa"/>
            <w:vAlign w:val="center"/>
          </w:tcPr>
          <w:p w14:paraId="6D6AB6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r>
      <w:tr w14:paraId="632B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530" w:type="dxa"/>
            <w:vAlign w:val="center"/>
          </w:tcPr>
          <w:p w14:paraId="1B906E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105" w:type="dxa"/>
            <w:vAlign w:val="center"/>
          </w:tcPr>
          <w:p w14:paraId="28630EAA">
            <w:pPr>
              <w:spacing w:line="300" w:lineRule="exact"/>
              <w:jc w:val="left"/>
              <w:rPr>
                <w:rFonts w:hint="eastAsia" w:ascii="宋体" w:hAnsi="宋体" w:eastAsia="宋体" w:cs="宋体"/>
                <w:color w:val="auto"/>
                <w:sz w:val="24"/>
                <w:szCs w:val="24"/>
                <w:highlight w:val="none"/>
                <w:lang w:eastAsia="zh-CN"/>
              </w:rPr>
            </w:pPr>
            <w:r>
              <w:rPr>
                <w:rFonts w:hint="eastAsia" w:ascii="新宋体" w:hAnsi="新宋体" w:eastAsia="新宋体" w:cs="新宋体"/>
                <w:sz w:val="22"/>
                <w:szCs w:val="22"/>
                <w:highlight w:val="none"/>
              </w:rPr>
              <w:t>售后服务方案</w:t>
            </w:r>
          </w:p>
        </w:tc>
        <w:tc>
          <w:tcPr>
            <w:tcW w:w="7389" w:type="dxa"/>
            <w:vAlign w:val="center"/>
          </w:tcPr>
          <w:p w14:paraId="1F78FFAA">
            <w:pPr>
              <w:spacing w:line="300" w:lineRule="exact"/>
              <w:jc w:val="left"/>
              <w:rPr>
                <w:rFonts w:hint="eastAsia" w:ascii="仿宋" w:hAnsi="仿宋" w:eastAsia="宋体"/>
                <w:highlight w:val="none"/>
                <w:lang w:eastAsia="zh-CN"/>
              </w:rPr>
            </w:pPr>
            <w:r>
              <w:rPr>
                <w:rFonts w:hint="eastAsia"/>
                <w:highlight w:val="none"/>
              </w:rPr>
              <w:t>根据</w:t>
            </w:r>
            <w:r>
              <w:rPr>
                <w:rFonts w:hint="eastAsia"/>
                <w:highlight w:val="none"/>
                <w:lang w:eastAsia="zh-CN"/>
              </w:rPr>
              <w:t>投标人</w:t>
            </w:r>
            <w:r>
              <w:rPr>
                <w:rFonts w:hint="eastAsia"/>
                <w:highlight w:val="none"/>
              </w:rPr>
              <w:t>的售</w:t>
            </w:r>
            <w:r>
              <w:rPr>
                <w:rFonts w:hint="eastAsia" w:ascii="仿宋" w:hAnsi="仿宋" w:eastAsia="宋体"/>
                <w:highlight w:val="none"/>
              </w:rPr>
              <w:t>后服务方案中的售后服务内容、售后服务措施、售后服务团队及人员安排、备品备件等内容进行评审</w:t>
            </w:r>
            <w:r>
              <w:rPr>
                <w:rFonts w:hint="eastAsia" w:ascii="仿宋" w:hAnsi="仿宋" w:eastAsia="宋体"/>
                <w:highlight w:val="none"/>
                <w:lang w:eastAsia="zh-CN"/>
              </w:rPr>
              <w:t>；</w:t>
            </w:r>
          </w:p>
          <w:p w14:paraId="5D5F128A">
            <w:pPr>
              <w:spacing w:line="300" w:lineRule="exact"/>
              <w:jc w:val="left"/>
              <w:rPr>
                <w:rFonts w:hint="eastAsia" w:ascii="宋体" w:hAnsi="宋体" w:eastAsia="宋体" w:cs="宋体"/>
                <w:highlight w:val="none"/>
                <w:lang w:val="zh-CN" w:eastAsia="zh-CN"/>
              </w:rPr>
            </w:pPr>
            <w:r>
              <w:rPr>
                <w:rFonts w:hint="eastAsia" w:ascii="仿宋" w:hAnsi="仿宋" w:eastAsia="宋体"/>
                <w:highlight w:val="none"/>
                <w:lang w:val="en-US" w:eastAsia="zh-CN"/>
              </w:rPr>
              <w:t>1.</w:t>
            </w:r>
            <w:r>
              <w:rPr>
                <w:rFonts w:hint="eastAsia" w:ascii="仿宋" w:hAnsi="仿宋" w:eastAsia="宋体"/>
                <w:highlight w:val="none"/>
                <w:lang w:val="zh-CN" w:eastAsia="zh-CN"/>
              </w:rPr>
              <w:t>方案内容齐全、完善，有针对性的</w:t>
            </w:r>
            <w:r>
              <w:rPr>
                <w:rFonts w:hint="eastAsia" w:ascii="宋体" w:hAnsi="宋体" w:eastAsia="宋体" w:cs="宋体"/>
                <w:highlight w:val="none"/>
                <w:lang w:val="zh-CN" w:eastAsia="zh-CN"/>
              </w:rPr>
              <w:t>得</w:t>
            </w:r>
            <w:r>
              <w:rPr>
                <w:rFonts w:hint="eastAsia" w:ascii="宋体" w:hAnsi="宋体" w:eastAsia="宋体" w:cs="宋体"/>
                <w:highlight w:val="none"/>
                <w:lang w:val="en-US" w:eastAsia="zh-CN"/>
              </w:rPr>
              <w:t>8</w:t>
            </w:r>
            <w:r>
              <w:rPr>
                <w:rFonts w:hint="eastAsia" w:ascii="宋体" w:hAnsi="宋体" w:eastAsia="宋体" w:cs="宋体"/>
                <w:highlight w:val="none"/>
                <w:lang w:val="zh-CN" w:eastAsia="zh-CN"/>
              </w:rPr>
              <w:t>分；</w:t>
            </w:r>
          </w:p>
          <w:p w14:paraId="18178906">
            <w:pPr>
              <w:spacing w:line="300" w:lineRule="exact"/>
              <w:jc w:val="left"/>
              <w:rPr>
                <w:rFonts w:hint="eastAsia" w:ascii="宋体" w:hAnsi="宋体" w:eastAsia="宋体" w:cs="宋体"/>
                <w:highlight w:val="none"/>
                <w:lang w:val="zh-CN" w:eastAsia="zh-CN"/>
              </w:rPr>
            </w:pPr>
            <w:r>
              <w:rPr>
                <w:rFonts w:hint="eastAsia" w:ascii="宋体" w:hAnsi="宋体" w:eastAsia="宋体" w:cs="宋体"/>
                <w:highlight w:val="none"/>
                <w:lang w:val="en-US" w:eastAsia="zh-CN"/>
              </w:rPr>
              <w:t>2.</w:t>
            </w:r>
            <w:r>
              <w:rPr>
                <w:rFonts w:hint="eastAsia" w:ascii="宋体" w:hAnsi="宋体" w:eastAsia="宋体" w:cs="宋体"/>
                <w:highlight w:val="none"/>
                <w:lang w:val="zh-CN" w:eastAsia="zh-CN"/>
              </w:rPr>
              <w:t>方案内容较齐全，制定的方案</w:t>
            </w:r>
            <w:r>
              <w:rPr>
                <w:rFonts w:hint="eastAsia" w:ascii="宋体" w:hAnsi="宋体" w:eastAsia="宋体" w:cs="宋体"/>
                <w:highlight w:val="none"/>
                <w:lang w:val="en-US" w:eastAsia="zh-CN"/>
              </w:rPr>
              <w:t>符合</w:t>
            </w:r>
            <w:r>
              <w:rPr>
                <w:rFonts w:hint="eastAsia" w:ascii="宋体" w:hAnsi="宋体" w:eastAsia="宋体" w:cs="宋体"/>
                <w:highlight w:val="none"/>
                <w:lang w:val="zh-CN" w:eastAsia="zh-CN"/>
              </w:rPr>
              <w:t>实际的得</w:t>
            </w:r>
            <w:r>
              <w:rPr>
                <w:rFonts w:hint="eastAsia" w:ascii="宋体" w:hAnsi="宋体" w:eastAsia="宋体" w:cs="宋体"/>
                <w:highlight w:val="none"/>
                <w:lang w:val="en-US" w:eastAsia="zh-CN"/>
              </w:rPr>
              <w:t>6</w:t>
            </w:r>
            <w:r>
              <w:rPr>
                <w:rFonts w:hint="eastAsia" w:ascii="宋体" w:hAnsi="宋体" w:eastAsia="宋体" w:cs="宋体"/>
                <w:highlight w:val="none"/>
                <w:lang w:val="zh-CN" w:eastAsia="zh-CN"/>
              </w:rPr>
              <w:t>分；</w:t>
            </w:r>
          </w:p>
          <w:p w14:paraId="4695B549">
            <w:pPr>
              <w:spacing w:line="300" w:lineRule="exact"/>
              <w:jc w:val="left"/>
              <w:rPr>
                <w:rFonts w:hint="eastAsia" w:ascii="宋体" w:hAnsi="宋体" w:eastAsia="宋体" w:cs="宋体"/>
                <w:highlight w:val="none"/>
                <w:lang w:val="zh-CN" w:eastAsia="zh-CN"/>
              </w:rPr>
            </w:pPr>
            <w:r>
              <w:rPr>
                <w:rFonts w:hint="eastAsia" w:ascii="宋体" w:hAnsi="宋体" w:eastAsia="宋体" w:cs="宋体"/>
                <w:highlight w:val="none"/>
                <w:lang w:val="en-US" w:eastAsia="zh-CN"/>
              </w:rPr>
              <w:t>3.方案</w:t>
            </w:r>
            <w:r>
              <w:rPr>
                <w:rFonts w:hint="eastAsia" w:ascii="宋体" w:hAnsi="宋体" w:eastAsia="宋体" w:cs="宋体"/>
                <w:highlight w:val="none"/>
                <w:lang w:val="zh-CN" w:eastAsia="zh-CN"/>
              </w:rPr>
              <w:t>内容</w:t>
            </w:r>
            <w:r>
              <w:rPr>
                <w:rFonts w:hint="eastAsia" w:ascii="宋体" w:hAnsi="宋体" w:eastAsia="宋体" w:cs="宋体"/>
                <w:highlight w:val="none"/>
                <w:lang w:val="en-US" w:eastAsia="zh-CN"/>
              </w:rPr>
              <w:t>基本</w:t>
            </w:r>
            <w:r>
              <w:rPr>
                <w:rFonts w:hint="eastAsia" w:ascii="宋体" w:hAnsi="宋体" w:eastAsia="宋体" w:cs="宋体"/>
                <w:highlight w:val="none"/>
                <w:lang w:val="zh-CN" w:eastAsia="zh-CN"/>
              </w:rPr>
              <w:t>齐全，制定的方案</w:t>
            </w:r>
            <w:r>
              <w:rPr>
                <w:rFonts w:hint="eastAsia" w:ascii="宋体" w:hAnsi="宋体" w:eastAsia="宋体" w:cs="宋体"/>
                <w:highlight w:val="none"/>
                <w:lang w:val="en-US" w:eastAsia="zh-CN"/>
              </w:rPr>
              <w:t>基本符合</w:t>
            </w:r>
            <w:r>
              <w:rPr>
                <w:rFonts w:hint="eastAsia" w:ascii="宋体" w:hAnsi="宋体" w:eastAsia="宋体" w:cs="宋体"/>
                <w:highlight w:val="none"/>
                <w:lang w:val="zh-CN" w:eastAsia="zh-CN"/>
              </w:rPr>
              <w:t>实际的得</w:t>
            </w:r>
            <w:r>
              <w:rPr>
                <w:rFonts w:hint="eastAsia" w:ascii="宋体" w:hAnsi="宋体" w:eastAsia="宋体" w:cs="宋体"/>
                <w:highlight w:val="none"/>
                <w:lang w:val="en-US" w:eastAsia="zh-CN"/>
              </w:rPr>
              <w:t>4</w:t>
            </w:r>
            <w:r>
              <w:rPr>
                <w:rFonts w:hint="eastAsia" w:ascii="宋体" w:hAnsi="宋体" w:eastAsia="宋体" w:cs="宋体"/>
                <w:highlight w:val="none"/>
                <w:lang w:val="zh-CN" w:eastAsia="zh-CN"/>
              </w:rPr>
              <w:t>分；</w:t>
            </w:r>
          </w:p>
          <w:p w14:paraId="025519A0">
            <w:pPr>
              <w:spacing w:line="300" w:lineRule="exact"/>
              <w:jc w:val="left"/>
              <w:rPr>
                <w:rFonts w:hint="eastAsia" w:ascii="宋体" w:hAnsi="宋体" w:eastAsia="宋体" w:cs="宋体"/>
                <w:highlight w:val="none"/>
                <w:lang w:val="zh-CN" w:eastAsia="zh-CN"/>
              </w:rPr>
            </w:pPr>
            <w:r>
              <w:rPr>
                <w:rFonts w:hint="eastAsia" w:ascii="宋体" w:hAnsi="宋体" w:eastAsia="宋体" w:cs="宋体"/>
                <w:highlight w:val="none"/>
                <w:lang w:val="en-US" w:eastAsia="zh-CN"/>
              </w:rPr>
              <w:t>4.</w:t>
            </w:r>
            <w:r>
              <w:rPr>
                <w:rFonts w:hint="eastAsia" w:ascii="宋体" w:hAnsi="宋体" w:eastAsia="宋体" w:cs="宋体"/>
                <w:highlight w:val="none"/>
                <w:lang w:val="zh-CN" w:eastAsia="zh-CN"/>
              </w:rPr>
              <w:t>方案内容缺漏，制定的方案不符合实际的得</w:t>
            </w:r>
            <w:r>
              <w:rPr>
                <w:rFonts w:hint="eastAsia" w:ascii="宋体" w:hAnsi="宋体" w:eastAsia="宋体" w:cs="宋体"/>
                <w:highlight w:val="none"/>
                <w:lang w:val="en-US" w:eastAsia="zh-CN"/>
              </w:rPr>
              <w:t>2</w:t>
            </w:r>
            <w:r>
              <w:rPr>
                <w:rFonts w:hint="eastAsia" w:ascii="宋体" w:hAnsi="宋体" w:eastAsia="宋体" w:cs="宋体"/>
                <w:highlight w:val="none"/>
                <w:lang w:val="zh-CN" w:eastAsia="zh-CN"/>
              </w:rPr>
              <w:t>分；</w:t>
            </w:r>
          </w:p>
          <w:p w14:paraId="24688017">
            <w:pPr>
              <w:spacing w:line="300" w:lineRule="exact"/>
              <w:jc w:val="left"/>
              <w:rPr>
                <w:rFonts w:hint="eastAsia" w:ascii="宋体" w:hAnsi="宋体" w:eastAsia="宋体" w:cs="宋体"/>
                <w:highlight w:val="none"/>
                <w:lang w:val="en-US" w:eastAsia="zh-CN"/>
              </w:rPr>
            </w:pPr>
            <w:r>
              <w:rPr>
                <w:rFonts w:hint="eastAsia" w:ascii="仿宋" w:hAnsi="仿宋" w:eastAsia="宋体"/>
                <w:highlight w:val="none"/>
                <w:lang w:val="zh-CN" w:eastAsia="zh-CN"/>
              </w:rPr>
              <w:t>5.缺项不得分</w:t>
            </w:r>
            <w:r>
              <w:rPr>
                <w:rFonts w:hint="eastAsia" w:ascii="仿宋" w:hAnsi="仿宋"/>
                <w:highlight w:val="none"/>
                <w:lang w:val="zh-CN" w:eastAsia="zh-CN"/>
              </w:rPr>
              <w:t>。</w:t>
            </w:r>
          </w:p>
        </w:tc>
        <w:tc>
          <w:tcPr>
            <w:tcW w:w="690" w:type="dxa"/>
            <w:vAlign w:val="center"/>
          </w:tcPr>
          <w:p w14:paraId="4F9CCAC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14:paraId="56CC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530" w:type="dxa"/>
            <w:vAlign w:val="center"/>
          </w:tcPr>
          <w:p w14:paraId="6A2E83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1105" w:type="dxa"/>
            <w:vAlign w:val="center"/>
          </w:tcPr>
          <w:p w14:paraId="533E4B8F">
            <w:pPr>
              <w:spacing w:line="300" w:lineRule="exact"/>
              <w:jc w:val="left"/>
              <w:rPr>
                <w:rFonts w:hint="eastAsia" w:ascii="宋体" w:hAnsi="宋体" w:eastAsia="宋体" w:cs="宋体"/>
                <w:szCs w:val="21"/>
                <w:highlight w:val="none"/>
                <w:lang w:eastAsia="zh-CN"/>
              </w:rPr>
            </w:pPr>
            <w:r>
              <w:rPr>
                <w:rFonts w:hint="eastAsia" w:ascii="新宋体" w:hAnsi="新宋体" w:eastAsia="新宋体" w:cs="新宋体"/>
                <w:sz w:val="22"/>
                <w:szCs w:val="22"/>
                <w:highlight w:val="none"/>
              </w:rPr>
              <w:t>技术培训方案</w:t>
            </w:r>
          </w:p>
        </w:tc>
        <w:tc>
          <w:tcPr>
            <w:tcW w:w="7389" w:type="dxa"/>
            <w:vAlign w:val="center"/>
          </w:tcPr>
          <w:p w14:paraId="3C54BD6D">
            <w:pPr>
              <w:numPr>
                <w:ilvl w:val="0"/>
                <w:numId w:val="0"/>
              </w:numPr>
              <w:rPr>
                <w:rFonts w:hint="eastAsia" w:eastAsia="宋体"/>
                <w:highlight w:val="none"/>
                <w:lang w:eastAsia="zh-CN"/>
              </w:rPr>
            </w:pPr>
            <w:r>
              <w:rPr>
                <w:rFonts w:hint="eastAsia" w:eastAsia="宋体"/>
                <w:highlight w:val="none"/>
                <w:lang w:val="en-US" w:eastAsia="zh-CN"/>
              </w:rPr>
              <w:t>（一）</w:t>
            </w:r>
            <w:r>
              <w:rPr>
                <w:rFonts w:hint="eastAsia" w:eastAsia="宋体"/>
                <w:highlight w:val="none"/>
                <w:lang w:eastAsia="zh-CN"/>
              </w:rPr>
              <w:t>根据投标人的技术培训方案综合评分；</w:t>
            </w:r>
          </w:p>
          <w:p w14:paraId="5A24CC6A">
            <w:pPr>
              <w:numPr>
                <w:ilvl w:val="0"/>
                <w:numId w:val="0"/>
              </w:numPr>
              <w:rPr>
                <w:rFonts w:hint="eastAsia" w:eastAsia="宋体"/>
                <w:highlight w:val="none"/>
                <w:lang w:val="zh-CN" w:eastAsia="zh-CN"/>
              </w:rPr>
            </w:pPr>
            <w:r>
              <w:rPr>
                <w:rFonts w:hint="eastAsia" w:eastAsia="宋体"/>
                <w:highlight w:val="none"/>
                <w:lang w:val="en-US" w:eastAsia="zh-CN"/>
              </w:rPr>
              <w:t>1.</w:t>
            </w:r>
            <w:r>
              <w:rPr>
                <w:rFonts w:hint="eastAsia" w:eastAsia="宋体"/>
                <w:highlight w:val="none"/>
                <w:lang w:val="zh-CN" w:eastAsia="zh-CN"/>
              </w:rPr>
              <w:t>方案内容齐全、完善，有针对性的得</w:t>
            </w:r>
            <w:r>
              <w:rPr>
                <w:rFonts w:hint="eastAsia"/>
                <w:highlight w:val="none"/>
                <w:lang w:val="en-US" w:eastAsia="zh-CN"/>
              </w:rPr>
              <w:t>8</w:t>
            </w:r>
            <w:r>
              <w:rPr>
                <w:rFonts w:hint="eastAsia" w:eastAsia="宋体"/>
                <w:highlight w:val="none"/>
                <w:lang w:val="zh-CN" w:eastAsia="zh-CN"/>
              </w:rPr>
              <w:t>分；</w:t>
            </w:r>
          </w:p>
          <w:p w14:paraId="40E358B5">
            <w:pPr>
              <w:numPr>
                <w:ilvl w:val="0"/>
                <w:numId w:val="0"/>
              </w:numPr>
              <w:rPr>
                <w:rFonts w:hint="eastAsia" w:eastAsia="宋体"/>
                <w:highlight w:val="none"/>
                <w:lang w:val="zh-CN" w:eastAsia="zh-CN"/>
              </w:rPr>
            </w:pPr>
            <w:r>
              <w:rPr>
                <w:rFonts w:hint="eastAsia" w:eastAsia="宋体"/>
                <w:highlight w:val="none"/>
                <w:lang w:val="en-US" w:eastAsia="zh-CN"/>
              </w:rPr>
              <w:t>2.</w:t>
            </w:r>
            <w:r>
              <w:rPr>
                <w:rFonts w:hint="eastAsia" w:eastAsia="宋体"/>
                <w:highlight w:val="none"/>
                <w:lang w:val="zh-CN" w:eastAsia="zh-CN"/>
              </w:rPr>
              <w:t>方案内容较齐全，制定的方案</w:t>
            </w:r>
            <w:r>
              <w:rPr>
                <w:rFonts w:hint="eastAsia" w:eastAsia="宋体"/>
                <w:highlight w:val="none"/>
                <w:lang w:val="en-US" w:eastAsia="zh-CN"/>
              </w:rPr>
              <w:t>符合</w:t>
            </w:r>
            <w:r>
              <w:rPr>
                <w:rFonts w:hint="eastAsia" w:eastAsia="宋体"/>
                <w:highlight w:val="none"/>
                <w:lang w:val="zh-CN" w:eastAsia="zh-CN"/>
              </w:rPr>
              <w:t>实际的得</w:t>
            </w:r>
            <w:r>
              <w:rPr>
                <w:rFonts w:hint="eastAsia"/>
                <w:highlight w:val="none"/>
                <w:lang w:val="en-US" w:eastAsia="zh-CN"/>
              </w:rPr>
              <w:t>6</w:t>
            </w:r>
            <w:r>
              <w:rPr>
                <w:rFonts w:hint="eastAsia" w:eastAsia="宋体"/>
                <w:highlight w:val="none"/>
                <w:lang w:val="zh-CN" w:eastAsia="zh-CN"/>
              </w:rPr>
              <w:t>分；</w:t>
            </w:r>
            <w:bookmarkStart w:id="48" w:name="_GoBack"/>
            <w:bookmarkEnd w:id="48"/>
          </w:p>
          <w:p w14:paraId="502A5F32">
            <w:pPr>
              <w:numPr>
                <w:ilvl w:val="0"/>
                <w:numId w:val="0"/>
              </w:numPr>
              <w:rPr>
                <w:rFonts w:hint="eastAsia" w:eastAsia="宋体"/>
                <w:highlight w:val="none"/>
                <w:lang w:val="zh-CN" w:eastAsia="zh-CN"/>
              </w:rPr>
            </w:pPr>
            <w:r>
              <w:rPr>
                <w:rFonts w:hint="eastAsia" w:eastAsia="宋体"/>
                <w:highlight w:val="none"/>
                <w:lang w:val="en-US" w:eastAsia="zh-CN"/>
              </w:rPr>
              <w:t>3.方案</w:t>
            </w:r>
            <w:r>
              <w:rPr>
                <w:rFonts w:hint="eastAsia" w:eastAsia="宋体"/>
                <w:highlight w:val="none"/>
                <w:lang w:val="zh-CN" w:eastAsia="zh-CN"/>
              </w:rPr>
              <w:t>内容</w:t>
            </w:r>
            <w:r>
              <w:rPr>
                <w:rFonts w:hint="eastAsia" w:eastAsia="宋体"/>
                <w:highlight w:val="none"/>
                <w:lang w:val="en-US" w:eastAsia="zh-CN"/>
              </w:rPr>
              <w:t>基本</w:t>
            </w:r>
            <w:r>
              <w:rPr>
                <w:rFonts w:hint="eastAsia" w:eastAsia="宋体"/>
                <w:highlight w:val="none"/>
                <w:lang w:val="zh-CN" w:eastAsia="zh-CN"/>
              </w:rPr>
              <w:t>齐全，制定的方案</w:t>
            </w:r>
            <w:r>
              <w:rPr>
                <w:rFonts w:hint="eastAsia" w:eastAsia="宋体"/>
                <w:highlight w:val="none"/>
                <w:lang w:val="en-US" w:eastAsia="zh-CN"/>
              </w:rPr>
              <w:t>基本符合</w:t>
            </w:r>
            <w:r>
              <w:rPr>
                <w:rFonts w:hint="eastAsia" w:eastAsia="宋体"/>
                <w:highlight w:val="none"/>
                <w:lang w:val="zh-CN" w:eastAsia="zh-CN"/>
              </w:rPr>
              <w:t>实际的得</w:t>
            </w:r>
            <w:r>
              <w:rPr>
                <w:rFonts w:hint="eastAsia"/>
                <w:highlight w:val="none"/>
                <w:lang w:val="en-US" w:eastAsia="zh-CN"/>
              </w:rPr>
              <w:t>4</w:t>
            </w:r>
            <w:r>
              <w:rPr>
                <w:rFonts w:hint="eastAsia" w:eastAsia="宋体"/>
                <w:highlight w:val="none"/>
                <w:lang w:val="zh-CN" w:eastAsia="zh-CN"/>
              </w:rPr>
              <w:t>分；</w:t>
            </w:r>
          </w:p>
          <w:p w14:paraId="45791F15">
            <w:pPr>
              <w:numPr>
                <w:ilvl w:val="0"/>
                <w:numId w:val="0"/>
              </w:numPr>
              <w:rPr>
                <w:rFonts w:hint="eastAsia" w:eastAsia="宋体"/>
                <w:highlight w:val="none"/>
                <w:lang w:val="zh-CN" w:eastAsia="zh-CN"/>
              </w:rPr>
            </w:pPr>
            <w:r>
              <w:rPr>
                <w:rFonts w:hint="eastAsia" w:eastAsia="宋体"/>
                <w:highlight w:val="none"/>
                <w:lang w:val="en-US" w:eastAsia="zh-CN"/>
              </w:rPr>
              <w:t>4.</w:t>
            </w:r>
            <w:r>
              <w:rPr>
                <w:rFonts w:hint="eastAsia" w:eastAsia="宋体"/>
                <w:highlight w:val="none"/>
                <w:lang w:val="zh-CN" w:eastAsia="zh-CN"/>
              </w:rPr>
              <w:t>方案内容缺漏，制定的方案不符合实际的得</w:t>
            </w:r>
            <w:r>
              <w:rPr>
                <w:rFonts w:hint="eastAsia"/>
                <w:highlight w:val="none"/>
                <w:lang w:val="en-US" w:eastAsia="zh-CN"/>
              </w:rPr>
              <w:t>2</w:t>
            </w:r>
            <w:r>
              <w:rPr>
                <w:rFonts w:hint="eastAsia" w:eastAsia="宋体"/>
                <w:highlight w:val="none"/>
                <w:lang w:val="zh-CN" w:eastAsia="zh-CN"/>
              </w:rPr>
              <w:t>分；</w:t>
            </w:r>
          </w:p>
          <w:p w14:paraId="51A0094D">
            <w:pPr>
              <w:rPr>
                <w:rFonts w:hint="eastAsia" w:ascii="仿宋" w:hAnsi="仿宋" w:eastAsia="宋体"/>
                <w:highlight w:val="none"/>
                <w:lang w:val="zh-CN" w:eastAsia="zh-CN"/>
              </w:rPr>
            </w:pPr>
            <w:r>
              <w:rPr>
                <w:rFonts w:hint="eastAsia" w:ascii="仿宋" w:hAnsi="仿宋" w:eastAsia="宋体"/>
                <w:highlight w:val="none"/>
                <w:lang w:val="zh-CN" w:eastAsia="zh-CN"/>
              </w:rPr>
              <w:t>5.缺项不得分；</w:t>
            </w:r>
          </w:p>
          <w:p w14:paraId="1A492C58">
            <w:pPr>
              <w:rPr>
                <w:rFonts w:hint="eastAsia"/>
                <w:highlight w:val="none"/>
              </w:rPr>
            </w:pPr>
            <w:r>
              <w:rPr>
                <w:rFonts w:hint="eastAsia"/>
                <w:highlight w:val="none"/>
                <w:lang w:val="en-US" w:eastAsia="zh-CN"/>
              </w:rPr>
              <w:t>（二）</w:t>
            </w:r>
            <w:r>
              <w:rPr>
                <w:rFonts w:hint="eastAsia"/>
                <w:highlight w:val="none"/>
              </w:rPr>
              <w:t>所投产品生产厂家具有CAAC垂直起降固定翼超视距驾驶员培训能力，得1分；</w:t>
            </w:r>
          </w:p>
          <w:p w14:paraId="04FCA906">
            <w:pPr>
              <w:rPr>
                <w:rFonts w:hint="eastAsia" w:ascii="宋体" w:hAnsi="宋体" w:eastAsia="宋体" w:cs="宋体"/>
                <w:highlight w:val="none"/>
              </w:rPr>
            </w:pPr>
            <w:r>
              <w:rPr>
                <w:rFonts w:hint="eastAsia"/>
                <w:highlight w:val="none"/>
              </w:rPr>
              <w:t>注</w:t>
            </w:r>
            <w:r>
              <w:rPr>
                <w:rFonts w:hint="eastAsia"/>
                <w:highlight w:val="none"/>
                <w:lang w:eastAsia="zh-CN"/>
              </w:rPr>
              <w:t>：</w:t>
            </w:r>
            <w:r>
              <w:rPr>
                <w:rFonts w:hint="eastAsia"/>
                <w:highlight w:val="none"/>
              </w:rPr>
              <w:t>提供CAAC训练机构合格证复印件</w:t>
            </w:r>
            <w:r>
              <w:rPr>
                <w:rFonts w:hint="eastAsia"/>
                <w:highlight w:val="none"/>
                <w:lang w:val="en-US" w:eastAsia="zh-CN"/>
              </w:rPr>
              <w:t>和国家无人驾驶航空器一体化综合监管服务平台的课程等级查询页面截图</w:t>
            </w:r>
            <w:r>
              <w:rPr>
                <w:rFonts w:hint="eastAsia"/>
                <w:highlight w:val="none"/>
              </w:rPr>
              <w:t>，未提供不得分。</w:t>
            </w:r>
          </w:p>
        </w:tc>
        <w:tc>
          <w:tcPr>
            <w:tcW w:w="690" w:type="dxa"/>
            <w:vAlign w:val="center"/>
          </w:tcPr>
          <w:p w14:paraId="034D0C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r>
    </w:tbl>
    <w:p w14:paraId="6E5E50BC">
      <w:pPr>
        <w:spacing w:line="360" w:lineRule="auto"/>
        <w:jc w:val="center"/>
        <w:rPr>
          <w:rFonts w:ascii="宋体" w:hAnsi="宋体" w:cs="宋体"/>
          <w:b/>
          <w:color w:val="auto"/>
          <w:sz w:val="36"/>
          <w:szCs w:val="36"/>
          <w:highlight w:val="none"/>
        </w:rPr>
        <w:sectPr>
          <w:pgSz w:w="11906" w:h="16838"/>
          <w:pgMar w:top="1440" w:right="1800" w:bottom="1440" w:left="1800" w:header="851" w:footer="992" w:gutter="0"/>
          <w:cols w:space="720" w:num="1"/>
          <w:docGrid w:type="lines" w:linePitch="312" w:charSpace="0"/>
        </w:sectPr>
      </w:pPr>
    </w:p>
    <w:p w14:paraId="162F305D">
      <w:pPr>
        <w:pageBreakBefore/>
        <w:numPr>
          <w:ilvl w:val="0"/>
          <w:numId w:val="0"/>
        </w:numPr>
        <w:spacing w:line="360" w:lineRule="auto"/>
        <w:jc w:val="center"/>
        <w:rPr>
          <w:rFonts w:ascii="仿宋_GB2312" w:hAnsi="宋体" w:eastAsia="仿宋_GB2312"/>
          <w:b/>
          <w:bCs/>
          <w:color w:val="auto"/>
          <w:sz w:val="44"/>
          <w:szCs w:val="44"/>
          <w:highlight w:val="none"/>
        </w:rPr>
      </w:pPr>
      <w:r>
        <w:rPr>
          <w:rFonts w:hint="eastAsia" w:ascii="宋体" w:hAnsi="宋体" w:cs="宋体"/>
          <w:b/>
          <w:color w:val="auto"/>
          <w:sz w:val="36"/>
          <w:szCs w:val="36"/>
          <w:highlight w:val="none"/>
          <w:lang w:eastAsia="zh-CN"/>
        </w:rPr>
        <w:t>第四章</w:t>
      </w:r>
      <w:r>
        <w:rPr>
          <w:rFonts w:hint="eastAsia" w:ascii="宋体" w:hAnsi="宋体" w:cs="宋体"/>
          <w:b/>
          <w:color w:val="auto"/>
          <w:sz w:val="36"/>
          <w:szCs w:val="36"/>
          <w:highlight w:val="none"/>
        </w:rPr>
        <w:t xml:space="preserve"> 采购需求</w:t>
      </w:r>
    </w:p>
    <w:p w14:paraId="2E205DBB">
      <w:pPr>
        <w:pStyle w:val="101"/>
        <w:keepNext/>
        <w:keepLines/>
        <w:pageBreakBefore w:val="0"/>
        <w:widowControl w:val="0"/>
        <w:kinsoku/>
        <w:wordWrap/>
        <w:overflowPunct/>
        <w:topLinePunct w:val="0"/>
        <w:autoSpaceDE/>
        <w:autoSpaceDN/>
        <w:bidi w:val="0"/>
        <w:adjustRightInd/>
        <w:snapToGrid/>
        <w:spacing w:before="0" w:line="360" w:lineRule="auto"/>
        <w:jc w:val="both"/>
        <w:textAlignment w:val="auto"/>
        <w:outlineLvl w:val="8"/>
        <w:rPr>
          <w:rFonts w:hint="eastAsia" w:ascii="宋体" w:hAnsi="宋体" w:eastAsia="宋体" w:cs="宋体"/>
          <w:b/>
          <w:color w:val="auto"/>
          <w:sz w:val="24"/>
          <w:szCs w:val="24"/>
          <w:highlight w:val="none"/>
        </w:rPr>
      </w:pPr>
      <w:bookmarkStart w:id="7" w:name="_Toc283886271"/>
      <w:bookmarkStart w:id="8" w:name="_Toc288556313"/>
      <w:bookmarkStart w:id="9" w:name="_Toc534469174"/>
      <w:bookmarkStart w:id="10" w:name="_Toc38737758"/>
      <w:bookmarkStart w:id="11" w:name="_Toc372899887"/>
      <w:bookmarkStart w:id="12" w:name="_Toc283976561"/>
      <w:bookmarkStart w:id="13" w:name="_Toc31546"/>
      <w:bookmarkStart w:id="14" w:name="_Toc531162037"/>
      <w:bookmarkStart w:id="15" w:name="_Toc394573957"/>
      <w:bookmarkStart w:id="16" w:name="_Toc282596326"/>
      <w:bookmarkStart w:id="17" w:name="_Toc48637245"/>
      <w:bookmarkStart w:id="18" w:name="_Toc48637324"/>
      <w:r>
        <w:rPr>
          <w:rFonts w:hint="eastAsia" w:ascii="宋体" w:hAnsi="宋体" w:eastAsia="宋体" w:cs="宋体"/>
          <w:color w:val="auto"/>
          <w:sz w:val="24"/>
          <w:szCs w:val="24"/>
          <w:highlight w:val="none"/>
          <w:lang w:eastAsia="zh-CN"/>
        </w:rPr>
        <w:t>一、</w:t>
      </w:r>
      <w:r>
        <w:rPr>
          <w:rFonts w:hint="eastAsia" w:ascii="宋体" w:hAnsi="宋体" w:eastAsia="宋体" w:cs="宋体"/>
          <w:b/>
          <w:color w:val="auto"/>
          <w:sz w:val="24"/>
          <w:szCs w:val="24"/>
          <w:highlight w:val="none"/>
        </w:rPr>
        <w:t>项目一览表</w:t>
      </w:r>
    </w:p>
    <w:p w14:paraId="694C65C8">
      <w:pPr>
        <w:pStyle w:val="101"/>
        <w:keepNext/>
        <w:keepLines/>
        <w:pageBreakBefore w:val="0"/>
        <w:widowControl w:val="0"/>
        <w:kinsoku/>
        <w:wordWrap/>
        <w:overflowPunct/>
        <w:topLinePunct w:val="0"/>
        <w:autoSpaceDE/>
        <w:autoSpaceDN/>
        <w:bidi w:val="0"/>
        <w:adjustRightInd/>
        <w:snapToGrid/>
        <w:spacing w:before="0" w:line="360" w:lineRule="auto"/>
        <w:jc w:val="both"/>
        <w:textAlignment w:val="auto"/>
        <w:outlineLvl w:val="8"/>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本次</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项目，具体内容如下表</w:t>
      </w:r>
      <w:r>
        <w:rPr>
          <w:rFonts w:hint="eastAsia" w:ascii="宋体" w:hAnsi="宋体" w:eastAsia="宋体" w:cs="宋体"/>
          <w:b/>
          <w:color w:val="auto"/>
          <w:sz w:val="24"/>
          <w:szCs w:val="24"/>
          <w:highlight w:val="none"/>
          <w:lang w:eastAsia="zh-CN"/>
        </w:rPr>
        <w:t>：</w:t>
      </w:r>
    </w:p>
    <w:bookmarkEnd w:id="7"/>
    <w:bookmarkEnd w:id="8"/>
    <w:bookmarkEnd w:id="9"/>
    <w:bookmarkEnd w:id="10"/>
    <w:bookmarkEnd w:id="11"/>
    <w:bookmarkEnd w:id="12"/>
    <w:bookmarkEnd w:id="13"/>
    <w:bookmarkEnd w:id="14"/>
    <w:bookmarkEnd w:id="15"/>
    <w:bookmarkEnd w:id="16"/>
    <w:bookmarkEnd w:id="17"/>
    <w:bookmarkEnd w:id="18"/>
    <w:tbl>
      <w:tblPr>
        <w:tblStyle w:val="35"/>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95"/>
        <w:gridCol w:w="1176"/>
        <w:gridCol w:w="654"/>
        <w:gridCol w:w="703"/>
        <w:gridCol w:w="1230"/>
        <w:gridCol w:w="1099"/>
        <w:gridCol w:w="1248"/>
        <w:gridCol w:w="1193"/>
      </w:tblGrid>
      <w:tr w14:paraId="0453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04" w:type="dxa"/>
            <w:vAlign w:val="center"/>
          </w:tcPr>
          <w:p w14:paraId="6F672E17">
            <w:pPr>
              <w:tabs>
                <w:tab w:val="left" w:pos="8280"/>
              </w:tabs>
              <w:autoSpaceDE w:val="0"/>
              <w:autoSpaceDN w:val="0"/>
              <w:adjustRightInd w:val="0"/>
              <w:ind w:right="25"/>
              <w:jc w:val="center"/>
              <w:rPr>
                <w:rFonts w:ascii="宋体" w:hAnsi="宋体" w:cs="宋体"/>
                <w:b/>
                <w:color w:val="auto"/>
                <w:sz w:val="24"/>
                <w:highlight w:val="none"/>
              </w:rPr>
            </w:pPr>
            <w:bookmarkStart w:id="19" w:name="_Toc29502753"/>
            <w:bookmarkStart w:id="20" w:name="_Toc15471"/>
            <w:bookmarkStart w:id="21" w:name="_Toc85732803"/>
            <w:bookmarkStart w:id="22" w:name="_Toc9087"/>
            <w:r>
              <w:rPr>
                <w:rFonts w:hint="eastAsia" w:ascii="宋体" w:hAnsi="宋体" w:cs="宋体"/>
                <w:b/>
                <w:color w:val="auto"/>
                <w:sz w:val="24"/>
                <w:highlight w:val="none"/>
              </w:rPr>
              <w:t>标段号</w:t>
            </w:r>
          </w:p>
        </w:tc>
        <w:tc>
          <w:tcPr>
            <w:tcW w:w="1795" w:type="dxa"/>
            <w:vAlign w:val="center"/>
          </w:tcPr>
          <w:p w14:paraId="785A98A8">
            <w:pPr>
              <w:tabs>
                <w:tab w:val="left" w:pos="8280"/>
              </w:tabs>
              <w:autoSpaceDE w:val="0"/>
              <w:autoSpaceDN w:val="0"/>
              <w:adjustRightInd w:val="0"/>
              <w:ind w:right="25"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176" w:type="dxa"/>
            <w:vAlign w:val="center"/>
          </w:tcPr>
          <w:p w14:paraId="343EFC02">
            <w:pPr>
              <w:tabs>
                <w:tab w:val="left" w:pos="8280"/>
              </w:tabs>
              <w:autoSpaceDE w:val="0"/>
              <w:autoSpaceDN w:val="0"/>
              <w:adjustRightInd w:val="0"/>
              <w:ind w:right="-100" w:rightChars="0"/>
              <w:jc w:val="center"/>
              <w:rPr>
                <w:rFonts w:ascii="宋体" w:hAnsi="宋体" w:cs="宋体"/>
                <w:b/>
                <w:color w:val="auto"/>
                <w:sz w:val="24"/>
                <w:highlight w:val="none"/>
              </w:rPr>
            </w:pPr>
            <w:r>
              <w:rPr>
                <w:rFonts w:hint="eastAsia" w:ascii="宋体" w:hAnsi="宋体" w:cs="宋体"/>
                <w:b/>
                <w:color w:val="auto"/>
                <w:kern w:val="0"/>
                <w:sz w:val="24"/>
                <w:highlight w:val="none"/>
              </w:rPr>
              <w:t>简要要求</w:t>
            </w:r>
          </w:p>
        </w:tc>
        <w:tc>
          <w:tcPr>
            <w:tcW w:w="654" w:type="dxa"/>
            <w:vAlign w:val="center"/>
          </w:tcPr>
          <w:p w14:paraId="7F110F4B">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703" w:type="dxa"/>
            <w:vAlign w:val="center"/>
          </w:tcPr>
          <w:p w14:paraId="261140E2">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230" w:type="dxa"/>
            <w:vAlign w:val="center"/>
          </w:tcPr>
          <w:p w14:paraId="4885113E">
            <w:pPr>
              <w:tabs>
                <w:tab w:val="left" w:pos="8280"/>
              </w:tabs>
              <w:autoSpaceDE w:val="0"/>
              <w:autoSpaceDN w:val="0"/>
              <w:adjustRightInd w:val="0"/>
              <w:ind w:right="25"/>
              <w:jc w:val="center"/>
              <w:rPr>
                <w:rFonts w:hint="eastAsia" w:ascii="宋体" w:hAnsi="宋体" w:cs="宋体"/>
                <w:b/>
                <w:color w:val="auto"/>
                <w:sz w:val="24"/>
                <w:highlight w:val="none"/>
                <w:lang w:eastAsia="zh-CN"/>
              </w:rPr>
            </w:pPr>
            <w:r>
              <w:rPr>
                <w:rFonts w:hint="eastAsia" w:ascii="宋体" w:hAnsi="宋体" w:cs="宋体"/>
                <w:b/>
                <w:color w:val="auto"/>
                <w:sz w:val="24"/>
                <w:highlight w:val="none"/>
              </w:rPr>
              <w:t>预算</w:t>
            </w:r>
            <w:r>
              <w:rPr>
                <w:rFonts w:hint="eastAsia" w:ascii="宋体" w:hAnsi="宋体" w:cs="宋体"/>
                <w:b/>
                <w:color w:val="auto"/>
                <w:sz w:val="24"/>
                <w:highlight w:val="none"/>
                <w:lang w:eastAsia="zh-CN"/>
              </w:rPr>
              <w:t>金额</w:t>
            </w:r>
          </w:p>
          <w:p w14:paraId="5600D360">
            <w:pPr>
              <w:tabs>
                <w:tab w:val="left" w:pos="8280"/>
              </w:tabs>
              <w:autoSpaceDE w:val="0"/>
              <w:autoSpaceDN w:val="0"/>
              <w:adjustRightInd w:val="0"/>
              <w:ind w:right="25"/>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（万元）</w:t>
            </w:r>
          </w:p>
        </w:tc>
        <w:tc>
          <w:tcPr>
            <w:tcW w:w="1099" w:type="dxa"/>
            <w:vAlign w:val="center"/>
          </w:tcPr>
          <w:p w14:paraId="4D4CCA50">
            <w:pPr>
              <w:tabs>
                <w:tab w:val="left" w:pos="8280"/>
              </w:tabs>
              <w:autoSpaceDE w:val="0"/>
              <w:autoSpaceDN w:val="0"/>
              <w:adjustRightInd w:val="0"/>
              <w:ind w:right="25"/>
              <w:jc w:val="center"/>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上限价</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eastAsia="zh-CN"/>
              </w:rPr>
              <w:t>（万元）</w:t>
            </w:r>
          </w:p>
        </w:tc>
        <w:tc>
          <w:tcPr>
            <w:tcW w:w="1248" w:type="dxa"/>
            <w:vAlign w:val="center"/>
          </w:tcPr>
          <w:p w14:paraId="0258CB79">
            <w:pPr>
              <w:tabs>
                <w:tab w:val="left" w:pos="8280"/>
              </w:tabs>
              <w:autoSpaceDE w:val="0"/>
              <w:autoSpaceDN w:val="0"/>
              <w:adjustRightInd w:val="0"/>
              <w:ind w:right="25"/>
              <w:jc w:val="center"/>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供货期限</w:t>
            </w:r>
          </w:p>
        </w:tc>
        <w:tc>
          <w:tcPr>
            <w:tcW w:w="1193" w:type="dxa"/>
            <w:vAlign w:val="center"/>
          </w:tcPr>
          <w:p w14:paraId="50F44FFF">
            <w:pPr>
              <w:widowControl/>
              <w:jc w:val="center"/>
              <w:rPr>
                <w:rFonts w:hint="eastAsia" w:ascii="宋体" w:hAnsi="宋体" w:cs="宋体"/>
                <w:b/>
                <w:color w:val="auto"/>
                <w:sz w:val="24"/>
                <w:highlight w:val="none"/>
                <w:lang w:eastAsia="zh-CN"/>
              </w:rPr>
            </w:pPr>
            <w:r>
              <w:rPr>
                <w:rFonts w:hint="eastAsia" w:ascii="宋体"/>
                <w:b/>
                <w:sz w:val="21"/>
                <w:szCs w:val="21"/>
                <w:highlight w:val="none"/>
              </w:rPr>
              <w:t>项目地点</w:t>
            </w:r>
          </w:p>
        </w:tc>
      </w:tr>
      <w:tr w14:paraId="403A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04" w:type="dxa"/>
            <w:vAlign w:val="center"/>
          </w:tcPr>
          <w:p w14:paraId="672FA942">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1795" w:type="dxa"/>
            <w:vAlign w:val="center"/>
          </w:tcPr>
          <w:p w14:paraId="4F5B4E1F">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大陈岛5G+互联数智无人机采购项目</w:t>
            </w:r>
          </w:p>
        </w:tc>
        <w:tc>
          <w:tcPr>
            <w:tcW w:w="1176" w:type="dxa"/>
            <w:vAlign w:val="center"/>
          </w:tcPr>
          <w:p w14:paraId="44E3C7B5">
            <w:pPr>
              <w:jc w:val="center"/>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p>
        </w:tc>
        <w:tc>
          <w:tcPr>
            <w:tcW w:w="654" w:type="dxa"/>
            <w:vAlign w:val="center"/>
          </w:tcPr>
          <w:p w14:paraId="184490D0">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03" w:type="dxa"/>
            <w:vAlign w:val="center"/>
          </w:tcPr>
          <w:p w14:paraId="7B11380F">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架</w:t>
            </w:r>
          </w:p>
        </w:tc>
        <w:tc>
          <w:tcPr>
            <w:tcW w:w="1230" w:type="dxa"/>
            <w:vAlign w:val="center"/>
          </w:tcPr>
          <w:p w14:paraId="0DFB503D">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80 </w:t>
            </w:r>
          </w:p>
        </w:tc>
        <w:tc>
          <w:tcPr>
            <w:tcW w:w="1099" w:type="dxa"/>
            <w:vAlign w:val="center"/>
          </w:tcPr>
          <w:p w14:paraId="290F1449">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80 </w:t>
            </w:r>
          </w:p>
        </w:tc>
        <w:tc>
          <w:tcPr>
            <w:tcW w:w="1248" w:type="dxa"/>
            <w:vAlign w:val="center"/>
          </w:tcPr>
          <w:p w14:paraId="26FE1A1A">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合同签订后1个月内</w:t>
            </w:r>
          </w:p>
        </w:tc>
        <w:tc>
          <w:tcPr>
            <w:tcW w:w="1193" w:type="dxa"/>
            <w:vAlign w:val="center"/>
          </w:tcPr>
          <w:p w14:paraId="0B3F6DD8">
            <w:pPr>
              <w:rPr>
                <w:rFonts w:hint="eastAsia" w:ascii="宋体" w:hAnsi="宋体" w:cs="宋体"/>
                <w:color w:val="auto"/>
                <w:szCs w:val="21"/>
                <w:highlight w:val="none"/>
                <w:lang w:val="en-US" w:eastAsia="zh-CN"/>
              </w:rPr>
            </w:pPr>
            <w:r>
              <w:rPr>
                <w:rFonts w:hint="eastAsia" w:ascii="宋体" w:cs="宋体"/>
                <w:szCs w:val="21"/>
                <w:highlight w:val="none"/>
                <w:lang w:val="en-US" w:eastAsia="zh-CN"/>
              </w:rPr>
              <w:t>采购人指定地点</w:t>
            </w:r>
          </w:p>
        </w:tc>
      </w:tr>
      <w:bookmarkEnd w:id="19"/>
      <w:bookmarkEnd w:id="20"/>
    </w:tbl>
    <w:p w14:paraId="33A49C7C">
      <w:pPr>
        <w:pStyle w:val="72"/>
        <w:spacing w:line="460" w:lineRule="exact"/>
        <w:ind w:firstLine="0" w:firstLineChars="0"/>
        <w:rPr>
          <w:rFonts w:hint="eastAsia" w:ascii="宋体" w:hAnsi="宋体" w:eastAsia="宋体" w:cs="Times New Roman"/>
          <w:b/>
          <w:bCs w:val="0"/>
          <w:color w:val="000000"/>
          <w:kern w:val="2"/>
          <w:sz w:val="24"/>
          <w:szCs w:val="24"/>
          <w:highlight w:val="none"/>
          <w:lang w:val="en-US" w:eastAsia="zh-CN" w:bidi="ar-SA"/>
        </w:rPr>
      </w:pPr>
      <w:r>
        <w:rPr>
          <w:rFonts w:hint="eastAsia" w:ascii="宋体" w:hAnsi="宋体" w:eastAsia="宋体" w:cs="宋体"/>
          <w:b/>
          <w:color w:val="auto"/>
          <w:sz w:val="24"/>
          <w:szCs w:val="24"/>
          <w:highlight w:val="none"/>
          <w:lang w:eastAsia="zh-CN"/>
        </w:rPr>
        <w:t>二、</w:t>
      </w:r>
      <w:r>
        <w:rPr>
          <w:rFonts w:hint="eastAsia" w:ascii="宋体" w:hAnsi="宋体" w:eastAsia="宋体" w:cs="Times New Roman"/>
          <w:b/>
          <w:bCs w:val="0"/>
          <w:color w:val="000000"/>
          <w:kern w:val="2"/>
          <w:sz w:val="24"/>
          <w:szCs w:val="24"/>
          <w:highlight w:val="none"/>
          <w:lang w:val="en-US" w:eastAsia="zh-CN" w:bidi="ar-SA"/>
        </w:rPr>
        <w:t>具体技术需求</w:t>
      </w:r>
    </w:p>
    <w:p w14:paraId="79AAB187">
      <w:pPr>
        <w:pStyle w:val="101"/>
        <w:keepNext/>
        <w:keepLines/>
        <w:pageBreakBefore w:val="0"/>
        <w:widowControl w:val="0"/>
        <w:kinsoku/>
        <w:wordWrap/>
        <w:overflowPunct/>
        <w:topLinePunct w:val="0"/>
        <w:autoSpaceDE/>
        <w:autoSpaceDN/>
        <w:bidi w:val="0"/>
        <w:adjustRightInd/>
        <w:snapToGrid/>
        <w:spacing w:before="0" w:line="360" w:lineRule="auto"/>
        <w:ind w:firstLine="241" w:firstLineChars="100"/>
        <w:jc w:val="both"/>
        <w:textAlignment w:val="auto"/>
        <w:outlineLvl w:val="8"/>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采购</w:t>
      </w:r>
      <w:bookmarkEnd w:id="21"/>
      <w:r>
        <w:rPr>
          <w:rFonts w:hint="eastAsia" w:ascii="宋体" w:hAnsi="宋体" w:eastAsia="宋体" w:cs="宋体"/>
          <w:b/>
          <w:color w:val="auto"/>
          <w:sz w:val="24"/>
          <w:szCs w:val="24"/>
          <w:highlight w:val="none"/>
        </w:rPr>
        <w:t>清单</w:t>
      </w:r>
      <w:bookmarkEnd w:id="22"/>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无人机设备配置清单</w:t>
      </w:r>
      <w:r>
        <w:rPr>
          <w:rFonts w:hint="eastAsia" w:ascii="宋体" w:hAnsi="宋体" w:eastAsia="宋体" w:cs="宋体"/>
          <w:b/>
          <w:color w:val="auto"/>
          <w:sz w:val="24"/>
          <w:szCs w:val="24"/>
          <w:highlight w:val="none"/>
          <w:lang w:eastAsia="zh-CN"/>
        </w:rPr>
        <w:t>）</w:t>
      </w:r>
    </w:p>
    <w:tbl>
      <w:tblPr>
        <w:tblStyle w:val="35"/>
        <w:tblW w:w="8357" w:type="dxa"/>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695"/>
        <w:gridCol w:w="4572"/>
        <w:gridCol w:w="635"/>
        <w:gridCol w:w="827"/>
      </w:tblGrid>
      <w:tr w14:paraId="313E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28" w:type="dxa"/>
            <w:vAlign w:val="center"/>
          </w:tcPr>
          <w:p w14:paraId="4C5A9147">
            <w:pPr>
              <w:jc w:val="center"/>
              <w:textAlignment w:val="center"/>
              <w:rPr>
                <w:rFonts w:hint="eastAsia" w:ascii="新宋体" w:hAnsi="新宋体" w:eastAsia="新宋体" w:cs="新宋体"/>
                <w:b/>
                <w:bCs/>
                <w:kern w:val="0"/>
                <w:szCs w:val="21"/>
                <w:highlight w:val="none"/>
              </w:rPr>
            </w:pPr>
            <w:bookmarkStart w:id="23" w:name="_Toc504940551"/>
            <w:bookmarkStart w:id="24" w:name="_Toc502229120"/>
            <w:bookmarkStart w:id="25" w:name="_Toc9607"/>
            <w:bookmarkStart w:id="26" w:name="_Toc28453"/>
            <w:bookmarkStart w:id="27" w:name="_Toc504040656"/>
            <w:bookmarkStart w:id="28" w:name="_Toc505184809"/>
            <w:bookmarkStart w:id="29" w:name="_Toc505252659"/>
            <w:bookmarkStart w:id="30" w:name="_Toc502007572"/>
            <w:r>
              <w:rPr>
                <w:rFonts w:hint="eastAsia" w:ascii="新宋体" w:hAnsi="新宋体" w:eastAsia="新宋体" w:cs="新宋体"/>
                <w:b/>
                <w:bCs/>
                <w:kern w:val="0"/>
                <w:szCs w:val="21"/>
                <w:highlight w:val="none"/>
              </w:rPr>
              <w:t>序号</w:t>
            </w:r>
          </w:p>
        </w:tc>
        <w:tc>
          <w:tcPr>
            <w:tcW w:w="1695" w:type="dxa"/>
            <w:vAlign w:val="center"/>
          </w:tcPr>
          <w:p w14:paraId="39478DB1">
            <w:pPr>
              <w:jc w:val="center"/>
              <w:textAlignment w:val="center"/>
              <w:rPr>
                <w:rFonts w:hint="eastAsia" w:ascii="新宋体" w:hAnsi="新宋体" w:eastAsia="新宋体" w:cs="新宋体"/>
                <w:b/>
                <w:bCs/>
                <w:kern w:val="0"/>
                <w:szCs w:val="21"/>
                <w:highlight w:val="none"/>
              </w:rPr>
            </w:pPr>
            <w:r>
              <w:rPr>
                <w:rFonts w:hint="eastAsia" w:ascii="新宋体" w:hAnsi="新宋体" w:eastAsia="新宋体" w:cs="新宋体"/>
                <w:b/>
                <w:bCs/>
                <w:kern w:val="0"/>
                <w:szCs w:val="21"/>
                <w:highlight w:val="none"/>
              </w:rPr>
              <w:t>设备名称</w:t>
            </w:r>
          </w:p>
        </w:tc>
        <w:tc>
          <w:tcPr>
            <w:tcW w:w="4572" w:type="dxa"/>
            <w:vAlign w:val="center"/>
          </w:tcPr>
          <w:p w14:paraId="6EDFCF24">
            <w:pPr>
              <w:jc w:val="center"/>
              <w:textAlignment w:val="center"/>
              <w:rPr>
                <w:rFonts w:hint="eastAsia" w:ascii="新宋体" w:hAnsi="新宋体" w:eastAsia="新宋体" w:cs="新宋体"/>
                <w:b/>
                <w:bCs/>
                <w:kern w:val="0"/>
                <w:szCs w:val="21"/>
                <w:highlight w:val="none"/>
              </w:rPr>
            </w:pPr>
            <w:r>
              <w:rPr>
                <w:rFonts w:hint="eastAsia" w:ascii="新宋体" w:hAnsi="新宋体" w:eastAsia="新宋体" w:cs="新宋体"/>
                <w:b/>
                <w:bCs/>
                <w:kern w:val="0"/>
                <w:szCs w:val="21"/>
                <w:highlight w:val="none"/>
                <w:lang w:val="en-US" w:eastAsia="zh-CN"/>
              </w:rPr>
              <w:t>技术参数和性能指标</w:t>
            </w:r>
          </w:p>
        </w:tc>
        <w:tc>
          <w:tcPr>
            <w:tcW w:w="635" w:type="dxa"/>
            <w:vAlign w:val="center"/>
          </w:tcPr>
          <w:p w14:paraId="75F02983">
            <w:pPr>
              <w:jc w:val="center"/>
              <w:textAlignment w:val="center"/>
              <w:rPr>
                <w:rFonts w:hint="eastAsia" w:ascii="新宋体" w:hAnsi="新宋体" w:eastAsia="新宋体" w:cs="新宋体"/>
                <w:b/>
                <w:bCs/>
                <w:kern w:val="0"/>
                <w:szCs w:val="21"/>
                <w:highlight w:val="none"/>
              </w:rPr>
            </w:pPr>
            <w:r>
              <w:rPr>
                <w:rFonts w:hint="eastAsia" w:ascii="新宋体" w:hAnsi="新宋体" w:eastAsia="新宋体" w:cs="新宋体"/>
                <w:b/>
                <w:bCs/>
                <w:kern w:val="0"/>
                <w:szCs w:val="21"/>
                <w:highlight w:val="none"/>
              </w:rPr>
              <w:t>数量</w:t>
            </w:r>
          </w:p>
        </w:tc>
        <w:tc>
          <w:tcPr>
            <w:tcW w:w="827" w:type="dxa"/>
            <w:vAlign w:val="center"/>
          </w:tcPr>
          <w:p w14:paraId="36B2ACC8">
            <w:pPr>
              <w:jc w:val="center"/>
              <w:textAlignment w:val="center"/>
              <w:rPr>
                <w:rFonts w:hint="eastAsia" w:ascii="新宋体" w:hAnsi="新宋体" w:eastAsia="新宋体" w:cs="新宋体"/>
                <w:b/>
                <w:bCs/>
                <w:kern w:val="0"/>
                <w:szCs w:val="21"/>
                <w:highlight w:val="none"/>
              </w:rPr>
            </w:pPr>
            <w:r>
              <w:rPr>
                <w:rFonts w:hint="eastAsia" w:ascii="新宋体" w:hAnsi="新宋体" w:eastAsia="新宋体" w:cs="新宋体"/>
                <w:b/>
                <w:bCs/>
                <w:kern w:val="0"/>
                <w:szCs w:val="21"/>
                <w:highlight w:val="none"/>
              </w:rPr>
              <w:t>单位</w:t>
            </w:r>
          </w:p>
        </w:tc>
      </w:tr>
      <w:tr w14:paraId="1A76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628" w:type="dxa"/>
            <w:vAlign w:val="center"/>
          </w:tcPr>
          <w:p w14:paraId="2B65877F">
            <w:pPr>
              <w:jc w:val="center"/>
              <w:textAlignment w:val="cente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1</w:t>
            </w:r>
          </w:p>
        </w:tc>
        <w:tc>
          <w:tcPr>
            <w:tcW w:w="1695" w:type="dxa"/>
            <w:vAlign w:val="center"/>
          </w:tcPr>
          <w:p w14:paraId="5511E0C8">
            <w:pPr>
              <w:textAlignment w:val="cente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小型垂直起降电动固定翼无人机</w:t>
            </w:r>
          </w:p>
        </w:tc>
        <w:tc>
          <w:tcPr>
            <w:tcW w:w="4572" w:type="dxa"/>
            <w:vAlign w:val="center"/>
          </w:tcPr>
          <w:p w14:paraId="42A490E6">
            <w:pPr>
              <w:rPr>
                <w:rFonts w:hint="eastAsia" w:ascii="新宋体" w:hAnsi="新宋体" w:eastAsia="新宋体" w:cs="新宋体"/>
                <w:b/>
                <w:bCs/>
                <w:kern w:val="0"/>
                <w:szCs w:val="21"/>
                <w:highlight w:val="none"/>
              </w:rPr>
            </w:pPr>
            <w:r>
              <w:rPr>
                <w:rFonts w:hint="eastAsia" w:ascii="新宋体" w:hAnsi="新宋体" w:eastAsia="新宋体" w:cs="新宋体"/>
                <w:b/>
                <w:bCs/>
                <w:kern w:val="0"/>
                <w:szCs w:val="21"/>
                <w:highlight w:val="none"/>
              </w:rPr>
              <w:t>1.飞行平台技术要求</w:t>
            </w:r>
          </w:p>
          <w:p w14:paraId="55BFCAC0">
            <w:pPr>
              <w:numPr>
                <w:ilvl w:val="0"/>
                <w:numId w:val="4"/>
              </w:numPr>
              <w:rPr>
                <w:rFonts w:ascii="宋体" w:hAnsi="宋体"/>
                <w:highlight w:val="none"/>
              </w:rPr>
            </w:pPr>
            <w:r>
              <w:rPr>
                <w:rFonts w:hint="eastAsia" w:ascii="宋体" w:hAnsi="宋体"/>
                <w:highlight w:val="none"/>
              </w:rPr>
              <w:t>无人机</w:t>
            </w:r>
            <w:r>
              <w:rPr>
                <w:rFonts w:ascii="宋体" w:hAnsi="宋体"/>
                <w:highlight w:val="none"/>
              </w:rPr>
              <w:t>采用固定翼与多旋翼结合的复合翼布局形式</w:t>
            </w:r>
            <w:r>
              <w:rPr>
                <w:rFonts w:hint="eastAsia" w:ascii="宋体" w:hAnsi="宋体"/>
                <w:highlight w:val="none"/>
              </w:rPr>
              <w:t>，</w:t>
            </w:r>
            <w:r>
              <w:rPr>
                <w:rFonts w:ascii="宋体" w:hAnsi="宋体"/>
                <w:highlight w:val="none"/>
              </w:rPr>
              <w:t>纯电动动力系统；</w:t>
            </w:r>
          </w:p>
          <w:p w14:paraId="1237938D">
            <w:pPr>
              <w:numPr>
                <w:ilvl w:val="0"/>
                <w:numId w:val="0"/>
              </w:numPr>
              <w:textAlignment w:val="center"/>
              <w:rPr>
                <w:highlight w:val="none"/>
              </w:rPr>
            </w:pPr>
            <w:r>
              <w:rPr>
                <w:rFonts w:hint="eastAsia" w:ascii="新宋体" w:hAnsi="新宋体" w:eastAsia="新宋体" w:cs="新宋体"/>
                <w:kern w:val="0"/>
                <w:szCs w:val="21"/>
                <w:highlight w:val="none"/>
                <w:lang w:eastAsia="zh-CN"/>
              </w:rPr>
              <w:t>（</w:t>
            </w:r>
            <w:r>
              <w:rPr>
                <w:rFonts w:hint="eastAsia" w:ascii="新宋体" w:hAnsi="新宋体" w:eastAsia="新宋体" w:cs="新宋体"/>
                <w:kern w:val="0"/>
                <w:szCs w:val="21"/>
                <w:highlight w:val="none"/>
                <w:lang w:val="en-US" w:eastAsia="zh-CN"/>
              </w:rPr>
              <w:t>2</w:t>
            </w:r>
            <w:r>
              <w:rPr>
                <w:rFonts w:hint="eastAsia" w:ascii="新宋体" w:hAnsi="新宋体" w:eastAsia="新宋体" w:cs="新宋体"/>
                <w:kern w:val="0"/>
                <w:szCs w:val="21"/>
                <w:highlight w:val="none"/>
                <w:lang w:eastAsia="zh-CN"/>
              </w:rPr>
              <w:t>）</w:t>
            </w:r>
            <w:r>
              <w:rPr>
                <w:rFonts w:hint="eastAsia" w:ascii="新宋体" w:hAnsi="新宋体" w:eastAsia="新宋体" w:cs="新宋体"/>
                <w:kern w:val="0"/>
                <w:szCs w:val="21"/>
                <w:highlight w:val="none"/>
              </w:rPr>
              <w:t>机身长度≤2.2m，翼展≤4m；2、起飞重量≥18kg；3、载重能力≥3kg；</w:t>
            </w:r>
            <w:r>
              <w:rPr>
                <w:rFonts w:hint="eastAsia" w:ascii="新宋体" w:hAnsi="新宋体" w:eastAsia="新宋体" w:cs="新宋体"/>
                <w:kern w:val="0"/>
                <w:szCs w:val="21"/>
                <w:highlight w:val="none"/>
                <w:lang w:val="en-US" w:eastAsia="zh-CN"/>
              </w:rPr>
              <w:t>4</w:t>
            </w:r>
            <w:r>
              <w:rPr>
                <w:rFonts w:hint="eastAsia" w:ascii="新宋体" w:hAnsi="新宋体" w:eastAsia="新宋体" w:cs="新宋体"/>
                <w:kern w:val="0"/>
                <w:szCs w:val="21"/>
                <w:highlight w:val="none"/>
              </w:rPr>
              <w:t>、起降方式：全自主垂直起降；</w:t>
            </w:r>
          </w:p>
          <w:p w14:paraId="3D23E509">
            <w:pPr>
              <w:rPr>
                <w:rFonts w:ascii="宋体" w:hAnsi="宋体"/>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w:t>
            </w:r>
            <w:r>
              <w:rPr>
                <w:rFonts w:ascii="宋体" w:hAnsi="宋体"/>
                <w:highlight w:val="none"/>
              </w:rPr>
              <w:t>★</w:t>
            </w:r>
            <w:r>
              <w:rPr>
                <w:rFonts w:hint="eastAsia" w:ascii="宋体" w:hAnsi="宋体"/>
                <w:highlight w:val="none"/>
              </w:rPr>
              <w:t>无人机在固定翼模式飞行时，</w:t>
            </w:r>
            <w:r>
              <w:rPr>
                <w:rFonts w:ascii="宋体" w:hAnsi="宋体"/>
                <w:highlight w:val="none"/>
              </w:rPr>
              <w:t>悬停电机</w:t>
            </w:r>
            <w:r>
              <w:rPr>
                <w:rFonts w:hint="eastAsia" w:ascii="宋体" w:hAnsi="宋体"/>
                <w:highlight w:val="none"/>
              </w:rPr>
              <w:t>将螺旋</w:t>
            </w:r>
            <w:r>
              <w:rPr>
                <w:rFonts w:ascii="宋体" w:hAnsi="宋体"/>
                <w:highlight w:val="none"/>
              </w:rPr>
              <w:t>桨</w:t>
            </w:r>
            <w:r>
              <w:rPr>
                <w:rFonts w:hint="eastAsia" w:ascii="宋体" w:hAnsi="宋体"/>
                <w:highlight w:val="none"/>
              </w:rPr>
              <w:t>锁定且与飞机飞行方向平行，以提高无人机的久航和远航能力</w:t>
            </w:r>
            <w:r>
              <w:rPr>
                <w:rFonts w:ascii="宋体" w:hAnsi="宋体"/>
                <w:highlight w:val="none"/>
              </w:rPr>
              <w:t>；</w:t>
            </w:r>
            <w:r>
              <w:rPr>
                <w:rFonts w:hint="eastAsia" w:ascii="宋体" w:hAnsi="宋体"/>
                <w:highlight w:val="none"/>
              </w:rPr>
              <w:t>须提供CNAS和CMA同时认证专业检测机构出具的检测报告作为证明材料；</w:t>
            </w:r>
          </w:p>
          <w:p w14:paraId="3C645933">
            <w:pPr>
              <w:rPr>
                <w:rFonts w:ascii="宋体" w:hAnsi="宋体"/>
                <w:highlight w:val="none"/>
              </w:rPr>
            </w:pPr>
            <w:r>
              <w:rPr>
                <w:rFonts w:hint="eastAsia" w:ascii="宋体" w:hAnsi="宋体"/>
                <w:highlight w:val="none"/>
              </w:rPr>
              <w:t>（</w:t>
            </w:r>
            <w:r>
              <w:rPr>
                <w:rFonts w:hint="eastAsia" w:ascii="宋体" w:hAnsi="宋体"/>
                <w:highlight w:val="none"/>
                <w:lang w:val="en-US" w:eastAsia="zh-CN"/>
              </w:rPr>
              <w:t>4</w:t>
            </w:r>
            <w:r>
              <w:rPr>
                <w:rFonts w:hint="eastAsia" w:ascii="宋体" w:hAnsi="宋体"/>
                <w:highlight w:val="none"/>
              </w:rPr>
              <w:t>）无人机空载续航时间≥1</w:t>
            </w:r>
            <w:r>
              <w:rPr>
                <w:rFonts w:ascii="宋体" w:hAnsi="宋体"/>
                <w:highlight w:val="none"/>
              </w:rPr>
              <w:t>80min</w:t>
            </w:r>
            <w:r>
              <w:rPr>
                <w:rFonts w:hint="eastAsia" w:ascii="宋体" w:hAnsi="宋体"/>
                <w:highlight w:val="none"/>
              </w:rPr>
              <w:t>，</w:t>
            </w:r>
            <w:r>
              <w:rPr>
                <w:rFonts w:ascii="宋体" w:hAnsi="宋体"/>
                <w:highlight w:val="none"/>
              </w:rPr>
              <w:t>搭载光电吊舱设备时，续航时间</w:t>
            </w:r>
            <w:r>
              <w:rPr>
                <w:rFonts w:hint="eastAsia" w:ascii="宋体" w:hAnsi="宋体"/>
                <w:highlight w:val="none"/>
              </w:rPr>
              <w:t>≥</w:t>
            </w:r>
            <w:r>
              <w:rPr>
                <w:rFonts w:ascii="宋体" w:hAnsi="宋体"/>
                <w:highlight w:val="none"/>
              </w:rPr>
              <w:t xml:space="preserve">120min； </w:t>
            </w:r>
          </w:p>
          <w:p w14:paraId="5F46FBCA">
            <w:pPr>
              <w:rPr>
                <w:rFonts w:ascii="宋体" w:hAnsi="宋体"/>
                <w:highlight w:val="none"/>
              </w:rPr>
            </w:pPr>
            <w:r>
              <w:rPr>
                <w:rFonts w:hint="eastAsia" w:ascii="宋体" w:hAnsi="宋体"/>
                <w:highlight w:val="none"/>
              </w:rPr>
              <w:t>（</w:t>
            </w:r>
            <w:r>
              <w:rPr>
                <w:rFonts w:hint="eastAsia" w:ascii="宋体" w:hAnsi="宋体"/>
                <w:highlight w:val="none"/>
                <w:lang w:val="en-US" w:eastAsia="zh-CN"/>
              </w:rPr>
              <w:t>5</w:t>
            </w:r>
            <w:r>
              <w:rPr>
                <w:rFonts w:hint="eastAsia" w:ascii="宋体" w:hAnsi="宋体"/>
                <w:highlight w:val="none"/>
              </w:rPr>
              <w:t>）无人机</w:t>
            </w:r>
            <w:r>
              <w:rPr>
                <w:rFonts w:ascii="宋体" w:hAnsi="宋体"/>
                <w:highlight w:val="none"/>
              </w:rPr>
              <w:t>巡航速度</w:t>
            </w:r>
            <w:r>
              <w:rPr>
                <w:rFonts w:hint="eastAsia" w:ascii="宋体" w:hAnsi="宋体"/>
                <w:highlight w:val="none"/>
              </w:rPr>
              <w:t>≥</w:t>
            </w:r>
            <w:r>
              <w:rPr>
                <w:rFonts w:ascii="宋体" w:hAnsi="宋体"/>
                <w:highlight w:val="none"/>
              </w:rPr>
              <w:t>60km/h;</w:t>
            </w:r>
          </w:p>
          <w:p w14:paraId="157C8E65">
            <w:pPr>
              <w:rPr>
                <w:rFonts w:ascii="宋体" w:hAnsi="宋体"/>
                <w:highlight w:val="none"/>
              </w:rPr>
            </w:pPr>
            <w:r>
              <w:rPr>
                <w:rFonts w:hint="eastAsia" w:ascii="宋体" w:hAnsi="宋体"/>
                <w:highlight w:val="none"/>
              </w:rPr>
              <w:t>（</w:t>
            </w:r>
            <w:r>
              <w:rPr>
                <w:rFonts w:hint="eastAsia" w:ascii="宋体" w:hAnsi="宋体"/>
                <w:highlight w:val="none"/>
                <w:lang w:val="en-US" w:eastAsia="zh-CN"/>
              </w:rPr>
              <w:t>6</w:t>
            </w:r>
            <w:r>
              <w:rPr>
                <w:rFonts w:hint="eastAsia" w:ascii="宋体" w:hAnsi="宋体"/>
                <w:highlight w:val="none"/>
              </w:rPr>
              <w:t>）无人机</w:t>
            </w:r>
            <w:r>
              <w:rPr>
                <w:rFonts w:ascii="宋体" w:hAnsi="宋体"/>
                <w:highlight w:val="none"/>
              </w:rPr>
              <w:t>抗风能力</w:t>
            </w:r>
            <w:r>
              <w:rPr>
                <w:rFonts w:hint="eastAsia" w:ascii="宋体" w:hAnsi="宋体"/>
                <w:highlight w:val="none"/>
              </w:rPr>
              <w:t>≥</w:t>
            </w:r>
            <w:r>
              <w:rPr>
                <w:rFonts w:ascii="宋体" w:hAnsi="宋体"/>
                <w:highlight w:val="none"/>
              </w:rPr>
              <w:t xml:space="preserve">6级； </w:t>
            </w:r>
          </w:p>
          <w:p w14:paraId="71B13183">
            <w:pPr>
              <w:rPr>
                <w:rFonts w:ascii="宋体" w:hAnsi="宋体"/>
                <w:highlight w:val="none"/>
              </w:rPr>
            </w:pPr>
            <w:r>
              <w:rPr>
                <w:rFonts w:hint="eastAsia" w:ascii="宋体" w:hAnsi="宋体"/>
                <w:highlight w:val="none"/>
              </w:rPr>
              <w:t>（</w:t>
            </w:r>
            <w:r>
              <w:rPr>
                <w:rFonts w:hint="eastAsia" w:ascii="宋体" w:hAnsi="宋体"/>
                <w:highlight w:val="none"/>
                <w:lang w:val="en-US" w:eastAsia="zh-CN"/>
              </w:rPr>
              <w:t>7</w:t>
            </w:r>
            <w:r>
              <w:rPr>
                <w:rFonts w:hint="eastAsia" w:ascii="宋体" w:hAnsi="宋体"/>
                <w:highlight w:val="none"/>
              </w:rPr>
              <w:t>）</w:t>
            </w:r>
            <w:r>
              <w:rPr>
                <w:rFonts w:ascii="宋体" w:hAnsi="宋体"/>
                <w:highlight w:val="none"/>
              </w:rPr>
              <w:t>★</w:t>
            </w:r>
            <w:r>
              <w:rPr>
                <w:rFonts w:hint="eastAsia" w:ascii="宋体" w:hAnsi="宋体"/>
                <w:highlight w:val="none"/>
              </w:rPr>
              <w:t>无人机安装便捷可</w:t>
            </w:r>
            <w:r>
              <w:rPr>
                <w:rFonts w:ascii="宋体" w:hAnsi="宋体"/>
                <w:highlight w:val="none"/>
              </w:rPr>
              <w:t>快速展开</w:t>
            </w:r>
            <w:r>
              <w:rPr>
                <w:rFonts w:hint="eastAsia" w:ascii="宋体" w:hAnsi="宋体"/>
                <w:highlight w:val="none"/>
              </w:rPr>
              <w:t>，</w:t>
            </w:r>
            <w:r>
              <w:rPr>
                <w:rFonts w:ascii="宋体" w:hAnsi="宋体"/>
                <w:highlight w:val="none"/>
              </w:rPr>
              <w:t>悬停机臂</w:t>
            </w:r>
            <w:r>
              <w:rPr>
                <w:rFonts w:hint="eastAsia" w:ascii="宋体" w:hAnsi="宋体"/>
                <w:highlight w:val="none"/>
              </w:rPr>
              <w:t>采用</w:t>
            </w:r>
            <w:r>
              <w:rPr>
                <w:rFonts w:ascii="宋体" w:hAnsi="宋体"/>
                <w:highlight w:val="none"/>
              </w:rPr>
              <w:t>折叠设计</w:t>
            </w:r>
            <w:r>
              <w:rPr>
                <w:rFonts w:hint="eastAsia" w:ascii="宋体" w:hAnsi="宋体"/>
                <w:highlight w:val="none"/>
              </w:rPr>
              <w:t>，全机身支采用模块化设计，可</w:t>
            </w:r>
            <w:r>
              <w:rPr>
                <w:rFonts w:ascii="宋体" w:hAnsi="宋体"/>
                <w:highlight w:val="none"/>
              </w:rPr>
              <w:t>在</w:t>
            </w:r>
            <w:r>
              <w:rPr>
                <w:rFonts w:hint="eastAsia" w:ascii="宋体" w:hAnsi="宋体"/>
                <w:highlight w:val="none"/>
              </w:rPr>
              <w:t>3</w:t>
            </w:r>
            <w:r>
              <w:rPr>
                <w:rFonts w:ascii="宋体" w:hAnsi="宋体"/>
                <w:highlight w:val="none"/>
              </w:rPr>
              <w:t>min内完成</w:t>
            </w:r>
            <w:r>
              <w:rPr>
                <w:rFonts w:hint="eastAsia" w:ascii="宋体" w:hAnsi="宋体"/>
                <w:highlight w:val="none"/>
              </w:rPr>
              <w:t>无人机</w:t>
            </w:r>
            <w:r>
              <w:rPr>
                <w:rFonts w:ascii="宋体" w:hAnsi="宋体"/>
                <w:highlight w:val="none"/>
              </w:rPr>
              <w:t>快速拆装</w:t>
            </w:r>
            <w:r>
              <w:rPr>
                <w:rFonts w:hint="eastAsia" w:ascii="宋体" w:hAnsi="宋体"/>
                <w:highlight w:val="none"/>
              </w:rPr>
              <w:t>工作</w:t>
            </w:r>
            <w:r>
              <w:rPr>
                <w:rFonts w:ascii="宋体" w:hAnsi="宋体"/>
                <w:highlight w:val="none"/>
              </w:rPr>
              <w:t>；</w:t>
            </w:r>
            <w:r>
              <w:rPr>
                <w:rFonts w:hint="eastAsia" w:ascii="宋体" w:hAnsi="宋体"/>
                <w:highlight w:val="none"/>
              </w:rPr>
              <w:t>须提供CNAS和CMA同时认证专业检测机构出具的检测报告作为证明材料；</w:t>
            </w:r>
          </w:p>
          <w:p w14:paraId="068894A4">
            <w:pPr>
              <w:rPr>
                <w:rFonts w:ascii="宋体" w:hAnsi="宋体"/>
                <w:highlight w:val="none"/>
              </w:rPr>
            </w:pPr>
            <w:r>
              <w:rPr>
                <w:rFonts w:hint="eastAsia" w:ascii="宋体" w:hAnsi="宋体"/>
                <w:highlight w:val="none"/>
              </w:rPr>
              <w:t>（</w:t>
            </w:r>
            <w:r>
              <w:rPr>
                <w:rFonts w:hint="eastAsia" w:ascii="宋体" w:hAnsi="宋体"/>
                <w:highlight w:val="none"/>
                <w:lang w:val="en-US" w:eastAsia="zh-CN"/>
              </w:rPr>
              <w:t>8</w:t>
            </w:r>
            <w:r>
              <w:rPr>
                <w:rFonts w:hint="eastAsia" w:ascii="宋体" w:hAnsi="宋体"/>
                <w:highlight w:val="none"/>
              </w:rPr>
              <w:t>）</w:t>
            </w:r>
            <w:r>
              <w:rPr>
                <w:rFonts w:ascii="宋体" w:hAnsi="宋体"/>
                <w:highlight w:val="none"/>
              </w:rPr>
              <w:t>★</w:t>
            </w:r>
            <w:r>
              <w:rPr>
                <w:rFonts w:hint="eastAsia" w:ascii="宋体" w:hAnsi="宋体"/>
                <w:highlight w:val="none"/>
              </w:rPr>
              <w:t>无人机</w:t>
            </w:r>
            <w:r>
              <w:rPr>
                <w:rFonts w:ascii="宋体" w:hAnsi="宋体"/>
                <w:highlight w:val="none"/>
              </w:rPr>
              <w:t>具有起落架收放功能或者无起落架飞机需具有光电吊舱收放功能，避免起落架遮挡吊舱画面；</w:t>
            </w:r>
            <w:r>
              <w:rPr>
                <w:rFonts w:hint="eastAsia" w:ascii="宋体" w:hAnsi="宋体"/>
                <w:highlight w:val="none"/>
              </w:rPr>
              <w:t>须提供CNAS和CMA同时认证专业检测机构出具的检测报告作为证明材料；</w:t>
            </w:r>
          </w:p>
          <w:p w14:paraId="2726AB7E">
            <w:pPr>
              <w:rPr>
                <w:rFonts w:ascii="宋体" w:hAnsi="宋体"/>
                <w:highlight w:val="none"/>
              </w:rPr>
            </w:pPr>
            <w:r>
              <w:rPr>
                <w:rFonts w:hint="eastAsia" w:ascii="宋体" w:hAnsi="宋体"/>
                <w:highlight w:val="none"/>
              </w:rPr>
              <w:t>（</w:t>
            </w:r>
            <w:r>
              <w:rPr>
                <w:rFonts w:hint="eastAsia" w:ascii="宋体" w:hAnsi="宋体"/>
                <w:highlight w:val="none"/>
                <w:lang w:val="en-US" w:eastAsia="zh-CN"/>
              </w:rPr>
              <w:t>9</w:t>
            </w:r>
            <w:r>
              <w:rPr>
                <w:rFonts w:hint="eastAsia" w:ascii="宋体" w:hAnsi="宋体"/>
                <w:highlight w:val="none"/>
              </w:rPr>
              <w:t>）</w:t>
            </w:r>
            <w:r>
              <w:rPr>
                <w:rFonts w:ascii="宋体" w:hAnsi="宋体"/>
                <w:highlight w:val="none"/>
              </w:rPr>
              <w:t>★</w:t>
            </w:r>
            <w:r>
              <w:rPr>
                <w:rFonts w:hint="eastAsia" w:ascii="宋体" w:hAnsi="宋体"/>
                <w:highlight w:val="none"/>
              </w:rPr>
              <w:t>无人机空速管具有低温自动加热排水功能，防止高海拔、低温、高湿等复杂环境下空速管结冰，</w:t>
            </w:r>
            <w:r>
              <w:rPr>
                <w:rFonts w:ascii="宋体" w:hAnsi="宋体"/>
                <w:highlight w:val="none"/>
              </w:rPr>
              <w:t>提高复杂环境可靠性；</w:t>
            </w:r>
            <w:r>
              <w:rPr>
                <w:rFonts w:hint="eastAsia" w:ascii="宋体" w:hAnsi="宋体"/>
                <w:highlight w:val="none"/>
              </w:rPr>
              <w:t>须提供CNAS和CMA同时认证专业检测机构出具的检测报告作为证明材料；</w:t>
            </w:r>
          </w:p>
          <w:p w14:paraId="3D4BCFDA">
            <w:pPr>
              <w:rPr>
                <w:rFonts w:ascii="宋体" w:hAnsi="宋体"/>
                <w:highlight w:val="none"/>
              </w:rPr>
            </w:pPr>
            <w:r>
              <w:rPr>
                <w:rFonts w:hint="eastAsia" w:ascii="宋体" w:hAnsi="宋体"/>
                <w:highlight w:val="none"/>
              </w:rPr>
              <w:t>（</w:t>
            </w:r>
            <w:r>
              <w:rPr>
                <w:rFonts w:hint="eastAsia" w:ascii="宋体" w:hAnsi="宋体"/>
                <w:highlight w:val="none"/>
                <w:lang w:val="en-US" w:eastAsia="zh-CN"/>
              </w:rPr>
              <w:t>10</w:t>
            </w:r>
            <w:r>
              <w:rPr>
                <w:rFonts w:hint="eastAsia" w:ascii="宋体" w:hAnsi="宋体"/>
                <w:highlight w:val="none"/>
              </w:rPr>
              <w:t>）无人机</w:t>
            </w:r>
            <w:r>
              <w:rPr>
                <w:rFonts w:ascii="宋体" w:hAnsi="宋体"/>
                <w:highlight w:val="none"/>
              </w:rPr>
              <w:t>配备智能电池，</w:t>
            </w:r>
            <w:r>
              <w:rPr>
                <w:rFonts w:hint="eastAsia" w:ascii="宋体" w:hAnsi="宋体"/>
                <w:highlight w:val="none"/>
              </w:rPr>
              <w:t>支持电池电量显示和电池管理</w:t>
            </w:r>
            <w:r>
              <w:rPr>
                <w:rFonts w:ascii="宋体" w:hAnsi="宋体"/>
                <w:highlight w:val="none"/>
              </w:rPr>
              <w:t>功能</w:t>
            </w:r>
            <w:r>
              <w:rPr>
                <w:rFonts w:hint="eastAsia" w:ascii="宋体" w:hAnsi="宋体"/>
                <w:highlight w:val="none"/>
              </w:rPr>
              <w:t>；</w:t>
            </w:r>
          </w:p>
          <w:p w14:paraId="3AD71BD1">
            <w:pPr>
              <w:rPr>
                <w:rFonts w:ascii="宋体" w:hAnsi="宋体"/>
                <w:highlight w:val="none"/>
              </w:rPr>
            </w:pPr>
            <w:r>
              <w:rPr>
                <w:rFonts w:hint="eastAsia" w:ascii="宋体" w:hAnsi="宋体"/>
                <w:highlight w:val="none"/>
              </w:rPr>
              <w:t>（</w:t>
            </w:r>
            <w:r>
              <w:rPr>
                <w:rFonts w:hint="eastAsia" w:ascii="宋体" w:hAnsi="宋体"/>
                <w:highlight w:val="none"/>
                <w:lang w:val="en-US" w:eastAsia="zh-CN"/>
              </w:rPr>
              <w:t>11</w:t>
            </w:r>
            <w:r>
              <w:rPr>
                <w:rFonts w:hint="eastAsia" w:ascii="宋体" w:hAnsi="宋体"/>
                <w:highlight w:val="none"/>
              </w:rPr>
              <w:t>）</w:t>
            </w:r>
            <w:r>
              <w:rPr>
                <w:rFonts w:ascii="宋体" w:hAnsi="宋体"/>
                <w:highlight w:val="none"/>
              </w:rPr>
              <w:t>提高夜间作业可见性</w:t>
            </w:r>
            <w:r>
              <w:rPr>
                <w:rFonts w:hint="eastAsia" w:ascii="宋体" w:hAnsi="宋体"/>
                <w:highlight w:val="none"/>
              </w:rPr>
              <w:t>，无人机在其两翼尖上装有高亮航行灯，左翼尖为红色灯和右翼尖为绿色灯；</w:t>
            </w:r>
          </w:p>
          <w:p w14:paraId="7808DA05">
            <w:pPr>
              <w:rPr>
                <w:rFonts w:hint="eastAsia" w:ascii="新宋体" w:hAnsi="新宋体" w:eastAsia="新宋体" w:cs="新宋体"/>
                <w:kern w:val="0"/>
                <w:szCs w:val="21"/>
                <w:highlight w:val="none"/>
              </w:rPr>
            </w:pPr>
            <w:r>
              <w:rPr>
                <w:rFonts w:hint="eastAsia" w:ascii="宋体" w:hAnsi="宋体"/>
                <w:highlight w:val="none"/>
              </w:rPr>
              <w:t>（1</w:t>
            </w:r>
            <w:r>
              <w:rPr>
                <w:rFonts w:hint="eastAsia" w:ascii="宋体" w:hAnsi="宋体"/>
                <w:highlight w:val="none"/>
                <w:lang w:val="en-US" w:eastAsia="zh-CN"/>
              </w:rPr>
              <w:t>2</w:t>
            </w:r>
            <w:r>
              <w:rPr>
                <w:rFonts w:hint="eastAsia" w:ascii="宋体" w:hAnsi="宋体"/>
                <w:highlight w:val="none"/>
              </w:rPr>
              <w:t>）</w:t>
            </w:r>
            <w:r>
              <w:rPr>
                <w:rFonts w:ascii="宋体" w:hAnsi="宋体"/>
                <w:highlight w:val="none"/>
              </w:rPr>
              <w:t>★</w:t>
            </w:r>
            <w:r>
              <w:rPr>
                <w:rFonts w:hint="eastAsia" w:ascii="宋体" w:hAnsi="宋体"/>
                <w:highlight w:val="none"/>
              </w:rPr>
              <w:t>无人机具备搭载多种任务载荷（雷达、相机、吊舱）的能力，可满足多种任务场景的需求；须提供CNAS和CMA同时认证专业检测机构出具的检测报告作为证明材料；</w:t>
            </w:r>
          </w:p>
          <w:p w14:paraId="1A2ACDE3">
            <w:pP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2</w:t>
            </w:r>
            <w:r>
              <w:rPr>
                <w:rFonts w:hint="eastAsia" w:ascii="新宋体" w:hAnsi="新宋体" w:eastAsia="新宋体" w:cs="新宋体"/>
                <w:b/>
                <w:bCs/>
                <w:kern w:val="0"/>
                <w:szCs w:val="21"/>
                <w:highlight w:val="none"/>
              </w:rPr>
              <w:t>.导航与飞控系统技术要求</w:t>
            </w:r>
          </w:p>
          <w:p w14:paraId="3FFDFADD">
            <w:pPr>
              <w:rPr>
                <w:rFonts w:ascii="宋体" w:hAnsi="宋体"/>
                <w:highlight w:val="none"/>
              </w:rPr>
            </w:pPr>
            <w:r>
              <w:rPr>
                <w:rFonts w:hint="eastAsia" w:ascii="宋体" w:hAnsi="宋体"/>
                <w:highlight w:val="none"/>
              </w:rPr>
              <w:t>（1）★为</w:t>
            </w:r>
            <w:r>
              <w:rPr>
                <w:rFonts w:ascii="宋体" w:hAnsi="宋体"/>
                <w:highlight w:val="none"/>
              </w:rPr>
              <w:t>保障具有较高匹配度</w:t>
            </w:r>
            <w:r>
              <w:rPr>
                <w:rFonts w:hint="eastAsia" w:ascii="宋体" w:hAnsi="宋体"/>
                <w:highlight w:val="none"/>
              </w:rPr>
              <w:t>，</w:t>
            </w:r>
            <w:r>
              <w:rPr>
                <w:rFonts w:ascii="宋体" w:hAnsi="宋体"/>
                <w:highlight w:val="none"/>
              </w:rPr>
              <w:t>飞控与导航系统和</w:t>
            </w:r>
            <w:r>
              <w:rPr>
                <w:rFonts w:hint="eastAsia" w:ascii="宋体" w:hAnsi="宋体"/>
                <w:highlight w:val="none"/>
              </w:rPr>
              <w:t>无人机</w:t>
            </w:r>
            <w:r>
              <w:rPr>
                <w:rFonts w:ascii="宋体" w:hAnsi="宋体"/>
                <w:highlight w:val="none"/>
              </w:rPr>
              <w:t>为同一厂家产品，且具有自主知识产权，保证能够根据需求进行合法编写定制化需求；</w:t>
            </w:r>
            <w:r>
              <w:rPr>
                <w:rFonts w:hint="eastAsia" w:ascii="宋体" w:hAnsi="宋体"/>
                <w:highlight w:val="none"/>
              </w:rPr>
              <w:t>须提供专利证书或软件著作权登记证书作为证明材料；</w:t>
            </w:r>
          </w:p>
          <w:p w14:paraId="114867B0">
            <w:pPr>
              <w:rPr>
                <w:rFonts w:ascii="宋体" w:hAnsi="宋体"/>
                <w:highlight w:val="none"/>
              </w:rPr>
            </w:pPr>
            <w:r>
              <w:rPr>
                <w:rFonts w:hint="eastAsia" w:ascii="宋体" w:hAnsi="宋体"/>
                <w:highlight w:val="none"/>
              </w:rPr>
              <w:t>（2）★无人机具有前视和下视避障两路毫米波雷达避障功能，为更好地保障降落安全，同时具备下视视觉避障功能；须提供CNAS和CMA同时认证专业检测机构出具的检测报告作为证明材料；</w:t>
            </w:r>
          </w:p>
          <w:p w14:paraId="530524DD">
            <w:pPr>
              <w:rPr>
                <w:rFonts w:ascii="宋体" w:hAnsi="宋体"/>
                <w:highlight w:val="none"/>
              </w:rPr>
            </w:pPr>
            <w:r>
              <w:rPr>
                <w:rFonts w:hint="eastAsia" w:ascii="宋体" w:hAnsi="宋体"/>
                <w:highlight w:val="none"/>
              </w:rPr>
              <w:t>（3）</w:t>
            </w:r>
            <w:r>
              <w:rPr>
                <w:rFonts w:ascii="宋体" w:hAnsi="宋体"/>
                <w:highlight w:val="none"/>
              </w:rPr>
              <w:t>★</w:t>
            </w:r>
            <w:r>
              <w:rPr>
                <w:rFonts w:hint="eastAsia"/>
                <w:highlight w:val="none"/>
              </w:rPr>
              <w:t>无人机系统</w:t>
            </w:r>
            <w:r>
              <w:rPr>
                <w:highlight w:val="none"/>
              </w:rPr>
              <w:t>支持执行机构的自动化检查功能，无需人为参与反馈，系统可通过执行机构的反馈信息，自动完成执行机构（舵面、电机）的作动检查</w:t>
            </w:r>
            <w:r>
              <w:rPr>
                <w:rFonts w:hint="eastAsia" w:ascii="宋体" w:hAnsi="宋体"/>
                <w:highlight w:val="none"/>
              </w:rPr>
              <w:t>；须提供CNAS和CMA同时认证专业检测机构出具的检测报告作为证明材料</w:t>
            </w:r>
          </w:p>
          <w:p w14:paraId="1A36B9BD">
            <w:pPr>
              <w:rPr>
                <w:rFonts w:ascii="宋体" w:hAnsi="宋体"/>
                <w:highlight w:val="none"/>
              </w:rPr>
            </w:pPr>
            <w:r>
              <w:rPr>
                <w:rFonts w:hint="eastAsia" w:ascii="宋体" w:hAnsi="宋体"/>
                <w:highlight w:val="none"/>
              </w:rPr>
              <w:t>（4）为提高无人机安全可靠性，无人机</w:t>
            </w:r>
            <w:r>
              <w:rPr>
                <w:rFonts w:ascii="宋体" w:hAnsi="宋体"/>
                <w:highlight w:val="none"/>
              </w:rPr>
              <w:t>具</w:t>
            </w:r>
            <w:r>
              <w:rPr>
                <w:rFonts w:hint="eastAsia" w:ascii="宋体" w:hAnsi="宋体"/>
                <w:highlight w:val="none"/>
              </w:rPr>
              <w:t>备</w:t>
            </w:r>
            <w:r>
              <w:rPr>
                <w:rFonts w:ascii="宋体" w:hAnsi="宋体"/>
                <w:highlight w:val="none"/>
              </w:rPr>
              <w:t>三IMU传感器冗余备份</w:t>
            </w:r>
            <w:r>
              <w:rPr>
                <w:rFonts w:hint="eastAsia" w:ascii="宋体" w:hAnsi="宋体"/>
                <w:highlight w:val="none"/>
              </w:rPr>
              <w:t>、</w:t>
            </w:r>
            <w:r>
              <w:rPr>
                <w:rFonts w:ascii="宋体" w:hAnsi="宋体"/>
                <w:highlight w:val="none"/>
              </w:rPr>
              <w:t>机载双差分GPS和磁罗盘双冗余测量航向功能；</w:t>
            </w:r>
          </w:p>
          <w:p w14:paraId="0791BF2C">
            <w:pPr>
              <w:rPr>
                <w:rFonts w:ascii="宋体" w:hAnsi="宋体"/>
                <w:highlight w:val="none"/>
              </w:rPr>
            </w:pPr>
            <w:r>
              <w:rPr>
                <w:rFonts w:hint="eastAsia" w:ascii="宋体" w:hAnsi="宋体"/>
                <w:highlight w:val="none"/>
              </w:rPr>
              <w:t>（5）</w:t>
            </w:r>
            <w:r>
              <w:rPr>
                <w:rFonts w:ascii="宋体" w:hAnsi="宋体"/>
                <w:highlight w:val="none"/>
              </w:rPr>
              <w:t>★无人机具</w:t>
            </w:r>
            <w:r>
              <w:rPr>
                <w:rFonts w:hint="eastAsia" w:ascii="宋体" w:hAnsi="宋体"/>
                <w:highlight w:val="none"/>
              </w:rPr>
              <w:t>备</w:t>
            </w:r>
            <w:r>
              <w:rPr>
                <w:rFonts w:ascii="宋体" w:hAnsi="宋体"/>
                <w:highlight w:val="none"/>
              </w:rPr>
              <w:t>主GPS和备份GPS，主GPS失效后可以立即切换至备份 GPS 工作；</w:t>
            </w:r>
            <w:r>
              <w:rPr>
                <w:rFonts w:hint="eastAsia" w:ascii="宋体" w:hAnsi="宋体"/>
                <w:highlight w:val="none"/>
              </w:rPr>
              <w:t>须提供CNAS和CMA同时认证专业检测机构出具的检测报告作为证明材料；</w:t>
            </w:r>
          </w:p>
          <w:p w14:paraId="78215977">
            <w:pPr>
              <w:rPr>
                <w:rFonts w:ascii="宋体" w:hAnsi="宋体"/>
                <w:highlight w:val="none"/>
              </w:rPr>
            </w:pPr>
            <w:r>
              <w:rPr>
                <w:rFonts w:hint="eastAsia" w:ascii="宋体" w:hAnsi="宋体"/>
                <w:highlight w:val="none"/>
              </w:rPr>
              <w:t>（6）</w:t>
            </w:r>
            <w:r>
              <w:rPr>
                <w:rFonts w:ascii="宋体" w:hAnsi="宋体"/>
                <w:highlight w:val="none"/>
              </w:rPr>
              <w:t>差分GNSS系统支持GPS、GLONASS、BDS三星六频信号；</w:t>
            </w:r>
          </w:p>
          <w:p w14:paraId="21E3D928">
            <w:pPr>
              <w:rPr>
                <w:rFonts w:hint="eastAsia" w:ascii="新宋体" w:hAnsi="新宋体" w:eastAsia="新宋体" w:cs="新宋体"/>
                <w:kern w:val="0"/>
                <w:szCs w:val="21"/>
                <w:highlight w:val="none"/>
              </w:rPr>
            </w:pPr>
            <w:r>
              <w:rPr>
                <w:rFonts w:hint="eastAsia" w:ascii="宋体" w:hAnsi="宋体"/>
                <w:highlight w:val="none"/>
              </w:rPr>
              <w:t>（7）无人机具有低电量自动返航、姿态异常返航、链路中断超时自动返航、GPS丢失自动悬停的应急功能</w:t>
            </w:r>
            <w:r>
              <w:rPr>
                <w:rFonts w:ascii="宋体" w:hAnsi="宋体"/>
                <w:highlight w:val="none"/>
              </w:rPr>
              <w:t>。</w:t>
            </w:r>
          </w:p>
          <w:p w14:paraId="3B7404E0">
            <w:pPr>
              <w:rPr>
                <w:rFonts w:hint="eastAsia" w:ascii="新宋体" w:hAnsi="新宋体" w:eastAsia="新宋体" w:cs="新宋体"/>
                <w:b/>
                <w:bCs/>
                <w:kern w:val="0"/>
                <w:szCs w:val="21"/>
                <w:highlight w:val="none"/>
              </w:rPr>
            </w:pPr>
            <w:r>
              <w:rPr>
                <w:rFonts w:hint="eastAsia" w:ascii="新宋体" w:hAnsi="新宋体" w:eastAsia="新宋体" w:cs="新宋体"/>
                <w:b/>
                <w:bCs/>
                <w:kern w:val="0"/>
                <w:szCs w:val="21"/>
                <w:highlight w:val="none"/>
              </w:rPr>
              <w:t>3.地面站软件技术要求</w:t>
            </w:r>
          </w:p>
          <w:p w14:paraId="06AC2675">
            <w:pPr>
              <w:rPr>
                <w:rFonts w:hint="eastAsia"/>
                <w:highlight w:val="none"/>
              </w:rPr>
            </w:pPr>
            <w:r>
              <w:rPr>
                <w:rFonts w:hint="eastAsia"/>
                <w:highlight w:val="none"/>
              </w:rPr>
              <w:t>（1）</w:t>
            </w:r>
            <w:r>
              <w:rPr>
                <w:rFonts w:hint="eastAsia" w:ascii="宋体" w:hAnsi="宋体"/>
                <w:highlight w:val="none"/>
              </w:rPr>
              <w:t>★</w:t>
            </w:r>
            <w:r>
              <w:rPr>
                <w:rFonts w:hint="eastAsia"/>
                <w:highlight w:val="none"/>
              </w:rPr>
              <w:t>为</w:t>
            </w:r>
            <w:r>
              <w:rPr>
                <w:highlight w:val="none"/>
              </w:rPr>
              <w:t>保障</w:t>
            </w:r>
            <w:r>
              <w:rPr>
                <w:rFonts w:hint="eastAsia"/>
                <w:highlight w:val="none"/>
              </w:rPr>
              <w:t>整体</w:t>
            </w:r>
            <w:r>
              <w:rPr>
                <w:highlight w:val="none"/>
              </w:rPr>
              <w:t>具有较高匹配度</w:t>
            </w:r>
            <w:r>
              <w:rPr>
                <w:rFonts w:hint="eastAsia"/>
                <w:highlight w:val="none"/>
              </w:rPr>
              <w:t>，地面站软件</w:t>
            </w:r>
            <w:r>
              <w:rPr>
                <w:highlight w:val="none"/>
              </w:rPr>
              <w:t>和</w:t>
            </w:r>
            <w:r>
              <w:rPr>
                <w:rFonts w:hint="eastAsia"/>
                <w:highlight w:val="none"/>
              </w:rPr>
              <w:t>无人机</w:t>
            </w:r>
            <w:r>
              <w:rPr>
                <w:highlight w:val="none"/>
              </w:rPr>
              <w:t>是同一厂家自主知识产权产品，且具有自主知识产权，保证能够根据需求进行合法编写定制化需求；</w:t>
            </w:r>
            <w:r>
              <w:rPr>
                <w:rFonts w:hint="eastAsia"/>
                <w:highlight w:val="none"/>
              </w:rPr>
              <w:t>须提供专利证书或软件著作权登记证书作为证明材料；</w:t>
            </w:r>
          </w:p>
          <w:p w14:paraId="4FCAD4FA">
            <w:pPr>
              <w:rPr>
                <w:rFonts w:hint="eastAsia"/>
                <w:highlight w:val="none"/>
              </w:rPr>
            </w:pPr>
            <w:r>
              <w:rPr>
                <w:rFonts w:hint="eastAsia"/>
                <w:highlight w:val="none"/>
              </w:rPr>
              <w:t>（2）无人机地面站软件</w:t>
            </w:r>
            <w:r>
              <w:rPr>
                <w:highlight w:val="none"/>
              </w:rPr>
              <w:t>具有</w:t>
            </w:r>
            <w:r>
              <w:rPr>
                <w:rFonts w:hint="eastAsia"/>
                <w:highlight w:val="none"/>
              </w:rPr>
              <w:t>AR视频叠加功能，具有AR叠加功能，可将巡检目标线路的矢量文件导入地面软件，在吊舱回传画面中实时显示目标线路；</w:t>
            </w:r>
          </w:p>
          <w:p w14:paraId="0A5FA6E0">
            <w:pPr>
              <w:rPr>
                <w:highlight w:val="none"/>
              </w:rPr>
            </w:pPr>
            <w:r>
              <w:rPr>
                <w:rFonts w:hint="eastAsia"/>
                <w:highlight w:val="none"/>
              </w:rPr>
              <w:t>（3）</w:t>
            </w:r>
            <w:r>
              <w:rPr>
                <w:highlight w:val="none"/>
              </w:rPr>
              <w:t>★</w:t>
            </w:r>
            <w:r>
              <w:rPr>
                <w:rFonts w:hint="eastAsia"/>
                <w:highlight w:val="none"/>
              </w:rPr>
              <w:t>无人机地面站软件</w:t>
            </w:r>
            <w:r>
              <w:rPr>
                <w:highlight w:val="none"/>
              </w:rPr>
              <w:t>具有固件在线更新功能，可通过云服务进行固件匹配及推送，完成在线下载、在线更新等功能；</w:t>
            </w:r>
            <w:r>
              <w:rPr>
                <w:rFonts w:hint="eastAsia"/>
                <w:highlight w:val="none"/>
              </w:rPr>
              <w:t>须提供CNAS和CMA同时认证专业检测机构出具的检测报告作为证明材料；</w:t>
            </w:r>
          </w:p>
          <w:p w14:paraId="79B2AF7C">
            <w:pPr>
              <w:rPr>
                <w:highlight w:val="none"/>
              </w:rPr>
            </w:pPr>
            <w:r>
              <w:rPr>
                <w:rFonts w:hint="eastAsia"/>
                <w:highlight w:val="none"/>
              </w:rPr>
              <w:t>（4）无人机地面站软件支持三维地图航线规划</w:t>
            </w:r>
            <w:r>
              <w:rPr>
                <w:highlight w:val="none"/>
              </w:rPr>
              <w:t xml:space="preserve">功能； </w:t>
            </w:r>
          </w:p>
          <w:p w14:paraId="561829FE">
            <w:pPr>
              <w:rPr>
                <w:highlight w:val="none"/>
              </w:rPr>
            </w:pPr>
            <w:r>
              <w:rPr>
                <w:rFonts w:hint="eastAsia"/>
                <w:highlight w:val="none"/>
              </w:rPr>
              <w:t>（5）</w:t>
            </w:r>
            <w:r>
              <w:rPr>
                <w:highlight w:val="none"/>
              </w:rPr>
              <w:t>★</w:t>
            </w:r>
            <w:r>
              <w:rPr>
                <w:rFonts w:hint="eastAsia"/>
                <w:highlight w:val="none"/>
              </w:rPr>
              <w:t>无人机地面站软件具有视频投影功能与实时视频快拼功能</w:t>
            </w:r>
            <w:r>
              <w:rPr>
                <w:highlight w:val="none"/>
              </w:rPr>
              <w:t>；</w:t>
            </w:r>
            <w:r>
              <w:rPr>
                <w:rFonts w:hint="eastAsia"/>
                <w:highlight w:val="none"/>
              </w:rPr>
              <w:t>须提供CNAS和CMA同时认证专业检测机构出具的检测报告作为证明材料；</w:t>
            </w:r>
          </w:p>
          <w:p w14:paraId="02ADECB2">
            <w:pPr>
              <w:rPr>
                <w:highlight w:val="none"/>
              </w:rPr>
            </w:pPr>
            <w:r>
              <w:rPr>
                <w:rFonts w:hint="eastAsia"/>
                <w:highlight w:val="none"/>
              </w:rPr>
              <w:t>（6）无人机地面站软件</w:t>
            </w:r>
            <w:r>
              <w:rPr>
                <w:highlight w:val="none"/>
              </w:rPr>
              <w:t>综合显示系统状态和任务状态，应包括：姿态、速度、高度、位置、航线状态、电池状态、链路状态、光电吊舱状态等信息；</w:t>
            </w:r>
          </w:p>
          <w:p w14:paraId="432BBA0F">
            <w:pPr>
              <w:rPr>
                <w:highlight w:val="none"/>
              </w:rPr>
            </w:pPr>
            <w:r>
              <w:rPr>
                <w:rFonts w:hint="eastAsia"/>
                <w:highlight w:val="none"/>
              </w:rPr>
              <w:t>（7）无人机地面站软件支持</w:t>
            </w:r>
            <w:r>
              <w:rPr>
                <w:highlight w:val="none"/>
              </w:rPr>
              <w:t>区域扫描、路径扫描、定点凝视等多种任务模式，自动规划飞行计划并执行，提高任务效率；</w:t>
            </w:r>
          </w:p>
          <w:p w14:paraId="3E57B516">
            <w:pPr>
              <w:rPr>
                <w:rFonts w:hint="eastAsia"/>
                <w:highlight w:val="none"/>
              </w:rPr>
            </w:pPr>
            <w:r>
              <w:rPr>
                <w:rFonts w:hint="eastAsia"/>
                <w:highlight w:val="none"/>
              </w:rPr>
              <w:t>（8）无人机地面站软件支持</w:t>
            </w:r>
            <w:r>
              <w:rPr>
                <w:highlight w:val="none"/>
              </w:rPr>
              <w:t>航线预览功能，可直观显示航线高度和地形高度差，避免撞山事故；</w:t>
            </w:r>
          </w:p>
        </w:tc>
        <w:tc>
          <w:tcPr>
            <w:tcW w:w="635" w:type="dxa"/>
            <w:vAlign w:val="center"/>
          </w:tcPr>
          <w:p w14:paraId="51D6BD3D">
            <w:pPr>
              <w:jc w:val="center"/>
              <w:textAlignment w:val="cente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1</w:t>
            </w:r>
          </w:p>
        </w:tc>
        <w:tc>
          <w:tcPr>
            <w:tcW w:w="827" w:type="dxa"/>
            <w:vAlign w:val="center"/>
          </w:tcPr>
          <w:p w14:paraId="67A9246C">
            <w:pPr>
              <w:jc w:val="center"/>
              <w:textAlignment w:val="cente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架</w:t>
            </w:r>
          </w:p>
        </w:tc>
      </w:tr>
      <w:tr w14:paraId="09C8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1" w:hRule="atLeast"/>
        </w:trPr>
        <w:tc>
          <w:tcPr>
            <w:tcW w:w="628" w:type="dxa"/>
            <w:vAlign w:val="center"/>
          </w:tcPr>
          <w:p w14:paraId="254A4978">
            <w:pPr>
              <w:jc w:val="center"/>
              <w:textAlignment w:val="cente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2</w:t>
            </w:r>
          </w:p>
        </w:tc>
        <w:tc>
          <w:tcPr>
            <w:tcW w:w="1695" w:type="dxa"/>
            <w:vAlign w:val="center"/>
          </w:tcPr>
          <w:p w14:paraId="1AA5D30D">
            <w:pPr>
              <w:textAlignment w:val="cente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视频监控设备：光电吊舱及高清图传</w:t>
            </w:r>
          </w:p>
        </w:tc>
        <w:tc>
          <w:tcPr>
            <w:tcW w:w="4572" w:type="dxa"/>
            <w:vAlign w:val="center"/>
          </w:tcPr>
          <w:p w14:paraId="3E2194BC">
            <w:pP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（1）光电吊舱类型采用三轴机械增稳双光吊舱（可见光+红外）；</w:t>
            </w:r>
          </w:p>
          <w:p w14:paraId="009C5816">
            <w:pP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 xml:space="preserve">（2）可见光传感器分辨率≥1920（H）×1080（V） </w:t>
            </w:r>
          </w:p>
          <w:p w14:paraId="21F9A414">
            <w:pP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（3）可见光光学变焦≥30倍；</w:t>
            </w:r>
          </w:p>
          <w:p w14:paraId="7BBE4D72">
            <w:pP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（4）红外传感器类型采用氧化钒非制冷焦平面，分辨率≥640×512；</w:t>
            </w:r>
          </w:p>
          <w:p w14:paraId="46738743">
            <w:pP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（5）光电吊舱具备跟踪辅助功能，目标短时被遮挡可重新识别并跟踪；</w:t>
            </w:r>
          </w:p>
          <w:p w14:paraId="385E9B95">
            <w:pP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（6）光电吊舱具备机载AI识别处理功能，可实时识别特征目标；</w:t>
            </w:r>
          </w:p>
          <w:p w14:paraId="58F72FF1">
            <w:pP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（7）无线电设备满足工信部关于无人机要求的合法频段；</w:t>
            </w:r>
          </w:p>
          <w:p w14:paraId="13EB4C24">
            <w:pP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（8）传输视频分辨率≥1080P@30fps；</w:t>
            </w:r>
          </w:p>
        </w:tc>
        <w:tc>
          <w:tcPr>
            <w:tcW w:w="635" w:type="dxa"/>
            <w:vAlign w:val="center"/>
          </w:tcPr>
          <w:p w14:paraId="5F55D5C5">
            <w:pPr>
              <w:jc w:val="center"/>
              <w:textAlignment w:val="cente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1</w:t>
            </w:r>
          </w:p>
        </w:tc>
        <w:tc>
          <w:tcPr>
            <w:tcW w:w="827" w:type="dxa"/>
            <w:vAlign w:val="center"/>
          </w:tcPr>
          <w:p w14:paraId="622DC371">
            <w:pPr>
              <w:jc w:val="center"/>
              <w:textAlignment w:val="cente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台</w:t>
            </w:r>
          </w:p>
        </w:tc>
      </w:tr>
      <w:tr w14:paraId="31D8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28" w:type="dxa"/>
            <w:vAlign w:val="center"/>
          </w:tcPr>
          <w:p w14:paraId="2D23FB33">
            <w:pPr>
              <w:jc w:val="center"/>
              <w:textAlignment w:val="cente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3</w:t>
            </w:r>
          </w:p>
        </w:tc>
        <w:tc>
          <w:tcPr>
            <w:tcW w:w="1695" w:type="dxa"/>
            <w:vAlign w:val="center"/>
          </w:tcPr>
          <w:p w14:paraId="6FBA1701">
            <w:pPr>
              <w:textAlignment w:val="cente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地面操控与指挥系统</w:t>
            </w:r>
          </w:p>
        </w:tc>
        <w:tc>
          <w:tcPr>
            <w:tcW w:w="4572" w:type="dxa"/>
            <w:vAlign w:val="center"/>
          </w:tcPr>
          <w:p w14:paraId="57CAA3D1">
            <w:pP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lang w:eastAsia="zh-CN"/>
              </w:rPr>
              <w:t>（</w:t>
            </w:r>
            <w:r>
              <w:rPr>
                <w:rFonts w:hint="eastAsia" w:ascii="新宋体" w:hAnsi="新宋体" w:eastAsia="新宋体" w:cs="新宋体"/>
                <w:kern w:val="0"/>
                <w:szCs w:val="21"/>
                <w:highlight w:val="none"/>
                <w:lang w:val="en-US" w:eastAsia="zh-CN"/>
              </w:rPr>
              <w:t>1</w:t>
            </w:r>
            <w:r>
              <w:rPr>
                <w:rFonts w:hint="eastAsia" w:ascii="新宋体" w:hAnsi="新宋体" w:eastAsia="新宋体" w:cs="新宋体"/>
                <w:kern w:val="0"/>
                <w:szCs w:val="21"/>
                <w:highlight w:val="none"/>
                <w:lang w:eastAsia="zh-CN"/>
              </w:rPr>
              <w:t>）</w:t>
            </w:r>
            <w:r>
              <w:rPr>
                <w:rFonts w:hint="eastAsia" w:ascii="新宋体" w:hAnsi="新宋体" w:eastAsia="新宋体" w:cs="新宋体"/>
                <w:kern w:val="0"/>
                <w:szCs w:val="21"/>
                <w:highlight w:val="none"/>
              </w:rPr>
              <w:t>图数传设备，图数传天线；</w:t>
            </w:r>
          </w:p>
          <w:p w14:paraId="1C6E3767">
            <w:pP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lang w:eastAsia="zh-CN"/>
              </w:rPr>
              <w:t>（</w:t>
            </w:r>
            <w:r>
              <w:rPr>
                <w:rFonts w:hint="eastAsia" w:ascii="新宋体" w:hAnsi="新宋体" w:eastAsia="新宋体" w:cs="新宋体"/>
                <w:kern w:val="0"/>
                <w:szCs w:val="21"/>
                <w:highlight w:val="none"/>
                <w:lang w:val="en-US" w:eastAsia="zh-CN"/>
              </w:rPr>
              <w:t>2</w:t>
            </w:r>
            <w:r>
              <w:rPr>
                <w:rFonts w:hint="eastAsia" w:ascii="新宋体" w:hAnsi="新宋体" w:eastAsia="新宋体" w:cs="新宋体"/>
                <w:kern w:val="0"/>
                <w:szCs w:val="21"/>
                <w:highlight w:val="none"/>
                <w:lang w:eastAsia="zh-CN"/>
              </w:rPr>
              <w:t>）</w:t>
            </w:r>
            <w:r>
              <w:rPr>
                <w:rFonts w:hint="eastAsia" w:ascii="新宋体" w:hAnsi="新宋体" w:eastAsia="新宋体" w:cs="新宋体"/>
                <w:kern w:val="0"/>
                <w:szCs w:val="21"/>
                <w:highlight w:val="none"/>
              </w:rPr>
              <w:t>双屏地面操作指控站、外置地面电源</w:t>
            </w:r>
          </w:p>
          <w:p w14:paraId="23C61F9E">
            <w:pP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lang w:eastAsia="zh-CN"/>
              </w:rPr>
              <w:t>（</w:t>
            </w:r>
            <w:r>
              <w:rPr>
                <w:rFonts w:hint="eastAsia" w:ascii="新宋体" w:hAnsi="新宋体" w:eastAsia="新宋体" w:cs="新宋体"/>
                <w:kern w:val="0"/>
                <w:szCs w:val="21"/>
                <w:highlight w:val="none"/>
                <w:lang w:val="en-US" w:eastAsia="zh-CN"/>
              </w:rPr>
              <w:t>3</w:t>
            </w:r>
            <w:r>
              <w:rPr>
                <w:rFonts w:hint="eastAsia" w:ascii="新宋体" w:hAnsi="新宋体" w:eastAsia="新宋体" w:cs="新宋体"/>
                <w:kern w:val="0"/>
                <w:szCs w:val="21"/>
                <w:highlight w:val="none"/>
                <w:lang w:eastAsia="zh-CN"/>
              </w:rPr>
              <w:t>）</w:t>
            </w:r>
            <w:r>
              <w:rPr>
                <w:rFonts w:hint="eastAsia" w:ascii="新宋体" w:hAnsi="新宋体" w:eastAsia="新宋体" w:cs="新宋体"/>
                <w:kern w:val="0"/>
                <w:szCs w:val="21"/>
                <w:highlight w:val="none"/>
              </w:rPr>
              <w:t>无人机飞行操作控制软件</w:t>
            </w:r>
          </w:p>
        </w:tc>
        <w:tc>
          <w:tcPr>
            <w:tcW w:w="635" w:type="dxa"/>
            <w:vAlign w:val="center"/>
          </w:tcPr>
          <w:p w14:paraId="288E3023">
            <w:pPr>
              <w:jc w:val="center"/>
              <w:textAlignment w:val="cente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1</w:t>
            </w:r>
          </w:p>
        </w:tc>
        <w:tc>
          <w:tcPr>
            <w:tcW w:w="827" w:type="dxa"/>
            <w:vAlign w:val="center"/>
          </w:tcPr>
          <w:p w14:paraId="1186EBF3">
            <w:pPr>
              <w:jc w:val="center"/>
              <w:textAlignment w:val="cente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套</w:t>
            </w:r>
          </w:p>
        </w:tc>
      </w:tr>
      <w:tr w14:paraId="7000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28" w:type="dxa"/>
            <w:vAlign w:val="center"/>
          </w:tcPr>
          <w:p w14:paraId="5D60DD45">
            <w:pPr>
              <w:jc w:val="center"/>
              <w:textAlignment w:val="cente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4</w:t>
            </w:r>
          </w:p>
        </w:tc>
        <w:tc>
          <w:tcPr>
            <w:tcW w:w="1695" w:type="dxa"/>
            <w:vAlign w:val="center"/>
          </w:tcPr>
          <w:p w14:paraId="74CE0A13">
            <w:pPr>
              <w:textAlignment w:val="center"/>
              <w:rPr>
                <w:rFonts w:hint="eastAsia" w:ascii="新宋体" w:hAnsi="新宋体" w:eastAsia="新宋体" w:cs="新宋体"/>
                <w:kern w:val="0"/>
                <w:szCs w:val="21"/>
                <w:highlight w:val="none"/>
              </w:rPr>
            </w:pPr>
            <w:r>
              <w:rPr>
                <w:rFonts w:hint="eastAsia"/>
                <w:highlight w:val="none"/>
              </w:rPr>
              <w:t>电源系统</w:t>
            </w:r>
          </w:p>
        </w:tc>
        <w:tc>
          <w:tcPr>
            <w:tcW w:w="4572" w:type="dxa"/>
            <w:vAlign w:val="center"/>
          </w:tcPr>
          <w:p w14:paraId="52C52E51">
            <w:pP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无人机动力电源</w:t>
            </w:r>
          </w:p>
        </w:tc>
        <w:tc>
          <w:tcPr>
            <w:tcW w:w="635" w:type="dxa"/>
            <w:vAlign w:val="center"/>
          </w:tcPr>
          <w:p w14:paraId="149F2352">
            <w:pPr>
              <w:jc w:val="center"/>
              <w:textAlignment w:val="cente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2</w:t>
            </w:r>
          </w:p>
        </w:tc>
        <w:tc>
          <w:tcPr>
            <w:tcW w:w="827" w:type="dxa"/>
            <w:vAlign w:val="center"/>
          </w:tcPr>
          <w:p w14:paraId="09ABA781">
            <w:pPr>
              <w:textAlignment w:val="cente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 xml:space="preserve"> 套</w:t>
            </w:r>
          </w:p>
        </w:tc>
      </w:tr>
      <w:tr w14:paraId="7816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28" w:type="dxa"/>
            <w:vAlign w:val="center"/>
          </w:tcPr>
          <w:p w14:paraId="7ECCF7D7">
            <w:pPr>
              <w:jc w:val="center"/>
              <w:textAlignment w:val="center"/>
              <w:rPr>
                <w:rFonts w:hint="eastAsia" w:ascii="新宋体" w:hAnsi="新宋体" w:eastAsia="新宋体" w:cs="新宋体"/>
                <w:kern w:val="0"/>
                <w:szCs w:val="21"/>
                <w:highlight w:val="none"/>
              </w:rPr>
            </w:pPr>
            <w:r>
              <w:rPr>
                <w:rFonts w:ascii="新宋体" w:hAnsi="新宋体" w:eastAsia="新宋体" w:cs="新宋体"/>
                <w:kern w:val="0"/>
                <w:szCs w:val="21"/>
                <w:highlight w:val="none"/>
              </w:rPr>
              <w:t>5</w:t>
            </w:r>
          </w:p>
        </w:tc>
        <w:tc>
          <w:tcPr>
            <w:tcW w:w="1695" w:type="dxa"/>
            <w:vAlign w:val="center"/>
          </w:tcPr>
          <w:p w14:paraId="730F8E0C">
            <w:pPr>
              <w:textAlignment w:val="cente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无人机保险</w:t>
            </w:r>
          </w:p>
        </w:tc>
        <w:tc>
          <w:tcPr>
            <w:tcW w:w="4572" w:type="dxa"/>
            <w:vAlign w:val="center"/>
          </w:tcPr>
          <w:p w14:paraId="696908EF">
            <w:pPr>
              <w:textAlignment w:val="cente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机身无忧包含25万机身维修服务及载荷无忧包含35万载荷维修服务加第三方责任险含100万第三方责任险</w:t>
            </w:r>
          </w:p>
        </w:tc>
        <w:tc>
          <w:tcPr>
            <w:tcW w:w="635" w:type="dxa"/>
            <w:vAlign w:val="center"/>
          </w:tcPr>
          <w:p w14:paraId="17980622">
            <w:pPr>
              <w:jc w:val="center"/>
              <w:textAlignment w:val="cente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1</w:t>
            </w:r>
          </w:p>
        </w:tc>
        <w:tc>
          <w:tcPr>
            <w:tcW w:w="827" w:type="dxa"/>
            <w:vAlign w:val="center"/>
          </w:tcPr>
          <w:p w14:paraId="34C91C22">
            <w:pPr>
              <w:jc w:val="center"/>
              <w:textAlignment w:val="cente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年</w:t>
            </w:r>
          </w:p>
        </w:tc>
      </w:tr>
      <w:tr w14:paraId="1B64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8" w:type="dxa"/>
            <w:vAlign w:val="center"/>
          </w:tcPr>
          <w:p w14:paraId="52A7405B">
            <w:pPr>
              <w:jc w:val="center"/>
              <w:textAlignment w:val="center"/>
              <w:rPr>
                <w:rFonts w:hint="eastAsia" w:ascii="新宋体" w:hAnsi="新宋体" w:eastAsia="新宋体" w:cs="新宋体"/>
                <w:kern w:val="0"/>
                <w:szCs w:val="21"/>
                <w:highlight w:val="none"/>
              </w:rPr>
            </w:pPr>
            <w:r>
              <w:rPr>
                <w:rFonts w:ascii="新宋体" w:hAnsi="新宋体" w:eastAsia="新宋体" w:cs="新宋体"/>
                <w:kern w:val="0"/>
                <w:szCs w:val="21"/>
                <w:highlight w:val="none"/>
              </w:rPr>
              <w:t>6</w:t>
            </w:r>
          </w:p>
        </w:tc>
        <w:tc>
          <w:tcPr>
            <w:tcW w:w="1695" w:type="dxa"/>
            <w:vAlign w:val="center"/>
          </w:tcPr>
          <w:p w14:paraId="6908E270">
            <w:pPr>
              <w:textAlignment w:val="cente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培训取证</w:t>
            </w:r>
          </w:p>
        </w:tc>
        <w:tc>
          <w:tcPr>
            <w:tcW w:w="4572" w:type="dxa"/>
            <w:vAlign w:val="center"/>
          </w:tcPr>
          <w:p w14:paraId="3424C12B">
            <w:pPr>
              <w:textAlignment w:val="cente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民航总局CAAC民用无人机固定翼超视距操控员执照培训</w:t>
            </w:r>
          </w:p>
        </w:tc>
        <w:tc>
          <w:tcPr>
            <w:tcW w:w="635" w:type="dxa"/>
            <w:vAlign w:val="center"/>
          </w:tcPr>
          <w:p w14:paraId="569DB1C9">
            <w:pPr>
              <w:jc w:val="center"/>
              <w:textAlignment w:val="cente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2</w:t>
            </w:r>
          </w:p>
        </w:tc>
        <w:tc>
          <w:tcPr>
            <w:tcW w:w="827" w:type="dxa"/>
            <w:vAlign w:val="center"/>
          </w:tcPr>
          <w:p w14:paraId="1DB537C3">
            <w:pPr>
              <w:jc w:val="center"/>
              <w:textAlignment w:val="center"/>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人</w:t>
            </w:r>
          </w:p>
        </w:tc>
      </w:tr>
      <w:bookmarkEnd w:id="23"/>
      <w:bookmarkEnd w:id="24"/>
      <w:bookmarkEnd w:id="25"/>
      <w:bookmarkEnd w:id="26"/>
      <w:bookmarkEnd w:id="27"/>
      <w:bookmarkEnd w:id="28"/>
      <w:bookmarkEnd w:id="29"/>
      <w:bookmarkEnd w:id="30"/>
    </w:tbl>
    <w:p w14:paraId="519AE1BE">
      <w:pPr>
        <w:pStyle w:val="5"/>
        <w:spacing w:before="0" w:after="0" w:line="440" w:lineRule="exact"/>
        <w:ind w:firstLine="221" w:firstLineChars="100"/>
        <w:rPr>
          <w:rFonts w:hint="eastAsia" w:ascii="新宋体" w:hAnsi="新宋体" w:eastAsia="新宋体"/>
          <w:color w:val="000000"/>
          <w:sz w:val="22"/>
          <w:szCs w:val="22"/>
          <w:highlight w:val="none"/>
        </w:rPr>
      </w:pPr>
      <w:bookmarkStart w:id="31" w:name="_Toc30328"/>
      <w:r>
        <w:rPr>
          <w:rFonts w:hint="eastAsia" w:ascii="新宋体" w:hAnsi="新宋体" w:eastAsia="新宋体"/>
          <w:color w:val="000000"/>
          <w:sz w:val="22"/>
          <w:szCs w:val="22"/>
          <w:highlight w:val="none"/>
          <w:lang w:val="en-US" w:eastAsia="zh-CN"/>
        </w:rPr>
        <w:t>3、</w:t>
      </w:r>
      <w:r>
        <w:rPr>
          <w:rFonts w:hint="eastAsia" w:ascii="新宋体" w:hAnsi="新宋体" w:eastAsia="新宋体"/>
          <w:color w:val="000000"/>
          <w:sz w:val="22"/>
          <w:szCs w:val="22"/>
          <w:highlight w:val="none"/>
        </w:rPr>
        <w:t>其他要求</w:t>
      </w:r>
      <w:bookmarkEnd w:id="31"/>
    </w:p>
    <w:p w14:paraId="38C26886">
      <w:pPr>
        <w:spacing w:line="440" w:lineRule="exact"/>
        <w:ind w:firstLine="440" w:firstLineChars="200"/>
        <w:rPr>
          <w:rFonts w:hint="eastAsia" w:ascii="新宋体" w:hAnsi="新宋体" w:eastAsia="新宋体"/>
          <w:color w:val="000000"/>
          <w:sz w:val="22"/>
          <w:szCs w:val="22"/>
          <w:highlight w:val="none"/>
        </w:rPr>
      </w:pPr>
      <w:bookmarkStart w:id="32" w:name="_Toc18153"/>
      <w:bookmarkStart w:id="33" w:name="_Toc18553"/>
      <w:r>
        <w:rPr>
          <w:rFonts w:hint="eastAsia" w:ascii="新宋体" w:hAnsi="新宋体" w:eastAsia="新宋体"/>
          <w:color w:val="000000"/>
          <w:sz w:val="22"/>
          <w:szCs w:val="22"/>
          <w:highlight w:val="none"/>
          <w:lang w:val="en-US" w:eastAsia="zh-CN"/>
        </w:rPr>
        <w:t>1.</w:t>
      </w:r>
      <w:r>
        <w:rPr>
          <w:rFonts w:hint="eastAsia" w:ascii="新宋体" w:hAnsi="新宋体" w:eastAsia="新宋体"/>
          <w:color w:val="000000"/>
          <w:sz w:val="22"/>
          <w:szCs w:val="22"/>
          <w:highlight w:val="none"/>
        </w:rPr>
        <w:t>所提供产品的技术规格和标准应符合中华人民共和国有关部门最新颁布的标准及规范或国际标准规范。</w:t>
      </w:r>
    </w:p>
    <w:p w14:paraId="7B437616">
      <w:pPr>
        <w:spacing w:line="440" w:lineRule="exact"/>
        <w:ind w:firstLine="440" w:firstLineChars="200"/>
        <w:rPr>
          <w:rFonts w:hint="eastAsia" w:ascii="新宋体" w:hAnsi="新宋体" w:eastAsia="新宋体"/>
          <w:b/>
          <w:color w:val="000000"/>
          <w:sz w:val="22"/>
          <w:szCs w:val="22"/>
          <w:highlight w:val="none"/>
        </w:rPr>
      </w:pPr>
      <w:r>
        <w:rPr>
          <w:rFonts w:hint="eastAsia" w:ascii="新宋体" w:hAnsi="新宋体" w:eastAsia="新宋体"/>
          <w:color w:val="000000"/>
          <w:sz w:val="22"/>
          <w:szCs w:val="22"/>
          <w:highlight w:val="none"/>
          <w:lang w:val="en-US" w:eastAsia="zh-CN"/>
        </w:rPr>
        <w:t>2.</w:t>
      </w:r>
      <w:r>
        <w:rPr>
          <w:rFonts w:hint="eastAsia" w:ascii="新宋体" w:hAnsi="新宋体" w:eastAsia="新宋体"/>
          <w:color w:val="000000"/>
          <w:sz w:val="22"/>
          <w:szCs w:val="22"/>
          <w:highlight w:val="none"/>
          <w:u w:val="single"/>
        </w:rPr>
        <w:t>本标书所列产品</w:t>
      </w:r>
      <w:r>
        <w:rPr>
          <w:rFonts w:hint="eastAsia" w:ascii="新宋体" w:hAnsi="新宋体" w:eastAsia="新宋体"/>
          <w:color w:val="000000"/>
          <w:sz w:val="22"/>
          <w:szCs w:val="22"/>
          <w:highlight w:val="none"/>
          <w:u w:val="single"/>
          <w:lang w:val="en-US" w:eastAsia="zh-CN"/>
        </w:rPr>
        <w:t>技术参数和性能指标</w:t>
      </w:r>
      <w:r>
        <w:rPr>
          <w:rFonts w:hint="eastAsia" w:ascii="新宋体" w:hAnsi="新宋体" w:eastAsia="新宋体"/>
          <w:color w:val="000000"/>
          <w:sz w:val="22"/>
          <w:szCs w:val="22"/>
          <w:highlight w:val="none"/>
          <w:u w:val="single"/>
        </w:rPr>
        <w:t>为基本要求，供应商可根据所列技术配置及性能要求选用投标产品，但所选投标产品的技术配置及技术性能应相当于或高于招标文件要求，并满足采购需求，否则将可能作出对供应商不利的评定</w:t>
      </w:r>
      <w:r>
        <w:rPr>
          <w:rFonts w:ascii="新宋体" w:hAnsi="新宋体" w:eastAsia="新宋体"/>
          <w:color w:val="000000"/>
          <w:sz w:val="22"/>
          <w:szCs w:val="22"/>
          <w:highlight w:val="none"/>
          <w:u w:val="single"/>
        </w:rPr>
        <w:t>。</w:t>
      </w:r>
    </w:p>
    <w:p w14:paraId="3F3F8E76">
      <w:pPr>
        <w:spacing w:line="440" w:lineRule="exact"/>
        <w:ind w:firstLine="440" w:firstLineChars="200"/>
        <w:rPr>
          <w:rFonts w:hint="eastAsia" w:ascii="新宋体" w:hAnsi="新宋体" w:eastAsia="新宋体"/>
          <w:color w:val="000000"/>
          <w:sz w:val="22"/>
          <w:szCs w:val="22"/>
          <w:highlight w:val="none"/>
        </w:rPr>
      </w:pPr>
      <w:r>
        <w:rPr>
          <w:rFonts w:hint="eastAsia" w:ascii="新宋体" w:hAnsi="新宋体" w:eastAsia="新宋体"/>
          <w:color w:val="000000"/>
          <w:sz w:val="22"/>
          <w:szCs w:val="22"/>
          <w:highlight w:val="none"/>
          <w:lang w:val="en-US" w:eastAsia="zh-CN"/>
        </w:rPr>
        <w:t>3.</w:t>
      </w:r>
      <w:r>
        <w:rPr>
          <w:rFonts w:hint="eastAsia" w:ascii="新宋体" w:hAnsi="新宋体" w:eastAsia="新宋体"/>
          <w:color w:val="000000"/>
          <w:sz w:val="22"/>
          <w:szCs w:val="22"/>
          <w:highlight w:val="none"/>
        </w:rPr>
        <w:t>▲</w:t>
      </w:r>
      <w:r>
        <w:rPr>
          <w:rFonts w:hint="eastAsia" w:ascii="新宋体" w:hAnsi="新宋体" w:eastAsia="新宋体"/>
          <w:color w:val="000000"/>
          <w:sz w:val="22"/>
          <w:szCs w:val="22"/>
          <w:highlight w:val="none"/>
          <w:u w:val="single"/>
        </w:rPr>
        <w:t>供应商的投标响应必须满足本招标文件提出的采购需求，任何被评标委员会认定为明显不能满足采购需求将导致影响项目建设质量和采购人使用要求的负偏离响应，均将被视为重大负偏离。对重大负偏离的认定由评标委员会作出，重大负偏离将被认定为是对招标文件实质上的不响应，其投标将被视为无效投标。</w:t>
      </w:r>
    </w:p>
    <w:p w14:paraId="3D21579D">
      <w:pPr>
        <w:spacing w:line="440" w:lineRule="exact"/>
        <w:ind w:firstLine="440" w:firstLineChars="200"/>
        <w:rPr>
          <w:rFonts w:hint="eastAsia" w:ascii="新宋体" w:hAnsi="新宋体" w:eastAsia="新宋体" w:cs="新宋体"/>
          <w:sz w:val="22"/>
          <w:szCs w:val="22"/>
          <w:highlight w:val="none"/>
          <w:u w:val="single"/>
          <w:lang w:bidi="ar"/>
        </w:rPr>
      </w:pPr>
      <w:r>
        <w:rPr>
          <w:rFonts w:hint="eastAsia" w:ascii="新宋体" w:hAnsi="新宋体" w:eastAsia="新宋体"/>
          <w:color w:val="000000"/>
          <w:sz w:val="22"/>
          <w:szCs w:val="22"/>
          <w:highlight w:val="none"/>
          <w:lang w:val="en-US" w:eastAsia="zh-CN"/>
        </w:rPr>
        <w:t>4.</w:t>
      </w:r>
      <w:r>
        <w:rPr>
          <w:rFonts w:ascii="新宋体" w:hAnsi="新宋体" w:eastAsia="新宋体"/>
          <w:color w:val="000000"/>
          <w:sz w:val="22"/>
          <w:szCs w:val="22"/>
          <w:highlight w:val="none"/>
        </w:rPr>
        <w:t>本标书中的技术要求不得被认为是详尽无遗的，无论规定与否，供应商应提供所有</w:t>
      </w:r>
      <w:r>
        <w:rPr>
          <w:rFonts w:hint="eastAsia" w:ascii="新宋体" w:hAnsi="新宋体" w:eastAsia="新宋体"/>
          <w:color w:val="000000"/>
          <w:sz w:val="22"/>
          <w:szCs w:val="22"/>
          <w:highlight w:val="none"/>
        </w:rPr>
        <w:t>招标文件</w:t>
      </w:r>
      <w:r>
        <w:rPr>
          <w:rFonts w:ascii="新宋体" w:hAnsi="新宋体" w:eastAsia="新宋体"/>
          <w:color w:val="000000"/>
          <w:sz w:val="22"/>
          <w:szCs w:val="22"/>
          <w:highlight w:val="none"/>
        </w:rPr>
        <w:t>没有规定但供应商认为完成本项目必要或必须的</w:t>
      </w:r>
      <w:r>
        <w:rPr>
          <w:rFonts w:hint="eastAsia" w:ascii="新宋体" w:hAnsi="新宋体" w:eastAsia="新宋体"/>
          <w:color w:val="000000"/>
          <w:sz w:val="22"/>
          <w:szCs w:val="22"/>
          <w:highlight w:val="none"/>
        </w:rPr>
        <w:t>设备</w:t>
      </w:r>
      <w:r>
        <w:rPr>
          <w:rFonts w:ascii="新宋体" w:hAnsi="新宋体" w:eastAsia="新宋体"/>
          <w:color w:val="000000"/>
          <w:sz w:val="22"/>
          <w:szCs w:val="22"/>
          <w:highlight w:val="none"/>
        </w:rPr>
        <w:t>和材料</w:t>
      </w:r>
      <w:r>
        <w:rPr>
          <w:rFonts w:hint="eastAsia" w:ascii="新宋体" w:hAnsi="新宋体" w:eastAsia="新宋体"/>
          <w:color w:val="000000"/>
          <w:sz w:val="22"/>
          <w:szCs w:val="22"/>
          <w:highlight w:val="none"/>
        </w:rPr>
        <w:t>、辅件</w:t>
      </w:r>
      <w:r>
        <w:rPr>
          <w:rFonts w:ascii="新宋体" w:hAnsi="新宋体" w:eastAsia="新宋体"/>
          <w:color w:val="000000"/>
          <w:sz w:val="22"/>
          <w:szCs w:val="22"/>
          <w:highlight w:val="none"/>
        </w:rPr>
        <w:t>，并应在投标报价表中一一列明。</w:t>
      </w:r>
    </w:p>
    <w:p w14:paraId="6331D31B">
      <w:pPr>
        <w:spacing w:line="440" w:lineRule="exact"/>
        <w:ind w:firstLine="440" w:firstLineChars="200"/>
        <w:rPr>
          <w:rFonts w:hint="eastAsia" w:ascii="新宋体" w:hAnsi="新宋体" w:eastAsia="新宋体" w:cs="新宋体"/>
          <w:bCs/>
          <w:color w:val="000000"/>
          <w:sz w:val="22"/>
          <w:szCs w:val="22"/>
          <w:highlight w:val="none"/>
        </w:rPr>
      </w:pPr>
      <w:r>
        <w:rPr>
          <w:rFonts w:hint="eastAsia" w:ascii="新宋体" w:hAnsi="新宋体" w:eastAsia="新宋体" w:cs="新宋体"/>
          <w:sz w:val="22"/>
          <w:szCs w:val="22"/>
          <w:highlight w:val="none"/>
          <w:u w:val="single"/>
          <w:lang w:val="en-US" w:eastAsia="zh-CN" w:bidi="ar"/>
        </w:rPr>
        <w:t>5.</w:t>
      </w:r>
      <w:r>
        <w:rPr>
          <w:rFonts w:hint="eastAsia" w:ascii="新宋体" w:hAnsi="新宋体" w:eastAsia="新宋体" w:cs="新宋体"/>
          <w:sz w:val="22"/>
          <w:szCs w:val="22"/>
          <w:highlight w:val="none"/>
          <w:u w:val="single"/>
          <w:lang w:bidi="ar"/>
        </w:rPr>
        <w:t>投标产品技术性能参数须在商务及技术偏离表（格式</w:t>
      </w:r>
      <w:r>
        <w:rPr>
          <w:rFonts w:hint="eastAsia" w:ascii="新宋体" w:hAnsi="新宋体" w:eastAsia="新宋体" w:cs="新宋体"/>
          <w:sz w:val="22"/>
          <w:szCs w:val="22"/>
          <w:highlight w:val="none"/>
          <w:u w:val="single"/>
          <w:lang w:eastAsia="zh-CN" w:bidi="ar"/>
        </w:rPr>
        <w:t>附件格式</w:t>
      </w:r>
      <w:r>
        <w:rPr>
          <w:rFonts w:hint="eastAsia" w:ascii="新宋体" w:hAnsi="新宋体" w:eastAsia="新宋体" w:cs="新宋体"/>
          <w:sz w:val="22"/>
          <w:szCs w:val="22"/>
          <w:highlight w:val="none"/>
          <w:u w:val="single"/>
          <w:lang w:bidi="ar"/>
        </w:rPr>
        <w:t>）中进行逐项列明响应，带“★”条款须按要求提供技术证明资料（相关参数应作醒目标识方便评委查找）佐证其技术性能参数，未在商务及技术偏离表列明产品具体参数进行响应或未按要求提供相关技术证明资料（包括证明资料中相关参数未作醒目标识致使评委难以查找到的），将会被认定为不满足招标文件要求，后果由供应商自行承担，具体由评委会认定</w:t>
      </w:r>
      <w:r>
        <w:rPr>
          <w:rFonts w:hint="eastAsia" w:ascii="新宋体" w:hAnsi="新宋体" w:eastAsia="新宋体" w:cs="新宋体"/>
          <w:bCs/>
          <w:color w:val="000000"/>
          <w:sz w:val="22"/>
          <w:szCs w:val="22"/>
          <w:highlight w:val="none"/>
          <w:u w:val="single"/>
          <w:lang w:bidi="ar"/>
        </w:rPr>
        <w:t>。</w:t>
      </w:r>
    </w:p>
    <w:p w14:paraId="7B717DD7">
      <w:pPr>
        <w:spacing w:line="440" w:lineRule="exact"/>
        <w:ind w:firstLine="440" w:firstLineChars="200"/>
        <w:rPr>
          <w:rFonts w:hint="eastAsia" w:ascii="新宋体" w:hAnsi="新宋体" w:eastAsia="新宋体"/>
          <w:bCs/>
          <w:color w:val="000000"/>
          <w:sz w:val="22"/>
          <w:szCs w:val="22"/>
          <w:highlight w:val="none"/>
          <w:lang w:bidi="ar"/>
        </w:rPr>
      </w:pPr>
      <w:r>
        <w:rPr>
          <w:rFonts w:hint="eastAsia" w:ascii="新宋体" w:hAnsi="新宋体" w:eastAsia="新宋体"/>
          <w:bCs/>
          <w:color w:val="000000"/>
          <w:sz w:val="22"/>
          <w:szCs w:val="22"/>
          <w:highlight w:val="none"/>
          <w:lang w:val="en-US" w:eastAsia="zh-CN" w:bidi="ar"/>
        </w:rPr>
        <w:t>6.</w:t>
      </w:r>
      <w:r>
        <w:rPr>
          <w:rFonts w:hint="eastAsia" w:ascii="新宋体" w:hAnsi="新宋体" w:eastAsia="新宋体"/>
          <w:bCs/>
          <w:color w:val="000000"/>
          <w:sz w:val="22"/>
          <w:szCs w:val="22"/>
          <w:highlight w:val="none"/>
          <w:lang w:bidi="ar"/>
        </w:rPr>
        <w:t>供应商在投标文件中应说明本次投标产品的技术参数是否与厂家官方公开的产品技术参数一致，如不一致，明确哪些参数不一致，不一致的原因以及使用何种技术可以达到投标产品参数，并在技术偏离表“备注栏”中作出相应的说明。</w:t>
      </w:r>
    </w:p>
    <w:p w14:paraId="6AFB3DC9">
      <w:pPr>
        <w:spacing w:line="440" w:lineRule="exact"/>
        <w:ind w:firstLine="440" w:firstLineChars="200"/>
        <w:rPr>
          <w:rFonts w:hint="eastAsia" w:ascii="新宋体" w:hAnsi="新宋体" w:eastAsia="新宋体"/>
          <w:b/>
          <w:color w:val="000000"/>
          <w:sz w:val="22"/>
          <w:szCs w:val="22"/>
          <w:highlight w:val="none"/>
          <w:u w:val="single"/>
        </w:rPr>
      </w:pPr>
      <w:r>
        <w:rPr>
          <w:rFonts w:hint="eastAsia" w:ascii="新宋体" w:hAnsi="新宋体" w:eastAsia="新宋体" w:cs="新宋体"/>
          <w:sz w:val="22"/>
          <w:szCs w:val="22"/>
          <w:highlight w:val="none"/>
          <w:u w:val="none"/>
          <w:lang w:val="en-US" w:eastAsia="zh-CN" w:bidi="ar"/>
        </w:rPr>
        <w:t>7.</w:t>
      </w:r>
      <w:r>
        <w:rPr>
          <w:rFonts w:hint="eastAsia" w:ascii="新宋体" w:hAnsi="新宋体" w:eastAsia="新宋体" w:cs="新宋体"/>
          <w:color w:val="000000"/>
          <w:sz w:val="22"/>
          <w:szCs w:val="22"/>
          <w:highlight w:val="none"/>
          <w:lang w:bidi="ar"/>
        </w:rPr>
        <w:t>所有货物必须为原厂原配产品（包括在标配基础上增加的配置也必须为原厂原配）。对于低于原厂方对外公布的基本（标准）配置进行报价的产品，无论招标文件对此有无明确规定，供应商都必须在投标文件中作出明确说明。</w:t>
      </w:r>
    </w:p>
    <w:p w14:paraId="348C6E24">
      <w:pPr>
        <w:pStyle w:val="105"/>
        <w:spacing w:line="440" w:lineRule="exact"/>
        <w:rPr>
          <w:rFonts w:hint="eastAsia" w:ascii="宋体" w:hAnsi="宋体"/>
          <w:bCs/>
          <w:color w:val="000000"/>
          <w:sz w:val="22"/>
          <w:highlight w:val="none"/>
          <w:u w:val="single"/>
        </w:rPr>
      </w:pPr>
      <w:r>
        <w:rPr>
          <w:rFonts w:hint="eastAsia" w:ascii="新宋体" w:hAnsi="新宋体" w:eastAsia="新宋体"/>
          <w:color w:val="000000"/>
          <w:sz w:val="22"/>
          <w:highlight w:val="none"/>
          <w:lang w:val="en-US" w:eastAsia="zh-CN"/>
        </w:rPr>
        <w:t>8.</w:t>
      </w:r>
      <w:r>
        <w:rPr>
          <w:rFonts w:hint="eastAsia" w:ascii="宋体" w:hAnsi="宋体"/>
          <w:bCs/>
          <w:color w:val="000000"/>
          <w:sz w:val="22"/>
          <w:highlight w:val="none"/>
          <w:u w:val="single"/>
        </w:rPr>
        <w:t>采购人将对中标供应商提供的产品相关功能和技术指标、性能进行逐一测验，如发现存在虚假响应情形，采购人有权单方终止合同，没收全部履约保证金，并扣罚合同总价20%的违约赔偿金，同时上报采购监管部门并将其列入不诚信供应商名单。</w:t>
      </w:r>
    </w:p>
    <w:p w14:paraId="546CAE89">
      <w:pPr>
        <w:spacing w:line="440" w:lineRule="exact"/>
        <w:ind w:firstLine="440" w:firstLineChars="200"/>
        <w:rPr>
          <w:rFonts w:hint="eastAsia" w:ascii="新宋体" w:hAnsi="新宋体" w:eastAsia="新宋体"/>
          <w:b/>
          <w:color w:val="000000"/>
          <w:sz w:val="22"/>
          <w:szCs w:val="22"/>
          <w:highlight w:val="none"/>
          <w:u w:val="single"/>
        </w:rPr>
      </w:pPr>
      <w:r>
        <w:rPr>
          <w:rFonts w:hint="eastAsia" w:ascii="新宋体" w:hAnsi="新宋体" w:eastAsia="新宋体"/>
          <w:bCs/>
          <w:color w:val="000000"/>
          <w:sz w:val="22"/>
          <w:szCs w:val="22"/>
          <w:highlight w:val="none"/>
          <w:lang w:val="en-US" w:eastAsia="zh-CN"/>
        </w:rPr>
        <w:t>9.</w:t>
      </w:r>
      <w:r>
        <w:rPr>
          <w:rFonts w:hint="eastAsia" w:ascii="新宋体" w:hAnsi="新宋体" w:eastAsia="新宋体"/>
          <w:bCs/>
          <w:color w:val="000000"/>
          <w:sz w:val="22"/>
          <w:szCs w:val="22"/>
          <w:highlight w:val="none"/>
        </w:rPr>
        <w:t>所投产品在国内应有固定的维修服务中心，能提供长期的售后维修服务。</w:t>
      </w:r>
    </w:p>
    <w:p w14:paraId="56832CC9">
      <w:pPr>
        <w:spacing w:line="440" w:lineRule="exact"/>
        <w:ind w:firstLine="440" w:firstLineChars="200"/>
        <w:rPr>
          <w:rFonts w:hint="eastAsia" w:ascii="新宋体" w:hAnsi="新宋体" w:eastAsia="新宋体"/>
          <w:color w:val="000000"/>
          <w:sz w:val="22"/>
          <w:szCs w:val="22"/>
          <w:highlight w:val="none"/>
        </w:rPr>
      </w:pPr>
      <w:r>
        <w:rPr>
          <w:rFonts w:hint="eastAsia" w:ascii="新宋体" w:hAnsi="新宋体" w:eastAsia="新宋体"/>
          <w:color w:val="000000"/>
          <w:sz w:val="22"/>
          <w:szCs w:val="22"/>
          <w:highlight w:val="none"/>
          <w:lang w:val="en-US" w:eastAsia="zh-CN"/>
        </w:rPr>
        <w:t>10.</w:t>
      </w:r>
      <w:r>
        <w:rPr>
          <w:rFonts w:hint="eastAsia" w:ascii="新宋体" w:hAnsi="新宋体" w:eastAsia="新宋体"/>
          <w:color w:val="000000"/>
          <w:sz w:val="22"/>
          <w:szCs w:val="22"/>
          <w:highlight w:val="none"/>
        </w:rPr>
        <w:t>保证所供货物、服务或其任何一部分不受第三方提出侵犯其专利权、商标权、版权和工业设计权的指控。任何涉及的知识产权纠纷，均由供应商承担全部经济、法律等责任。</w:t>
      </w:r>
    </w:p>
    <w:bookmarkEnd w:id="32"/>
    <w:bookmarkEnd w:id="33"/>
    <w:p w14:paraId="10765390">
      <w:pPr>
        <w:pStyle w:val="5"/>
        <w:spacing w:before="0" w:after="0" w:line="440" w:lineRule="exact"/>
        <w:rPr>
          <w:rFonts w:hint="eastAsia" w:ascii="新宋体" w:hAnsi="新宋体" w:eastAsia="新宋体"/>
          <w:bCs w:val="0"/>
          <w:color w:val="000000"/>
          <w:sz w:val="22"/>
          <w:szCs w:val="22"/>
          <w:highlight w:val="none"/>
        </w:rPr>
      </w:pPr>
      <w:bookmarkStart w:id="34" w:name="_Toc26157"/>
      <w:bookmarkStart w:id="35" w:name="_Toc12792"/>
      <w:r>
        <w:rPr>
          <w:rFonts w:hint="eastAsia" w:ascii="新宋体" w:hAnsi="新宋体" w:eastAsia="新宋体"/>
          <w:bCs w:val="0"/>
          <w:color w:val="000000"/>
          <w:sz w:val="22"/>
          <w:szCs w:val="22"/>
          <w:highlight w:val="none"/>
          <w:lang w:val="en-US" w:eastAsia="zh-CN"/>
        </w:rPr>
        <w:t>4、</w:t>
      </w:r>
      <w:r>
        <w:rPr>
          <w:rFonts w:hint="eastAsia" w:ascii="新宋体" w:hAnsi="新宋体" w:eastAsia="新宋体"/>
          <w:bCs w:val="0"/>
          <w:color w:val="000000"/>
          <w:sz w:val="22"/>
          <w:szCs w:val="22"/>
          <w:highlight w:val="none"/>
        </w:rPr>
        <w:t>产品的到货、安装调试和验收</w:t>
      </w:r>
      <w:bookmarkEnd w:id="34"/>
      <w:bookmarkEnd w:id="35"/>
    </w:p>
    <w:p w14:paraId="28C4964F">
      <w:pPr>
        <w:pStyle w:val="5"/>
        <w:spacing w:before="0" w:after="0" w:line="440" w:lineRule="exact"/>
        <w:ind w:firstLine="442" w:firstLineChars="200"/>
        <w:rPr>
          <w:rFonts w:hint="eastAsia" w:ascii="新宋体" w:hAnsi="新宋体" w:eastAsia="新宋体"/>
          <w:color w:val="000000"/>
          <w:sz w:val="22"/>
          <w:szCs w:val="22"/>
          <w:highlight w:val="none"/>
        </w:rPr>
      </w:pPr>
      <w:r>
        <w:rPr>
          <w:rFonts w:hint="eastAsia" w:ascii="新宋体" w:hAnsi="新宋体" w:eastAsia="新宋体"/>
          <w:bCs w:val="0"/>
          <w:color w:val="000000"/>
          <w:sz w:val="22"/>
          <w:szCs w:val="22"/>
          <w:highlight w:val="none"/>
          <w:lang w:val="en-US" w:eastAsia="zh-CN"/>
        </w:rPr>
        <w:t>1.</w:t>
      </w:r>
      <w:r>
        <w:rPr>
          <w:rFonts w:hint="eastAsia" w:ascii="新宋体" w:hAnsi="新宋体" w:eastAsia="新宋体"/>
          <w:color w:val="000000"/>
          <w:sz w:val="22"/>
          <w:szCs w:val="22"/>
          <w:highlight w:val="none"/>
        </w:rPr>
        <w:t>产品到货</w:t>
      </w:r>
    </w:p>
    <w:p w14:paraId="55A27346">
      <w:pPr>
        <w:spacing w:line="440" w:lineRule="exact"/>
        <w:ind w:firstLine="440" w:firstLineChars="200"/>
        <w:rPr>
          <w:rFonts w:ascii="新宋体" w:hAnsi="新宋体" w:eastAsia="新宋体"/>
          <w:bCs/>
          <w:color w:val="000000"/>
          <w:sz w:val="22"/>
          <w:szCs w:val="22"/>
          <w:highlight w:val="none"/>
        </w:rPr>
      </w:pPr>
      <w:r>
        <w:rPr>
          <w:rFonts w:hint="eastAsia" w:ascii="新宋体" w:hAnsi="新宋体" w:eastAsia="新宋体"/>
          <w:bCs/>
          <w:color w:val="000000"/>
          <w:sz w:val="22"/>
          <w:szCs w:val="22"/>
          <w:highlight w:val="none"/>
          <w:lang w:eastAsia="zh-CN"/>
        </w:rPr>
        <w:t>供应商</w:t>
      </w:r>
      <w:r>
        <w:rPr>
          <w:rFonts w:hint="eastAsia" w:ascii="新宋体" w:hAnsi="新宋体" w:eastAsia="新宋体"/>
          <w:bCs/>
          <w:color w:val="000000"/>
          <w:sz w:val="22"/>
          <w:szCs w:val="22"/>
          <w:highlight w:val="none"/>
        </w:rPr>
        <w:t>必须按</w:t>
      </w:r>
      <w:r>
        <w:rPr>
          <w:rFonts w:hint="eastAsia" w:ascii="新宋体" w:hAnsi="新宋体" w:eastAsia="新宋体"/>
          <w:bCs/>
          <w:color w:val="000000"/>
          <w:sz w:val="22"/>
          <w:szCs w:val="22"/>
          <w:highlight w:val="none"/>
          <w:lang w:eastAsia="zh-CN"/>
        </w:rPr>
        <w:t>采购人</w:t>
      </w:r>
      <w:r>
        <w:rPr>
          <w:rFonts w:hint="eastAsia" w:ascii="新宋体" w:hAnsi="新宋体" w:eastAsia="新宋体"/>
          <w:bCs/>
          <w:color w:val="000000"/>
          <w:sz w:val="22"/>
          <w:szCs w:val="22"/>
          <w:highlight w:val="none"/>
        </w:rPr>
        <w:t>要求将所有产品</w:t>
      </w:r>
      <w:r>
        <w:rPr>
          <w:rFonts w:hint="eastAsia" w:ascii="新宋体" w:hAnsi="新宋体" w:eastAsia="新宋体"/>
          <w:bCs/>
          <w:color w:val="000000"/>
          <w:sz w:val="22"/>
          <w:highlight w:val="none"/>
        </w:rPr>
        <w:t>免费送货至指定交货地点</w:t>
      </w:r>
      <w:r>
        <w:rPr>
          <w:rFonts w:hint="eastAsia" w:ascii="新宋体" w:hAnsi="新宋体" w:eastAsia="新宋体"/>
          <w:bCs/>
          <w:color w:val="000000"/>
          <w:sz w:val="22"/>
          <w:szCs w:val="22"/>
          <w:highlight w:val="none"/>
        </w:rPr>
        <w:t>。</w:t>
      </w:r>
      <w:r>
        <w:rPr>
          <w:rFonts w:hint="eastAsia" w:ascii="新宋体" w:hAnsi="新宋体" w:eastAsia="新宋体"/>
          <w:bCs/>
          <w:color w:val="000000"/>
          <w:sz w:val="22"/>
          <w:szCs w:val="22"/>
          <w:highlight w:val="none"/>
          <w:lang w:eastAsia="zh-CN"/>
        </w:rPr>
        <w:t>供应商</w:t>
      </w:r>
      <w:r>
        <w:rPr>
          <w:rFonts w:hint="eastAsia" w:ascii="新宋体" w:hAnsi="新宋体" w:eastAsia="新宋体"/>
          <w:bCs/>
          <w:color w:val="000000"/>
          <w:sz w:val="22"/>
          <w:szCs w:val="22"/>
          <w:highlight w:val="none"/>
        </w:rPr>
        <w:t>必须派员工与</w:t>
      </w:r>
      <w:r>
        <w:rPr>
          <w:rFonts w:hint="eastAsia" w:ascii="新宋体" w:hAnsi="新宋体" w:eastAsia="新宋体"/>
          <w:bCs/>
          <w:color w:val="000000"/>
          <w:sz w:val="22"/>
          <w:szCs w:val="22"/>
          <w:highlight w:val="none"/>
          <w:lang w:eastAsia="zh-CN"/>
        </w:rPr>
        <w:t>采购人</w:t>
      </w:r>
      <w:r>
        <w:rPr>
          <w:rFonts w:hint="eastAsia" w:ascii="新宋体" w:hAnsi="新宋体" w:eastAsia="新宋体"/>
          <w:bCs/>
          <w:color w:val="000000"/>
          <w:sz w:val="22"/>
          <w:szCs w:val="22"/>
          <w:highlight w:val="none"/>
        </w:rPr>
        <w:t>在约定时间一起按供货清单进行开箱清点验收，若有缺少或损坏，</w:t>
      </w:r>
      <w:r>
        <w:rPr>
          <w:rFonts w:hint="eastAsia" w:ascii="新宋体" w:hAnsi="新宋体" w:eastAsia="新宋体"/>
          <w:bCs/>
          <w:color w:val="000000"/>
          <w:sz w:val="22"/>
          <w:szCs w:val="22"/>
          <w:highlight w:val="none"/>
          <w:lang w:eastAsia="zh-CN"/>
        </w:rPr>
        <w:t>供应商</w:t>
      </w:r>
      <w:r>
        <w:rPr>
          <w:rFonts w:hint="eastAsia" w:ascii="新宋体" w:hAnsi="新宋体" w:eastAsia="新宋体"/>
          <w:bCs/>
          <w:color w:val="000000"/>
          <w:sz w:val="22"/>
          <w:szCs w:val="22"/>
          <w:highlight w:val="none"/>
        </w:rPr>
        <w:t>应立即补足</w:t>
      </w:r>
      <w:r>
        <w:rPr>
          <w:rFonts w:hint="eastAsia" w:ascii="新宋体" w:hAnsi="新宋体" w:eastAsia="新宋体"/>
          <w:bCs/>
          <w:color w:val="000000"/>
          <w:sz w:val="22"/>
          <w:szCs w:val="22"/>
          <w:highlight w:val="none"/>
          <w:lang w:val="en-US" w:eastAsia="zh-CN"/>
        </w:rPr>
        <w:t>或</w:t>
      </w:r>
      <w:r>
        <w:rPr>
          <w:rFonts w:hint="eastAsia" w:ascii="新宋体" w:hAnsi="新宋体" w:eastAsia="新宋体"/>
          <w:bCs/>
          <w:color w:val="000000"/>
          <w:sz w:val="22"/>
          <w:szCs w:val="22"/>
          <w:highlight w:val="none"/>
        </w:rPr>
        <w:t>更换</w:t>
      </w:r>
      <w:r>
        <w:rPr>
          <w:rFonts w:hint="eastAsia" w:ascii="新宋体" w:hAnsi="新宋体" w:eastAsia="新宋体"/>
          <w:bCs/>
          <w:color w:val="000000"/>
          <w:sz w:val="22"/>
          <w:szCs w:val="22"/>
          <w:highlight w:val="none"/>
          <w:lang w:eastAsia="zh-CN"/>
        </w:rPr>
        <w:t>采购人</w:t>
      </w:r>
      <w:r>
        <w:rPr>
          <w:rFonts w:hint="eastAsia" w:ascii="新宋体" w:hAnsi="新宋体" w:eastAsia="新宋体"/>
          <w:bCs/>
          <w:color w:val="000000"/>
          <w:sz w:val="22"/>
          <w:szCs w:val="22"/>
          <w:highlight w:val="none"/>
        </w:rPr>
        <w:t>认可的全新同规格产品，并承担相关费用直至使</w:t>
      </w:r>
      <w:r>
        <w:rPr>
          <w:rFonts w:hint="eastAsia" w:ascii="新宋体" w:hAnsi="新宋体" w:eastAsia="新宋体"/>
          <w:bCs/>
          <w:color w:val="000000"/>
          <w:sz w:val="22"/>
          <w:szCs w:val="22"/>
          <w:highlight w:val="none"/>
          <w:lang w:eastAsia="zh-CN"/>
        </w:rPr>
        <w:t>采购人</w:t>
      </w:r>
      <w:r>
        <w:rPr>
          <w:rFonts w:hint="eastAsia" w:ascii="新宋体" w:hAnsi="新宋体" w:eastAsia="新宋体"/>
          <w:bCs/>
          <w:color w:val="000000"/>
          <w:sz w:val="22"/>
          <w:szCs w:val="22"/>
          <w:highlight w:val="none"/>
        </w:rPr>
        <w:t>满意为止。</w:t>
      </w:r>
    </w:p>
    <w:p w14:paraId="06FEA95C">
      <w:pPr>
        <w:spacing w:line="440" w:lineRule="exact"/>
        <w:ind w:firstLine="442" w:firstLineChars="200"/>
        <w:rPr>
          <w:rFonts w:hint="eastAsia" w:ascii="新宋体" w:hAnsi="新宋体" w:eastAsia="新宋体" w:cstheme="majorBidi"/>
          <w:b/>
          <w:bCs/>
          <w:color w:val="000000"/>
          <w:kern w:val="2"/>
          <w:sz w:val="22"/>
          <w:szCs w:val="22"/>
          <w:highlight w:val="none"/>
          <w:lang w:val="en-US" w:eastAsia="zh-CN" w:bidi="ar-SA"/>
        </w:rPr>
      </w:pPr>
      <w:r>
        <w:rPr>
          <w:rFonts w:hint="eastAsia" w:ascii="新宋体" w:hAnsi="新宋体" w:eastAsia="新宋体" w:cstheme="majorBidi"/>
          <w:b/>
          <w:bCs/>
          <w:color w:val="000000"/>
          <w:kern w:val="2"/>
          <w:sz w:val="22"/>
          <w:szCs w:val="22"/>
          <w:highlight w:val="none"/>
          <w:lang w:val="en-US" w:eastAsia="zh-CN" w:bidi="ar-SA"/>
        </w:rPr>
        <w:t>2.产品安装调试</w:t>
      </w:r>
    </w:p>
    <w:p w14:paraId="6967D987">
      <w:pPr>
        <w:spacing w:line="440" w:lineRule="exact"/>
        <w:ind w:firstLine="440" w:firstLineChars="200"/>
        <w:rPr>
          <w:rFonts w:hint="eastAsia" w:ascii="新宋体" w:hAnsi="新宋体" w:eastAsia="新宋体"/>
          <w:color w:val="000000"/>
          <w:sz w:val="22"/>
          <w:szCs w:val="22"/>
          <w:highlight w:val="none"/>
        </w:rPr>
      </w:pPr>
      <w:r>
        <w:rPr>
          <w:rFonts w:hint="eastAsia" w:ascii="新宋体" w:hAnsi="新宋体" w:eastAsia="新宋体"/>
          <w:bCs/>
          <w:color w:val="000000"/>
          <w:kern w:val="0"/>
          <w:sz w:val="22"/>
          <w:szCs w:val="22"/>
          <w:highlight w:val="none"/>
          <w:lang w:eastAsia="zh-CN"/>
        </w:rPr>
        <w:t>（</w:t>
      </w:r>
      <w:r>
        <w:rPr>
          <w:rFonts w:hint="eastAsia" w:ascii="新宋体" w:hAnsi="新宋体" w:eastAsia="新宋体"/>
          <w:bCs/>
          <w:color w:val="000000"/>
          <w:kern w:val="0"/>
          <w:sz w:val="22"/>
          <w:szCs w:val="22"/>
          <w:highlight w:val="none"/>
          <w:lang w:val="en-US" w:eastAsia="zh-CN"/>
        </w:rPr>
        <w:t>1</w:t>
      </w:r>
      <w:r>
        <w:rPr>
          <w:rFonts w:hint="eastAsia" w:ascii="新宋体" w:hAnsi="新宋体" w:eastAsia="新宋体"/>
          <w:bCs/>
          <w:color w:val="000000"/>
          <w:kern w:val="0"/>
          <w:sz w:val="22"/>
          <w:szCs w:val="22"/>
          <w:highlight w:val="none"/>
          <w:lang w:eastAsia="zh-CN"/>
        </w:rPr>
        <w:t>）</w:t>
      </w:r>
      <w:r>
        <w:rPr>
          <w:rFonts w:hint="eastAsia" w:ascii="新宋体" w:hAnsi="新宋体" w:eastAsia="新宋体"/>
          <w:bCs/>
          <w:color w:val="000000"/>
          <w:kern w:val="0"/>
          <w:sz w:val="22"/>
          <w:szCs w:val="22"/>
          <w:highlight w:val="none"/>
        </w:rPr>
        <w:t>产品</w:t>
      </w:r>
      <w:r>
        <w:rPr>
          <w:rFonts w:hint="eastAsia" w:ascii="新宋体" w:hAnsi="新宋体" w:eastAsia="新宋体"/>
          <w:color w:val="000000"/>
          <w:sz w:val="22"/>
          <w:szCs w:val="22"/>
          <w:highlight w:val="none"/>
        </w:rPr>
        <w:t>的安装必须符合</w:t>
      </w:r>
      <w:r>
        <w:rPr>
          <w:rFonts w:hint="eastAsia" w:ascii="新宋体" w:hAnsi="新宋体" w:eastAsia="新宋体" w:cs="新宋体"/>
          <w:color w:val="000000"/>
          <w:sz w:val="22"/>
          <w:szCs w:val="22"/>
          <w:highlight w:val="none"/>
        </w:rPr>
        <w:t>国家及行业（或厂家）的技术标准和要求，</w:t>
      </w:r>
      <w:r>
        <w:rPr>
          <w:rFonts w:hint="eastAsia" w:ascii="新宋体" w:hAnsi="新宋体" w:eastAsia="新宋体"/>
          <w:color w:val="000000"/>
          <w:sz w:val="22"/>
          <w:szCs w:val="22"/>
          <w:highlight w:val="none"/>
          <w:lang w:eastAsia="zh-CN"/>
        </w:rPr>
        <w:t>采购人</w:t>
      </w:r>
      <w:r>
        <w:rPr>
          <w:rFonts w:hint="eastAsia" w:ascii="新宋体" w:hAnsi="新宋体" w:eastAsia="新宋体"/>
          <w:color w:val="000000"/>
          <w:sz w:val="22"/>
          <w:szCs w:val="22"/>
          <w:highlight w:val="none"/>
        </w:rPr>
        <w:t>将对产品的安装质量进行监督。</w:t>
      </w:r>
    </w:p>
    <w:p w14:paraId="7055BF71">
      <w:pPr>
        <w:spacing w:line="440" w:lineRule="exact"/>
        <w:ind w:right="-92" w:rightChars="-44" w:firstLine="440" w:firstLineChars="200"/>
        <w:rPr>
          <w:rFonts w:hint="eastAsia" w:ascii="新宋体" w:hAnsi="新宋体" w:eastAsia="新宋体"/>
          <w:color w:val="000000"/>
          <w:sz w:val="22"/>
          <w:szCs w:val="22"/>
          <w:highlight w:val="none"/>
        </w:rPr>
      </w:pPr>
      <w:r>
        <w:rPr>
          <w:rFonts w:hint="eastAsia" w:ascii="新宋体" w:hAnsi="新宋体" w:eastAsia="新宋体"/>
          <w:bCs/>
          <w:color w:val="000000"/>
          <w:kern w:val="0"/>
          <w:sz w:val="22"/>
          <w:szCs w:val="22"/>
          <w:highlight w:val="none"/>
          <w:lang w:eastAsia="zh-CN"/>
        </w:rPr>
        <w:t>（</w:t>
      </w:r>
      <w:r>
        <w:rPr>
          <w:rFonts w:hint="eastAsia" w:ascii="新宋体" w:hAnsi="新宋体" w:eastAsia="新宋体"/>
          <w:bCs/>
          <w:color w:val="000000"/>
          <w:kern w:val="0"/>
          <w:sz w:val="22"/>
          <w:szCs w:val="22"/>
          <w:highlight w:val="none"/>
          <w:lang w:val="en-US" w:eastAsia="zh-CN"/>
        </w:rPr>
        <w:t>2</w:t>
      </w:r>
      <w:r>
        <w:rPr>
          <w:rFonts w:hint="eastAsia" w:ascii="新宋体" w:hAnsi="新宋体" w:eastAsia="新宋体"/>
          <w:bCs/>
          <w:color w:val="000000"/>
          <w:kern w:val="0"/>
          <w:sz w:val="22"/>
          <w:szCs w:val="22"/>
          <w:highlight w:val="none"/>
          <w:lang w:eastAsia="zh-CN"/>
        </w:rPr>
        <w:t>）</w:t>
      </w:r>
      <w:r>
        <w:rPr>
          <w:rFonts w:hint="eastAsia" w:ascii="新宋体" w:hAnsi="新宋体" w:eastAsia="新宋体"/>
          <w:bCs/>
          <w:color w:val="000000"/>
          <w:kern w:val="0"/>
          <w:sz w:val="22"/>
          <w:szCs w:val="22"/>
          <w:highlight w:val="none"/>
        </w:rPr>
        <w:t>产品安装完成后，</w:t>
      </w:r>
      <w:r>
        <w:rPr>
          <w:rFonts w:hint="eastAsia" w:ascii="新宋体" w:hAnsi="新宋体" w:eastAsia="新宋体"/>
          <w:bCs/>
          <w:color w:val="000000"/>
          <w:kern w:val="0"/>
          <w:sz w:val="22"/>
          <w:szCs w:val="22"/>
          <w:highlight w:val="none"/>
          <w:lang w:eastAsia="zh-CN"/>
        </w:rPr>
        <w:t>供应商</w:t>
      </w:r>
      <w:r>
        <w:rPr>
          <w:rFonts w:hint="eastAsia" w:ascii="新宋体" w:hAnsi="新宋体" w:eastAsia="新宋体"/>
          <w:bCs/>
          <w:color w:val="000000"/>
          <w:kern w:val="0"/>
          <w:sz w:val="22"/>
          <w:szCs w:val="22"/>
          <w:highlight w:val="none"/>
        </w:rPr>
        <w:t>应按调试计划对产品进行调试，调试完成后，</w:t>
      </w:r>
      <w:r>
        <w:rPr>
          <w:rFonts w:hint="eastAsia" w:ascii="新宋体" w:hAnsi="新宋体" w:eastAsia="新宋体"/>
          <w:bCs/>
          <w:color w:val="000000"/>
          <w:kern w:val="0"/>
          <w:sz w:val="22"/>
          <w:szCs w:val="22"/>
          <w:highlight w:val="none"/>
          <w:lang w:eastAsia="zh-CN"/>
        </w:rPr>
        <w:t>供应商</w:t>
      </w:r>
      <w:r>
        <w:rPr>
          <w:rFonts w:hint="eastAsia" w:ascii="新宋体" w:hAnsi="新宋体" w:eastAsia="新宋体"/>
          <w:bCs/>
          <w:color w:val="000000"/>
          <w:kern w:val="0"/>
          <w:sz w:val="22"/>
          <w:szCs w:val="22"/>
          <w:highlight w:val="none"/>
        </w:rPr>
        <w:t>和</w:t>
      </w:r>
      <w:r>
        <w:rPr>
          <w:rFonts w:hint="eastAsia" w:ascii="新宋体" w:hAnsi="新宋体" w:eastAsia="新宋体"/>
          <w:bCs/>
          <w:color w:val="000000"/>
          <w:kern w:val="0"/>
          <w:sz w:val="22"/>
          <w:szCs w:val="22"/>
          <w:highlight w:val="none"/>
          <w:lang w:eastAsia="zh-CN"/>
        </w:rPr>
        <w:t>采购人</w:t>
      </w:r>
      <w:r>
        <w:rPr>
          <w:rFonts w:hint="eastAsia" w:ascii="新宋体" w:hAnsi="新宋体" w:eastAsia="新宋体"/>
          <w:bCs/>
          <w:color w:val="000000"/>
          <w:kern w:val="0"/>
          <w:sz w:val="22"/>
          <w:szCs w:val="22"/>
          <w:highlight w:val="none"/>
        </w:rPr>
        <w:t>共同按照招标文件、投标文件以及合同要求，对产品相关功能和技术性能指标进行逐一测试。测试结果不符合采购技术要求及投标响应的，</w:t>
      </w:r>
      <w:r>
        <w:rPr>
          <w:rFonts w:hint="eastAsia" w:ascii="新宋体" w:hAnsi="新宋体" w:eastAsia="新宋体"/>
          <w:bCs/>
          <w:color w:val="000000"/>
          <w:kern w:val="0"/>
          <w:sz w:val="22"/>
          <w:szCs w:val="22"/>
          <w:highlight w:val="none"/>
          <w:lang w:eastAsia="zh-CN"/>
        </w:rPr>
        <w:t>供应商</w:t>
      </w:r>
      <w:r>
        <w:rPr>
          <w:rFonts w:hint="eastAsia" w:ascii="新宋体" w:hAnsi="新宋体" w:eastAsia="新宋体"/>
          <w:bCs/>
          <w:color w:val="000000"/>
          <w:kern w:val="0"/>
          <w:sz w:val="22"/>
          <w:szCs w:val="22"/>
          <w:highlight w:val="none"/>
        </w:rPr>
        <w:t>应及时予以处理，直至测试合格，期间发生的一切相关</w:t>
      </w:r>
      <w:r>
        <w:rPr>
          <w:rFonts w:hint="eastAsia" w:ascii="新宋体" w:hAnsi="新宋体" w:eastAsia="新宋体"/>
          <w:color w:val="000000"/>
          <w:sz w:val="22"/>
          <w:szCs w:val="22"/>
          <w:highlight w:val="none"/>
        </w:rPr>
        <w:t>费用由</w:t>
      </w:r>
      <w:r>
        <w:rPr>
          <w:rFonts w:hint="eastAsia" w:ascii="新宋体" w:hAnsi="新宋体" w:eastAsia="新宋体"/>
          <w:color w:val="000000"/>
          <w:sz w:val="22"/>
          <w:szCs w:val="22"/>
          <w:highlight w:val="none"/>
          <w:lang w:eastAsia="zh-CN"/>
        </w:rPr>
        <w:t>供应商</w:t>
      </w:r>
      <w:r>
        <w:rPr>
          <w:rFonts w:hint="eastAsia" w:ascii="新宋体" w:hAnsi="新宋体" w:eastAsia="新宋体"/>
          <w:color w:val="000000"/>
          <w:sz w:val="22"/>
          <w:szCs w:val="22"/>
          <w:highlight w:val="none"/>
        </w:rPr>
        <w:t>承担，</w:t>
      </w:r>
      <w:r>
        <w:rPr>
          <w:rFonts w:hint="eastAsia" w:ascii="新宋体" w:hAnsi="新宋体" w:eastAsia="新宋体"/>
          <w:color w:val="000000"/>
          <w:sz w:val="22"/>
          <w:szCs w:val="22"/>
          <w:highlight w:val="none"/>
          <w:lang w:eastAsia="zh-CN"/>
        </w:rPr>
        <w:t>采购人</w:t>
      </w:r>
      <w:r>
        <w:rPr>
          <w:rFonts w:hint="eastAsia" w:ascii="新宋体" w:hAnsi="新宋体" w:eastAsia="新宋体"/>
          <w:color w:val="000000"/>
          <w:sz w:val="22"/>
          <w:szCs w:val="22"/>
          <w:highlight w:val="none"/>
        </w:rPr>
        <w:t>保留向</w:t>
      </w:r>
      <w:r>
        <w:rPr>
          <w:rFonts w:hint="eastAsia" w:ascii="新宋体" w:hAnsi="新宋体" w:eastAsia="新宋体"/>
          <w:color w:val="000000"/>
          <w:sz w:val="22"/>
          <w:szCs w:val="22"/>
          <w:highlight w:val="none"/>
          <w:lang w:eastAsia="zh-CN"/>
        </w:rPr>
        <w:t>供应商</w:t>
      </w:r>
      <w:r>
        <w:rPr>
          <w:rFonts w:hint="eastAsia" w:ascii="新宋体" w:hAnsi="新宋体" w:eastAsia="新宋体"/>
          <w:color w:val="000000"/>
          <w:sz w:val="22"/>
          <w:szCs w:val="22"/>
          <w:highlight w:val="none"/>
        </w:rPr>
        <w:t>索赔的权利。</w:t>
      </w:r>
    </w:p>
    <w:p w14:paraId="76B9CC2A">
      <w:pPr>
        <w:spacing w:line="440" w:lineRule="exact"/>
        <w:ind w:firstLine="442" w:firstLineChars="200"/>
        <w:rPr>
          <w:rFonts w:hint="eastAsia" w:ascii="新宋体" w:hAnsi="新宋体" w:eastAsia="新宋体" w:cstheme="majorBidi"/>
          <w:b/>
          <w:bCs/>
          <w:color w:val="000000"/>
          <w:kern w:val="2"/>
          <w:sz w:val="22"/>
          <w:szCs w:val="22"/>
          <w:highlight w:val="none"/>
          <w:lang w:val="en-US" w:eastAsia="zh-CN" w:bidi="ar-SA"/>
        </w:rPr>
      </w:pPr>
      <w:r>
        <w:rPr>
          <w:rFonts w:hint="eastAsia" w:ascii="新宋体" w:hAnsi="新宋体" w:eastAsia="新宋体" w:cstheme="majorBidi"/>
          <w:b/>
          <w:bCs/>
          <w:color w:val="000000"/>
          <w:kern w:val="2"/>
          <w:sz w:val="22"/>
          <w:szCs w:val="22"/>
          <w:highlight w:val="none"/>
          <w:lang w:val="en-US" w:eastAsia="zh-CN" w:bidi="ar-SA"/>
        </w:rPr>
        <w:t xml:space="preserve">3.货物验收 </w:t>
      </w:r>
    </w:p>
    <w:p w14:paraId="285A17A8">
      <w:pPr>
        <w:spacing w:line="440" w:lineRule="exact"/>
        <w:ind w:left="548" w:leftChars="104" w:hanging="330" w:hangingChars="150"/>
        <w:rPr>
          <w:rFonts w:hint="eastAsia" w:ascii="宋体" w:hAnsi="宋体"/>
          <w:color w:val="000000"/>
          <w:sz w:val="22"/>
          <w:szCs w:val="22"/>
          <w:highlight w:val="none"/>
        </w:rPr>
      </w:pPr>
      <w:r>
        <w:rPr>
          <w:rFonts w:hint="eastAsia" w:ascii="宋体" w:hAnsi="宋体"/>
          <w:color w:val="000000"/>
          <w:sz w:val="22"/>
          <w:szCs w:val="22"/>
          <w:highlight w:val="none"/>
        </w:rPr>
        <w:t>（1）验收标准</w:t>
      </w:r>
    </w:p>
    <w:p w14:paraId="56094B9C">
      <w:pPr>
        <w:spacing w:line="440" w:lineRule="exact"/>
        <w:ind w:left="550" w:hanging="550" w:hangingChars="250"/>
        <w:rPr>
          <w:rFonts w:hint="eastAsia" w:ascii="宋体" w:hAnsi="宋体"/>
          <w:color w:val="000000"/>
          <w:sz w:val="22"/>
          <w:szCs w:val="22"/>
          <w:highlight w:val="none"/>
        </w:rPr>
      </w:pPr>
      <w:r>
        <w:rPr>
          <w:rFonts w:hint="eastAsia" w:ascii="宋体" w:hAnsi="宋体"/>
          <w:color w:val="000000"/>
          <w:sz w:val="22"/>
          <w:szCs w:val="22"/>
          <w:highlight w:val="none"/>
        </w:rPr>
        <w:t xml:space="preserve"> </w:t>
      </w:r>
      <w:r>
        <w:rPr>
          <w:rFonts w:hint="eastAsia" w:ascii="宋体" w:hAnsi="宋体"/>
          <w:color w:val="000000"/>
          <w:sz w:val="22"/>
          <w:szCs w:val="22"/>
          <w:highlight w:val="none"/>
          <w:lang w:val="en-US" w:eastAsia="zh-CN"/>
        </w:rPr>
        <w:t xml:space="preserve"> </w:t>
      </w:r>
      <w:r>
        <w:rPr>
          <w:rFonts w:hint="eastAsia" w:ascii="宋体" w:hAnsi="宋体"/>
          <w:color w:val="000000"/>
          <w:sz w:val="22"/>
          <w:szCs w:val="22"/>
          <w:highlight w:val="none"/>
        </w:rPr>
        <w:t xml:space="preserve"> 1）交付产品应符合以下要求：</w:t>
      </w:r>
    </w:p>
    <w:p w14:paraId="3CE630AF">
      <w:pPr>
        <w:spacing w:line="400" w:lineRule="exact"/>
        <w:ind w:firstLine="330" w:firstLineChars="15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① 国家及行业（或厂家）的标准和要求；</w:t>
      </w:r>
    </w:p>
    <w:p w14:paraId="54A7039D">
      <w:pPr>
        <w:spacing w:line="400" w:lineRule="exact"/>
        <w:ind w:firstLine="330" w:firstLineChars="15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②</w:t>
      </w:r>
      <w:r>
        <w:rPr>
          <w:rFonts w:hint="eastAsia" w:ascii="新宋体" w:hAnsi="新宋体" w:eastAsia="新宋体" w:cs="新宋体"/>
          <w:color w:val="000000"/>
          <w:sz w:val="22"/>
          <w:szCs w:val="22"/>
          <w:highlight w:val="none"/>
          <w:lang w:eastAsia="zh-CN"/>
        </w:rPr>
        <w:t>供应商</w:t>
      </w:r>
      <w:r>
        <w:rPr>
          <w:rFonts w:hint="eastAsia" w:ascii="新宋体" w:hAnsi="新宋体" w:eastAsia="新宋体" w:cs="新宋体"/>
          <w:color w:val="000000"/>
          <w:sz w:val="22"/>
          <w:szCs w:val="22"/>
          <w:highlight w:val="none"/>
        </w:rPr>
        <w:t>在针对本项目的投标文件中所明示达到的各项技术指标要求和服务要求。</w:t>
      </w:r>
    </w:p>
    <w:p w14:paraId="30BA05AC">
      <w:pPr>
        <w:spacing w:line="440" w:lineRule="exact"/>
        <w:ind w:firstLine="440" w:firstLineChars="200"/>
        <w:rPr>
          <w:rFonts w:hint="eastAsia" w:ascii="新宋体" w:hAnsi="新宋体" w:eastAsia="新宋体" w:cs="新宋体"/>
          <w:bCs/>
          <w:color w:val="000000"/>
          <w:sz w:val="22"/>
          <w:szCs w:val="22"/>
          <w:highlight w:val="none"/>
        </w:rPr>
      </w:pPr>
      <w:r>
        <w:rPr>
          <w:rFonts w:hint="eastAsia" w:ascii="新宋体" w:hAnsi="新宋体" w:eastAsia="新宋体" w:cs="新宋体"/>
          <w:bCs/>
          <w:color w:val="000000"/>
          <w:sz w:val="22"/>
          <w:szCs w:val="22"/>
          <w:highlight w:val="none"/>
        </w:rPr>
        <w:t>2）</w:t>
      </w:r>
      <w:r>
        <w:rPr>
          <w:rFonts w:hint="eastAsia" w:ascii="新宋体" w:hAnsi="新宋体" w:eastAsia="新宋体" w:cs="新宋体"/>
          <w:bCs/>
          <w:color w:val="000000"/>
          <w:sz w:val="22"/>
          <w:szCs w:val="22"/>
          <w:highlight w:val="none"/>
          <w:lang w:eastAsia="zh-CN"/>
        </w:rPr>
        <w:t>采购人</w:t>
      </w:r>
      <w:r>
        <w:rPr>
          <w:rFonts w:hint="eastAsia" w:ascii="新宋体" w:hAnsi="新宋体" w:eastAsia="新宋体" w:cs="新宋体"/>
          <w:bCs/>
          <w:color w:val="000000"/>
          <w:sz w:val="22"/>
          <w:szCs w:val="22"/>
          <w:highlight w:val="none"/>
        </w:rPr>
        <w:t>组织进行验收，如果产品的技术性能和质量与合同要求不符，或在规定的质量保证期内证实产品具有缺陷的，包括潜在缺陷或使用不符合要求的材料，</w:t>
      </w:r>
      <w:r>
        <w:rPr>
          <w:rFonts w:hint="eastAsia" w:ascii="新宋体" w:hAnsi="新宋体" w:eastAsia="新宋体" w:cs="新宋体"/>
          <w:bCs/>
          <w:color w:val="000000"/>
          <w:sz w:val="22"/>
          <w:szCs w:val="22"/>
          <w:highlight w:val="none"/>
          <w:lang w:eastAsia="zh-CN"/>
        </w:rPr>
        <w:t>采购人</w:t>
      </w:r>
      <w:r>
        <w:rPr>
          <w:rFonts w:hint="eastAsia" w:ascii="新宋体" w:hAnsi="新宋体" w:eastAsia="新宋体" w:cs="新宋体"/>
          <w:bCs/>
          <w:color w:val="000000"/>
          <w:sz w:val="22"/>
          <w:szCs w:val="22"/>
          <w:highlight w:val="none"/>
        </w:rPr>
        <w:t>有权向</w:t>
      </w:r>
      <w:r>
        <w:rPr>
          <w:rFonts w:hint="eastAsia" w:ascii="新宋体" w:hAnsi="新宋体" w:eastAsia="新宋体" w:cs="新宋体"/>
          <w:bCs/>
          <w:color w:val="000000"/>
          <w:sz w:val="22"/>
          <w:szCs w:val="22"/>
          <w:highlight w:val="none"/>
          <w:lang w:eastAsia="zh-CN"/>
        </w:rPr>
        <w:t>供应商</w:t>
      </w:r>
      <w:r>
        <w:rPr>
          <w:rFonts w:hint="eastAsia" w:ascii="新宋体" w:hAnsi="新宋体" w:eastAsia="新宋体" w:cs="新宋体"/>
          <w:bCs/>
          <w:color w:val="000000"/>
          <w:sz w:val="22"/>
          <w:szCs w:val="22"/>
          <w:highlight w:val="none"/>
        </w:rPr>
        <w:t>追究违约责任。</w:t>
      </w:r>
    </w:p>
    <w:p w14:paraId="074A954D">
      <w:pPr>
        <w:spacing w:line="400" w:lineRule="exact"/>
        <w:ind w:firstLine="220" w:firstLineChars="100"/>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（2）验收方法</w:t>
      </w:r>
    </w:p>
    <w:p w14:paraId="31C8EA93">
      <w:pPr>
        <w:spacing w:line="440" w:lineRule="exact"/>
        <w:ind w:firstLine="440" w:firstLineChars="200"/>
        <w:rPr>
          <w:rFonts w:hint="eastAsia" w:ascii="新宋体" w:hAnsi="新宋体" w:eastAsia="新宋体"/>
          <w:color w:val="000000"/>
          <w:sz w:val="22"/>
          <w:szCs w:val="22"/>
          <w:highlight w:val="none"/>
        </w:rPr>
      </w:pPr>
      <w:r>
        <w:rPr>
          <w:rFonts w:hint="eastAsia" w:ascii="新宋体" w:hAnsi="新宋体" w:eastAsia="新宋体" w:cs="新宋体"/>
          <w:bCs/>
          <w:sz w:val="22"/>
          <w:szCs w:val="22"/>
          <w:highlight w:val="none"/>
        </w:rPr>
        <w:t>1）</w:t>
      </w:r>
      <w:r>
        <w:rPr>
          <w:rFonts w:hint="eastAsia" w:ascii="新宋体" w:hAnsi="新宋体" w:eastAsia="新宋体"/>
          <w:color w:val="000000"/>
          <w:sz w:val="22"/>
          <w:szCs w:val="22"/>
          <w:highlight w:val="none"/>
        </w:rPr>
        <w:t>产品经过调试测试及试运行后一切运行正常，且存在的故障和隐患均已全部排除或解决，技术资料已向</w:t>
      </w:r>
      <w:r>
        <w:rPr>
          <w:rFonts w:hint="eastAsia" w:ascii="新宋体" w:hAnsi="新宋体" w:eastAsia="新宋体"/>
          <w:color w:val="000000"/>
          <w:sz w:val="22"/>
          <w:szCs w:val="22"/>
          <w:highlight w:val="none"/>
          <w:lang w:eastAsia="zh-CN"/>
        </w:rPr>
        <w:t>采购人</w:t>
      </w:r>
      <w:r>
        <w:rPr>
          <w:rFonts w:hint="eastAsia" w:ascii="新宋体" w:hAnsi="新宋体" w:eastAsia="新宋体"/>
          <w:color w:val="000000"/>
          <w:sz w:val="22"/>
          <w:szCs w:val="22"/>
          <w:highlight w:val="none"/>
        </w:rPr>
        <w:t>提交并已被接受，</w:t>
      </w:r>
      <w:r>
        <w:rPr>
          <w:rFonts w:hint="eastAsia" w:ascii="新宋体" w:hAnsi="新宋体" w:eastAsia="新宋体"/>
          <w:color w:val="000000"/>
          <w:sz w:val="22"/>
          <w:szCs w:val="22"/>
          <w:highlight w:val="none"/>
          <w:lang w:eastAsia="zh-CN"/>
        </w:rPr>
        <w:t>供应商</w:t>
      </w:r>
      <w:r>
        <w:rPr>
          <w:rFonts w:hint="eastAsia" w:ascii="新宋体" w:hAnsi="新宋体" w:eastAsia="新宋体"/>
          <w:color w:val="000000"/>
          <w:sz w:val="22"/>
          <w:szCs w:val="22"/>
          <w:highlight w:val="none"/>
        </w:rPr>
        <w:t>可以向</w:t>
      </w:r>
      <w:r>
        <w:rPr>
          <w:rFonts w:hint="eastAsia" w:ascii="新宋体" w:hAnsi="新宋体" w:eastAsia="新宋体"/>
          <w:color w:val="000000"/>
          <w:sz w:val="22"/>
          <w:szCs w:val="22"/>
          <w:highlight w:val="none"/>
          <w:lang w:eastAsia="zh-CN"/>
        </w:rPr>
        <w:t>采购人</w:t>
      </w:r>
      <w:r>
        <w:rPr>
          <w:rFonts w:hint="eastAsia" w:ascii="新宋体" w:hAnsi="新宋体" w:eastAsia="新宋体"/>
          <w:color w:val="000000"/>
          <w:sz w:val="22"/>
          <w:szCs w:val="22"/>
          <w:highlight w:val="none"/>
        </w:rPr>
        <w:t>提出验收申请。</w:t>
      </w:r>
    </w:p>
    <w:p w14:paraId="0F3FB882">
      <w:pPr>
        <w:spacing w:line="440" w:lineRule="exact"/>
        <w:ind w:firstLine="440" w:firstLineChars="200"/>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2）验收小组应当按照采购文件、投标文件、采购合同等约定的质量、数量、技术指标或者服务要求设置验收指标及其标准。验收时，应当按照采购合同的约定对每一项技术、服务、安全标准的履约情况进行确认。验收小组必须做好验收记录。验收记录要准确、详细记载采购项目重要事项的履约情况。</w:t>
      </w:r>
    </w:p>
    <w:p w14:paraId="2694BBE1">
      <w:pPr>
        <w:spacing w:line="440" w:lineRule="exact"/>
        <w:ind w:firstLine="440" w:firstLineChars="200"/>
        <w:rPr>
          <w:rFonts w:hint="eastAsia" w:ascii="新宋体" w:hAnsi="新宋体" w:eastAsia="新宋体"/>
          <w:bCs/>
          <w:color w:val="000000"/>
          <w:kern w:val="0"/>
          <w:sz w:val="22"/>
          <w:szCs w:val="22"/>
          <w:highlight w:val="none"/>
        </w:rPr>
      </w:pPr>
      <w:r>
        <w:rPr>
          <w:rFonts w:hint="eastAsia" w:ascii="新宋体" w:hAnsi="新宋体" w:eastAsia="新宋体"/>
          <w:bCs/>
          <w:color w:val="000000"/>
          <w:kern w:val="0"/>
          <w:sz w:val="22"/>
          <w:szCs w:val="22"/>
          <w:highlight w:val="none"/>
          <w:lang w:val="en-US" w:eastAsia="zh-CN"/>
        </w:rPr>
        <w:t>3）</w:t>
      </w:r>
      <w:r>
        <w:rPr>
          <w:rFonts w:hint="eastAsia" w:ascii="新宋体" w:hAnsi="新宋体" w:eastAsia="新宋体"/>
          <w:bCs/>
          <w:color w:val="000000"/>
          <w:kern w:val="0"/>
          <w:sz w:val="22"/>
          <w:szCs w:val="22"/>
          <w:highlight w:val="none"/>
          <w:lang w:eastAsia="zh-CN"/>
        </w:rPr>
        <w:t>供应商</w:t>
      </w:r>
      <w:r>
        <w:rPr>
          <w:rFonts w:hint="eastAsia" w:ascii="新宋体" w:hAnsi="新宋体" w:eastAsia="新宋体"/>
          <w:bCs/>
          <w:color w:val="000000"/>
          <w:kern w:val="0"/>
          <w:sz w:val="22"/>
          <w:szCs w:val="22"/>
          <w:highlight w:val="none"/>
        </w:rPr>
        <w:t>在产品到货、安装、调试、测试、试运行和验收期间应接受</w:t>
      </w:r>
      <w:r>
        <w:rPr>
          <w:rFonts w:hint="eastAsia" w:ascii="新宋体" w:hAnsi="新宋体" w:eastAsia="新宋体"/>
          <w:bCs/>
          <w:color w:val="000000"/>
          <w:kern w:val="0"/>
          <w:sz w:val="22"/>
          <w:szCs w:val="22"/>
          <w:highlight w:val="none"/>
          <w:lang w:eastAsia="zh-CN"/>
        </w:rPr>
        <w:t>采购人</w:t>
      </w:r>
      <w:r>
        <w:rPr>
          <w:rFonts w:hint="eastAsia" w:ascii="新宋体" w:hAnsi="新宋体" w:eastAsia="新宋体"/>
          <w:bCs/>
          <w:color w:val="000000"/>
          <w:kern w:val="0"/>
          <w:sz w:val="22"/>
          <w:szCs w:val="22"/>
          <w:highlight w:val="none"/>
        </w:rPr>
        <w:t>的协调和管理，</w:t>
      </w:r>
      <w:r>
        <w:rPr>
          <w:rFonts w:hint="eastAsia" w:ascii="新宋体" w:hAnsi="新宋体" w:eastAsia="新宋体"/>
          <w:bCs/>
          <w:color w:val="000000"/>
          <w:kern w:val="0"/>
          <w:sz w:val="22"/>
          <w:szCs w:val="22"/>
          <w:highlight w:val="none"/>
          <w:lang w:eastAsia="zh-CN"/>
        </w:rPr>
        <w:t>供应商</w:t>
      </w:r>
      <w:r>
        <w:rPr>
          <w:rFonts w:hint="eastAsia" w:ascii="新宋体" w:hAnsi="新宋体" w:eastAsia="新宋体"/>
          <w:bCs/>
          <w:color w:val="000000"/>
          <w:kern w:val="0"/>
          <w:sz w:val="22"/>
          <w:szCs w:val="22"/>
          <w:highlight w:val="none"/>
        </w:rPr>
        <w:t>应采取严格的安全措施，承担由于自身原因所造成的事故责任及其发生的一切费用。</w:t>
      </w:r>
    </w:p>
    <w:p w14:paraId="071256BF">
      <w:pPr>
        <w:pStyle w:val="5"/>
        <w:spacing w:before="0" w:after="0" w:line="440" w:lineRule="exact"/>
        <w:rPr>
          <w:rFonts w:hint="eastAsia" w:ascii="新宋体" w:hAnsi="新宋体" w:eastAsia="新宋体"/>
          <w:bCs w:val="0"/>
          <w:color w:val="000000"/>
          <w:kern w:val="0"/>
          <w:sz w:val="22"/>
          <w:szCs w:val="22"/>
          <w:highlight w:val="none"/>
        </w:rPr>
      </w:pPr>
      <w:bookmarkStart w:id="36" w:name="_Toc29502768"/>
      <w:bookmarkStart w:id="37" w:name="_Toc22244"/>
      <w:bookmarkStart w:id="38" w:name="_Toc27480"/>
      <w:r>
        <w:rPr>
          <w:rFonts w:hint="eastAsia" w:ascii="新宋体" w:hAnsi="新宋体" w:eastAsia="新宋体"/>
          <w:bCs w:val="0"/>
          <w:color w:val="000000"/>
          <w:kern w:val="0"/>
          <w:sz w:val="22"/>
          <w:szCs w:val="22"/>
          <w:highlight w:val="none"/>
          <w:lang w:val="en-US" w:eastAsia="zh-CN"/>
        </w:rPr>
        <w:t>5、</w:t>
      </w:r>
      <w:r>
        <w:rPr>
          <w:rFonts w:hint="eastAsia" w:ascii="新宋体" w:hAnsi="新宋体" w:eastAsia="新宋体"/>
          <w:bCs w:val="0"/>
          <w:color w:val="000000"/>
          <w:kern w:val="0"/>
          <w:sz w:val="22"/>
          <w:szCs w:val="22"/>
          <w:highlight w:val="none"/>
        </w:rPr>
        <w:t>产品质量保修和标准</w:t>
      </w:r>
      <w:bookmarkEnd w:id="36"/>
      <w:bookmarkEnd w:id="37"/>
      <w:bookmarkEnd w:id="38"/>
    </w:p>
    <w:p w14:paraId="2152C019">
      <w:pPr>
        <w:spacing w:line="440" w:lineRule="exact"/>
        <w:ind w:firstLine="442" w:firstLineChars="200"/>
        <w:jc w:val="left"/>
        <w:rPr>
          <w:rFonts w:hint="eastAsia" w:ascii="新宋体" w:hAnsi="新宋体" w:eastAsia="新宋体" w:cs="宋体"/>
          <w:b/>
          <w:color w:val="000000"/>
          <w:kern w:val="0"/>
          <w:sz w:val="22"/>
          <w:szCs w:val="22"/>
          <w:highlight w:val="none"/>
        </w:rPr>
      </w:pPr>
      <w:r>
        <w:rPr>
          <w:rFonts w:hint="eastAsia" w:ascii="新宋体" w:hAnsi="新宋体" w:eastAsia="新宋体" w:cs="新宋体"/>
          <w:b/>
          <w:color w:val="000000"/>
          <w:sz w:val="22"/>
          <w:szCs w:val="22"/>
          <w:highlight w:val="none"/>
          <w:lang w:val="en-US" w:eastAsia="zh-CN"/>
        </w:rPr>
        <w:t>1.</w:t>
      </w:r>
      <w:r>
        <w:rPr>
          <w:rFonts w:hint="eastAsia" w:ascii="新宋体" w:hAnsi="新宋体" w:eastAsia="新宋体" w:cs="新宋体"/>
          <w:b/>
          <w:color w:val="000000"/>
          <w:sz w:val="22"/>
          <w:szCs w:val="22"/>
          <w:highlight w:val="none"/>
        </w:rPr>
        <w:t>▲</w:t>
      </w:r>
      <w:r>
        <w:rPr>
          <w:rFonts w:hint="eastAsia" w:ascii="新宋体" w:hAnsi="新宋体" w:eastAsia="新宋体"/>
          <w:b/>
          <w:color w:val="000000"/>
          <w:sz w:val="22"/>
          <w:szCs w:val="22"/>
          <w:highlight w:val="none"/>
          <w:u w:val="single"/>
        </w:rPr>
        <w:t>本项目所有产品提供</w:t>
      </w:r>
      <w:r>
        <w:rPr>
          <w:rFonts w:hint="eastAsia" w:ascii="新宋体" w:hAnsi="新宋体" w:eastAsia="新宋体" w:cs="新宋体"/>
          <w:b/>
          <w:bCs/>
          <w:sz w:val="22"/>
          <w:szCs w:val="22"/>
          <w:highlight w:val="none"/>
          <w:u w:val="single"/>
        </w:rPr>
        <w:t>自验收合格之日起不少于</w:t>
      </w:r>
      <w:r>
        <w:rPr>
          <w:rFonts w:hint="eastAsia" w:ascii="新宋体" w:hAnsi="新宋体" w:eastAsia="新宋体" w:cs="新宋体"/>
          <w:b/>
          <w:bCs/>
          <w:sz w:val="22"/>
          <w:szCs w:val="22"/>
          <w:highlight w:val="none"/>
          <w:u w:val="single"/>
          <w:lang w:eastAsia="zh-CN"/>
        </w:rPr>
        <w:t>三</w:t>
      </w:r>
      <w:r>
        <w:rPr>
          <w:rFonts w:hint="eastAsia" w:ascii="新宋体" w:hAnsi="新宋体" w:eastAsia="新宋体" w:cs="新宋体"/>
          <w:b/>
          <w:bCs/>
          <w:sz w:val="22"/>
          <w:szCs w:val="22"/>
          <w:highlight w:val="none"/>
          <w:u w:val="single"/>
        </w:rPr>
        <w:t>年的免费原厂质保</w:t>
      </w:r>
      <w:r>
        <w:rPr>
          <w:rFonts w:hint="eastAsia" w:ascii="新宋体" w:hAnsi="新宋体" w:eastAsia="新宋体"/>
          <w:b/>
          <w:color w:val="000000"/>
          <w:sz w:val="22"/>
          <w:szCs w:val="22"/>
          <w:highlight w:val="none"/>
          <w:u w:val="single"/>
        </w:rPr>
        <w:t>。</w:t>
      </w:r>
      <w:r>
        <w:rPr>
          <w:rFonts w:hint="eastAsia" w:ascii="新宋体" w:hAnsi="新宋体" w:eastAsia="新宋体"/>
          <w:b/>
          <w:color w:val="000000"/>
          <w:sz w:val="22"/>
          <w:szCs w:val="22"/>
          <w:highlight w:val="none"/>
        </w:rPr>
        <w:t>如厂商本身承诺的产品</w:t>
      </w:r>
      <w:r>
        <w:rPr>
          <w:rFonts w:hint="eastAsia" w:ascii="新宋体" w:hAnsi="新宋体" w:eastAsia="新宋体"/>
          <w:b/>
          <w:color w:val="000000"/>
          <w:sz w:val="22"/>
          <w:highlight w:val="none"/>
        </w:rPr>
        <w:t>质保期高于标书要求的则按照厂商承诺执行，</w:t>
      </w:r>
      <w:r>
        <w:rPr>
          <w:rFonts w:hint="eastAsia" w:ascii="新宋体" w:hAnsi="新宋体" w:eastAsia="新宋体" w:cs="宋体"/>
          <w:b/>
          <w:color w:val="000000"/>
          <w:kern w:val="0"/>
          <w:sz w:val="22"/>
          <w:szCs w:val="22"/>
          <w:highlight w:val="none"/>
        </w:rPr>
        <w:t>质保期结束后提供终身维修。</w:t>
      </w:r>
    </w:p>
    <w:p w14:paraId="7DB697C1">
      <w:pPr>
        <w:spacing w:line="440" w:lineRule="exact"/>
        <w:ind w:firstLine="440" w:firstLineChars="200"/>
        <w:jc w:val="left"/>
        <w:rPr>
          <w:rFonts w:hint="eastAsia" w:ascii="新宋体" w:hAnsi="新宋体" w:eastAsia="新宋体"/>
          <w:color w:val="000000"/>
          <w:sz w:val="22"/>
          <w:szCs w:val="22"/>
          <w:highlight w:val="none"/>
          <w:lang w:val="zh-CN"/>
        </w:rPr>
      </w:pPr>
      <w:r>
        <w:rPr>
          <w:rFonts w:hint="eastAsia" w:ascii="新宋体" w:hAnsi="新宋体" w:eastAsia="新宋体"/>
          <w:color w:val="000000"/>
          <w:sz w:val="22"/>
          <w:szCs w:val="22"/>
          <w:highlight w:val="none"/>
          <w:lang w:val="en-US" w:eastAsia="zh-CN"/>
        </w:rPr>
        <w:t>2.</w:t>
      </w:r>
      <w:r>
        <w:rPr>
          <w:rFonts w:hint="eastAsia" w:ascii="新宋体" w:hAnsi="新宋体" w:eastAsia="新宋体"/>
          <w:color w:val="000000"/>
          <w:sz w:val="22"/>
          <w:szCs w:val="22"/>
          <w:highlight w:val="none"/>
        </w:rPr>
        <w:t>供应商所提供的产品必须是在中国境内合法销售，原装全新出厂产品，</w:t>
      </w:r>
      <w:r>
        <w:rPr>
          <w:rFonts w:hint="eastAsia" w:ascii="新宋体" w:hAnsi="新宋体" w:eastAsia="新宋体"/>
          <w:color w:val="000000"/>
          <w:sz w:val="22"/>
          <w:szCs w:val="22"/>
          <w:highlight w:val="none"/>
          <w:lang w:val="zh-CN"/>
        </w:rPr>
        <w:t>产品外观清洁，标记编号以及盘面显示等字体清晰、明确，</w:t>
      </w:r>
      <w:r>
        <w:rPr>
          <w:rFonts w:hint="eastAsia" w:ascii="新宋体" w:hAnsi="新宋体" w:eastAsia="新宋体"/>
          <w:color w:val="000000"/>
          <w:sz w:val="22"/>
          <w:szCs w:val="22"/>
          <w:highlight w:val="none"/>
        </w:rPr>
        <w:t>技术规格、技术标准必须符合采购要求，以及国家及该产品的出厂标准。</w:t>
      </w:r>
    </w:p>
    <w:p w14:paraId="49525E56">
      <w:pPr>
        <w:spacing w:line="440" w:lineRule="exact"/>
        <w:ind w:firstLine="440" w:firstLineChars="200"/>
        <w:jc w:val="left"/>
        <w:rPr>
          <w:rFonts w:hint="eastAsia" w:ascii="新宋体" w:hAnsi="新宋体" w:eastAsia="新宋体"/>
          <w:color w:val="000000"/>
          <w:sz w:val="22"/>
          <w:szCs w:val="22"/>
          <w:highlight w:val="none"/>
        </w:rPr>
      </w:pPr>
      <w:r>
        <w:rPr>
          <w:rFonts w:hint="eastAsia" w:ascii="新宋体" w:hAnsi="新宋体" w:eastAsia="新宋体"/>
          <w:color w:val="000000"/>
          <w:sz w:val="22"/>
          <w:szCs w:val="22"/>
          <w:highlight w:val="none"/>
          <w:lang w:val="en-US" w:eastAsia="zh-CN"/>
        </w:rPr>
        <w:t>3.</w:t>
      </w:r>
      <w:r>
        <w:rPr>
          <w:rFonts w:hint="eastAsia" w:ascii="新宋体" w:hAnsi="新宋体" w:eastAsia="新宋体"/>
          <w:color w:val="000000"/>
          <w:sz w:val="22"/>
          <w:szCs w:val="22"/>
          <w:highlight w:val="none"/>
        </w:rPr>
        <w:t>供应商应保证其提供的产品中所有预装和为本项目安装的软件和固件均为最新的具有合法版权或使用权的正版软件且无质量瑕疵。</w:t>
      </w:r>
    </w:p>
    <w:p w14:paraId="5F1886F3">
      <w:pPr>
        <w:spacing w:line="440" w:lineRule="exact"/>
        <w:ind w:left="546" w:leftChars="260" w:firstLine="0" w:firstLineChars="0"/>
        <w:jc w:val="left"/>
        <w:rPr>
          <w:rFonts w:hint="eastAsia" w:ascii="新宋体" w:hAnsi="新宋体" w:eastAsia="新宋体"/>
          <w:color w:val="000000"/>
          <w:sz w:val="22"/>
          <w:szCs w:val="22"/>
          <w:highlight w:val="none"/>
        </w:rPr>
      </w:pPr>
      <w:r>
        <w:rPr>
          <w:rFonts w:hint="eastAsia" w:ascii="新宋体" w:hAnsi="新宋体" w:eastAsia="新宋体"/>
          <w:color w:val="000000"/>
          <w:sz w:val="22"/>
          <w:szCs w:val="22"/>
          <w:highlight w:val="none"/>
          <w:lang w:val="en-US" w:eastAsia="zh-CN"/>
        </w:rPr>
        <w:t>4.</w:t>
      </w:r>
      <w:r>
        <w:rPr>
          <w:rFonts w:hint="eastAsia" w:ascii="新宋体" w:hAnsi="新宋体" w:eastAsia="新宋体"/>
          <w:color w:val="000000"/>
          <w:sz w:val="22"/>
          <w:szCs w:val="22"/>
          <w:highlight w:val="none"/>
        </w:rPr>
        <w:t>保期内，由供应商联同厂家共同负责相关售后服务工作。</w:t>
      </w:r>
    </w:p>
    <w:p w14:paraId="44060133">
      <w:pPr>
        <w:pStyle w:val="5"/>
        <w:spacing w:before="0" w:after="0" w:line="440" w:lineRule="exact"/>
        <w:rPr>
          <w:rFonts w:hint="eastAsia" w:ascii="新宋体" w:hAnsi="新宋体" w:eastAsia="新宋体"/>
          <w:color w:val="000000"/>
          <w:sz w:val="22"/>
          <w:szCs w:val="22"/>
          <w:highlight w:val="none"/>
        </w:rPr>
      </w:pPr>
      <w:bookmarkStart w:id="39" w:name="_Toc23138"/>
      <w:bookmarkStart w:id="40" w:name="_Toc13091"/>
      <w:bookmarkStart w:id="41" w:name="_Toc29502770"/>
      <w:r>
        <w:rPr>
          <w:rFonts w:hint="eastAsia" w:ascii="新宋体" w:hAnsi="新宋体" w:eastAsia="新宋体"/>
          <w:color w:val="000000"/>
          <w:sz w:val="22"/>
          <w:szCs w:val="22"/>
          <w:highlight w:val="none"/>
          <w:lang w:val="en-US" w:eastAsia="zh-CN"/>
        </w:rPr>
        <w:t>6、</w:t>
      </w:r>
      <w:r>
        <w:rPr>
          <w:rFonts w:hint="eastAsia" w:ascii="新宋体" w:hAnsi="新宋体" w:eastAsia="新宋体"/>
          <w:color w:val="000000"/>
          <w:sz w:val="22"/>
          <w:szCs w:val="22"/>
          <w:highlight w:val="none"/>
        </w:rPr>
        <w:t>售后服务</w:t>
      </w:r>
      <w:bookmarkEnd w:id="39"/>
      <w:bookmarkEnd w:id="40"/>
      <w:bookmarkEnd w:id="41"/>
    </w:p>
    <w:p w14:paraId="7D461608">
      <w:pPr>
        <w:spacing w:line="440" w:lineRule="exact"/>
        <w:ind w:firstLine="440" w:firstLineChars="200"/>
        <w:jc w:val="left"/>
        <w:rPr>
          <w:rFonts w:hint="eastAsia" w:ascii="新宋体" w:hAnsi="新宋体" w:eastAsia="新宋体"/>
          <w:color w:val="000000"/>
          <w:sz w:val="22"/>
          <w:szCs w:val="22"/>
          <w:highlight w:val="none"/>
        </w:rPr>
      </w:pPr>
      <w:bookmarkStart w:id="42" w:name="_Toc14744"/>
      <w:r>
        <w:rPr>
          <w:rFonts w:hint="eastAsia" w:ascii="新宋体" w:hAnsi="新宋体" w:eastAsia="新宋体"/>
          <w:color w:val="000000"/>
          <w:sz w:val="22"/>
          <w:szCs w:val="22"/>
          <w:highlight w:val="none"/>
        </w:rPr>
        <w:t>在质量保修期内产品一旦发生故障，而</w:t>
      </w:r>
      <w:r>
        <w:rPr>
          <w:rFonts w:hint="eastAsia" w:ascii="新宋体" w:hAnsi="新宋体" w:eastAsia="新宋体"/>
          <w:color w:val="000000"/>
          <w:sz w:val="22"/>
          <w:szCs w:val="22"/>
          <w:highlight w:val="none"/>
          <w:lang w:eastAsia="zh-CN"/>
        </w:rPr>
        <w:t>采购人</w:t>
      </w:r>
      <w:r>
        <w:rPr>
          <w:rFonts w:hint="eastAsia" w:ascii="新宋体" w:hAnsi="新宋体" w:eastAsia="新宋体"/>
          <w:color w:val="000000"/>
          <w:sz w:val="22"/>
          <w:szCs w:val="22"/>
          <w:highlight w:val="none"/>
        </w:rPr>
        <w:t>无法自行排除的，在接到</w:t>
      </w:r>
      <w:r>
        <w:rPr>
          <w:rFonts w:hint="eastAsia" w:ascii="新宋体" w:hAnsi="新宋体" w:eastAsia="新宋体"/>
          <w:color w:val="000000"/>
          <w:sz w:val="22"/>
          <w:szCs w:val="22"/>
          <w:highlight w:val="none"/>
          <w:lang w:eastAsia="zh-CN"/>
        </w:rPr>
        <w:t>采购人</w:t>
      </w:r>
      <w:r>
        <w:rPr>
          <w:rFonts w:hint="eastAsia" w:ascii="新宋体" w:hAnsi="新宋体" w:eastAsia="新宋体"/>
          <w:color w:val="000000"/>
          <w:sz w:val="22"/>
          <w:szCs w:val="22"/>
          <w:highlight w:val="none"/>
        </w:rPr>
        <w:t>报障通知后，乙方应在4小时内作出响应，对于远程指导不能排除故障时，一般故障在 48小时内修复，重大故障在5天内修复，如不能修复时，应立即免费提供备机或备品备件予以更换，保障产品的正常运作。维修使用的备品备件及易损件应为原厂配件，未经</w:t>
      </w:r>
      <w:r>
        <w:rPr>
          <w:rFonts w:hint="eastAsia" w:ascii="新宋体" w:hAnsi="新宋体" w:eastAsia="新宋体"/>
          <w:color w:val="000000"/>
          <w:sz w:val="22"/>
          <w:szCs w:val="22"/>
          <w:highlight w:val="none"/>
          <w:lang w:eastAsia="zh-CN"/>
        </w:rPr>
        <w:t>采购人</w:t>
      </w:r>
      <w:r>
        <w:rPr>
          <w:rFonts w:hint="eastAsia" w:ascii="新宋体" w:hAnsi="新宋体" w:eastAsia="新宋体"/>
          <w:color w:val="000000"/>
          <w:sz w:val="22"/>
          <w:szCs w:val="22"/>
          <w:highlight w:val="none"/>
        </w:rPr>
        <w:t>同意不得使用非原厂配件；更换配件的质量保修期从更换之日起相应顺延。</w:t>
      </w:r>
    </w:p>
    <w:p w14:paraId="5FD32E10">
      <w:pPr>
        <w:pStyle w:val="5"/>
        <w:spacing w:before="0" w:after="0" w:line="440" w:lineRule="exact"/>
        <w:rPr>
          <w:rFonts w:hint="eastAsia" w:ascii="新宋体" w:hAnsi="新宋体" w:eastAsia="新宋体"/>
          <w:color w:val="000000"/>
          <w:sz w:val="22"/>
          <w:szCs w:val="22"/>
          <w:highlight w:val="none"/>
        </w:rPr>
      </w:pPr>
      <w:r>
        <w:rPr>
          <w:rFonts w:hint="eastAsia" w:ascii="新宋体" w:hAnsi="新宋体" w:eastAsia="新宋体"/>
          <w:color w:val="000000"/>
          <w:sz w:val="22"/>
          <w:szCs w:val="22"/>
          <w:highlight w:val="none"/>
          <w:lang w:val="en-US" w:eastAsia="zh-CN"/>
        </w:rPr>
        <w:t>7、</w:t>
      </w:r>
      <w:r>
        <w:rPr>
          <w:rFonts w:hint="eastAsia" w:ascii="新宋体" w:hAnsi="新宋体" w:eastAsia="新宋体"/>
          <w:color w:val="000000"/>
          <w:sz w:val="22"/>
          <w:szCs w:val="22"/>
          <w:highlight w:val="none"/>
        </w:rPr>
        <w:t>人员培训</w:t>
      </w:r>
      <w:bookmarkEnd w:id="42"/>
    </w:p>
    <w:p w14:paraId="2004970D">
      <w:pPr>
        <w:spacing w:line="440" w:lineRule="exact"/>
        <w:ind w:firstLine="440" w:firstLineChars="200"/>
        <w:rPr>
          <w:rFonts w:hint="eastAsia" w:ascii="新宋体" w:hAnsi="新宋体" w:eastAsia="新宋体"/>
          <w:color w:val="000000"/>
          <w:sz w:val="22"/>
          <w:szCs w:val="22"/>
          <w:highlight w:val="none"/>
        </w:rPr>
      </w:pPr>
      <w:r>
        <w:rPr>
          <w:rFonts w:hint="eastAsia" w:ascii="新宋体" w:hAnsi="新宋体" w:eastAsia="新宋体"/>
          <w:color w:val="000000"/>
          <w:sz w:val="22"/>
          <w:szCs w:val="22"/>
          <w:highlight w:val="none"/>
          <w:lang w:eastAsia="zh-CN"/>
        </w:rPr>
        <w:t>中标人</w:t>
      </w:r>
      <w:r>
        <w:rPr>
          <w:rFonts w:hint="eastAsia" w:ascii="新宋体" w:hAnsi="新宋体" w:eastAsia="新宋体"/>
          <w:color w:val="000000"/>
          <w:sz w:val="22"/>
          <w:szCs w:val="22"/>
          <w:highlight w:val="none"/>
        </w:rPr>
        <w:t>在产品安装、调试结束后，应立即指派具备同类产品3年及以上培训经验的技术人员对</w:t>
      </w:r>
      <w:r>
        <w:rPr>
          <w:rFonts w:hint="eastAsia" w:ascii="新宋体" w:hAnsi="新宋体" w:eastAsia="新宋体"/>
          <w:color w:val="000000"/>
          <w:sz w:val="22"/>
          <w:szCs w:val="22"/>
          <w:highlight w:val="none"/>
          <w:lang w:eastAsia="zh-CN"/>
        </w:rPr>
        <w:t>采购方</w:t>
      </w:r>
      <w:r>
        <w:rPr>
          <w:rFonts w:hint="eastAsia" w:ascii="新宋体" w:hAnsi="新宋体" w:eastAsia="新宋体"/>
          <w:color w:val="000000"/>
          <w:sz w:val="22"/>
          <w:szCs w:val="22"/>
          <w:highlight w:val="none"/>
        </w:rPr>
        <w:t>人员进行免费培训，培训</w:t>
      </w:r>
      <w:r>
        <w:rPr>
          <w:rFonts w:hint="eastAsia" w:ascii="新宋体" w:hAnsi="新宋体" w:eastAsia="新宋体" w:cs="新宋体"/>
          <w:bCs/>
          <w:color w:val="000000"/>
          <w:sz w:val="22"/>
          <w:szCs w:val="22"/>
          <w:highlight w:val="none"/>
        </w:rPr>
        <w:t>内容包括产品的基本原理、结构、</w:t>
      </w:r>
      <w:r>
        <w:rPr>
          <w:rFonts w:hint="eastAsia" w:ascii="宋体" w:hAnsi="宋体" w:cs="宋体"/>
          <w:kern w:val="0"/>
          <w:highlight w:val="none"/>
          <w:lang w:val="zh-CN"/>
        </w:rPr>
        <w:t>安装、操作、数据处理、维护维修</w:t>
      </w:r>
      <w:r>
        <w:rPr>
          <w:rFonts w:hint="eastAsia" w:ascii="宋体" w:hAnsi="宋体" w:cs="宋体"/>
          <w:kern w:val="0"/>
          <w:highlight w:val="none"/>
        </w:rPr>
        <w:t>等</w:t>
      </w:r>
      <w:r>
        <w:rPr>
          <w:rFonts w:hint="eastAsia" w:ascii="新宋体" w:hAnsi="新宋体" w:eastAsia="新宋体"/>
          <w:color w:val="000000"/>
          <w:sz w:val="22"/>
          <w:szCs w:val="22"/>
          <w:highlight w:val="none"/>
        </w:rPr>
        <w:t>，并指导操作人员学习并具备独立正确操作使用和维护能力。</w:t>
      </w:r>
    </w:p>
    <w:p w14:paraId="063E12F1">
      <w:pPr>
        <w:pStyle w:val="72"/>
        <w:spacing w:line="460" w:lineRule="exact"/>
        <w:ind w:firstLine="0" w:firstLineChars="0"/>
        <w:rPr>
          <w:rFonts w:hint="eastAsia" w:ascii="宋体" w:hAnsi="宋体" w:eastAsia="宋体" w:cs="Arial"/>
          <w:b/>
          <w:kern w:val="2"/>
          <w:sz w:val="24"/>
          <w:szCs w:val="24"/>
          <w:highlight w:val="none"/>
          <w:lang w:val="en-US" w:eastAsia="zh-CN" w:bidi="ar-SA"/>
        </w:rPr>
      </w:pPr>
      <w:r>
        <w:rPr>
          <w:rFonts w:hint="eastAsia" w:ascii="宋体" w:hAnsi="宋体" w:eastAsia="宋体" w:cs="Arial"/>
          <w:b/>
          <w:kern w:val="2"/>
          <w:sz w:val="24"/>
          <w:szCs w:val="24"/>
          <w:highlight w:val="none"/>
          <w:lang w:val="en-US" w:eastAsia="zh-CN" w:bidi="ar-SA"/>
        </w:rPr>
        <w:t>三、</w:t>
      </w:r>
      <w:r>
        <w:rPr>
          <w:rFonts w:hint="eastAsia" w:ascii="新宋体" w:hAnsi="新宋体" w:eastAsia="新宋体"/>
          <w:color w:val="000000"/>
          <w:sz w:val="22"/>
          <w:szCs w:val="22"/>
          <w:highlight w:val="none"/>
        </w:rPr>
        <w:t>▲</w:t>
      </w:r>
      <w:r>
        <w:rPr>
          <w:rFonts w:hint="eastAsia" w:ascii="宋体" w:hAnsi="宋体" w:eastAsia="宋体" w:cs="Arial"/>
          <w:b/>
          <w:kern w:val="2"/>
          <w:sz w:val="24"/>
          <w:szCs w:val="24"/>
          <w:highlight w:val="none"/>
          <w:lang w:val="en-US" w:eastAsia="zh-CN" w:bidi="ar-SA"/>
        </w:rPr>
        <w:t>商务需求</w:t>
      </w:r>
    </w:p>
    <w:p w14:paraId="7BB6118C">
      <w:pPr>
        <w:spacing w:line="440" w:lineRule="exact"/>
        <w:ind w:firstLine="442" w:firstLineChars="200"/>
        <w:rPr>
          <w:rFonts w:hint="eastAsia" w:ascii="新宋体" w:hAnsi="新宋体" w:eastAsia="新宋体" w:cs="Times New Roman"/>
          <w:color w:val="000000"/>
          <w:sz w:val="22"/>
          <w:szCs w:val="22"/>
          <w:highlight w:val="none"/>
          <w:lang w:val="en-US" w:eastAsia="zh-CN"/>
        </w:rPr>
      </w:pPr>
      <w:r>
        <w:rPr>
          <w:rFonts w:hint="eastAsia" w:ascii="新宋体" w:hAnsi="新宋体" w:eastAsia="新宋体" w:cs="Times New Roman"/>
          <w:b/>
          <w:bCs/>
          <w:color w:val="000000"/>
          <w:sz w:val="22"/>
          <w:szCs w:val="22"/>
          <w:highlight w:val="none"/>
          <w:lang w:val="en-US" w:eastAsia="zh-CN"/>
        </w:rPr>
        <w:t>1、预算价（</w:t>
      </w:r>
      <w:r>
        <w:rPr>
          <w:rFonts w:hint="eastAsia" w:ascii="新宋体" w:hAnsi="新宋体" w:eastAsia="新宋体" w:cs="Times New Roman"/>
          <w:b/>
          <w:bCs/>
          <w:color w:val="000000"/>
          <w:sz w:val="22"/>
          <w:szCs w:val="22"/>
          <w:highlight w:val="none"/>
          <w:lang w:eastAsia="zh-CN"/>
        </w:rPr>
        <w:t>上限价）</w:t>
      </w:r>
      <w:r>
        <w:rPr>
          <w:rFonts w:hint="eastAsia" w:ascii="新宋体" w:hAnsi="新宋体" w:eastAsia="新宋体" w:cs="Times New Roman"/>
          <w:b/>
          <w:bCs/>
          <w:color w:val="000000"/>
          <w:sz w:val="22"/>
          <w:szCs w:val="22"/>
          <w:highlight w:val="none"/>
          <w:lang w:val="en-US" w:eastAsia="zh-CN"/>
        </w:rPr>
        <w:t>：</w:t>
      </w:r>
      <w:r>
        <w:rPr>
          <w:rFonts w:hint="eastAsia" w:ascii="新宋体" w:hAnsi="新宋体" w:eastAsia="新宋体" w:cs="Times New Roman"/>
          <w:color w:val="000000"/>
          <w:sz w:val="22"/>
          <w:szCs w:val="22"/>
          <w:highlight w:val="none"/>
          <w:lang w:val="en-US" w:eastAsia="zh-CN"/>
        </w:rPr>
        <w:t>80</w:t>
      </w:r>
      <w:r>
        <w:rPr>
          <w:rFonts w:hint="eastAsia" w:ascii="新宋体" w:hAnsi="新宋体" w:eastAsia="新宋体" w:cs="Times New Roman"/>
          <w:color w:val="000000"/>
          <w:sz w:val="22"/>
          <w:szCs w:val="22"/>
          <w:highlight w:val="none"/>
          <w:lang w:eastAsia="zh-CN"/>
        </w:rPr>
        <w:t>万元</w:t>
      </w:r>
    </w:p>
    <w:p w14:paraId="42311886">
      <w:pPr>
        <w:spacing w:line="440" w:lineRule="exact"/>
        <w:ind w:firstLine="442" w:firstLineChars="200"/>
        <w:rPr>
          <w:rFonts w:hint="default" w:ascii="新宋体" w:hAnsi="新宋体" w:eastAsia="新宋体" w:cs="Times New Roman"/>
          <w:color w:val="000000"/>
          <w:sz w:val="22"/>
          <w:szCs w:val="22"/>
          <w:highlight w:val="none"/>
          <w:lang w:val="en-US" w:eastAsia="zh-CN"/>
        </w:rPr>
      </w:pPr>
      <w:r>
        <w:rPr>
          <w:rFonts w:hint="eastAsia" w:ascii="新宋体" w:hAnsi="新宋体" w:eastAsia="新宋体" w:cs="Times New Roman"/>
          <w:b/>
          <w:bCs/>
          <w:color w:val="000000"/>
          <w:sz w:val="22"/>
          <w:szCs w:val="22"/>
          <w:highlight w:val="none"/>
          <w:lang w:val="en-US" w:eastAsia="zh-CN"/>
        </w:rPr>
        <w:t>2、付款方式：</w:t>
      </w:r>
      <w:r>
        <w:rPr>
          <w:rFonts w:hint="eastAsia" w:ascii="新宋体" w:hAnsi="新宋体" w:eastAsia="新宋体" w:cs="Times New Roman"/>
          <w:color w:val="000000"/>
          <w:sz w:val="22"/>
          <w:szCs w:val="22"/>
          <w:highlight w:val="none"/>
          <w:lang w:val="en-US" w:eastAsia="zh-CN"/>
        </w:rPr>
        <w:t>合同签订</w:t>
      </w:r>
      <w:r>
        <w:rPr>
          <w:rFonts w:hint="eastAsia" w:ascii="宋体" w:hAnsi="宋体" w:cs="宋体"/>
          <w:kern w:val="2"/>
          <w:sz w:val="22"/>
          <w:szCs w:val="22"/>
          <w:highlight w:val="none"/>
          <w:lang w:val="en-US" w:eastAsia="zh-CN" w:bidi="ar-SA"/>
        </w:rPr>
        <w:t>后7个工作日内支付合同价40%的预付款，</w:t>
      </w:r>
      <w:r>
        <w:rPr>
          <w:rFonts w:hint="eastAsia" w:ascii="新宋体" w:hAnsi="新宋体" w:eastAsia="新宋体" w:cs="Times New Roman"/>
          <w:color w:val="000000"/>
          <w:sz w:val="22"/>
          <w:szCs w:val="22"/>
          <w:highlight w:val="none"/>
        </w:rPr>
        <w:t>完成所有产品的供货、安装、调试、测试并通过验收</w:t>
      </w:r>
      <w:r>
        <w:rPr>
          <w:rFonts w:hint="eastAsia" w:ascii="新宋体" w:hAnsi="新宋体" w:eastAsia="新宋体" w:cs="Times New Roman"/>
          <w:color w:val="000000"/>
          <w:sz w:val="22"/>
          <w:szCs w:val="22"/>
          <w:highlight w:val="none"/>
          <w:lang w:val="en-US" w:eastAsia="zh-CN"/>
        </w:rPr>
        <w:t>的付清余款。</w:t>
      </w:r>
    </w:p>
    <w:p w14:paraId="159699DF">
      <w:pPr>
        <w:spacing w:line="440" w:lineRule="exact"/>
        <w:ind w:firstLine="442" w:firstLineChars="200"/>
        <w:rPr>
          <w:rFonts w:hint="eastAsia" w:ascii="新宋体" w:hAnsi="新宋体" w:eastAsia="新宋体" w:cs="Times New Roman"/>
          <w:color w:val="000000"/>
          <w:sz w:val="22"/>
          <w:szCs w:val="22"/>
          <w:highlight w:val="none"/>
        </w:rPr>
      </w:pPr>
      <w:r>
        <w:rPr>
          <w:rFonts w:hint="eastAsia" w:ascii="新宋体" w:hAnsi="新宋体" w:eastAsia="新宋体" w:cs="Times New Roman"/>
          <w:b/>
          <w:bCs/>
          <w:color w:val="000000"/>
          <w:sz w:val="22"/>
          <w:szCs w:val="22"/>
          <w:highlight w:val="none"/>
          <w:lang w:val="en-US" w:eastAsia="zh-CN"/>
        </w:rPr>
        <w:t>3、</w:t>
      </w:r>
      <w:r>
        <w:rPr>
          <w:rFonts w:hint="eastAsia" w:ascii="新宋体" w:hAnsi="新宋体" w:eastAsia="新宋体" w:cs="Times New Roman"/>
          <w:b/>
          <w:bCs/>
          <w:color w:val="000000"/>
          <w:sz w:val="22"/>
          <w:szCs w:val="22"/>
          <w:highlight w:val="none"/>
        </w:rPr>
        <w:t>交货时间及地点</w:t>
      </w:r>
      <w:r>
        <w:rPr>
          <w:rFonts w:hint="eastAsia" w:ascii="新宋体" w:hAnsi="新宋体" w:eastAsia="新宋体" w:cs="Times New Roman"/>
          <w:b/>
          <w:bCs/>
          <w:color w:val="000000"/>
          <w:sz w:val="22"/>
          <w:szCs w:val="22"/>
          <w:highlight w:val="none"/>
          <w:lang w:eastAsia="zh-CN"/>
        </w:rPr>
        <w:t>：</w:t>
      </w:r>
      <w:r>
        <w:rPr>
          <w:rFonts w:hint="eastAsia" w:ascii="新宋体" w:hAnsi="新宋体" w:eastAsia="新宋体" w:cs="Times New Roman"/>
          <w:color w:val="000000"/>
          <w:sz w:val="22"/>
          <w:szCs w:val="22"/>
          <w:highlight w:val="none"/>
        </w:rPr>
        <w:t>交货时间：自签订合同之日起</w:t>
      </w:r>
      <w:r>
        <w:rPr>
          <w:rFonts w:hint="eastAsia" w:ascii="新宋体" w:hAnsi="新宋体" w:eastAsia="新宋体" w:cs="Times New Roman"/>
          <w:color w:val="000000"/>
          <w:sz w:val="22"/>
          <w:szCs w:val="22"/>
          <w:highlight w:val="none"/>
          <w:lang w:val="en-US" w:eastAsia="zh-CN"/>
        </w:rPr>
        <w:t>1</w:t>
      </w:r>
      <w:r>
        <w:rPr>
          <w:rFonts w:hint="eastAsia" w:ascii="新宋体" w:hAnsi="新宋体" w:eastAsia="新宋体" w:cs="Times New Roman"/>
          <w:color w:val="000000"/>
          <w:sz w:val="22"/>
          <w:szCs w:val="22"/>
          <w:highlight w:val="none"/>
        </w:rPr>
        <w:t>个月内完成所有产品的供货、安装、调试、测试并通过验收。交货地点：采购</w:t>
      </w:r>
      <w:r>
        <w:rPr>
          <w:rFonts w:hint="eastAsia" w:ascii="新宋体" w:hAnsi="新宋体" w:eastAsia="新宋体" w:cs="Times New Roman"/>
          <w:color w:val="000000"/>
          <w:sz w:val="22"/>
          <w:szCs w:val="22"/>
          <w:highlight w:val="none"/>
          <w:lang w:val="en-US" w:eastAsia="zh-CN"/>
        </w:rPr>
        <w:t>人</w:t>
      </w:r>
      <w:r>
        <w:rPr>
          <w:rFonts w:hint="eastAsia" w:ascii="新宋体" w:hAnsi="新宋体" w:eastAsia="新宋体" w:cs="Times New Roman"/>
          <w:color w:val="000000"/>
          <w:sz w:val="22"/>
          <w:szCs w:val="22"/>
          <w:highlight w:val="none"/>
        </w:rPr>
        <w:t>指定地点。</w:t>
      </w:r>
    </w:p>
    <w:p w14:paraId="16897F74">
      <w:pPr>
        <w:spacing w:line="440" w:lineRule="exact"/>
        <w:ind w:firstLine="442" w:firstLineChars="200"/>
        <w:rPr>
          <w:rFonts w:hint="eastAsia" w:ascii="新宋体" w:hAnsi="新宋体" w:eastAsia="新宋体" w:cs="Times New Roman"/>
          <w:color w:val="000000"/>
          <w:sz w:val="22"/>
          <w:szCs w:val="22"/>
          <w:highlight w:val="none"/>
        </w:rPr>
      </w:pPr>
      <w:r>
        <w:rPr>
          <w:rFonts w:hint="eastAsia" w:ascii="新宋体" w:hAnsi="新宋体" w:eastAsia="新宋体" w:cs="Times New Roman"/>
          <w:b/>
          <w:bCs/>
          <w:color w:val="000000"/>
          <w:sz w:val="22"/>
          <w:szCs w:val="22"/>
          <w:highlight w:val="none"/>
          <w:lang w:val="en-US" w:eastAsia="zh-CN"/>
        </w:rPr>
        <w:t>4、履约保证金：</w:t>
      </w:r>
      <w:r>
        <w:rPr>
          <w:rFonts w:hint="eastAsia" w:ascii="新宋体" w:hAnsi="新宋体" w:eastAsia="新宋体" w:cs="Times New Roman"/>
          <w:color w:val="000000"/>
          <w:sz w:val="22"/>
          <w:szCs w:val="22"/>
          <w:highlight w:val="none"/>
          <w:lang w:val="en-US" w:eastAsia="zh-CN"/>
        </w:rPr>
        <w:t>无</w:t>
      </w:r>
    </w:p>
    <w:p w14:paraId="77846DF7">
      <w:pPr>
        <w:pageBreakBefore/>
        <w:spacing w:line="360" w:lineRule="auto"/>
        <w:jc w:val="center"/>
        <w:rPr>
          <w:rFonts w:ascii="宋体" w:hAnsi="宋体" w:cs="宋体"/>
          <w:b/>
          <w:color w:val="auto"/>
          <w:sz w:val="24"/>
          <w:highlight w:val="none"/>
        </w:rPr>
      </w:pPr>
      <w:r>
        <w:rPr>
          <w:rFonts w:hint="eastAsia" w:ascii="宋体" w:hAnsi="宋体" w:cs="宋体"/>
          <w:b/>
          <w:color w:val="auto"/>
          <w:sz w:val="44"/>
          <w:szCs w:val="44"/>
          <w:highlight w:val="none"/>
        </w:rPr>
        <w:t xml:space="preserve">第五章  </w:t>
      </w:r>
      <w:r>
        <w:rPr>
          <w:rFonts w:hint="eastAsia" w:ascii="宋体" w:hAnsi="宋体" w:cs="宋体"/>
          <w:b/>
          <w:bCs/>
          <w:color w:val="auto"/>
          <w:sz w:val="44"/>
          <w:szCs w:val="44"/>
          <w:highlight w:val="none"/>
        </w:rPr>
        <w:t>合同主要条款</w:t>
      </w:r>
    </w:p>
    <w:p w14:paraId="014A2433">
      <w:pPr>
        <w:pStyle w:val="4"/>
        <w:spacing w:before="120" w:after="120" w:line="400" w:lineRule="exact"/>
        <w:jc w:val="center"/>
        <w:rPr>
          <w:rFonts w:eastAsia="黑体"/>
          <w:b w:val="0"/>
          <w:bCs w:val="0"/>
          <w:color w:val="auto"/>
          <w:sz w:val="32"/>
          <w:highlight w:val="none"/>
        </w:rPr>
      </w:pPr>
      <w:bookmarkStart w:id="43" w:name="_Toc110522930"/>
      <w:r>
        <w:rPr>
          <w:rFonts w:hint="eastAsia" w:ascii="宋体" w:hAnsi="宋体"/>
          <w:color w:val="auto"/>
          <w:sz w:val="21"/>
          <w:szCs w:val="21"/>
          <w:highlight w:val="none"/>
        </w:rPr>
        <w:t>（此稿为合同样本，最终定稿待双方协商后定）</w:t>
      </w:r>
      <w:bookmarkEnd w:id="43"/>
    </w:p>
    <w:p w14:paraId="5709ADEA">
      <w:pPr>
        <w:widowControl/>
        <w:shd w:val="clear" w:color="auto" w:fill="FFFFFF"/>
        <w:spacing w:after="150" w:line="375" w:lineRule="atLeast"/>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以下为成交后签定本项目合同的通用条款，成交供应商不得提出实质性的修改，关于专用条款将由采购人与成交供应商结合本项目具体情况协商后签订。</w:t>
      </w:r>
    </w:p>
    <w:p w14:paraId="0BDE29C6">
      <w:pPr>
        <w:pStyle w:val="19"/>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项目编号：</w:t>
      </w:r>
    </w:p>
    <w:p w14:paraId="38936C62">
      <w:pPr>
        <w:pStyle w:val="19"/>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甲方：（采购单位）                            所在地：                              </w:t>
      </w:r>
    </w:p>
    <w:p w14:paraId="127F4DBA">
      <w:pPr>
        <w:pStyle w:val="19"/>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乙方：（中标供应商）                          所在地：</w:t>
      </w:r>
    </w:p>
    <w:p w14:paraId="393ACCB0">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甲、乙双方根据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(采购组织机构名称）</w:t>
      </w:r>
      <w:r>
        <w:rPr>
          <w:rFonts w:hint="eastAsia" w:ascii="宋体" w:hAnsi="宋体" w:cs="宋体"/>
          <w:color w:val="auto"/>
          <w:sz w:val="24"/>
          <w:szCs w:val="24"/>
          <w:highlight w:val="none"/>
        </w:rPr>
        <w:t>关于</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eastAsia="zh-CN"/>
        </w:rPr>
        <w:t>竞争性磋商</w:t>
      </w:r>
      <w:r>
        <w:rPr>
          <w:rFonts w:hint="eastAsia" w:ascii="宋体" w:hAnsi="宋体" w:cs="宋体"/>
          <w:color w:val="auto"/>
          <w:sz w:val="24"/>
          <w:szCs w:val="24"/>
          <w:highlight w:val="none"/>
        </w:rPr>
        <w:t>的结果，签署本合同。</w:t>
      </w:r>
    </w:p>
    <w:p w14:paraId="7580735F">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一、合同文件：</w:t>
      </w:r>
      <w:r>
        <w:rPr>
          <w:rFonts w:hint="eastAsia" w:ascii="宋体" w:hAnsi="宋体" w:cs="宋体"/>
          <w:color w:val="auto"/>
          <w:sz w:val="24"/>
          <w:szCs w:val="24"/>
          <w:highlight w:val="none"/>
          <w:lang w:val="zh-CN"/>
        </w:rPr>
        <w:t xml:space="preserve"> </w:t>
      </w:r>
    </w:p>
    <w:p w14:paraId="5909789A">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1.合同条款。</w:t>
      </w:r>
    </w:p>
    <w:p w14:paraId="1A4C9B72">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2.中标通知书。</w:t>
      </w:r>
    </w:p>
    <w:p w14:paraId="5B268CF9">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3.更正补充文件。</w:t>
      </w:r>
    </w:p>
    <w:p w14:paraId="7CC271D3">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4.招标文件。</w:t>
      </w:r>
    </w:p>
    <w:p w14:paraId="7D617B79">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5.中标供应商投标文件。</w:t>
      </w:r>
    </w:p>
    <w:p w14:paraId="71FC7618">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6.其他。</w:t>
      </w:r>
    </w:p>
    <w:p w14:paraId="3856D9F4">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color w:val="auto"/>
          <w:sz w:val="24"/>
          <w:szCs w:val="24"/>
          <w:highlight w:val="none"/>
        </w:rPr>
      </w:pPr>
      <w:r>
        <w:rPr>
          <w:rFonts w:hint="eastAsia" w:ascii="宋体" w:hAnsi="宋体" w:eastAsia="宋体" w:cs="宋体"/>
          <w:color w:val="auto"/>
          <w:sz w:val="24"/>
          <w:szCs w:val="24"/>
          <w:highlight w:val="none"/>
          <w:lang w:val="zh-CN"/>
        </w:rPr>
        <w:t>上述所指合同文件应认为是互相补充和解释的，但是有模棱两可或互相矛盾之处，以其所列内容顺序为准。</w:t>
      </w:r>
    </w:p>
    <w:p w14:paraId="0B8C9E69">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cs="宋体"/>
          <w:b/>
          <w:color w:val="auto"/>
          <w:kern w:val="0"/>
          <w:sz w:val="24"/>
          <w:szCs w:val="24"/>
          <w:highlight w:val="none"/>
        </w:rPr>
      </w:pPr>
      <w:r>
        <w:rPr>
          <w:rFonts w:hint="eastAsia" w:ascii="宋体" w:hAnsi="宋体" w:cs="宋体"/>
          <w:b/>
          <w:color w:val="auto"/>
          <w:sz w:val="24"/>
          <w:szCs w:val="24"/>
          <w:highlight w:val="none"/>
        </w:rPr>
        <w:t>二、</w:t>
      </w:r>
      <w:r>
        <w:rPr>
          <w:rFonts w:hint="eastAsia" w:ascii="宋体" w:hAnsi="宋体" w:eastAsia="宋体" w:cs="宋体"/>
          <w:b/>
          <w:sz w:val="24"/>
          <w:szCs w:val="24"/>
          <w:highlight w:val="none"/>
        </w:rPr>
        <w:t>货物</w:t>
      </w:r>
      <w:r>
        <w:rPr>
          <w:rFonts w:hint="eastAsia" w:ascii="宋体" w:hAnsi="宋体" w:cs="宋体"/>
          <w:b/>
          <w:color w:val="auto"/>
          <w:kern w:val="0"/>
          <w:sz w:val="24"/>
          <w:szCs w:val="24"/>
          <w:highlight w:val="none"/>
        </w:rPr>
        <w:t>内容</w:t>
      </w:r>
    </w:p>
    <w:p w14:paraId="4B3F5E88">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（一）货物名称：</w:t>
      </w:r>
    </w:p>
    <w:p w14:paraId="32C90E46">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（二）型号规格：</w:t>
      </w:r>
    </w:p>
    <w:p w14:paraId="4BB8017E">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（三）技术参数：</w:t>
      </w:r>
    </w:p>
    <w:p w14:paraId="78D35E19">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（四）数量（单位）：</w:t>
      </w:r>
    </w:p>
    <w:p w14:paraId="00C703FE">
      <w:pPr>
        <w:pStyle w:val="19"/>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三、合同金额</w:t>
      </w:r>
    </w:p>
    <w:p w14:paraId="50CFCA0B">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本合同金额为（大写）：_____________元（￥_____元）人民币。</w:t>
      </w:r>
    </w:p>
    <w:p w14:paraId="0A568A19">
      <w:pPr>
        <w:pStyle w:val="19"/>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、技术资料</w:t>
      </w:r>
    </w:p>
    <w:p w14:paraId="6133CAFC">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（一）乙方应按</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文件规定的时间向甲方提供使用货物的有关技术资料。</w:t>
      </w:r>
    </w:p>
    <w:p w14:paraId="484D0F57">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5CDCA0B">
      <w:pPr>
        <w:pStyle w:val="19"/>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五</w:t>
      </w:r>
      <w:r>
        <w:rPr>
          <w:rFonts w:hint="eastAsia" w:ascii="宋体" w:hAnsi="宋体" w:eastAsia="宋体" w:cs="宋体"/>
          <w:b/>
          <w:color w:val="auto"/>
          <w:sz w:val="24"/>
          <w:szCs w:val="24"/>
          <w:highlight w:val="none"/>
        </w:rPr>
        <w:t>、知识产权</w:t>
      </w:r>
    </w:p>
    <w:p w14:paraId="21464F55">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（一）乙方应保证所提供的货物或其任何一部分均不会侵犯任何第三方的知识产权。</w:t>
      </w:r>
    </w:p>
    <w:p w14:paraId="4D4EC3B5">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（二）若侵犯,由乙方赔偿甲方因此遭受的损失（包括但不限于应对及追偿过程中所支付的律师费、差旅费、诉讼费、保全费、鉴定费、评估费等）。</w:t>
      </w:r>
    </w:p>
    <w:p w14:paraId="3E4411E2">
      <w:pPr>
        <w:pStyle w:val="19"/>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sz w:val="24"/>
          <w:szCs w:val="24"/>
          <w:highlight w:val="none"/>
          <w:u w:val="single"/>
        </w:rPr>
      </w:pPr>
      <w:r>
        <w:rPr>
          <w:rFonts w:hint="eastAsia" w:ascii="宋体" w:hAnsi="宋体" w:eastAsia="宋体" w:cs="宋体"/>
          <w:b/>
          <w:sz w:val="24"/>
          <w:szCs w:val="24"/>
          <w:highlight w:val="none"/>
        </w:rPr>
        <w:t>六、产权担保</w:t>
      </w:r>
    </w:p>
    <w:p w14:paraId="432C9CAA">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sz w:val="24"/>
          <w:szCs w:val="24"/>
          <w:highlight w:val="none"/>
        </w:rPr>
        <w:t>乙方保证所交付的货物的所有权完全属于乙方且无任何抵押、查封等产权瑕疵</w:t>
      </w:r>
      <w:r>
        <w:rPr>
          <w:rFonts w:hint="eastAsia" w:ascii="宋体" w:hAnsi="宋体" w:eastAsia="宋体" w:cs="宋体"/>
          <w:sz w:val="24"/>
          <w:szCs w:val="24"/>
          <w:highlight w:val="none"/>
          <w:lang w:eastAsia="zh-CN"/>
        </w:rPr>
        <w:t>。</w:t>
      </w:r>
    </w:p>
    <w:p w14:paraId="5EAF4441">
      <w:pPr>
        <w:pStyle w:val="19"/>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、履约保证金</w:t>
      </w:r>
      <w:r>
        <w:rPr>
          <w:rFonts w:hint="eastAsia" w:ascii="宋体" w:hAnsi="宋体" w:eastAsia="宋体" w:cs="宋体"/>
          <w:b/>
          <w:color w:val="auto"/>
          <w:sz w:val="24"/>
          <w:szCs w:val="24"/>
          <w:highlight w:val="none"/>
          <w:lang w:eastAsia="zh-CN"/>
        </w:rPr>
        <w:t>：无。</w:t>
      </w:r>
    </w:p>
    <w:p w14:paraId="2D334DD1">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八</w:t>
      </w:r>
      <w:r>
        <w:rPr>
          <w:rFonts w:hint="eastAsia" w:ascii="宋体" w:hAnsi="宋体" w:cs="宋体"/>
          <w:b/>
          <w:color w:val="auto"/>
          <w:sz w:val="24"/>
          <w:szCs w:val="24"/>
          <w:highlight w:val="none"/>
        </w:rPr>
        <w:t>、转包或分包</w:t>
      </w:r>
    </w:p>
    <w:p w14:paraId="17E4A2BE">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（一）本合同范围的货物，应由乙方直接供应，不得转让他人供应；</w:t>
      </w:r>
    </w:p>
    <w:p w14:paraId="5051C93B">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（二）除非得到甲方的书面同意，乙方不得将本合同范围的货物全部或部分分包给他人供应；</w:t>
      </w:r>
    </w:p>
    <w:p w14:paraId="028281FA">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sz w:val="24"/>
          <w:szCs w:val="24"/>
          <w:highlight w:val="none"/>
        </w:rPr>
        <w:t>（三）如有转让和未经甲方同意的分包行为，甲方有权解除合同，</w:t>
      </w:r>
      <w:r>
        <w:rPr>
          <w:rFonts w:hint="eastAsia" w:ascii="宋体" w:hAnsi="宋体" w:cs="宋体"/>
          <w:sz w:val="24"/>
          <w:szCs w:val="24"/>
          <w:highlight w:val="none"/>
          <w:lang w:eastAsia="zh-CN"/>
        </w:rPr>
        <w:t>并</w:t>
      </w:r>
      <w:r>
        <w:rPr>
          <w:rFonts w:hint="eastAsia" w:ascii="宋体" w:hAnsi="宋体" w:eastAsia="宋体" w:cs="宋体"/>
          <w:sz w:val="24"/>
          <w:szCs w:val="24"/>
          <w:highlight w:val="none"/>
        </w:rPr>
        <w:t>追究乙方的违约责任。</w:t>
      </w:r>
    </w:p>
    <w:p w14:paraId="73F07EAD">
      <w:pPr>
        <w:pStyle w:val="19"/>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九</w:t>
      </w:r>
      <w:r>
        <w:rPr>
          <w:rFonts w:hint="eastAsia" w:ascii="宋体" w:hAnsi="宋体" w:eastAsia="宋体" w:cs="宋体"/>
          <w:b/>
          <w:color w:val="auto"/>
          <w:sz w:val="24"/>
          <w:szCs w:val="24"/>
          <w:highlight w:val="none"/>
        </w:rPr>
        <w:t>、</w:t>
      </w:r>
      <w:r>
        <w:rPr>
          <w:rFonts w:hint="eastAsia" w:ascii="宋体" w:hAnsi="宋体" w:eastAsia="宋体" w:cs="宋体"/>
          <w:b/>
          <w:sz w:val="24"/>
          <w:szCs w:val="24"/>
          <w:highlight w:val="none"/>
          <w:lang w:eastAsia="zh-CN"/>
        </w:rPr>
        <w:t>供货时间</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eastAsia="zh-CN"/>
        </w:rPr>
        <w:t>供货期限、供</w:t>
      </w:r>
      <w:r>
        <w:rPr>
          <w:rFonts w:hint="eastAsia" w:ascii="宋体" w:hAnsi="宋体" w:eastAsia="宋体" w:cs="宋体"/>
          <w:b/>
          <w:sz w:val="24"/>
          <w:szCs w:val="24"/>
          <w:highlight w:val="none"/>
        </w:rPr>
        <w:t>货方式及</w:t>
      </w:r>
      <w:r>
        <w:rPr>
          <w:rFonts w:hint="eastAsia" w:ascii="宋体" w:hAnsi="宋体" w:eastAsia="宋体" w:cs="宋体"/>
          <w:b/>
          <w:sz w:val="24"/>
          <w:szCs w:val="24"/>
          <w:highlight w:val="none"/>
          <w:lang w:eastAsia="zh-CN"/>
        </w:rPr>
        <w:t>供</w:t>
      </w:r>
      <w:r>
        <w:rPr>
          <w:rFonts w:hint="eastAsia" w:ascii="宋体" w:hAnsi="宋体" w:eastAsia="宋体" w:cs="宋体"/>
          <w:b/>
          <w:sz w:val="24"/>
          <w:szCs w:val="24"/>
          <w:highlight w:val="none"/>
        </w:rPr>
        <w:t>货地点</w:t>
      </w:r>
    </w:p>
    <w:p w14:paraId="105193FE">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（一）</w:t>
      </w:r>
      <w:r>
        <w:rPr>
          <w:rFonts w:hint="eastAsia" w:ascii="宋体" w:hAnsi="宋体" w:eastAsia="宋体" w:cs="宋体"/>
          <w:b w:val="0"/>
          <w:bCs w:val="0"/>
          <w:sz w:val="24"/>
          <w:szCs w:val="24"/>
          <w:highlight w:val="none"/>
          <w:lang w:eastAsia="zh-CN"/>
        </w:rPr>
        <w:t>供</w:t>
      </w:r>
      <w:r>
        <w:rPr>
          <w:rFonts w:hint="eastAsia" w:ascii="宋体" w:hAnsi="宋体" w:eastAsia="宋体" w:cs="宋体"/>
          <w:b w:val="0"/>
          <w:bCs w:val="0"/>
          <w:sz w:val="24"/>
          <w:szCs w:val="24"/>
          <w:highlight w:val="none"/>
        </w:rPr>
        <w:t>货</w:t>
      </w:r>
      <w:r>
        <w:rPr>
          <w:rFonts w:hint="eastAsia" w:ascii="宋体" w:hAnsi="宋体" w:eastAsia="宋体" w:cs="宋体"/>
          <w:b w:val="0"/>
          <w:bCs w:val="0"/>
          <w:sz w:val="24"/>
          <w:szCs w:val="24"/>
          <w:highlight w:val="none"/>
          <w:lang w:eastAsia="zh-CN"/>
        </w:rPr>
        <w:t>时间：</w:t>
      </w:r>
    </w:p>
    <w:p w14:paraId="1A442B59">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二</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供</w:t>
      </w:r>
      <w:r>
        <w:rPr>
          <w:rFonts w:hint="eastAsia" w:ascii="宋体" w:hAnsi="宋体" w:eastAsia="宋体" w:cs="宋体"/>
          <w:b w:val="0"/>
          <w:bCs w:val="0"/>
          <w:sz w:val="24"/>
          <w:szCs w:val="24"/>
          <w:highlight w:val="none"/>
        </w:rPr>
        <w:t>货期</w:t>
      </w:r>
      <w:r>
        <w:rPr>
          <w:rFonts w:hint="eastAsia" w:ascii="宋体" w:hAnsi="宋体" w:eastAsia="宋体" w:cs="宋体"/>
          <w:b w:val="0"/>
          <w:bCs w:val="0"/>
          <w:sz w:val="24"/>
          <w:szCs w:val="24"/>
          <w:highlight w:val="none"/>
          <w:lang w:eastAsia="zh-CN"/>
        </w:rPr>
        <w:t>限</w:t>
      </w:r>
      <w:r>
        <w:rPr>
          <w:rFonts w:hint="eastAsia" w:ascii="宋体" w:hAnsi="宋体" w:eastAsia="宋体" w:cs="宋体"/>
          <w:b w:val="0"/>
          <w:bCs w:val="0"/>
          <w:sz w:val="24"/>
          <w:szCs w:val="24"/>
          <w:highlight w:val="none"/>
        </w:rPr>
        <w:t>：</w:t>
      </w:r>
    </w:p>
    <w:p w14:paraId="498BABD4">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三</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供</w:t>
      </w:r>
      <w:r>
        <w:rPr>
          <w:rFonts w:hint="eastAsia" w:ascii="宋体" w:hAnsi="宋体" w:eastAsia="宋体" w:cs="宋体"/>
          <w:b w:val="0"/>
          <w:bCs w:val="0"/>
          <w:sz w:val="24"/>
          <w:szCs w:val="24"/>
          <w:highlight w:val="none"/>
        </w:rPr>
        <w:t>货方式：</w:t>
      </w:r>
    </w:p>
    <w:p w14:paraId="2124EC91">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四</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供</w:t>
      </w:r>
      <w:r>
        <w:rPr>
          <w:rFonts w:hint="eastAsia" w:ascii="宋体" w:hAnsi="宋体" w:eastAsia="宋体" w:cs="宋体"/>
          <w:b w:val="0"/>
          <w:bCs w:val="0"/>
          <w:sz w:val="24"/>
          <w:szCs w:val="24"/>
          <w:highlight w:val="none"/>
        </w:rPr>
        <w:t>货地点：</w:t>
      </w:r>
    </w:p>
    <w:p w14:paraId="2D410170">
      <w:pPr>
        <w:pStyle w:val="19"/>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十</w:t>
      </w:r>
      <w:r>
        <w:rPr>
          <w:rFonts w:hint="eastAsia" w:ascii="宋体" w:hAnsi="宋体" w:eastAsia="宋体" w:cs="宋体"/>
          <w:b/>
          <w:color w:val="auto"/>
          <w:sz w:val="24"/>
          <w:szCs w:val="24"/>
          <w:highlight w:val="none"/>
        </w:rPr>
        <w:t>、</w:t>
      </w:r>
      <w:r>
        <w:rPr>
          <w:rFonts w:hint="eastAsia" w:ascii="宋体" w:hAnsi="宋体" w:eastAsia="宋体" w:cs="宋体"/>
          <w:b/>
          <w:sz w:val="24"/>
          <w:szCs w:val="24"/>
          <w:highlight w:val="none"/>
        </w:rPr>
        <w:t>货款支付</w:t>
      </w:r>
    </w:p>
    <w:p w14:paraId="609E30EC">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eastAsia="zh-CN"/>
        </w:rPr>
        <w:t>一</w:t>
      </w:r>
      <w:r>
        <w:rPr>
          <w:rFonts w:hint="eastAsia" w:ascii="宋体" w:hAnsi="宋体" w:cs="宋体"/>
          <w:b/>
          <w:color w:val="auto"/>
          <w:sz w:val="24"/>
          <w:szCs w:val="24"/>
          <w:highlight w:val="none"/>
        </w:rPr>
        <w:t>、税费</w:t>
      </w:r>
    </w:p>
    <w:p w14:paraId="0A307741">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本合同执行中相关的一切税费均由乙方负担。</w:t>
      </w:r>
    </w:p>
    <w:p w14:paraId="52F8123B">
      <w:pPr>
        <w:pStyle w:val="19"/>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、质量保证及后续服务</w:t>
      </w:r>
    </w:p>
    <w:p w14:paraId="2D7B77F9">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（一）乙方应按</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文件规定的货物性能、技术要求、质量标准向甲方提供未经使用的全新产品。</w:t>
      </w:r>
    </w:p>
    <w:p w14:paraId="5341FAA2">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（二）乙方提供的货物在质保期内因货物本身的质量问题发生故障，乙方应负责免费更换。对达不到技术要求者，根据实际情况，经双方协商，可按以下办法处理：</w:t>
      </w:r>
    </w:p>
    <w:p w14:paraId="15C81CB8">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1.更换：由乙方承担所发生的全部费用。</w:t>
      </w:r>
    </w:p>
    <w:p w14:paraId="132C6068">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2.贬值处理：由甲乙双方合议定价。</w:t>
      </w:r>
    </w:p>
    <w:p w14:paraId="35055FEC">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3.退货处理：乙方应退还甲方支付的合同款，同时应承担该货物的直接费用（运输、保险、检验、货款利息及银行手续费等）。</w:t>
      </w:r>
    </w:p>
    <w:p w14:paraId="046A5A15">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（三）如在使用过程中发生问题，乙方接到甲方通知后在</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小时内到达甲方现场。</w:t>
      </w:r>
    </w:p>
    <w:p w14:paraId="29DED0AD">
      <w:pPr>
        <w:pStyle w:val="19"/>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、违约责任</w:t>
      </w:r>
    </w:p>
    <w:p w14:paraId="37326174">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（一）甲方无正当理由拒收货物的，甲方向乙方偿付拒收货款总值的</w:t>
      </w:r>
      <w:r>
        <w:rPr>
          <w:rFonts w:hint="eastAsia" w:ascii="宋体" w:hAnsi="宋体" w:eastAsia="宋体" w:cs="宋体"/>
          <w:sz w:val="24"/>
          <w:szCs w:val="24"/>
          <w:highlight w:val="none"/>
          <w:u w:val="single"/>
        </w:rPr>
        <w:t>百分之五</w:t>
      </w:r>
      <w:r>
        <w:rPr>
          <w:rFonts w:hint="eastAsia" w:ascii="宋体" w:hAnsi="宋体" w:eastAsia="宋体" w:cs="宋体"/>
          <w:sz w:val="24"/>
          <w:szCs w:val="24"/>
          <w:highlight w:val="none"/>
        </w:rPr>
        <w:t>违约金。</w:t>
      </w:r>
    </w:p>
    <w:p w14:paraId="6CCBC520">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（二）甲方无故逾期验收和办理货款支付手续的,甲方应按逾期付款总额每日</w:t>
      </w:r>
      <w:r>
        <w:rPr>
          <w:rFonts w:hint="eastAsia" w:ascii="宋体" w:hAnsi="宋体" w:eastAsia="宋体" w:cs="宋体"/>
          <w:sz w:val="24"/>
          <w:szCs w:val="24"/>
          <w:highlight w:val="none"/>
          <w:u w:val="single"/>
        </w:rPr>
        <w:t>万分之五</w:t>
      </w:r>
      <w:r>
        <w:rPr>
          <w:rFonts w:hint="eastAsia" w:ascii="宋体" w:hAnsi="宋体" w:eastAsia="宋体" w:cs="宋体"/>
          <w:sz w:val="24"/>
          <w:szCs w:val="24"/>
          <w:highlight w:val="none"/>
        </w:rPr>
        <w:t>向乙方支付违约金。</w:t>
      </w:r>
    </w:p>
    <w:p w14:paraId="0099CCE8">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（三）乙方逾期交付货物的，乙方应按逾期交货总额每日</w:t>
      </w:r>
      <w:r>
        <w:rPr>
          <w:rFonts w:hint="eastAsia" w:ascii="宋体" w:hAnsi="宋体" w:eastAsia="宋体" w:cs="宋体"/>
          <w:sz w:val="24"/>
          <w:szCs w:val="24"/>
          <w:highlight w:val="none"/>
          <w:u w:val="single"/>
        </w:rPr>
        <w:t>千分之六</w:t>
      </w:r>
      <w:r>
        <w:rPr>
          <w:rFonts w:hint="eastAsia" w:ascii="宋体" w:hAnsi="宋体" w:eastAsia="宋体" w:cs="宋体"/>
          <w:sz w:val="24"/>
          <w:szCs w:val="24"/>
          <w:highlight w:val="none"/>
        </w:rPr>
        <w:t>向甲方支付违约金，由甲方从待付货款中扣除。逾期超过约定日期</w:t>
      </w:r>
      <w:r>
        <w:rPr>
          <w:rFonts w:hint="eastAsia" w:ascii="宋体" w:hAnsi="宋体" w:eastAsia="宋体" w:cs="宋体"/>
          <w:sz w:val="24"/>
          <w:szCs w:val="24"/>
          <w:highlight w:val="none"/>
          <w:u w:val="single"/>
        </w:rPr>
        <w:t>10</w:t>
      </w:r>
      <w:r>
        <w:rPr>
          <w:rFonts w:hint="eastAsia" w:ascii="宋体" w:hAnsi="宋体" w:eastAsia="宋体" w:cs="宋体"/>
          <w:sz w:val="24"/>
          <w:szCs w:val="24"/>
          <w:highlight w:val="none"/>
        </w:rPr>
        <w:t>个工作日不能交货的，甲方可解除本合同。乙方因逾期交货或因其他违约行为导致甲方解除合同的，乙方应向甲方支付合同总值</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 xml:space="preserve">的违约金，如造成甲方损失超过违约金的，超出部分由乙方继续承担赔偿责任。 </w:t>
      </w:r>
    </w:p>
    <w:p w14:paraId="5F63A6D8">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（四）乙方所交的货物品种、型号、规格、技术参数、质量不符合合同规定及</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文件规定标准的，甲方有权拒收该货物，乙方愿意更换货物但逾期交货的，按乙方逾期交货处理。乙方拒绝更换货物的，甲方可单方面解除合同。</w:t>
      </w:r>
    </w:p>
    <w:p w14:paraId="3BF86614">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（五）若发生纠纷，由违约方赔偿守约方因纠纷所支付的费用（包括但不限于律师费、差旅费、诉讼费、保全费、鉴定费、评估费等）</w:t>
      </w:r>
    </w:p>
    <w:p w14:paraId="1B58CEB4">
      <w:pPr>
        <w:pStyle w:val="19"/>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、不可抗力事件处理</w:t>
      </w:r>
    </w:p>
    <w:p w14:paraId="76B5EF33">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（一）在合同有效期内，任何一方因不可抗力事件导致不能履行合同，则合同履行期可延长，其延长期与不可抗力影响期相同。</w:t>
      </w:r>
    </w:p>
    <w:p w14:paraId="35732E28">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（二）不可抗力事件发生后，应立即通知对方，并寄送有关权威机构出具的证明。</w:t>
      </w:r>
    </w:p>
    <w:p w14:paraId="237F4586">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b/>
          <w:sz w:val="24"/>
          <w:highlight w:val="none"/>
        </w:rPr>
      </w:pPr>
      <w:r>
        <w:rPr>
          <w:rFonts w:hint="eastAsia" w:ascii="宋体" w:hAnsi="宋体" w:eastAsia="宋体" w:cs="宋体"/>
          <w:sz w:val="24"/>
          <w:szCs w:val="24"/>
          <w:highlight w:val="none"/>
        </w:rPr>
        <w:t>（三）不可抗力事件延续120天以上，双方应通过友好协商，确定是否继续履行合同。</w:t>
      </w:r>
    </w:p>
    <w:p w14:paraId="6CB64A84">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ascii="宋体"/>
          <w:b/>
          <w:sz w:val="24"/>
          <w:highlight w:val="none"/>
        </w:rPr>
      </w:pPr>
      <w:r>
        <w:rPr>
          <w:rFonts w:ascii="宋体"/>
          <w:b/>
          <w:sz w:val="24"/>
          <w:highlight w:val="none"/>
        </w:rPr>
        <w:t>十</w:t>
      </w:r>
      <w:r>
        <w:rPr>
          <w:rFonts w:hint="eastAsia" w:ascii="宋体"/>
          <w:b/>
          <w:sz w:val="24"/>
          <w:highlight w:val="none"/>
          <w:lang w:eastAsia="zh-CN"/>
        </w:rPr>
        <w:t>五</w:t>
      </w:r>
      <w:r>
        <w:rPr>
          <w:rFonts w:ascii="宋体"/>
          <w:b/>
          <w:sz w:val="24"/>
          <w:highlight w:val="none"/>
        </w:rPr>
        <w:t>、</w:t>
      </w:r>
      <w:r>
        <w:rPr>
          <w:rFonts w:hint="eastAsia" w:ascii="宋体" w:hAnsi="宋体" w:eastAsia="宋体" w:cs="宋体"/>
          <w:b/>
          <w:sz w:val="24"/>
          <w:szCs w:val="24"/>
          <w:highlight w:val="none"/>
        </w:rPr>
        <w:t>解决争议的方法</w:t>
      </w:r>
    </w:p>
    <w:p w14:paraId="0214C6B7">
      <w:pPr>
        <w:pStyle w:val="1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如双方在履行合同时发生纠纷，应协商解决；协商不成时，可提请政府采购管理部门调解；调解不成的通过以下第（ </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 xml:space="preserve"> ）方式解决：</w:t>
      </w:r>
    </w:p>
    <w:p w14:paraId="0EB4107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（一）提交</w:t>
      </w:r>
      <w:r>
        <w:rPr>
          <w:rFonts w:hint="eastAsia" w:ascii="宋体" w:hAnsi="宋体" w:eastAsia="宋体" w:cs="宋体"/>
          <w:sz w:val="24"/>
          <w:szCs w:val="24"/>
          <w:highlight w:val="none"/>
          <w:u w:val="single"/>
        </w:rPr>
        <w:t>台州</w:t>
      </w:r>
      <w:r>
        <w:rPr>
          <w:rFonts w:hint="eastAsia" w:ascii="宋体" w:hAnsi="宋体" w:eastAsia="宋体" w:cs="宋体"/>
          <w:kern w:val="0"/>
          <w:sz w:val="24"/>
          <w:szCs w:val="24"/>
          <w:highlight w:val="none"/>
        </w:rPr>
        <w:t>仲裁委员会仲裁。</w:t>
      </w:r>
    </w:p>
    <w:p w14:paraId="0E965018">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（二）依法向</w:t>
      </w:r>
      <w:r>
        <w:rPr>
          <w:rFonts w:hint="eastAsia" w:ascii="宋体" w:hAnsi="宋体" w:cs="宋体"/>
          <w:kern w:val="0"/>
          <w:sz w:val="24"/>
          <w:szCs w:val="24"/>
          <w:highlight w:val="none"/>
          <w:lang w:eastAsia="zh-CN"/>
        </w:rPr>
        <w:t>项目所在地</w:t>
      </w:r>
      <w:r>
        <w:rPr>
          <w:rFonts w:hint="eastAsia" w:ascii="宋体" w:hAnsi="宋体" w:eastAsia="宋体" w:cs="宋体"/>
          <w:kern w:val="0"/>
          <w:sz w:val="24"/>
          <w:szCs w:val="24"/>
          <w:highlight w:val="none"/>
        </w:rPr>
        <w:t>法院提起诉讼。</w:t>
      </w:r>
    </w:p>
    <w:p w14:paraId="3213A68D">
      <w:pPr>
        <w:pStyle w:val="19"/>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、合同生效及其它</w:t>
      </w:r>
    </w:p>
    <w:p w14:paraId="039312D5">
      <w:pPr>
        <w:pStyle w:val="16"/>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（一）合同经双方法定代表人或授权代表签字并加盖单位公章后生效。</w:t>
      </w:r>
    </w:p>
    <w:p w14:paraId="4D752955">
      <w:pPr>
        <w:pStyle w:val="16"/>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（二）本合同未尽事宜，遵照《</w:t>
      </w:r>
      <w:r>
        <w:rPr>
          <w:rFonts w:hint="eastAsia" w:ascii="宋体" w:hAnsi="宋体" w:eastAsia="宋体" w:cs="宋体"/>
          <w:color w:val="111F2C"/>
          <w:sz w:val="24"/>
          <w:szCs w:val="24"/>
          <w:highlight w:val="none"/>
          <w:shd w:val="clear" w:color="auto" w:fill="FFFFFF"/>
        </w:rPr>
        <w:t>中华人民共和国民法典</w:t>
      </w:r>
      <w:r>
        <w:rPr>
          <w:rFonts w:hint="eastAsia" w:ascii="宋体" w:hAnsi="宋体" w:eastAsia="宋体" w:cs="宋体"/>
          <w:sz w:val="24"/>
          <w:szCs w:val="24"/>
          <w:highlight w:val="none"/>
        </w:rPr>
        <w:t>》有关条文执行。</w:t>
      </w:r>
    </w:p>
    <w:p w14:paraId="04067D88">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eastAsia="宋体" w:cs="宋体"/>
          <w:sz w:val="24"/>
          <w:szCs w:val="24"/>
          <w:highlight w:val="none"/>
        </w:rPr>
        <w:t>（三）本合同一式</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份，甲、乙双方各执</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，采购代理机构执</w:t>
      </w:r>
      <w:r>
        <w:rPr>
          <w:rFonts w:hint="eastAsia" w:ascii="宋体" w:hAnsi="宋体" w:eastAsia="宋体" w:cs="宋体"/>
          <w:sz w:val="24"/>
          <w:szCs w:val="24"/>
          <w:highlight w:val="none"/>
          <w:lang w:val="en-US" w:eastAsia="zh-CN"/>
        </w:rPr>
        <w:t>2份。</w:t>
      </w:r>
      <w:r>
        <w:rPr>
          <w:rFonts w:hint="eastAsia" w:ascii="宋体" w:hAnsi="宋体" w:eastAsia="宋体" w:cs="宋体"/>
          <w:sz w:val="24"/>
          <w:szCs w:val="24"/>
          <w:highlight w:val="none"/>
        </w:rPr>
        <w:t>本项目未尽事宜以</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文件、响应文件及澄清文件等为准。</w:t>
      </w:r>
    </w:p>
    <w:p w14:paraId="03BA7B30">
      <w:pPr>
        <w:widowControl/>
        <w:spacing w:line="360" w:lineRule="auto"/>
        <w:rPr>
          <w:rFonts w:hint="eastAsia" w:ascii="宋体" w:hAnsi="宋体" w:cs="宋体"/>
          <w:b/>
          <w:color w:val="auto"/>
          <w:sz w:val="24"/>
          <w:szCs w:val="24"/>
          <w:highlight w:val="none"/>
        </w:rPr>
      </w:pPr>
    </w:p>
    <w:p w14:paraId="7562A8C3">
      <w:pPr>
        <w:pStyle w:val="32"/>
        <w:rPr>
          <w:rFonts w:hint="eastAsia" w:ascii="宋体" w:hAnsi="宋体" w:cs="宋体"/>
          <w:b/>
          <w:color w:val="auto"/>
          <w:sz w:val="24"/>
          <w:szCs w:val="24"/>
          <w:highlight w:val="none"/>
        </w:rPr>
      </w:pPr>
    </w:p>
    <w:p w14:paraId="32925113">
      <w:pPr>
        <w:pStyle w:val="32"/>
        <w:jc w:val="both"/>
        <w:rPr>
          <w:rFonts w:hint="eastAsia"/>
          <w:highlight w:val="none"/>
        </w:rPr>
      </w:pPr>
    </w:p>
    <w:p w14:paraId="15B1C4F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甲方（公章）                                     乙方（公章）</w:t>
      </w:r>
    </w:p>
    <w:p w14:paraId="5536CFC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14:paraId="33AC8BE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委托代理人：                                     委托代理人：</w:t>
      </w:r>
    </w:p>
    <w:p w14:paraId="612D45D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联系电话：                                       联系电话：</w:t>
      </w:r>
    </w:p>
    <w:p w14:paraId="08A4B31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开户银行：                                       开户银行：</w:t>
      </w:r>
    </w:p>
    <w:p w14:paraId="1645CBF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帐号：                                           帐号：</w:t>
      </w:r>
    </w:p>
    <w:p w14:paraId="4357410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地址及邮编：                                     地址及邮编：</w:t>
      </w:r>
    </w:p>
    <w:p w14:paraId="7FD5E6C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签订时间：    年   月    日</w:t>
      </w:r>
    </w:p>
    <w:p w14:paraId="128837D4">
      <w:pPr>
        <w:adjustRightInd w:val="0"/>
        <w:spacing w:line="360" w:lineRule="exact"/>
        <w:ind w:firstLine="3000" w:firstLineChars="1000"/>
        <w:rPr>
          <w:rFonts w:hint="eastAsia" w:ascii="黑体" w:hAnsi="黑体" w:eastAsia="黑体"/>
          <w:color w:val="auto"/>
          <w:sz w:val="30"/>
          <w:szCs w:val="30"/>
          <w:highlight w:val="none"/>
        </w:rPr>
      </w:pPr>
    </w:p>
    <w:p w14:paraId="3AFCDA6D">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合同鉴证方：（盖章）</w:t>
      </w:r>
    </w:p>
    <w:p w14:paraId="08A9841E">
      <w:pPr>
        <w:jc w:val="both"/>
        <w:rPr>
          <w:rFonts w:hint="eastAsia" w:ascii="宋体" w:hAnsi="宋体" w:cs="宋体"/>
          <w:b/>
          <w:color w:val="auto"/>
          <w:sz w:val="36"/>
          <w:szCs w:val="36"/>
          <w:highlight w:val="none"/>
        </w:rPr>
      </w:pPr>
    </w:p>
    <w:p w14:paraId="5A2C9F79">
      <w:pPr>
        <w:jc w:val="both"/>
        <w:rPr>
          <w:rFonts w:hint="eastAsia" w:ascii="宋体" w:hAnsi="宋体" w:cs="宋体"/>
          <w:b/>
          <w:color w:val="auto"/>
          <w:sz w:val="36"/>
          <w:szCs w:val="36"/>
          <w:highlight w:val="none"/>
        </w:rPr>
      </w:pPr>
    </w:p>
    <w:p w14:paraId="2BB8EC05">
      <w:pPr>
        <w:pStyle w:val="2"/>
        <w:rPr>
          <w:rFonts w:hint="eastAsia" w:ascii="宋体" w:hAnsi="宋体" w:cs="宋体"/>
          <w:b/>
          <w:color w:val="auto"/>
          <w:sz w:val="36"/>
          <w:szCs w:val="36"/>
          <w:highlight w:val="none"/>
        </w:rPr>
      </w:pPr>
    </w:p>
    <w:p w14:paraId="3D948FB7">
      <w:pPr>
        <w:rPr>
          <w:rFonts w:hint="eastAsia"/>
          <w:highlight w:val="none"/>
        </w:rPr>
      </w:pPr>
    </w:p>
    <w:p w14:paraId="2FF1124C">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第六章：响应文件格式附件</w:t>
      </w:r>
    </w:p>
    <w:p w14:paraId="0494BA28">
      <w:pPr>
        <w:tabs>
          <w:tab w:val="left" w:pos="8280"/>
        </w:tabs>
        <w:autoSpaceDE w:val="0"/>
        <w:autoSpaceDN w:val="0"/>
        <w:adjustRightInd w:val="0"/>
        <w:spacing w:line="240" w:lineRule="atLeast"/>
        <w:ind w:right="25"/>
        <w:rPr>
          <w:rFonts w:ascii="宋体" w:hAnsi="宋体" w:cs="宋体"/>
          <w:color w:val="auto"/>
          <w:kern w:val="0"/>
          <w:sz w:val="24"/>
          <w:highlight w:val="none"/>
        </w:rPr>
      </w:pPr>
    </w:p>
    <w:p w14:paraId="57B4F941">
      <w:pPr>
        <w:rPr>
          <w:rFonts w:ascii="宋体" w:hAnsi="宋体" w:cs="宋体"/>
          <w:b/>
          <w:bCs/>
          <w:color w:val="auto"/>
          <w:sz w:val="32"/>
          <w:szCs w:val="32"/>
          <w:highlight w:val="none"/>
        </w:rPr>
      </w:pPr>
      <w:r>
        <w:rPr>
          <w:rFonts w:hint="eastAsia" w:ascii="宋体" w:hAnsi="宋体" w:cs="宋体"/>
          <w:b/>
          <w:color w:val="auto"/>
          <w:kern w:val="0"/>
          <w:sz w:val="28"/>
          <w:szCs w:val="28"/>
          <w:highlight w:val="none"/>
        </w:rPr>
        <w:t>附件1：</w:t>
      </w:r>
      <w:r>
        <w:rPr>
          <w:rFonts w:hint="eastAsia" w:ascii="宋体" w:hAnsi="宋体" w:cs="宋体"/>
          <w:b/>
          <w:color w:val="auto"/>
          <w:sz w:val="30"/>
          <w:szCs w:val="30"/>
          <w:highlight w:val="none"/>
        </w:rPr>
        <w:t xml:space="preserve">                             </w:t>
      </w:r>
      <w:r>
        <w:rPr>
          <w:rFonts w:hint="eastAsia" w:ascii="宋体" w:hAnsi="宋体" w:cs="宋体"/>
          <w:color w:val="auto"/>
          <w:sz w:val="30"/>
          <w:szCs w:val="30"/>
          <w:highlight w:val="none"/>
        </w:rPr>
        <w:t xml:space="preserve"> 　　　</w:t>
      </w:r>
      <w:r>
        <w:rPr>
          <w:rFonts w:hint="eastAsia" w:ascii="宋体" w:hAnsi="宋体" w:cs="宋体"/>
          <w:b/>
          <w:color w:val="auto"/>
          <w:sz w:val="28"/>
          <w:highlight w:val="none"/>
        </w:rPr>
        <w:t xml:space="preserve">        </w:t>
      </w:r>
    </w:p>
    <w:p w14:paraId="564627DF">
      <w:pPr>
        <w:spacing w:line="360" w:lineRule="auto"/>
        <w:ind w:right="-108" w:firstLine="422" w:firstLineChars="150"/>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磋商响应文件目录</w:t>
      </w:r>
    </w:p>
    <w:p w14:paraId="4BF7982D">
      <w:pPr>
        <w:spacing w:line="360" w:lineRule="auto"/>
        <w:ind w:right="-108" w:firstLine="422" w:firstLineChars="150"/>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第一部分：资格证明部分</w:t>
      </w:r>
    </w:p>
    <w:p w14:paraId="64F9608E">
      <w:pPr>
        <w:pStyle w:val="19"/>
        <w:snapToGrid w:val="0"/>
        <w:spacing w:line="360" w:lineRule="auto"/>
        <w:ind w:left="2" w:leftChars="1" w:firstLine="480" w:firstLineChars="200"/>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（1）投标声明书（详见附件）；</w:t>
      </w:r>
    </w:p>
    <w:p w14:paraId="5D41BDB4">
      <w:pPr>
        <w:pStyle w:val="19"/>
        <w:snapToGrid w:val="0"/>
        <w:spacing w:line="360" w:lineRule="auto"/>
        <w:ind w:left="2" w:leftChars="1" w:right="-512" w:rightChars="-244" w:firstLine="480" w:firstLineChars="200"/>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（2）授权委托书（法定代表人亲自办理投标事宜的，则无需提交)（详见附件）；</w:t>
      </w:r>
    </w:p>
    <w:p w14:paraId="44FFB344">
      <w:pPr>
        <w:pStyle w:val="19"/>
        <w:snapToGrid w:val="0"/>
        <w:spacing w:line="360" w:lineRule="auto"/>
        <w:ind w:left="2" w:leftChars="1" w:firstLine="480" w:firstLineChars="200"/>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 xml:space="preserve">（3）法人或者其他组织的营业执照等证明文件； </w:t>
      </w:r>
    </w:p>
    <w:p w14:paraId="1B67B97A">
      <w:pPr>
        <w:pStyle w:val="19"/>
        <w:snapToGrid w:val="0"/>
        <w:spacing w:line="360" w:lineRule="auto"/>
        <w:ind w:left="2" w:leftChars="1" w:firstLine="480" w:firstLineChars="200"/>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（4）具有符合《中华人民共和国政府采购法》第二十二条规定的供应商资格条件的承诺函（详见附件）；</w:t>
      </w:r>
    </w:p>
    <w:p w14:paraId="4D1FCED4">
      <w:pPr>
        <w:snapToGrid w:val="0"/>
        <w:spacing w:line="360" w:lineRule="auto"/>
        <w:ind w:firstLine="480" w:firstLineChars="200"/>
        <w:rPr>
          <w:rFonts w:hint="eastAsia"/>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）磋商供应商没有失信记录承诺函（详见附件）；</w:t>
      </w:r>
    </w:p>
    <w:p w14:paraId="45906D36">
      <w:pPr>
        <w:pStyle w:val="19"/>
        <w:snapToGrid w:val="0"/>
        <w:spacing w:line="360" w:lineRule="auto"/>
        <w:ind w:left="2" w:leftChars="1" w:firstLine="480" w:firstLineChars="200"/>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（6）落实政府采购政策需满足资格要求声明函等[提供中小企业声明函（详见格式附件）或残疾人福利性单位声明函（详见格式附件）或监狱企业证明文件]；</w:t>
      </w:r>
    </w:p>
    <w:p w14:paraId="401CD75F">
      <w:pPr>
        <w:pStyle w:val="19"/>
        <w:snapToGrid w:val="0"/>
        <w:spacing w:line="360" w:lineRule="auto"/>
        <w:ind w:left="2" w:leftChars="1" w:firstLine="480" w:firstLineChars="200"/>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（7）提供采购公告中符合供应商特定条件的有效证书或证明资料扫描件（投标供应商特定条件中有要求的必须提供），以及需要说明的其他资料；</w:t>
      </w:r>
    </w:p>
    <w:p w14:paraId="2F787A53">
      <w:pPr>
        <w:spacing w:line="360" w:lineRule="auto"/>
        <w:ind w:right="-108" w:firstLine="422" w:firstLineChars="15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zh-CN"/>
        </w:rPr>
        <w:t>第二部分：商务与技术</w:t>
      </w:r>
      <w:r>
        <w:rPr>
          <w:rFonts w:hint="eastAsia" w:ascii="宋体" w:hAnsi="宋体" w:eastAsia="宋体" w:cs="宋体"/>
          <w:b/>
          <w:bCs/>
          <w:color w:val="auto"/>
          <w:kern w:val="0"/>
          <w:sz w:val="28"/>
          <w:szCs w:val="28"/>
          <w:highlight w:val="none"/>
        </w:rPr>
        <w:t>部分</w:t>
      </w:r>
    </w:p>
    <w:p w14:paraId="0C7C2770">
      <w:pPr>
        <w:pStyle w:val="19"/>
        <w:snapToGrid w:val="0"/>
        <w:spacing w:line="360" w:lineRule="auto"/>
        <w:ind w:left="2" w:leftChars="1" w:firstLine="480" w:firstLineChars="200"/>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（1）供应商基本情况表（详见附件）；</w:t>
      </w:r>
    </w:p>
    <w:p w14:paraId="4E98DE32">
      <w:pPr>
        <w:pStyle w:val="19"/>
        <w:snapToGrid w:val="0"/>
        <w:spacing w:line="360" w:lineRule="auto"/>
        <w:ind w:left="2" w:leftChars="1" w:firstLine="480" w:firstLineChars="200"/>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（2）商务及技术偏离表（详见附件）；</w:t>
      </w:r>
    </w:p>
    <w:p w14:paraId="110CEB52">
      <w:pPr>
        <w:pStyle w:val="19"/>
        <w:snapToGrid w:val="0"/>
        <w:spacing w:line="360" w:lineRule="auto"/>
        <w:ind w:left="2" w:leftChars="1" w:firstLine="480" w:firstLineChars="200"/>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（3）设备配置清单（详见附件）；</w:t>
      </w:r>
    </w:p>
    <w:p w14:paraId="3E1A3721">
      <w:pPr>
        <w:pStyle w:val="19"/>
        <w:snapToGrid w:val="0"/>
        <w:spacing w:line="360" w:lineRule="auto"/>
        <w:ind w:left="2" w:leftChars="1" w:firstLine="480" w:firstLineChars="200"/>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（4）其余内容根据评标办法自拟（详见附件）；</w:t>
      </w:r>
    </w:p>
    <w:p w14:paraId="477C5EDD">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szCs w:val="21"/>
          <w:highlight w:val="none"/>
        </w:rPr>
        <w:t>（</w:t>
      </w:r>
      <w:r>
        <w:rPr>
          <w:rFonts w:hint="eastAsia" w:ascii="宋体" w:hAnsi="宋体" w:cs="宋体"/>
          <w:color w:val="auto"/>
          <w:sz w:val="24"/>
          <w:szCs w:val="21"/>
          <w:highlight w:val="none"/>
          <w:lang w:val="en-US" w:eastAsia="zh-CN"/>
        </w:rPr>
        <w:t>5</w:t>
      </w:r>
      <w:r>
        <w:rPr>
          <w:rFonts w:hint="eastAsia" w:ascii="宋体" w:hAnsi="宋体" w:cs="宋体"/>
          <w:color w:val="auto"/>
          <w:sz w:val="24"/>
          <w:szCs w:val="21"/>
          <w:highlight w:val="none"/>
        </w:rPr>
        <w:t>）投标人认为需要提供的其他资料</w:t>
      </w:r>
      <w:r>
        <w:rPr>
          <w:rFonts w:hint="eastAsia" w:ascii="宋体" w:hAnsi="宋体" w:cs="宋体"/>
          <w:color w:val="auto"/>
          <w:kern w:val="0"/>
          <w:sz w:val="24"/>
          <w:highlight w:val="none"/>
        </w:rPr>
        <w:t>。</w:t>
      </w:r>
    </w:p>
    <w:p w14:paraId="1E056355">
      <w:pPr>
        <w:spacing w:line="360" w:lineRule="auto"/>
        <w:ind w:right="-108" w:firstLine="422" w:firstLineChars="150"/>
        <w:rPr>
          <w:rFonts w:ascii="宋体" w:hAnsi="宋体" w:cs="宋体"/>
          <w:color w:val="auto"/>
          <w:sz w:val="24"/>
          <w:highlight w:val="none"/>
        </w:rPr>
      </w:pPr>
      <w:r>
        <w:rPr>
          <w:rFonts w:hint="eastAsia" w:ascii="宋体" w:hAnsi="宋体" w:cs="宋体"/>
          <w:b/>
          <w:bCs/>
          <w:color w:val="auto"/>
          <w:kern w:val="0"/>
          <w:sz w:val="28"/>
          <w:szCs w:val="28"/>
          <w:highlight w:val="none"/>
        </w:rPr>
        <w:t>第三部分:</w:t>
      </w:r>
      <w:r>
        <w:rPr>
          <w:rFonts w:hint="eastAsia" w:ascii="宋体" w:hAnsi="宋体" w:cs="宋体"/>
          <w:b/>
          <w:color w:val="auto"/>
          <w:sz w:val="28"/>
          <w:szCs w:val="28"/>
          <w:highlight w:val="none"/>
        </w:rPr>
        <w:t>报价</w:t>
      </w:r>
      <w:r>
        <w:rPr>
          <w:rFonts w:hint="eastAsia" w:ascii="宋体" w:hAnsi="宋体" w:cs="宋体"/>
          <w:b/>
          <w:bCs/>
          <w:color w:val="auto"/>
          <w:sz w:val="28"/>
          <w:szCs w:val="28"/>
          <w:highlight w:val="none"/>
        </w:rPr>
        <w:t>部分</w:t>
      </w:r>
    </w:p>
    <w:p w14:paraId="047B522C">
      <w:pPr>
        <w:numPr>
          <w:ilvl w:val="0"/>
          <w:numId w:val="5"/>
        </w:num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首次报价一览表；</w:t>
      </w:r>
    </w:p>
    <w:p w14:paraId="56B6025B">
      <w:pPr>
        <w:autoSpaceDE w:val="0"/>
        <w:autoSpaceDN w:val="0"/>
        <w:adjustRightIn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（2）报价明细表；</w:t>
      </w:r>
    </w:p>
    <w:p w14:paraId="4B18A308">
      <w:pPr>
        <w:pStyle w:val="2"/>
        <w:numPr>
          <w:ilvl w:val="0"/>
          <w:numId w:val="0"/>
        </w:numPr>
        <w:ind w:right="0" w:rightChars="0"/>
        <w:rPr>
          <w:highlight w:val="none"/>
        </w:rPr>
      </w:pPr>
    </w:p>
    <w:p w14:paraId="7A5B8732">
      <w:pPr>
        <w:spacing w:line="360" w:lineRule="auto"/>
        <w:ind w:left="420"/>
        <w:rPr>
          <w:rFonts w:hint="eastAsia" w:ascii="宋体" w:hAnsi="宋体" w:cs="宋体"/>
          <w:b/>
          <w:color w:val="auto"/>
          <w:sz w:val="28"/>
          <w:highlight w:val="none"/>
        </w:rPr>
      </w:pPr>
    </w:p>
    <w:p w14:paraId="06EAFEC1">
      <w:pPr>
        <w:spacing w:line="360" w:lineRule="auto"/>
        <w:ind w:left="420"/>
        <w:rPr>
          <w:rFonts w:hint="eastAsia" w:ascii="宋体" w:hAnsi="宋体" w:cs="宋体"/>
          <w:b/>
          <w:color w:val="auto"/>
          <w:sz w:val="28"/>
          <w:highlight w:val="none"/>
        </w:rPr>
      </w:pPr>
    </w:p>
    <w:p w14:paraId="2AEE0354">
      <w:pPr>
        <w:spacing w:line="360" w:lineRule="auto"/>
        <w:ind w:left="420"/>
        <w:rPr>
          <w:rFonts w:ascii="宋体" w:hAnsi="宋体" w:cs="宋体"/>
          <w:b/>
          <w:color w:val="auto"/>
          <w:sz w:val="28"/>
          <w:highlight w:val="none"/>
        </w:rPr>
      </w:pPr>
      <w:r>
        <w:rPr>
          <w:rFonts w:hint="eastAsia" w:ascii="宋体" w:hAnsi="宋体" w:cs="宋体"/>
          <w:b/>
          <w:color w:val="auto"/>
          <w:sz w:val="28"/>
          <w:highlight w:val="none"/>
        </w:rPr>
        <w:t>附件2：</w:t>
      </w:r>
    </w:p>
    <w:p w14:paraId="6B080640">
      <w:pPr>
        <w:snapToGrid w:val="0"/>
        <w:spacing w:beforeLines="50" w:after="50" w:line="360" w:lineRule="auto"/>
        <w:ind w:firstLine="643" w:firstLineChars="200"/>
        <w:jc w:val="center"/>
        <w:rPr>
          <w:rStyle w:val="40"/>
          <w:rFonts w:ascii="宋体" w:hAnsi="宋体" w:cs="宋体"/>
          <w:b/>
          <w:color w:val="auto"/>
          <w:sz w:val="32"/>
          <w:szCs w:val="32"/>
          <w:highlight w:val="none"/>
          <w:u w:val="none"/>
        </w:rPr>
      </w:pPr>
      <w:r>
        <w:rPr>
          <w:rStyle w:val="40"/>
          <w:rFonts w:hint="eastAsia" w:ascii="宋体" w:hAnsi="宋体" w:cs="宋体"/>
          <w:b/>
          <w:color w:val="auto"/>
          <w:sz w:val="32"/>
          <w:szCs w:val="32"/>
          <w:highlight w:val="none"/>
          <w:u w:val="none"/>
        </w:rPr>
        <w:t>磋商声明书</w:t>
      </w:r>
    </w:p>
    <w:p w14:paraId="5A70FA2A">
      <w:pPr>
        <w:snapToGrid w:val="0"/>
        <w:spacing w:beforeLines="50" w:after="50" w:line="28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台州中亿工程管理有限公司</w:t>
      </w:r>
      <w:r>
        <w:rPr>
          <w:rFonts w:hint="eastAsia" w:ascii="宋体" w:hAnsi="宋体" w:cs="宋体"/>
          <w:color w:val="auto"/>
          <w:kern w:val="0"/>
          <w:sz w:val="24"/>
          <w:highlight w:val="none"/>
        </w:rPr>
        <w:t>（采购代理机构名称）：</w:t>
      </w:r>
    </w:p>
    <w:p w14:paraId="20B5DF37">
      <w:pPr>
        <w:snapToGrid w:val="0"/>
        <w:spacing w:beforeLines="50" w:after="50" w:line="28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（供应商名称）            </w:t>
      </w:r>
      <w:r>
        <w:rPr>
          <w:rFonts w:hint="eastAsia" w:ascii="宋体" w:hAnsi="宋体" w:cs="宋体"/>
          <w:color w:val="auto"/>
          <w:kern w:val="0"/>
          <w:sz w:val="24"/>
          <w:highlight w:val="none"/>
        </w:rPr>
        <w:t>系中华人民共和国合法企业，经营地址。</w:t>
      </w:r>
    </w:p>
    <w:p w14:paraId="1453AA7A">
      <w:pPr>
        <w:snapToGrid w:val="0"/>
        <w:spacing w:beforeLines="50" w:after="50" w:line="28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lang w:eastAsia="zh-CN"/>
        </w:rPr>
        <w:t>大陈岛5G+互联数智无人机采购项目</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）的磋商，为此，我公司就本次磋商有关事项郑重声明如下：</w:t>
      </w:r>
    </w:p>
    <w:p w14:paraId="7A4EAD92">
      <w:pPr>
        <w:numPr>
          <w:ilvl w:val="0"/>
          <w:numId w:val="0"/>
        </w:numPr>
        <w:snapToGrid w:val="0"/>
        <w:spacing w:beforeLines="50" w:after="50" w:line="288" w:lineRule="auto"/>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我公司声明截止磋商时间近三年以来：在参加政府采购活动过程中无在处罚期限内的任何不良行为记录；无重大违法记录（重大违法记录是指供应商因违法经营受到刑事处罚或者责令停产停业、吊销许可证或者执照、较大数额罚款等行政处罚）。</w:t>
      </w:r>
    </w:p>
    <w:p w14:paraId="49BA292F">
      <w:pPr>
        <w:numPr>
          <w:ilvl w:val="0"/>
          <w:numId w:val="0"/>
        </w:numPr>
        <w:snapToGrid w:val="0"/>
        <w:spacing w:beforeLines="50" w:after="50" w:line="28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2C808BDA">
      <w:pPr>
        <w:snapToGrid w:val="0"/>
        <w:spacing w:beforeLines="50" w:after="50"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w:t>
      </w:r>
      <w:r>
        <w:rPr>
          <w:rFonts w:hint="eastAsia" w:ascii="宋体" w:hAnsi="宋体" w:cs="宋体"/>
          <w:color w:val="auto"/>
          <w:kern w:val="0"/>
          <w:sz w:val="24"/>
          <w:highlight w:val="none"/>
          <w:lang w:val="zh-CN"/>
        </w:rPr>
        <w:t>公司</w:t>
      </w:r>
      <w:r>
        <w:rPr>
          <w:rFonts w:hint="eastAsia" w:ascii="宋体" w:hAnsi="宋体" w:cs="宋体"/>
          <w:color w:val="auto"/>
          <w:sz w:val="24"/>
          <w:highlight w:val="none"/>
        </w:rPr>
        <w:t>不是采购人的附属机构；在获知本项目采购信息后，与采购人聘请的为此项目提供咨询服务的公司及其附属机构没有任何联系。</w:t>
      </w:r>
    </w:p>
    <w:p w14:paraId="181059FB">
      <w:pPr>
        <w:snapToGrid w:val="0"/>
        <w:spacing w:beforeLines="50" w:after="50" w:line="288" w:lineRule="auto"/>
        <w:ind w:firstLine="480" w:firstLineChars="200"/>
        <w:rPr>
          <w:rFonts w:ascii="宋体" w:hAnsi="宋体" w:cs="宋体"/>
          <w:color w:val="auto"/>
          <w:kern w:val="0"/>
          <w:sz w:val="24"/>
          <w:highlight w:val="none"/>
          <w:lang w:val="af-ZA"/>
        </w:rPr>
      </w:pPr>
      <w:r>
        <w:rPr>
          <w:rFonts w:hint="eastAsia" w:ascii="宋体" w:hAnsi="宋体" w:cs="宋体"/>
          <w:color w:val="auto"/>
          <w:sz w:val="24"/>
          <w:highlight w:val="none"/>
        </w:rPr>
        <w:t>4、</w:t>
      </w: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s="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2C61CFD1">
      <w:pPr>
        <w:snapToGrid w:val="0"/>
        <w:spacing w:beforeLines="50" w:after="50" w:line="288"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w:t>
      </w:r>
      <w:r>
        <w:rPr>
          <w:rFonts w:hint="eastAsia" w:ascii="宋体" w:hAnsi="宋体" w:cs="宋体"/>
          <w:color w:val="auto"/>
          <w:kern w:val="0"/>
          <w:sz w:val="24"/>
          <w:highlight w:val="none"/>
        </w:rPr>
        <w:t>除响应文件中明确拒绝外，接受招标文件中的全部条件，</w:t>
      </w:r>
      <w:r>
        <w:rPr>
          <w:rFonts w:hint="eastAsia" w:ascii="宋体" w:hAnsi="宋体" w:cs="宋体"/>
          <w:color w:val="auto"/>
          <w:kern w:val="0"/>
          <w:sz w:val="24"/>
          <w:highlight w:val="none"/>
          <w:lang w:val="af-ZA"/>
        </w:rPr>
        <w:t>不降低合同约定的产品质量和服务，不擅自变更、中止、终止合同，或拒绝履行合同义务；</w:t>
      </w:r>
    </w:p>
    <w:p w14:paraId="0F60E292">
      <w:pPr>
        <w:snapToGrid w:val="0"/>
        <w:spacing w:beforeLines="50" w:after="50"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6、以上事项如有虚假或隐瞒，我</w:t>
      </w:r>
      <w:r>
        <w:rPr>
          <w:rFonts w:hint="eastAsia" w:ascii="宋体" w:hAnsi="宋体" w:cs="宋体"/>
          <w:color w:val="auto"/>
          <w:kern w:val="0"/>
          <w:sz w:val="24"/>
          <w:highlight w:val="none"/>
          <w:lang w:val="zh-CN"/>
        </w:rPr>
        <w:t>公司</w:t>
      </w:r>
      <w:r>
        <w:rPr>
          <w:rFonts w:hint="eastAsia" w:ascii="宋体" w:hAnsi="宋体" w:cs="宋体"/>
          <w:color w:val="auto"/>
          <w:sz w:val="24"/>
          <w:highlight w:val="none"/>
        </w:rPr>
        <w:t>愿意承担一切后果，并不再寻求任何旨在减轻或免除法律责任的辩解。</w:t>
      </w:r>
    </w:p>
    <w:p w14:paraId="0DF4FF17">
      <w:pPr>
        <w:adjustRightInd w:val="0"/>
        <w:snapToGrid w:val="0"/>
        <w:spacing w:line="360" w:lineRule="auto"/>
        <w:rPr>
          <w:rFonts w:ascii="宋体" w:hAnsi="宋体" w:cs="宋体"/>
          <w:color w:val="auto"/>
          <w:kern w:val="0"/>
          <w:sz w:val="24"/>
          <w:highlight w:val="none"/>
        </w:rPr>
      </w:pPr>
    </w:p>
    <w:p w14:paraId="46D5F9EE">
      <w:pPr>
        <w:ind w:firstLine="424" w:firstLineChars="177"/>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065C3259">
      <w:pPr>
        <w:ind w:firstLine="424" w:firstLineChars="177"/>
        <w:rPr>
          <w:rFonts w:ascii="宋体" w:hAnsi="宋体" w:cs="宋体"/>
          <w:color w:val="auto"/>
          <w:sz w:val="24"/>
          <w:highlight w:val="none"/>
          <w:u w:val="single"/>
        </w:rPr>
      </w:pPr>
      <w:r>
        <w:rPr>
          <w:rFonts w:hint="eastAsia" w:ascii="宋体" w:hAnsi="宋体" w:cs="宋体"/>
          <w:color w:val="auto"/>
          <w:sz w:val="24"/>
          <w:highlight w:val="none"/>
          <w:lang w:eastAsia="zh-CN"/>
        </w:rPr>
        <w:t>法定代表人或磋商供应商代表（签章或签字）</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1611389">
      <w:pPr>
        <w:pStyle w:val="61"/>
        <w:shd w:val="clear" w:color="auto" w:fill="FFFFFF"/>
        <w:spacing w:before="0" w:beforeAutospacing="0" w:after="0" w:afterAutospacing="0"/>
        <w:ind w:firstLine="424" w:firstLineChars="177"/>
        <w:rPr>
          <w:rFonts w:ascii="宋体" w:hAnsi="宋体" w:cs="宋体"/>
          <w:color w:val="auto"/>
          <w:kern w:val="0"/>
          <w:sz w:val="24"/>
          <w:highlight w:val="none"/>
          <w:lang w:val="zh-CN"/>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1D604D5D">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附件3：</w:t>
      </w:r>
    </w:p>
    <w:p w14:paraId="00516317">
      <w:pPr>
        <w:spacing w:line="360" w:lineRule="auto"/>
        <w:ind w:firstLine="321" w:firstLineChars="100"/>
        <w:jc w:val="center"/>
        <w:rPr>
          <w:rFonts w:ascii="宋体" w:hAnsi="宋体" w:cs="宋体"/>
          <w:b/>
          <w:color w:val="auto"/>
          <w:sz w:val="32"/>
          <w:szCs w:val="32"/>
          <w:highlight w:val="none"/>
          <w:u w:val="single"/>
        </w:rPr>
      </w:pPr>
      <w:r>
        <w:rPr>
          <w:rFonts w:hint="eastAsia" w:ascii="宋体" w:hAnsi="宋体" w:cs="宋体"/>
          <w:b/>
          <w:color w:val="auto"/>
          <w:sz w:val="32"/>
          <w:szCs w:val="32"/>
          <w:highlight w:val="none"/>
        </w:rPr>
        <w:t>授权委托书</w:t>
      </w:r>
    </w:p>
    <w:p w14:paraId="25EEF9D8">
      <w:pPr>
        <w:pStyle w:val="19"/>
        <w:spacing w:line="500" w:lineRule="exact"/>
        <w:rPr>
          <w:rFonts w:ascii="宋体" w:hAnsi="宋体" w:eastAsia="宋体" w:cs="宋体"/>
          <w:b/>
          <w:color w:val="auto"/>
          <w:sz w:val="24"/>
          <w:highlight w:val="none"/>
        </w:rPr>
      </w:pPr>
      <w:r>
        <w:rPr>
          <w:rFonts w:hint="eastAsia" w:ascii="宋体" w:hAnsi="宋体" w:eastAsia="宋体" w:cs="宋体"/>
          <w:color w:val="auto"/>
          <w:sz w:val="24"/>
          <w:highlight w:val="none"/>
          <w:u w:val="single"/>
        </w:rPr>
        <w:t>台州中亿工程管理有限公司</w:t>
      </w:r>
      <w:r>
        <w:rPr>
          <w:rFonts w:hint="eastAsia" w:ascii="宋体" w:hAnsi="宋体" w:eastAsia="宋体" w:cs="宋体"/>
          <w:color w:val="auto"/>
          <w:kern w:val="0"/>
          <w:sz w:val="24"/>
          <w:highlight w:val="none"/>
          <w:u w:val="single"/>
        </w:rPr>
        <w:t>（采购代理机构名称）</w:t>
      </w:r>
      <w:r>
        <w:rPr>
          <w:rFonts w:hint="eastAsia" w:ascii="宋体" w:hAnsi="宋体" w:eastAsia="宋体" w:cs="宋体"/>
          <w:b/>
          <w:color w:val="auto"/>
          <w:sz w:val="24"/>
          <w:highlight w:val="none"/>
        </w:rPr>
        <w:t>：</w:t>
      </w:r>
    </w:p>
    <w:p w14:paraId="2F8FC0E2">
      <w:pPr>
        <w:pStyle w:val="19"/>
        <w:spacing w:line="440" w:lineRule="atLeast"/>
        <w:ind w:left="240" w:hanging="240" w:hangingChars="1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（供应商全称）  </w:t>
      </w:r>
      <w:r>
        <w:rPr>
          <w:rFonts w:hint="eastAsia" w:ascii="宋体" w:hAnsi="宋体" w:eastAsia="宋体" w:cs="宋体"/>
          <w:color w:val="auto"/>
          <w:sz w:val="24"/>
          <w:highlight w:val="none"/>
        </w:rPr>
        <w:t>法定代表人（或营业执照中单位负责人）</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（法定代表人或营业执照中单位负责人姓名） </w:t>
      </w:r>
      <w:r>
        <w:rPr>
          <w:rFonts w:hint="eastAsia" w:ascii="宋体" w:hAnsi="宋体" w:eastAsia="宋体" w:cs="宋体"/>
          <w:color w:val="auto"/>
          <w:sz w:val="24"/>
          <w:highlight w:val="none"/>
        </w:rPr>
        <w:t>授权</w:t>
      </w:r>
      <w:r>
        <w:rPr>
          <w:rFonts w:hint="eastAsia" w:ascii="宋体" w:hAnsi="宋体" w:eastAsia="宋体" w:cs="宋体"/>
          <w:color w:val="auto"/>
          <w:sz w:val="24"/>
          <w:highlight w:val="none"/>
          <w:u w:val="single"/>
        </w:rPr>
        <w:t xml:space="preserve">   （全权代表姓名） </w:t>
      </w:r>
      <w:r>
        <w:rPr>
          <w:rFonts w:hint="eastAsia" w:ascii="宋体" w:hAnsi="宋体" w:eastAsia="宋体" w:cs="宋体"/>
          <w:color w:val="auto"/>
          <w:sz w:val="24"/>
          <w:highlight w:val="none"/>
        </w:rPr>
        <w:t>为全权代表，参加贵单位组织的</w:t>
      </w:r>
      <w:r>
        <w:rPr>
          <w:rFonts w:hint="eastAsia" w:ascii="宋体" w:hAnsi="宋体" w:eastAsia="宋体" w:cs="宋体"/>
          <w:color w:val="auto"/>
          <w:sz w:val="24"/>
          <w:highlight w:val="none"/>
          <w:u w:val="single"/>
          <w:lang w:eastAsia="zh-CN"/>
        </w:rPr>
        <w:t>大陈岛5G+互联数智无人机采购项目</w:t>
      </w:r>
      <w:r>
        <w:rPr>
          <w:rFonts w:hint="eastAsia" w:ascii="宋体" w:hAnsi="宋体" w:eastAsia="宋体" w:cs="宋体"/>
          <w:color w:val="auto"/>
          <w:sz w:val="24"/>
          <w:highlight w:val="none"/>
        </w:rPr>
        <w:t>的采购活动，并代表我方全权办理针对上述项目的磋商、签约等具体事务和签署相关文件。我方对全权代表的签字事项负全部责任。</w:t>
      </w:r>
    </w:p>
    <w:p w14:paraId="45C7B92B">
      <w:pPr>
        <w:pStyle w:val="19"/>
        <w:spacing w:line="440" w:lineRule="atLeast"/>
        <w:ind w:left="139" w:leftChars="66"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在撤销授权的书面通知以前，本授权书一直有效。全权代表在授权委托书有效期内签署的所有文件不因授权的撤销而失效。</w:t>
      </w:r>
    </w:p>
    <w:p w14:paraId="2002DA2B">
      <w:pPr>
        <w:pStyle w:val="19"/>
        <w:spacing w:line="440" w:lineRule="atLeast"/>
        <w:ind w:left="139" w:leftChars="66"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全权代表无转委托权，特此委托。</w:t>
      </w:r>
    </w:p>
    <w:p w14:paraId="16DDB9AB">
      <w:pPr>
        <w:spacing w:line="440" w:lineRule="atLeast"/>
        <w:rPr>
          <w:rFonts w:ascii="宋体" w:hAnsi="宋体" w:cs="宋体"/>
          <w:color w:val="auto"/>
          <w:sz w:val="24"/>
          <w:highlight w:val="none"/>
        </w:rPr>
      </w:pPr>
    </w:p>
    <w:p w14:paraId="27B2978C">
      <w:pPr>
        <w:spacing w:line="440" w:lineRule="atLeast"/>
        <w:rPr>
          <w:rFonts w:ascii="宋体" w:hAnsi="宋体" w:cs="宋体"/>
          <w:color w:val="auto"/>
          <w:sz w:val="24"/>
          <w:highlight w:val="none"/>
          <w:u w:val="single"/>
        </w:rPr>
      </w:pPr>
      <w:r>
        <w:rPr>
          <w:rFonts w:hint="eastAsia" w:ascii="宋体" w:hAnsi="宋体" w:cs="宋体"/>
          <w:color w:val="auto"/>
          <w:sz w:val="24"/>
          <w:highlight w:val="none"/>
        </w:rPr>
        <w:t>法定代表人签字或签章：</w:t>
      </w:r>
      <w:r>
        <w:rPr>
          <w:rFonts w:hint="eastAsia" w:ascii="宋体" w:hAnsi="宋体" w:cs="宋体"/>
          <w:color w:val="auto"/>
          <w:sz w:val="24"/>
          <w:highlight w:val="none"/>
          <w:u w:val="single"/>
        </w:rPr>
        <w:t xml:space="preserve">                    </w:t>
      </w:r>
    </w:p>
    <w:p w14:paraId="4715DDBB">
      <w:pPr>
        <w:spacing w:line="440" w:lineRule="atLeast"/>
        <w:rPr>
          <w:rFonts w:ascii="宋体" w:hAnsi="宋体" w:cs="宋体"/>
          <w:color w:val="auto"/>
          <w:sz w:val="24"/>
          <w:highlight w:val="none"/>
        </w:rPr>
      </w:pPr>
      <w:r>
        <w:rPr>
          <w:rFonts w:hint="eastAsia" w:ascii="宋体" w:hAnsi="宋体" w:cs="宋体"/>
          <w:color w:val="auto"/>
          <w:sz w:val="24"/>
          <w:highlight w:val="none"/>
        </w:rPr>
        <w:t>供应商全称（公章）：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AAE64BC">
      <w:pPr>
        <w:spacing w:line="440" w:lineRule="atLeast"/>
        <w:rPr>
          <w:rFonts w:ascii="宋体" w:hAnsi="宋体" w:cs="宋体"/>
          <w:color w:val="auto"/>
          <w:sz w:val="24"/>
          <w:highlight w:val="none"/>
        </w:rPr>
      </w:pPr>
      <w:r>
        <w:rPr>
          <w:rFonts w:hint="eastAsia" w:ascii="宋体" w:hAnsi="宋体" w:cs="宋体"/>
          <w:color w:val="auto"/>
          <w:sz w:val="24"/>
          <w:highlight w:val="none"/>
        </w:rPr>
        <w:t>日期：</w:t>
      </w:r>
    </w:p>
    <w:p w14:paraId="3ED7FEC3">
      <w:pPr>
        <w:spacing w:line="440" w:lineRule="atLeast"/>
        <w:rPr>
          <w:rFonts w:ascii="宋体" w:hAnsi="宋体" w:cs="宋体"/>
          <w:b/>
          <w:color w:val="auto"/>
          <w:sz w:val="24"/>
          <w:highlight w:val="none"/>
        </w:rPr>
      </w:pPr>
      <w:r>
        <w:rPr>
          <w:rFonts w:hint="eastAsia" w:ascii="宋体" w:hAnsi="宋体" w:cs="宋体"/>
          <w:b/>
          <w:color w:val="auto"/>
          <w:sz w:val="24"/>
          <w:highlight w:val="none"/>
        </w:rPr>
        <w:t>附：</w:t>
      </w:r>
    </w:p>
    <w:tbl>
      <w:tblPr>
        <w:tblStyle w:val="3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5E2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35F689D">
            <w:pPr>
              <w:spacing w:line="440" w:lineRule="atLeast"/>
              <w:rPr>
                <w:rFonts w:ascii="宋体" w:hAnsi="宋体" w:cs="宋体"/>
                <w:b/>
                <w:color w:val="auto"/>
                <w:sz w:val="24"/>
                <w:highlight w:val="none"/>
              </w:rPr>
            </w:pPr>
          </w:p>
          <w:p w14:paraId="0586DC63">
            <w:pPr>
              <w:spacing w:line="440" w:lineRule="atLeast"/>
              <w:ind w:firstLine="361" w:firstLineChars="150"/>
              <w:rPr>
                <w:rFonts w:ascii="宋体" w:hAnsi="宋体" w:cs="宋体"/>
                <w:b/>
                <w:color w:val="auto"/>
                <w:sz w:val="24"/>
                <w:highlight w:val="none"/>
              </w:rPr>
            </w:pPr>
            <w:r>
              <w:rPr>
                <w:rFonts w:hint="eastAsia" w:ascii="宋体" w:hAnsi="宋体" w:cs="宋体"/>
                <w:b/>
                <w:color w:val="auto"/>
                <w:sz w:val="24"/>
                <w:highlight w:val="none"/>
              </w:rPr>
              <w:t>法定代表身份证扫描件粘贴处</w:t>
            </w:r>
          </w:p>
        </w:tc>
      </w:tr>
    </w:tbl>
    <w:p w14:paraId="28DA9B21">
      <w:pPr>
        <w:spacing w:line="440" w:lineRule="atLeast"/>
        <w:rPr>
          <w:rFonts w:ascii="宋体" w:hAnsi="宋体" w:cs="宋体"/>
          <w:color w:val="auto"/>
          <w:sz w:val="24"/>
          <w:highlight w:val="none"/>
        </w:rPr>
      </w:pPr>
      <w:r>
        <w:rPr>
          <w:rFonts w:hint="eastAsia" w:ascii="宋体" w:hAnsi="宋体" w:cs="宋体"/>
          <w:color w:val="auto"/>
          <w:sz w:val="24"/>
          <w:highlight w:val="none"/>
        </w:rPr>
        <w:t xml:space="preserve">法定代表人姓名：                                 </w:t>
      </w:r>
    </w:p>
    <w:p w14:paraId="4414FD54">
      <w:pPr>
        <w:spacing w:line="440" w:lineRule="atLeast"/>
        <w:rPr>
          <w:rFonts w:ascii="宋体" w:hAnsi="宋体" w:cs="宋体"/>
          <w:color w:val="auto"/>
          <w:sz w:val="24"/>
          <w:highlight w:val="none"/>
        </w:rPr>
      </w:pPr>
      <w:r>
        <w:rPr>
          <w:rFonts w:hint="eastAsia" w:ascii="宋体" w:hAnsi="宋体" w:cs="宋体"/>
          <w:color w:val="auto"/>
          <w:sz w:val="24"/>
          <w:highlight w:val="none"/>
        </w:rPr>
        <w:t>传真：</w:t>
      </w:r>
    </w:p>
    <w:p w14:paraId="2D5D640F">
      <w:pPr>
        <w:spacing w:line="440" w:lineRule="atLeast"/>
        <w:rPr>
          <w:rFonts w:ascii="宋体" w:hAnsi="宋体" w:cs="宋体"/>
          <w:color w:val="auto"/>
          <w:sz w:val="24"/>
          <w:highlight w:val="none"/>
        </w:rPr>
      </w:pPr>
      <w:r>
        <w:rPr>
          <w:rFonts w:hint="eastAsia" w:ascii="宋体" w:hAnsi="宋体" w:cs="宋体"/>
          <w:color w:val="auto"/>
          <w:sz w:val="24"/>
          <w:highlight w:val="none"/>
        </w:rPr>
        <w:t>电话：</w:t>
      </w:r>
    </w:p>
    <w:p w14:paraId="34B02CEE">
      <w:pPr>
        <w:spacing w:line="440" w:lineRule="atLeast"/>
        <w:rPr>
          <w:rFonts w:ascii="宋体" w:hAnsi="宋体" w:cs="宋体"/>
          <w:color w:val="auto"/>
          <w:sz w:val="24"/>
          <w:highlight w:val="none"/>
        </w:rPr>
      </w:pPr>
      <w:r>
        <w:rPr>
          <w:rFonts w:hint="eastAsia" w:ascii="宋体" w:hAnsi="宋体" w:cs="宋体"/>
          <w:color w:val="auto"/>
          <w:sz w:val="24"/>
          <w:highlight w:val="none"/>
        </w:rPr>
        <w:t>详细通讯地址：</w:t>
      </w:r>
    </w:p>
    <w:p w14:paraId="25733695">
      <w:pPr>
        <w:spacing w:line="440" w:lineRule="atLeast"/>
        <w:rPr>
          <w:rFonts w:ascii="宋体" w:hAnsi="宋体" w:cs="宋体"/>
          <w:color w:val="auto"/>
          <w:sz w:val="24"/>
          <w:highlight w:val="none"/>
        </w:rPr>
      </w:pPr>
      <w:r>
        <w:rPr>
          <w:rFonts w:hint="eastAsia" w:ascii="宋体" w:hAnsi="宋体" w:cs="宋体"/>
          <w:color w:val="auto"/>
          <w:sz w:val="24"/>
          <w:highlight w:val="none"/>
        </w:rPr>
        <w:t>邮政编码：</w:t>
      </w:r>
    </w:p>
    <w:p w14:paraId="0B8ADD03">
      <w:pPr>
        <w:spacing w:line="440" w:lineRule="atLeast"/>
        <w:rPr>
          <w:rFonts w:ascii="宋体" w:hAnsi="宋体" w:cs="宋体"/>
          <w:b/>
          <w:color w:val="auto"/>
          <w:sz w:val="24"/>
          <w:highlight w:val="none"/>
        </w:rPr>
      </w:pPr>
    </w:p>
    <w:tbl>
      <w:tblPr>
        <w:tblStyle w:val="3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E9B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BED4577">
            <w:pPr>
              <w:spacing w:line="440" w:lineRule="atLeast"/>
              <w:rPr>
                <w:rFonts w:ascii="宋体" w:hAnsi="宋体" w:cs="宋体"/>
                <w:b/>
                <w:color w:val="auto"/>
                <w:sz w:val="24"/>
                <w:highlight w:val="none"/>
              </w:rPr>
            </w:pPr>
          </w:p>
          <w:p w14:paraId="78240571">
            <w:pPr>
              <w:spacing w:line="440" w:lineRule="atLeast"/>
              <w:ind w:firstLine="361" w:firstLineChars="150"/>
              <w:rPr>
                <w:rFonts w:ascii="宋体" w:hAnsi="宋体" w:cs="宋体"/>
                <w:b/>
                <w:color w:val="auto"/>
                <w:sz w:val="24"/>
                <w:highlight w:val="none"/>
              </w:rPr>
            </w:pPr>
            <w:r>
              <w:rPr>
                <w:rFonts w:hint="eastAsia" w:ascii="宋体" w:hAnsi="宋体" w:cs="宋体"/>
                <w:b/>
                <w:color w:val="auto"/>
                <w:sz w:val="24"/>
                <w:highlight w:val="none"/>
              </w:rPr>
              <w:t>全权代表身份证扫描件粘贴处</w:t>
            </w:r>
          </w:p>
        </w:tc>
      </w:tr>
    </w:tbl>
    <w:p w14:paraId="52D5F69B">
      <w:pPr>
        <w:spacing w:line="440" w:lineRule="atLeast"/>
        <w:rPr>
          <w:rFonts w:ascii="宋体" w:hAnsi="宋体" w:cs="宋体"/>
          <w:color w:val="auto"/>
          <w:sz w:val="24"/>
          <w:highlight w:val="none"/>
        </w:rPr>
      </w:pPr>
      <w:r>
        <w:rPr>
          <w:rFonts w:hint="eastAsia" w:ascii="宋体" w:hAnsi="宋体" w:cs="宋体"/>
          <w:color w:val="auto"/>
          <w:sz w:val="24"/>
          <w:highlight w:val="none"/>
        </w:rPr>
        <w:t xml:space="preserve">全权代表姓名：       </w:t>
      </w:r>
    </w:p>
    <w:p w14:paraId="2A4FC960">
      <w:pPr>
        <w:spacing w:line="440" w:lineRule="atLeast"/>
        <w:rPr>
          <w:rFonts w:ascii="宋体" w:hAnsi="宋体" w:cs="宋体"/>
          <w:color w:val="auto"/>
          <w:sz w:val="24"/>
          <w:highlight w:val="none"/>
        </w:rPr>
      </w:pPr>
      <w:r>
        <w:rPr>
          <w:rFonts w:hint="eastAsia" w:ascii="宋体" w:hAnsi="宋体" w:cs="宋体"/>
          <w:color w:val="auto"/>
          <w:sz w:val="24"/>
          <w:highlight w:val="none"/>
        </w:rPr>
        <w:t xml:space="preserve">职务：                           </w:t>
      </w:r>
    </w:p>
    <w:p w14:paraId="3918D4D8">
      <w:pPr>
        <w:spacing w:line="440" w:lineRule="atLeast"/>
        <w:rPr>
          <w:rFonts w:ascii="宋体" w:hAnsi="宋体" w:cs="宋体"/>
          <w:color w:val="auto"/>
          <w:sz w:val="24"/>
          <w:highlight w:val="none"/>
        </w:rPr>
      </w:pPr>
      <w:r>
        <w:rPr>
          <w:rFonts w:hint="eastAsia" w:ascii="宋体" w:hAnsi="宋体" w:cs="宋体"/>
          <w:color w:val="auto"/>
          <w:sz w:val="24"/>
          <w:highlight w:val="none"/>
        </w:rPr>
        <w:t>邮箱：</w:t>
      </w:r>
    </w:p>
    <w:p w14:paraId="330E1159">
      <w:pPr>
        <w:spacing w:line="440" w:lineRule="atLeast"/>
        <w:rPr>
          <w:rFonts w:ascii="宋体" w:hAnsi="宋体" w:cs="宋体"/>
          <w:color w:val="auto"/>
          <w:sz w:val="24"/>
          <w:highlight w:val="none"/>
        </w:rPr>
      </w:pPr>
      <w:r>
        <w:rPr>
          <w:rFonts w:hint="eastAsia" w:ascii="宋体" w:hAnsi="宋体" w:cs="宋体"/>
          <w:color w:val="auto"/>
          <w:sz w:val="24"/>
          <w:highlight w:val="none"/>
        </w:rPr>
        <w:t>电话：</w:t>
      </w:r>
    </w:p>
    <w:p w14:paraId="2CC831B0">
      <w:pPr>
        <w:spacing w:line="440" w:lineRule="atLeast"/>
        <w:rPr>
          <w:rFonts w:ascii="宋体" w:hAnsi="宋体" w:cs="宋体"/>
          <w:color w:val="auto"/>
          <w:sz w:val="24"/>
          <w:highlight w:val="none"/>
        </w:rPr>
      </w:pPr>
      <w:r>
        <w:rPr>
          <w:rFonts w:hint="eastAsia" w:ascii="宋体" w:hAnsi="宋体" w:cs="宋体"/>
          <w:color w:val="auto"/>
          <w:sz w:val="24"/>
          <w:highlight w:val="none"/>
        </w:rPr>
        <w:t>详细通讯地址：</w:t>
      </w:r>
    </w:p>
    <w:p w14:paraId="4693E135">
      <w:pPr>
        <w:spacing w:line="440" w:lineRule="atLeast"/>
        <w:rPr>
          <w:rFonts w:ascii="宋体" w:hAnsi="宋体" w:cs="宋体"/>
          <w:color w:val="auto"/>
          <w:sz w:val="24"/>
          <w:highlight w:val="none"/>
        </w:rPr>
      </w:pPr>
      <w:r>
        <w:rPr>
          <w:rFonts w:hint="eastAsia" w:ascii="宋体" w:hAnsi="宋体" w:cs="宋体"/>
          <w:color w:val="auto"/>
          <w:sz w:val="24"/>
          <w:highlight w:val="none"/>
        </w:rPr>
        <w:t>邮政编码：</w:t>
      </w:r>
    </w:p>
    <w:p w14:paraId="205B4DB3">
      <w:pPr>
        <w:pStyle w:val="19"/>
        <w:spacing w:line="500" w:lineRule="exact"/>
        <w:ind w:left="2"/>
        <w:rPr>
          <w:rFonts w:ascii="宋体" w:hAnsi="宋体" w:eastAsia="宋体" w:cs="宋体"/>
          <w:b/>
          <w:color w:val="auto"/>
          <w:sz w:val="28"/>
          <w:highlight w:val="none"/>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b/>
          <w:color w:val="auto"/>
          <w:sz w:val="24"/>
          <w:highlight w:val="none"/>
        </w:rPr>
        <w:t>备注：手机号码和电子邮箱必须准确填写，开评标过程中须保持手机号码和电子邮箱畅通，随时进行项目开标情况通报及回执。</w:t>
      </w:r>
    </w:p>
    <w:p w14:paraId="185E032A">
      <w:pPr>
        <w:rPr>
          <w:rFonts w:ascii="宋体"/>
          <w:b/>
          <w:sz w:val="30"/>
          <w:szCs w:val="30"/>
          <w:highlight w:val="none"/>
        </w:rPr>
      </w:pPr>
      <w:r>
        <w:rPr>
          <w:rFonts w:hint="eastAsia" w:ascii="宋体"/>
          <w:b/>
          <w:sz w:val="28"/>
          <w:highlight w:val="none"/>
        </w:rPr>
        <w:t>附件4</w:t>
      </w:r>
    </w:p>
    <w:p w14:paraId="5E779348">
      <w:pPr>
        <w:spacing w:line="360" w:lineRule="auto"/>
        <w:ind w:firstLine="301" w:firstLineChars="100"/>
        <w:jc w:val="center"/>
        <w:rPr>
          <w:rFonts w:ascii="宋体" w:hAnsi="宋体" w:cs="宋体"/>
          <w:b/>
          <w:sz w:val="30"/>
          <w:szCs w:val="30"/>
          <w:highlight w:val="none"/>
        </w:rPr>
      </w:pPr>
      <w:r>
        <w:rPr>
          <w:rFonts w:hint="eastAsia" w:ascii="宋体" w:hAnsi="宋体" w:cs="宋体"/>
          <w:b/>
          <w:sz w:val="30"/>
          <w:szCs w:val="30"/>
          <w:highlight w:val="none"/>
        </w:rPr>
        <w:t>具有符合《中华人民共和国政府采购法》第二十二条规定的磋商供应商资格条件的承诺函</w:t>
      </w:r>
    </w:p>
    <w:p w14:paraId="09AA0281">
      <w:pPr>
        <w:snapToGrid w:val="0"/>
        <w:spacing w:before="120" w:beforeLines="50" w:after="50" w:line="420" w:lineRule="exact"/>
        <w:ind w:firstLine="480" w:firstLineChars="200"/>
        <w:rPr>
          <w:rFonts w:ascii="宋体" w:hAnsi="宋体" w:cs="宋体"/>
          <w:kern w:val="0"/>
          <w:sz w:val="24"/>
          <w:highlight w:val="none"/>
        </w:rPr>
      </w:pPr>
      <w:r>
        <w:rPr>
          <w:rFonts w:hint="eastAsia" w:ascii="宋体" w:hAnsi="宋体" w:cs="宋体"/>
          <w:sz w:val="24"/>
          <w:highlight w:val="none"/>
          <w:u w:val="single"/>
        </w:rPr>
        <w:t>××</w:t>
      </w:r>
      <w:r>
        <w:rPr>
          <w:rFonts w:hint="eastAsia" w:ascii="宋体" w:hAnsi="宋体" w:cs="宋体"/>
          <w:kern w:val="0"/>
          <w:sz w:val="24"/>
          <w:highlight w:val="none"/>
        </w:rPr>
        <w:t>（代理机构/采购代理机构名称）：</w:t>
      </w:r>
    </w:p>
    <w:p w14:paraId="248092F4">
      <w:pPr>
        <w:pStyle w:val="65"/>
        <w:adjustRightInd w:val="0"/>
        <w:snapToGrid w:val="0"/>
        <w:spacing w:before="0" w:line="360" w:lineRule="auto"/>
        <w:ind w:left="102" w:right="102" w:firstLine="480"/>
        <w:rPr>
          <w:rFonts w:ascii="宋体" w:cs="宋体"/>
          <w:sz w:val="24"/>
          <w:highlight w:val="none"/>
        </w:rPr>
      </w:pPr>
      <w:r>
        <w:rPr>
          <w:rFonts w:hint="eastAsia" w:ascii="宋体" w:cs="宋体"/>
          <w:sz w:val="24"/>
          <w:highlight w:val="none"/>
        </w:rPr>
        <w:t>我方</w:t>
      </w:r>
      <w:r>
        <w:rPr>
          <w:rFonts w:hint="eastAsia" w:ascii="宋体" w:cs="宋体"/>
          <w:sz w:val="24"/>
          <w:highlight w:val="none"/>
          <w:u w:val="single"/>
        </w:rPr>
        <w:t xml:space="preserve"> （供应商）</w:t>
      </w:r>
      <w:r>
        <w:rPr>
          <w:rFonts w:hint="eastAsia" w:ascii="宋体" w:cs="宋体"/>
          <w:sz w:val="24"/>
          <w:highlight w:val="none"/>
        </w:rPr>
        <w:t>承诺</w:t>
      </w:r>
      <w:r>
        <w:rPr>
          <w:rFonts w:hint="eastAsia" w:ascii="宋体" w:eastAsia="宋体"/>
          <w:color w:val="auto"/>
          <w:sz w:val="24"/>
          <w:szCs w:val="24"/>
          <w:highlight w:val="none"/>
        </w:rPr>
        <w:t>符合《中华人民共和国政府采购法》第二十二条规定的磋商供应商资格条件。</w:t>
      </w:r>
      <w:r>
        <w:rPr>
          <w:rFonts w:hint="eastAsia" w:ascii="宋体" w:cs="宋体"/>
          <w:sz w:val="24"/>
          <w:highlight w:val="none"/>
        </w:rPr>
        <w:t>如有虚假，采购人可取消我方任何资格（投标/中标/签订合同），我方对此无任何异议。</w:t>
      </w:r>
    </w:p>
    <w:p w14:paraId="3EFFD9F0">
      <w:pPr>
        <w:widowControl/>
        <w:snapToGrid w:val="0"/>
        <w:spacing w:line="360" w:lineRule="auto"/>
        <w:ind w:firstLine="480" w:firstLineChars="200"/>
        <w:jc w:val="left"/>
        <w:rPr>
          <w:rFonts w:ascii="宋体" w:hAnsi="宋体" w:cs="宋体"/>
          <w:kern w:val="0"/>
          <w:sz w:val="24"/>
          <w:highlight w:val="none"/>
        </w:rPr>
      </w:pPr>
    </w:p>
    <w:p w14:paraId="3454D93C">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特此承诺！</w:t>
      </w:r>
    </w:p>
    <w:p w14:paraId="5C796196">
      <w:pPr>
        <w:pStyle w:val="5"/>
        <w:rPr>
          <w:rFonts w:ascii="宋体" w:hAnsi="宋体" w:cs="仿宋_GB2312"/>
          <w:kern w:val="0"/>
          <w:sz w:val="24"/>
          <w:highlight w:val="none"/>
          <w:lang w:val="zh-CN"/>
        </w:rPr>
      </w:pPr>
    </w:p>
    <w:p w14:paraId="0B14B75D">
      <w:pPr>
        <w:rPr>
          <w:rFonts w:ascii="宋体" w:hAnsi="宋体" w:cs="仿宋_GB2312"/>
          <w:kern w:val="0"/>
          <w:sz w:val="24"/>
          <w:highlight w:val="none"/>
          <w:lang w:val="zh-CN"/>
        </w:rPr>
      </w:pPr>
    </w:p>
    <w:p w14:paraId="1D2BBE21">
      <w:pPr>
        <w:pStyle w:val="5"/>
        <w:rPr>
          <w:highlight w:val="none"/>
          <w:lang w:val="zh-CN"/>
        </w:rPr>
      </w:pPr>
    </w:p>
    <w:p w14:paraId="212142E1">
      <w:pPr>
        <w:adjustRightInd w:val="0"/>
        <w:snapToGrid w:val="0"/>
        <w:spacing w:line="360" w:lineRule="auto"/>
        <w:ind w:firstLine="240" w:firstLineChars="100"/>
        <w:jc w:val="right"/>
        <w:rPr>
          <w:rFonts w:ascii="宋体" w:hAnsi="宋体" w:cs="仿宋_GB2312"/>
          <w:kern w:val="0"/>
          <w:sz w:val="24"/>
          <w:highlight w:val="none"/>
          <w:lang w:val="zh-CN"/>
        </w:rPr>
      </w:pPr>
      <w:r>
        <w:rPr>
          <w:rFonts w:hint="eastAsia" w:ascii="宋体" w:hAnsi="宋体" w:cs="宋体"/>
          <w:color w:val="auto"/>
          <w:sz w:val="24"/>
          <w:highlight w:val="none"/>
        </w:rPr>
        <w:t>磋商供应商</w:t>
      </w:r>
      <w:r>
        <w:rPr>
          <w:rFonts w:hint="eastAsia" w:ascii="宋体" w:hAnsi="宋体" w:cs="仿宋_GB2312"/>
          <w:kern w:val="0"/>
          <w:sz w:val="24"/>
          <w:highlight w:val="none"/>
          <w:lang w:val="zh-CN"/>
        </w:rPr>
        <w:t>名称(盖章)：</w:t>
      </w:r>
    </w:p>
    <w:p w14:paraId="26E6B73F">
      <w:pPr>
        <w:adjustRightInd w:val="0"/>
        <w:snapToGrid w:val="0"/>
        <w:spacing w:line="360" w:lineRule="auto"/>
        <w:ind w:firstLine="240" w:firstLineChars="100"/>
        <w:jc w:val="right"/>
        <w:rPr>
          <w:rFonts w:ascii="宋体" w:hAnsi="宋体" w:cs="仿宋_GB2312"/>
          <w:kern w:val="0"/>
          <w:sz w:val="24"/>
          <w:highlight w:val="none"/>
          <w:lang w:val="zh-CN"/>
        </w:rPr>
      </w:pPr>
      <w:r>
        <w:rPr>
          <w:rFonts w:hint="eastAsia" w:ascii="宋体" w:hAnsi="宋体" w:cs="仿宋_GB2312"/>
          <w:kern w:val="0"/>
          <w:sz w:val="24"/>
          <w:highlight w:val="none"/>
          <w:lang w:val="zh-CN"/>
        </w:rPr>
        <w:t>法定代表人或授权委托人(盖章或签字)：</w:t>
      </w:r>
    </w:p>
    <w:p w14:paraId="494D63D9">
      <w:pPr>
        <w:spacing w:line="360" w:lineRule="auto"/>
        <w:ind w:firstLine="240" w:firstLineChars="100"/>
        <w:jc w:val="right"/>
        <w:rPr>
          <w:highlight w:val="none"/>
        </w:rPr>
        <w:sectPr>
          <w:pgSz w:w="11906" w:h="16838"/>
          <w:pgMar w:top="1361" w:right="1304" w:bottom="1134" w:left="1304" w:header="851" w:footer="992" w:gutter="0"/>
          <w:cols w:space="425" w:num="1"/>
          <w:docGrid w:linePitch="312" w:charSpace="0"/>
        </w:sectPr>
      </w:pPr>
      <w:r>
        <w:rPr>
          <w:rFonts w:hint="eastAsia" w:ascii="宋体" w:hAnsi="宋体" w:cs="仿宋_GB2312"/>
          <w:kern w:val="0"/>
          <w:sz w:val="24"/>
          <w:highlight w:val="none"/>
          <w:lang w:val="zh-CN"/>
        </w:rPr>
        <w:t>日期：</w:t>
      </w:r>
      <w:r>
        <w:rPr>
          <w:rFonts w:hint="eastAsia" w:ascii="宋体" w:hAnsi="宋体"/>
          <w:sz w:val="24"/>
          <w:highlight w:val="none"/>
        </w:rPr>
        <w:t xml:space="preserve">   </w:t>
      </w:r>
      <w:r>
        <w:rPr>
          <w:rFonts w:hint="eastAsia" w:ascii="宋体" w:hAnsi="宋体" w:cs="仿宋_GB2312"/>
          <w:kern w:val="0"/>
          <w:sz w:val="24"/>
          <w:highlight w:val="none"/>
          <w:lang w:val="zh-CN"/>
        </w:rPr>
        <w:t xml:space="preserve">年 </w:t>
      </w:r>
      <w:r>
        <w:rPr>
          <w:rFonts w:hint="eastAsia" w:ascii="宋体" w:hAnsi="宋体"/>
          <w:sz w:val="24"/>
          <w:highlight w:val="none"/>
        </w:rPr>
        <w:t xml:space="preserve">  </w:t>
      </w:r>
      <w:r>
        <w:rPr>
          <w:rFonts w:hint="eastAsia" w:ascii="宋体" w:hAnsi="宋体" w:cs="仿宋_GB2312"/>
          <w:kern w:val="0"/>
          <w:sz w:val="24"/>
          <w:highlight w:val="none"/>
          <w:lang w:val="zh-CN"/>
        </w:rPr>
        <w:t>月</w:t>
      </w:r>
      <w:r>
        <w:rPr>
          <w:rFonts w:hint="eastAsia" w:ascii="宋体" w:hAnsi="宋体" w:cs="仿宋_GB2312"/>
          <w:kern w:val="0"/>
          <w:sz w:val="24"/>
          <w:highlight w:val="none"/>
          <w:lang w:val="en-US" w:eastAsia="zh-CN"/>
        </w:rPr>
        <w:t xml:space="preserve">  </w:t>
      </w:r>
      <w:r>
        <w:rPr>
          <w:rFonts w:hint="eastAsia" w:ascii="宋体" w:hAnsi="宋体" w:cs="仿宋_GB2312"/>
          <w:kern w:val="0"/>
          <w:sz w:val="24"/>
          <w:highlight w:val="none"/>
          <w:lang w:val="zh-CN"/>
        </w:rPr>
        <w:t xml:space="preserve">日 </w:t>
      </w:r>
      <w:r>
        <w:rPr>
          <w:rFonts w:hint="eastAsia" w:ascii="宋体" w:hAnsi="宋体"/>
          <w:sz w:val="24"/>
          <w:highlight w:val="none"/>
        </w:rPr>
        <w:t xml:space="preserve"> </w:t>
      </w:r>
    </w:p>
    <w:p w14:paraId="59D66C21">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5</w:t>
      </w:r>
      <w:r>
        <w:rPr>
          <w:rFonts w:hint="eastAsia" w:ascii="宋体" w:hAnsi="宋体" w:cs="宋体"/>
          <w:b/>
          <w:color w:val="auto"/>
          <w:sz w:val="28"/>
          <w:highlight w:val="none"/>
        </w:rPr>
        <w:t>：</w:t>
      </w:r>
    </w:p>
    <w:p w14:paraId="15E63628">
      <w:pPr>
        <w:spacing w:line="360" w:lineRule="auto"/>
        <w:ind w:firstLine="301" w:firstLineChars="100"/>
        <w:jc w:val="center"/>
        <w:rPr>
          <w:rFonts w:ascii="宋体" w:hAnsi="宋体" w:cs="宋体"/>
          <w:b/>
          <w:color w:val="auto"/>
          <w:kern w:val="36"/>
          <w:sz w:val="32"/>
          <w:szCs w:val="28"/>
          <w:highlight w:val="none"/>
        </w:rPr>
      </w:pPr>
      <w:r>
        <w:rPr>
          <w:rFonts w:hint="eastAsia" w:ascii="宋体" w:hAnsi="宋体" w:cs="宋体"/>
          <w:b/>
          <w:color w:val="auto"/>
          <w:sz w:val="30"/>
          <w:szCs w:val="30"/>
          <w:highlight w:val="none"/>
        </w:rPr>
        <w:t>磋商供应商没有失信记录承诺函</w:t>
      </w:r>
    </w:p>
    <w:p w14:paraId="231C8892">
      <w:pPr>
        <w:pStyle w:val="3"/>
        <w:rPr>
          <w:rFonts w:ascii="宋体" w:hAnsi="宋体" w:cs="宋体"/>
          <w:color w:val="auto"/>
          <w:highlight w:val="none"/>
        </w:rPr>
      </w:pPr>
    </w:p>
    <w:p w14:paraId="44677B46">
      <w:pPr>
        <w:spacing w:line="360" w:lineRule="auto"/>
        <w:ind w:firstLine="484" w:firstLineChars="202"/>
        <w:jc w:val="left"/>
        <w:rPr>
          <w:rFonts w:ascii="宋体" w:hAnsi="宋体" w:cs="宋体"/>
          <w:color w:val="auto"/>
          <w:kern w:val="0"/>
          <w:sz w:val="24"/>
          <w:highlight w:val="none"/>
        </w:rPr>
      </w:pPr>
      <w:r>
        <w:rPr>
          <w:rFonts w:hint="eastAsia" w:ascii="宋体" w:hAnsi="宋体" w:cs="宋体"/>
          <w:color w:val="auto"/>
          <w:sz w:val="24"/>
          <w:highlight w:val="none"/>
          <w:u w:val="single"/>
        </w:rPr>
        <w:t>××</w:t>
      </w:r>
      <w:r>
        <w:rPr>
          <w:rFonts w:hint="eastAsia" w:ascii="宋体" w:hAnsi="宋体" w:cs="宋体"/>
          <w:color w:val="auto"/>
          <w:kern w:val="0"/>
          <w:sz w:val="24"/>
          <w:highlight w:val="none"/>
        </w:rPr>
        <w:t xml:space="preserve">（代理机构/采购代理机构名称）： </w:t>
      </w:r>
    </w:p>
    <w:p w14:paraId="7A696FA6">
      <w:pPr>
        <w:spacing w:line="360" w:lineRule="auto"/>
        <w:ind w:firstLine="484" w:firstLineChars="202"/>
        <w:jc w:val="left"/>
        <w:rPr>
          <w:rFonts w:ascii="宋体" w:hAnsi="宋体" w:cs="宋体"/>
          <w:color w:val="auto"/>
          <w:kern w:val="0"/>
          <w:sz w:val="24"/>
          <w:highlight w:val="none"/>
        </w:rPr>
      </w:pPr>
      <w:r>
        <w:rPr>
          <w:rFonts w:hint="eastAsia" w:ascii="宋体" w:hAnsi="宋体" w:cs="宋体"/>
          <w:color w:val="auto"/>
          <w:kern w:val="0"/>
          <w:sz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12E7182C">
      <w:pPr>
        <w:shd w:val="clear" w:color="auto" w:fill="FFFFFF"/>
        <w:snapToGrid w:val="0"/>
        <w:spacing w:line="360" w:lineRule="auto"/>
        <w:rPr>
          <w:rFonts w:ascii="宋体" w:hAnsi="宋体" w:cs="宋体"/>
          <w:color w:val="auto"/>
          <w:sz w:val="24"/>
          <w:highlight w:val="none"/>
        </w:rPr>
      </w:pPr>
    </w:p>
    <w:p w14:paraId="30A2A22E">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特此承诺！</w:t>
      </w:r>
    </w:p>
    <w:p w14:paraId="21D6DE86">
      <w:pPr>
        <w:pStyle w:val="61"/>
        <w:shd w:val="clear" w:color="auto" w:fill="FFFFFF"/>
        <w:spacing w:before="0" w:beforeAutospacing="0" w:after="0" w:afterAutospacing="0" w:line="360" w:lineRule="auto"/>
        <w:rPr>
          <w:rFonts w:ascii="宋体" w:hAnsi="宋体" w:cs="宋体"/>
          <w:b/>
          <w:color w:val="auto"/>
          <w:sz w:val="28"/>
          <w:highlight w:val="none"/>
        </w:rPr>
      </w:pPr>
    </w:p>
    <w:p w14:paraId="1D3EF6E0">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1AA249B3">
      <w:pPr>
        <w:spacing w:line="360" w:lineRule="auto"/>
        <w:ind w:left="420"/>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法定代表人或磋商供应商代表（签章或签字）</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232AA15D">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1E56F805">
      <w:pPr>
        <w:spacing w:line="360" w:lineRule="auto"/>
        <w:ind w:firstLine="435"/>
        <w:rPr>
          <w:rFonts w:hint="eastAsia" w:ascii="宋体" w:hAnsi="宋体" w:cs="宋体"/>
          <w:b/>
          <w:color w:val="auto"/>
          <w:sz w:val="28"/>
          <w:highlight w:val="none"/>
        </w:rPr>
        <w:sectPr>
          <w:pgSz w:w="11906" w:h="16838"/>
          <w:pgMar w:top="1440" w:right="1800" w:bottom="1440" w:left="1800" w:header="851" w:footer="992" w:gutter="0"/>
          <w:cols w:space="720" w:num="1"/>
          <w:docGrid w:type="lines" w:linePitch="312" w:charSpace="0"/>
        </w:sect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15594F3A">
      <w:pPr>
        <w:spacing w:line="360" w:lineRule="auto"/>
        <w:rPr>
          <w:rFonts w:ascii="宋体" w:hAnsi="宋体" w:cs="宋体"/>
          <w:b/>
          <w:color w:val="auto"/>
          <w:sz w:val="28"/>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6</w:t>
      </w:r>
      <w:r>
        <w:rPr>
          <w:rFonts w:hint="eastAsia" w:ascii="宋体" w:hAnsi="宋体" w:cs="宋体"/>
          <w:b/>
          <w:color w:val="auto"/>
          <w:sz w:val="28"/>
          <w:highlight w:val="none"/>
        </w:rPr>
        <w:t>：</w:t>
      </w:r>
    </w:p>
    <w:p w14:paraId="520CC64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w:t>
      </w:r>
      <w:r>
        <w:rPr>
          <w:rFonts w:hint="eastAsia" w:ascii="宋体" w:hAnsi="宋体" w:cs="宋体"/>
          <w:b/>
          <w:color w:val="auto"/>
          <w:sz w:val="32"/>
          <w:szCs w:val="32"/>
          <w:highlight w:val="none"/>
          <w:lang w:eastAsia="zh-CN"/>
        </w:rPr>
        <w:t>货物</w:t>
      </w:r>
      <w:r>
        <w:rPr>
          <w:rFonts w:hint="eastAsia" w:ascii="宋体" w:hAnsi="宋体" w:cs="宋体"/>
          <w:b/>
          <w:color w:val="auto"/>
          <w:sz w:val="32"/>
          <w:szCs w:val="32"/>
          <w:highlight w:val="none"/>
        </w:rPr>
        <w:t>）</w:t>
      </w:r>
    </w:p>
    <w:p w14:paraId="65A3D740">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采购活动，</w:t>
      </w:r>
      <w:r>
        <w:rPr>
          <w:rFonts w:hint="eastAsia" w:ascii="宋体" w:hAnsi="宋体" w:cs="宋体"/>
          <w:bCs/>
          <w:color w:val="auto"/>
          <w:sz w:val="24"/>
          <w:highlight w:val="none"/>
          <w:lang w:val="en-US" w:eastAsia="zh-CN"/>
        </w:rPr>
        <w:t>提供的货物全部由符合政策要求的中小企业制造</w:t>
      </w:r>
      <w:r>
        <w:rPr>
          <w:rFonts w:hint="eastAsia" w:ascii="宋体" w:hAnsi="宋体" w:cs="宋体"/>
          <w:bCs/>
          <w:color w:val="auto"/>
          <w:sz w:val="24"/>
          <w:highlight w:val="none"/>
        </w:rPr>
        <w:t>。相关企业（含联合体中的中小企业、签订分包意向协议的中小企业）的具体情况如下：</w:t>
      </w:r>
    </w:p>
    <w:p w14:paraId="5C754D9D">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w:t>
      </w:r>
      <w:r>
        <w:rPr>
          <w:rFonts w:hint="eastAsia" w:ascii="宋体" w:hAnsi="宋体" w:cs="宋体"/>
          <w:b/>
          <w:bCs w:val="0"/>
          <w:color w:val="FF0000"/>
          <w:sz w:val="24"/>
          <w:highlight w:val="none"/>
          <w:lang w:eastAsia="zh-CN"/>
        </w:rPr>
        <w:t>制造商</w:t>
      </w:r>
      <w:r>
        <w:rPr>
          <w:rFonts w:hint="eastAsia" w:ascii="宋体" w:hAnsi="宋体" w:cs="宋体"/>
          <w:bCs/>
          <w:color w:val="auto"/>
          <w:sz w:val="24"/>
          <w:highlight w:val="none"/>
        </w:rPr>
        <w:t>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42"/>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28D5EA4A">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w:t>
      </w:r>
      <w:r>
        <w:rPr>
          <w:rFonts w:hint="eastAsia" w:ascii="宋体" w:hAnsi="宋体" w:cs="宋体"/>
          <w:b/>
          <w:bCs w:val="0"/>
          <w:color w:val="FF0000"/>
          <w:sz w:val="24"/>
          <w:highlight w:val="none"/>
          <w:lang w:eastAsia="zh-CN"/>
        </w:rPr>
        <w:t>制造商</w:t>
      </w:r>
      <w:r>
        <w:rPr>
          <w:rFonts w:hint="eastAsia" w:ascii="宋体" w:hAnsi="宋体" w:cs="宋体"/>
          <w:bCs/>
          <w:color w:val="auto"/>
          <w:sz w:val="24"/>
          <w:highlight w:val="none"/>
        </w:rPr>
        <w:t>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5CA9AE93">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14:paraId="2472F69A">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14:paraId="172980CF">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14:paraId="71EA4581">
      <w:pPr>
        <w:spacing w:line="360" w:lineRule="auto"/>
        <w:jc w:val="left"/>
        <w:rPr>
          <w:rFonts w:ascii="宋体" w:hAnsi="宋体" w:cs="宋体"/>
          <w:bCs/>
          <w:color w:val="auto"/>
          <w:sz w:val="24"/>
          <w:highlight w:val="none"/>
        </w:rPr>
      </w:pPr>
    </w:p>
    <w:p w14:paraId="543555C6">
      <w:pPr>
        <w:pStyle w:val="32"/>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w:t>
      </w:r>
    </w:p>
    <w:p w14:paraId="6E168F1E">
      <w:pPr>
        <w:pStyle w:val="32"/>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单位名称（公章）：</w:t>
      </w:r>
    </w:p>
    <w:p w14:paraId="1AA74967">
      <w:pPr>
        <w:pStyle w:val="32"/>
        <w:rPr>
          <w:color w:val="auto"/>
          <w:highlight w:val="none"/>
        </w:rPr>
        <w:sectPr>
          <w:pgSz w:w="11906" w:h="16838"/>
          <w:pgMar w:top="1440" w:right="1800" w:bottom="1440" w:left="1800" w:header="851" w:footer="992" w:gutter="0"/>
          <w:cols w:space="720" w:num="1"/>
          <w:docGrid w:type="lines" w:linePitch="312" w:charSpace="0"/>
        </w:sectPr>
      </w:pPr>
      <w:r>
        <w:rPr>
          <w:rFonts w:hint="eastAsia" w:ascii="宋体" w:hAnsi="宋体" w:cs="宋体"/>
          <w:b w:val="0"/>
          <w:bCs w:val="0"/>
          <w:color w:val="auto"/>
          <w:sz w:val="24"/>
          <w:szCs w:val="24"/>
          <w:highlight w:val="none"/>
        </w:rPr>
        <w:t xml:space="preserve">                       日 期：</w:t>
      </w:r>
    </w:p>
    <w:p w14:paraId="56566831">
      <w:pPr>
        <w:spacing w:line="360" w:lineRule="auto"/>
        <w:jc w:val="center"/>
        <w:rPr>
          <w:rFonts w:ascii="宋体" w:cs="宋体"/>
          <w:b/>
          <w:bCs/>
          <w:sz w:val="24"/>
          <w:highlight w:val="none"/>
        </w:rPr>
      </w:pPr>
      <w:r>
        <w:rPr>
          <w:rFonts w:hint="eastAsia" w:ascii="宋体" w:cs="宋体"/>
          <w:b/>
          <w:bCs/>
          <w:sz w:val="24"/>
          <w:highlight w:val="none"/>
        </w:rPr>
        <w:t>残疾人福利性单位声明函（如有）</w:t>
      </w:r>
    </w:p>
    <w:p w14:paraId="7430E8DF">
      <w:pPr>
        <w:spacing w:line="360" w:lineRule="auto"/>
        <w:jc w:val="center"/>
        <w:rPr>
          <w:rFonts w:ascii="宋体" w:cs="宋体"/>
          <w:b/>
          <w:bCs/>
          <w:sz w:val="24"/>
          <w:highlight w:val="none"/>
        </w:rPr>
      </w:pPr>
    </w:p>
    <w:p w14:paraId="6EBD0DC6">
      <w:pPr>
        <w:spacing w:line="360" w:lineRule="auto"/>
        <w:ind w:firstLine="480" w:firstLineChars="200"/>
        <w:rPr>
          <w:rFonts w:ascii="宋体" w:cs="宋体"/>
          <w:spacing w:val="6"/>
          <w:sz w:val="24"/>
          <w:highlight w:val="none"/>
        </w:rPr>
      </w:pPr>
      <w:r>
        <w:rPr>
          <w:rFonts w:hint="eastAsia" w:ascii="宋体" w:cs="宋体"/>
          <w:sz w:val="24"/>
          <w:highlight w:val="none"/>
        </w:rPr>
        <w:t>本</w:t>
      </w:r>
      <w:r>
        <w:rPr>
          <w:rFonts w:hint="eastAsia" w:ascii="宋体" w:cs="宋体"/>
          <w:spacing w:val="6"/>
          <w:sz w:val="24"/>
          <w:highlight w:val="none"/>
        </w:rPr>
        <w:t>单位郑重声明，根据《财政部 民政部 中国残疾人联合会关于促进残疾人就业政府采购政策的通知》（财库〔2017〕 141号）的规定，本单位为符合条件的残疾人福利性单位，且本单位参加</w:t>
      </w:r>
      <w:r>
        <w:rPr>
          <w:rFonts w:hint="eastAsia" w:ascii="宋体" w:cs="宋体"/>
          <w:spacing w:val="6"/>
          <w:sz w:val="24"/>
          <w:highlight w:val="none"/>
          <w:u w:val="single"/>
        </w:rPr>
        <w:t>台州中亿工程管理有限公司</w:t>
      </w:r>
      <w:r>
        <w:rPr>
          <w:rFonts w:hint="eastAsia" w:ascii="宋体" w:cs="宋体"/>
          <w:spacing w:val="6"/>
          <w:sz w:val="24"/>
          <w:highlight w:val="none"/>
        </w:rPr>
        <w:t>单位的项目采购活动提供本单位制造的货物（由本单位承担工程/提供服务），或者提供其他残疾人福利性单位制造的货物（不包括使用非残疾人福利性单位注册商标的货物）。</w:t>
      </w:r>
    </w:p>
    <w:p w14:paraId="0554915A">
      <w:pPr>
        <w:spacing w:line="360" w:lineRule="auto"/>
        <w:ind w:firstLine="378" w:firstLineChars="150"/>
        <w:rPr>
          <w:rFonts w:ascii="宋体" w:cs="宋体"/>
          <w:sz w:val="24"/>
          <w:highlight w:val="none"/>
        </w:rPr>
      </w:pPr>
      <w:r>
        <w:rPr>
          <w:rFonts w:hint="eastAsia" w:ascii="宋体" w:cs="宋体"/>
          <w:spacing w:val="6"/>
          <w:sz w:val="24"/>
          <w:highlight w:val="none"/>
        </w:rPr>
        <w:t>本单位对上述声明的真实性负责。如有虚假，将依法承担相应责任</w:t>
      </w:r>
      <w:r>
        <w:rPr>
          <w:rFonts w:hint="eastAsia" w:ascii="宋体" w:cs="宋体"/>
          <w:sz w:val="24"/>
          <w:highlight w:val="none"/>
        </w:rPr>
        <w:t>。</w:t>
      </w:r>
    </w:p>
    <w:p w14:paraId="2E28CB72">
      <w:pPr>
        <w:spacing w:line="360" w:lineRule="auto"/>
        <w:ind w:firstLine="360" w:firstLineChars="150"/>
        <w:rPr>
          <w:rFonts w:ascii="宋体" w:cs="宋体"/>
          <w:sz w:val="24"/>
          <w:highlight w:val="none"/>
        </w:rPr>
      </w:pPr>
    </w:p>
    <w:p w14:paraId="5E0C87E0">
      <w:pPr>
        <w:spacing w:line="360" w:lineRule="auto"/>
        <w:ind w:right="480" w:firstLine="4284" w:firstLineChars="1700"/>
        <w:rPr>
          <w:rFonts w:ascii="宋体" w:cs="宋体"/>
          <w:sz w:val="24"/>
          <w:highlight w:val="none"/>
        </w:rPr>
      </w:pPr>
      <w:r>
        <w:rPr>
          <w:rFonts w:hint="eastAsia" w:ascii="宋体"/>
          <w:spacing w:val="6"/>
          <w:sz w:val="24"/>
          <w:highlight w:val="none"/>
        </w:rPr>
        <w:t>单位名称</w:t>
      </w:r>
      <w:r>
        <w:rPr>
          <w:rFonts w:hint="eastAsia" w:ascii="宋体" w:hAnsi="宋体" w:cs="宋体"/>
          <w:kern w:val="0"/>
          <w:sz w:val="24"/>
          <w:highlight w:val="none"/>
        </w:rPr>
        <w:t>（盖章）</w:t>
      </w:r>
      <w:r>
        <w:rPr>
          <w:rFonts w:hint="eastAsia" w:ascii="宋体" w:cs="宋体"/>
          <w:sz w:val="24"/>
          <w:highlight w:val="none"/>
        </w:rPr>
        <w:t>：</w:t>
      </w:r>
    </w:p>
    <w:p w14:paraId="2AB1E442">
      <w:pPr>
        <w:spacing w:line="360" w:lineRule="auto"/>
        <w:ind w:right="480" w:firstLine="4320" w:firstLineChars="1800"/>
        <w:rPr>
          <w:rFonts w:ascii="宋体" w:cs="宋体"/>
          <w:sz w:val="24"/>
          <w:highlight w:val="none"/>
        </w:rPr>
      </w:pPr>
      <w:r>
        <w:rPr>
          <w:rFonts w:hint="eastAsia" w:ascii="宋体" w:cs="宋体"/>
          <w:sz w:val="24"/>
          <w:highlight w:val="none"/>
        </w:rPr>
        <w:t>日期∶</w:t>
      </w:r>
    </w:p>
    <w:p w14:paraId="2ABB4EB4">
      <w:pPr>
        <w:spacing w:line="360" w:lineRule="auto"/>
        <w:ind w:right="360"/>
        <w:rPr>
          <w:rFonts w:hint="eastAsia" w:ascii="宋体" w:eastAsia="宋体" w:cs="宋体"/>
          <w:b w:val="0"/>
          <w:bCs w:val="0"/>
          <w:spacing w:val="6"/>
          <w:kern w:val="2"/>
          <w:sz w:val="24"/>
          <w:szCs w:val="24"/>
          <w:highlight w:val="none"/>
          <w:lang w:val="en-US" w:eastAsia="zh-CN" w:bidi="ar-SA"/>
        </w:rPr>
      </w:pPr>
    </w:p>
    <w:p w14:paraId="55116F39">
      <w:pPr>
        <w:spacing w:line="360" w:lineRule="auto"/>
        <w:ind w:right="360"/>
        <w:rPr>
          <w:rFonts w:hint="eastAsia" w:ascii="宋体" w:hAnsi="Calibri" w:eastAsia="宋体" w:cs="宋体"/>
          <w:b w:val="0"/>
          <w:bCs w:val="0"/>
          <w:spacing w:val="6"/>
          <w:kern w:val="2"/>
          <w:sz w:val="24"/>
          <w:szCs w:val="24"/>
          <w:highlight w:val="none"/>
          <w:lang w:val="en-US" w:eastAsia="zh-CN" w:bidi="ar-SA"/>
        </w:rPr>
      </w:pPr>
    </w:p>
    <w:p w14:paraId="18C47391">
      <w:pPr>
        <w:pStyle w:val="93"/>
        <w:snapToGrid w:val="0"/>
        <w:spacing w:line="500" w:lineRule="exact"/>
        <w:jc w:val="both"/>
        <w:rPr>
          <w:rFonts w:hint="eastAsia" w:ascii="宋体" w:hAnsi="宋体" w:eastAsia="宋体" w:cs="宋体"/>
          <w:b/>
          <w:color w:val="auto"/>
          <w:sz w:val="28"/>
          <w:highlight w:val="none"/>
        </w:rPr>
        <w:sectPr>
          <w:pgSz w:w="11906" w:h="16838"/>
          <w:pgMar w:top="1440" w:right="1800" w:bottom="1440" w:left="1800" w:header="851" w:footer="992" w:gutter="0"/>
          <w:cols w:space="720" w:num="1"/>
          <w:docGrid w:type="lines" w:linePitch="312" w:charSpace="0"/>
        </w:sectPr>
      </w:pPr>
      <w:r>
        <w:rPr>
          <w:rFonts w:hint="eastAsia" w:ascii="宋体" w:hAnsi="Calibri" w:eastAsia="宋体" w:cs="宋体"/>
          <w:b w:val="0"/>
          <w:bCs w:val="0"/>
          <w:spacing w:val="6"/>
          <w:kern w:val="2"/>
          <w:sz w:val="24"/>
          <w:szCs w:val="24"/>
          <w:highlight w:val="none"/>
          <w:lang w:val="en-US" w:eastAsia="zh-CN" w:bidi="ar-SA"/>
        </w:rPr>
        <w:t>注：残疾人福利性单位视同中小型企业。</w:t>
      </w:r>
    </w:p>
    <w:p w14:paraId="50F0DD36">
      <w:pPr>
        <w:pStyle w:val="61"/>
        <w:shd w:val="clear" w:color="auto" w:fill="FFFFFF"/>
        <w:spacing w:before="0" w:beforeAutospacing="0" w:after="0" w:afterAutospacing="0" w:line="360" w:lineRule="auto"/>
        <w:rPr>
          <w:rFonts w:ascii="宋体" w:hAnsi="宋体" w:cs="宋体"/>
          <w:b/>
          <w:color w:val="auto"/>
          <w:sz w:val="28"/>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7</w:t>
      </w:r>
      <w:r>
        <w:rPr>
          <w:rFonts w:hint="eastAsia" w:ascii="宋体" w:hAnsi="宋体" w:cs="宋体"/>
          <w:b/>
          <w:color w:val="auto"/>
          <w:sz w:val="28"/>
          <w:highlight w:val="none"/>
        </w:rPr>
        <w:t xml:space="preserve">：       </w:t>
      </w:r>
    </w:p>
    <w:p w14:paraId="6CC07446">
      <w:pPr>
        <w:pStyle w:val="61"/>
        <w:shd w:val="clear" w:color="auto" w:fill="FFFFFF"/>
        <w:spacing w:before="0" w:beforeAutospacing="0" w:after="0" w:afterAutospacing="0" w:line="360" w:lineRule="auto"/>
        <w:jc w:val="center"/>
        <w:rPr>
          <w:rFonts w:ascii="宋体" w:hAnsi="宋体" w:cs="宋体"/>
          <w:b/>
          <w:bCs/>
          <w:color w:val="auto"/>
          <w:spacing w:val="21"/>
          <w:sz w:val="32"/>
          <w:szCs w:val="32"/>
          <w:highlight w:val="none"/>
        </w:rPr>
      </w:pPr>
      <w:r>
        <w:rPr>
          <w:rFonts w:hint="eastAsia" w:ascii="宋体" w:hAnsi="宋体" w:cs="宋体"/>
          <w:b/>
          <w:color w:val="auto"/>
          <w:sz w:val="32"/>
          <w:szCs w:val="32"/>
          <w:highlight w:val="none"/>
        </w:rPr>
        <w:t xml:space="preserve">  供应商</w:t>
      </w:r>
      <w:r>
        <w:rPr>
          <w:rFonts w:hint="eastAsia" w:ascii="宋体" w:hAnsi="宋体" w:cs="宋体"/>
          <w:b/>
          <w:bCs/>
          <w:color w:val="auto"/>
          <w:spacing w:val="21"/>
          <w:sz w:val="32"/>
          <w:szCs w:val="32"/>
          <w:highlight w:val="none"/>
        </w:rPr>
        <w:t>基本情况表</w:t>
      </w:r>
    </w:p>
    <w:tbl>
      <w:tblPr>
        <w:tblStyle w:val="35"/>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1591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14:paraId="6267722A">
            <w:pPr>
              <w:pStyle w:val="61"/>
              <w:shd w:val="clear" w:color="auto" w:fill="FFFFFF"/>
              <w:spacing w:line="360" w:lineRule="auto"/>
              <w:rPr>
                <w:rFonts w:ascii="宋体" w:hAnsi="宋体" w:cs="宋体"/>
                <w:bCs/>
                <w:color w:val="auto"/>
                <w:highlight w:val="none"/>
              </w:rPr>
            </w:pPr>
            <w:r>
              <w:rPr>
                <w:rFonts w:hint="eastAsia" w:ascii="宋体" w:hAnsi="宋体" w:cs="宋体"/>
                <w:bCs/>
                <w:color w:val="auto"/>
                <w:spacing w:val="27"/>
                <w:highlight w:val="none"/>
              </w:rPr>
              <w:t>企业名称</w:t>
            </w:r>
          </w:p>
        </w:tc>
        <w:tc>
          <w:tcPr>
            <w:tcW w:w="3979" w:type="dxa"/>
            <w:gridSpan w:val="6"/>
          </w:tcPr>
          <w:p w14:paraId="08DA613B">
            <w:pPr>
              <w:pStyle w:val="61"/>
              <w:shd w:val="clear" w:color="auto" w:fill="FFFFFF"/>
              <w:spacing w:line="360" w:lineRule="auto"/>
              <w:rPr>
                <w:rFonts w:ascii="宋体" w:hAnsi="宋体" w:cs="宋体"/>
                <w:bCs/>
                <w:color w:val="auto"/>
                <w:highlight w:val="none"/>
              </w:rPr>
            </w:pPr>
          </w:p>
        </w:tc>
        <w:tc>
          <w:tcPr>
            <w:tcW w:w="2001" w:type="dxa"/>
            <w:gridSpan w:val="3"/>
          </w:tcPr>
          <w:p w14:paraId="6E3236EF">
            <w:pPr>
              <w:pStyle w:val="61"/>
              <w:shd w:val="clear" w:color="auto" w:fill="FFFFFF"/>
              <w:spacing w:line="360" w:lineRule="auto"/>
              <w:rPr>
                <w:rFonts w:ascii="宋体" w:hAnsi="宋体" w:cs="宋体"/>
                <w:bCs/>
                <w:color w:val="auto"/>
                <w:highlight w:val="none"/>
              </w:rPr>
            </w:pPr>
            <w:r>
              <w:rPr>
                <w:rFonts w:hint="eastAsia" w:ascii="宋体" w:hAnsi="宋体" w:cs="宋体"/>
                <w:bCs/>
                <w:color w:val="auto"/>
                <w:spacing w:val="16"/>
                <w:highlight w:val="none"/>
              </w:rPr>
              <w:t>法人代表</w:t>
            </w:r>
          </w:p>
        </w:tc>
        <w:tc>
          <w:tcPr>
            <w:tcW w:w="2151" w:type="dxa"/>
            <w:gridSpan w:val="2"/>
          </w:tcPr>
          <w:p w14:paraId="570D3E90">
            <w:pPr>
              <w:pStyle w:val="61"/>
              <w:shd w:val="clear" w:color="auto" w:fill="FFFFFF"/>
              <w:spacing w:line="360" w:lineRule="auto"/>
              <w:rPr>
                <w:rFonts w:ascii="宋体" w:hAnsi="宋体" w:cs="宋体"/>
                <w:bCs/>
                <w:color w:val="auto"/>
                <w:highlight w:val="none"/>
              </w:rPr>
            </w:pPr>
          </w:p>
        </w:tc>
      </w:tr>
      <w:tr w14:paraId="6EB8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14:paraId="0971F361">
            <w:pPr>
              <w:pStyle w:val="61"/>
              <w:shd w:val="clear" w:color="auto" w:fill="FFFFFF"/>
              <w:spacing w:line="360" w:lineRule="auto"/>
              <w:rPr>
                <w:rFonts w:ascii="宋体" w:hAnsi="宋体" w:cs="宋体"/>
                <w:bCs/>
                <w:color w:val="auto"/>
                <w:spacing w:val="16"/>
                <w:highlight w:val="none"/>
              </w:rPr>
            </w:pPr>
            <w:r>
              <w:rPr>
                <w:rFonts w:hint="eastAsia" w:ascii="宋体" w:hAnsi="宋体" w:cs="宋体"/>
                <w:bCs/>
                <w:color w:val="auto"/>
                <w:spacing w:val="27"/>
                <w:highlight w:val="none"/>
              </w:rPr>
              <w:t>地址</w:t>
            </w:r>
          </w:p>
        </w:tc>
        <w:tc>
          <w:tcPr>
            <w:tcW w:w="3979" w:type="dxa"/>
            <w:gridSpan w:val="6"/>
            <w:tcBorders>
              <w:bottom w:val="single" w:color="auto" w:sz="4" w:space="0"/>
            </w:tcBorders>
          </w:tcPr>
          <w:p w14:paraId="3D13DF49">
            <w:pPr>
              <w:pStyle w:val="61"/>
              <w:shd w:val="clear" w:color="auto" w:fill="FFFFFF"/>
              <w:spacing w:line="360" w:lineRule="auto"/>
              <w:rPr>
                <w:rFonts w:ascii="宋体" w:hAnsi="宋体" w:cs="宋体"/>
                <w:bCs/>
                <w:color w:val="auto"/>
                <w:spacing w:val="16"/>
                <w:highlight w:val="none"/>
              </w:rPr>
            </w:pPr>
          </w:p>
        </w:tc>
        <w:tc>
          <w:tcPr>
            <w:tcW w:w="2001" w:type="dxa"/>
            <w:gridSpan w:val="3"/>
          </w:tcPr>
          <w:p w14:paraId="7853555B">
            <w:pPr>
              <w:pStyle w:val="61"/>
              <w:shd w:val="clear" w:color="auto" w:fill="FFFFFF"/>
              <w:spacing w:line="360" w:lineRule="auto"/>
              <w:rPr>
                <w:rFonts w:ascii="宋体" w:hAnsi="宋体" w:cs="宋体"/>
                <w:bCs/>
                <w:color w:val="auto"/>
                <w:spacing w:val="16"/>
                <w:highlight w:val="none"/>
              </w:rPr>
            </w:pPr>
            <w:r>
              <w:rPr>
                <w:rFonts w:hint="eastAsia" w:ascii="宋体" w:hAnsi="宋体" w:cs="宋体"/>
                <w:bCs/>
                <w:color w:val="auto"/>
                <w:spacing w:val="16"/>
                <w:highlight w:val="none"/>
              </w:rPr>
              <w:t>企业性质</w:t>
            </w:r>
          </w:p>
        </w:tc>
        <w:tc>
          <w:tcPr>
            <w:tcW w:w="2151" w:type="dxa"/>
            <w:gridSpan w:val="2"/>
          </w:tcPr>
          <w:p w14:paraId="3922104B">
            <w:pPr>
              <w:pStyle w:val="61"/>
              <w:shd w:val="clear" w:color="auto" w:fill="FFFFFF"/>
              <w:spacing w:line="360" w:lineRule="auto"/>
              <w:rPr>
                <w:rFonts w:ascii="宋体" w:hAnsi="宋体" w:cs="宋体"/>
                <w:bCs/>
                <w:color w:val="auto"/>
                <w:spacing w:val="16"/>
                <w:highlight w:val="none"/>
              </w:rPr>
            </w:pPr>
          </w:p>
        </w:tc>
      </w:tr>
      <w:tr w14:paraId="172E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14:paraId="47999CA0">
            <w:pPr>
              <w:pStyle w:val="61"/>
              <w:shd w:val="clear" w:color="auto" w:fill="FFFFFF"/>
              <w:spacing w:line="360" w:lineRule="auto"/>
              <w:rPr>
                <w:rFonts w:ascii="宋体" w:hAnsi="宋体" w:cs="宋体"/>
                <w:bCs/>
                <w:color w:val="auto"/>
                <w:spacing w:val="16"/>
                <w:highlight w:val="none"/>
              </w:rPr>
            </w:pPr>
            <w:r>
              <w:rPr>
                <w:rFonts w:hint="eastAsia" w:ascii="宋体" w:hAnsi="宋体" w:cs="宋体"/>
                <w:bCs/>
                <w:color w:val="auto"/>
                <w:spacing w:val="27"/>
                <w:highlight w:val="none"/>
              </w:rPr>
              <w:t>股东姓名</w:t>
            </w:r>
          </w:p>
        </w:tc>
        <w:tc>
          <w:tcPr>
            <w:tcW w:w="701" w:type="dxa"/>
            <w:tcBorders>
              <w:bottom w:val="single" w:color="auto" w:sz="4" w:space="0"/>
            </w:tcBorders>
          </w:tcPr>
          <w:p w14:paraId="729E58C7">
            <w:pPr>
              <w:pStyle w:val="61"/>
              <w:shd w:val="clear" w:color="auto" w:fill="FFFFFF"/>
              <w:spacing w:before="0" w:beforeAutospacing="0" w:after="0" w:afterAutospacing="0" w:line="360" w:lineRule="auto"/>
              <w:rPr>
                <w:rFonts w:ascii="宋体" w:hAnsi="宋体" w:cs="宋体"/>
                <w:bCs/>
                <w:color w:val="auto"/>
                <w:spacing w:val="16"/>
                <w:highlight w:val="none"/>
              </w:rPr>
            </w:pPr>
          </w:p>
        </w:tc>
        <w:tc>
          <w:tcPr>
            <w:tcW w:w="910" w:type="dxa"/>
            <w:gridSpan w:val="2"/>
            <w:tcBorders>
              <w:bottom w:val="single" w:color="auto" w:sz="4" w:space="0"/>
            </w:tcBorders>
          </w:tcPr>
          <w:p w14:paraId="356A1F0D">
            <w:pPr>
              <w:pStyle w:val="61"/>
              <w:shd w:val="clear" w:color="auto" w:fill="FFFFFF"/>
              <w:spacing w:line="360" w:lineRule="auto"/>
              <w:rPr>
                <w:rFonts w:ascii="宋体" w:hAnsi="宋体" w:cs="宋体"/>
                <w:bCs/>
                <w:color w:val="auto"/>
                <w:spacing w:val="16"/>
                <w:highlight w:val="none"/>
              </w:rPr>
            </w:pPr>
            <w:r>
              <w:rPr>
                <w:rFonts w:hint="eastAsia" w:ascii="宋体" w:hAnsi="宋体" w:cs="宋体"/>
                <w:bCs/>
                <w:color w:val="auto"/>
                <w:spacing w:val="16"/>
                <w:highlight w:val="none"/>
              </w:rPr>
              <w:t>股权结构（%）</w:t>
            </w:r>
          </w:p>
        </w:tc>
        <w:tc>
          <w:tcPr>
            <w:tcW w:w="2368" w:type="dxa"/>
            <w:gridSpan w:val="3"/>
            <w:tcBorders>
              <w:bottom w:val="single" w:color="auto" w:sz="4" w:space="0"/>
            </w:tcBorders>
          </w:tcPr>
          <w:p w14:paraId="499C6252">
            <w:pPr>
              <w:widowControl/>
              <w:spacing w:line="360" w:lineRule="auto"/>
              <w:jc w:val="left"/>
              <w:rPr>
                <w:rFonts w:ascii="宋体" w:hAnsi="宋体" w:cs="宋体"/>
                <w:bCs/>
                <w:color w:val="auto"/>
                <w:spacing w:val="16"/>
                <w:kern w:val="0"/>
                <w:sz w:val="24"/>
                <w:highlight w:val="none"/>
              </w:rPr>
            </w:pPr>
          </w:p>
          <w:p w14:paraId="54CA37C2">
            <w:pPr>
              <w:pStyle w:val="61"/>
              <w:shd w:val="clear" w:color="auto" w:fill="FFFFFF"/>
              <w:spacing w:line="360" w:lineRule="auto"/>
              <w:rPr>
                <w:rFonts w:ascii="宋体" w:hAnsi="宋体" w:cs="宋体"/>
                <w:bCs/>
                <w:color w:val="auto"/>
                <w:spacing w:val="16"/>
                <w:highlight w:val="none"/>
              </w:rPr>
            </w:pPr>
          </w:p>
        </w:tc>
        <w:tc>
          <w:tcPr>
            <w:tcW w:w="2001" w:type="dxa"/>
            <w:gridSpan w:val="3"/>
          </w:tcPr>
          <w:p w14:paraId="2726207C">
            <w:pPr>
              <w:pStyle w:val="61"/>
              <w:shd w:val="clear" w:color="auto" w:fill="FFFFFF"/>
              <w:spacing w:line="360" w:lineRule="auto"/>
              <w:ind w:left="107"/>
              <w:rPr>
                <w:rFonts w:ascii="宋体" w:hAnsi="宋体" w:cs="宋体"/>
                <w:bCs/>
                <w:color w:val="auto"/>
                <w:spacing w:val="16"/>
                <w:highlight w:val="none"/>
              </w:rPr>
            </w:pPr>
            <w:r>
              <w:rPr>
                <w:rFonts w:hint="eastAsia" w:ascii="宋体" w:hAnsi="宋体" w:cs="宋体"/>
                <w:bCs/>
                <w:color w:val="auto"/>
                <w:spacing w:val="16"/>
                <w:highlight w:val="none"/>
              </w:rPr>
              <w:t>股东关系</w:t>
            </w:r>
          </w:p>
        </w:tc>
        <w:tc>
          <w:tcPr>
            <w:tcW w:w="2151" w:type="dxa"/>
            <w:gridSpan w:val="2"/>
          </w:tcPr>
          <w:p w14:paraId="1747B55B">
            <w:pPr>
              <w:pStyle w:val="61"/>
              <w:shd w:val="clear" w:color="auto" w:fill="FFFFFF"/>
              <w:spacing w:line="360" w:lineRule="auto"/>
              <w:ind w:left="107"/>
              <w:rPr>
                <w:rFonts w:ascii="宋体" w:hAnsi="宋体" w:cs="宋体"/>
                <w:bCs/>
                <w:color w:val="auto"/>
                <w:spacing w:val="16"/>
                <w:highlight w:val="none"/>
              </w:rPr>
            </w:pPr>
          </w:p>
        </w:tc>
      </w:tr>
      <w:tr w14:paraId="31FE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14:paraId="496A4C6A">
            <w:pPr>
              <w:pStyle w:val="61"/>
              <w:shd w:val="clear" w:color="auto" w:fill="FFFFFF"/>
              <w:spacing w:line="360" w:lineRule="auto"/>
              <w:rPr>
                <w:rFonts w:ascii="宋体" w:hAnsi="宋体" w:cs="宋体"/>
                <w:bCs/>
                <w:color w:val="auto"/>
                <w:spacing w:val="16"/>
                <w:highlight w:val="none"/>
              </w:rPr>
            </w:pPr>
            <w:r>
              <w:rPr>
                <w:rFonts w:hint="eastAsia" w:ascii="宋体" w:hAnsi="宋体" w:cs="宋体"/>
                <w:bCs/>
                <w:color w:val="auto"/>
                <w:spacing w:val="12"/>
                <w:highlight w:val="none"/>
              </w:rPr>
              <w:t>联系人</w:t>
            </w:r>
            <w:r>
              <w:rPr>
                <w:rFonts w:hint="eastAsia" w:ascii="宋体" w:hAnsi="宋体" w:cs="宋体"/>
                <w:bCs/>
                <w:color w:val="auto"/>
                <w:spacing w:val="27"/>
                <w:highlight w:val="none"/>
              </w:rPr>
              <w:t>姓名</w:t>
            </w:r>
          </w:p>
        </w:tc>
        <w:tc>
          <w:tcPr>
            <w:tcW w:w="701" w:type="dxa"/>
            <w:vMerge w:val="restart"/>
            <w:tcBorders>
              <w:top w:val="nil"/>
            </w:tcBorders>
          </w:tcPr>
          <w:p w14:paraId="505391FE">
            <w:pPr>
              <w:pStyle w:val="61"/>
              <w:shd w:val="clear" w:color="auto" w:fill="FFFFFF"/>
              <w:spacing w:line="360" w:lineRule="auto"/>
              <w:rPr>
                <w:rFonts w:ascii="宋体" w:hAnsi="宋体" w:cs="宋体"/>
                <w:bCs/>
                <w:color w:val="auto"/>
                <w:spacing w:val="16"/>
                <w:highlight w:val="none"/>
              </w:rPr>
            </w:pPr>
          </w:p>
        </w:tc>
        <w:tc>
          <w:tcPr>
            <w:tcW w:w="910" w:type="dxa"/>
            <w:gridSpan w:val="2"/>
            <w:tcBorders>
              <w:top w:val="nil"/>
              <w:bottom w:val="single" w:color="auto" w:sz="4" w:space="0"/>
            </w:tcBorders>
          </w:tcPr>
          <w:p w14:paraId="592D63BA">
            <w:pPr>
              <w:pStyle w:val="61"/>
              <w:shd w:val="clear" w:color="auto" w:fill="FFFFFF"/>
              <w:spacing w:line="360" w:lineRule="auto"/>
              <w:rPr>
                <w:rFonts w:ascii="宋体" w:hAnsi="宋体" w:cs="宋体"/>
                <w:bCs/>
                <w:color w:val="auto"/>
                <w:spacing w:val="16"/>
                <w:highlight w:val="none"/>
              </w:rPr>
            </w:pPr>
            <w:r>
              <w:rPr>
                <w:rFonts w:hint="eastAsia" w:ascii="宋体" w:hAnsi="宋体" w:cs="宋体"/>
                <w:bCs/>
                <w:color w:val="auto"/>
                <w:spacing w:val="16"/>
                <w:highlight w:val="none"/>
              </w:rPr>
              <w:t>固定电话</w:t>
            </w:r>
          </w:p>
        </w:tc>
        <w:tc>
          <w:tcPr>
            <w:tcW w:w="2368" w:type="dxa"/>
            <w:gridSpan w:val="3"/>
            <w:tcBorders>
              <w:top w:val="nil"/>
              <w:bottom w:val="single" w:color="auto" w:sz="4" w:space="0"/>
            </w:tcBorders>
          </w:tcPr>
          <w:p w14:paraId="21C5B77D">
            <w:pPr>
              <w:widowControl/>
              <w:spacing w:line="360" w:lineRule="auto"/>
              <w:jc w:val="left"/>
              <w:rPr>
                <w:rFonts w:ascii="宋体" w:hAnsi="宋体" w:cs="宋体"/>
                <w:bCs/>
                <w:color w:val="auto"/>
                <w:spacing w:val="16"/>
                <w:kern w:val="0"/>
                <w:sz w:val="24"/>
                <w:highlight w:val="none"/>
              </w:rPr>
            </w:pPr>
          </w:p>
          <w:p w14:paraId="772892FC">
            <w:pPr>
              <w:pStyle w:val="61"/>
              <w:shd w:val="clear" w:color="auto" w:fill="FFFFFF"/>
              <w:spacing w:line="360" w:lineRule="auto"/>
              <w:rPr>
                <w:rFonts w:ascii="宋体" w:hAnsi="宋体" w:cs="宋体"/>
                <w:bCs/>
                <w:color w:val="auto"/>
                <w:spacing w:val="16"/>
                <w:highlight w:val="none"/>
              </w:rPr>
            </w:pPr>
          </w:p>
        </w:tc>
        <w:tc>
          <w:tcPr>
            <w:tcW w:w="2001" w:type="dxa"/>
            <w:gridSpan w:val="3"/>
            <w:vMerge w:val="restart"/>
          </w:tcPr>
          <w:p w14:paraId="00669659">
            <w:pPr>
              <w:pStyle w:val="61"/>
              <w:shd w:val="clear" w:color="auto" w:fill="FFFFFF"/>
              <w:spacing w:before="0" w:beforeAutospacing="0" w:after="0" w:afterAutospacing="0" w:line="360" w:lineRule="auto"/>
              <w:rPr>
                <w:rFonts w:ascii="宋体" w:hAnsi="宋体" w:cs="宋体"/>
                <w:bCs/>
                <w:color w:val="auto"/>
                <w:spacing w:val="16"/>
                <w:highlight w:val="none"/>
              </w:rPr>
            </w:pPr>
            <w:r>
              <w:rPr>
                <w:rFonts w:hint="eastAsia" w:ascii="宋体" w:hAnsi="宋体" w:cs="宋体"/>
                <w:bCs/>
                <w:color w:val="auto"/>
                <w:spacing w:val="16"/>
                <w:highlight w:val="none"/>
              </w:rPr>
              <w:t>传真</w:t>
            </w:r>
          </w:p>
        </w:tc>
        <w:tc>
          <w:tcPr>
            <w:tcW w:w="2151" w:type="dxa"/>
            <w:gridSpan w:val="2"/>
            <w:vMerge w:val="restart"/>
          </w:tcPr>
          <w:p w14:paraId="099D993A">
            <w:pPr>
              <w:pStyle w:val="61"/>
              <w:shd w:val="clear" w:color="auto" w:fill="FFFFFF"/>
              <w:spacing w:line="360" w:lineRule="auto"/>
              <w:rPr>
                <w:rFonts w:ascii="宋体" w:hAnsi="宋体" w:cs="宋体"/>
                <w:bCs/>
                <w:color w:val="auto"/>
                <w:spacing w:val="16"/>
                <w:highlight w:val="none"/>
              </w:rPr>
            </w:pPr>
          </w:p>
        </w:tc>
      </w:tr>
      <w:tr w14:paraId="5A2D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14:paraId="6046B9FF">
            <w:pPr>
              <w:pStyle w:val="61"/>
              <w:shd w:val="clear" w:color="auto" w:fill="FFFFFF"/>
              <w:spacing w:line="360" w:lineRule="auto"/>
              <w:ind w:left="107"/>
              <w:rPr>
                <w:rFonts w:ascii="宋体" w:hAnsi="宋体" w:cs="宋体"/>
                <w:bCs/>
                <w:color w:val="auto"/>
                <w:highlight w:val="none"/>
              </w:rPr>
            </w:pPr>
          </w:p>
        </w:tc>
        <w:tc>
          <w:tcPr>
            <w:tcW w:w="701" w:type="dxa"/>
            <w:vMerge w:val="continue"/>
            <w:tcBorders>
              <w:bottom w:val="single" w:color="auto" w:sz="4" w:space="0"/>
            </w:tcBorders>
          </w:tcPr>
          <w:p w14:paraId="3FBD07AB">
            <w:pPr>
              <w:pStyle w:val="61"/>
              <w:shd w:val="clear" w:color="auto" w:fill="FFFFFF"/>
              <w:spacing w:line="360" w:lineRule="auto"/>
              <w:rPr>
                <w:rFonts w:ascii="宋体" w:hAnsi="宋体" w:cs="宋体"/>
                <w:bCs/>
                <w:color w:val="auto"/>
                <w:spacing w:val="16"/>
                <w:highlight w:val="none"/>
              </w:rPr>
            </w:pPr>
          </w:p>
        </w:tc>
        <w:tc>
          <w:tcPr>
            <w:tcW w:w="910" w:type="dxa"/>
            <w:gridSpan w:val="2"/>
            <w:tcBorders>
              <w:bottom w:val="single" w:color="auto" w:sz="4" w:space="0"/>
            </w:tcBorders>
          </w:tcPr>
          <w:p w14:paraId="2DB7E19E">
            <w:pPr>
              <w:pStyle w:val="61"/>
              <w:shd w:val="clear" w:color="auto" w:fill="FFFFFF"/>
              <w:spacing w:line="360" w:lineRule="auto"/>
              <w:rPr>
                <w:rFonts w:ascii="宋体" w:hAnsi="宋体" w:cs="宋体"/>
                <w:bCs/>
                <w:color w:val="auto"/>
                <w:spacing w:val="16"/>
                <w:highlight w:val="none"/>
              </w:rPr>
            </w:pPr>
            <w:r>
              <w:rPr>
                <w:rFonts w:hint="eastAsia" w:ascii="宋体" w:hAnsi="宋体" w:cs="宋体"/>
                <w:bCs/>
                <w:color w:val="auto"/>
                <w:spacing w:val="27"/>
                <w:highlight w:val="none"/>
              </w:rPr>
              <w:t>手机</w:t>
            </w:r>
          </w:p>
        </w:tc>
        <w:tc>
          <w:tcPr>
            <w:tcW w:w="2368" w:type="dxa"/>
            <w:gridSpan w:val="3"/>
            <w:tcBorders>
              <w:bottom w:val="single" w:color="auto" w:sz="4" w:space="0"/>
            </w:tcBorders>
          </w:tcPr>
          <w:p w14:paraId="79AF782A">
            <w:pPr>
              <w:pStyle w:val="61"/>
              <w:shd w:val="clear" w:color="auto" w:fill="FFFFFF"/>
              <w:spacing w:line="360" w:lineRule="auto"/>
              <w:rPr>
                <w:rFonts w:ascii="宋体" w:hAnsi="宋体" w:cs="宋体"/>
                <w:bCs/>
                <w:color w:val="auto"/>
                <w:spacing w:val="16"/>
                <w:highlight w:val="none"/>
              </w:rPr>
            </w:pPr>
          </w:p>
        </w:tc>
        <w:tc>
          <w:tcPr>
            <w:tcW w:w="2001" w:type="dxa"/>
            <w:gridSpan w:val="3"/>
            <w:vMerge w:val="continue"/>
            <w:tcBorders>
              <w:bottom w:val="single" w:color="auto" w:sz="4" w:space="0"/>
            </w:tcBorders>
          </w:tcPr>
          <w:p w14:paraId="2E011121">
            <w:pPr>
              <w:pStyle w:val="61"/>
              <w:shd w:val="clear" w:color="auto" w:fill="FFFFFF"/>
              <w:spacing w:line="360" w:lineRule="auto"/>
              <w:rPr>
                <w:rFonts w:ascii="宋体" w:hAnsi="宋体" w:cs="宋体"/>
                <w:bCs/>
                <w:color w:val="auto"/>
                <w:spacing w:val="16"/>
                <w:highlight w:val="none"/>
              </w:rPr>
            </w:pPr>
          </w:p>
        </w:tc>
        <w:tc>
          <w:tcPr>
            <w:tcW w:w="2151" w:type="dxa"/>
            <w:gridSpan w:val="2"/>
            <w:vMerge w:val="continue"/>
            <w:tcBorders>
              <w:bottom w:val="single" w:color="auto" w:sz="4" w:space="0"/>
            </w:tcBorders>
          </w:tcPr>
          <w:p w14:paraId="54CF65A4">
            <w:pPr>
              <w:pStyle w:val="61"/>
              <w:shd w:val="clear" w:color="auto" w:fill="FFFFFF"/>
              <w:spacing w:line="360" w:lineRule="auto"/>
              <w:rPr>
                <w:rFonts w:ascii="宋体" w:hAnsi="宋体" w:cs="宋体"/>
                <w:bCs/>
                <w:color w:val="auto"/>
                <w:spacing w:val="16"/>
                <w:highlight w:val="none"/>
              </w:rPr>
            </w:pPr>
          </w:p>
        </w:tc>
      </w:tr>
      <w:tr w14:paraId="1EC6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tcPr>
          <w:p w14:paraId="0AF6EE1A">
            <w:pPr>
              <w:pStyle w:val="61"/>
              <w:shd w:val="clear" w:color="auto" w:fill="FFFFFF"/>
              <w:spacing w:line="360" w:lineRule="auto"/>
              <w:ind w:left="107"/>
              <w:rPr>
                <w:rFonts w:ascii="宋体" w:hAnsi="宋体" w:cs="宋体"/>
                <w:bCs/>
                <w:color w:val="auto"/>
                <w:highlight w:val="none"/>
              </w:rPr>
            </w:pPr>
            <w:r>
              <w:rPr>
                <w:rFonts w:hint="eastAsia" w:ascii="宋体" w:hAnsi="宋体" w:cs="宋体"/>
                <w:bCs/>
                <w:color w:val="auto"/>
                <w:highlight w:val="none"/>
              </w:rPr>
              <w:t>1.</w:t>
            </w:r>
          </w:p>
          <w:p w14:paraId="6489BA84">
            <w:pPr>
              <w:pStyle w:val="61"/>
              <w:shd w:val="clear" w:color="auto" w:fill="FFFFFF"/>
              <w:spacing w:line="360" w:lineRule="auto"/>
              <w:ind w:left="107"/>
              <w:rPr>
                <w:rFonts w:ascii="宋体" w:hAnsi="宋体" w:cs="宋体"/>
                <w:bCs/>
                <w:color w:val="auto"/>
                <w:highlight w:val="none"/>
              </w:rPr>
            </w:pPr>
            <w:r>
              <w:rPr>
                <w:rFonts w:hint="eastAsia" w:ascii="宋体" w:hAnsi="宋体" w:cs="宋体"/>
                <w:bCs/>
                <w:color w:val="auto"/>
                <w:highlight w:val="none"/>
              </w:rPr>
              <w:t>企</w:t>
            </w:r>
          </w:p>
          <w:p w14:paraId="7490DD73">
            <w:pPr>
              <w:pStyle w:val="61"/>
              <w:shd w:val="clear" w:color="auto" w:fill="FFFFFF"/>
              <w:spacing w:line="360" w:lineRule="auto"/>
              <w:ind w:left="107"/>
              <w:rPr>
                <w:rFonts w:ascii="宋体" w:hAnsi="宋体" w:cs="宋体"/>
                <w:bCs/>
                <w:color w:val="auto"/>
                <w:highlight w:val="none"/>
              </w:rPr>
            </w:pPr>
            <w:r>
              <w:rPr>
                <w:rFonts w:hint="eastAsia" w:ascii="宋体" w:hAnsi="宋体" w:cs="宋体"/>
                <w:bCs/>
                <w:color w:val="auto"/>
                <w:highlight w:val="none"/>
              </w:rPr>
              <w:t>业</w:t>
            </w:r>
          </w:p>
          <w:p w14:paraId="140BCF10">
            <w:pPr>
              <w:pStyle w:val="61"/>
              <w:shd w:val="clear" w:color="auto" w:fill="FFFFFF"/>
              <w:spacing w:line="360" w:lineRule="auto"/>
              <w:ind w:left="107"/>
              <w:rPr>
                <w:rFonts w:ascii="宋体" w:hAnsi="宋体" w:cs="宋体"/>
                <w:bCs/>
                <w:color w:val="auto"/>
                <w:spacing w:val="27"/>
                <w:highlight w:val="none"/>
              </w:rPr>
            </w:pPr>
            <w:r>
              <w:rPr>
                <w:rFonts w:hint="eastAsia" w:ascii="宋体" w:hAnsi="宋体" w:cs="宋体"/>
                <w:bCs/>
                <w:color w:val="auto"/>
                <w:spacing w:val="27"/>
                <w:highlight w:val="none"/>
              </w:rPr>
              <w:t>概</w:t>
            </w:r>
          </w:p>
          <w:p w14:paraId="15F5D2CF">
            <w:pPr>
              <w:pStyle w:val="61"/>
              <w:shd w:val="clear" w:color="auto" w:fill="FFFFFF"/>
              <w:spacing w:line="360" w:lineRule="auto"/>
              <w:ind w:left="107"/>
              <w:rPr>
                <w:rFonts w:ascii="宋体" w:hAnsi="宋体" w:cs="宋体"/>
                <w:bCs/>
                <w:color w:val="auto"/>
                <w:highlight w:val="none"/>
              </w:rPr>
            </w:pPr>
            <w:r>
              <w:rPr>
                <w:rFonts w:hint="eastAsia" w:ascii="宋体" w:hAnsi="宋体" w:cs="宋体"/>
                <w:bCs/>
                <w:color w:val="auto"/>
                <w:spacing w:val="27"/>
                <w:highlight w:val="none"/>
              </w:rPr>
              <w:t>况</w:t>
            </w:r>
          </w:p>
        </w:tc>
        <w:tc>
          <w:tcPr>
            <w:tcW w:w="701" w:type="dxa"/>
            <w:tcBorders>
              <w:top w:val="single" w:color="auto" w:sz="4" w:space="0"/>
            </w:tcBorders>
          </w:tcPr>
          <w:p w14:paraId="03B4E263">
            <w:pPr>
              <w:pStyle w:val="61"/>
              <w:shd w:val="clear" w:color="auto" w:fill="FFFFFF"/>
              <w:spacing w:line="360" w:lineRule="auto"/>
              <w:rPr>
                <w:rFonts w:ascii="宋体" w:hAnsi="宋体" w:cs="宋体"/>
                <w:bCs/>
                <w:color w:val="auto"/>
                <w:spacing w:val="16"/>
                <w:highlight w:val="none"/>
              </w:rPr>
            </w:pPr>
            <w:r>
              <w:rPr>
                <w:rFonts w:hint="eastAsia" w:ascii="宋体" w:hAnsi="宋体" w:cs="宋体"/>
                <w:bCs/>
                <w:color w:val="auto"/>
                <w:spacing w:val="16"/>
                <w:highlight w:val="none"/>
              </w:rPr>
              <w:t>职工人数</w:t>
            </w:r>
          </w:p>
        </w:tc>
        <w:tc>
          <w:tcPr>
            <w:tcW w:w="910" w:type="dxa"/>
            <w:gridSpan w:val="2"/>
            <w:tcBorders>
              <w:top w:val="single" w:color="auto" w:sz="4" w:space="0"/>
            </w:tcBorders>
          </w:tcPr>
          <w:p w14:paraId="44C9B2FB">
            <w:pPr>
              <w:pStyle w:val="61"/>
              <w:shd w:val="clear" w:color="auto" w:fill="FFFFFF"/>
              <w:spacing w:line="360" w:lineRule="auto"/>
              <w:rPr>
                <w:rFonts w:ascii="宋体" w:hAnsi="宋体" w:cs="宋体"/>
                <w:bCs/>
                <w:color w:val="auto"/>
                <w:spacing w:val="16"/>
                <w:highlight w:val="none"/>
              </w:rPr>
            </w:pPr>
          </w:p>
        </w:tc>
        <w:tc>
          <w:tcPr>
            <w:tcW w:w="1163" w:type="dxa"/>
            <w:tcBorders>
              <w:top w:val="single" w:color="auto" w:sz="4" w:space="0"/>
            </w:tcBorders>
          </w:tcPr>
          <w:p w14:paraId="64D679B1">
            <w:pPr>
              <w:pStyle w:val="61"/>
              <w:shd w:val="clear" w:color="auto" w:fill="FFFFFF"/>
              <w:spacing w:before="0" w:beforeAutospacing="0" w:after="0" w:afterAutospacing="0" w:line="360" w:lineRule="auto"/>
              <w:rPr>
                <w:rFonts w:ascii="宋体" w:hAnsi="宋体" w:cs="宋体"/>
                <w:bCs/>
                <w:color w:val="auto"/>
                <w:highlight w:val="none"/>
              </w:rPr>
            </w:pPr>
            <w:r>
              <w:rPr>
                <w:rFonts w:hint="eastAsia" w:ascii="宋体" w:hAnsi="宋体" w:cs="宋体"/>
                <w:bCs/>
                <w:color w:val="auto"/>
                <w:spacing w:val="18"/>
                <w:highlight w:val="none"/>
              </w:rPr>
              <w:t>具备大专以</w:t>
            </w:r>
            <w:r>
              <w:rPr>
                <w:rFonts w:hint="eastAsia" w:ascii="宋体" w:hAnsi="宋体" w:cs="宋体"/>
                <w:bCs/>
                <w:color w:val="auto"/>
                <w:spacing w:val="12"/>
                <w:highlight w:val="none"/>
              </w:rPr>
              <w:t>上学历人数</w:t>
            </w:r>
          </w:p>
        </w:tc>
        <w:tc>
          <w:tcPr>
            <w:tcW w:w="1205" w:type="dxa"/>
            <w:gridSpan w:val="2"/>
            <w:tcBorders>
              <w:top w:val="single" w:color="auto" w:sz="4" w:space="0"/>
            </w:tcBorders>
          </w:tcPr>
          <w:p w14:paraId="10126C63">
            <w:pPr>
              <w:widowControl/>
              <w:spacing w:line="360" w:lineRule="auto"/>
              <w:jc w:val="left"/>
              <w:rPr>
                <w:rFonts w:ascii="宋体" w:hAnsi="宋体" w:cs="宋体"/>
                <w:bCs/>
                <w:color w:val="auto"/>
                <w:spacing w:val="16"/>
                <w:kern w:val="0"/>
                <w:sz w:val="24"/>
                <w:highlight w:val="none"/>
              </w:rPr>
            </w:pPr>
          </w:p>
          <w:p w14:paraId="76590D70">
            <w:pPr>
              <w:widowControl/>
              <w:spacing w:line="360" w:lineRule="auto"/>
              <w:jc w:val="left"/>
              <w:rPr>
                <w:rFonts w:ascii="宋体" w:hAnsi="宋体" w:cs="宋体"/>
                <w:bCs/>
                <w:color w:val="auto"/>
                <w:spacing w:val="16"/>
                <w:kern w:val="0"/>
                <w:sz w:val="24"/>
                <w:highlight w:val="none"/>
              </w:rPr>
            </w:pPr>
          </w:p>
          <w:p w14:paraId="70F05F98">
            <w:pPr>
              <w:pStyle w:val="61"/>
              <w:shd w:val="clear" w:color="auto" w:fill="FFFFFF"/>
              <w:spacing w:line="360" w:lineRule="auto"/>
              <w:rPr>
                <w:rFonts w:ascii="宋体" w:hAnsi="宋体" w:cs="宋体"/>
                <w:bCs/>
                <w:color w:val="auto"/>
                <w:spacing w:val="16"/>
                <w:highlight w:val="none"/>
              </w:rPr>
            </w:pPr>
          </w:p>
        </w:tc>
        <w:tc>
          <w:tcPr>
            <w:tcW w:w="2001" w:type="dxa"/>
            <w:gridSpan w:val="3"/>
            <w:tcBorders>
              <w:top w:val="single" w:color="auto" w:sz="4" w:space="0"/>
            </w:tcBorders>
          </w:tcPr>
          <w:p w14:paraId="5D817164">
            <w:pPr>
              <w:pStyle w:val="61"/>
              <w:shd w:val="clear" w:color="auto" w:fill="FFFFFF"/>
              <w:spacing w:line="360" w:lineRule="auto"/>
              <w:rPr>
                <w:rFonts w:ascii="宋体" w:hAnsi="宋体" w:cs="宋体"/>
                <w:bCs/>
                <w:color w:val="auto"/>
                <w:spacing w:val="16"/>
                <w:highlight w:val="none"/>
              </w:rPr>
            </w:pPr>
            <w:r>
              <w:rPr>
                <w:rFonts w:hint="eastAsia" w:ascii="宋体" w:hAnsi="宋体" w:cs="宋体"/>
                <w:bCs/>
                <w:color w:val="auto"/>
                <w:spacing w:val="65"/>
                <w:highlight w:val="none"/>
              </w:rPr>
              <w:t>国家授予技</w:t>
            </w:r>
            <w:r>
              <w:rPr>
                <w:rFonts w:hint="eastAsia" w:ascii="宋体" w:hAnsi="宋体" w:cs="宋体"/>
                <w:bCs/>
                <w:color w:val="auto"/>
                <w:spacing w:val="12"/>
                <w:highlight w:val="none"/>
              </w:rPr>
              <w:t>术职称人数</w:t>
            </w:r>
          </w:p>
        </w:tc>
        <w:tc>
          <w:tcPr>
            <w:tcW w:w="2151" w:type="dxa"/>
            <w:gridSpan w:val="2"/>
            <w:tcBorders>
              <w:top w:val="single" w:color="auto" w:sz="4" w:space="0"/>
            </w:tcBorders>
          </w:tcPr>
          <w:p w14:paraId="7AF5D7EE">
            <w:pPr>
              <w:widowControl/>
              <w:spacing w:line="360" w:lineRule="auto"/>
              <w:jc w:val="left"/>
              <w:rPr>
                <w:rFonts w:ascii="宋体" w:hAnsi="宋体" w:cs="宋体"/>
                <w:bCs/>
                <w:color w:val="auto"/>
                <w:spacing w:val="16"/>
                <w:kern w:val="0"/>
                <w:sz w:val="24"/>
                <w:highlight w:val="none"/>
              </w:rPr>
            </w:pPr>
          </w:p>
          <w:p w14:paraId="32953537">
            <w:pPr>
              <w:pStyle w:val="61"/>
              <w:shd w:val="clear" w:color="auto" w:fill="FFFFFF"/>
              <w:spacing w:line="360" w:lineRule="auto"/>
              <w:rPr>
                <w:rFonts w:ascii="宋体" w:hAnsi="宋体" w:cs="宋体"/>
                <w:bCs/>
                <w:color w:val="auto"/>
                <w:spacing w:val="16"/>
                <w:highlight w:val="none"/>
              </w:rPr>
            </w:pPr>
          </w:p>
        </w:tc>
      </w:tr>
      <w:tr w14:paraId="0423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14:paraId="7DE4162E">
            <w:pPr>
              <w:pStyle w:val="61"/>
              <w:shd w:val="clear" w:color="auto" w:fill="FFFFFF"/>
              <w:spacing w:line="360" w:lineRule="auto"/>
              <w:ind w:left="107"/>
              <w:rPr>
                <w:rFonts w:ascii="宋体" w:hAnsi="宋体" w:cs="宋体"/>
                <w:bCs/>
                <w:color w:val="auto"/>
                <w:highlight w:val="none"/>
              </w:rPr>
            </w:pPr>
          </w:p>
        </w:tc>
        <w:tc>
          <w:tcPr>
            <w:tcW w:w="701" w:type="dxa"/>
          </w:tcPr>
          <w:p w14:paraId="1F490890">
            <w:pPr>
              <w:pStyle w:val="61"/>
              <w:shd w:val="clear" w:color="auto" w:fill="FFFFFF"/>
              <w:spacing w:line="360" w:lineRule="auto"/>
              <w:rPr>
                <w:rFonts w:ascii="宋体" w:hAnsi="宋体" w:cs="宋体"/>
                <w:bCs/>
                <w:color w:val="auto"/>
                <w:highlight w:val="none"/>
              </w:rPr>
            </w:pPr>
            <w:r>
              <w:rPr>
                <w:rFonts w:hint="eastAsia" w:ascii="宋体" w:hAnsi="宋体" w:cs="宋体"/>
                <w:bCs/>
                <w:color w:val="auto"/>
                <w:spacing w:val="16"/>
                <w:highlight w:val="none"/>
              </w:rPr>
              <w:t>占地面积</w:t>
            </w:r>
          </w:p>
        </w:tc>
        <w:tc>
          <w:tcPr>
            <w:tcW w:w="910" w:type="dxa"/>
            <w:gridSpan w:val="2"/>
          </w:tcPr>
          <w:p w14:paraId="7E235E9F">
            <w:pPr>
              <w:pStyle w:val="61"/>
              <w:shd w:val="clear" w:color="auto" w:fill="FFFFFF"/>
              <w:spacing w:line="360" w:lineRule="auto"/>
              <w:rPr>
                <w:rFonts w:ascii="宋体" w:hAnsi="宋体" w:cs="宋体"/>
                <w:bCs/>
                <w:color w:val="auto"/>
                <w:highlight w:val="none"/>
              </w:rPr>
            </w:pPr>
          </w:p>
        </w:tc>
        <w:tc>
          <w:tcPr>
            <w:tcW w:w="1163" w:type="dxa"/>
          </w:tcPr>
          <w:p w14:paraId="0856BCBD">
            <w:pPr>
              <w:pStyle w:val="61"/>
              <w:shd w:val="clear" w:color="auto" w:fill="FFFFFF"/>
              <w:spacing w:line="360" w:lineRule="auto"/>
              <w:rPr>
                <w:rFonts w:ascii="宋体" w:hAnsi="宋体" w:cs="宋体"/>
                <w:bCs/>
                <w:color w:val="auto"/>
                <w:highlight w:val="none"/>
              </w:rPr>
            </w:pPr>
            <w:r>
              <w:rPr>
                <w:rFonts w:hint="eastAsia" w:ascii="宋体" w:hAnsi="宋体" w:cs="宋体"/>
                <w:bCs/>
                <w:color w:val="auto"/>
                <w:spacing w:val="16"/>
                <w:highlight w:val="none"/>
              </w:rPr>
              <w:t>建筑面积</w:t>
            </w:r>
          </w:p>
        </w:tc>
        <w:tc>
          <w:tcPr>
            <w:tcW w:w="1205" w:type="dxa"/>
            <w:gridSpan w:val="2"/>
          </w:tcPr>
          <w:p w14:paraId="36DC4846">
            <w:pPr>
              <w:pStyle w:val="61"/>
              <w:shd w:val="clear" w:color="auto" w:fill="FFFFFF"/>
              <w:spacing w:line="360" w:lineRule="auto"/>
              <w:rPr>
                <w:rFonts w:ascii="宋体" w:hAnsi="宋体" w:cs="宋体"/>
                <w:bCs/>
                <w:color w:val="auto"/>
                <w:highlight w:val="none"/>
              </w:rPr>
            </w:pPr>
            <w:r>
              <w:rPr>
                <w:rFonts w:hint="eastAsia" w:ascii="宋体" w:hAnsi="宋体" w:cs="宋体"/>
                <w:bCs/>
                <w:color w:val="auto"/>
                <w:highlight w:val="none"/>
              </w:rPr>
              <w:t xml:space="preserve">平方米 </w:t>
            </w:r>
          </w:p>
          <w:p w14:paraId="190891EB">
            <w:pPr>
              <w:pStyle w:val="61"/>
              <w:shd w:val="clear" w:color="auto" w:fill="FFFFFF"/>
              <w:spacing w:line="360" w:lineRule="auto"/>
              <w:rPr>
                <w:rFonts w:ascii="宋体" w:hAnsi="宋体" w:cs="宋体"/>
                <w:bCs/>
                <w:color w:val="auto"/>
                <w:highlight w:val="none"/>
              </w:rPr>
            </w:pPr>
            <w:r>
              <w:rPr>
                <w:rFonts w:hint="eastAsia" w:ascii="宋体" w:hAnsi="宋体" w:cs="宋体"/>
                <w:bCs/>
                <w:color w:val="auto"/>
                <w:spacing w:val="16"/>
                <w:highlight w:val="none"/>
              </w:rPr>
              <w:t>□自有□租賃</w:t>
            </w:r>
          </w:p>
        </w:tc>
        <w:tc>
          <w:tcPr>
            <w:tcW w:w="2001" w:type="dxa"/>
            <w:gridSpan w:val="3"/>
          </w:tcPr>
          <w:p w14:paraId="5E291D5C">
            <w:pPr>
              <w:pStyle w:val="61"/>
              <w:shd w:val="clear" w:color="auto" w:fill="FFFFFF"/>
              <w:spacing w:line="360" w:lineRule="auto"/>
              <w:rPr>
                <w:rFonts w:ascii="宋体" w:hAnsi="宋体" w:cs="宋体"/>
                <w:bCs/>
                <w:color w:val="auto"/>
                <w:highlight w:val="none"/>
              </w:rPr>
            </w:pPr>
            <w:r>
              <w:rPr>
                <w:rFonts w:hint="eastAsia" w:ascii="宋体" w:hAnsi="宋体" w:cs="宋体"/>
                <w:bCs/>
                <w:color w:val="auto"/>
                <w:spacing w:val="16"/>
                <w:highlight w:val="none"/>
              </w:rPr>
              <w:t>生产经营场所及场所的设施与设备</w:t>
            </w:r>
          </w:p>
        </w:tc>
        <w:tc>
          <w:tcPr>
            <w:tcW w:w="2151" w:type="dxa"/>
            <w:gridSpan w:val="2"/>
          </w:tcPr>
          <w:p w14:paraId="07DBC20E">
            <w:pPr>
              <w:pStyle w:val="61"/>
              <w:shd w:val="clear" w:color="auto" w:fill="FFFFFF"/>
              <w:spacing w:before="0" w:beforeAutospacing="0" w:after="0" w:afterAutospacing="0" w:line="360" w:lineRule="auto"/>
              <w:rPr>
                <w:rFonts w:ascii="宋体" w:hAnsi="宋体" w:cs="宋体"/>
                <w:bCs/>
                <w:color w:val="auto"/>
                <w:spacing w:val="16"/>
                <w:highlight w:val="none"/>
              </w:rPr>
            </w:pPr>
          </w:p>
        </w:tc>
      </w:tr>
      <w:tr w14:paraId="170E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14:paraId="5AD35043">
            <w:pPr>
              <w:pStyle w:val="61"/>
              <w:shd w:val="clear" w:color="auto" w:fill="FFFFFF"/>
              <w:spacing w:line="360" w:lineRule="auto"/>
              <w:ind w:left="107"/>
              <w:rPr>
                <w:rFonts w:ascii="宋体" w:hAnsi="宋体" w:cs="宋体"/>
                <w:bCs/>
                <w:color w:val="auto"/>
                <w:highlight w:val="none"/>
              </w:rPr>
            </w:pPr>
          </w:p>
        </w:tc>
        <w:tc>
          <w:tcPr>
            <w:tcW w:w="701" w:type="dxa"/>
          </w:tcPr>
          <w:p w14:paraId="3150D8FF">
            <w:pPr>
              <w:pStyle w:val="61"/>
              <w:shd w:val="clear" w:color="auto" w:fill="FFFFFF"/>
              <w:spacing w:line="360" w:lineRule="auto"/>
              <w:ind w:left="2"/>
              <w:rPr>
                <w:rFonts w:ascii="宋体" w:hAnsi="宋体" w:cs="宋体"/>
                <w:bCs/>
                <w:color w:val="auto"/>
                <w:spacing w:val="16"/>
                <w:highlight w:val="none"/>
              </w:rPr>
            </w:pPr>
            <w:r>
              <w:rPr>
                <w:rFonts w:hint="eastAsia" w:ascii="宋体" w:hAnsi="宋体" w:cs="宋体"/>
                <w:bCs/>
                <w:color w:val="auto"/>
                <w:spacing w:val="16"/>
                <w:highlight w:val="none"/>
              </w:rPr>
              <w:t>注册资金</w:t>
            </w:r>
          </w:p>
        </w:tc>
        <w:tc>
          <w:tcPr>
            <w:tcW w:w="910" w:type="dxa"/>
            <w:gridSpan w:val="2"/>
          </w:tcPr>
          <w:p w14:paraId="7971F6AC">
            <w:pPr>
              <w:pStyle w:val="61"/>
              <w:shd w:val="clear" w:color="auto" w:fill="FFFFFF"/>
              <w:spacing w:line="360" w:lineRule="auto"/>
              <w:ind w:left="2"/>
              <w:rPr>
                <w:rFonts w:ascii="宋体" w:hAnsi="宋体" w:cs="宋体"/>
                <w:bCs/>
                <w:color w:val="auto"/>
                <w:highlight w:val="none"/>
              </w:rPr>
            </w:pPr>
          </w:p>
        </w:tc>
        <w:tc>
          <w:tcPr>
            <w:tcW w:w="1163" w:type="dxa"/>
          </w:tcPr>
          <w:p w14:paraId="3E1B3DFD">
            <w:pPr>
              <w:pStyle w:val="61"/>
              <w:shd w:val="clear" w:color="auto" w:fill="FFFFFF"/>
              <w:spacing w:line="360" w:lineRule="auto"/>
              <w:ind w:left="107"/>
              <w:rPr>
                <w:rFonts w:ascii="宋体" w:hAnsi="宋体" w:cs="宋体"/>
                <w:bCs/>
                <w:color w:val="auto"/>
                <w:highlight w:val="none"/>
              </w:rPr>
            </w:pPr>
            <w:r>
              <w:rPr>
                <w:rFonts w:hint="eastAsia" w:ascii="宋体" w:hAnsi="宋体" w:cs="宋体"/>
                <w:bCs/>
                <w:color w:val="auto"/>
                <w:spacing w:val="16"/>
                <w:highlight w:val="none"/>
              </w:rPr>
              <w:t>注册发证</w:t>
            </w:r>
            <w:r>
              <w:rPr>
                <w:rFonts w:hint="eastAsia" w:ascii="宋体" w:hAnsi="宋体" w:cs="宋体"/>
                <w:bCs/>
                <w:color w:val="auto"/>
                <w:spacing w:val="27"/>
                <w:highlight w:val="none"/>
              </w:rPr>
              <w:t>机关</w:t>
            </w:r>
          </w:p>
        </w:tc>
        <w:tc>
          <w:tcPr>
            <w:tcW w:w="3206" w:type="dxa"/>
            <w:gridSpan w:val="5"/>
          </w:tcPr>
          <w:p w14:paraId="20C9F19A">
            <w:pPr>
              <w:widowControl/>
              <w:spacing w:line="360" w:lineRule="auto"/>
              <w:jc w:val="left"/>
              <w:rPr>
                <w:rFonts w:ascii="宋体" w:hAnsi="宋体" w:cs="宋体"/>
                <w:bCs/>
                <w:color w:val="auto"/>
                <w:kern w:val="0"/>
                <w:sz w:val="24"/>
                <w:highlight w:val="none"/>
              </w:rPr>
            </w:pPr>
          </w:p>
          <w:p w14:paraId="32AF60D9">
            <w:pPr>
              <w:pStyle w:val="61"/>
              <w:shd w:val="clear" w:color="auto" w:fill="FFFFFF"/>
              <w:spacing w:line="360" w:lineRule="auto"/>
              <w:ind w:left="107"/>
              <w:rPr>
                <w:rFonts w:ascii="宋体" w:hAnsi="宋体" w:cs="宋体"/>
                <w:bCs/>
                <w:color w:val="auto"/>
                <w:highlight w:val="none"/>
              </w:rPr>
            </w:pPr>
          </w:p>
        </w:tc>
        <w:tc>
          <w:tcPr>
            <w:tcW w:w="1218" w:type="dxa"/>
          </w:tcPr>
          <w:p w14:paraId="373302BE">
            <w:pPr>
              <w:pStyle w:val="61"/>
              <w:shd w:val="clear" w:color="auto" w:fill="FFFFFF"/>
              <w:spacing w:line="360" w:lineRule="auto"/>
              <w:ind w:left="107"/>
              <w:rPr>
                <w:rFonts w:ascii="宋体" w:hAnsi="宋体" w:cs="宋体"/>
                <w:bCs/>
                <w:color w:val="auto"/>
                <w:highlight w:val="none"/>
              </w:rPr>
            </w:pPr>
            <w:r>
              <w:rPr>
                <w:rFonts w:hint="eastAsia" w:ascii="宋体" w:hAnsi="宋体" w:cs="宋体"/>
                <w:bCs/>
                <w:color w:val="auto"/>
                <w:highlight w:val="none"/>
              </w:rPr>
              <w:t>公司成</w:t>
            </w:r>
            <w:r>
              <w:rPr>
                <w:rFonts w:hint="eastAsia" w:ascii="宋体" w:hAnsi="宋体" w:cs="宋体"/>
                <w:bCs/>
                <w:color w:val="auto"/>
                <w:spacing w:val="12"/>
                <w:highlight w:val="none"/>
              </w:rPr>
              <w:t>立时间</w:t>
            </w:r>
          </w:p>
        </w:tc>
        <w:tc>
          <w:tcPr>
            <w:tcW w:w="933" w:type="dxa"/>
          </w:tcPr>
          <w:p w14:paraId="22659D5C">
            <w:pPr>
              <w:pStyle w:val="61"/>
              <w:shd w:val="clear" w:color="auto" w:fill="FFFFFF"/>
              <w:spacing w:line="360" w:lineRule="auto"/>
              <w:ind w:left="107"/>
              <w:rPr>
                <w:rFonts w:ascii="宋体" w:hAnsi="宋体" w:cs="宋体"/>
                <w:bCs/>
                <w:color w:val="auto"/>
                <w:highlight w:val="none"/>
              </w:rPr>
            </w:pPr>
          </w:p>
        </w:tc>
      </w:tr>
      <w:tr w14:paraId="59D3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14:paraId="20E26084">
            <w:pPr>
              <w:pStyle w:val="61"/>
              <w:shd w:val="clear" w:color="auto" w:fill="FFFFFF"/>
              <w:spacing w:line="360" w:lineRule="auto"/>
              <w:ind w:left="107"/>
              <w:rPr>
                <w:rFonts w:ascii="宋体" w:hAnsi="宋体" w:cs="宋体"/>
                <w:bCs/>
                <w:color w:val="auto"/>
                <w:highlight w:val="none"/>
              </w:rPr>
            </w:pPr>
          </w:p>
        </w:tc>
        <w:tc>
          <w:tcPr>
            <w:tcW w:w="701" w:type="dxa"/>
          </w:tcPr>
          <w:p w14:paraId="289F6107">
            <w:pPr>
              <w:pStyle w:val="61"/>
              <w:shd w:val="clear" w:color="auto" w:fill="FFFFFF"/>
              <w:spacing w:line="360" w:lineRule="auto"/>
              <w:ind w:left="2"/>
              <w:rPr>
                <w:rFonts w:ascii="宋体" w:hAnsi="宋体" w:cs="宋体"/>
                <w:bCs/>
                <w:color w:val="auto"/>
                <w:highlight w:val="none"/>
              </w:rPr>
            </w:pPr>
            <w:r>
              <w:rPr>
                <w:rFonts w:hint="eastAsia" w:ascii="宋体" w:hAnsi="宋体" w:cs="宋体"/>
                <w:bCs/>
                <w:color w:val="auto"/>
                <w:highlight w:val="none"/>
              </w:rPr>
              <w:t>核准经营范围</w:t>
            </w:r>
          </w:p>
        </w:tc>
        <w:tc>
          <w:tcPr>
            <w:tcW w:w="7430" w:type="dxa"/>
            <w:gridSpan w:val="10"/>
          </w:tcPr>
          <w:p w14:paraId="764E71B7">
            <w:pPr>
              <w:pStyle w:val="61"/>
              <w:shd w:val="clear" w:color="auto" w:fill="FFFFFF"/>
              <w:spacing w:line="360" w:lineRule="auto"/>
              <w:ind w:left="107"/>
              <w:rPr>
                <w:rFonts w:ascii="宋体" w:hAnsi="宋体" w:cs="宋体"/>
                <w:bCs/>
                <w:color w:val="auto"/>
                <w:highlight w:val="none"/>
              </w:rPr>
            </w:pPr>
          </w:p>
        </w:tc>
      </w:tr>
      <w:tr w14:paraId="0744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14:paraId="3ED446DC">
            <w:pPr>
              <w:pStyle w:val="61"/>
              <w:shd w:val="clear" w:color="auto" w:fill="FFFFFF"/>
              <w:spacing w:line="360" w:lineRule="auto"/>
              <w:ind w:left="107"/>
              <w:rPr>
                <w:rFonts w:ascii="宋体" w:hAnsi="宋体" w:cs="宋体"/>
                <w:bCs/>
                <w:color w:val="auto"/>
                <w:highlight w:val="none"/>
              </w:rPr>
            </w:pPr>
          </w:p>
        </w:tc>
        <w:tc>
          <w:tcPr>
            <w:tcW w:w="8131" w:type="dxa"/>
            <w:gridSpan w:val="11"/>
          </w:tcPr>
          <w:p w14:paraId="47E7DE97">
            <w:pPr>
              <w:pStyle w:val="61"/>
              <w:shd w:val="clear" w:color="auto" w:fill="FFFFFF"/>
              <w:spacing w:line="360" w:lineRule="auto"/>
              <w:rPr>
                <w:rFonts w:ascii="宋体" w:hAnsi="宋体" w:cs="宋体"/>
                <w:bCs/>
                <w:color w:val="auto"/>
                <w:spacing w:val="13"/>
                <w:highlight w:val="none"/>
              </w:rPr>
            </w:pPr>
            <w:r>
              <w:rPr>
                <w:rFonts w:hint="eastAsia" w:ascii="宋体" w:hAnsi="宋体" w:cs="宋体"/>
                <w:bCs/>
                <w:color w:val="auto"/>
                <w:spacing w:val="13"/>
                <w:highlight w:val="none"/>
              </w:rPr>
              <w:t>发展历程及主要荣誉：</w:t>
            </w:r>
          </w:p>
        </w:tc>
      </w:tr>
      <w:tr w14:paraId="7C85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14:paraId="71DAF8DF">
            <w:pPr>
              <w:pStyle w:val="61"/>
              <w:shd w:val="clear" w:color="auto" w:fill="FFFFFF"/>
              <w:spacing w:line="360" w:lineRule="auto"/>
              <w:ind w:left="107"/>
              <w:rPr>
                <w:rFonts w:ascii="宋体" w:hAnsi="宋体" w:cs="宋体"/>
                <w:bCs/>
                <w:color w:val="auto"/>
                <w:highlight w:val="none"/>
              </w:rPr>
            </w:pPr>
            <w:r>
              <w:rPr>
                <w:rFonts w:hint="eastAsia" w:ascii="宋体" w:hAnsi="宋体" w:cs="宋体"/>
                <w:bCs/>
                <w:color w:val="auto"/>
                <w:highlight w:val="none"/>
              </w:rPr>
              <w:t>2．</w:t>
            </w:r>
          </w:p>
          <w:p w14:paraId="3B08CFE2">
            <w:pPr>
              <w:pStyle w:val="61"/>
              <w:shd w:val="clear" w:color="auto" w:fill="FFFFFF"/>
              <w:spacing w:line="360" w:lineRule="auto"/>
              <w:ind w:left="107"/>
              <w:rPr>
                <w:rFonts w:ascii="宋体" w:hAnsi="宋体" w:cs="宋体"/>
                <w:bCs/>
                <w:color w:val="auto"/>
                <w:spacing w:val="16"/>
                <w:highlight w:val="none"/>
              </w:rPr>
            </w:pPr>
            <w:r>
              <w:rPr>
                <w:rFonts w:hint="eastAsia" w:ascii="宋体" w:hAnsi="宋体" w:cs="宋体"/>
                <w:bCs/>
                <w:color w:val="auto"/>
                <w:highlight w:val="none"/>
              </w:rPr>
              <w:t>企</w:t>
            </w:r>
            <w:r>
              <w:rPr>
                <w:rFonts w:hint="eastAsia" w:ascii="宋体" w:hAnsi="宋体" w:cs="宋体"/>
                <w:bCs/>
                <w:color w:val="auto"/>
                <w:spacing w:val="12"/>
                <w:highlight w:val="none"/>
              </w:rPr>
              <w:t>业有关资质获证情况</w:t>
            </w:r>
          </w:p>
        </w:tc>
        <w:tc>
          <w:tcPr>
            <w:tcW w:w="1553" w:type="dxa"/>
            <w:gridSpan w:val="2"/>
            <w:vMerge w:val="restart"/>
          </w:tcPr>
          <w:p w14:paraId="7ABA6A54">
            <w:pPr>
              <w:pStyle w:val="61"/>
              <w:shd w:val="clear" w:color="auto" w:fill="FFFFFF"/>
              <w:spacing w:before="0" w:beforeAutospacing="0" w:after="0" w:afterAutospacing="0" w:line="360" w:lineRule="auto"/>
              <w:rPr>
                <w:rFonts w:ascii="宋体" w:hAnsi="宋体" w:cs="宋体"/>
                <w:bCs/>
                <w:color w:val="auto"/>
                <w:spacing w:val="16"/>
                <w:highlight w:val="none"/>
              </w:rPr>
            </w:pPr>
            <w:r>
              <w:rPr>
                <w:rFonts w:hint="eastAsia" w:ascii="宋体" w:hAnsi="宋体" w:cs="宋体"/>
                <w:bCs/>
                <w:color w:val="auto"/>
                <w:spacing w:val="12"/>
                <w:highlight w:val="none"/>
              </w:rPr>
              <w:t>产品生产许可证情况</w:t>
            </w:r>
            <w:r>
              <w:rPr>
                <w:rFonts w:hint="eastAsia" w:ascii="宋体" w:hAnsi="宋体" w:cs="宋体"/>
                <w:bCs/>
                <w:color w:val="auto"/>
                <w:spacing w:val="41"/>
                <w:highlight w:val="none"/>
              </w:rPr>
              <w:t>（对需获得生产许可证的</w:t>
            </w:r>
            <w:r>
              <w:rPr>
                <w:rFonts w:hint="eastAsia" w:ascii="宋体" w:hAnsi="宋体" w:cs="宋体"/>
                <w:bCs/>
                <w:color w:val="auto"/>
                <w:spacing w:val="11"/>
                <w:highlight w:val="none"/>
              </w:rPr>
              <w:t>产品要填写此栏）</w:t>
            </w:r>
          </w:p>
        </w:tc>
        <w:tc>
          <w:tcPr>
            <w:tcW w:w="1333" w:type="dxa"/>
            <w:gridSpan w:val="3"/>
          </w:tcPr>
          <w:p w14:paraId="13FF99A6">
            <w:pPr>
              <w:pStyle w:val="61"/>
              <w:shd w:val="clear" w:color="auto" w:fill="FFFFFF"/>
              <w:spacing w:line="360" w:lineRule="auto"/>
              <w:ind w:right="-78" w:rightChars="-37"/>
              <w:rPr>
                <w:rFonts w:ascii="宋体" w:hAnsi="宋体" w:cs="宋体"/>
                <w:bCs/>
                <w:color w:val="auto"/>
                <w:spacing w:val="16"/>
                <w:highlight w:val="none"/>
              </w:rPr>
            </w:pPr>
            <w:r>
              <w:rPr>
                <w:rFonts w:hint="eastAsia" w:ascii="宋体" w:hAnsi="宋体" w:cs="宋体"/>
                <w:bCs/>
                <w:color w:val="auto"/>
                <w:spacing w:val="16"/>
                <w:highlight w:val="none"/>
              </w:rPr>
              <w:t>产品名称</w:t>
            </w:r>
          </w:p>
        </w:tc>
        <w:tc>
          <w:tcPr>
            <w:tcW w:w="1418" w:type="dxa"/>
            <w:gridSpan w:val="2"/>
          </w:tcPr>
          <w:p w14:paraId="1F9D4A75">
            <w:pPr>
              <w:pStyle w:val="61"/>
              <w:shd w:val="clear" w:color="auto" w:fill="FFFFFF"/>
              <w:spacing w:before="0" w:beforeAutospacing="0" w:after="0" w:afterAutospacing="0" w:line="360" w:lineRule="auto"/>
              <w:rPr>
                <w:rFonts w:ascii="宋体" w:hAnsi="宋体" w:cs="宋体"/>
                <w:bCs/>
                <w:color w:val="auto"/>
                <w:highlight w:val="none"/>
              </w:rPr>
            </w:pPr>
            <w:r>
              <w:rPr>
                <w:rFonts w:hint="eastAsia" w:ascii="宋体" w:hAnsi="宋体" w:cs="宋体"/>
                <w:bCs/>
                <w:color w:val="auto"/>
                <w:spacing w:val="16"/>
                <w:highlight w:val="none"/>
              </w:rPr>
              <w:t>发证机关</w:t>
            </w:r>
          </w:p>
        </w:tc>
        <w:tc>
          <w:tcPr>
            <w:tcW w:w="1276" w:type="dxa"/>
          </w:tcPr>
          <w:p w14:paraId="53776296">
            <w:pPr>
              <w:pStyle w:val="61"/>
              <w:shd w:val="clear" w:color="auto" w:fill="FFFFFF"/>
              <w:spacing w:line="360" w:lineRule="auto"/>
              <w:jc w:val="center"/>
              <w:rPr>
                <w:rFonts w:ascii="宋体" w:hAnsi="宋体" w:cs="宋体"/>
                <w:bCs/>
                <w:color w:val="auto"/>
                <w:highlight w:val="none"/>
              </w:rPr>
            </w:pPr>
            <w:r>
              <w:rPr>
                <w:rFonts w:hint="eastAsia" w:ascii="宋体" w:hAnsi="宋体" w:cs="宋体"/>
                <w:bCs/>
                <w:color w:val="auto"/>
                <w:spacing w:val="27"/>
                <w:highlight w:val="none"/>
              </w:rPr>
              <w:t>编号</w:t>
            </w:r>
          </w:p>
        </w:tc>
        <w:tc>
          <w:tcPr>
            <w:tcW w:w="1618" w:type="dxa"/>
            <w:gridSpan w:val="2"/>
          </w:tcPr>
          <w:p w14:paraId="20F163A5">
            <w:pPr>
              <w:pStyle w:val="61"/>
              <w:shd w:val="clear" w:color="auto" w:fill="FFFFFF"/>
              <w:spacing w:line="360" w:lineRule="auto"/>
              <w:jc w:val="center"/>
              <w:rPr>
                <w:rFonts w:ascii="宋体" w:hAnsi="宋体" w:cs="宋体"/>
                <w:bCs/>
                <w:color w:val="auto"/>
                <w:highlight w:val="none"/>
              </w:rPr>
            </w:pPr>
            <w:r>
              <w:rPr>
                <w:rFonts w:hint="eastAsia" w:ascii="宋体" w:hAnsi="宋体" w:cs="宋体"/>
                <w:bCs/>
                <w:color w:val="auto"/>
                <w:spacing w:val="16"/>
                <w:highlight w:val="none"/>
              </w:rPr>
              <w:t>发证时间</w:t>
            </w:r>
          </w:p>
        </w:tc>
        <w:tc>
          <w:tcPr>
            <w:tcW w:w="933" w:type="dxa"/>
          </w:tcPr>
          <w:p w14:paraId="17A4ACBB">
            <w:pPr>
              <w:pStyle w:val="61"/>
              <w:shd w:val="clear" w:color="auto" w:fill="FFFFFF"/>
              <w:spacing w:before="0" w:beforeAutospacing="0" w:after="0" w:afterAutospacing="0" w:line="360" w:lineRule="auto"/>
              <w:jc w:val="center"/>
              <w:rPr>
                <w:rFonts w:ascii="宋体" w:hAnsi="宋体" w:cs="宋体"/>
                <w:bCs/>
                <w:color w:val="auto"/>
                <w:highlight w:val="none"/>
              </w:rPr>
            </w:pPr>
            <w:r>
              <w:rPr>
                <w:rFonts w:hint="eastAsia" w:ascii="宋体" w:hAnsi="宋体" w:cs="宋体"/>
                <w:bCs/>
                <w:color w:val="auto"/>
                <w:spacing w:val="27"/>
                <w:highlight w:val="none"/>
              </w:rPr>
              <w:t>期限</w:t>
            </w:r>
          </w:p>
        </w:tc>
      </w:tr>
      <w:tr w14:paraId="6ED6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14:paraId="787144FA">
            <w:pPr>
              <w:pStyle w:val="61"/>
              <w:shd w:val="clear" w:color="auto" w:fill="FFFFFF"/>
              <w:spacing w:line="360" w:lineRule="auto"/>
              <w:ind w:left="107"/>
              <w:rPr>
                <w:rFonts w:ascii="宋体" w:hAnsi="宋体" w:cs="宋体"/>
                <w:bCs/>
                <w:color w:val="auto"/>
                <w:highlight w:val="none"/>
              </w:rPr>
            </w:pPr>
          </w:p>
        </w:tc>
        <w:tc>
          <w:tcPr>
            <w:tcW w:w="1553" w:type="dxa"/>
            <w:gridSpan w:val="2"/>
            <w:vMerge w:val="continue"/>
          </w:tcPr>
          <w:p w14:paraId="3887C91B">
            <w:pPr>
              <w:pStyle w:val="61"/>
              <w:shd w:val="clear" w:color="auto" w:fill="FFFFFF"/>
              <w:spacing w:line="360" w:lineRule="auto"/>
              <w:rPr>
                <w:rFonts w:ascii="宋体" w:hAnsi="宋体" w:cs="宋体"/>
                <w:bCs/>
                <w:color w:val="auto"/>
                <w:highlight w:val="none"/>
              </w:rPr>
            </w:pPr>
          </w:p>
        </w:tc>
        <w:tc>
          <w:tcPr>
            <w:tcW w:w="1333" w:type="dxa"/>
            <w:gridSpan w:val="3"/>
          </w:tcPr>
          <w:p w14:paraId="4F0D6050">
            <w:pPr>
              <w:pStyle w:val="61"/>
              <w:shd w:val="clear" w:color="auto" w:fill="FFFFFF"/>
              <w:spacing w:line="360" w:lineRule="auto"/>
              <w:rPr>
                <w:rFonts w:ascii="宋体" w:hAnsi="宋体" w:cs="宋体"/>
                <w:bCs/>
                <w:color w:val="auto"/>
                <w:highlight w:val="none"/>
              </w:rPr>
            </w:pPr>
          </w:p>
        </w:tc>
        <w:tc>
          <w:tcPr>
            <w:tcW w:w="1418" w:type="dxa"/>
            <w:gridSpan w:val="2"/>
          </w:tcPr>
          <w:p w14:paraId="0AF985B0">
            <w:pPr>
              <w:pStyle w:val="61"/>
              <w:shd w:val="clear" w:color="auto" w:fill="FFFFFF"/>
              <w:spacing w:line="360" w:lineRule="auto"/>
              <w:rPr>
                <w:rFonts w:ascii="宋体" w:hAnsi="宋体" w:cs="宋体"/>
                <w:bCs/>
                <w:color w:val="auto"/>
                <w:highlight w:val="none"/>
              </w:rPr>
            </w:pPr>
          </w:p>
        </w:tc>
        <w:tc>
          <w:tcPr>
            <w:tcW w:w="1276" w:type="dxa"/>
          </w:tcPr>
          <w:p w14:paraId="6C9C02B6">
            <w:pPr>
              <w:pStyle w:val="61"/>
              <w:shd w:val="clear" w:color="auto" w:fill="FFFFFF"/>
              <w:spacing w:line="360" w:lineRule="auto"/>
              <w:rPr>
                <w:rFonts w:ascii="宋体" w:hAnsi="宋体" w:cs="宋体"/>
                <w:bCs/>
                <w:color w:val="auto"/>
                <w:highlight w:val="none"/>
              </w:rPr>
            </w:pPr>
          </w:p>
        </w:tc>
        <w:tc>
          <w:tcPr>
            <w:tcW w:w="2551" w:type="dxa"/>
            <w:gridSpan w:val="3"/>
          </w:tcPr>
          <w:p w14:paraId="7CECE37C">
            <w:pPr>
              <w:pStyle w:val="61"/>
              <w:shd w:val="clear" w:color="auto" w:fill="FFFFFF"/>
              <w:spacing w:line="360" w:lineRule="auto"/>
              <w:rPr>
                <w:rFonts w:ascii="宋体" w:hAnsi="宋体" w:cs="宋体"/>
                <w:bCs/>
                <w:color w:val="auto"/>
                <w:highlight w:val="none"/>
              </w:rPr>
            </w:pPr>
          </w:p>
        </w:tc>
      </w:tr>
      <w:tr w14:paraId="6962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14:paraId="325AEC95">
            <w:pPr>
              <w:pStyle w:val="61"/>
              <w:shd w:val="clear" w:color="auto" w:fill="FFFFFF"/>
              <w:spacing w:line="360" w:lineRule="auto"/>
              <w:ind w:left="107"/>
              <w:rPr>
                <w:rFonts w:ascii="宋体" w:hAnsi="宋体" w:cs="宋体"/>
                <w:bCs/>
                <w:color w:val="auto"/>
                <w:spacing w:val="16"/>
                <w:highlight w:val="none"/>
              </w:rPr>
            </w:pPr>
          </w:p>
        </w:tc>
        <w:tc>
          <w:tcPr>
            <w:tcW w:w="1553" w:type="dxa"/>
            <w:gridSpan w:val="2"/>
          </w:tcPr>
          <w:p w14:paraId="298F21DA">
            <w:pPr>
              <w:pStyle w:val="61"/>
              <w:shd w:val="clear" w:color="auto" w:fill="FFFFFF"/>
              <w:spacing w:before="0" w:beforeAutospacing="0" w:after="0" w:afterAutospacing="0" w:line="360" w:lineRule="auto"/>
              <w:ind w:right="-107" w:rightChars="-51"/>
              <w:rPr>
                <w:rFonts w:ascii="宋体" w:hAnsi="宋体" w:cs="宋体"/>
                <w:bCs/>
                <w:color w:val="auto"/>
                <w:spacing w:val="41"/>
                <w:highlight w:val="none"/>
              </w:rPr>
            </w:pPr>
            <w:r>
              <w:rPr>
                <w:rFonts w:hint="eastAsia" w:ascii="宋体" w:hAnsi="宋体" w:cs="宋体"/>
                <w:bCs/>
                <w:color w:val="auto"/>
                <w:spacing w:val="41"/>
                <w:highlight w:val="none"/>
              </w:rPr>
              <w:t>企业通过质量体系、环保</w:t>
            </w:r>
            <w:r>
              <w:rPr>
                <w:rFonts w:hint="eastAsia" w:ascii="宋体" w:hAnsi="宋体" w:cs="宋体"/>
                <w:bCs/>
                <w:color w:val="auto"/>
                <w:spacing w:val="11"/>
                <w:highlight w:val="none"/>
              </w:rPr>
              <w:t>体系、计量等认证情况</w:t>
            </w:r>
          </w:p>
        </w:tc>
        <w:tc>
          <w:tcPr>
            <w:tcW w:w="6578" w:type="dxa"/>
            <w:gridSpan w:val="9"/>
          </w:tcPr>
          <w:p w14:paraId="775EF870">
            <w:pPr>
              <w:pStyle w:val="61"/>
              <w:shd w:val="clear" w:color="auto" w:fill="FFFFFF"/>
              <w:spacing w:line="360" w:lineRule="auto"/>
              <w:rPr>
                <w:rFonts w:ascii="宋体" w:hAnsi="宋体" w:cs="宋体"/>
                <w:bCs/>
                <w:color w:val="auto"/>
                <w:spacing w:val="16"/>
                <w:highlight w:val="none"/>
              </w:rPr>
            </w:pPr>
          </w:p>
        </w:tc>
      </w:tr>
      <w:tr w14:paraId="5E03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14:paraId="1C5F02F6">
            <w:pPr>
              <w:pStyle w:val="61"/>
              <w:shd w:val="clear" w:color="auto" w:fill="FFFFFF"/>
              <w:spacing w:line="360" w:lineRule="auto"/>
              <w:ind w:left="107"/>
              <w:rPr>
                <w:rFonts w:ascii="宋体" w:hAnsi="宋体" w:cs="宋体"/>
                <w:bCs/>
                <w:color w:val="auto"/>
                <w:spacing w:val="27"/>
                <w:highlight w:val="none"/>
              </w:rPr>
            </w:pPr>
          </w:p>
        </w:tc>
        <w:tc>
          <w:tcPr>
            <w:tcW w:w="1553" w:type="dxa"/>
            <w:gridSpan w:val="2"/>
          </w:tcPr>
          <w:p w14:paraId="1DBD747E">
            <w:pPr>
              <w:pStyle w:val="61"/>
              <w:shd w:val="clear" w:color="auto" w:fill="FFFFFF"/>
              <w:spacing w:line="360" w:lineRule="auto"/>
              <w:rPr>
                <w:rFonts w:ascii="宋体" w:hAnsi="宋体" w:cs="宋体"/>
                <w:bCs/>
                <w:color w:val="auto"/>
                <w:spacing w:val="16"/>
                <w:highlight w:val="none"/>
              </w:rPr>
            </w:pPr>
            <w:r>
              <w:rPr>
                <w:rFonts w:hint="eastAsia" w:ascii="宋体" w:hAnsi="宋体" w:cs="宋体"/>
                <w:bCs/>
                <w:color w:val="auto"/>
                <w:spacing w:val="10"/>
                <w:highlight w:val="none"/>
              </w:rPr>
              <w:t>企业获得专利情况</w:t>
            </w:r>
          </w:p>
        </w:tc>
        <w:tc>
          <w:tcPr>
            <w:tcW w:w="6578" w:type="dxa"/>
            <w:gridSpan w:val="9"/>
          </w:tcPr>
          <w:p w14:paraId="581226AA">
            <w:pPr>
              <w:pStyle w:val="61"/>
              <w:shd w:val="clear" w:color="auto" w:fill="FFFFFF"/>
              <w:spacing w:line="360" w:lineRule="auto"/>
              <w:rPr>
                <w:rFonts w:ascii="宋体" w:hAnsi="宋体" w:cs="宋体"/>
                <w:bCs/>
                <w:color w:val="auto"/>
                <w:spacing w:val="16"/>
                <w:highlight w:val="none"/>
              </w:rPr>
            </w:pPr>
          </w:p>
        </w:tc>
      </w:tr>
    </w:tbl>
    <w:p w14:paraId="7C4BCAA8">
      <w:pPr>
        <w:pStyle w:val="61"/>
        <w:shd w:val="clear" w:color="auto" w:fill="FFFFFF"/>
        <w:spacing w:before="0" w:beforeAutospacing="0" w:after="0" w:afterAutospacing="0"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要求：</w:t>
      </w:r>
    </w:p>
    <w:p w14:paraId="31277A98">
      <w:pPr>
        <w:pStyle w:val="61"/>
        <w:shd w:val="clear" w:color="auto" w:fill="FFFFFF"/>
        <w:spacing w:before="0" w:beforeAutospacing="0" w:after="0" w:afterAutospacing="0" w:line="360" w:lineRule="auto"/>
        <w:ind w:firstLine="424" w:firstLineChars="202"/>
        <w:rPr>
          <w:rFonts w:ascii="宋体" w:hAnsi="宋体" w:cs="宋体"/>
          <w:color w:val="auto"/>
          <w:highlight w:val="none"/>
        </w:rPr>
      </w:pPr>
      <w:r>
        <w:rPr>
          <w:rFonts w:hint="eastAsia" w:ascii="宋体" w:hAnsi="宋体" w:cs="宋体"/>
          <w:color w:val="auto"/>
          <w:sz w:val="21"/>
          <w:szCs w:val="21"/>
          <w:highlight w:val="none"/>
        </w:rPr>
        <w:t>1.姓名栏必须将所有股东都统计在内，若非股份公司此行（第三行）无需填写；</w:t>
      </w:r>
    </w:p>
    <w:p w14:paraId="535E8304">
      <w:pPr>
        <w:ind w:firstLine="424" w:firstLineChars="177"/>
        <w:rPr>
          <w:rFonts w:ascii="宋体" w:hAnsi="宋体" w:cs="宋体"/>
          <w:color w:val="auto"/>
          <w:sz w:val="24"/>
          <w:highlight w:val="none"/>
        </w:rPr>
      </w:pPr>
    </w:p>
    <w:p w14:paraId="643EFC1B">
      <w:pPr>
        <w:ind w:firstLine="424" w:firstLineChars="177"/>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6E7C0129">
      <w:pPr>
        <w:ind w:left="420"/>
        <w:rPr>
          <w:rFonts w:ascii="宋体" w:hAnsi="宋体" w:cs="宋体"/>
          <w:color w:val="auto"/>
          <w:sz w:val="24"/>
          <w:highlight w:val="none"/>
        </w:rPr>
      </w:pPr>
    </w:p>
    <w:p w14:paraId="7DA9B71D">
      <w:pPr>
        <w:ind w:firstLine="424" w:firstLineChars="177"/>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法定代表人或磋商供应商代表（签章或签字）</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4FBBB99D">
      <w:pPr>
        <w:ind w:firstLine="435"/>
        <w:rPr>
          <w:rFonts w:ascii="宋体" w:hAnsi="宋体" w:cs="宋体"/>
          <w:color w:val="auto"/>
          <w:sz w:val="24"/>
          <w:highlight w:val="none"/>
        </w:rPr>
      </w:pPr>
    </w:p>
    <w:p w14:paraId="2BF340B4">
      <w:pPr>
        <w:ind w:firstLine="424" w:firstLineChars="177"/>
        <w:rPr>
          <w:rFonts w:ascii="宋体" w:hAnsi="宋体" w:cs="宋体"/>
          <w:color w:val="auto"/>
          <w:sz w:val="24"/>
          <w:highlight w:val="none"/>
          <w:u w:val="singl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1257075B">
      <w:pPr>
        <w:rPr>
          <w:rFonts w:ascii="宋体" w:hAnsi="宋体" w:cs="宋体"/>
          <w:color w:val="auto"/>
          <w:sz w:val="24"/>
          <w:highlight w:val="none"/>
        </w:rPr>
      </w:pPr>
    </w:p>
    <w:p w14:paraId="71242419">
      <w:pPr>
        <w:pStyle w:val="61"/>
        <w:shd w:val="clear" w:color="auto" w:fill="FFFFFF"/>
        <w:spacing w:before="0" w:beforeAutospacing="0" w:after="0" w:afterAutospacing="0"/>
        <w:ind w:firstLine="424" w:firstLineChars="177"/>
        <w:rPr>
          <w:rFonts w:ascii="宋体" w:hAnsi="宋体" w:cs="宋体"/>
          <w:b/>
          <w:color w:val="auto"/>
          <w:sz w:val="28"/>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20E324CE">
      <w:pPr>
        <w:snapToGrid w:val="0"/>
        <w:spacing w:before="50" w:after="50" w:line="360" w:lineRule="auto"/>
        <w:rPr>
          <w:rFonts w:hint="eastAsia" w:ascii="宋体" w:hAnsi="宋体" w:cs="宋体"/>
          <w:b/>
          <w:color w:val="auto"/>
          <w:sz w:val="28"/>
          <w:highlight w:val="none"/>
        </w:rPr>
      </w:pPr>
    </w:p>
    <w:p w14:paraId="4BB298B0">
      <w:pPr>
        <w:snapToGrid w:val="0"/>
        <w:spacing w:before="50" w:after="50" w:line="360" w:lineRule="auto"/>
        <w:rPr>
          <w:rFonts w:hint="eastAsia" w:ascii="宋体" w:hAnsi="宋体" w:cs="宋体"/>
          <w:b/>
          <w:color w:val="auto"/>
          <w:sz w:val="28"/>
          <w:highlight w:val="none"/>
        </w:rPr>
      </w:pPr>
    </w:p>
    <w:p w14:paraId="38F24205">
      <w:pPr>
        <w:snapToGrid w:val="0"/>
        <w:spacing w:before="50" w:after="50" w:line="360" w:lineRule="auto"/>
        <w:rPr>
          <w:rFonts w:ascii="宋体" w:hAnsi="宋体" w:cs="宋体"/>
          <w:b/>
          <w:color w:val="auto"/>
          <w:sz w:val="32"/>
          <w:szCs w:val="32"/>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8</w:t>
      </w:r>
      <w:r>
        <w:rPr>
          <w:rFonts w:hint="eastAsia" w:ascii="宋体" w:hAnsi="宋体" w:cs="宋体"/>
          <w:b/>
          <w:color w:val="auto"/>
          <w:sz w:val="28"/>
          <w:highlight w:val="none"/>
        </w:rPr>
        <w:t>：</w:t>
      </w:r>
    </w:p>
    <w:p w14:paraId="2293F510">
      <w:pPr>
        <w:snapToGrid w:val="0"/>
        <w:spacing w:beforeLines="50" w:after="50" w:line="360" w:lineRule="auto"/>
        <w:jc w:val="center"/>
        <w:rPr>
          <w:rFonts w:ascii="宋体" w:hAnsi="宋体" w:cs="宋体"/>
          <w:b/>
          <w:color w:val="auto"/>
          <w:sz w:val="36"/>
          <w:szCs w:val="36"/>
          <w:highlight w:val="none"/>
        </w:rPr>
      </w:pPr>
      <w:r>
        <w:rPr>
          <w:rFonts w:hint="eastAsia" w:ascii="宋体" w:hAnsi="宋体" w:cs="宋体"/>
          <w:b/>
          <w:color w:val="auto"/>
          <w:sz w:val="32"/>
          <w:szCs w:val="32"/>
          <w:highlight w:val="none"/>
        </w:rPr>
        <w:t>项目实施人员一览表</w:t>
      </w:r>
    </w:p>
    <w:p w14:paraId="7F1952CB">
      <w:pPr>
        <w:snapToGrid w:val="0"/>
        <w:spacing w:beforeLines="50" w:after="50" w:line="360" w:lineRule="auto"/>
        <w:ind w:firstLine="2400" w:firstLineChars="1000"/>
        <w:rPr>
          <w:rFonts w:ascii="宋体" w:hAnsi="宋体" w:cs="宋体"/>
          <w:color w:val="auto"/>
          <w:sz w:val="24"/>
          <w:highlight w:val="none"/>
        </w:rPr>
      </w:pPr>
      <w:r>
        <w:rPr>
          <w:rFonts w:hint="eastAsia" w:ascii="宋体" w:hAnsi="宋体" w:cs="宋体"/>
          <w:color w:val="auto"/>
          <w:sz w:val="24"/>
          <w:highlight w:val="none"/>
        </w:rPr>
        <w:t>（主要从业人员及其技术资格）</w:t>
      </w:r>
    </w:p>
    <w:p w14:paraId="1DA8B7EA">
      <w:pPr>
        <w:pStyle w:val="19"/>
        <w:adjustRightInd w:val="0"/>
        <w:snapToGrid w:val="0"/>
        <w:spacing w:line="360" w:lineRule="auto"/>
        <w:jc w:val="left"/>
        <w:rPr>
          <w:rFonts w:ascii="宋体" w:hAnsi="宋体" w:eastAsia="宋体" w:cs="宋体"/>
          <w:b/>
          <w:color w:val="auto"/>
          <w:sz w:val="24"/>
          <w:highlight w:val="none"/>
        </w:rPr>
      </w:pPr>
      <w:r>
        <w:rPr>
          <w:rFonts w:hint="eastAsia" w:ascii="宋体" w:hAnsi="宋体" w:eastAsia="宋体" w:cs="宋体"/>
          <w:b/>
          <w:bCs/>
          <w:color w:val="auto"/>
          <w:sz w:val="24"/>
          <w:highlight w:val="none"/>
        </w:rPr>
        <w:t>项目名称及编号：</w:t>
      </w:r>
    </w:p>
    <w:tbl>
      <w:tblPr>
        <w:tblStyle w:val="35"/>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123BF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4D2C460C">
            <w:pP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31A7DB47">
            <w:pP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088389F">
            <w:pP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2F20351C">
            <w:pP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3888C4B9">
            <w:pP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0969E0C4">
            <w:pP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32DB203B">
            <w:pPr>
              <w:snapToGrid w:val="0"/>
              <w:spacing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69447B65">
            <w:pPr>
              <w:snapToGrid w:val="0"/>
              <w:spacing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57050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03EF287C">
            <w:pP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7743E40">
            <w:pP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63B2C43">
            <w:pP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9421ED3">
            <w:pP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5ABA2A4">
            <w:pP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4E627230">
            <w:pP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03057A8">
            <w:pP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FDE51E5">
            <w:pPr>
              <w:snapToGrid w:val="0"/>
              <w:spacing w:beforeLines="50" w:after="50" w:line="360" w:lineRule="auto"/>
              <w:rPr>
                <w:rFonts w:ascii="宋体" w:hAnsi="宋体" w:cs="宋体"/>
                <w:b/>
                <w:color w:val="auto"/>
                <w:kern w:val="44"/>
                <w:sz w:val="24"/>
                <w:szCs w:val="20"/>
                <w:highlight w:val="none"/>
              </w:rPr>
            </w:pPr>
          </w:p>
        </w:tc>
      </w:tr>
      <w:tr w14:paraId="1D8E4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4DD305A">
            <w:pP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D427C9B">
            <w:pP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C91C296">
            <w:pP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670381A">
            <w:pP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C8EECF7">
            <w:pP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4B2041D">
            <w:pP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EA4B094">
            <w:pP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576CECB">
            <w:pPr>
              <w:snapToGrid w:val="0"/>
              <w:spacing w:beforeLines="50" w:after="50" w:line="360" w:lineRule="auto"/>
              <w:rPr>
                <w:rFonts w:ascii="宋体" w:hAnsi="宋体" w:cs="宋体"/>
                <w:b/>
                <w:color w:val="auto"/>
                <w:kern w:val="44"/>
                <w:sz w:val="24"/>
                <w:szCs w:val="20"/>
                <w:highlight w:val="none"/>
              </w:rPr>
            </w:pPr>
          </w:p>
        </w:tc>
      </w:tr>
      <w:tr w14:paraId="6F224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01C4063">
            <w:pP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D0E1489">
            <w:pP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1CDCF1A">
            <w:pP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875AF7F">
            <w:pPr>
              <w:pStyle w:val="20"/>
              <w:snapToGrid w:val="0"/>
              <w:spacing w:beforeLines="50" w:after="50" w:line="360" w:lineRule="auto"/>
              <w:ind w:left="5250"/>
              <w:rPr>
                <w:rFonts w:ascii="宋体" w:hAnsi="宋体" w:eastAsia="宋体" w:cs="宋体"/>
                <w:b/>
                <w:color w:val="auto"/>
                <w:kern w:val="44"/>
                <w:highlight w:val="none"/>
              </w:rPr>
            </w:pPr>
          </w:p>
        </w:tc>
        <w:tc>
          <w:tcPr>
            <w:tcW w:w="1276" w:type="dxa"/>
            <w:tcBorders>
              <w:top w:val="single" w:color="auto" w:sz="4" w:space="0"/>
              <w:left w:val="single" w:color="auto" w:sz="4" w:space="0"/>
              <w:bottom w:val="single" w:color="auto" w:sz="4" w:space="0"/>
              <w:right w:val="single" w:color="auto" w:sz="4" w:space="0"/>
            </w:tcBorders>
          </w:tcPr>
          <w:p w14:paraId="11FAC352">
            <w:pPr>
              <w:pStyle w:val="20"/>
              <w:snapToGrid w:val="0"/>
              <w:spacing w:beforeLines="50" w:after="50" w:line="360" w:lineRule="auto"/>
              <w:ind w:left="5250"/>
              <w:rPr>
                <w:rFonts w:ascii="宋体" w:hAnsi="宋体" w:eastAsia="宋体" w:cs="宋体"/>
                <w:b/>
                <w:color w:val="auto"/>
                <w:kern w:val="44"/>
                <w:highlight w:val="none"/>
              </w:rPr>
            </w:pPr>
          </w:p>
        </w:tc>
        <w:tc>
          <w:tcPr>
            <w:tcW w:w="1275" w:type="dxa"/>
            <w:tcBorders>
              <w:top w:val="single" w:color="auto" w:sz="4" w:space="0"/>
              <w:left w:val="single" w:color="auto" w:sz="4" w:space="0"/>
              <w:bottom w:val="single" w:color="auto" w:sz="4" w:space="0"/>
              <w:right w:val="single" w:color="auto" w:sz="4" w:space="0"/>
            </w:tcBorders>
          </w:tcPr>
          <w:p w14:paraId="4E249C8B">
            <w:pPr>
              <w:pStyle w:val="20"/>
              <w:spacing w:line="360" w:lineRule="auto"/>
              <w:ind w:left="5250"/>
              <w:rPr>
                <w:rFonts w:ascii="宋体" w:hAnsi="宋体" w:eastAsia="宋体" w:cs="宋体"/>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2B3FA558">
            <w:pPr>
              <w:snapToGrid w:val="0"/>
              <w:spacing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8F72098">
            <w:pPr>
              <w:snapToGrid w:val="0"/>
              <w:spacing w:beforeLines="50" w:after="50" w:line="360" w:lineRule="auto"/>
              <w:rPr>
                <w:rFonts w:ascii="宋体" w:hAnsi="宋体" w:cs="宋体"/>
                <w:b/>
                <w:color w:val="auto"/>
                <w:kern w:val="44"/>
                <w:sz w:val="24"/>
                <w:szCs w:val="20"/>
                <w:highlight w:val="none"/>
              </w:rPr>
            </w:pPr>
          </w:p>
        </w:tc>
      </w:tr>
      <w:tr w14:paraId="076F5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77F5476">
            <w:pP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B54DAC1">
            <w:pP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FF9DE96">
            <w:pP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2198531">
            <w:pP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0B74449">
            <w:pP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6363749">
            <w:pP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9EDA35E">
            <w:pP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528CC0F">
            <w:pPr>
              <w:snapToGrid w:val="0"/>
              <w:spacing w:beforeLines="50" w:after="50" w:line="360" w:lineRule="auto"/>
              <w:rPr>
                <w:rFonts w:ascii="宋体" w:hAnsi="宋体" w:cs="宋体"/>
                <w:b/>
                <w:color w:val="auto"/>
                <w:kern w:val="44"/>
                <w:sz w:val="24"/>
                <w:szCs w:val="20"/>
                <w:highlight w:val="none"/>
              </w:rPr>
            </w:pPr>
          </w:p>
        </w:tc>
      </w:tr>
      <w:tr w14:paraId="32535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702F9B07">
            <w:pP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7FEF2CB">
            <w:pP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337A011">
            <w:pP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1BD5396">
            <w:pP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53BFB150">
            <w:pP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2C5BC2B">
            <w:pP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513037B">
            <w:pP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DEF40A3">
            <w:pPr>
              <w:snapToGrid w:val="0"/>
              <w:spacing w:beforeLines="50" w:after="50" w:line="360" w:lineRule="auto"/>
              <w:rPr>
                <w:rFonts w:ascii="宋体" w:hAnsi="宋体" w:cs="宋体"/>
                <w:b/>
                <w:color w:val="auto"/>
                <w:kern w:val="44"/>
                <w:sz w:val="24"/>
                <w:szCs w:val="20"/>
                <w:highlight w:val="none"/>
              </w:rPr>
            </w:pPr>
          </w:p>
        </w:tc>
      </w:tr>
    </w:tbl>
    <w:p w14:paraId="33F46B85">
      <w:pPr>
        <w:spacing w:line="360" w:lineRule="auto"/>
        <w:rPr>
          <w:rFonts w:ascii="宋体" w:hAnsi="宋体" w:cs="宋体"/>
          <w:b/>
          <w:color w:val="auto"/>
          <w:szCs w:val="21"/>
          <w:highlight w:val="none"/>
        </w:rPr>
      </w:pPr>
      <w:r>
        <w:rPr>
          <w:rFonts w:hint="eastAsia" w:ascii="宋体" w:hAnsi="宋体" w:cs="宋体"/>
          <w:b/>
          <w:color w:val="auto"/>
          <w:szCs w:val="21"/>
          <w:highlight w:val="none"/>
        </w:rPr>
        <w:t>要求：</w:t>
      </w:r>
    </w:p>
    <w:p w14:paraId="7337EC50">
      <w:pPr>
        <w:spacing w:line="360" w:lineRule="auto"/>
        <w:ind w:left="437"/>
        <w:rPr>
          <w:rFonts w:ascii="宋体" w:hAnsi="宋体" w:cs="宋体"/>
          <w:b w:val="0"/>
          <w:bCs/>
          <w:color w:val="auto"/>
          <w:szCs w:val="21"/>
          <w:highlight w:val="none"/>
        </w:rPr>
      </w:pPr>
      <w:r>
        <w:rPr>
          <w:rFonts w:hint="eastAsia" w:ascii="宋体" w:hAnsi="宋体" w:cs="宋体"/>
          <w:b w:val="0"/>
          <w:bCs/>
          <w:color w:val="auto"/>
          <w:szCs w:val="21"/>
          <w:highlight w:val="none"/>
        </w:rPr>
        <w:t>1.在填写时，如本表格不适合供应商的实际情况，可根据本表格式自行划表填写。</w:t>
      </w:r>
    </w:p>
    <w:p w14:paraId="581C3C7B">
      <w:pPr>
        <w:pStyle w:val="58"/>
        <w:spacing w:line="360" w:lineRule="auto"/>
        <w:ind w:left="424" w:leftChars="202"/>
        <w:rPr>
          <w:rFonts w:ascii="宋体" w:hAnsi="宋体" w:cs="宋体"/>
          <w:b w:val="0"/>
          <w:bCs/>
          <w:color w:val="auto"/>
          <w:szCs w:val="21"/>
          <w:highlight w:val="none"/>
        </w:rPr>
      </w:pPr>
      <w:bookmarkStart w:id="44" w:name="_Hlk77860659"/>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rPr>
        <w:t>.按评标办法提供。</w:t>
      </w:r>
    </w:p>
    <w:p w14:paraId="6DAB5DD7">
      <w:pPr>
        <w:snapToGrid w:val="0"/>
        <w:spacing w:before="50" w:afterLines="50" w:line="360" w:lineRule="auto"/>
        <w:jc w:val="left"/>
        <w:rPr>
          <w:rFonts w:ascii="宋体" w:hAnsi="宋体" w:cs="宋体"/>
          <w:color w:val="auto"/>
          <w:sz w:val="24"/>
          <w:szCs w:val="20"/>
          <w:highlight w:val="none"/>
        </w:rPr>
      </w:pPr>
    </w:p>
    <w:p w14:paraId="4F843E2D">
      <w:pPr>
        <w:pStyle w:val="16"/>
        <w:rPr>
          <w:color w:val="auto"/>
          <w:highlight w:val="none"/>
        </w:rPr>
      </w:pPr>
    </w:p>
    <w:p w14:paraId="44DBD9B5">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139C446">
      <w:pPr>
        <w:spacing w:line="360" w:lineRule="auto"/>
        <w:ind w:firstLine="435"/>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法定代表人或磋商供应商代表（签章或签字）</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3857478D">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0E1D8244">
      <w:pPr>
        <w:spacing w:line="360" w:lineRule="auto"/>
        <w:ind w:firstLine="435"/>
        <w:rPr>
          <w:rFonts w:ascii="宋体" w:hAnsi="宋体" w:cs="宋体"/>
          <w:b/>
          <w:color w:val="auto"/>
          <w:sz w:val="28"/>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bookmarkEnd w:id="44"/>
    <w:p w14:paraId="6E845BCD">
      <w:pPr>
        <w:snapToGrid w:val="0"/>
        <w:spacing w:before="50" w:after="50" w:line="360" w:lineRule="auto"/>
        <w:rPr>
          <w:rFonts w:ascii="宋体" w:hAnsi="宋体" w:cs="宋体"/>
          <w:b/>
          <w:color w:val="auto"/>
          <w:sz w:val="28"/>
          <w:highlight w:val="none"/>
        </w:rPr>
        <w:sectPr>
          <w:pgSz w:w="11906" w:h="16838"/>
          <w:pgMar w:top="1440" w:right="1800" w:bottom="1440" w:left="1800" w:header="851" w:footer="992" w:gutter="0"/>
          <w:cols w:space="720" w:num="1"/>
          <w:docGrid w:type="lines" w:linePitch="312" w:charSpace="0"/>
        </w:sectPr>
      </w:pPr>
    </w:p>
    <w:p w14:paraId="41530D93">
      <w:pP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9</w:t>
      </w:r>
      <w:r>
        <w:rPr>
          <w:rFonts w:hint="eastAsia" w:ascii="宋体" w:hAnsi="宋体" w:cs="宋体"/>
          <w:b/>
          <w:color w:val="auto"/>
          <w:sz w:val="28"/>
          <w:highlight w:val="none"/>
        </w:rPr>
        <w:t>：</w:t>
      </w:r>
    </w:p>
    <w:p w14:paraId="073BB297">
      <w:pPr>
        <w:spacing w:line="360" w:lineRule="auto"/>
        <w:rPr>
          <w:rFonts w:hint="eastAsia" w:ascii="宋体" w:hAnsi="宋体" w:cs="宋体"/>
          <w:b/>
          <w:color w:val="auto"/>
          <w:sz w:val="28"/>
          <w:highlight w:val="none"/>
        </w:rPr>
      </w:pPr>
    </w:p>
    <w:p w14:paraId="5C36A43E">
      <w:pPr>
        <w:jc w:val="center"/>
        <w:rPr>
          <w:rFonts w:ascii="宋体" w:hAnsi="宋体" w:cs="宋体"/>
          <w:b/>
          <w:sz w:val="32"/>
          <w:szCs w:val="32"/>
          <w:highlight w:val="none"/>
        </w:rPr>
      </w:pPr>
      <w:r>
        <w:rPr>
          <w:rFonts w:hint="eastAsia" w:ascii="宋体" w:hAnsi="宋体" w:cs="宋体"/>
          <w:b/>
          <w:sz w:val="32"/>
          <w:szCs w:val="32"/>
          <w:highlight w:val="none"/>
        </w:rPr>
        <w:t>设备配置清单</w:t>
      </w:r>
    </w:p>
    <w:p w14:paraId="134D491A">
      <w:pPr>
        <w:pStyle w:val="19"/>
        <w:adjustRightInd w:val="0"/>
        <w:snapToGrid w:val="0"/>
        <w:spacing w:line="360" w:lineRule="auto"/>
        <w:ind w:firstLine="241" w:firstLineChars="100"/>
        <w:jc w:val="left"/>
        <w:rPr>
          <w:rFonts w:hAnsi="宋体" w:cs="宋体"/>
          <w:b/>
          <w:sz w:val="24"/>
          <w:highlight w:val="none"/>
        </w:rPr>
      </w:pPr>
      <w:r>
        <w:rPr>
          <w:rFonts w:hint="eastAsia" w:hAnsi="宋体" w:cs="宋体"/>
          <w:b/>
          <w:bCs/>
          <w:sz w:val="24"/>
          <w:highlight w:val="none"/>
        </w:rPr>
        <w:t>项目名称及编号：</w:t>
      </w:r>
    </w:p>
    <w:tbl>
      <w:tblPr>
        <w:tblStyle w:val="35"/>
        <w:tblW w:w="87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5"/>
        <w:gridCol w:w="2123"/>
        <w:gridCol w:w="1060"/>
        <w:gridCol w:w="1617"/>
        <w:gridCol w:w="1812"/>
        <w:gridCol w:w="1061"/>
      </w:tblGrid>
      <w:tr w14:paraId="16772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105" w:type="dxa"/>
            <w:tcBorders>
              <w:top w:val="single" w:color="auto" w:sz="4" w:space="0"/>
              <w:left w:val="single" w:color="auto" w:sz="4" w:space="0"/>
              <w:bottom w:val="single" w:color="auto" w:sz="4" w:space="0"/>
              <w:right w:val="single" w:color="auto" w:sz="4" w:space="0"/>
            </w:tcBorders>
            <w:vAlign w:val="center"/>
          </w:tcPr>
          <w:p w14:paraId="039DFA97">
            <w:pPr>
              <w:jc w:val="center"/>
              <w:rPr>
                <w:rFonts w:ascii="仿宋" w:hAnsi="仿宋" w:eastAsia="仿宋"/>
                <w:b/>
                <w:bCs/>
                <w:snapToGrid w:val="0"/>
                <w:kern w:val="0"/>
                <w:sz w:val="24"/>
                <w:highlight w:val="none"/>
              </w:rPr>
            </w:pPr>
            <w:r>
              <w:rPr>
                <w:rFonts w:hint="eastAsia" w:ascii="仿宋" w:hAnsi="仿宋" w:eastAsia="仿宋"/>
                <w:b/>
                <w:bCs/>
                <w:snapToGrid w:val="0"/>
                <w:kern w:val="0"/>
                <w:sz w:val="24"/>
                <w:highlight w:val="none"/>
              </w:rPr>
              <w:t>序号</w:t>
            </w:r>
          </w:p>
        </w:tc>
        <w:tc>
          <w:tcPr>
            <w:tcW w:w="2123" w:type="dxa"/>
            <w:tcBorders>
              <w:top w:val="single" w:color="auto" w:sz="4" w:space="0"/>
              <w:left w:val="single" w:color="auto" w:sz="4" w:space="0"/>
              <w:bottom w:val="single" w:color="auto" w:sz="4" w:space="0"/>
              <w:right w:val="single" w:color="auto" w:sz="4" w:space="0"/>
            </w:tcBorders>
            <w:vAlign w:val="center"/>
          </w:tcPr>
          <w:p w14:paraId="520620C9">
            <w:pPr>
              <w:jc w:val="center"/>
              <w:rPr>
                <w:rFonts w:ascii="仿宋" w:hAnsi="仿宋" w:eastAsia="仿宋"/>
                <w:b/>
                <w:bCs/>
                <w:snapToGrid w:val="0"/>
                <w:kern w:val="0"/>
                <w:sz w:val="24"/>
                <w:highlight w:val="none"/>
              </w:rPr>
            </w:pPr>
            <w:r>
              <w:rPr>
                <w:rFonts w:hint="eastAsia" w:ascii="仿宋" w:hAnsi="仿宋" w:eastAsia="仿宋"/>
                <w:b/>
                <w:bCs/>
                <w:snapToGrid w:val="0"/>
                <w:kern w:val="0"/>
                <w:sz w:val="24"/>
                <w:highlight w:val="none"/>
              </w:rPr>
              <w:t>设备名称</w:t>
            </w:r>
          </w:p>
        </w:tc>
        <w:tc>
          <w:tcPr>
            <w:tcW w:w="1060" w:type="dxa"/>
            <w:tcBorders>
              <w:top w:val="single" w:color="auto" w:sz="4" w:space="0"/>
              <w:left w:val="single" w:color="auto" w:sz="4" w:space="0"/>
              <w:bottom w:val="single" w:color="auto" w:sz="4" w:space="0"/>
              <w:right w:val="single" w:color="auto" w:sz="4" w:space="0"/>
            </w:tcBorders>
            <w:vAlign w:val="center"/>
          </w:tcPr>
          <w:p w14:paraId="717715E0">
            <w:pPr>
              <w:jc w:val="center"/>
              <w:rPr>
                <w:rFonts w:ascii="仿宋" w:hAnsi="仿宋" w:eastAsia="仿宋"/>
                <w:b/>
                <w:bCs/>
                <w:snapToGrid w:val="0"/>
                <w:kern w:val="0"/>
                <w:sz w:val="24"/>
                <w:highlight w:val="none"/>
              </w:rPr>
            </w:pPr>
            <w:r>
              <w:rPr>
                <w:rFonts w:hint="eastAsia" w:ascii="仿宋" w:hAnsi="仿宋" w:eastAsia="仿宋"/>
                <w:b/>
                <w:bCs/>
                <w:snapToGrid w:val="0"/>
                <w:kern w:val="0"/>
                <w:sz w:val="24"/>
                <w:highlight w:val="none"/>
              </w:rPr>
              <w:t>品牌</w:t>
            </w:r>
          </w:p>
        </w:tc>
        <w:tc>
          <w:tcPr>
            <w:tcW w:w="1617" w:type="dxa"/>
            <w:tcBorders>
              <w:top w:val="single" w:color="auto" w:sz="4" w:space="0"/>
              <w:left w:val="single" w:color="auto" w:sz="4" w:space="0"/>
              <w:bottom w:val="single" w:color="auto" w:sz="4" w:space="0"/>
              <w:right w:val="single" w:color="auto" w:sz="4" w:space="0"/>
            </w:tcBorders>
            <w:vAlign w:val="center"/>
          </w:tcPr>
          <w:p w14:paraId="0B0BC9A1">
            <w:pPr>
              <w:jc w:val="center"/>
              <w:rPr>
                <w:rFonts w:ascii="仿宋" w:hAnsi="仿宋" w:eastAsia="仿宋"/>
                <w:b/>
                <w:bCs/>
                <w:snapToGrid w:val="0"/>
                <w:kern w:val="0"/>
                <w:sz w:val="24"/>
                <w:highlight w:val="none"/>
              </w:rPr>
            </w:pPr>
            <w:r>
              <w:rPr>
                <w:rFonts w:hint="eastAsia" w:ascii="仿宋" w:hAnsi="仿宋" w:eastAsia="仿宋"/>
                <w:b/>
                <w:bCs/>
                <w:snapToGrid w:val="0"/>
                <w:kern w:val="0"/>
                <w:sz w:val="24"/>
                <w:highlight w:val="none"/>
              </w:rPr>
              <w:t>规格型号</w:t>
            </w:r>
          </w:p>
        </w:tc>
        <w:tc>
          <w:tcPr>
            <w:tcW w:w="1812" w:type="dxa"/>
            <w:tcBorders>
              <w:top w:val="single" w:color="auto" w:sz="4" w:space="0"/>
              <w:left w:val="single" w:color="auto" w:sz="4" w:space="0"/>
              <w:bottom w:val="single" w:color="auto" w:sz="4" w:space="0"/>
              <w:right w:val="single" w:color="auto" w:sz="4" w:space="0"/>
            </w:tcBorders>
            <w:vAlign w:val="center"/>
          </w:tcPr>
          <w:p w14:paraId="6B1684AC">
            <w:pPr>
              <w:jc w:val="center"/>
              <w:rPr>
                <w:rFonts w:ascii="仿宋" w:hAnsi="仿宋" w:eastAsia="仿宋"/>
                <w:b/>
                <w:bCs/>
                <w:snapToGrid w:val="0"/>
                <w:kern w:val="0"/>
                <w:sz w:val="24"/>
                <w:highlight w:val="none"/>
              </w:rPr>
            </w:pPr>
            <w:r>
              <w:rPr>
                <w:rFonts w:hint="eastAsia" w:ascii="仿宋" w:hAnsi="仿宋" w:eastAsia="仿宋"/>
                <w:b/>
                <w:bCs/>
                <w:snapToGrid w:val="0"/>
                <w:kern w:val="0"/>
                <w:sz w:val="24"/>
                <w:highlight w:val="none"/>
              </w:rPr>
              <w:t>性能及指标</w:t>
            </w:r>
          </w:p>
        </w:tc>
        <w:tc>
          <w:tcPr>
            <w:tcW w:w="1061" w:type="dxa"/>
            <w:tcBorders>
              <w:top w:val="single" w:color="auto" w:sz="4" w:space="0"/>
              <w:left w:val="single" w:color="auto" w:sz="4" w:space="0"/>
              <w:bottom w:val="single" w:color="auto" w:sz="4" w:space="0"/>
              <w:right w:val="single" w:color="auto" w:sz="4" w:space="0"/>
            </w:tcBorders>
            <w:vAlign w:val="center"/>
          </w:tcPr>
          <w:p w14:paraId="39B26EC3">
            <w:pPr>
              <w:jc w:val="center"/>
              <w:rPr>
                <w:rFonts w:ascii="仿宋" w:hAnsi="仿宋" w:eastAsia="仿宋"/>
                <w:b/>
                <w:bCs/>
                <w:snapToGrid w:val="0"/>
                <w:kern w:val="0"/>
                <w:sz w:val="24"/>
                <w:highlight w:val="none"/>
              </w:rPr>
            </w:pPr>
            <w:r>
              <w:rPr>
                <w:rFonts w:hint="eastAsia" w:ascii="仿宋" w:hAnsi="仿宋" w:eastAsia="仿宋"/>
                <w:b/>
                <w:bCs/>
                <w:snapToGrid w:val="0"/>
                <w:kern w:val="0"/>
                <w:sz w:val="24"/>
                <w:highlight w:val="none"/>
              </w:rPr>
              <w:t>产地</w:t>
            </w:r>
          </w:p>
        </w:tc>
      </w:tr>
      <w:tr w14:paraId="146B4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105" w:type="dxa"/>
            <w:tcBorders>
              <w:top w:val="single" w:color="auto" w:sz="4" w:space="0"/>
              <w:left w:val="single" w:color="auto" w:sz="4" w:space="0"/>
              <w:bottom w:val="single" w:color="auto" w:sz="4" w:space="0"/>
              <w:right w:val="single" w:color="auto" w:sz="4" w:space="0"/>
            </w:tcBorders>
            <w:vAlign w:val="center"/>
          </w:tcPr>
          <w:p w14:paraId="6F1E1B84">
            <w:pPr>
              <w:jc w:val="center"/>
              <w:rPr>
                <w:rFonts w:ascii="仿宋" w:hAnsi="仿宋" w:eastAsia="仿宋"/>
                <w:snapToGrid w:val="0"/>
                <w:kern w:val="0"/>
                <w:sz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4B704E5E">
            <w:pPr>
              <w:jc w:val="center"/>
              <w:rPr>
                <w:rFonts w:ascii="仿宋" w:hAnsi="仿宋" w:eastAsia="仿宋"/>
                <w:snapToGrid w:val="0"/>
                <w:kern w:val="0"/>
                <w:sz w:val="24"/>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14:paraId="779CEBDF">
            <w:pPr>
              <w:jc w:val="center"/>
              <w:rPr>
                <w:rFonts w:ascii="仿宋" w:hAnsi="仿宋" w:eastAsia="仿宋"/>
                <w:snapToGrid w:val="0"/>
                <w:kern w:val="0"/>
                <w:sz w:val="24"/>
                <w:highlight w:val="none"/>
              </w:rPr>
            </w:pPr>
          </w:p>
        </w:tc>
        <w:tc>
          <w:tcPr>
            <w:tcW w:w="1617" w:type="dxa"/>
            <w:tcBorders>
              <w:top w:val="single" w:color="auto" w:sz="4" w:space="0"/>
              <w:left w:val="single" w:color="auto" w:sz="4" w:space="0"/>
              <w:bottom w:val="single" w:color="auto" w:sz="4" w:space="0"/>
              <w:right w:val="single" w:color="auto" w:sz="4" w:space="0"/>
            </w:tcBorders>
            <w:vAlign w:val="center"/>
          </w:tcPr>
          <w:p w14:paraId="202B34EF">
            <w:pPr>
              <w:jc w:val="center"/>
              <w:rPr>
                <w:rFonts w:ascii="仿宋" w:hAnsi="仿宋" w:eastAsia="仿宋"/>
                <w:snapToGrid w:val="0"/>
                <w:kern w:val="0"/>
                <w:sz w:val="24"/>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09671220">
            <w:pPr>
              <w:jc w:val="center"/>
              <w:rPr>
                <w:rFonts w:ascii="仿宋" w:hAnsi="仿宋" w:eastAsia="仿宋"/>
                <w:snapToGrid w:val="0"/>
                <w:kern w:val="0"/>
                <w:sz w:val="24"/>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14:paraId="52DF9171">
            <w:pPr>
              <w:jc w:val="center"/>
              <w:rPr>
                <w:rFonts w:ascii="仿宋" w:hAnsi="仿宋" w:eastAsia="仿宋"/>
                <w:snapToGrid w:val="0"/>
                <w:kern w:val="0"/>
                <w:sz w:val="24"/>
                <w:highlight w:val="none"/>
              </w:rPr>
            </w:pPr>
          </w:p>
        </w:tc>
      </w:tr>
      <w:tr w14:paraId="58DEB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105" w:type="dxa"/>
            <w:tcBorders>
              <w:top w:val="single" w:color="auto" w:sz="4" w:space="0"/>
              <w:left w:val="single" w:color="auto" w:sz="4" w:space="0"/>
              <w:bottom w:val="single" w:color="auto" w:sz="4" w:space="0"/>
              <w:right w:val="single" w:color="auto" w:sz="4" w:space="0"/>
            </w:tcBorders>
            <w:vAlign w:val="center"/>
          </w:tcPr>
          <w:p w14:paraId="078989F5">
            <w:pPr>
              <w:jc w:val="center"/>
              <w:rPr>
                <w:rFonts w:ascii="仿宋" w:hAnsi="仿宋" w:eastAsia="仿宋"/>
                <w:snapToGrid w:val="0"/>
                <w:kern w:val="0"/>
                <w:sz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639452FC">
            <w:pPr>
              <w:jc w:val="center"/>
              <w:rPr>
                <w:rFonts w:ascii="仿宋" w:hAnsi="仿宋" w:eastAsia="仿宋"/>
                <w:snapToGrid w:val="0"/>
                <w:kern w:val="0"/>
                <w:sz w:val="24"/>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14:paraId="1194C5C3">
            <w:pPr>
              <w:jc w:val="center"/>
              <w:rPr>
                <w:rFonts w:ascii="仿宋" w:hAnsi="仿宋" w:eastAsia="仿宋"/>
                <w:snapToGrid w:val="0"/>
                <w:kern w:val="0"/>
                <w:sz w:val="24"/>
                <w:highlight w:val="none"/>
              </w:rPr>
            </w:pPr>
          </w:p>
        </w:tc>
        <w:tc>
          <w:tcPr>
            <w:tcW w:w="1617" w:type="dxa"/>
            <w:tcBorders>
              <w:top w:val="single" w:color="auto" w:sz="4" w:space="0"/>
              <w:left w:val="single" w:color="auto" w:sz="4" w:space="0"/>
              <w:bottom w:val="single" w:color="auto" w:sz="4" w:space="0"/>
              <w:right w:val="single" w:color="auto" w:sz="4" w:space="0"/>
            </w:tcBorders>
            <w:vAlign w:val="center"/>
          </w:tcPr>
          <w:p w14:paraId="5B9CA36E">
            <w:pPr>
              <w:jc w:val="center"/>
              <w:rPr>
                <w:rFonts w:ascii="仿宋" w:hAnsi="仿宋" w:eastAsia="仿宋"/>
                <w:snapToGrid w:val="0"/>
                <w:kern w:val="0"/>
                <w:sz w:val="24"/>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065F1F3B">
            <w:pPr>
              <w:jc w:val="center"/>
              <w:rPr>
                <w:rFonts w:ascii="仿宋" w:hAnsi="仿宋" w:eastAsia="仿宋"/>
                <w:snapToGrid w:val="0"/>
                <w:kern w:val="0"/>
                <w:sz w:val="24"/>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14:paraId="7466140E">
            <w:pPr>
              <w:jc w:val="center"/>
              <w:rPr>
                <w:rFonts w:ascii="仿宋" w:hAnsi="仿宋" w:eastAsia="仿宋"/>
                <w:snapToGrid w:val="0"/>
                <w:kern w:val="0"/>
                <w:sz w:val="24"/>
                <w:highlight w:val="none"/>
              </w:rPr>
            </w:pPr>
          </w:p>
        </w:tc>
      </w:tr>
      <w:tr w14:paraId="6381A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105" w:type="dxa"/>
            <w:tcBorders>
              <w:top w:val="single" w:color="auto" w:sz="4" w:space="0"/>
              <w:left w:val="single" w:color="auto" w:sz="4" w:space="0"/>
              <w:bottom w:val="single" w:color="auto" w:sz="4" w:space="0"/>
              <w:right w:val="single" w:color="auto" w:sz="4" w:space="0"/>
            </w:tcBorders>
            <w:vAlign w:val="center"/>
          </w:tcPr>
          <w:p w14:paraId="53332E17">
            <w:pPr>
              <w:jc w:val="center"/>
              <w:rPr>
                <w:rFonts w:ascii="仿宋" w:hAnsi="仿宋" w:eastAsia="仿宋"/>
                <w:snapToGrid w:val="0"/>
                <w:kern w:val="0"/>
                <w:sz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29C40025">
            <w:pPr>
              <w:jc w:val="center"/>
              <w:rPr>
                <w:rFonts w:ascii="仿宋" w:hAnsi="仿宋" w:eastAsia="仿宋"/>
                <w:snapToGrid w:val="0"/>
                <w:kern w:val="0"/>
                <w:sz w:val="24"/>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14:paraId="3B730CE4">
            <w:pPr>
              <w:jc w:val="center"/>
              <w:rPr>
                <w:rFonts w:ascii="仿宋" w:hAnsi="仿宋" w:eastAsia="仿宋"/>
                <w:snapToGrid w:val="0"/>
                <w:kern w:val="0"/>
                <w:sz w:val="24"/>
                <w:highlight w:val="none"/>
              </w:rPr>
            </w:pPr>
          </w:p>
        </w:tc>
        <w:tc>
          <w:tcPr>
            <w:tcW w:w="1617" w:type="dxa"/>
            <w:tcBorders>
              <w:top w:val="single" w:color="auto" w:sz="4" w:space="0"/>
              <w:left w:val="single" w:color="auto" w:sz="4" w:space="0"/>
              <w:bottom w:val="single" w:color="auto" w:sz="4" w:space="0"/>
              <w:right w:val="single" w:color="auto" w:sz="4" w:space="0"/>
            </w:tcBorders>
            <w:vAlign w:val="center"/>
          </w:tcPr>
          <w:p w14:paraId="3A23B78C">
            <w:pPr>
              <w:jc w:val="center"/>
              <w:rPr>
                <w:rFonts w:ascii="仿宋" w:hAnsi="仿宋" w:eastAsia="仿宋"/>
                <w:snapToGrid w:val="0"/>
                <w:kern w:val="0"/>
                <w:sz w:val="24"/>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460C3935">
            <w:pPr>
              <w:jc w:val="center"/>
              <w:rPr>
                <w:rFonts w:ascii="仿宋" w:hAnsi="仿宋" w:eastAsia="仿宋"/>
                <w:snapToGrid w:val="0"/>
                <w:kern w:val="0"/>
                <w:sz w:val="24"/>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14:paraId="764AD68D">
            <w:pPr>
              <w:jc w:val="center"/>
              <w:rPr>
                <w:rFonts w:ascii="仿宋" w:hAnsi="仿宋" w:eastAsia="仿宋"/>
                <w:snapToGrid w:val="0"/>
                <w:kern w:val="0"/>
                <w:sz w:val="24"/>
                <w:highlight w:val="none"/>
              </w:rPr>
            </w:pPr>
          </w:p>
        </w:tc>
      </w:tr>
      <w:tr w14:paraId="5BF6A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3" w:hRule="atLeast"/>
          <w:jc w:val="center"/>
        </w:trPr>
        <w:tc>
          <w:tcPr>
            <w:tcW w:w="1105" w:type="dxa"/>
            <w:tcBorders>
              <w:top w:val="single" w:color="auto" w:sz="4" w:space="0"/>
              <w:left w:val="single" w:color="auto" w:sz="4" w:space="0"/>
              <w:bottom w:val="single" w:color="auto" w:sz="4" w:space="0"/>
              <w:right w:val="single" w:color="auto" w:sz="4" w:space="0"/>
            </w:tcBorders>
            <w:vAlign w:val="center"/>
          </w:tcPr>
          <w:p w14:paraId="5EE18269">
            <w:pPr>
              <w:jc w:val="center"/>
              <w:rPr>
                <w:rFonts w:ascii="仿宋" w:hAnsi="仿宋" w:eastAsia="仿宋"/>
                <w:snapToGrid w:val="0"/>
                <w:kern w:val="0"/>
                <w:sz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6CD8D45A">
            <w:pPr>
              <w:jc w:val="center"/>
              <w:rPr>
                <w:rFonts w:ascii="仿宋" w:hAnsi="仿宋" w:eastAsia="仿宋"/>
                <w:snapToGrid w:val="0"/>
                <w:kern w:val="0"/>
                <w:sz w:val="24"/>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14:paraId="5D042F79">
            <w:pPr>
              <w:jc w:val="center"/>
              <w:rPr>
                <w:rFonts w:ascii="仿宋" w:hAnsi="仿宋" w:eastAsia="仿宋"/>
                <w:snapToGrid w:val="0"/>
                <w:kern w:val="0"/>
                <w:sz w:val="24"/>
                <w:highlight w:val="none"/>
              </w:rPr>
            </w:pPr>
          </w:p>
        </w:tc>
        <w:tc>
          <w:tcPr>
            <w:tcW w:w="1617" w:type="dxa"/>
            <w:tcBorders>
              <w:top w:val="single" w:color="auto" w:sz="4" w:space="0"/>
              <w:left w:val="single" w:color="auto" w:sz="4" w:space="0"/>
              <w:bottom w:val="single" w:color="auto" w:sz="4" w:space="0"/>
              <w:right w:val="single" w:color="auto" w:sz="4" w:space="0"/>
            </w:tcBorders>
            <w:vAlign w:val="center"/>
          </w:tcPr>
          <w:p w14:paraId="23718AF6">
            <w:pPr>
              <w:jc w:val="center"/>
              <w:rPr>
                <w:rFonts w:ascii="仿宋" w:hAnsi="仿宋" w:eastAsia="仿宋"/>
                <w:snapToGrid w:val="0"/>
                <w:kern w:val="0"/>
                <w:sz w:val="24"/>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133C9E27">
            <w:pPr>
              <w:jc w:val="center"/>
              <w:rPr>
                <w:rFonts w:ascii="仿宋" w:hAnsi="仿宋" w:eastAsia="仿宋"/>
                <w:snapToGrid w:val="0"/>
                <w:kern w:val="0"/>
                <w:sz w:val="24"/>
                <w:highlight w:val="none"/>
              </w:rPr>
            </w:pPr>
          </w:p>
        </w:tc>
        <w:tc>
          <w:tcPr>
            <w:tcW w:w="1061" w:type="dxa"/>
            <w:tcBorders>
              <w:top w:val="single" w:color="auto" w:sz="4" w:space="0"/>
              <w:left w:val="single" w:color="auto" w:sz="4" w:space="0"/>
              <w:bottom w:val="nil"/>
              <w:right w:val="single" w:color="auto" w:sz="4" w:space="0"/>
            </w:tcBorders>
            <w:vAlign w:val="center"/>
          </w:tcPr>
          <w:p w14:paraId="6EF6C944">
            <w:pPr>
              <w:jc w:val="center"/>
              <w:rPr>
                <w:rFonts w:ascii="仿宋" w:hAnsi="仿宋" w:eastAsia="仿宋"/>
                <w:snapToGrid w:val="0"/>
                <w:kern w:val="0"/>
                <w:sz w:val="24"/>
                <w:highlight w:val="none"/>
              </w:rPr>
            </w:pPr>
          </w:p>
        </w:tc>
      </w:tr>
      <w:tr w14:paraId="71A15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105" w:type="dxa"/>
            <w:tcBorders>
              <w:top w:val="single" w:color="auto" w:sz="4" w:space="0"/>
              <w:left w:val="single" w:color="auto" w:sz="4" w:space="0"/>
              <w:bottom w:val="single" w:color="auto" w:sz="4" w:space="0"/>
              <w:right w:val="single" w:color="auto" w:sz="4" w:space="0"/>
            </w:tcBorders>
            <w:vAlign w:val="center"/>
          </w:tcPr>
          <w:p w14:paraId="62C0AB54">
            <w:pPr>
              <w:jc w:val="center"/>
              <w:rPr>
                <w:rFonts w:ascii="仿宋" w:hAnsi="仿宋" w:eastAsia="仿宋"/>
                <w:snapToGrid w:val="0"/>
                <w:kern w:val="0"/>
                <w:sz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7A341512">
            <w:pPr>
              <w:jc w:val="center"/>
              <w:rPr>
                <w:rFonts w:ascii="仿宋" w:hAnsi="仿宋" w:eastAsia="仿宋"/>
                <w:snapToGrid w:val="0"/>
                <w:kern w:val="0"/>
                <w:sz w:val="24"/>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14:paraId="13BDAF88">
            <w:pPr>
              <w:jc w:val="center"/>
              <w:rPr>
                <w:rFonts w:ascii="仿宋" w:hAnsi="仿宋" w:eastAsia="仿宋"/>
                <w:snapToGrid w:val="0"/>
                <w:kern w:val="0"/>
                <w:sz w:val="24"/>
                <w:highlight w:val="none"/>
              </w:rPr>
            </w:pPr>
          </w:p>
        </w:tc>
        <w:tc>
          <w:tcPr>
            <w:tcW w:w="1617" w:type="dxa"/>
            <w:tcBorders>
              <w:top w:val="single" w:color="auto" w:sz="4" w:space="0"/>
              <w:left w:val="single" w:color="auto" w:sz="4" w:space="0"/>
              <w:bottom w:val="single" w:color="auto" w:sz="4" w:space="0"/>
              <w:right w:val="single" w:color="auto" w:sz="4" w:space="0"/>
            </w:tcBorders>
            <w:vAlign w:val="center"/>
          </w:tcPr>
          <w:p w14:paraId="2E49B0FC">
            <w:pPr>
              <w:jc w:val="center"/>
              <w:rPr>
                <w:rFonts w:ascii="仿宋" w:hAnsi="仿宋" w:eastAsia="仿宋"/>
                <w:snapToGrid w:val="0"/>
                <w:kern w:val="0"/>
                <w:sz w:val="24"/>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100BF5A8">
            <w:pPr>
              <w:jc w:val="center"/>
              <w:rPr>
                <w:rFonts w:ascii="仿宋" w:hAnsi="仿宋" w:eastAsia="仿宋"/>
                <w:snapToGrid w:val="0"/>
                <w:kern w:val="0"/>
                <w:sz w:val="24"/>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14:paraId="7C275CE1">
            <w:pPr>
              <w:jc w:val="center"/>
              <w:rPr>
                <w:rFonts w:ascii="仿宋" w:hAnsi="仿宋" w:eastAsia="仿宋"/>
                <w:snapToGrid w:val="0"/>
                <w:kern w:val="0"/>
                <w:sz w:val="24"/>
                <w:highlight w:val="none"/>
              </w:rPr>
            </w:pPr>
          </w:p>
        </w:tc>
      </w:tr>
    </w:tbl>
    <w:p w14:paraId="67375502">
      <w:pPr>
        <w:spacing w:line="360" w:lineRule="auto"/>
        <w:rPr>
          <w:rFonts w:hint="eastAsia" w:ascii="宋体" w:hAnsi="宋体" w:cs="宋体"/>
          <w:b/>
          <w:color w:val="auto"/>
          <w:sz w:val="28"/>
          <w:highlight w:val="none"/>
        </w:rPr>
      </w:pPr>
    </w:p>
    <w:p w14:paraId="2460A2B9">
      <w:pPr>
        <w:spacing w:line="360" w:lineRule="auto"/>
        <w:rPr>
          <w:rFonts w:hint="eastAsia" w:ascii="宋体" w:hAnsi="宋体" w:cs="宋体"/>
          <w:b/>
          <w:color w:val="auto"/>
          <w:sz w:val="28"/>
          <w:highlight w:val="none"/>
        </w:rPr>
      </w:pPr>
    </w:p>
    <w:p w14:paraId="7FB8F477">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B2D0520">
      <w:pPr>
        <w:spacing w:line="360" w:lineRule="auto"/>
        <w:ind w:firstLine="435"/>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法定代表人或磋商供应商代表（签章或签字）</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1AD6A1F5">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75D59F9A">
      <w:pPr>
        <w:spacing w:line="360" w:lineRule="auto"/>
        <w:ind w:firstLine="435"/>
        <w:rPr>
          <w:rFonts w:ascii="宋体" w:hAnsi="宋体" w:cs="宋体"/>
          <w:b/>
          <w:color w:val="auto"/>
          <w:sz w:val="28"/>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0F2C6691">
      <w:pPr>
        <w:spacing w:line="360" w:lineRule="auto"/>
        <w:rPr>
          <w:rFonts w:hint="eastAsia" w:ascii="宋体" w:hAnsi="宋体" w:cs="宋体"/>
          <w:b/>
          <w:color w:val="auto"/>
          <w:sz w:val="28"/>
          <w:highlight w:val="none"/>
        </w:rPr>
      </w:pPr>
    </w:p>
    <w:p w14:paraId="68EC2D39">
      <w:pPr>
        <w:spacing w:line="360" w:lineRule="auto"/>
        <w:rPr>
          <w:rFonts w:hint="eastAsia" w:ascii="宋体" w:hAnsi="宋体" w:cs="宋体"/>
          <w:b/>
          <w:color w:val="auto"/>
          <w:sz w:val="28"/>
          <w:highlight w:val="none"/>
        </w:rPr>
      </w:pPr>
    </w:p>
    <w:p w14:paraId="56B8C9BB">
      <w:pPr>
        <w:spacing w:line="360" w:lineRule="auto"/>
        <w:rPr>
          <w:rFonts w:hint="eastAsia" w:ascii="宋体" w:hAnsi="宋体" w:cs="宋体"/>
          <w:b/>
          <w:color w:val="auto"/>
          <w:sz w:val="28"/>
          <w:highlight w:val="none"/>
        </w:rPr>
      </w:pPr>
    </w:p>
    <w:p w14:paraId="61815C79">
      <w:pPr>
        <w:spacing w:line="360" w:lineRule="auto"/>
        <w:rPr>
          <w:rFonts w:hint="eastAsia" w:ascii="宋体" w:hAnsi="宋体" w:cs="宋体"/>
          <w:b/>
          <w:color w:val="auto"/>
          <w:sz w:val="28"/>
          <w:highlight w:val="none"/>
        </w:rPr>
      </w:pPr>
    </w:p>
    <w:p w14:paraId="77B359FE">
      <w:pPr>
        <w:spacing w:line="360" w:lineRule="auto"/>
        <w:rPr>
          <w:rFonts w:hint="eastAsia" w:ascii="宋体" w:hAnsi="宋体" w:cs="宋体"/>
          <w:b/>
          <w:color w:val="auto"/>
          <w:sz w:val="28"/>
          <w:highlight w:val="none"/>
        </w:rPr>
      </w:pPr>
    </w:p>
    <w:p w14:paraId="1E849B90">
      <w:pPr>
        <w:pStyle w:val="2"/>
        <w:rPr>
          <w:rFonts w:hint="eastAsia" w:ascii="宋体" w:hAnsi="宋体" w:cs="宋体"/>
          <w:b/>
          <w:color w:val="auto"/>
          <w:sz w:val="28"/>
          <w:highlight w:val="none"/>
        </w:rPr>
      </w:pPr>
    </w:p>
    <w:p w14:paraId="0CA690CF">
      <w:pPr>
        <w:pStyle w:val="2"/>
        <w:rPr>
          <w:rFonts w:hint="eastAsia" w:ascii="宋体" w:hAnsi="宋体" w:cs="宋体"/>
          <w:b/>
          <w:color w:val="auto"/>
          <w:sz w:val="28"/>
          <w:highlight w:val="none"/>
        </w:rPr>
      </w:pPr>
    </w:p>
    <w:p w14:paraId="2096BACF">
      <w:pPr>
        <w:spacing w:line="360" w:lineRule="auto"/>
        <w:rPr>
          <w:rFonts w:ascii="宋体" w:hAnsi="宋体" w:cs="宋体"/>
          <w:b/>
          <w:color w:val="auto"/>
          <w:sz w:val="28"/>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10</w:t>
      </w:r>
      <w:r>
        <w:rPr>
          <w:rFonts w:hint="eastAsia" w:ascii="宋体" w:hAnsi="宋体" w:cs="宋体"/>
          <w:b/>
          <w:color w:val="auto"/>
          <w:sz w:val="28"/>
          <w:highlight w:val="none"/>
        </w:rPr>
        <w:t>：</w:t>
      </w:r>
    </w:p>
    <w:p w14:paraId="411867D7">
      <w:pPr>
        <w:pStyle w:val="19"/>
        <w:adjustRightInd w:val="0"/>
        <w:snapToGrid w:val="0"/>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商务及技术偏离表</w:t>
      </w:r>
    </w:p>
    <w:p w14:paraId="0C4EAC58">
      <w:pPr>
        <w:pStyle w:val="19"/>
        <w:adjustRightInd w:val="0"/>
        <w:snapToGrid w:val="0"/>
        <w:spacing w:line="360" w:lineRule="auto"/>
        <w:jc w:val="left"/>
        <w:rPr>
          <w:rFonts w:ascii="宋体" w:hAnsi="宋体" w:eastAsia="宋体" w:cs="宋体"/>
          <w:b/>
          <w:color w:val="auto"/>
          <w:sz w:val="24"/>
          <w:highlight w:val="none"/>
        </w:rPr>
      </w:pPr>
      <w:r>
        <w:rPr>
          <w:rFonts w:hint="eastAsia" w:ascii="宋体" w:hAnsi="宋体" w:eastAsia="宋体" w:cs="宋体"/>
          <w:b/>
          <w:bCs/>
          <w:color w:val="auto"/>
          <w:sz w:val="24"/>
          <w:highlight w:val="none"/>
        </w:rPr>
        <w:t>项目名称及编号：</w:t>
      </w:r>
    </w:p>
    <w:tbl>
      <w:tblPr>
        <w:tblStyle w:val="35"/>
        <w:tblW w:w="81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256"/>
        <w:gridCol w:w="1694"/>
        <w:gridCol w:w="2296"/>
        <w:gridCol w:w="1162"/>
      </w:tblGrid>
      <w:tr w14:paraId="0D30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32F842C8">
            <w:pPr>
              <w:rPr>
                <w:rFonts w:ascii="宋体"/>
                <w:b/>
                <w:color w:val="auto"/>
                <w:sz w:val="24"/>
                <w:highlight w:val="none"/>
              </w:rPr>
            </w:pPr>
            <w:r>
              <w:rPr>
                <w:rFonts w:hint="eastAsia" w:ascii="宋体"/>
                <w:b/>
                <w:color w:val="auto"/>
                <w:sz w:val="24"/>
                <w:highlight w:val="none"/>
              </w:rPr>
              <w:t>序号</w:t>
            </w:r>
          </w:p>
        </w:tc>
        <w:tc>
          <w:tcPr>
            <w:tcW w:w="2256" w:type="dxa"/>
            <w:vAlign w:val="center"/>
          </w:tcPr>
          <w:p w14:paraId="2A4D7C97">
            <w:pPr>
              <w:ind w:left="53" w:leftChars="25" w:firstLine="482" w:firstLineChars="200"/>
              <w:rPr>
                <w:rFonts w:ascii="宋体"/>
                <w:b/>
                <w:color w:val="auto"/>
                <w:sz w:val="24"/>
                <w:highlight w:val="none"/>
              </w:rPr>
            </w:pPr>
            <w:r>
              <w:rPr>
                <w:rFonts w:hint="eastAsia" w:ascii="宋体"/>
                <w:b/>
                <w:color w:val="auto"/>
                <w:sz w:val="24"/>
                <w:highlight w:val="none"/>
              </w:rPr>
              <w:t>招标需求</w:t>
            </w:r>
          </w:p>
        </w:tc>
        <w:tc>
          <w:tcPr>
            <w:tcW w:w="1694" w:type="dxa"/>
            <w:vAlign w:val="center"/>
          </w:tcPr>
          <w:p w14:paraId="62D94DFF">
            <w:pPr>
              <w:ind w:left="152"/>
              <w:rPr>
                <w:rFonts w:ascii="宋体"/>
                <w:b/>
                <w:color w:val="auto"/>
                <w:sz w:val="24"/>
                <w:highlight w:val="none"/>
              </w:rPr>
            </w:pPr>
            <w:r>
              <w:rPr>
                <w:rFonts w:hint="eastAsia" w:ascii="宋体"/>
                <w:b/>
                <w:color w:val="auto"/>
                <w:sz w:val="24"/>
                <w:highlight w:val="none"/>
              </w:rPr>
              <w:t>投标人的承诺或说明</w:t>
            </w:r>
          </w:p>
        </w:tc>
        <w:tc>
          <w:tcPr>
            <w:tcW w:w="2296" w:type="dxa"/>
            <w:vAlign w:val="center"/>
          </w:tcPr>
          <w:p w14:paraId="67D8309B">
            <w:pPr>
              <w:jc w:val="center"/>
              <w:rPr>
                <w:rFonts w:ascii="宋体"/>
                <w:b/>
                <w:color w:val="auto"/>
                <w:sz w:val="24"/>
                <w:highlight w:val="none"/>
              </w:rPr>
            </w:pPr>
            <w:r>
              <w:rPr>
                <w:rFonts w:hint="eastAsia" w:ascii="新宋体" w:hAnsi="新宋体" w:eastAsia="新宋体"/>
                <w:b/>
                <w:color w:val="000000"/>
                <w:sz w:val="22"/>
                <w:szCs w:val="22"/>
                <w:highlight w:val="none"/>
              </w:rPr>
              <w:t>偏离情况说明</w:t>
            </w:r>
          </w:p>
        </w:tc>
        <w:tc>
          <w:tcPr>
            <w:tcW w:w="1162" w:type="dxa"/>
            <w:vAlign w:val="center"/>
          </w:tcPr>
          <w:p w14:paraId="0BD43EE6">
            <w:pPr>
              <w:jc w:val="center"/>
              <w:rPr>
                <w:rFonts w:hint="eastAsia" w:ascii="宋体" w:eastAsia="宋体"/>
                <w:b/>
                <w:color w:val="auto"/>
                <w:sz w:val="24"/>
                <w:highlight w:val="none"/>
                <w:lang w:eastAsia="zh-CN"/>
              </w:rPr>
            </w:pPr>
            <w:r>
              <w:rPr>
                <w:rFonts w:hint="eastAsia" w:ascii="宋体"/>
                <w:b/>
                <w:color w:val="auto"/>
                <w:sz w:val="24"/>
                <w:highlight w:val="none"/>
                <w:lang w:eastAsia="zh-CN"/>
              </w:rPr>
              <w:t>备注</w:t>
            </w:r>
          </w:p>
        </w:tc>
      </w:tr>
      <w:tr w14:paraId="7C21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143" w:type="dxa"/>
            <w:gridSpan w:val="5"/>
            <w:vAlign w:val="center"/>
          </w:tcPr>
          <w:p w14:paraId="6AF9A569">
            <w:pPr>
              <w:rPr>
                <w:rFonts w:hint="default" w:ascii="宋体" w:eastAsia="宋体"/>
                <w:color w:val="auto"/>
                <w:sz w:val="24"/>
                <w:highlight w:val="none"/>
                <w:lang w:val="en-US" w:eastAsia="zh-CN"/>
              </w:rPr>
            </w:pPr>
            <w:r>
              <w:rPr>
                <w:rFonts w:hint="eastAsia" w:ascii="宋体"/>
                <w:color w:val="auto"/>
                <w:sz w:val="24"/>
                <w:highlight w:val="none"/>
                <w:lang w:val="en-US" w:eastAsia="zh-CN"/>
              </w:rPr>
              <w:t>技术条款</w:t>
            </w:r>
          </w:p>
        </w:tc>
      </w:tr>
      <w:tr w14:paraId="37B1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101F73D8">
            <w:pPr>
              <w:jc w:val="center"/>
              <w:rPr>
                <w:rFonts w:ascii="宋体"/>
                <w:color w:val="auto"/>
                <w:sz w:val="24"/>
                <w:highlight w:val="none"/>
              </w:rPr>
            </w:pPr>
          </w:p>
        </w:tc>
        <w:tc>
          <w:tcPr>
            <w:tcW w:w="2256" w:type="dxa"/>
            <w:vAlign w:val="center"/>
          </w:tcPr>
          <w:p w14:paraId="21C28659">
            <w:pPr>
              <w:rPr>
                <w:rFonts w:ascii="宋体"/>
                <w:color w:val="auto"/>
                <w:sz w:val="24"/>
                <w:highlight w:val="none"/>
              </w:rPr>
            </w:pPr>
          </w:p>
        </w:tc>
        <w:tc>
          <w:tcPr>
            <w:tcW w:w="1694" w:type="dxa"/>
            <w:vAlign w:val="center"/>
          </w:tcPr>
          <w:p w14:paraId="79FB22D2">
            <w:pPr>
              <w:rPr>
                <w:rFonts w:ascii="宋体"/>
                <w:color w:val="auto"/>
                <w:sz w:val="24"/>
                <w:highlight w:val="none"/>
              </w:rPr>
            </w:pPr>
          </w:p>
        </w:tc>
        <w:tc>
          <w:tcPr>
            <w:tcW w:w="2296" w:type="dxa"/>
            <w:vAlign w:val="center"/>
          </w:tcPr>
          <w:p w14:paraId="139273A3">
            <w:pPr>
              <w:rPr>
                <w:rFonts w:ascii="宋体"/>
                <w:color w:val="auto"/>
                <w:sz w:val="24"/>
                <w:highlight w:val="none"/>
              </w:rPr>
            </w:pPr>
          </w:p>
        </w:tc>
        <w:tc>
          <w:tcPr>
            <w:tcW w:w="1162" w:type="dxa"/>
            <w:vAlign w:val="center"/>
          </w:tcPr>
          <w:p w14:paraId="219E46FC">
            <w:pPr>
              <w:rPr>
                <w:rFonts w:ascii="宋体"/>
                <w:color w:val="auto"/>
                <w:sz w:val="24"/>
                <w:highlight w:val="none"/>
              </w:rPr>
            </w:pPr>
          </w:p>
        </w:tc>
      </w:tr>
      <w:tr w14:paraId="523E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3B27244">
            <w:pPr>
              <w:jc w:val="center"/>
              <w:rPr>
                <w:rFonts w:ascii="宋体"/>
                <w:color w:val="auto"/>
                <w:sz w:val="24"/>
                <w:highlight w:val="none"/>
              </w:rPr>
            </w:pPr>
          </w:p>
          <w:p w14:paraId="2C4E4ED4">
            <w:pPr>
              <w:pStyle w:val="11"/>
              <w:rPr>
                <w:highlight w:val="none"/>
              </w:rPr>
            </w:pPr>
          </w:p>
        </w:tc>
        <w:tc>
          <w:tcPr>
            <w:tcW w:w="2256" w:type="dxa"/>
            <w:vAlign w:val="center"/>
          </w:tcPr>
          <w:p w14:paraId="343421EE">
            <w:pPr>
              <w:rPr>
                <w:rFonts w:ascii="宋体"/>
                <w:color w:val="auto"/>
                <w:sz w:val="24"/>
                <w:highlight w:val="none"/>
              </w:rPr>
            </w:pPr>
          </w:p>
        </w:tc>
        <w:tc>
          <w:tcPr>
            <w:tcW w:w="1694" w:type="dxa"/>
            <w:vAlign w:val="center"/>
          </w:tcPr>
          <w:p w14:paraId="47C3F52D">
            <w:pPr>
              <w:rPr>
                <w:rFonts w:ascii="宋体"/>
                <w:color w:val="auto"/>
                <w:sz w:val="24"/>
                <w:highlight w:val="none"/>
              </w:rPr>
            </w:pPr>
          </w:p>
        </w:tc>
        <w:tc>
          <w:tcPr>
            <w:tcW w:w="2296" w:type="dxa"/>
            <w:vAlign w:val="center"/>
          </w:tcPr>
          <w:p w14:paraId="01CE7044">
            <w:pPr>
              <w:rPr>
                <w:rFonts w:ascii="宋体"/>
                <w:color w:val="auto"/>
                <w:sz w:val="24"/>
                <w:highlight w:val="none"/>
              </w:rPr>
            </w:pPr>
          </w:p>
        </w:tc>
        <w:tc>
          <w:tcPr>
            <w:tcW w:w="1162" w:type="dxa"/>
            <w:vAlign w:val="center"/>
          </w:tcPr>
          <w:p w14:paraId="22C0D593">
            <w:pPr>
              <w:rPr>
                <w:rFonts w:ascii="宋体"/>
                <w:color w:val="auto"/>
                <w:sz w:val="24"/>
                <w:highlight w:val="none"/>
              </w:rPr>
            </w:pPr>
          </w:p>
        </w:tc>
      </w:tr>
      <w:tr w14:paraId="4A0A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vAlign w:val="center"/>
          </w:tcPr>
          <w:p w14:paraId="79B42C9D">
            <w:pPr>
              <w:jc w:val="center"/>
              <w:rPr>
                <w:rFonts w:ascii="宋体"/>
                <w:color w:val="auto"/>
                <w:sz w:val="24"/>
                <w:highlight w:val="none"/>
              </w:rPr>
            </w:pPr>
          </w:p>
        </w:tc>
        <w:tc>
          <w:tcPr>
            <w:tcW w:w="2256" w:type="dxa"/>
            <w:vAlign w:val="center"/>
          </w:tcPr>
          <w:p w14:paraId="3A3B2599">
            <w:pPr>
              <w:rPr>
                <w:rFonts w:ascii="宋体"/>
                <w:color w:val="auto"/>
                <w:sz w:val="24"/>
                <w:highlight w:val="none"/>
              </w:rPr>
            </w:pPr>
          </w:p>
        </w:tc>
        <w:tc>
          <w:tcPr>
            <w:tcW w:w="1694" w:type="dxa"/>
            <w:vAlign w:val="center"/>
          </w:tcPr>
          <w:p w14:paraId="37C57EB8">
            <w:pPr>
              <w:rPr>
                <w:rFonts w:ascii="宋体"/>
                <w:color w:val="auto"/>
                <w:sz w:val="24"/>
                <w:highlight w:val="none"/>
              </w:rPr>
            </w:pPr>
          </w:p>
        </w:tc>
        <w:tc>
          <w:tcPr>
            <w:tcW w:w="2296" w:type="dxa"/>
            <w:vAlign w:val="center"/>
          </w:tcPr>
          <w:p w14:paraId="2BD18C14">
            <w:pPr>
              <w:rPr>
                <w:rFonts w:ascii="宋体"/>
                <w:color w:val="auto"/>
                <w:sz w:val="24"/>
                <w:highlight w:val="none"/>
              </w:rPr>
            </w:pPr>
          </w:p>
        </w:tc>
        <w:tc>
          <w:tcPr>
            <w:tcW w:w="1162" w:type="dxa"/>
            <w:vAlign w:val="center"/>
          </w:tcPr>
          <w:p w14:paraId="3C0CFCC9">
            <w:pPr>
              <w:rPr>
                <w:rFonts w:ascii="宋体"/>
                <w:color w:val="auto"/>
                <w:sz w:val="24"/>
                <w:highlight w:val="none"/>
              </w:rPr>
            </w:pPr>
          </w:p>
        </w:tc>
      </w:tr>
      <w:tr w14:paraId="4607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A8926B4">
            <w:pPr>
              <w:jc w:val="center"/>
              <w:rPr>
                <w:rFonts w:ascii="宋体"/>
                <w:color w:val="auto"/>
                <w:sz w:val="24"/>
                <w:highlight w:val="none"/>
              </w:rPr>
            </w:pPr>
          </w:p>
        </w:tc>
        <w:tc>
          <w:tcPr>
            <w:tcW w:w="2256" w:type="dxa"/>
            <w:vAlign w:val="center"/>
          </w:tcPr>
          <w:p w14:paraId="121BA95C">
            <w:pPr>
              <w:rPr>
                <w:rFonts w:ascii="宋体"/>
                <w:color w:val="auto"/>
                <w:sz w:val="24"/>
                <w:highlight w:val="none"/>
              </w:rPr>
            </w:pPr>
          </w:p>
        </w:tc>
        <w:tc>
          <w:tcPr>
            <w:tcW w:w="1694" w:type="dxa"/>
            <w:vAlign w:val="center"/>
          </w:tcPr>
          <w:p w14:paraId="5D58CBE2">
            <w:pPr>
              <w:rPr>
                <w:rFonts w:ascii="宋体"/>
                <w:color w:val="auto"/>
                <w:sz w:val="24"/>
                <w:highlight w:val="none"/>
              </w:rPr>
            </w:pPr>
          </w:p>
        </w:tc>
        <w:tc>
          <w:tcPr>
            <w:tcW w:w="2296" w:type="dxa"/>
            <w:vAlign w:val="center"/>
          </w:tcPr>
          <w:p w14:paraId="39ACED9D">
            <w:pPr>
              <w:rPr>
                <w:rFonts w:ascii="宋体"/>
                <w:color w:val="auto"/>
                <w:sz w:val="24"/>
                <w:highlight w:val="none"/>
              </w:rPr>
            </w:pPr>
          </w:p>
        </w:tc>
        <w:tc>
          <w:tcPr>
            <w:tcW w:w="1162" w:type="dxa"/>
            <w:vAlign w:val="center"/>
          </w:tcPr>
          <w:p w14:paraId="31AB463C">
            <w:pPr>
              <w:rPr>
                <w:rFonts w:ascii="宋体"/>
                <w:color w:val="auto"/>
                <w:sz w:val="24"/>
                <w:highlight w:val="none"/>
              </w:rPr>
            </w:pPr>
          </w:p>
        </w:tc>
      </w:tr>
      <w:tr w14:paraId="1D19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E283378">
            <w:pPr>
              <w:rPr>
                <w:rFonts w:ascii="宋体"/>
                <w:color w:val="auto"/>
                <w:sz w:val="24"/>
                <w:highlight w:val="none"/>
              </w:rPr>
            </w:pPr>
          </w:p>
        </w:tc>
        <w:tc>
          <w:tcPr>
            <w:tcW w:w="2256" w:type="dxa"/>
            <w:vAlign w:val="center"/>
          </w:tcPr>
          <w:p w14:paraId="2855990F">
            <w:pPr>
              <w:rPr>
                <w:rFonts w:ascii="宋体"/>
                <w:color w:val="auto"/>
                <w:sz w:val="24"/>
                <w:highlight w:val="none"/>
              </w:rPr>
            </w:pPr>
          </w:p>
        </w:tc>
        <w:tc>
          <w:tcPr>
            <w:tcW w:w="1694" w:type="dxa"/>
            <w:vAlign w:val="center"/>
          </w:tcPr>
          <w:p w14:paraId="6F9D99B2">
            <w:pPr>
              <w:rPr>
                <w:rFonts w:ascii="宋体"/>
                <w:color w:val="auto"/>
                <w:sz w:val="24"/>
                <w:highlight w:val="none"/>
              </w:rPr>
            </w:pPr>
          </w:p>
        </w:tc>
        <w:tc>
          <w:tcPr>
            <w:tcW w:w="2296" w:type="dxa"/>
            <w:vAlign w:val="center"/>
          </w:tcPr>
          <w:p w14:paraId="2CD1736C">
            <w:pPr>
              <w:rPr>
                <w:rFonts w:ascii="宋体"/>
                <w:color w:val="auto"/>
                <w:sz w:val="24"/>
                <w:highlight w:val="none"/>
              </w:rPr>
            </w:pPr>
          </w:p>
        </w:tc>
        <w:tc>
          <w:tcPr>
            <w:tcW w:w="1162" w:type="dxa"/>
            <w:vAlign w:val="center"/>
          </w:tcPr>
          <w:p w14:paraId="624E5365">
            <w:pPr>
              <w:rPr>
                <w:rFonts w:ascii="宋体"/>
                <w:color w:val="auto"/>
                <w:sz w:val="24"/>
                <w:highlight w:val="none"/>
              </w:rPr>
            </w:pPr>
          </w:p>
        </w:tc>
      </w:tr>
      <w:tr w14:paraId="2217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8143" w:type="dxa"/>
            <w:gridSpan w:val="5"/>
            <w:vAlign w:val="center"/>
          </w:tcPr>
          <w:p w14:paraId="25FFCCD4">
            <w:pPr>
              <w:rPr>
                <w:rFonts w:hint="default" w:ascii="宋体" w:eastAsia="宋体"/>
                <w:color w:val="auto"/>
                <w:sz w:val="24"/>
                <w:highlight w:val="none"/>
                <w:lang w:val="en-US" w:eastAsia="zh-CN"/>
              </w:rPr>
            </w:pPr>
            <w:r>
              <w:rPr>
                <w:rFonts w:hint="eastAsia" w:ascii="宋体"/>
                <w:color w:val="auto"/>
                <w:sz w:val="24"/>
                <w:highlight w:val="none"/>
                <w:lang w:val="en-US" w:eastAsia="zh-CN"/>
              </w:rPr>
              <w:t>商务条款</w:t>
            </w:r>
          </w:p>
        </w:tc>
      </w:tr>
      <w:tr w14:paraId="5391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B12A145">
            <w:pPr>
              <w:rPr>
                <w:rFonts w:ascii="宋体"/>
                <w:color w:val="auto"/>
                <w:sz w:val="24"/>
                <w:highlight w:val="none"/>
              </w:rPr>
            </w:pPr>
          </w:p>
        </w:tc>
        <w:tc>
          <w:tcPr>
            <w:tcW w:w="2256" w:type="dxa"/>
            <w:vAlign w:val="center"/>
          </w:tcPr>
          <w:p w14:paraId="4B912B36">
            <w:pPr>
              <w:rPr>
                <w:rFonts w:ascii="宋体"/>
                <w:color w:val="auto"/>
                <w:sz w:val="24"/>
                <w:highlight w:val="none"/>
              </w:rPr>
            </w:pPr>
          </w:p>
        </w:tc>
        <w:tc>
          <w:tcPr>
            <w:tcW w:w="1694" w:type="dxa"/>
            <w:vAlign w:val="center"/>
          </w:tcPr>
          <w:p w14:paraId="6E204CA1">
            <w:pPr>
              <w:rPr>
                <w:rFonts w:ascii="宋体"/>
                <w:color w:val="auto"/>
                <w:sz w:val="24"/>
                <w:highlight w:val="none"/>
              </w:rPr>
            </w:pPr>
          </w:p>
        </w:tc>
        <w:tc>
          <w:tcPr>
            <w:tcW w:w="2296" w:type="dxa"/>
            <w:vAlign w:val="center"/>
          </w:tcPr>
          <w:p w14:paraId="22EBE17A">
            <w:pPr>
              <w:rPr>
                <w:rFonts w:ascii="宋体"/>
                <w:color w:val="auto"/>
                <w:sz w:val="24"/>
                <w:highlight w:val="none"/>
              </w:rPr>
            </w:pPr>
          </w:p>
        </w:tc>
        <w:tc>
          <w:tcPr>
            <w:tcW w:w="1162" w:type="dxa"/>
            <w:vAlign w:val="center"/>
          </w:tcPr>
          <w:p w14:paraId="34A6C0B5">
            <w:pPr>
              <w:rPr>
                <w:rFonts w:ascii="宋体"/>
                <w:color w:val="auto"/>
                <w:sz w:val="24"/>
                <w:highlight w:val="none"/>
              </w:rPr>
            </w:pPr>
          </w:p>
        </w:tc>
      </w:tr>
      <w:tr w14:paraId="0EF7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19468FF">
            <w:pPr>
              <w:rPr>
                <w:rFonts w:ascii="宋体"/>
                <w:color w:val="auto"/>
                <w:sz w:val="24"/>
                <w:highlight w:val="none"/>
              </w:rPr>
            </w:pPr>
          </w:p>
        </w:tc>
        <w:tc>
          <w:tcPr>
            <w:tcW w:w="2256" w:type="dxa"/>
            <w:vAlign w:val="center"/>
          </w:tcPr>
          <w:p w14:paraId="3A8558FB">
            <w:pPr>
              <w:rPr>
                <w:rFonts w:ascii="宋体"/>
                <w:color w:val="auto"/>
                <w:sz w:val="24"/>
                <w:highlight w:val="none"/>
              </w:rPr>
            </w:pPr>
          </w:p>
        </w:tc>
        <w:tc>
          <w:tcPr>
            <w:tcW w:w="1694" w:type="dxa"/>
            <w:vAlign w:val="center"/>
          </w:tcPr>
          <w:p w14:paraId="7D5CF2FA">
            <w:pPr>
              <w:rPr>
                <w:rFonts w:ascii="宋体"/>
                <w:color w:val="auto"/>
                <w:sz w:val="24"/>
                <w:highlight w:val="none"/>
              </w:rPr>
            </w:pPr>
          </w:p>
        </w:tc>
        <w:tc>
          <w:tcPr>
            <w:tcW w:w="2296" w:type="dxa"/>
            <w:vAlign w:val="center"/>
          </w:tcPr>
          <w:p w14:paraId="3D95C4C0">
            <w:pPr>
              <w:rPr>
                <w:rFonts w:ascii="宋体"/>
                <w:color w:val="auto"/>
                <w:sz w:val="24"/>
                <w:highlight w:val="none"/>
              </w:rPr>
            </w:pPr>
          </w:p>
        </w:tc>
        <w:tc>
          <w:tcPr>
            <w:tcW w:w="1162" w:type="dxa"/>
            <w:vAlign w:val="center"/>
          </w:tcPr>
          <w:p w14:paraId="78057210">
            <w:pPr>
              <w:rPr>
                <w:rFonts w:ascii="宋体"/>
                <w:color w:val="auto"/>
                <w:sz w:val="24"/>
                <w:highlight w:val="none"/>
              </w:rPr>
            </w:pPr>
          </w:p>
        </w:tc>
      </w:tr>
      <w:tr w14:paraId="00A3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00FFCCA">
            <w:pPr>
              <w:rPr>
                <w:rFonts w:ascii="宋体"/>
                <w:color w:val="auto"/>
                <w:sz w:val="24"/>
                <w:highlight w:val="none"/>
              </w:rPr>
            </w:pPr>
          </w:p>
        </w:tc>
        <w:tc>
          <w:tcPr>
            <w:tcW w:w="2256" w:type="dxa"/>
            <w:vAlign w:val="center"/>
          </w:tcPr>
          <w:p w14:paraId="1BCCE1FA">
            <w:pPr>
              <w:rPr>
                <w:rFonts w:ascii="宋体"/>
                <w:color w:val="auto"/>
                <w:sz w:val="24"/>
                <w:highlight w:val="none"/>
              </w:rPr>
            </w:pPr>
          </w:p>
        </w:tc>
        <w:tc>
          <w:tcPr>
            <w:tcW w:w="1694" w:type="dxa"/>
            <w:vAlign w:val="center"/>
          </w:tcPr>
          <w:p w14:paraId="2345C3F4">
            <w:pPr>
              <w:rPr>
                <w:rFonts w:ascii="宋体"/>
                <w:color w:val="auto"/>
                <w:sz w:val="24"/>
                <w:highlight w:val="none"/>
              </w:rPr>
            </w:pPr>
          </w:p>
        </w:tc>
        <w:tc>
          <w:tcPr>
            <w:tcW w:w="2296" w:type="dxa"/>
            <w:vAlign w:val="center"/>
          </w:tcPr>
          <w:p w14:paraId="66C1DB9C">
            <w:pPr>
              <w:rPr>
                <w:rFonts w:ascii="宋体"/>
                <w:color w:val="auto"/>
                <w:sz w:val="24"/>
                <w:highlight w:val="none"/>
              </w:rPr>
            </w:pPr>
          </w:p>
        </w:tc>
        <w:tc>
          <w:tcPr>
            <w:tcW w:w="1162" w:type="dxa"/>
            <w:vAlign w:val="center"/>
          </w:tcPr>
          <w:p w14:paraId="42AFB584">
            <w:pPr>
              <w:rPr>
                <w:rFonts w:ascii="宋体"/>
                <w:color w:val="auto"/>
                <w:sz w:val="24"/>
                <w:highlight w:val="none"/>
              </w:rPr>
            </w:pPr>
          </w:p>
        </w:tc>
      </w:tr>
      <w:tr w14:paraId="3AF9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D3ADD86">
            <w:pPr>
              <w:rPr>
                <w:rFonts w:ascii="宋体"/>
                <w:color w:val="auto"/>
                <w:sz w:val="24"/>
                <w:highlight w:val="none"/>
              </w:rPr>
            </w:pPr>
          </w:p>
        </w:tc>
        <w:tc>
          <w:tcPr>
            <w:tcW w:w="2256" w:type="dxa"/>
            <w:vAlign w:val="center"/>
          </w:tcPr>
          <w:p w14:paraId="72BAC379">
            <w:pPr>
              <w:rPr>
                <w:rFonts w:ascii="宋体"/>
                <w:color w:val="auto"/>
                <w:sz w:val="24"/>
                <w:highlight w:val="none"/>
              </w:rPr>
            </w:pPr>
          </w:p>
        </w:tc>
        <w:tc>
          <w:tcPr>
            <w:tcW w:w="1694" w:type="dxa"/>
            <w:vAlign w:val="center"/>
          </w:tcPr>
          <w:p w14:paraId="42767A8E">
            <w:pPr>
              <w:rPr>
                <w:rFonts w:ascii="宋体"/>
                <w:color w:val="auto"/>
                <w:sz w:val="24"/>
                <w:highlight w:val="none"/>
              </w:rPr>
            </w:pPr>
          </w:p>
        </w:tc>
        <w:tc>
          <w:tcPr>
            <w:tcW w:w="2296" w:type="dxa"/>
            <w:vAlign w:val="center"/>
          </w:tcPr>
          <w:p w14:paraId="51345D42">
            <w:pPr>
              <w:rPr>
                <w:rFonts w:ascii="宋体"/>
                <w:color w:val="auto"/>
                <w:sz w:val="24"/>
                <w:highlight w:val="none"/>
              </w:rPr>
            </w:pPr>
          </w:p>
        </w:tc>
        <w:tc>
          <w:tcPr>
            <w:tcW w:w="1162" w:type="dxa"/>
            <w:vAlign w:val="center"/>
          </w:tcPr>
          <w:p w14:paraId="636EFCF2">
            <w:pPr>
              <w:rPr>
                <w:rFonts w:ascii="宋体"/>
                <w:color w:val="auto"/>
                <w:sz w:val="24"/>
                <w:highlight w:val="none"/>
              </w:rPr>
            </w:pPr>
          </w:p>
        </w:tc>
      </w:tr>
      <w:tr w14:paraId="225D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7C12CC6F">
            <w:pPr>
              <w:rPr>
                <w:rFonts w:ascii="宋体"/>
                <w:color w:val="auto"/>
                <w:sz w:val="24"/>
                <w:highlight w:val="none"/>
              </w:rPr>
            </w:pPr>
          </w:p>
        </w:tc>
        <w:tc>
          <w:tcPr>
            <w:tcW w:w="2256" w:type="dxa"/>
            <w:vAlign w:val="center"/>
          </w:tcPr>
          <w:p w14:paraId="7C9906A5">
            <w:pPr>
              <w:rPr>
                <w:rFonts w:ascii="宋体"/>
                <w:color w:val="auto"/>
                <w:sz w:val="24"/>
                <w:highlight w:val="none"/>
              </w:rPr>
            </w:pPr>
          </w:p>
        </w:tc>
        <w:tc>
          <w:tcPr>
            <w:tcW w:w="1694" w:type="dxa"/>
            <w:vAlign w:val="center"/>
          </w:tcPr>
          <w:p w14:paraId="5344541E">
            <w:pPr>
              <w:rPr>
                <w:rFonts w:ascii="宋体"/>
                <w:color w:val="auto"/>
                <w:sz w:val="24"/>
                <w:highlight w:val="none"/>
              </w:rPr>
            </w:pPr>
          </w:p>
        </w:tc>
        <w:tc>
          <w:tcPr>
            <w:tcW w:w="2296" w:type="dxa"/>
            <w:vAlign w:val="center"/>
          </w:tcPr>
          <w:p w14:paraId="54668DD9">
            <w:pPr>
              <w:rPr>
                <w:rFonts w:ascii="宋体"/>
                <w:color w:val="auto"/>
                <w:sz w:val="24"/>
                <w:highlight w:val="none"/>
              </w:rPr>
            </w:pPr>
          </w:p>
        </w:tc>
        <w:tc>
          <w:tcPr>
            <w:tcW w:w="1162" w:type="dxa"/>
            <w:vAlign w:val="center"/>
          </w:tcPr>
          <w:p w14:paraId="75BBE6CC">
            <w:pPr>
              <w:rPr>
                <w:rFonts w:ascii="宋体"/>
                <w:color w:val="auto"/>
                <w:sz w:val="24"/>
                <w:highlight w:val="none"/>
              </w:rPr>
            </w:pPr>
          </w:p>
        </w:tc>
      </w:tr>
    </w:tbl>
    <w:p w14:paraId="025189A9">
      <w:pPr>
        <w:pStyle w:val="19"/>
        <w:adjustRightInd w:val="0"/>
        <w:snapToGrid w:val="0"/>
        <w:spacing w:line="360" w:lineRule="auto"/>
        <w:rPr>
          <w:rFonts w:hint="eastAsia" w:ascii="新宋体" w:hAnsi="新宋体" w:eastAsia="新宋体"/>
          <w:color w:val="000000"/>
          <w:sz w:val="22"/>
          <w:szCs w:val="22"/>
          <w:highlight w:val="none"/>
        </w:rPr>
      </w:pPr>
      <w:r>
        <w:rPr>
          <w:rFonts w:hint="eastAsia" w:ascii="宋体" w:hAnsi="宋体" w:eastAsia="宋体" w:cs="宋体"/>
          <w:color w:val="auto"/>
          <w:sz w:val="24"/>
          <w:highlight w:val="none"/>
        </w:rPr>
        <w:t>备注：1、</w:t>
      </w:r>
      <w:r>
        <w:rPr>
          <w:rFonts w:hint="eastAsia" w:ascii="新宋体" w:hAnsi="新宋体" w:eastAsia="新宋体"/>
          <w:color w:val="000000"/>
          <w:sz w:val="22"/>
          <w:szCs w:val="22"/>
          <w:highlight w:val="none"/>
        </w:rPr>
        <w:t>供应商需在商务及技术偏离</w:t>
      </w:r>
      <w:r>
        <w:rPr>
          <w:rFonts w:hint="eastAsia" w:ascii="新宋体" w:hAnsi="新宋体" w:eastAsia="新宋体"/>
          <w:color w:val="000000"/>
          <w:sz w:val="22"/>
          <w:szCs w:val="22"/>
          <w:highlight w:val="none"/>
          <w:lang w:val="en-US" w:eastAsia="zh-CN"/>
        </w:rPr>
        <w:t>表</w:t>
      </w:r>
      <w:r>
        <w:rPr>
          <w:rFonts w:hint="eastAsia" w:ascii="新宋体" w:hAnsi="新宋体" w:eastAsia="新宋体"/>
          <w:color w:val="000000"/>
          <w:sz w:val="22"/>
          <w:szCs w:val="22"/>
          <w:highlight w:val="none"/>
        </w:rPr>
        <w:t>中对招标文件中产品技术条款</w:t>
      </w:r>
      <w:r>
        <w:rPr>
          <w:rFonts w:hint="eastAsia" w:ascii="新宋体" w:hAnsi="新宋体" w:eastAsia="新宋体"/>
          <w:color w:val="000000"/>
          <w:sz w:val="22"/>
          <w:szCs w:val="22"/>
          <w:highlight w:val="none"/>
          <w:lang w:val="en-US" w:eastAsia="zh-CN"/>
        </w:rPr>
        <w:t>和商务条款</w:t>
      </w:r>
      <w:r>
        <w:rPr>
          <w:rFonts w:hint="eastAsia" w:ascii="新宋体" w:hAnsi="新宋体" w:eastAsia="新宋体"/>
          <w:color w:val="000000"/>
          <w:sz w:val="22"/>
          <w:szCs w:val="22"/>
          <w:highlight w:val="none"/>
        </w:rPr>
        <w:t>要求进行逐项对比响应说明，并在“偏离情况说明”一栏中注明正偏离或负偏离或无偏离。如不按要求填写并提供本表，将作出对其不利的评定。</w:t>
      </w:r>
    </w:p>
    <w:p w14:paraId="277A970D">
      <w:pPr>
        <w:pStyle w:val="19"/>
        <w:adjustRightInd w:val="0"/>
        <w:snapToGrid w:val="0"/>
        <w:spacing w:line="360" w:lineRule="auto"/>
        <w:rPr>
          <w:rFonts w:hint="eastAsia" w:ascii="新宋体" w:hAnsi="新宋体" w:eastAsia="新宋体" w:cs="Times New Roman"/>
          <w:color w:val="000000"/>
          <w:sz w:val="22"/>
          <w:szCs w:val="22"/>
          <w:highlight w:val="none"/>
          <w:lang w:val="en-US" w:eastAsia="zh-CN"/>
        </w:rPr>
      </w:pPr>
      <w:r>
        <w:rPr>
          <w:rFonts w:hint="eastAsia" w:ascii="新宋体" w:hAnsi="新宋体" w:eastAsia="新宋体" w:cs="Times New Roman"/>
          <w:color w:val="000000"/>
          <w:sz w:val="22"/>
          <w:szCs w:val="22"/>
          <w:highlight w:val="none"/>
          <w:lang w:val="en-US" w:eastAsia="zh-CN"/>
        </w:rPr>
        <w:t>2、</w:t>
      </w:r>
      <w:r>
        <w:rPr>
          <w:rFonts w:hint="eastAsia" w:ascii="新宋体" w:hAnsi="新宋体" w:eastAsia="新宋体" w:cs="Times New Roman"/>
          <w:color w:val="000000"/>
          <w:sz w:val="22"/>
          <w:szCs w:val="22"/>
          <w:highlight w:val="none"/>
        </w:rPr>
        <w:t>如本表格不适合供应商的实际情况，可根据本表格式自行划表填写。</w:t>
      </w:r>
    </w:p>
    <w:p w14:paraId="27E5B196">
      <w:pPr>
        <w:snapToGrid w:val="0"/>
        <w:spacing w:before="50" w:afterLines="50" w:line="360" w:lineRule="auto"/>
        <w:jc w:val="left"/>
        <w:rPr>
          <w:rFonts w:ascii="宋体" w:hAnsi="宋体" w:cs="宋体"/>
          <w:color w:val="auto"/>
          <w:sz w:val="24"/>
          <w:szCs w:val="20"/>
          <w:highlight w:val="none"/>
        </w:rPr>
      </w:pPr>
    </w:p>
    <w:p w14:paraId="7F6E7FE8">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7A1EA92">
      <w:pPr>
        <w:spacing w:line="360" w:lineRule="auto"/>
        <w:ind w:firstLine="435"/>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法定代表人或磋商供应商代表（签章或签字）</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AB5F66C">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05A12D5D">
      <w:pPr>
        <w:spacing w:line="360" w:lineRule="auto"/>
        <w:ind w:firstLine="435"/>
        <w:rPr>
          <w:rFonts w:ascii="宋体" w:hAnsi="宋体" w:cs="宋体"/>
          <w:b/>
          <w:color w:val="auto"/>
          <w:sz w:val="28"/>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77F25DFE">
      <w:pPr>
        <w:pStyle w:val="34"/>
        <w:ind w:firstLine="210"/>
        <w:rPr>
          <w:rFonts w:ascii="宋体" w:hAnsi="宋体" w:cs="宋体"/>
          <w:color w:val="auto"/>
          <w:highlight w:val="none"/>
        </w:rPr>
      </w:pPr>
    </w:p>
    <w:p w14:paraId="72C66512">
      <w:pPr>
        <w:spacing w:line="360" w:lineRule="auto"/>
        <w:rPr>
          <w:rFonts w:ascii="宋体" w:hAnsi="宋体" w:cs="宋体"/>
          <w:b/>
          <w:color w:val="auto"/>
          <w:sz w:val="28"/>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11</w:t>
      </w:r>
      <w:r>
        <w:rPr>
          <w:rFonts w:hint="eastAsia" w:ascii="宋体" w:hAnsi="宋体" w:cs="宋体"/>
          <w:b/>
          <w:color w:val="auto"/>
          <w:sz w:val="28"/>
          <w:highlight w:val="none"/>
        </w:rPr>
        <w:t>：</w:t>
      </w:r>
    </w:p>
    <w:p w14:paraId="02E4304E">
      <w:pPr>
        <w:pStyle w:val="32"/>
        <w:rPr>
          <w:rFonts w:ascii="宋体" w:hAnsi="宋体" w:cs="宋体"/>
          <w:color w:val="auto"/>
          <w:highlight w:val="none"/>
        </w:rPr>
      </w:pPr>
      <w:r>
        <w:rPr>
          <w:rFonts w:hint="eastAsia" w:ascii="宋体" w:hAnsi="宋体" w:cs="宋体"/>
          <w:color w:val="auto"/>
          <w:highlight w:val="none"/>
        </w:rPr>
        <w:t>客观分自评表</w:t>
      </w:r>
    </w:p>
    <w:tbl>
      <w:tblPr>
        <w:tblStyle w:val="35"/>
        <w:tblW w:w="90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1011"/>
        <w:gridCol w:w="6301"/>
        <w:gridCol w:w="1024"/>
      </w:tblGrid>
      <w:tr w14:paraId="669FD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14:paraId="1D492F1D">
            <w:pPr>
              <w:pStyle w:val="7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7312" w:type="dxa"/>
            <w:gridSpan w:val="2"/>
            <w:tcBorders>
              <w:top w:val="single" w:color="auto" w:sz="6" w:space="0"/>
              <w:left w:val="single" w:color="auto" w:sz="6" w:space="0"/>
              <w:bottom w:val="single" w:color="auto" w:sz="6" w:space="0"/>
              <w:right w:val="single" w:color="auto" w:sz="4" w:space="0"/>
            </w:tcBorders>
            <w:vAlign w:val="center"/>
          </w:tcPr>
          <w:p w14:paraId="6B0F1E34">
            <w:pPr>
              <w:pStyle w:val="7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自评内容</w:t>
            </w:r>
          </w:p>
        </w:tc>
        <w:tc>
          <w:tcPr>
            <w:tcW w:w="1024" w:type="dxa"/>
            <w:tcBorders>
              <w:top w:val="single" w:color="auto" w:sz="6" w:space="0"/>
              <w:left w:val="single" w:color="auto" w:sz="4" w:space="0"/>
              <w:bottom w:val="single" w:color="auto" w:sz="6" w:space="0"/>
              <w:right w:val="single" w:color="auto" w:sz="6" w:space="0"/>
            </w:tcBorders>
            <w:vAlign w:val="center"/>
          </w:tcPr>
          <w:p w14:paraId="19B79AD8">
            <w:pPr>
              <w:pStyle w:val="7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自评分</w:t>
            </w:r>
          </w:p>
        </w:tc>
      </w:tr>
      <w:tr w14:paraId="4DDA8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14:paraId="071999DE">
            <w:pPr>
              <w:pStyle w:val="7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011" w:type="dxa"/>
            <w:tcBorders>
              <w:top w:val="single" w:color="auto" w:sz="6" w:space="0"/>
              <w:left w:val="single" w:color="auto" w:sz="6" w:space="0"/>
              <w:bottom w:val="single" w:color="auto" w:sz="6" w:space="0"/>
              <w:right w:val="single" w:color="auto" w:sz="6" w:space="0"/>
            </w:tcBorders>
            <w:vAlign w:val="center"/>
          </w:tcPr>
          <w:p w14:paraId="57484551">
            <w:pPr>
              <w:spacing w:line="360" w:lineRule="exact"/>
              <w:rPr>
                <w:rFonts w:ascii="宋体" w:hAnsi="宋体" w:cs="宋体"/>
                <w:color w:val="auto"/>
                <w:szCs w:val="21"/>
                <w:highlight w:val="none"/>
              </w:rPr>
            </w:pPr>
          </w:p>
        </w:tc>
        <w:tc>
          <w:tcPr>
            <w:tcW w:w="6301" w:type="dxa"/>
            <w:tcBorders>
              <w:top w:val="single" w:color="auto" w:sz="6" w:space="0"/>
              <w:left w:val="single" w:color="auto" w:sz="6" w:space="0"/>
              <w:bottom w:val="single" w:color="auto" w:sz="6" w:space="0"/>
              <w:right w:val="single" w:color="auto" w:sz="4" w:space="0"/>
            </w:tcBorders>
            <w:vAlign w:val="center"/>
          </w:tcPr>
          <w:p w14:paraId="0105254A">
            <w:pPr>
              <w:spacing w:line="360" w:lineRule="exact"/>
              <w:jc w:val="left"/>
              <w:rPr>
                <w:rFonts w:ascii="宋体" w:hAnsi="宋体" w:cs="宋体"/>
                <w:color w:val="auto"/>
                <w:szCs w:val="21"/>
                <w:highlight w:val="none"/>
              </w:rPr>
            </w:pPr>
          </w:p>
        </w:tc>
        <w:tc>
          <w:tcPr>
            <w:tcW w:w="1024" w:type="dxa"/>
            <w:tcBorders>
              <w:top w:val="single" w:color="auto" w:sz="6" w:space="0"/>
              <w:left w:val="single" w:color="auto" w:sz="4" w:space="0"/>
              <w:bottom w:val="single" w:color="auto" w:sz="6" w:space="0"/>
              <w:right w:val="single" w:color="auto" w:sz="6" w:space="0"/>
            </w:tcBorders>
          </w:tcPr>
          <w:p w14:paraId="28F71F82">
            <w:pPr>
              <w:pStyle w:val="88"/>
              <w:rPr>
                <w:rFonts w:ascii="宋体" w:hAnsi="宋体" w:eastAsia="宋体" w:cs="宋体"/>
                <w:color w:val="auto"/>
                <w:kern w:val="2"/>
                <w:sz w:val="24"/>
                <w:szCs w:val="24"/>
                <w:highlight w:val="none"/>
              </w:rPr>
            </w:pPr>
          </w:p>
        </w:tc>
      </w:tr>
      <w:tr w14:paraId="56F3D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14:paraId="20755B02">
            <w:pPr>
              <w:pStyle w:val="7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011" w:type="dxa"/>
            <w:tcBorders>
              <w:top w:val="single" w:color="auto" w:sz="6" w:space="0"/>
              <w:left w:val="single" w:color="auto" w:sz="6" w:space="0"/>
              <w:bottom w:val="single" w:color="auto" w:sz="6" w:space="0"/>
              <w:right w:val="single" w:color="auto" w:sz="6" w:space="0"/>
            </w:tcBorders>
            <w:vAlign w:val="center"/>
          </w:tcPr>
          <w:p w14:paraId="1E7FA96A">
            <w:pPr>
              <w:pStyle w:val="94"/>
              <w:rPr>
                <w:rFonts w:ascii="宋体" w:hAnsi="宋体" w:eastAsia="宋体" w:cs="宋体"/>
                <w:color w:val="auto"/>
                <w:kern w:val="2"/>
                <w:sz w:val="21"/>
                <w:szCs w:val="21"/>
                <w:highlight w:val="none"/>
              </w:rPr>
            </w:pPr>
          </w:p>
        </w:tc>
        <w:tc>
          <w:tcPr>
            <w:tcW w:w="6301" w:type="dxa"/>
            <w:tcBorders>
              <w:top w:val="single" w:color="auto" w:sz="6" w:space="0"/>
              <w:left w:val="single" w:color="auto" w:sz="6" w:space="0"/>
              <w:bottom w:val="single" w:color="auto" w:sz="6" w:space="0"/>
              <w:right w:val="single" w:color="auto" w:sz="4" w:space="0"/>
            </w:tcBorders>
          </w:tcPr>
          <w:p w14:paraId="4E55FD1A">
            <w:pPr>
              <w:pStyle w:val="94"/>
              <w:rPr>
                <w:rFonts w:ascii="宋体" w:hAnsi="宋体" w:eastAsia="宋体" w:cs="宋体"/>
                <w:color w:val="auto"/>
                <w:kern w:val="2"/>
                <w:sz w:val="21"/>
                <w:szCs w:val="21"/>
                <w:highlight w:val="none"/>
              </w:rPr>
            </w:pPr>
          </w:p>
        </w:tc>
        <w:tc>
          <w:tcPr>
            <w:tcW w:w="1024" w:type="dxa"/>
            <w:tcBorders>
              <w:top w:val="single" w:color="auto" w:sz="6" w:space="0"/>
              <w:left w:val="single" w:color="auto" w:sz="4" w:space="0"/>
              <w:bottom w:val="single" w:color="auto" w:sz="6" w:space="0"/>
              <w:right w:val="single" w:color="auto" w:sz="6" w:space="0"/>
            </w:tcBorders>
          </w:tcPr>
          <w:p w14:paraId="1812148A">
            <w:pPr>
              <w:pStyle w:val="88"/>
              <w:rPr>
                <w:rFonts w:ascii="宋体" w:hAnsi="宋体" w:eastAsia="宋体" w:cs="宋体"/>
                <w:color w:val="auto"/>
                <w:kern w:val="2"/>
                <w:sz w:val="24"/>
                <w:szCs w:val="24"/>
                <w:highlight w:val="none"/>
              </w:rPr>
            </w:pPr>
          </w:p>
        </w:tc>
      </w:tr>
      <w:tr w14:paraId="53CA3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14:paraId="75DBA057">
            <w:pPr>
              <w:pStyle w:val="7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011" w:type="dxa"/>
            <w:tcBorders>
              <w:top w:val="single" w:color="auto" w:sz="6" w:space="0"/>
              <w:left w:val="single" w:color="auto" w:sz="6" w:space="0"/>
              <w:bottom w:val="single" w:color="auto" w:sz="6" w:space="0"/>
              <w:right w:val="single" w:color="auto" w:sz="6" w:space="0"/>
            </w:tcBorders>
            <w:vAlign w:val="center"/>
          </w:tcPr>
          <w:p w14:paraId="6B85EB9D">
            <w:pPr>
              <w:pStyle w:val="94"/>
              <w:rPr>
                <w:rFonts w:ascii="宋体" w:hAnsi="宋体" w:eastAsia="宋体" w:cs="宋体"/>
                <w:color w:val="auto"/>
                <w:kern w:val="2"/>
                <w:sz w:val="21"/>
                <w:szCs w:val="21"/>
                <w:highlight w:val="none"/>
              </w:rPr>
            </w:pPr>
          </w:p>
        </w:tc>
        <w:tc>
          <w:tcPr>
            <w:tcW w:w="6301" w:type="dxa"/>
            <w:tcBorders>
              <w:top w:val="single" w:color="auto" w:sz="6" w:space="0"/>
              <w:left w:val="single" w:color="auto" w:sz="6" w:space="0"/>
              <w:bottom w:val="single" w:color="auto" w:sz="6" w:space="0"/>
              <w:right w:val="single" w:color="auto" w:sz="4" w:space="0"/>
            </w:tcBorders>
            <w:vAlign w:val="center"/>
          </w:tcPr>
          <w:p w14:paraId="323EAA34">
            <w:pPr>
              <w:pStyle w:val="94"/>
              <w:rPr>
                <w:rFonts w:ascii="宋体" w:hAnsi="宋体" w:eastAsia="宋体" w:cs="宋体"/>
                <w:color w:val="auto"/>
                <w:kern w:val="2"/>
                <w:sz w:val="21"/>
                <w:szCs w:val="21"/>
                <w:highlight w:val="none"/>
              </w:rPr>
            </w:pPr>
          </w:p>
        </w:tc>
        <w:tc>
          <w:tcPr>
            <w:tcW w:w="1024" w:type="dxa"/>
            <w:tcBorders>
              <w:top w:val="single" w:color="auto" w:sz="6" w:space="0"/>
              <w:left w:val="single" w:color="auto" w:sz="4" w:space="0"/>
              <w:bottom w:val="single" w:color="auto" w:sz="6" w:space="0"/>
              <w:right w:val="single" w:color="auto" w:sz="6" w:space="0"/>
            </w:tcBorders>
          </w:tcPr>
          <w:p w14:paraId="628EA276">
            <w:pPr>
              <w:pStyle w:val="88"/>
              <w:rPr>
                <w:rFonts w:ascii="宋体" w:hAnsi="宋体" w:eastAsia="宋体" w:cs="宋体"/>
                <w:color w:val="auto"/>
                <w:kern w:val="2"/>
                <w:sz w:val="24"/>
                <w:szCs w:val="24"/>
                <w:highlight w:val="none"/>
              </w:rPr>
            </w:pPr>
          </w:p>
        </w:tc>
      </w:tr>
      <w:tr w14:paraId="314E8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14:paraId="5032185A">
            <w:pPr>
              <w:pStyle w:val="7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011" w:type="dxa"/>
            <w:tcBorders>
              <w:top w:val="single" w:color="auto" w:sz="6" w:space="0"/>
              <w:left w:val="single" w:color="auto" w:sz="6" w:space="0"/>
              <w:bottom w:val="single" w:color="auto" w:sz="6" w:space="0"/>
              <w:right w:val="single" w:color="auto" w:sz="6" w:space="0"/>
            </w:tcBorders>
            <w:vAlign w:val="center"/>
          </w:tcPr>
          <w:p w14:paraId="64D82541">
            <w:pPr>
              <w:pStyle w:val="94"/>
              <w:ind w:right="-172" w:rightChars="-82"/>
              <w:rPr>
                <w:rFonts w:ascii="宋体" w:hAnsi="宋体" w:eastAsia="宋体" w:cs="宋体"/>
                <w:color w:val="auto"/>
                <w:kern w:val="2"/>
                <w:sz w:val="21"/>
                <w:szCs w:val="21"/>
                <w:highlight w:val="none"/>
              </w:rPr>
            </w:pPr>
          </w:p>
        </w:tc>
        <w:tc>
          <w:tcPr>
            <w:tcW w:w="6301" w:type="dxa"/>
            <w:tcBorders>
              <w:top w:val="single" w:color="auto" w:sz="6" w:space="0"/>
              <w:left w:val="single" w:color="auto" w:sz="6" w:space="0"/>
              <w:bottom w:val="single" w:color="auto" w:sz="6" w:space="0"/>
              <w:right w:val="single" w:color="auto" w:sz="4" w:space="0"/>
            </w:tcBorders>
            <w:vAlign w:val="center"/>
          </w:tcPr>
          <w:p w14:paraId="51FB05F3">
            <w:pPr>
              <w:pStyle w:val="94"/>
              <w:rPr>
                <w:rFonts w:ascii="宋体" w:hAnsi="宋体" w:eastAsia="宋体" w:cs="宋体"/>
                <w:color w:val="auto"/>
                <w:kern w:val="2"/>
                <w:sz w:val="21"/>
                <w:szCs w:val="21"/>
                <w:highlight w:val="none"/>
              </w:rPr>
            </w:pPr>
          </w:p>
        </w:tc>
        <w:tc>
          <w:tcPr>
            <w:tcW w:w="1024" w:type="dxa"/>
            <w:tcBorders>
              <w:top w:val="single" w:color="auto" w:sz="6" w:space="0"/>
              <w:left w:val="single" w:color="auto" w:sz="4" w:space="0"/>
              <w:bottom w:val="single" w:color="auto" w:sz="6" w:space="0"/>
              <w:right w:val="single" w:color="auto" w:sz="6" w:space="0"/>
            </w:tcBorders>
          </w:tcPr>
          <w:p w14:paraId="43D516D3">
            <w:pPr>
              <w:pStyle w:val="88"/>
              <w:rPr>
                <w:rFonts w:ascii="宋体" w:hAnsi="宋体" w:eastAsia="宋体" w:cs="宋体"/>
                <w:color w:val="auto"/>
                <w:kern w:val="2"/>
                <w:sz w:val="24"/>
                <w:szCs w:val="24"/>
                <w:highlight w:val="none"/>
              </w:rPr>
            </w:pPr>
          </w:p>
        </w:tc>
      </w:tr>
      <w:tr w14:paraId="1E28E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14:paraId="5DAEB0F9">
            <w:pPr>
              <w:pStyle w:val="70"/>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011" w:type="dxa"/>
            <w:tcBorders>
              <w:top w:val="single" w:color="auto" w:sz="6" w:space="0"/>
              <w:left w:val="single" w:color="auto" w:sz="6" w:space="0"/>
              <w:bottom w:val="single" w:color="auto" w:sz="6" w:space="0"/>
              <w:right w:val="single" w:color="auto" w:sz="6" w:space="0"/>
            </w:tcBorders>
            <w:vAlign w:val="center"/>
          </w:tcPr>
          <w:p w14:paraId="5AD352E6">
            <w:pPr>
              <w:pStyle w:val="94"/>
              <w:ind w:right="-172" w:rightChars="-82"/>
              <w:rPr>
                <w:rFonts w:ascii="宋体" w:hAnsi="宋体" w:eastAsia="宋体" w:cs="宋体"/>
                <w:color w:val="auto"/>
                <w:kern w:val="2"/>
                <w:sz w:val="21"/>
                <w:szCs w:val="21"/>
                <w:highlight w:val="none"/>
              </w:rPr>
            </w:pPr>
          </w:p>
        </w:tc>
        <w:tc>
          <w:tcPr>
            <w:tcW w:w="6301" w:type="dxa"/>
            <w:tcBorders>
              <w:top w:val="single" w:color="auto" w:sz="6" w:space="0"/>
              <w:left w:val="single" w:color="auto" w:sz="6" w:space="0"/>
              <w:bottom w:val="single" w:color="auto" w:sz="6" w:space="0"/>
              <w:right w:val="single" w:color="auto" w:sz="4" w:space="0"/>
            </w:tcBorders>
            <w:vAlign w:val="center"/>
          </w:tcPr>
          <w:p w14:paraId="0F4464AF">
            <w:pPr>
              <w:pStyle w:val="94"/>
              <w:rPr>
                <w:rFonts w:ascii="宋体" w:hAnsi="宋体" w:eastAsia="宋体" w:cs="宋体"/>
                <w:color w:val="auto"/>
                <w:kern w:val="2"/>
                <w:sz w:val="21"/>
                <w:szCs w:val="21"/>
                <w:highlight w:val="none"/>
              </w:rPr>
            </w:pPr>
          </w:p>
        </w:tc>
        <w:tc>
          <w:tcPr>
            <w:tcW w:w="1024" w:type="dxa"/>
            <w:tcBorders>
              <w:top w:val="single" w:color="auto" w:sz="6" w:space="0"/>
              <w:left w:val="single" w:color="auto" w:sz="4" w:space="0"/>
              <w:bottom w:val="single" w:color="auto" w:sz="6" w:space="0"/>
              <w:right w:val="single" w:color="auto" w:sz="6" w:space="0"/>
            </w:tcBorders>
          </w:tcPr>
          <w:p w14:paraId="7784560D">
            <w:pPr>
              <w:pStyle w:val="88"/>
              <w:rPr>
                <w:rFonts w:ascii="宋体" w:hAnsi="宋体" w:eastAsia="宋体" w:cs="宋体"/>
                <w:color w:val="auto"/>
                <w:kern w:val="2"/>
                <w:sz w:val="24"/>
                <w:szCs w:val="24"/>
                <w:highlight w:val="none"/>
              </w:rPr>
            </w:pPr>
          </w:p>
        </w:tc>
      </w:tr>
    </w:tbl>
    <w:p w14:paraId="637E7037">
      <w:pPr>
        <w:spacing w:line="360" w:lineRule="auto"/>
        <w:ind w:left="420"/>
        <w:rPr>
          <w:rFonts w:ascii="宋体" w:hAnsi="宋体" w:cs="宋体"/>
          <w:color w:val="auto"/>
          <w:sz w:val="24"/>
          <w:highlight w:val="none"/>
        </w:rPr>
      </w:pPr>
      <w:r>
        <w:rPr>
          <w:rFonts w:hint="eastAsia" w:ascii="宋体" w:hAnsi="宋体" w:cs="宋体"/>
          <w:color w:val="auto"/>
          <w:sz w:val="24"/>
          <w:highlight w:val="none"/>
        </w:rPr>
        <w:t>注：以上自评</w:t>
      </w:r>
      <w:r>
        <w:rPr>
          <w:rFonts w:hint="eastAsia" w:ascii="宋体" w:hAnsi="宋体" w:cs="宋体"/>
          <w:color w:val="auto"/>
          <w:sz w:val="24"/>
          <w:highlight w:val="none"/>
          <w:lang w:val="en-US" w:eastAsia="zh-CN"/>
        </w:rPr>
        <w:t>应据</w:t>
      </w:r>
      <w:r>
        <w:rPr>
          <w:rFonts w:hint="eastAsia" w:ascii="宋体" w:hAnsi="宋体" w:cs="宋体"/>
          <w:color w:val="auto"/>
          <w:sz w:val="24"/>
          <w:highlight w:val="none"/>
        </w:rPr>
        <w:t>实填写，最终得分以评标专家评定为准。</w:t>
      </w:r>
    </w:p>
    <w:p w14:paraId="3416C332">
      <w:pPr>
        <w:spacing w:line="360" w:lineRule="auto"/>
        <w:ind w:left="420"/>
        <w:rPr>
          <w:rFonts w:ascii="宋体" w:hAnsi="宋体" w:cs="宋体"/>
          <w:color w:val="auto"/>
          <w:sz w:val="24"/>
          <w:highlight w:val="none"/>
        </w:rPr>
      </w:pPr>
    </w:p>
    <w:p w14:paraId="4DB6154D">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441BD317">
      <w:pPr>
        <w:spacing w:line="360" w:lineRule="auto"/>
        <w:ind w:firstLine="435"/>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法定代表人或磋商供应商代表（签章或签字）</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5D2F738">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70F4DF59">
      <w:pPr>
        <w:spacing w:line="360" w:lineRule="auto"/>
        <w:ind w:firstLine="435"/>
        <w:rPr>
          <w:rFonts w:ascii="宋体" w:hAnsi="宋体" w:cs="宋体"/>
          <w:b/>
          <w:color w:val="auto"/>
          <w:sz w:val="28"/>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28E25945">
      <w:pPr>
        <w:snapToGrid w:val="0"/>
        <w:spacing w:beforeLines="50" w:after="50" w:line="360" w:lineRule="auto"/>
        <w:rPr>
          <w:rFonts w:ascii="宋体" w:hAnsi="宋体" w:cs="宋体"/>
          <w:b/>
          <w:color w:val="auto"/>
          <w:sz w:val="28"/>
          <w:highlight w:val="none"/>
        </w:rPr>
      </w:pPr>
    </w:p>
    <w:p w14:paraId="579A4B79">
      <w:pPr>
        <w:pStyle w:val="32"/>
        <w:jc w:val="both"/>
        <w:rPr>
          <w:rFonts w:ascii="宋体" w:hAnsi="宋体" w:cs="宋体"/>
          <w:color w:val="auto"/>
          <w:highlight w:val="none"/>
        </w:rPr>
      </w:pPr>
    </w:p>
    <w:p w14:paraId="127EB3B8">
      <w:pPr>
        <w:snapToGrid w:val="0"/>
        <w:spacing w:beforeLines="50" w:after="50" w:line="360" w:lineRule="auto"/>
        <w:rPr>
          <w:rFonts w:ascii="宋体" w:hAnsi="宋体" w:cs="宋体"/>
          <w:b/>
          <w:color w:val="auto"/>
          <w:sz w:val="28"/>
          <w:highlight w:val="none"/>
        </w:rPr>
      </w:pPr>
    </w:p>
    <w:p w14:paraId="6F8E6D70">
      <w:pPr>
        <w:snapToGrid w:val="0"/>
        <w:spacing w:beforeLines="50" w:after="50" w:line="360" w:lineRule="auto"/>
        <w:rPr>
          <w:rFonts w:ascii="宋体" w:hAnsi="宋体" w:cs="宋体"/>
          <w:b/>
          <w:color w:val="auto"/>
          <w:sz w:val="28"/>
          <w:highlight w:val="none"/>
        </w:rPr>
      </w:pPr>
    </w:p>
    <w:p w14:paraId="6251D4E7">
      <w:pPr>
        <w:snapToGrid w:val="0"/>
        <w:spacing w:beforeLines="50" w:after="50" w:line="360" w:lineRule="auto"/>
        <w:rPr>
          <w:rFonts w:ascii="宋体" w:hAnsi="宋体" w:cs="宋体"/>
          <w:b/>
          <w:color w:val="auto"/>
          <w:sz w:val="28"/>
          <w:highlight w:val="none"/>
        </w:rPr>
      </w:pPr>
    </w:p>
    <w:p w14:paraId="26248134">
      <w:pPr>
        <w:snapToGrid w:val="0"/>
        <w:spacing w:beforeLines="50" w:after="50" w:line="360" w:lineRule="auto"/>
        <w:rPr>
          <w:rFonts w:ascii="宋体" w:hAnsi="宋体" w:cs="宋体"/>
          <w:b/>
          <w:color w:val="auto"/>
          <w:sz w:val="28"/>
          <w:highlight w:val="none"/>
        </w:rPr>
      </w:pPr>
    </w:p>
    <w:p w14:paraId="2B165D61">
      <w:pPr>
        <w:snapToGrid w:val="0"/>
        <w:spacing w:beforeLines="50" w:after="50" w:line="360" w:lineRule="auto"/>
        <w:rPr>
          <w:rFonts w:ascii="宋体" w:hAnsi="宋体" w:cs="宋体"/>
          <w:b/>
          <w:color w:val="auto"/>
          <w:sz w:val="28"/>
          <w:highlight w:val="none"/>
        </w:rPr>
      </w:pPr>
    </w:p>
    <w:p w14:paraId="6FE2FC52">
      <w:pPr>
        <w:snapToGrid w:val="0"/>
        <w:spacing w:beforeLines="50" w:after="50" w:line="360" w:lineRule="auto"/>
        <w:rPr>
          <w:rFonts w:ascii="宋体" w:hAnsi="宋体" w:cs="宋体"/>
          <w:b/>
          <w:color w:val="auto"/>
          <w:sz w:val="28"/>
          <w:highlight w:val="none"/>
        </w:rPr>
      </w:pPr>
    </w:p>
    <w:p w14:paraId="05FB0D3E">
      <w:pPr>
        <w:snapToGrid w:val="0"/>
        <w:spacing w:beforeLines="50" w:after="50" w:line="360" w:lineRule="auto"/>
        <w:rPr>
          <w:rFonts w:ascii="宋体" w:hAnsi="宋体" w:cs="宋体"/>
          <w:b/>
          <w:color w:val="auto"/>
          <w:sz w:val="28"/>
          <w:highlight w:val="none"/>
        </w:rPr>
      </w:pPr>
    </w:p>
    <w:p w14:paraId="13A2FA3E">
      <w:pPr>
        <w:snapToGrid w:val="0"/>
        <w:spacing w:beforeLines="50" w:after="50" w:line="360" w:lineRule="auto"/>
        <w:rPr>
          <w:rFonts w:ascii="宋体" w:hAnsi="宋体" w:cs="宋体"/>
          <w:b/>
          <w:color w:val="auto"/>
          <w:sz w:val="28"/>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12</w:t>
      </w:r>
      <w:r>
        <w:rPr>
          <w:rFonts w:hint="eastAsia" w:ascii="宋体" w:hAnsi="宋体" w:cs="宋体"/>
          <w:b/>
          <w:color w:val="auto"/>
          <w:sz w:val="28"/>
          <w:highlight w:val="none"/>
        </w:rPr>
        <w:t>：</w:t>
      </w:r>
    </w:p>
    <w:p w14:paraId="2AE398E6">
      <w:pPr>
        <w:pStyle w:val="52"/>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证书一览表</w:t>
      </w:r>
    </w:p>
    <w:p w14:paraId="2D6CB6ED">
      <w:pPr>
        <w:pStyle w:val="19"/>
        <w:adjustRightInd w:val="0"/>
        <w:snapToGrid w:val="0"/>
        <w:spacing w:line="360" w:lineRule="auto"/>
        <w:jc w:val="left"/>
        <w:rPr>
          <w:rFonts w:ascii="宋体" w:hAnsi="宋体" w:eastAsia="宋体" w:cs="宋体"/>
          <w:b/>
          <w:color w:val="auto"/>
          <w:sz w:val="24"/>
          <w:highlight w:val="none"/>
        </w:rPr>
      </w:pPr>
      <w:r>
        <w:rPr>
          <w:rFonts w:hint="eastAsia" w:ascii="宋体" w:hAnsi="宋体" w:eastAsia="宋体" w:cs="宋体"/>
          <w:b/>
          <w:bCs/>
          <w:color w:val="auto"/>
          <w:sz w:val="24"/>
          <w:highlight w:val="none"/>
        </w:rPr>
        <w:t>项目名称及编号：</w:t>
      </w:r>
    </w:p>
    <w:tbl>
      <w:tblPr>
        <w:tblStyle w:val="3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F7BFB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0FD6C769">
            <w:pPr>
              <w:pStyle w:val="52"/>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single" w:color="auto" w:sz="4" w:space="0"/>
              <w:bottom w:val="single" w:color="auto" w:sz="4" w:space="0"/>
            </w:tcBorders>
          </w:tcPr>
          <w:p w14:paraId="678BD1A5">
            <w:pPr>
              <w:pStyle w:val="52"/>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single" w:color="auto" w:sz="4" w:space="0"/>
              <w:bottom w:val="single" w:color="auto" w:sz="4" w:space="0"/>
            </w:tcBorders>
          </w:tcPr>
          <w:p w14:paraId="65487B5D">
            <w:pPr>
              <w:pStyle w:val="52"/>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single" w:color="auto" w:sz="4" w:space="0"/>
              <w:bottom w:val="single" w:color="auto" w:sz="4" w:space="0"/>
              <w:right w:val="single" w:color="auto" w:sz="4" w:space="0"/>
            </w:tcBorders>
          </w:tcPr>
          <w:p w14:paraId="1A4AA123">
            <w:pPr>
              <w:pStyle w:val="52"/>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14:paraId="2C7FC0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6818ED31">
            <w:pPr>
              <w:pStyle w:val="52"/>
              <w:spacing w:line="360" w:lineRule="auto"/>
              <w:jc w:val="center"/>
              <w:rPr>
                <w:rFonts w:ascii="宋体" w:hAnsi="宋体" w:cs="宋体"/>
                <w:color w:val="auto"/>
                <w:szCs w:val="21"/>
                <w:highlight w:val="none"/>
              </w:rPr>
            </w:pPr>
          </w:p>
        </w:tc>
        <w:tc>
          <w:tcPr>
            <w:tcW w:w="2258" w:type="dxa"/>
            <w:tcBorders>
              <w:top w:val="single" w:color="auto" w:sz="4" w:space="0"/>
            </w:tcBorders>
          </w:tcPr>
          <w:p w14:paraId="60F85371">
            <w:pPr>
              <w:pStyle w:val="52"/>
              <w:spacing w:line="360" w:lineRule="auto"/>
              <w:jc w:val="center"/>
              <w:rPr>
                <w:rFonts w:ascii="宋体" w:hAnsi="宋体" w:cs="宋体"/>
                <w:color w:val="auto"/>
                <w:szCs w:val="21"/>
                <w:highlight w:val="none"/>
              </w:rPr>
            </w:pPr>
          </w:p>
        </w:tc>
        <w:tc>
          <w:tcPr>
            <w:tcW w:w="2260" w:type="dxa"/>
            <w:tcBorders>
              <w:top w:val="single" w:color="auto" w:sz="4" w:space="0"/>
            </w:tcBorders>
          </w:tcPr>
          <w:p w14:paraId="793CABD8">
            <w:pPr>
              <w:pStyle w:val="52"/>
              <w:spacing w:line="360" w:lineRule="auto"/>
              <w:jc w:val="center"/>
              <w:rPr>
                <w:rFonts w:ascii="宋体" w:hAnsi="宋体" w:cs="宋体"/>
                <w:color w:val="auto"/>
                <w:szCs w:val="21"/>
                <w:highlight w:val="none"/>
              </w:rPr>
            </w:pPr>
          </w:p>
        </w:tc>
        <w:tc>
          <w:tcPr>
            <w:tcW w:w="2047" w:type="dxa"/>
            <w:tcBorders>
              <w:top w:val="single" w:color="auto" w:sz="4" w:space="0"/>
              <w:right w:val="single" w:color="auto" w:sz="4" w:space="0"/>
            </w:tcBorders>
          </w:tcPr>
          <w:p w14:paraId="61603094">
            <w:pPr>
              <w:pStyle w:val="52"/>
              <w:spacing w:line="360" w:lineRule="auto"/>
              <w:jc w:val="center"/>
              <w:rPr>
                <w:rFonts w:ascii="宋体" w:hAnsi="宋体" w:cs="宋体"/>
                <w:color w:val="auto"/>
                <w:szCs w:val="21"/>
                <w:highlight w:val="none"/>
              </w:rPr>
            </w:pPr>
          </w:p>
        </w:tc>
      </w:tr>
      <w:tr w14:paraId="044B83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0960CDE">
            <w:pPr>
              <w:pStyle w:val="52"/>
              <w:spacing w:line="360" w:lineRule="auto"/>
              <w:jc w:val="center"/>
              <w:rPr>
                <w:rFonts w:ascii="宋体" w:hAnsi="宋体" w:cs="宋体"/>
                <w:color w:val="auto"/>
                <w:szCs w:val="21"/>
                <w:highlight w:val="none"/>
              </w:rPr>
            </w:pPr>
          </w:p>
        </w:tc>
        <w:tc>
          <w:tcPr>
            <w:tcW w:w="2258" w:type="dxa"/>
          </w:tcPr>
          <w:p w14:paraId="462B3E4A">
            <w:pPr>
              <w:pStyle w:val="52"/>
              <w:spacing w:line="360" w:lineRule="auto"/>
              <w:jc w:val="center"/>
              <w:rPr>
                <w:rFonts w:ascii="宋体" w:hAnsi="宋体" w:cs="宋体"/>
                <w:color w:val="auto"/>
                <w:szCs w:val="21"/>
                <w:highlight w:val="none"/>
              </w:rPr>
            </w:pPr>
          </w:p>
        </w:tc>
        <w:tc>
          <w:tcPr>
            <w:tcW w:w="2260" w:type="dxa"/>
          </w:tcPr>
          <w:p w14:paraId="0351FDF1">
            <w:pPr>
              <w:pStyle w:val="52"/>
              <w:spacing w:line="360" w:lineRule="auto"/>
              <w:jc w:val="center"/>
              <w:rPr>
                <w:rFonts w:ascii="宋体" w:hAnsi="宋体" w:cs="宋体"/>
                <w:color w:val="auto"/>
                <w:szCs w:val="21"/>
                <w:highlight w:val="none"/>
              </w:rPr>
            </w:pPr>
          </w:p>
        </w:tc>
        <w:tc>
          <w:tcPr>
            <w:tcW w:w="2047" w:type="dxa"/>
            <w:tcBorders>
              <w:right w:val="single" w:color="auto" w:sz="4" w:space="0"/>
            </w:tcBorders>
          </w:tcPr>
          <w:p w14:paraId="4917501A">
            <w:pPr>
              <w:pStyle w:val="52"/>
              <w:spacing w:line="360" w:lineRule="auto"/>
              <w:jc w:val="center"/>
              <w:rPr>
                <w:rFonts w:ascii="宋体" w:hAnsi="宋体" w:cs="宋体"/>
                <w:color w:val="auto"/>
                <w:szCs w:val="21"/>
                <w:highlight w:val="none"/>
              </w:rPr>
            </w:pPr>
          </w:p>
        </w:tc>
      </w:tr>
      <w:tr w14:paraId="697C80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AC4F7BE">
            <w:pPr>
              <w:pStyle w:val="52"/>
              <w:spacing w:line="360" w:lineRule="auto"/>
              <w:jc w:val="center"/>
              <w:rPr>
                <w:rFonts w:ascii="宋体" w:hAnsi="宋体" w:cs="宋体"/>
                <w:color w:val="auto"/>
                <w:szCs w:val="21"/>
                <w:highlight w:val="none"/>
              </w:rPr>
            </w:pPr>
          </w:p>
        </w:tc>
        <w:tc>
          <w:tcPr>
            <w:tcW w:w="2258" w:type="dxa"/>
          </w:tcPr>
          <w:p w14:paraId="4DF19C8E">
            <w:pPr>
              <w:pStyle w:val="52"/>
              <w:spacing w:line="360" w:lineRule="auto"/>
              <w:jc w:val="center"/>
              <w:rPr>
                <w:rFonts w:ascii="宋体" w:hAnsi="宋体" w:cs="宋体"/>
                <w:color w:val="auto"/>
                <w:szCs w:val="21"/>
                <w:highlight w:val="none"/>
              </w:rPr>
            </w:pPr>
          </w:p>
        </w:tc>
        <w:tc>
          <w:tcPr>
            <w:tcW w:w="2260" w:type="dxa"/>
          </w:tcPr>
          <w:p w14:paraId="1BB1140D">
            <w:pPr>
              <w:pStyle w:val="52"/>
              <w:spacing w:line="360" w:lineRule="auto"/>
              <w:jc w:val="center"/>
              <w:rPr>
                <w:rFonts w:ascii="宋体" w:hAnsi="宋体" w:cs="宋体"/>
                <w:color w:val="auto"/>
                <w:szCs w:val="21"/>
                <w:highlight w:val="none"/>
              </w:rPr>
            </w:pPr>
          </w:p>
        </w:tc>
        <w:tc>
          <w:tcPr>
            <w:tcW w:w="2047" w:type="dxa"/>
            <w:tcBorders>
              <w:right w:val="single" w:color="auto" w:sz="4" w:space="0"/>
            </w:tcBorders>
          </w:tcPr>
          <w:p w14:paraId="4FB5DCD3">
            <w:pPr>
              <w:pStyle w:val="52"/>
              <w:spacing w:line="360" w:lineRule="auto"/>
              <w:jc w:val="center"/>
              <w:rPr>
                <w:rFonts w:ascii="宋体" w:hAnsi="宋体" w:cs="宋体"/>
                <w:color w:val="auto"/>
                <w:szCs w:val="21"/>
                <w:highlight w:val="none"/>
              </w:rPr>
            </w:pPr>
          </w:p>
        </w:tc>
      </w:tr>
      <w:tr w14:paraId="57B9F5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150F814">
            <w:pPr>
              <w:pStyle w:val="52"/>
              <w:spacing w:line="360" w:lineRule="auto"/>
              <w:jc w:val="center"/>
              <w:rPr>
                <w:rFonts w:ascii="宋体" w:hAnsi="宋体" w:cs="宋体"/>
                <w:color w:val="auto"/>
                <w:szCs w:val="21"/>
                <w:highlight w:val="none"/>
              </w:rPr>
            </w:pPr>
          </w:p>
        </w:tc>
        <w:tc>
          <w:tcPr>
            <w:tcW w:w="2258" w:type="dxa"/>
          </w:tcPr>
          <w:p w14:paraId="55D28E3E">
            <w:pPr>
              <w:pStyle w:val="52"/>
              <w:spacing w:line="360" w:lineRule="auto"/>
              <w:jc w:val="center"/>
              <w:rPr>
                <w:rFonts w:ascii="宋体" w:hAnsi="宋体" w:cs="宋体"/>
                <w:color w:val="auto"/>
                <w:szCs w:val="21"/>
                <w:highlight w:val="none"/>
              </w:rPr>
            </w:pPr>
          </w:p>
        </w:tc>
        <w:tc>
          <w:tcPr>
            <w:tcW w:w="2260" w:type="dxa"/>
          </w:tcPr>
          <w:p w14:paraId="70E0FE89">
            <w:pPr>
              <w:pStyle w:val="52"/>
              <w:spacing w:line="360" w:lineRule="auto"/>
              <w:jc w:val="center"/>
              <w:rPr>
                <w:rFonts w:ascii="宋体" w:hAnsi="宋体" w:cs="宋体"/>
                <w:color w:val="auto"/>
                <w:szCs w:val="21"/>
                <w:highlight w:val="none"/>
              </w:rPr>
            </w:pPr>
          </w:p>
        </w:tc>
        <w:tc>
          <w:tcPr>
            <w:tcW w:w="2047" w:type="dxa"/>
            <w:tcBorders>
              <w:right w:val="single" w:color="auto" w:sz="4" w:space="0"/>
            </w:tcBorders>
          </w:tcPr>
          <w:p w14:paraId="2D415D28">
            <w:pPr>
              <w:pStyle w:val="52"/>
              <w:spacing w:line="360" w:lineRule="auto"/>
              <w:jc w:val="center"/>
              <w:rPr>
                <w:rFonts w:ascii="宋体" w:hAnsi="宋体" w:cs="宋体"/>
                <w:color w:val="auto"/>
                <w:szCs w:val="21"/>
                <w:highlight w:val="none"/>
              </w:rPr>
            </w:pPr>
          </w:p>
        </w:tc>
      </w:tr>
      <w:tr w14:paraId="1B6D9E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2D5C79C">
            <w:pPr>
              <w:pStyle w:val="52"/>
              <w:spacing w:line="360" w:lineRule="auto"/>
              <w:jc w:val="center"/>
              <w:rPr>
                <w:rFonts w:ascii="宋体" w:hAnsi="宋体" w:cs="宋体"/>
                <w:color w:val="auto"/>
                <w:szCs w:val="21"/>
                <w:highlight w:val="none"/>
              </w:rPr>
            </w:pPr>
          </w:p>
        </w:tc>
        <w:tc>
          <w:tcPr>
            <w:tcW w:w="2258" w:type="dxa"/>
          </w:tcPr>
          <w:p w14:paraId="177F92B0">
            <w:pPr>
              <w:pStyle w:val="52"/>
              <w:spacing w:line="360" w:lineRule="auto"/>
              <w:jc w:val="center"/>
              <w:rPr>
                <w:rFonts w:ascii="宋体" w:hAnsi="宋体" w:cs="宋体"/>
                <w:color w:val="auto"/>
                <w:szCs w:val="21"/>
                <w:highlight w:val="none"/>
              </w:rPr>
            </w:pPr>
          </w:p>
        </w:tc>
        <w:tc>
          <w:tcPr>
            <w:tcW w:w="2260" w:type="dxa"/>
          </w:tcPr>
          <w:p w14:paraId="000F4C97">
            <w:pPr>
              <w:pStyle w:val="52"/>
              <w:spacing w:line="360" w:lineRule="auto"/>
              <w:jc w:val="center"/>
              <w:rPr>
                <w:rFonts w:ascii="宋体" w:hAnsi="宋体" w:cs="宋体"/>
                <w:color w:val="auto"/>
                <w:szCs w:val="21"/>
                <w:highlight w:val="none"/>
              </w:rPr>
            </w:pPr>
          </w:p>
        </w:tc>
        <w:tc>
          <w:tcPr>
            <w:tcW w:w="2047" w:type="dxa"/>
            <w:tcBorders>
              <w:right w:val="single" w:color="auto" w:sz="4" w:space="0"/>
            </w:tcBorders>
          </w:tcPr>
          <w:p w14:paraId="23E5F54B">
            <w:pPr>
              <w:pStyle w:val="52"/>
              <w:spacing w:line="360" w:lineRule="auto"/>
              <w:jc w:val="center"/>
              <w:rPr>
                <w:rFonts w:ascii="宋体" w:hAnsi="宋体" w:cs="宋体"/>
                <w:color w:val="auto"/>
                <w:szCs w:val="21"/>
                <w:highlight w:val="none"/>
              </w:rPr>
            </w:pPr>
          </w:p>
        </w:tc>
      </w:tr>
      <w:tr w14:paraId="4868A6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249630A">
            <w:pPr>
              <w:pStyle w:val="52"/>
              <w:spacing w:line="360" w:lineRule="auto"/>
              <w:jc w:val="center"/>
              <w:rPr>
                <w:rFonts w:ascii="宋体" w:hAnsi="宋体" w:cs="宋体"/>
                <w:color w:val="auto"/>
                <w:szCs w:val="21"/>
                <w:highlight w:val="none"/>
              </w:rPr>
            </w:pPr>
          </w:p>
        </w:tc>
        <w:tc>
          <w:tcPr>
            <w:tcW w:w="2258" w:type="dxa"/>
          </w:tcPr>
          <w:p w14:paraId="7EF1173D">
            <w:pPr>
              <w:pStyle w:val="52"/>
              <w:spacing w:line="360" w:lineRule="auto"/>
              <w:jc w:val="center"/>
              <w:rPr>
                <w:rFonts w:ascii="宋体" w:hAnsi="宋体" w:cs="宋体"/>
                <w:color w:val="auto"/>
                <w:szCs w:val="21"/>
                <w:highlight w:val="none"/>
              </w:rPr>
            </w:pPr>
          </w:p>
        </w:tc>
        <w:tc>
          <w:tcPr>
            <w:tcW w:w="2260" w:type="dxa"/>
          </w:tcPr>
          <w:p w14:paraId="1822790D">
            <w:pPr>
              <w:pStyle w:val="52"/>
              <w:spacing w:line="360" w:lineRule="auto"/>
              <w:jc w:val="center"/>
              <w:rPr>
                <w:rFonts w:ascii="宋体" w:hAnsi="宋体" w:cs="宋体"/>
                <w:color w:val="auto"/>
                <w:szCs w:val="21"/>
                <w:highlight w:val="none"/>
              </w:rPr>
            </w:pPr>
          </w:p>
        </w:tc>
        <w:tc>
          <w:tcPr>
            <w:tcW w:w="2047" w:type="dxa"/>
            <w:tcBorders>
              <w:right w:val="single" w:color="auto" w:sz="4" w:space="0"/>
            </w:tcBorders>
          </w:tcPr>
          <w:p w14:paraId="2E2B82BD">
            <w:pPr>
              <w:pStyle w:val="52"/>
              <w:spacing w:line="360" w:lineRule="auto"/>
              <w:jc w:val="center"/>
              <w:rPr>
                <w:rFonts w:ascii="宋体" w:hAnsi="宋体" w:cs="宋体"/>
                <w:color w:val="auto"/>
                <w:szCs w:val="21"/>
                <w:highlight w:val="none"/>
              </w:rPr>
            </w:pPr>
          </w:p>
        </w:tc>
      </w:tr>
      <w:tr w14:paraId="4396D3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1D223D11">
            <w:pPr>
              <w:pStyle w:val="52"/>
              <w:spacing w:line="360" w:lineRule="auto"/>
              <w:jc w:val="center"/>
              <w:rPr>
                <w:rFonts w:ascii="宋体" w:hAnsi="宋体" w:cs="宋体"/>
                <w:color w:val="auto"/>
                <w:szCs w:val="21"/>
                <w:highlight w:val="none"/>
              </w:rPr>
            </w:pPr>
          </w:p>
        </w:tc>
        <w:tc>
          <w:tcPr>
            <w:tcW w:w="2258" w:type="dxa"/>
            <w:tcBorders>
              <w:bottom w:val="single" w:color="auto" w:sz="4" w:space="0"/>
            </w:tcBorders>
          </w:tcPr>
          <w:p w14:paraId="7BBD321E">
            <w:pPr>
              <w:pStyle w:val="52"/>
              <w:spacing w:line="360" w:lineRule="auto"/>
              <w:jc w:val="center"/>
              <w:rPr>
                <w:rFonts w:ascii="宋体" w:hAnsi="宋体" w:cs="宋体"/>
                <w:color w:val="auto"/>
                <w:szCs w:val="21"/>
                <w:highlight w:val="none"/>
              </w:rPr>
            </w:pPr>
          </w:p>
        </w:tc>
        <w:tc>
          <w:tcPr>
            <w:tcW w:w="2260" w:type="dxa"/>
            <w:tcBorders>
              <w:bottom w:val="single" w:color="auto" w:sz="4" w:space="0"/>
            </w:tcBorders>
          </w:tcPr>
          <w:p w14:paraId="1E2E8C26">
            <w:pPr>
              <w:pStyle w:val="52"/>
              <w:spacing w:line="360" w:lineRule="auto"/>
              <w:jc w:val="center"/>
              <w:rPr>
                <w:rFonts w:ascii="宋体" w:hAnsi="宋体" w:cs="宋体"/>
                <w:color w:val="auto"/>
                <w:szCs w:val="21"/>
                <w:highlight w:val="none"/>
              </w:rPr>
            </w:pPr>
          </w:p>
        </w:tc>
        <w:tc>
          <w:tcPr>
            <w:tcW w:w="2047" w:type="dxa"/>
            <w:tcBorders>
              <w:bottom w:val="single" w:color="auto" w:sz="4" w:space="0"/>
              <w:right w:val="single" w:color="auto" w:sz="4" w:space="0"/>
            </w:tcBorders>
          </w:tcPr>
          <w:p w14:paraId="5401B3B3">
            <w:pPr>
              <w:pStyle w:val="52"/>
              <w:spacing w:line="360" w:lineRule="auto"/>
              <w:jc w:val="center"/>
              <w:rPr>
                <w:rFonts w:ascii="宋体" w:hAnsi="宋体" w:cs="宋体"/>
                <w:color w:val="auto"/>
                <w:szCs w:val="21"/>
                <w:highlight w:val="none"/>
              </w:rPr>
            </w:pPr>
          </w:p>
        </w:tc>
      </w:tr>
    </w:tbl>
    <w:p w14:paraId="4A3E4B6B">
      <w:pPr>
        <w:pStyle w:val="52"/>
        <w:tabs>
          <w:tab w:val="left" w:pos="1050"/>
        </w:tabs>
        <w:spacing w:line="360" w:lineRule="auto"/>
        <w:rPr>
          <w:rFonts w:ascii="宋体" w:hAnsi="宋体" w:cs="宋体"/>
          <w:color w:val="auto"/>
          <w:sz w:val="24"/>
          <w:highlight w:val="none"/>
        </w:rPr>
      </w:pPr>
    </w:p>
    <w:p w14:paraId="20C426EA">
      <w:pPr>
        <w:pStyle w:val="52"/>
        <w:tabs>
          <w:tab w:val="left" w:pos="1050"/>
        </w:tabs>
        <w:spacing w:line="360" w:lineRule="auto"/>
        <w:rPr>
          <w:rFonts w:ascii="宋体" w:hAnsi="宋体" w:cs="宋体"/>
          <w:color w:val="auto"/>
          <w:szCs w:val="21"/>
          <w:highlight w:val="none"/>
        </w:rPr>
      </w:pPr>
      <w:r>
        <w:rPr>
          <w:rFonts w:hint="eastAsia" w:ascii="宋体" w:hAnsi="宋体" w:cs="宋体"/>
          <w:b/>
          <w:color w:val="auto"/>
          <w:szCs w:val="21"/>
          <w:highlight w:val="none"/>
        </w:rPr>
        <w:t>要求：</w:t>
      </w:r>
    </w:p>
    <w:p w14:paraId="7B64AE57">
      <w:pPr>
        <w:pStyle w:val="52"/>
        <w:tabs>
          <w:tab w:val="left" w:pos="1050"/>
        </w:tabs>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1.填写磋商供应商获得的资质、认证证书等（根据评标办法提供）。</w:t>
      </w:r>
    </w:p>
    <w:p w14:paraId="4C0AD316">
      <w:pPr>
        <w:pStyle w:val="52"/>
        <w:tabs>
          <w:tab w:val="left" w:pos="1050"/>
        </w:tabs>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2.附所列证书的扫描件或其他证明材料。</w:t>
      </w:r>
    </w:p>
    <w:p w14:paraId="3B1A5A78">
      <w:pPr>
        <w:pStyle w:val="52"/>
        <w:tabs>
          <w:tab w:val="left" w:pos="1050"/>
        </w:tabs>
        <w:spacing w:line="360" w:lineRule="auto"/>
        <w:ind w:firstLine="720" w:firstLineChars="300"/>
        <w:rPr>
          <w:rFonts w:ascii="宋体" w:hAnsi="宋体" w:cs="宋体"/>
          <w:color w:val="auto"/>
          <w:sz w:val="24"/>
          <w:highlight w:val="none"/>
        </w:rPr>
      </w:pPr>
    </w:p>
    <w:p w14:paraId="6131941E">
      <w:pPr>
        <w:snapToGrid w:val="0"/>
        <w:spacing w:before="50" w:afterLines="50" w:line="360" w:lineRule="auto"/>
        <w:jc w:val="left"/>
        <w:rPr>
          <w:rFonts w:ascii="宋体" w:hAnsi="宋体" w:cs="宋体"/>
          <w:color w:val="auto"/>
          <w:sz w:val="24"/>
          <w:szCs w:val="20"/>
          <w:highlight w:val="none"/>
        </w:rPr>
      </w:pPr>
    </w:p>
    <w:p w14:paraId="292D13B2">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A99463A">
      <w:pPr>
        <w:spacing w:line="360" w:lineRule="auto"/>
        <w:ind w:firstLine="435"/>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法定代表人或磋商供应商代表（签章或签字）</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74212A4">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2F92994A">
      <w:pPr>
        <w:spacing w:line="360" w:lineRule="auto"/>
        <w:ind w:firstLine="435"/>
        <w:rPr>
          <w:rFonts w:ascii="宋体" w:hAnsi="宋体" w:cs="宋体"/>
          <w:b/>
          <w:color w:val="auto"/>
          <w:sz w:val="28"/>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0327E6F6">
      <w:pPr>
        <w:spacing w:line="360" w:lineRule="auto"/>
        <w:rPr>
          <w:rFonts w:ascii="宋体" w:hAnsi="宋体" w:cs="宋体"/>
          <w:b/>
          <w:color w:val="auto"/>
          <w:sz w:val="28"/>
          <w:highlight w:val="none"/>
        </w:rPr>
      </w:pPr>
    </w:p>
    <w:p w14:paraId="0A1F88B3">
      <w:pPr>
        <w:spacing w:line="360" w:lineRule="auto"/>
        <w:rPr>
          <w:rFonts w:ascii="宋体" w:hAnsi="宋体" w:cs="宋体"/>
          <w:b/>
          <w:color w:val="auto"/>
          <w:sz w:val="28"/>
          <w:highlight w:val="none"/>
        </w:rPr>
      </w:pPr>
    </w:p>
    <w:p w14:paraId="129CD02E">
      <w:pPr>
        <w:spacing w:line="360" w:lineRule="auto"/>
        <w:rPr>
          <w:rFonts w:ascii="宋体" w:hAnsi="宋体" w:cs="宋体"/>
          <w:b/>
          <w:color w:val="auto"/>
          <w:sz w:val="28"/>
          <w:highlight w:val="none"/>
        </w:rPr>
      </w:pPr>
    </w:p>
    <w:p w14:paraId="25C045F4">
      <w:pPr>
        <w:spacing w:line="360" w:lineRule="auto"/>
        <w:rPr>
          <w:rFonts w:ascii="宋体" w:hAnsi="宋体" w:cs="宋体"/>
          <w:b/>
          <w:color w:val="auto"/>
          <w:sz w:val="28"/>
          <w:highlight w:val="none"/>
        </w:rPr>
      </w:pPr>
    </w:p>
    <w:p w14:paraId="3C2D5E60">
      <w:pPr>
        <w:spacing w:line="360" w:lineRule="auto"/>
        <w:rPr>
          <w:rFonts w:ascii="宋体" w:hAnsi="宋体" w:cs="宋体"/>
          <w:b/>
          <w:color w:val="auto"/>
          <w:sz w:val="28"/>
          <w:highlight w:val="none"/>
        </w:rPr>
      </w:pPr>
    </w:p>
    <w:p w14:paraId="47848AC7">
      <w:pPr>
        <w:tabs>
          <w:tab w:val="left" w:pos="2460"/>
        </w:tabs>
        <w:spacing w:line="360" w:lineRule="auto"/>
        <w:rPr>
          <w:rFonts w:hint="eastAsia" w:ascii="宋体" w:hAnsi="宋体" w:cs="宋体"/>
          <w:b/>
          <w:color w:val="auto"/>
          <w:sz w:val="28"/>
          <w:highlight w:val="none"/>
        </w:rPr>
        <w:sectPr>
          <w:pgSz w:w="11906" w:h="16838"/>
          <w:pgMar w:top="1440" w:right="1800" w:bottom="1440" w:left="1800" w:header="851" w:footer="992" w:gutter="0"/>
          <w:cols w:space="720" w:num="1"/>
          <w:docGrid w:type="lines" w:linePitch="312" w:charSpace="0"/>
        </w:sectPr>
      </w:pPr>
    </w:p>
    <w:p w14:paraId="7C25254A">
      <w:pPr>
        <w:spacing w:line="360" w:lineRule="auto"/>
        <w:rPr>
          <w:rFonts w:ascii="宋体" w:hAnsi="宋体"/>
          <w:b/>
          <w:sz w:val="28"/>
          <w:highlight w:val="none"/>
        </w:rPr>
      </w:pPr>
      <w:r>
        <w:rPr>
          <w:rFonts w:hint="eastAsia" w:ascii="宋体" w:hAnsi="宋体"/>
          <w:b/>
          <w:sz w:val="28"/>
          <w:highlight w:val="none"/>
        </w:rPr>
        <w:t>附件</w:t>
      </w:r>
      <w:r>
        <w:rPr>
          <w:rFonts w:hint="eastAsia" w:ascii="宋体" w:hAnsi="宋体"/>
          <w:b/>
          <w:sz w:val="28"/>
          <w:highlight w:val="none"/>
          <w:lang w:val="en-US" w:eastAsia="zh-CN"/>
        </w:rPr>
        <w:t>13</w:t>
      </w:r>
      <w:r>
        <w:rPr>
          <w:rFonts w:hint="eastAsia" w:ascii="宋体" w:hAnsi="宋体"/>
          <w:b/>
          <w:sz w:val="28"/>
          <w:highlight w:val="none"/>
        </w:rPr>
        <w:t>:</w:t>
      </w:r>
    </w:p>
    <w:p w14:paraId="0375B8CF">
      <w:pPr>
        <w:pStyle w:val="70"/>
        <w:spacing w:line="360" w:lineRule="auto"/>
        <w:jc w:val="center"/>
        <w:rPr>
          <w:rFonts w:ascii="宋体" w:hAnsi="宋体"/>
          <w:b/>
          <w:sz w:val="32"/>
          <w:szCs w:val="32"/>
          <w:highlight w:val="none"/>
        </w:rPr>
      </w:pPr>
      <w:r>
        <w:rPr>
          <w:rFonts w:hint="eastAsia" w:ascii="宋体" w:hAnsi="宋体"/>
          <w:b/>
          <w:sz w:val="32"/>
          <w:szCs w:val="32"/>
          <w:highlight w:val="none"/>
        </w:rPr>
        <w:t>类似项目实施情况一览表</w:t>
      </w:r>
    </w:p>
    <w:p w14:paraId="1EBFB4D3">
      <w:pPr>
        <w:pStyle w:val="70"/>
        <w:spacing w:line="360" w:lineRule="auto"/>
        <w:ind w:left="-1" w:leftChars="-270" w:hanging="566" w:hangingChars="235"/>
        <w:rPr>
          <w:rFonts w:ascii="宋体" w:hAnsi="宋体"/>
          <w:b/>
          <w:sz w:val="32"/>
          <w:szCs w:val="32"/>
          <w:highlight w:val="none"/>
        </w:rPr>
      </w:pPr>
      <w:r>
        <w:rPr>
          <w:rFonts w:hint="eastAsia" w:ascii="宋体" w:hAnsi="宋体"/>
          <w:b/>
          <w:bCs/>
          <w:sz w:val="24"/>
          <w:highlight w:val="none"/>
        </w:rPr>
        <w:t>项目名称及编号：</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10ADC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63CD79E1">
            <w:pPr>
              <w:pStyle w:val="70"/>
              <w:spacing w:line="360" w:lineRule="auto"/>
              <w:jc w:val="center"/>
              <w:rPr>
                <w:rFonts w:ascii="宋体" w:hAnsi="宋体" w:cs="Tahoma"/>
                <w:b/>
                <w:bCs/>
                <w:sz w:val="24"/>
                <w:highlight w:val="none"/>
              </w:rPr>
            </w:pPr>
            <w:r>
              <w:rPr>
                <w:rFonts w:hint="eastAsia" w:ascii="宋体" w:hAnsi="宋体" w:cs="Tahoma"/>
                <w:b/>
                <w:bCs/>
                <w:sz w:val="24"/>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1ED14E95">
            <w:pPr>
              <w:pStyle w:val="70"/>
              <w:spacing w:line="360" w:lineRule="auto"/>
              <w:jc w:val="center"/>
              <w:rPr>
                <w:rFonts w:ascii="宋体" w:hAnsi="宋体" w:cs="Tahoma"/>
                <w:b/>
                <w:bCs/>
                <w:sz w:val="24"/>
                <w:highlight w:val="none"/>
              </w:rPr>
            </w:pPr>
            <w:r>
              <w:rPr>
                <w:rFonts w:hint="eastAsia" w:ascii="宋体" w:hAnsi="宋体" w:cs="Tahoma"/>
                <w:b/>
                <w:bCs/>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4C62EC8D">
            <w:pPr>
              <w:pStyle w:val="70"/>
              <w:spacing w:line="360" w:lineRule="auto"/>
              <w:jc w:val="center"/>
              <w:rPr>
                <w:rFonts w:ascii="宋体" w:hAnsi="宋体" w:cs="Tahoma"/>
                <w:b/>
                <w:bCs/>
                <w:sz w:val="24"/>
                <w:highlight w:val="none"/>
              </w:rPr>
            </w:pPr>
            <w:r>
              <w:rPr>
                <w:rFonts w:hint="eastAsia" w:ascii="宋体" w:hAnsi="宋体" w:cs="Tahoma"/>
                <w:b/>
                <w:bCs/>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583834B">
            <w:pPr>
              <w:pStyle w:val="70"/>
              <w:spacing w:line="360" w:lineRule="auto"/>
              <w:jc w:val="center"/>
              <w:rPr>
                <w:rFonts w:ascii="宋体" w:hAnsi="宋体" w:cs="Tahoma"/>
                <w:b/>
                <w:bCs/>
                <w:sz w:val="24"/>
                <w:highlight w:val="none"/>
              </w:rPr>
            </w:pPr>
            <w:r>
              <w:rPr>
                <w:rFonts w:hint="eastAsia" w:ascii="宋体" w:hAnsi="宋体" w:cs="Tahoma"/>
                <w:b/>
                <w:bCs/>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37E948E5">
            <w:pPr>
              <w:pStyle w:val="70"/>
              <w:spacing w:line="360" w:lineRule="auto"/>
              <w:jc w:val="center"/>
              <w:rPr>
                <w:rFonts w:ascii="宋体" w:hAnsi="宋体" w:cs="Tahoma"/>
                <w:b/>
                <w:bCs/>
                <w:sz w:val="24"/>
                <w:highlight w:val="none"/>
              </w:rPr>
            </w:pPr>
            <w:r>
              <w:rPr>
                <w:rFonts w:hint="eastAsia" w:ascii="宋体" w:hAnsi="宋体" w:cs="Tahoma"/>
                <w:b/>
                <w:bCs/>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3EF7B1BE">
            <w:pPr>
              <w:pStyle w:val="70"/>
              <w:spacing w:line="360" w:lineRule="auto"/>
              <w:jc w:val="center"/>
              <w:rPr>
                <w:rFonts w:ascii="宋体" w:hAnsi="宋体" w:cs="Tahoma"/>
                <w:b/>
                <w:bCs/>
                <w:sz w:val="24"/>
                <w:highlight w:val="none"/>
              </w:rPr>
            </w:pPr>
            <w:r>
              <w:rPr>
                <w:rFonts w:hint="eastAsia" w:ascii="宋体" w:hAnsi="宋体" w:cs="Tahoma"/>
                <w:b/>
                <w:bCs/>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5DDBA286">
            <w:pPr>
              <w:pStyle w:val="70"/>
              <w:spacing w:line="360" w:lineRule="auto"/>
              <w:jc w:val="center"/>
              <w:rPr>
                <w:rFonts w:ascii="宋体" w:hAnsi="宋体" w:cs="Tahoma"/>
                <w:b/>
                <w:bCs/>
                <w:sz w:val="24"/>
                <w:highlight w:val="none"/>
              </w:rPr>
            </w:pPr>
            <w:r>
              <w:rPr>
                <w:rFonts w:hint="eastAsia" w:ascii="宋体" w:hAnsi="宋体" w:cs="Tahoma"/>
                <w:b/>
                <w:bCs/>
                <w:sz w:val="24"/>
                <w:highlight w:val="none"/>
              </w:rPr>
              <w:t>项目单位名称及其联系人电话</w:t>
            </w:r>
          </w:p>
        </w:tc>
      </w:tr>
      <w:tr w14:paraId="01E2F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1E7DE983">
            <w:pPr>
              <w:pStyle w:val="70"/>
              <w:spacing w:line="360" w:lineRule="auto"/>
              <w:jc w:val="center"/>
              <w:rPr>
                <w:rFonts w:ascii="宋体" w:hAnsi="宋体" w:cs="Tahoma"/>
                <w:sz w:val="24"/>
                <w:highlight w:val="none"/>
              </w:rPr>
            </w:pPr>
            <w:r>
              <w:rPr>
                <w:rFonts w:hint="eastAsia" w:ascii="宋体" w:hAnsi="宋体" w:cs="Tahoma"/>
                <w:sz w:val="24"/>
                <w:highlight w:val="none"/>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1B26D016">
            <w:pPr>
              <w:pStyle w:val="70"/>
              <w:spacing w:line="360" w:lineRule="auto"/>
              <w:rPr>
                <w:rFonts w:ascii="宋体" w:hAnsi="宋体" w:cs="Tahoma"/>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4E4F15A">
            <w:pPr>
              <w:pStyle w:val="70"/>
              <w:spacing w:line="360" w:lineRule="auto"/>
              <w:rPr>
                <w:rFonts w:ascii="宋体" w:hAnsi="宋体" w:cs="Tahoma"/>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D9530C4">
            <w:pPr>
              <w:pStyle w:val="70"/>
              <w:spacing w:line="360" w:lineRule="auto"/>
              <w:rPr>
                <w:rFonts w:ascii="宋体" w:hAnsi="宋体" w:cs="Tahoma"/>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5D1440D">
            <w:pPr>
              <w:pStyle w:val="70"/>
              <w:spacing w:line="360" w:lineRule="auto"/>
              <w:rPr>
                <w:rFonts w:ascii="宋体" w:hAnsi="宋体" w:cs="Tahoma"/>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4EB18AAD">
            <w:pPr>
              <w:pStyle w:val="70"/>
              <w:spacing w:line="360" w:lineRule="auto"/>
              <w:rPr>
                <w:rFonts w:ascii="宋体" w:hAnsi="宋体" w:cs="Tahoma"/>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58B0E1D">
            <w:pPr>
              <w:pStyle w:val="70"/>
              <w:spacing w:line="360" w:lineRule="auto"/>
              <w:rPr>
                <w:rFonts w:ascii="宋体" w:hAnsi="宋体" w:cs="Tahoma"/>
                <w:sz w:val="24"/>
                <w:highlight w:val="none"/>
              </w:rPr>
            </w:pPr>
          </w:p>
        </w:tc>
      </w:tr>
      <w:tr w14:paraId="30BAD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2B8B26F8">
            <w:pPr>
              <w:pStyle w:val="70"/>
              <w:spacing w:line="360" w:lineRule="auto"/>
              <w:jc w:val="center"/>
              <w:rPr>
                <w:rFonts w:ascii="宋体" w:hAnsi="宋体" w:cs="Tahoma"/>
                <w:sz w:val="24"/>
                <w:highlight w:val="none"/>
              </w:rPr>
            </w:pPr>
            <w:r>
              <w:rPr>
                <w:rFonts w:hint="eastAsia" w:ascii="宋体" w:hAnsi="宋体" w:cs="Tahoma"/>
                <w:sz w:val="24"/>
                <w:highlight w:val="none"/>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1C42CE00">
            <w:pPr>
              <w:pStyle w:val="70"/>
              <w:spacing w:line="360" w:lineRule="auto"/>
              <w:rPr>
                <w:rFonts w:ascii="宋体" w:hAnsi="宋体" w:cs="Tahoma"/>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2307A1CB">
            <w:pPr>
              <w:pStyle w:val="70"/>
              <w:spacing w:line="360" w:lineRule="auto"/>
              <w:rPr>
                <w:rFonts w:ascii="宋体" w:hAnsi="宋体" w:cs="Tahoma"/>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D501916">
            <w:pPr>
              <w:pStyle w:val="70"/>
              <w:spacing w:line="360" w:lineRule="auto"/>
              <w:rPr>
                <w:rFonts w:ascii="宋体" w:hAnsi="宋体" w:cs="Tahoma"/>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0EEF2C6">
            <w:pPr>
              <w:pStyle w:val="70"/>
              <w:spacing w:line="360" w:lineRule="auto"/>
              <w:rPr>
                <w:rFonts w:ascii="宋体" w:hAnsi="宋体" w:cs="Tahoma"/>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B9CF1D5">
            <w:pPr>
              <w:pStyle w:val="70"/>
              <w:spacing w:line="360" w:lineRule="auto"/>
              <w:rPr>
                <w:rFonts w:ascii="宋体" w:hAnsi="宋体" w:cs="Tahoma"/>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7D88F2E6">
            <w:pPr>
              <w:pStyle w:val="70"/>
              <w:spacing w:line="360" w:lineRule="auto"/>
              <w:rPr>
                <w:rFonts w:ascii="宋体" w:hAnsi="宋体" w:cs="Tahoma"/>
                <w:sz w:val="24"/>
                <w:highlight w:val="none"/>
              </w:rPr>
            </w:pPr>
          </w:p>
        </w:tc>
      </w:tr>
      <w:tr w14:paraId="24ED2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74DC2055">
            <w:pPr>
              <w:pStyle w:val="70"/>
              <w:spacing w:line="360" w:lineRule="auto"/>
              <w:jc w:val="center"/>
              <w:rPr>
                <w:rFonts w:ascii="宋体" w:hAnsi="宋体" w:cs="Tahoma"/>
                <w:sz w:val="24"/>
                <w:highlight w:val="none"/>
              </w:rPr>
            </w:pPr>
            <w:r>
              <w:rPr>
                <w:rFonts w:hint="eastAsia" w:ascii="宋体" w:hAnsi="宋体" w:cs="Tahoma"/>
                <w:sz w:val="24"/>
                <w:highlight w:val="none"/>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4FCAA768">
            <w:pPr>
              <w:pStyle w:val="70"/>
              <w:spacing w:line="360" w:lineRule="auto"/>
              <w:rPr>
                <w:rFonts w:ascii="宋体" w:hAnsi="宋体" w:cs="Tahoma"/>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20001F99">
            <w:pPr>
              <w:pStyle w:val="70"/>
              <w:spacing w:line="360" w:lineRule="auto"/>
              <w:rPr>
                <w:rFonts w:ascii="宋体" w:hAnsi="宋体" w:cs="Tahoma"/>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10FE00F">
            <w:pPr>
              <w:pStyle w:val="70"/>
              <w:spacing w:line="360" w:lineRule="auto"/>
              <w:rPr>
                <w:rFonts w:ascii="宋体" w:hAnsi="宋体" w:cs="Tahoma"/>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04729FE5">
            <w:pPr>
              <w:pStyle w:val="70"/>
              <w:spacing w:line="360" w:lineRule="auto"/>
              <w:rPr>
                <w:rFonts w:ascii="宋体" w:hAnsi="宋体" w:cs="Tahoma"/>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0B7B367">
            <w:pPr>
              <w:pStyle w:val="70"/>
              <w:spacing w:line="360" w:lineRule="auto"/>
              <w:rPr>
                <w:rFonts w:ascii="宋体" w:hAnsi="宋体" w:cs="Tahoma"/>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F61BD56">
            <w:pPr>
              <w:pStyle w:val="70"/>
              <w:spacing w:line="360" w:lineRule="auto"/>
              <w:rPr>
                <w:rFonts w:ascii="宋体" w:hAnsi="宋体" w:cs="Tahoma"/>
                <w:sz w:val="24"/>
                <w:highlight w:val="none"/>
              </w:rPr>
            </w:pPr>
          </w:p>
        </w:tc>
      </w:tr>
      <w:tr w14:paraId="06562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6F48D5F4">
            <w:pPr>
              <w:pStyle w:val="70"/>
              <w:spacing w:line="360" w:lineRule="auto"/>
              <w:rPr>
                <w:rFonts w:ascii="宋体" w:hAnsi="宋体" w:cs="Tahoma"/>
                <w:sz w:val="24"/>
                <w:highlight w:val="none"/>
              </w:rPr>
            </w:pPr>
            <w:r>
              <w:rPr>
                <w:rFonts w:hint="eastAsia" w:ascii="宋体" w:hAnsi="宋体" w:cs="Tahoma"/>
                <w:sz w:val="24"/>
                <w:highlight w:val="none"/>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4963EE60">
            <w:pPr>
              <w:pStyle w:val="70"/>
              <w:spacing w:line="360" w:lineRule="auto"/>
              <w:rPr>
                <w:rFonts w:ascii="宋体" w:hAnsi="宋体" w:cs="Tahoma"/>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7DC7F76C">
            <w:pPr>
              <w:pStyle w:val="70"/>
              <w:spacing w:line="360" w:lineRule="auto"/>
              <w:rPr>
                <w:rFonts w:ascii="宋体" w:hAnsi="宋体" w:cs="Tahoma"/>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22A8BF8">
            <w:pPr>
              <w:pStyle w:val="70"/>
              <w:spacing w:line="360" w:lineRule="auto"/>
              <w:rPr>
                <w:rFonts w:ascii="宋体" w:hAnsi="宋体" w:cs="Tahoma"/>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7939DD53">
            <w:pPr>
              <w:pStyle w:val="70"/>
              <w:spacing w:line="360" w:lineRule="auto"/>
              <w:rPr>
                <w:rFonts w:ascii="宋体" w:hAnsi="宋体" w:cs="Tahoma"/>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993965E">
            <w:pPr>
              <w:pStyle w:val="70"/>
              <w:spacing w:line="360" w:lineRule="auto"/>
              <w:rPr>
                <w:rFonts w:ascii="宋体" w:hAnsi="宋体" w:cs="Tahoma"/>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030174F9">
            <w:pPr>
              <w:pStyle w:val="70"/>
              <w:spacing w:line="360" w:lineRule="auto"/>
              <w:rPr>
                <w:rFonts w:ascii="宋体" w:hAnsi="宋体" w:cs="Tahoma"/>
                <w:sz w:val="24"/>
                <w:highlight w:val="none"/>
              </w:rPr>
            </w:pPr>
          </w:p>
        </w:tc>
      </w:tr>
      <w:tr w14:paraId="4928C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67373B55">
            <w:pPr>
              <w:pStyle w:val="70"/>
              <w:spacing w:line="360" w:lineRule="auto"/>
              <w:rPr>
                <w:rFonts w:ascii="宋体" w:hAnsi="宋体" w:cs="Tahoma"/>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6E24552">
            <w:pPr>
              <w:pStyle w:val="70"/>
              <w:spacing w:line="360" w:lineRule="auto"/>
              <w:rPr>
                <w:rFonts w:ascii="宋体" w:hAnsi="宋体" w:cs="Tahoma"/>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5D2E7F02">
            <w:pPr>
              <w:pStyle w:val="70"/>
              <w:spacing w:line="360" w:lineRule="auto"/>
              <w:rPr>
                <w:rFonts w:ascii="宋体" w:hAnsi="宋体" w:cs="Tahoma"/>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27C98A2">
            <w:pPr>
              <w:pStyle w:val="70"/>
              <w:spacing w:line="360" w:lineRule="auto"/>
              <w:rPr>
                <w:rFonts w:ascii="宋体" w:hAnsi="宋体" w:cs="Tahoma"/>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6121D94">
            <w:pPr>
              <w:pStyle w:val="70"/>
              <w:spacing w:line="360" w:lineRule="auto"/>
              <w:rPr>
                <w:rFonts w:ascii="宋体" w:hAnsi="宋体" w:cs="Tahoma"/>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CBAA2FE">
            <w:pPr>
              <w:pStyle w:val="70"/>
              <w:spacing w:line="360" w:lineRule="auto"/>
              <w:rPr>
                <w:rFonts w:ascii="宋体" w:hAnsi="宋体" w:cs="Tahoma"/>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249C3D5E">
            <w:pPr>
              <w:pStyle w:val="70"/>
              <w:spacing w:line="360" w:lineRule="auto"/>
              <w:rPr>
                <w:rFonts w:ascii="宋体" w:hAnsi="宋体" w:cs="Tahoma"/>
                <w:sz w:val="24"/>
                <w:highlight w:val="none"/>
              </w:rPr>
            </w:pPr>
          </w:p>
        </w:tc>
      </w:tr>
      <w:tr w14:paraId="51429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4F99B89F">
            <w:pPr>
              <w:pStyle w:val="70"/>
              <w:spacing w:line="360" w:lineRule="auto"/>
              <w:rPr>
                <w:rFonts w:ascii="宋体" w:hAnsi="宋体" w:cs="Tahoma"/>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31424D6D">
            <w:pPr>
              <w:pStyle w:val="70"/>
              <w:spacing w:line="360" w:lineRule="auto"/>
              <w:rPr>
                <w:rFonts w:ascii="宋体" w:hAnsi="宋体" w:cs="Tahoma"/>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5101985E">
            <w:pPr>
              <w:pStyle w:val="70"/>
              <w:spacing w:line="360" w:lineRule="auto"/>
              <w:rPr>
                <w:rFonts w:ascii="宋体" w:hAnsi="宋体" w:cs="Tahoma"/>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8C19DE5">
            <w:pPr>
              <w:pStyle w:val="70"/>
              <w:spacing w:line="360" w:lineRule="auto"/>
              <w:rPr>
                <w:rFonts w:ascii="宋体" w:hAnsi="宋体" w:cs="Tahoma"/>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096FA887">
            <w:pPr>
              <w:pStyle w:val="70"/>
              <w:spacing w:line="360" w:lineRule="auto"/>
              <w:rPr>
                <w:rFonts w:ascii="宋体" w:hAnsi="宋体" w:cs="Tahoma"/>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51CCCE3F">
            <w:pPr>
              <w:pStyle w:val="70"/>
              <w:spacing w:line="360" w:lineRule="auto"/>
              <w:rPr>
                <w:rFonts w:ascii="宋体" w:hAnsi="宋体" w:cs="Tahoma"/>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34D171F1">
            <w:pPr>
              <w:pStyle w:val="70"/>
              <w:spacing w:line="360" w:lineRule="auto"/>
              <w:rPr>
                <w:rFonts w:ascii="宋体" w:hAnsi="宋体" w:cs="Tahoma"/>
                <w:sz w:val="24"/>
                <w:highlight w:val="none"/>
              </w:rPr>
            </w:pPr>
          </w:p>
        </w:tc>
      </w:tr>
      <w:tr w14:paraId="0F5F5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61F3FADE">
            <w:pPr>
              <w:pStyle w:val="70"/>
              <w:spacing w:line="360" w:lineRule="auto"/>
              <w:rPr>
                <w:rFonts w:ascii="宋体" w:hAnsi="宋体" w:cs="Tahoma"/>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4529AE98">
            <w:pPr>
              <w:pStyle w:val="70"/>
              <w:spacing w:line="360" w:lineRule="auto"/>
              <w:rPr>
                <w:rFonts w:ascii="宋体" w:hAnsi="宋体" w:cs="Tahoma"/>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722BD2C9">
            <w:pPr>
              <w:pStyle w:val="70"/>
              <w:spacing w:line="360" w:lineRule="auto"/>
              <w:rPr>
                <w:rFonts w:ascii="宋体" w:hAnsi="宋体" w:cs="Tahoma"/>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D2AB203">
            <w:pPr>
              <w:pStyle w:val="70"/>
              <w:spacing w:line="360" w:lineRule="auto"/>
              <w:rPr>
                <w:rFonts w:ascii="宋体" w:hAnsi="宋体" w:cs="Tahoma"/>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F79E4C4">
            <w:pPr>
              <w:pStyle w:val="70"/>
              <w:spacing w:line="360" w:lineRule="auto"/>
              <w:rPr>
                <w:rFonts w:ascii="宋体" w:hAnsi="宋体" w:cs="Tahoma"/>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300A11F2">
            <w:pPr>
              <w:pStyle w:val="70"/>
              <w:spacing w:line="360" w:lineRule="auto"/>
              <w:rPr>
                <w:rFonts w:ascii="宋体" w:hAnsi="宋体" w:cs="Tahoma"/>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343FFCB3">
            <w:pPr>
              <w:pStyle w:val="70"/>
              <w:spacing w:line="360" w:lineRule="auto"/>
              <w:rPr>
                <w:rFonts w:ascii="宋体" w:hAnsi="宋体" w:cs="Tahoma"/>
                <w:sz w:val="24"/>
                <w:highlight w:val="none"/>
              </w:rPr>
            </w:pPr>
          </w:p>
        </w:tc>
      </w:tr>
    </w:tbl>
    <w:p w14:paraId="16D215A4">
      <w:pPr>
        <w:autoSpaceDE w:val="0"/>
        <w:autoSpaceDN w:val="0"/>
        <w:adjustRightInd w:val="0"/>
        <w:spacing w:before="156" w:beforeLines="50" w:line="360" w:lineRule="auto"/>
        <w:rPr>
          <w:rFonts w:ascii="宋体" w:hAnsi="宋体" w:cs="Tahoma"/>
          <w:b/>
          <w:szCs w:val="21"/>
          <w:highlight w:val="none"/>
        </w:rPr>
      </w:pPr>
      <w:r>
        <w:rPr>
          <w:rFonts w:hint="eastAsia" w:ascii="宋体" w:hAnsi="宋体" w:cs="Tahoma"/>
          <w:b/>
          <w:szCs w:val="21"/>
          <w:highlight w:val="none"/>
        </w:rPr>
        <w:t>要求</w:t>
      </w:r>
      <w:r>
        <w:rPr>
          <w:rFonts w:ascii="宋体" w:hAnsi="宋体" w:cs="Tahoma"/>
          <w:b/>
          <w:szCs w:val="21"/>
          <w:highlight w:val="none"/>
        </w:rPr>
        <w:t>：</w:t>
      </w:r>
    </w:p>
    <w:p w14:paraId="51EFCED8">
      <w:pPr>
        <w:spacing w:line="360" w:lineRule="auto"/>
        <w:ind w:firstLine="420" w:firstLineChars="200"/>
        <w:rPr>
          <w:rFonts w:ascii="宋体" w:cs="Arial"/>
          <w:szCs w:val="21"/>
          <w:highlight w:val="none"/>
        </w:rPr>
      </w:pPr>
      <w:r>
        <w:rPr>
          <w:rFonts w:ascii="宋体" w:hAnsi="宋体" w:cs="Tahoma"/>
          <w:szCs w:val="21"/>
          <w:highlight w:val="none"/>
        </w:rPr>
        <w:t>1</w:t>
      </w:r>
      <w:r>
        <w:rPr>
          <w:rFonts w:hint="eastAsia" w:ascii="宋体" w:hAnsi="宋体" w:cs="Tahoma"/>
          <w:szCs w:val="21"/>
          <w:highlight w:val="none"/>
        </w:rPr>
        <w:t>.</w:t>
      </w:r>
      <w:r>
        <w:rPr>
          <w:rFonts w:ascii="宋体" w:hAnsi="宋体" w:cs="Tahoma"/>
          <w:szCs w:val="21"/>
          <w:highlight w:val="none"/>
        </w:rPr>
        <w:t>业绩证明应提供证明材料</w:t>
      </w:r>
      <w:r>
        <w:rPr>
          <w:rFonts w:hint="eastAsia" w:ascii="宋体" w:hAnsi="宋体" w:cs="Tahoma"/>
          <w:szCs w:val="21"/>
          <w:highlight w:val="none"/>
        </w:rPr>
        <w:t>的扫描件，</w:t>
      </w:r>
      <w:r>
        <w:rPr>
          <w:rFonts w:hint="eastAsia" w:ascii="宋体" w:hAnsi="宋体" w:cs="Tahoma"/>
          <w:szCs w:val="21"/>
          <w:highlight w:val="none"/>
          <w:lang w:val="en-US" w:eastAsia="zh-CN"/>
        </w:rPr>
        <w:t>具体证明材料根据评标办法。</w:t>
      </w:r>
      <w:r>
        <w:rPr>
          <w:rFonts w:hint="eastAsia" w:ascii="宋体" w:hAnsi="宋体" w:cs="Tahoma"/>
          <w:szCs w:val="21"/>
          <w:highlight w:val="none"/>
          <w:lang w:eastAsia="zh-CN"/>
        </w:rPr>
        <w:t>（</w:t>
      </w:r>
      <w:r>
        <w:rPr>
          <w:rFonts w:hint="eastAsia" w:ascii="宋体" w:cs="Arial"/>
          <w:szCs w:val="21"/>
          <w:highlight w:val="none"/>
        </w:rPr>
        <w:t>其中</w:t>
      </w:r>
      <w:r>
        <w:rPr>
          <w:rFonts w:ascii="宋体" w:cs="Arial"/>
          <w:szCs w:val="21"/>
          <w:highlight w:val="none"/>
        </w:rPr>
        <w:t>合同</w:t>
      </w:r>
      <w:r>
        <w:rPr>
          <w:rFonts w:hint="eastAsia" w:ascii="宋体" w:cs="Arial"/>
          <w:szCs w:val="21"/>
          <w:highlight w:val="none"/>
        </w:rPr>
        <w:t>扫描件可只提供首页、含金额页、内容</w:t>
      </w:r>
      <w:r>
        <w:rPr>
          <w:rFonts w:ascii="宋体" w:cs="Arial"/>
          <w:szCs w:val="21"/>
          <w:highlight w:val="none"/>
        </w:rPr>
        <w:t>页、</w:t>
      </w:r>
      <w:r>
        <w:rPr>
          <w:rFonts w:hint="eastAsia" w:ascii="宋体" w:cs="Arial"/>
          <w:szCs w:val="21"/>
          <w:highlight w:val="none"/>
        </w:rPr>
        <w:t>盖章页并加盖投标供应商公章</w:t>
      </w:r>
      <w:r>
        <w:rPr>
          <w:rFonts w:hint="eastAsia" w:ascii="宋体" w:cs="Arial"/>
          <w:szCs w:val="21"/>
          <w:highlight w:val="none"/>
          <w:lang w:eastAsia="zh-CN"/>
        </w:rPr>
        <w:t>）</w:t>
      </w:r>
      <w:r>
        <w:rPr>
          <w:rFonts w:ascii="宋体" w:cs="Arial"/>
          <w:szCs w:val="21"/>
          <w:highlight w:val="none"/>
        </w:rPr>
        <w:t>；</w:t>
      </w:r>
    </w:p>
    <w:p w14:paraId="6AB5220D">
      <w:pPr>
        <w:spacing w:line="360" w:lineRule="auto"/>
        <w:ind w:firstLine="424" w:firstLineChars="202"/>
        <w:jc w:val="left"/>
        <w:rPr>
          <w:rFonts w:ascii="宋体" w:hAnsi="宋体" w:cs="Tahoma"/>
          <w:szCs w:val="21"/>
          <w:highlight w:val="none"/>
        </w:rPr>
      </w:pPr>
      <w:r>
        <w:rPr>
          <w:rFonts w:ascii="宋体" w:hAnsi="宋体" w:cs="Tahoma"/>
          <w:szCs w:val="21"/>
          <w:highlight w:val="none"/>
        </w:rPr>
        <w:t>2</w:t>
      </w:r>
      <w:r>
        <w:rPr>
          <w:rFonts w:hint="eastAsia" w:ascii="宋体" w:hAnsi="宋体" w:cs="Tahoma"/>
          <w:szCs w:val="21"/>
          <w:highlight w:val="none"/>
        </w:rPr>
        <w:t>.磋商供应商</w:t>
      </w:r>
      <w:r>
        <w:rPr>
          <w:rFonts w:ascii="宋体" w:hAnsi="宋体" w:cs="Tahoma"/>
          <w:szCs w:val="21"/>
          <w:highlight w:val="none"/>
        </w:rPr>
        <w:t>可按此表格式复制</w:t>
      </w:r>
      <w:r>
        <w:rPr>
          <w:rFonts w:hint="eastAsia" w:ascii="宋体" w:hAnsi="宋体" w:cs="Tahoma"/>
          <w:szCs w:val="21"/>
          <w:highlight w:val="none"/>
        </w:rPr>
        <w:t>。</w:t>
      </w:r>
    </w:p>
    <w:p w14:paraId="20ED84B5">
      <w:pPr>
        <w:snapToGrid w:val="0"/>
        <w:spacing w:before="50" w:after="156" w:afterLines="50" w:line="360" w:lineRule="auto"/>
        <w:jc w:val="left"/>
        <w:rPr>
          <w:rFonts w:ascii="宋体" w:hAnsi="宋体"/>
          <w:sz w:val="24"/>
          <w:szCs w:val="20"/>
          <w:highlight w:val="none"/>
        </w:rPr>
      </w:pPr>
    </w:p>
    <w:p w14:paraId="1B875FEE">
      <w:pPr>
        <w:pStyle w:val="32"/>
        <w:rPr>
          <w:rFonts w:hint="eastAsia"/>
          <w:highlight w:val="none"/>
        </w:rPr>
      </w:pPr>
    </w:p>
    <w:p w14:paraId="3B619DE1">
      <w:pPr>
        <w:spacing w:line="360" w:lineRule="auto"/>
        <w:ind w:left="420"/>
        <w:rPr>
          <w:rFonts w:ascii="宋体" w:hAnsi="宋体"/>
          <w:sz w:val="24"/>
          <w:highlight w:val="none"/>
          <w:u w:val="single"/>
        </w:rPr>
      </w:pPr>
      <w:r>
        <w:rPr>
          <w:rFonts w:hint="eastAsia" w:ascii="宋体" w:hAnsi="宋体"/>
          <w:sz w:val="24"/>
          <w:highlight w:val="none"/>
        </w:rPr>
        <w:t>磋商供应商名称（公章）：</w:t>
      </w:r>
      <w:r>
        <w:rPr>
          <w:rFonts w:hint="eastAsia" w:ascii="宋体" w:hAnsi="宋体"/>
          <w:sz w:val="24"/>
          <w:highlight w:val="none"/>
          <w:u w:val="single"/>
        </w:rPr>
        <w:t xml:space="preserve">                      </w:t>
      </w:r>
      <w:r>
        <w:rPr>
          <w:rFonts w:hint="eastAsia" w:ascii="宋体" w:hAnsi="宋体"/>
          <w:sz w:val="24"/>
          <w:highlight w:val="none"/>
        </w:rPr>
        <w:t xml:space="preserve"> </w:t>
      </w:r>
    </w:p>
    <w:p w14:paraId="2309CE1C">
      <w:pPr>
        <w:spacing w:line="360" w:lineRule="auto"/>
        <w:ind w:firstLine="435"/>
        <w:rPr>
          <w:rFonts w:ascii="宋体" w:hAnsi="宋体"/>
          <w:sz w:val="24"/>
          <w:highlight w:val="none"/>
        </w:rPr>
      </w:pPr>
      <w:r>
        <w:rPr>
          <w:rFonts w:hint="eastAsia" w:ascii="宋体" w:hAnsi="宋体"/>
          <w:sz w:val="24"/>
          <w:highlight w:val="none"/>
        </w:rPr>
        <w:t>磋商供应商代表</w:t>
      </w:r>
      <w:r>
        <w:rPr>
          <w:rFonts w:hint="eastAsia" w:ascii="宋体" w:hAnsi="宋体"/>
          <w:sz w:val="24"/>
          <w:highlight w:val="none"/>
          <w:lang w:val="en-US" w:eastAsia="zh-CN"/>
        </w:rPr>
        <w:t>或法定代表人</w:t>
      </w:r>
      <w:r>
        <w:rPr>
          <w:rFonts w:hint="eastAsia" w:ascii="宋体" w:hAnsi="宋体"/>
          <w:sz w:val="24"/>
          <w:highlight w:val="none"/>
        </w:rPr>
        <w:t>签章或签字：</w:t>
      </w:r>
      <w:r>
        <w:rPr>
          <w:rFonts w:hint="eastAsia" w:ascii="宋体" w:hAnsi="宋体"/>
          <w:sz w:val="24"/>
          <w:highlight w:val="none"/>
          <w:u w:val="single"/>
        </w:rPr>
        <w:t xml:space="preserve">                      </w:t>
      </w:r>
    </w:p>
    <w:p w14:paraId="2C8CE8C9">
      <w:pPr>
        <w:spacing w:line="360" w:lineRule="auto"/>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14:paraId="6D51EDFE">
      <w:pPr>
        <w:keepNext w:val="0"/>
        <w:keepLines w:val="0"/>
        <w:pageBreakBefore w:val="0"/>
        <w:widowControl w:val="0"/>
        <w:tabs>
          <w:tab w:val="left" w:pos="2460"/>
        </w:tabs>
        <w:kinsoku/>
        <w:wordWrap/>
        <w:overflowPunct/>
        <w:topLinePunct w:val="0"/>
        <w:autoSpaceDE/>
        <w:autoSpaceDN/>
        <w:bidi w:val="0"/>
        <w:adjustRightInd/>
        <w:snapToGrid/>
        <w:spacing w:line="360" w:lineRule="auto"/>
        <w:ind w:firstLine="420" w:firstLineChars="175"/>
        <w:textAlignment w:val="auto"/>
        <w:rPr>
          <w:rFonts w:hint="eastAsia" w:ascii="宋体" w:hAnsi="宋体" w:cs="宋体"/>
          <w:b/>
          <w:color w:val="auto"/>
          <w:sz w:val="28"/>
          <w:highlight w:val="none"/>
        </w:rPr>
        <w:sectPr>
          <w:pgSz w:w="11906" w:h="16838"/>
          <w:pgMar w:top="1440" w:right="1800" w:bottom="1440" w:left="1800" w:header="851" w:footer="992" w:gutter="0"/>
          <w:cols w:space="720" w:num="1"/>
          <w:docGrid w:type="lines" w:linePitch="312" w:charSpace="0"/>
        </w:sectPr>
      </w:pPr>
      <w:r>
        <w:rPr>
          <w:rFonts w:hint="eastAsia" w:ascii="宋体" w:hAnsi="宋体"/>
          <w:sz w:val="24"/>
          <w:highlight w:val="none"/>
        </w:rPr>
        <w:t>日        期：</w:t>
      </w:r>
      <w:r>
        <w:rPr>
          <w:rFonts w:hint="eastAsia" w:ascii="宋体" w:hAnsi="宋体"/>
          <w:sz w:val="24"/>
          <w:highlight w:val="none"/>
          <w:u w:val="single"/>
        </w:rPr>
        <w:t xml:space="preserve">                            </w:t>
      </w:r>
    </w:p>
    <w:p w14:paraId="692A235E">
      <w:pPr>
        <w:tabs>
          <w:tab w:val="left" w:pos="2460"/>
        </w:tabs>
        <w:spacing w:line="360" w:lineRule="auto"/>
        <w:rPr>
          <w:rFonts w:ascii="宋体" w:hAnsi="宋体" w:cs="宋体"/>
          <w:b/>
          <w:color w:val="auto"/>
          <w:sz w:val="30"/>
          <w:szCs w:val="30"/>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14</w:t>
      </w:r>
      <w:r>
        <w:rPr>
          <w:rFonts w:hint="eastAsia" w:ascii="宋体" w:hAnsi="宋体" w:cs="宋体"/>
          <w:b/>
          <w:color w:val="auto"/>
          <w:sz w:val="28"/>
          <w:highlight w:val="none"/>
        </w:rPr>
        <w:t xml:space="preserve">:  </w:t>
      </w:r>
      <w:r>
        <w:rPr>
          <w:rFonts w:hint="eastAsia" w:ascii="宋体" w:hAnsi="宋体" w:cs="宋体"/>
          <w:b/>
          <w:color w:val="auto"/>
          <w:sz w:val="28"/>
          <w:highlight w:val="none"/>
        </w:rPr>
        <w:tab/>
      </w:r>
      <w:r>
        <w:rPr>
          <w:rFonts w:hint="eastAsia" w:ascii="宋体" w:hAnsi="宋体" w:cs="宋体"/>
          <w:b/>
          <w:color w:val="auto"/>
          <w:sz w:val="30"/>
          <w:szCs w:val="30"/>
          <w:highlight w:val="none"/>
        </w:rPr>
        <w:t xml:space="preserve">                              </w:t>
      </w:r>
    </w:p>
    <w:p w14:paraId="48AEB022">
      <w:pP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首次报价一览表</w:t>
      </w:r>
    </w:p>
    <w:p w14:paraId="0E5FD17C">
      <w:pPr>
        <w:pStyle w:val="19"/>
        <w:spacing w:line="320" w:lineRule="exact"/>
        <w:rPr>
          <w:rFonts w:ascii="宋体" w:hAnsi="宋体" w:eastAsia="宋体" w:cs="宋体"/>
          <w:b/>
          <w:color w:val="auto"/>
          <w:sz w:val="24"/>
          <w:highlight w:val="none"/>
        </w:rPr>
      </w:pPr>
    </w:p>
    <w:p w14:paraId="4C2C2F69">
      <w:pPr>
        <w:pStyle w:val="70"/>
        <w:spacing w:line="360" w:lineRule="auto"/>
        <w:ind w:left="-1" w:leftChars="-270" w:hanging="566" w:hangingChars="235"/>
        <w:rPr>
          <w:rFonts w:ascii="宋体" w:hAnsi="宋体" w:cs="宋体"/>
          <w:color w:val="auto"/>
          <w:sz w:val="24"/>
          <w:highlight w:val="none"/>
        </w:rPr>
      </w:pPr>
      <w:r>
        <w:rPr>
          <w:rFonts w:hint="eastAsia" w:ascii="宋体" w:hAnsi="宋体"/>
          <w:b/>
          <w:bCs/>
          <w:sz w:val="24"/>
          <w:highlight w:val="none"/>
        </w:rPr>
        <w:t>项目名称及编号：</w:t>
      </w:r>
      <w:r>
        <w:rPr>
          <w:rFonts w:hint="eastAsia" w:ascii="宋体" w:hAnsi="宋体" w:cs="宋体"/>
          <w:b/>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eastAsia="宋体" w:cs="宋体"/>
          <w:b/>
          <w:color w:val="auto"/>
          <w:kern w:val="2"/>
          <w:sz w:val="24"/>
          <w:szCs w:val="24"/>
          <w:highlight w:val="none"/>
          <w:lang w:val="en-US" w:eastAsia="zh-CN" w:bidi="ar-SA"/>
        </w:rPr>
        <w:t xml:space="preserve"> [货币单位：人民币元，保留整数]</w:t>
      </w:r>
    </w:p>
    <w:tbl>
      <w:tblPr>
        <w:tblStyle w:val="35"/>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929"/>
      </w:tblGrid>
      <w:tr w14:paraId="522F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3" w:hRule="atLeast"/>
          <w:jc w:val="center"/>
        </w:trPr>
        <w:tc>
          <w:tcPr>
            <w:tcW w:w="2694" w:type="dxa"/>
            <w:vMerge w:val="restart"/>
            <w:vAlign w:val="center"/>
          </w:tcPr>
          <w:p w14:paraId="346D7ACD">
            <w:pPr>
              <w:autoSpaceDE w:val="0"/>
              <w:autoSpaceDN w:val="0"/>
              <w:spacing w:line="450" w:lineRule="exact"/>
              <w:ind w:firstLine="720" w:firstLineChars="300"/>
              <w:textAlignment w:val="bottom"/>
              <w:rPr>
                <w:rFonts w:ascii="宋体" w:hAnsi="宋体" w:cs="宋体"/>
                <w:color w:val="auto"/>
                <w:sz w:val="24"/>
                <w:highlight w:val="none"/>
              </w:rPr>
            </w:pPr>
            <w:r>
              <w:rPr>
                <w:rFonts w:hint="eastAsia" w:ascii="宋体" w:hAnsi="宋体" w:cs="宋体"/>
                <w:sz w:val="24"/>
                <w:highlight w:val="none"/>
                <w:lang w:eastAsia="zh-CN"/>
              </w:rPr>
              <w:t>总报价（元）</w:t>
            </w:r>
          </w:p>
        </w:tc>
        <w:tc>
          <w:tcPr>
            <w:tcW w:w="1349" w:type="dxa"/>
            <w:vAlign w:val="center"/>
          </w:tcPr>
          <w:p w14:paraId="20BE005E">
            <w:pP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sz w:val="24"/>
                <w:highlight w:val="none"/>
              </w:rPr>
              <w:t>大写</w:t>
            </w:r>
          </w:p>
        </w:tc>
        <w:tc>
          <w:tcPr>
            <w:tcW w:w="4929" w:type="dxa"/>
            <w:vAlign w:val="center"/>
          </w:tcPr>
          <w:p w14:paraId="2D2AF0F0">
            <w:pPr>
              <w:autoSpaceDE w:val="0"/>
              <w:autoSpaceDN w:val="0"/>
              <w:spacing w:line="450" w:lineRule="exact"/>
              <w:ind w:firstLine="1440" w:firstLineChars="600"/>
              <w:textAlignment w:val="bottom"/>
              <w:rPr>
                <w:rFonts w:hint="eastAsia" w:ascii="宋体" w:hAnsi="宋体" w:eastAsia="宋体" w:cs="宋体"/>
                <w:color w:val="auto"/>
                <w:sz w:val="24"/>
                <w:highlight w:val="none"/>
                <w:lang w:eastAsia="zh-CN"/>
              </w:rPr>
            </w:pP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元</w:t>
            </w:r>
            <w:r>
              <w:rPr>
                <w:rFonts w:hint="eastAsia" w:ascii="宋体" w:hAnsi="宋体" w:cs="宋体"/>
                <w:sz w:val="24"/>
                <w:highlight w:val="none"/>
                <w:lang w:val="en-US" w:eastAsia="zh-CN"/>
              </w:rPr>
              <w:t xml:space="preserve"> </w:t>
            </w:r>
          </w:p>
        </w:tc>
      </w:tr>
      <w:tr w14:paraId="3BB8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2" w:hRule="atLeast"/>
          <w:jc w:val="center"/>
        </w:trPr>
        <w:tc>
          <w:tcPr>
            <w:tcW w:w="2694" w:type="dxa"/>
            <w:vMerge w:val="continue"/>
            <w:vAlign w:val="center"/>
          </w:tcPr>
          <w:p w14:paraId="036384FB">
            <w:pPr>
              <w:rPr>
                <w:rFonts w:ascii="宋体" w:hAnsi="宋体" w:cs="宋体"/>
                <w:color w:val="auto"/>
                <w:sz w:val="24"/>
                <w:highlight w:val="none"/>
              </w:rPr>
            </w:pPr>
          </w:p>
        </w:tc>
        <w:tc>
          <w:tcPr>
            <w:tcW w:w="1349" w:type="dxa"/>
            <w:vAlign w:val="center"/>
          </w:tcPr>
          <w:p w14:paraId="2B4831D1">
            <w:pP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sz w:val="24"/>
                <w:highlight w:val="none"/>
              </w:rPr>
              <w:t>小写</w:t>
            </w:r>
          </w:p>
        </w:tc>
        <w:tc>
          <w:tcPr>
            <w:tcW w:w="4929" w:type="dxa"/>
            <w:vAlign w:val="center"/>
          </w:tcPr>
          <w:p w14:paraId="0D637E9E">
            <w:pPr>
              <w:autoSpaceDE w:val="0"/>
              <w:autoSpaceDN w:val="0"/>
              <w:spacing w:line="450" w:lineRule="exact"/>
              <w:ind w:firstLine="1440" w:firstLineChars="600"/>
              <w:textAlignment w:val="bottom"/>
              <w:rPr>
                <w:rFonts w:hint="eastAsia" w:ascii="宋体" w:hAnsi="宋体" w:eastAsia="宋体" w:cs="宋体"/>
                <w:color w:val="auto"/>
                <w:sz w:val="24"/>
                <w:highlight w:val="none"/>
                <w:lang w:val="en-US" w:eastAsia="zh-CN"/>
              </w:rPr>
            </w:pP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元</w:t>
            </w:r>
          </w:p>
        </w:tc>
      </w:tr>
      <w:tr w14:paraId="3AC1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2" w:hRule="atLeast"/>
          <w:jc w:val="center"/>
        </w:trPr>
        <w:tc>
          <w:tcPr>
            <w:tcW w:w="2694" w:type="dxa"/>
            <w:vAlign w:val="center"/>
          </w:tcPr>
          <w:p w14:paraId="46D2280C">
            <w:pPr>
              <w:jc w:val="center"/>
              <w:rPr>
                <w:rFonts w:hint="eastAsia" w:ascii="宋体" w:hAnsi="宋体" w:eastAsia="宋体" w:cs="宋体"/>
                <w:color w:val="auto"/>
                <w:sz w:val="24"/>
                <w:highlight w:val="none"/>
                <w:lang w:eastAsia="zh-CN"/>
              </w:rPr>
            </w:pPr>
            <w:r>
              <w:rPr>
                <w:rFonts w:hint="eastAsia" w:ascii="宋体" w:hAnsi="宋体" w:eastAsia="宋体" w:cs="宋体"/>
                <w:sz w:val="24"/>
                <w:highlight w:val="none"/>
                <w:lang w:eastAsia="zh-CN"/>
              </w:rPr>
              <w:t>供货期限</w:t>
            </w:r>
          </w:p>
        </w:tc>
        <w:tc>
          <w:tcPr>
            <w:tcW w:w="6278" w:type="dxa"/>
            <w:gridSpan w:val="2"/>
            <w:vAlign w:val="center"/>
          </w:tcPr>
          <w:p w14:paraId="24138E15">
            <w:pPr>
              <w:autoSpaceDE w:val="0"/>
              <w:autoSpaceDN w:val="0"/>
              <w:spacing w:line="450" w:lineRule="exact"/>
              <w:jc w:val="center"/>
              <w:textAlignment w:val="bottom"/>
              <w:rPr>
                <w:rFonts w:hint="eastAsia" w:ascii="宋体" w:hAnsi="宋体" w:cs="宋体"/>
                <w:color w:val="auto"/>
                <w:sz w:val="24"/>
                <w:highlight w:val="none"/>
                <w:lang w:val="en-US" w:eastAsia="zh-CN"/>
              </w:rPr>
            </w:pPr>
            <w:r>
              <w:rPr>
                <w:rFonts w:hint="eastAsia" w:ascii="新宋体" w:hAnsi="新宋体" w:eastAsia="新宋体" w:cs="Times New Roman"/>
                <w:color w:val="000000"/>
                <w:sz w:val="22"/>
                <w:szCs w:val="22"/>
                <w:highlight w:val="none"/>
              </w:rPr>
              <w:t>自签订合同之日起</w:t>
            </w:r>
            <w:r>
              <w:rPr>
                <w:rFonts w:hint="eastAsia" w:ascii="新宋体" w:hAnsi="新宋体" w:eastAsia="新宋体" w:cs="Times New Roman"/>
                <w:color w:val="000000"/>
                <w:sz w:val="22"/>
                <w:szCs w:val="22"/>
                <w:highlight w:val="none"/>
                <w:lang w:val="en-US" w:eastAsia="zh-CN"/>
              </w:rPr>
              <w:t>1</w:t>
            </w:r>
            <w:r>
              <w:rPr>
                <w:rFonts w:hint="eastAsia" w:ascii="新宋体" w:hAnsi="新宋体" w:eastAsia="新宋体" w:cs="Times New Roman"/>
                <w:color w:val="000000"/>
                <w:sz w:val="22"/>
                <w:szCs w:val="22"/>
                <w:highlight w:val="none"/>
              </w:rPr>
              <w:t>个月内完成所有产品的供货、安装、调试、测试并通过验收。</w:t>
            </w:r>
          </w:p>
        </w:tc>
      </w:tr>
    </w:tbl>
    <w:p w14:paraId="0180152E">
      <w:pPr>
        <w:spacing w:line="360" w:lineRule="auto"/>
        <w:ind w:firstLine="420" w:firstLineChars="200"/>
        <w:rPr>
          <w:rFonts w:hint="eastAsia" w:ascii="宋体" w:hAnsi="宋体" w:eastAsia="宋体" w:cs="Times New Roman"/>
          <w:kern w:val="0"/>
          <w:szCs w:val="21"/>
          <w:highlight w:val="none"/>
        </w:rPr>
      </w:pPr>
      <w:r>
        <w:rPr>
          <w:rFonts w:hint="eastAsia" w:ascii="宋体" w:hAnsi="宋体"/>
          <w:kern w:val="0"/>
          <w:szCs w:val="21"/>
          <w:highlight w:val="none"/>
          <w:lang w:eastAsia="zh-CN"/>
        </w:rPr>
        <w:t>备注：</w:t>
      </w:r>
      <w:r>
        <w:rPr>
          <w:rFonts w:hint="eastAsia" w:ascii="宋体" w:hAnsi="宋体" w:eastAsia="宋体" w:cs="Times New Roman"/>
          <w:kern w:val="0"/>
          <w:szCs w:val="21"/>
          <w:highlight w:val="none"/>
        </w:rPr>
        <w:t>1.报价一经涂改，应在涂改处加盖单位公章，或者由法定代表人或全权代表签字或盖章，否则作无效标处理。</w:t>
      </w:r>
    </w:p>
    <w:p w14:paraId="06495B3D">
      <w:pPr>
        <w:spacing w:line="360" w:lineRule="auto"/>
        <w:ind w:firstLine="420" w:firstLineChars="200"/>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lang w:val="en-US" w:eastAsia="zh-CN"/>
        </w:rPr>
        <w:t>2.</w:t>
      </w:r>
      <w:r>
        <w:rPr>
          <w:rFonts w:hint="eastAsia" w:ascii="宋体" w:hAnsi="宋体" w:eastAsia="宋体" w:cs="Times New Roman"/>
          <w:kern w:val="0"/>
          <w:szCs w:val="21"/>
          <w:highlight w:val="none"/>
        </w:rPr>
        <w:t>本项目招标代理服务费中标人支付，由投标人自行考虑，分摊在各项投标报价中，结算时不再另行计取。</w:t>
      </w:r>
    </w:p>
    <w:p w14:paraId="73B39C6F">
      <w:pPr>
        <w:pStyle w:val="2"/>
        <w:ind w:left="0" w:leftChars="0" w:firstLine="0" w:firstLineChars="0"/>
        <w:rPr>
          <w:rFonts w:hint="default" w:eastAsia="宋体"/>
          <w:highlight w:val="none"/>
          <w:lang w:val="en-US" w:eastAsia="zh-CN"/>
        </w:rPr>
      </w:pPr>
    </w:p>
    <w:p w14:paraId="703A649A">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2374586">
      <w:pPr>
        <w:spacing w:line="360" w:lineRule="auto"/>
        <w:ind w:firstLine="435"/>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法定代表人或磋商供应商代表（签章或签字）</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B1DE475">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746B3CDC">
      <w:pPr>
        <w:spacing w:line="360" w:lineRule="auto"/>
        <w:ind w:firstLine="435"/>
        <w:rPr>
          <w:rFonts w:hint="eastAsia" w:ascii="宋体" w:hAnsi="宋体" w:cs="宋体"/>
          <w:color w:val="auto"/>
          <w:sz w:val="24"/>
          <w:highlight w:val="none"/>
          <w:u w:val="single"/>
        </w:rPr>
        <w:sectPr>
          <w:pgSz w:w="11906" w:h="16838"/>
          <w:pgMar w:top="1440" w:right="1800" w:bottom="1440" w:left="1800" w:header="851" w:footer="992" w:gutter="0"/>
          <w:cols w:space="720" w:num="1"/>
          <w:docGrid w:type="lines" w:linePitch="312" w:charSpace="0"/>
        </w:sect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2CB21D44">
      <w:pPr>
        <w:pStyle w:val="93"/>
        <w:snapToGrid w:val="0"/>
        <w:spacing w:line="500" w:lineRule="exact"/>
        <w:jc w:val="both"/>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15</w:t>
      </w:r>
      <w:r>
        <w:rPr>
          <w:rFonts w:hint="eastAsia" w:ascii="宋体" w:hAnsi="宋体" w:eastAsia="宋体" w:cs="宋体"/>
          <w:b/>
          <w:color w:val="auto"/>
          <w:sz w:val="28"/>
          <w:highlight w:val="none"/>
        </w:rPr>
        <w:t xml:space="preserve">:  </w:t>
      </w:r>
    </w:p>
    <w:p w14:paraId="3422077A">
      <w:pPr>
        <w:spacing w:line="360" w:lineRule="auto"/>
        <w:ind w:left="480"/>
        <w:jc w:val="center"/>
        <w:rPr>
          <w:rFonts w:ascii="宋体" w:hAnsi="宋体"/>
          <w:highlight w:val="none"/>
        </w:rPr>
      </w:pPr>
      <w:r>
        <w:rPr>
          <w:rFonts w:hint="eastAsia" w:ascii="宋体" w:hAnsi="宋体"/>
          <w:b/>
          <w:sz w:val="32"/>
          <w:szCs w:val="32"/>
          <w:highlight w:val="none"/>
        </w:rPr>
        <w:t xml:space="preserve">报价明细表 </w:t>
      </w:r>
    </w:p>
    <w:p w14:paraId="228FE37F">
      <w:pPr>
        <w:pStyle w:val="70"/>
        <w:spacing w:line="360" w:lineRule="auto"/>
        <w:ind w:left="-1" w:leftChars="-270" w:hanging="566" w:hangingChars="235"/>
        <w:rPr>
          <w:rFonts w:ascii="宋体" w:hAnsi="宋体" w:cs="宋体"/>
          <w:color w:val="auto"/>
          <w:sz w:val="24"/>
          <w:highlight w:val="none"/>
        </w:rPr>
      </w:pPr>
      <w:r>
        <w:rPr>
          <w:rFonts w:hint="eastAsia" w:ascii="宋体" w:hAnsi="宋体"/>
          <w:b/>
          <w:bCs/>
          <w:sz w:val="24"/>
          <w:highlight w:val="none"/>
        </w:rPr>
        <w:t>项目名称及编号：</w:t>
      </w:r>
      <w:r>
        <w:rPr>
          <w:rFonts w:hint="eastAsia" w:ascii="宋体" w:hAnsi="宋体" w:cs="宋体"/>
          <w:b/>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eastAsia="宋体" w:cs="宋体"/>
          <w:b/>
          <w:color w:val="auto"/>
          <w:kern w:val="2"/>
          <w:sz w:val="24"/>
          <w:szCs w:val="24"/>
          <w:highlight w:val="none"/>
          <w:lang w:val="en-US" w:eastAsia="zh-CN" w:bidi="ar-SA"/>
        </w:rPr>
        <w:t xml:space="preserve"> [货币单位：人民币元，保留整数]</w:t>
      </w:r>
    </w:p>
    <w:tbl>
      <w:tblPr>
        <w:tblStyle w:val="35"/>
        <w:tblW w:w="64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502"/>
        <w:gridCol w:w="1031"/>
        <w:gridCol w:w="1133"/>
        <w:gridCol w:w="1725"/>
        <w:gridCol w:w="1573"/>
        <w:gridCol w:w="1201"/>
      </w:tblGrid>
      <w:tr w14:paraId="318C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blHeader/>
          <w:jc w:val="center"/>
        </w:trPr>
        <w:tc>
          <w:tcPr>
            <w:tcW w:w="385" w:type="pct"/>
            <w:vAlign w:val="center"/>
          </w:tcPr>
          <w:p w14:paraId="590196DF">
            <w:pPr>
              <w:adjustRightInd w:val="0"/>
              <w:snapToGrid w:val="0"/>
              <w:jc w:val="center"/>
              <w:rPr>
                <w:rFonts w:hint="eastAsia" w:cs="宋体" w:asciiTheme="minorEastAsia" w:hAnsiTheme="minorEastAsia" w:eastAsiaTheme="minorEastAsia"/>
                <w:kern w:val="0"/>
                <w:szCs w:val="21"/>
                <w:highlight w:val="none"/>
              </w:rPr>
            </w:pPr>
          </w:p>
          <w:p w14:paraId="1BEF760F">
            <w:pPr>
              <w:adjustRightInd w:val="0"/>
              <w:snapToGrid w:val="0"/>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序号</w:t>
            </w:r>
          </w:p>
        </w:tc>
        <w:tc>
          <w:tcPr>
            <w:tcW w:w="1589" w:type="pct"/>
            <w:vAlign w:val="center"/>
          </w:tcPr>
          <w:p w14:paraId="5619270B">
            <w:pPr>
              <w:adjustRightInd w:val="0"/>
              <w:snapToGrid w:val="0"/>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lang w:val="en-US" w:eastAsia="zh-CN"/>
              </w:rPr>
              <w:t>设备</w:t>
            </w:r>
            <w:r>
              <w:rPr>
                <w:rFonts w:hint="eastAsia" w:cs="宋体" w:asciiTheme="minorEastAsia" w:hAnsiTheme="minorEastAsia" w:eastAsiaTheme="minorEastAsia"/>
                <w:kern w:val="0"/>
                <w:szCs w:val="21"/>
                <w:highlight w:val="none"/>
              </w:rPr>
              <w:t>名称</w:t>
            </w:r>
          </w:p>
        </w:tc>
        <w:tc>
          <w:tcPr>
            <w:tcW w:w="467" w:type="pct"/>
            <w:vAlign w:val="center"/>
          </w:tcPr>
          <w:p w14:paraId="008D8A95">
            <w:pPr>
              <w:adjustRightInd w:val="0"/>
              <w:snapToGrid w:val="0"/>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单位</w:t>
            </w:r>
          </w:p>
        </w:tc>
        <w:tc>
          <w:tcPr>
            <w:tcW w:w="514" w:type="pct"/>
            <w:vAlign w:val="center"/>
          </w:tcPr>
          <w:p w14:paraId="17FA5F91">
            <w:pPr>
              <w:adjustRightInd w:val="0"/>
              <w:snapToGrid w:val="0"/>
              <w:ind w:firstLine="210" w:firstLineChars="1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数量</w:t>
            </w:r>
          </w:p>
        </w:tc>
        <w:tc>
          <w:tcPr>
            <w:tcW w:w="783" w:type="pct"/>
            <w:vAlign w:val="center"/>
          </w:tcPr>
          <w:p w14:paraId="6FBD58D2">
            <w:pPr>
              <w:adjustRightInd w:val="0"/>
              <w:snapToGrid w:val="0"/>
              <w:jc w:val="center"/>
              <w:rPr>
                <w:rFonts w:hint="eastAsia" w:cs="宋体" w:asciiTheme="minorEastAsia" w:hAnsiTheme="minorEastAsia" w:eastAsiaTheme="minorEastAsia"/>
                <w:kern w:val="0"/>
                <w:szCs w:val="21"/>
                <w:highlight w:val="none"/>
                <w:lang w:eastAsia="zh-CN"/>
              </w:rPr>
            </w:pPr>
            <w:r>
              <w:rPr>
                <w:rFonts w:hint="eastAsia" w:cs="宋体" w:asciiTheme="minorEastAsia" w:hAnsiTheme="minorEastAsia" w:eastAsiaTheme="minorEastAsia"/>
                <w:kern w:val="0"/>
                <w:szCs w:val="21"/>
                <w:highlight w:val="none"/>
                <w:lang w:eastAsia="zh-CN"/>
              </w:rPr>
              <w:t>全费用综合</w:t>
            </w:r>
            <w:r>
              <w:rPr>
                <w:rFonts w:cs="宋体" w:asciiTheme="minorEastAsia" w:hAnsiTheme="minorEastAsia" w:eastAsiaTheme="minorEastAsia"/>
                <w:kern w:val="0"/>
                <w:szCs w:val="21"/>
                <w:highlight w:val="none"/>
              </w:rPr>
              <w:t>单价</w:t>
            </w:r>
          </w:p>
        </w:tc>
        <w:tc>
          <w:tcPr>
            <w:tcW w:w="714" w:type="pct"/>
            <w:vAlign w:val="center"/>
          </w:tcPr>
          <w:p w14:paraId="6225BA6E">
            <w:pPr>
              <w:adjustRightInd w:val="0"/>
              <w:snapToGrid w:val="0"/>
              <w:rPr>
                <w:rFonts w:cs="宋体" w:asciiTheme="minorEastAsia" w:hAnsiTheme="minorEastAsia" w:eastAsiaTheme="minorEastAsia"/>
                <w:kern w:val="0"/>
                <w:sz w:val="21"/>
                <w:szCs w:val="21"/>
                <w:highlight w:val="none"/>
                <w:lang w:val="en-US" w:eastAsia="zh-CN" w:bidi="ar-SA"/>
              </w:rPr>
            </w:pPr>
            <w:r>
              <w:rPr>
                <w:rFonts w:cs="宋体" w:asciiTheme="minorEastAsia" w:hAnsiTheme="minorEastAsia" w:eastAsiaTheme="minorEastAsia"/>
                <w:kern w:val="0"/>
                <w:szCs w:val="21"/>
                <w:highlight w:val="none"/>
              </w:rPr>
              <w:t>小计</w:t>
            </w:r>
            <w:r>
              <w:rPr>
                <w:rFonts w:hint="eastAsia" w:cs="宋体" w:asciiTheme="minorEastAsia" w:hAnsiTheme="minorEastAsia" w:eastAsiaTheme="minorEastAsia"/>
                <w:kern w:val="0"/>
                <w:szCs w:val="21"/>
                <w:highlight w:val="none"/>
                <w:lang w:eastAsia="zh-CN"/>
              </w:rPr>
              <w:t>（元）</w:t>
            </w:r>
          </w:p>
        </w:tc>
        <w:tc>
          <w:tcPr>
            <w:tcW w:w="545" w:type="pct"/>
            <w:vAlign w:val="center"/>
          </w:tcPr>
          <w:p w14:paraId="161847E0">
            <w:pPr>
              <w:adjustRightInd w:val="0"/>
              <w:snapToGrid w:val="0"/>
              <w:rPr>
                <w:rFonts w:cs="宋体" w:asciiTheme="minorEastAsia" w:hAnsiTheme="minorEastAsia" w:eastAsiaTheme="minorEastAsia"/>
                <w:kern w:val="0"/>
                <w:szCs w:val="21"/>
                <w:highlight w:val="none"/>
              </w:rPr>
            </w:pPr>
          </w:p>
        </w:tc>
      </w:tr>
      <w:tr w14:paraId="209F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blHeader/>
          <w:jc w:val="center"/>
        </w:trPr>
        <w:tc>
          <w:tcPr>
            <w:tcW w:w="385" w:type="pct"/>
            <w:vAlign w:val="center"/>
          </w:tcPr>
          <w:p w14:paraId="252B3582">
            <w:pPr>
              <w:adjustRightInd w:val="0"/>
              <w:snapToGrid w:val="0"/>
              <w:jc w:val="center"/>
              <w:rPr>
                <w:rFonts w:hint="eastAsia" w:cs="宋体" w:asciiTheme="minorEastAsia" w:hAnsiTheme="minorEastAsia" w:eastAsiaTheme="minorEastAsia"/>
                <w:kern w:val="0"/>
                <w:szCs w:val="21"/>
                <w:highlight w:val="none"/>
              </w:rPr>
            </w:pPr>
          </w:p>
        </w:tc>
        <w:tc>
          <w:tcPr>
            <w:tcW w:w="1589" w:type="pct"/>
            <w:vAlign w:val="center"/>
          </w:tcPr>
          <w:p w14:paraId="0ADF8B49">
            <w:pPr>
              <w:adjustRightInd w:val="0"/>
              <w:snapToGrid w:val="0"/>
              <w:jc w:val="center"/>
              <w:rPr>
                <w:rFonts w:hint="eastAsia" w:cs="宋体" w:asciiTheme="minorEastAsia" w:hAnsiTheme="minorEastAsia" w:eastAsiaTheme="minorEastAsia"/>
                <w:kern w:val="0"/>
                <w:szCs w:val="21"/>
                <w:highlight w:val="none"/>
                <w:lang w:val="en-US" w:eastAsia="zh-CN"/>
              </w:rPr>
            </w:pPr>
          </w:p>
        </w:tc>
        <w:tc>
          <w:tcPr>
            <w:tcW w:w="467" w:type="pct"/>
            <w:vAlign w:val="center"/>
          </w:tcPr>
          <w:p w14:paraId="7B419152">
            <w:pPr>
              <w:adjustRightInd w:val="0"/>
              <w:snapToGrid w:val="0"/>
              <w:jc w:val="center"/>
              <w:rPr>
                <w:rFonts w:hint="eastAsia" w:cs="宋体" w:asciiTheme="minorEastAsia" w:hAnsiTheme="minorEastAsia" w:eastAsiaTheme="minorEastAsia"/>
                <w:kern w:val="0"/>
                <w:szCs w:val="21"/>
                <w:highlight w:val="none"/>
              </w:rPr>
            </w:pPr>
          </w:p>
        </w:tc>
        <w:tc>
          <w:tcPr>
            <w:tcW w:w="514" w:type="pct"/>
            <w:vAlign w:val="center"/>
          </w:tcPr>
          <w:p w14:paraId="28CC84DC">
            <w:pPr>
              <w:adjustRightInd w:val="0"/>
              <w:snapToGrid w:val="0"/>
              <w:ind w:firstLine="210" w:firstLineChars="100"/>
              <w:rPr>
                <w:rFonts w:hint="eastAsia" w:cs="宋体" w:asciiTheme="minorEastAsia" w:hAnsiTheme="minorEastAsia" w:eastAsiaTheme="minorEastAsia"/>
                <w:kern w:val="0"/>
                <w:szCs w:val="21"/>
                <w:highlight w:val="none"/>
              </w:rPr>
            </w:pPr>
          </w:p>
        </w:tc>
        <w:tc>
          <w:tcPr>
            <w:tcW w:w="783" w:type="pct"/>
            <w:vAlign w:val="center"/>
          </w:tcPr>
          <w:p w14:paraId="7DF3DAE2">
            <w:pPr>
              <w:adjustRightInd w:val="0"/>
              <w:snapToGrid w:val="0"/>
              <w:jc w:val="center"/>
              <w:rPr>
                <w:rFonts w:hint="eastAsia" w:cs="宋体" w:asciiTheme="minorEastAsia" w:hAnsiTheme="minorEastAsia" w:eastAsiaTheme="minorEastAsia"/>
                <w:kern w:val="0"/>
                <w:szCs w:val="21"/>
                <w:highlight w:val="none"/>
                <w:lang w:eastAsia="zh-CN"/>
              </w:rPr>
            </w:pPr>
          </w:p>
        </w:tc>
        <w:tc>
          <w:tcPr>
            <w:tcW w:w="714" w:type="pct"/>
            <w:vAlign w:val="center"/>
          </w:tcPr>
          <w:p w14:paraId="30D7A8E8">
            <w:pPr>
              <w:adjustRightInd w:val="0"/>
              <w:snapToGrid w:val="0"/>
              <w:rPr>
                <w:rFonts w:cs="宋体" w:asciiTheme="minorEastAsia" w:hAnsiTheme="minorEastAsia" w:eastAsiaTheme="minorEastAsia"/>
                <w:kern w:val="0"/>
                <w:szCs w:val="21"/>
                <w:highlight w:val="none"/>
              </w:rPr>
            </w:pPr>
          </w:p>
        </w:tc>
        <w:tc>
          <w:tcPr>
            <w:tcW w:w="545" w:type="pct"/>
            <w:vAlign w:val="center"/>
          </w:tcPr>
          <w:p w14:paraId="2E4B48BA">
            <w:pPr>
              <w:adjustRightInd w:val="0"/>
              <w:snapToGrid w:val="0"/>
              <w:rPr>
                <w:rFonts w:cs="宋体" w:asciiTheme="minorEastAsia" w:hAnsiTheme="minorEastAsia" w:eastAsiaTheme="minorEastAsia"/>
                <w:kern w:val="0"/>
                <w:szCs w:val="21"/>
                <w:highlight w:val="none"/>
              </w:rPr>
            </w:pPr>
          </w:p>
        </w:tc>
      </w:tr>
      <w:tr w14:paraId="7290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blHeader/>
          <w:jc w:val="center"/>
        </w:trPr>
        <w:tc>
          <w:tcPr>
            <w:tcW w:w="385" w:type="pct"/>
            <w:vAlign w:val="center"/>
          </w:tcPr>
          <w:p w14:paraId="39362251">
            <w:pPr>
              <w:adjustRightInd w:val="0"/>
              <w:snapToGrid w:val="0"/>
              <w:jc w:val="center"/>
              <w:rPr>
                <w:rFonts w:hint="eastAsia" w:cs="宋体" w:asciiTheme="minorEastAsia" w:hAnsiTheme="minorEastAsia" w:eastAsiaTheme="minorEastAsia"/>
                <w:kern w:val="0"/>
                <w:szCs w:val="21"/>
                <w:highlight w:val="none"/>
              </w:rPr>
            </w:pPr>
          </w:p>
          <w:p w14:paraId="314F39BA">
            <w:pPr>
              <w:pStyle w:val="2"/>
              <w:rPr>
                <w:rFonts w:hint="eastAsia"/>
                <w:highlight w:val="none"/>
              </w:rPr>
            </w:pPr>
          </w:p>
        </w:tc>
        <w:tc>
          <w:tcPr>
            <w:tcW w:w="1589" w:type="pct"/>
            <w:vAlign w:val="center"/>
          </w:tcPr>
          <w:p w14:paraId="64E1EB01">
            <w:pPr>
              <w:adjustRightInd w:val="0"/>
              <w:snapToGrid w:val="0"/>
              <w:jc w:val="center"/>
              <w:rPr>
                <w:rFonts w:hint="eastAsia" w:cs="宋体" w:asciiTheme="minorEastAsia" w:hAnsiTheme="minorEastAsia" w:eastAsiaTheme="minorEastAsia"/>
                <w:kern w:val="0"/>
                <w:szCs w:val="21"/>
                <w:highlight w:val="none"/>
                <w:lang w:val="en-US" w:eastAsia="zh-CN"/>
              </w:rPr>
            </w:pPr>
          </w:p>
        </w:tc>
        <w:tc>
          <w:tcPr>
            <w:tcW w:w="467" w:type="pct"/>
            <w:vAlign w:val="center"/>
          </w:tcPr>
          <w:p w14:paraId="21FA6CF6">
            <w:pPr>
              <w:adjustRightInd w:val="0"/>
              <w:snapToGrid w:val="0"/>
              <w:jc w:val="center"/>
              <w:rPr>
                <w:rFonts w:hint="eastAsia" w:cs="宋体" w:asciiTheme="minorEastAsia" w:hAnsiTheme="minorEastAsia" w:eastAsiaTheme="minorEastAsia"/>
                <w:kern w:val="0"/>
                <w:szCs w:val="21"/>
                <w:highlight w:val="none"/>
              </w:rPr>
            </w:pPr>
          </w:p>
        </w:tc>
        <w:tc>
          <w:tcPr>
            <w:tcW w:w="514" w:type="pct"/>
            <w:vAlign w:val="center"/>
          </w:tcPr>
          <w:p w14:paraId="50609D0B">
            <w:pPr>
              <w:adjustRightInd w:val="0"/>
              <w:snapToGrid w:val="0"/>
              <w:ind w:firstLine="210" w:firstLineChars="100"/>
              <w:rPr>
                <w:rFonts w:hint="eastAsia" w:cs="宋体" w:asciiTheme="minorEastAsia" w:hAnsiTheme="minorEastAsia" w:eastAsiaTheme="minorEastAsia"/>
                <w:kern w:val="0"/>
                <w:szCs w:val="21"/>
                <w:highlight w:val="none"/>
              </w:rPr>
            </w:pPr>
          </w:p>
        </w:tc>
        <w:tc>
          <w:tcPr>
            <w:tcW w:w="783" w:type="pct"/>
            <w:vAlign w:val="center"/>
          </w:tcPr>
          <w:p w14:paraId="2CC30F40">
            <w:pPr>
              <w:adjustRightInd w:val="0"/>
              <w:snapToGrid w:val="0"/>
              <w:jc w:val="center"/>
              <w:rPr>
                <w:rFonts w:hint="eastAsia" w:cs="宋体" w:asciiTheme="minorEastAsia" w:hAnsiTheme="minorEastAsia" w:eastAsiaTheme="minorEastAsia"/>
                <w:kern w:val="0"/>
                <w:szCs w:val="21"/>
                <w:highlight w:val="none"/>
                <w:lang w:eastAsia="zh-CN"/>
              </w:rPr>
            </w:pPr>
          </w:p>
        </w:tc>
        <w:tc>
          <w:tcPr>
            <w:tcW w:w="714" w:type="pct"/>
            <w:vAlign w:val="center"/>
          </w:tcPr>
          <w:p w14:paraId="4DAB460C">
            <w:pPr>
              <w:adjustRightInd w:val="0"/>
              <w:snapToGrid w:val="0"/>
              <w:rPr>
                <w:rFonts w:cs="宋体" w:asciiTheme="minorEastAsia" w:hAnsiTheme="minorEastAsia" w:eastAsiaTheme="minorEastAsia"/>
                <w:kern w:val="0"/>
                <w:szCs w:val="21"/>
                <w:highlight w:val="none"/>
              </w:rPr>
            </w:pPr>
          </w:p>
        </w:tc>
        <w:tc>
          <w:tcPr>
            <w:tcW w:w="545" w:type="pct"/>
            <w:vAlign w:val="center"/>
          </w:tcPr>
          <w:p w14:paraId="4E256668">
            <w:pPr>
              <w:adjustRightInd w:val="0"/>
              <w:snapToGrid w:val="0"/>
              <w:rPr>
                <w:rFonts w:cs="宋体" w:asciiTheme="minorEastAsia" w:hAnsiTheme="minorEastAsia" w:eastAsiaTheme="minorEastAsia"/>
                <w:kern w:val="0"/>
                <w:szCs w:val="21"/>
                <w:highlight w:val="none"/>
              </w:rPr>
            </w:pPr>
          </w:p>
        </w:tc>
      </w:tr>
      <w:tr w14:paraId="6642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blHeader/>
          <w:jc w:val="center"/>
        </w:trPr>
        <w:tc>
          <w:tcPr>
            <w:tcW w:w="385" w:type="pct"/>
            <w:vAlign w:val="center"/>
          </w:tcPr>
          <w:p w14:paraId="76AD17BE">
            <w:pPr>
              <w:adjustRightInd w:val="0"/>
              <w:snapToGrid w:val="0"/>
              <w:jc w:val="center"/>
              <w:rPr>
                <w:rFonts w:hint="eastAsia" w:cs="宋体" w:asciiTheme="minorEastAsia" w:hAnsiTheme="minorEastAsia" w:eastAsiaTheme="minorEastAsia"/>
                <w:kern w:val="0"/>
                <w:szCs w:val="21"/>
                <w:highlight w:val="none"/>
              </w:rPr>
            </w:pPr>
          </w:p>
        </w:tc>
        <w:tc>
          <w:tcPr>
            <w:tcW w:w="1589" w:type="pct"/>
            <w:vAlign w:val="center"/>
          </w:tcPr>
          <w:p w14:paraId="54190C06">
            <w:pPr>
              <w:adjustRightInd w:val="0"/>
              <w:snapToGrid w:val="0"/>
              <w:jc w:val="center"/>
              <w:rPr>
                <w:rFonts w:hint="eastAsia" w:cs="宋体" w:asciiTheme="minorEastAsia" w:hAnsiTheme="minorEastAsia" w:eastAsiaTheme="minorEastAsia"/>
                <w:kern w:val="0"/>
                <w:szCs w:val="21"/>
                <w:highlight w:val="none"/>
                <w:lang w:val="en-US" w:eastAsia="zh-CN"/>
              </w:rPr>
            </w:pPr>
          </w:p>
        </w:tc>
        <w:tc>
          <w:tcPr>
            <w:tcW w:w="467" w:type="pct"/>
            <w:vAlign w:val="center"/>
          </w:tcPr>
          <w:p w14:paraId="4B24DFEC">
            <w:pPr>
              <w:adjustRightInd w:val="0"/>
              <w:snapToGrid w:val="0"/>
              <w:jc w:val="center"/>
              <w:rPr>
                <w:rFonts w:hint="eastAsia" w:cs="宋体" w:asciiTheme="minorEastAsia" w:hAnsiTheme="minorEastAsia" w:eastAsiaTheme="minorEastAsia"/>
                <w:kern w:val="0"/>
                <w:szCs w:val="21"/>
                <w:highlight w:val="none"/>
              </w:rPr>
            </w:pPr>
          </w:p>
        </w:tc>
        <w:tc>
          <w:tcPr>
            <w:tcW w:w="514" w:type="pct"/>
            <w:vAlign w:val="center"/>
          </w:tcPr>
          <w:p w14:paraId="6868A085">
            <w:pPr>
              <w:adjustRightInd w:val="0"/>
              <w:snapToGrid w:val="0"/>
              <w:ind w:firstLine="210" w:firstLineChars="100"/>
              <w:rPr>
                <w:rFonts w:hint="eastAsia" w:cs="宋体" w:asciiTheme="minorEastAsia" w:hAnsiTheme="minorEastAsia" w:eastAsiaTheme="minorEastAsia"/>
                <w:kern w:val="0"/>
                <w:szCs w:val="21"/>
                <w:highlight w:val="none"/>
              </w:rPr>
            </w:pPr>
          </w:p>
        </w:tc>
        <w:tc>
          <w:tcPr>
            <w:tcW w:w="783" w:type="pct"/>
            <w:vAlign w:val="center"/>
          </w:tcPr>
          <w:p w14:paraId="60F66705">
            <w:pPr>
              <w:adjustRightInd w:val="0"/>
              <w:snapToGrid w:val="0"/>
              <w:jc w:val="center"/>
              <w:rPr>
                <w:rFonts w:hint="eastAsia" w:cs="宋体" w:asciiTheme="minorEastAsia" w:hAnsiTheme="minorEastAsia" w:eastAsiaTheme="minorEastAsia"/>
                <w:kern w:val="0"/>
                <w:szCs w:val="21"/>
                <w:highlight w:val="none"/>
                <w:lang w:eastAsia="zh-CN"/>
              </w:rPr>
            </w:pPr>
          </w:p>
        </w:tc>
        <w:tc>
          <w:tcPr>
            <w:tcW w:w="714" w:type="pct"/>
            <w:vAlign w:val="center"/>
          </w:tcPr>
          <w:p w14:paraId="6CD2F333">
            <w:pPr>
              <w:adjustRightInd w:val="0"/>
              <w:snapToGrid w:val="0"/>
              <w:rPr>
                <w:rFonts w:cs="宋体" w:asciiTheme="minorEastAsia" w:hAnsiTheme="minorEastAsia" w:eastAsiaTheme="minorEastAsia"/>
                <w:kern w:val="0"/>
                <w:szCs w:val="21"/>
                <w:highlight w:val="none"/>
              </w:rPr>
            </w:pPr>
          </w:p>
        </w:tc>
        <w:tc>
          <w:tcPr>
            <w:tcW w:w="545" w:type="pct"/>
            <w:vAlign w:val="center"/>
          </w:tcPr>
          <w:p w14:paraId="1E131E77">
            <w:pPr>
              <w:adjustRightInd w:val="0"/>
              <w:snapToGrid w:val="0"/>
              <w:rPr>
                <w:rFonts w:cs="宋体" w:asciiTheme="minorEastAsia" w:hAnsiTheme="minorEastAsia" w:eastAsiaTheme="minorEastAsia"/>
                <w:kern w:val="0"/>
                <w:szCs w:val="21"/>
                <w:highlight w:val="none"/>
              </w:rPr>
            </w:pPr>
          </w:p>
        </w:tc>
      </w:tr>
      <w:tr w14:paraId="578C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blHeader/>
          <w:jc w:val="center"/>
        </w:trPr>
        <w:tc>
          <w:tcPr>
            <w:tcW w:w="385" w:type="pct"/>
            <w:vAlign w:val="center"/>
          </w:tcPr>
          <w:p w14:paraId="2846CBEE">
            <w:pPr>
              <w:adjustRightInd w:val="0"/>
              <w:snapToGrid w:val="0"/>
              <w:jc w:val="center"/>
              <w:rPr>
                <w:rFonts w:hint="eastAsia" w:cs="宋体" w:asciiTheme="minorEastAsia" w:hAnsiTheme="minorEastAsia" w:eastAsiaTheme="minorEastAsia"/>
                <w:kern w:val="0"/>
                <w:szCs w:val="21"/>
                <w:highlight w:val="none"/>
              </w:rPr>
            </w:pPr>
          </w:p>
        </w:tc>
        <w:tc>
          <w:tcPr>
            <w:tcW w:w="1589" w:type="pct"/>
            <w:vAlign w:val="center"/>
          </w:tcPr>
          <w:p w14:paraId="4A53C69A">
            <w:pPr>
              <w:adjustRightInd w:val="0"/>
              <w:snapToGrid w:val="0"/>
              <w:jc w:val="center"/>
              <w:rPr>
                <w:rFonts w:hint="eastAsia" w:cs="宋体" w:asciiTheme="minorEastAsia" w:hAnsiTheme="minorEastAsia" w:eastAsiaTheme="minorEastAsia"/>
                <w:kern w:val="0"/>
                <w:szCs w:val="21"/>
                <w:highlight w:val="none"/>
                <w:lang w:val="en-US" w:eastAsia="zh-CN"/>
              </w:rPr>
            </w:pPr>
          </w:p>
        </w:tc>
        <w:tc>
          <w:tcPr>
            <w:tcW w:w="467" w:type="pct"/>
            <w:vAlign w:val="center"/>
          </w:tcPr>
          <w:p w14:paraId="6CE66660">
            <w:pPr>
              <w:adjustRightInd w:val="0"/>
              <w:snapToGrid w:val="0"/>
              <w:jc w:val="center"/>
              <w:rPr>
                <w:rFonts w:hint="eastAsia" w:cs="宋体" w:asciiTheme="minorEastAsia" w:hAnsiTheme="minorEastAsia" w:eastAsiaTheme="minorEastAsia"/>
                <w:kern w:val="0"/>
                <w:szCs w:val="21"/>
                <w:highlight w:val="none"/>
              </w:rPr>
            </w:pPr>
          </w:p>
        </w:tc>
        <w:tc>
          <w:tcPr>
            <w:tcW w:w="514" w:type="pct"/>
            <w:vAlign w:val="center"/>
          </w:tcPr>
          <w:p w14:paraId="2032C45E">
            <w:pPr>
              <w:adjustRightInd w:val="0"/>
              <w:snapToGrid w:val="0"/>
              <w:ind w:firstLine="210" w:firstLineChars="100"/>
              <w:rPr>
                <w:rFonts w:hint="eastAsia" w:cs="宋体" w:asciiTheme="minorEastAsia" w:hAnsiTheme="minorEastAsia" w:eastAsiaTheme="minorEastAsia"/>
                <w:kern w:val="0"/>
                <w:szCs w:val="21"/>
                <w:highlight w:val="none"/>
              </w:rPr>
            </w:pPr>
          </w:p>
        </w:tc>
        <w:tc>
          <w:tcPr>
            <w:tcW w:w="783" w:type="pct"/>
            <w:vAlign w:val="center"/>
          </w:tcPr>
          <w:p w14:paraId="150D85B8">
            <w:pPr>
              <w:adjustRightInd w:val="0"/>
              <w:snapToGrid w:val="0"/>
              <w:jc w:val="center"/>
              <w:rPr>
                <w:rFonts w:hint="eastAsia" w:cs="宋体" w:asciiTheme="minorEastAsia" w:hAnsiTheme="minorEastAsia" w:eastAsiaTheme="minorEastAsia"/>
                <w:kern w:val="0"/>
                <w:szCs w:val="21"/>
                <w:highlight w:val="none"/>
                <w:lang w:eastAsia="zh-CN"/>
              </w:rPr>
            </w:pPr>
          </w:p>
        </w:tc>
        <w:tc>
          <w:tcPr>
            <w:tcW w:w="714" w:type="pct"/>
            <w:vAlign w:val="center"/>
          </w:tcPr>
          <w:p w14:paraId="7D548B73">
            <w:pPr>
              <w:adjustRightInd w:val="0"/>
              <w:snapToGrid w:val="0"/>
              <w:rPr>
                <w:rFonts w:cs="宋体" w:asciiTheme="minorEastAsia" w:hAnsiTheme="minorEastAsia" w:eastAsiaTheme="minorEastAsia"/>
                <w:kern w:val="0"/>
                <w:szCs w:val="21"/>
                <w:highlight w:val="none"/>
              </w:rPr>
            </w:pPr>
          </w:p>
        </w:tc>
        <w:tc>
          <w:tcPr>
            <w:tcW w:w="545" w:type="pct"/>
            <w:vAlign w:val="center"/>
          </w:tcPr>
          <w:p w14:paraId="657835B9">
            <w:pPr>
              <w:adjustRightInd w:val="0"/>
              <w:snapToGrid w:val="0"/>
              <w:rPr>
                <w:rFonts w:cs="宋体" w:asciiTheme="minorEastAsia" w:hAnsiTheme="minorEastAsia" w:eastAsiaTheme="minorEastAsia"/>
                <w:kern w:val="0"/>
                <w:szCs w:val="21"/>
                <w:highlight w:val="none"/>
              </w:rPr>
            </w:pPr>
          </w:p>
        </w:tc>
      </w:tr>
      <w:tr w14:paraId="3B67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blHeader/>
          <w:jc w:val="center"/>
        </w:trPr>
        <w:tc>
          <w:tcPr>
            <w:tcW w:w="385" w:type="pct"/>
            <w:vAlign w:val="center"/>
          </w:tcPr>
          <w:p w14:paraId="2CABB56D">
            <w:pPr>
              <w:adjustRightInd w:val="0"/>
              <w:snapToGrid w:val="0"/>
              <w:jc w:val="center"/>
              <w:rPr>
                <w:rFonts w:hint="eastAsia" w:cs="宋体" w:asciiTheme="minorEastAsia" w:hAnsiTheme="minorEastAsia" w:eastAsiaTheme="minorEastAsia"/>
                <w:kern w:val="0"/>
                <w:szCs w:val="21"/>
                <w:highlight w:val="none"/>
              </w:rPr>
            </w:pPr>
          </w:p>
        </w:tc>
        <w:tc>
          <w:tcPr>
            <w:tcW w:w="1589" w:type="pct"/>
            <w:vAlign w:val="center"/>
          </w:tcPr>
          <w:p w14:paraId="7A25A608">
            <w:pPr>
              <w:adjustRightInd w:val="0"/>
              <w:snapToGrid w:val="0"/>
              <w:jc w:val="center"/>
              <w:rPr>
                <w:rFonts w:hint="eastAsia" w:cs="宋体" w:asciiTheme="minorEastAsia" w:hAnsiTheme="minorEastAsia" w:eastAsiaTheme="minorEastAsia"/>
                <w:kern w:val="0"/>
                <w:szCs w:val="21"/>
                <w:highlight w:val="none"/>
                <w:lang w:val="en-US" w:eastAsia="zh-CN"/>
              </w:rPr>
            </w:pPr>
          </w:p>
        </w:tc>
        <w:tc>
          <w:tcPr>
            <w:tcW w:w="467" w:type="pct"/>
            <w:vAlign w:val="center"/>
          </w:tcPr>
          <w:p w14:paraId="07F756B3">
            <w:pPr>
              <w:adjustRightInd w:val="0"/>
              <w:snapToGrid w:val="0"/>
              <w:jc w:val="center"/>
              <w:rPr>
                <w:rFonts w:hint="eastAsia" w:cs="宋体" w:asciiTheme="minorEastAsia" w:hAnsiTheme="minorEastAsia" w:eastAsiaTheme="minorEastAsia"/>
                <w:kern w:val="0"/>
                <w:szCs w:val="21"/>
                <w:highlight w:val="none"/>
              </w:rPr>
            </w:pPr>
          </w:p>
        </w:tc>
        <w:tc>
          <w:tcPr>
            <w:tcW w:w="514" w:type="pct"/>
            <w:vAlign w:val="center"/>
          </w:tcPr>
          <w:p w14:paraId="39AE4486">
            <w:pPr>
              <w:adjustRightInd w:val="0"/>
              <w:snapToGrid w:val="0"/>
              <w:ind w:firstLine="210" w:firstLineChars="100"/>
              <w:rPr>
                <w:rFonts w:hint="eastAsia" w:cs="宋体" w:asciiTheme="minorEastAsia" w:hAnsiTheme="minorEastAsia" w:eastAsiaTheme="minorEastAsia"/>
                <w:kern w:val="0"/>
                <w:szCs w:val="21"/>
                <w:highlight w:val="none"/>
              </w:rPr>
            </w:pPr>
          </w:p>
        </w:tc>
        <w:tc>
          <w:tcPr>
            <w:tcW w:w="783" w:type="pct"/>
            <w:vAlign w:val="center"/>
          </w:tcPr>
          <w:p w14:paraId="641D4FBE">
            <w:pPr>
              <w:adjustRightInd w:val="0"/>
              <w:snapToGrid w:val="0"/>
              <w:jc w:val="center"/>
              <w:rPr>
                <w:rFonts w:hint="eastAsia" w:cs="宋体" w:asciiTheme="minorEastAsia" w:hAnsiTheme="minorEastAsia" w:eastAsiaTheme="minorEastAsia"/>
                <w:kern w:val="0"/>
                <w:szCs w:val="21"/>
                <w:highlight w:val="none"/>
                <w:lang w:eastAsia="zh-CN"/>
              </w:rPr>
            </w:pPr>
          </w:p>
        </w:tc>
        <w:tc>
          <w:tcPr>
            <w:tcW w:w="714" w:type="pct"/>
            <w:vAlign w:val="center"/>
          </w:tcPr>
          <w:p w14:paraId="6A5DF59F">
            <w:pPr>
              <w:adjustRightInd w:val="0"/>
              <w:snapToGrid w:val="0"/>
              <w:rPr>
                <w:rFonts w:cs="宋体" w:asciiTheme="minorEastAsia" w:hAnsiTheme="minorEastAsia" w:eastAsiaTheme="minorEastAsia"/>
                <w:kern w:val="0"/>
                <w:szCs w:val="21"/>
                <w:highlight w:val="none"/>
              </w:rPr>
            </w:pPr>
          </w:p>
        </w:tc>
        <w:tc>
          <w:tcPr>
            <w:tcW w:w="545" w:type="pct"/>
            <w:vAlign w:val="center"/>
          </w:tcPr>
          <w:p w14:paraId="2DA3AB36">
            <w:pPr>
              <w:adjustRightInd w:val="0"/>
              <w:snapToGrid w:val="0"/>
              <w:rPr>
                <w:rFonts w:cs="宋体" w:asciiTheme="minorEastAsia" w:hAnsiTheme="minorEastAsia" w:eastAsiaTheme="minorEastAsia"/>
                <w:kern w:val="0"/>
                <w:szCs w:val="21"/>
                <w:highlight w:val="none"/>
              </w:rPr>
            </w:pPr>
          </w:p>
        </w:tc>
      </w:tr>
      <w:tr w14:paraId="2F4C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blHeader/>
          <w:jc w:val="center"/>
        </w:trPr>
        <w:tc>
          <w:tcPr>
            <w:tcW w:w="385" w:type="pct"/>
            <w:vAlign w:val="center"/>
          </w:tcPr>
          <w:p w14:paraId="41EBA802">
            <w:pPr>
              <w:adjustRightInd w:val="0"/>
              <w:snapToGrid w:val="0"/>
              <w:jc w:val="center"/>
              <w:rPr>
                <w:rFonts w:hint="eastAsia" w:cs="宋体" w:asciiTheme="minorEastAsia" w:hAnsiTheme="minorEastAsia" w:eastAsiaTheme="minorEastAsia"/>
                <w:kern w:val="0"/>
                <w:szCs w:val="21"/>
                <w:highlight w:val="none"/>
              </w:rPr>
            </w:pPr>
          </w:p>
        </w:tc>
        <w:tc>
          <w:tcPr>
            <w:tcW w:w="1589" w:type="pct"/>
            <w:vAlign w:val="center"/>
          </w:tcPr>
          <w:p w14:paraId="75CCBD63">
            <w:pPr>
              <w:adjustRightInd w:val="0"/>
              <w:snapToGrid w:val="0"/>
              <w:jc w:val="center"/>
              <w:rPr>
                <w:rFonts w:hint="eastAsia" w:cs="宋体" w:asciiTheme="minorEastAsia" w:hAnsiTheme="minorEastAsia" w:eastAsiaTheme="minorEastAsia"/>
                <w:kern w:val="0"/>
                <w:szCs w:val="21"/>
                <w:highlight w:val="none"/>
                <w:lang w:val="en-US" w:eastAsia="zh-CN"/>
              </w:rPr>
            </w:pPr>
          </w:p>
        </w:tc>
        <w:tc>
          <w:tcPr>
            <w:tcW w:w="467" w:type="pct"/>
            <w:vAlign w:val="center"/>
          </w:tcPr>
          <w:p w14:paraId="0E6F13CA">
            <w:pPr>
              <w:adjustRightInd w:val="0"/>
              <w:snapToGrid w:val="0"/>
              <w:jc w:val="center"/>
              <w:rPr>
                <w:rFonts w:hint="eastAsia" w:cs="宋体" w:asciiTheme="minorEastAsia" w:hAnsiTheme="minorEastAsia" w:eastAsiaTheme="minorEastAsia"/>
                <w:kern w:val="0"/>
                <w:szCs w:val="21"/>
                <w:highlight w:val="none"/>
              </w:rPr>
            </w:pPr>
          </w:p>
        </w:tc>
        <w:tc>
          <w:tcPr>
            <w:tcW w:w="514" w:type="pct"/>
            <w:vAlign w:val="center"/>
          </w:tcPr>
          <w:p w14:paraId="0167FCFB">
            <w:pPr>
              <w:adjustRightInd w:val="0"/>
              <w:snapToGrid w:val="0"/>
              <w:ind w:firstLine="210" w:firstLineChars="100"/>
              <w:rPr>
                <w:rFonts w:hint="eastAsia" w:cs="宋体" w:asciiTheme="minorEastAsia" w:hAnsiTheme="minorEastAsia" w:eastAsiaTheme="minorEastAsia"/>
                <w:kern w:val="0"/>
                <w:szCs w:val="21"/>
                <w:highlight w:val="none"/>
              </w:rPr>
            </w:pPr>
          </w:p>
        </w:tc>
        <w:tc>
          <w:tcPr>
            <w:tcW w:w="783" w:type="pct"/>
            <w:vAlign w:val="center"/>
          </w:tcPr>
          <w:p w14:paraId="308A596A">
            <w:pPr>
              <w:adjustRightInd w:val="0"/>
              <w:snapToGrid w:val="0"/>
              <w:jc w:val="center"/>
              <w:rPr>
                <w:rFonts w:hint="eastAsia" w:cs="宋体" w:asciiTheme="minorEastAsia" w:hAnsiTheme="minorEastAsia" w:eastAsiaTheme="minorEastAsia"/>
                <w:kern w:val="0"/>
                <w:szCs w:val="21"/>
                <w:highlight w:val="none"/>
                <w:lang w:eastAsia="zh-CN"/>
              </w:rPr>
            </w:pPr>
          </w:p>
        </w:tc>
        <w:tc>
          <w:tcPr>
            <w:tcW w:w="714" w:type="pct"/>
            <w:vAlign w:val="center"/>
          </w:tcPr>
          <w:p w14:paraId="75EE4A3D">
            <w:pPr>
              <w:adjustRightInd w:val="0"/>
              <w:snapToGrid w:val="0"/>
              <w:rPr>
                <w:rFonts w:cs="宋体" w:asciiTheme="minorEastAsia" w:hAnsiTheme="minorEastAsia" w:eastAsiaTheme="minorEastAsia"/>
                <w:kern w:val="0"/>
                <w:szCs w:val="21"/>
                <w:highlight w:val="none"/>
              </w:rPr>
            </w:pPr>
          </w:p>
        </w:tc>
        <w:tc>
          <w:tcPr>
            <w:tcW w:w="545" w:type="pct"/>
            <w:vAlign w:val="center"/>
          </w:tcPr>
          <w:p w14:paraId="4903DBF9">
            <w:pPr>
              <w:adjustRightInd w:val="0"/>
              <w:snapToGrid w:val="0"/>
              <w:rPr>
                <w:rFonts w:cs="宋体" w:asciiTheme="minorEastAsia" w:hAnsiTheme="minorEastAsia" w:eastAsiaTheme="minorEastAsia"/>
                <w:kern w:val="0"/>
                <w:szCs w:val="21"/>
                <w:highlight w:val="none"/>
              </w:rPr>
            </w:pPr>
          </w:p>
        </w:tc>
      </w:tr>
      <w:tr w14:paraId="7CFF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3740" w:type="pct"/>
            <w:gridSpan w:val="5"/>
            <w:vAlign w:val="center"/>
          </w:tcPr>
          <w:p w14:paraId="030A576D">
            <w:pPr>
              <w:adjustRightInd w:val="0"/>
              <w:snapToGrid w:val="0"/>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lang w:eastAsia="zh-CN"/>
              </w:rPr>
              <w:t>合计（</w:t>
            </w:r>
            <w:r>
              <w:rPr>
                <w:rFonts w:hint="eastAsia" w:cs="宋体" w:asciiTheme="minorEastAsia" w:hAnsiTheme="minorEastAsia" w:eastAsiaTheme="minorEastAsia"/>
                <w:kern w:val="0"/>
                <w:szCs w:val="21"/>
                <w:highlight w:val="none"/>
                <w:lang w:val="en-US" w:eastAsia="zh-CN"/>
              </w:rPr>
              <w:t>1+2+3+4+5+6</w:t>
            </w:r>
            <w:r>
              <w:rPr>
                <w:rFonts w:hint="eastAsia" w:cs="宋体" w:asciiTheme="minorEastAsia" w:hAnsiTheme="minorEastAsia" w:eastAsiaTheme="minorEastAsia"/>
                <w:kern w:val="0"/>
                <w:szCs w:val="21"/>
                <w:highlight w:val="none"/>
                <w:lang w:eastAsia="zh-CN"/>
              </w:rPr>
              <w:t xml:space="preserve">），结算至首次报价一览表 </w:t>
            </w:r>
          </w:p>
        </w:tc>
        <w:tc>
          <w:tcPr>
            <w:tcW w:w="714" w:type="pct"/>
            <w:vAlign w:val="center"/>
          </w:tcPr>
          <w:p w14:paraId="266F6DE1">
            <w:pPr>
              <w:adjustRightInd w:val="0"/>
              <w:snapToGrid w:val="0"/>
              <w:jc w:val="center"/>
              <w:rPr>
                <w:rFonts w:cs="宋体" w:asciiTheme="minorEastAsia" w:hAnsiTheme="minorEastAsia" w:eastAsiaTheme="minorEastAsia"/>
                <w:kern w:val="0"/>
                <w:szCs w:val="21"/>
                <w:highlight w:val="none"/>
              </w:rPr>
            </w:pPr>
          </w:p>
        </w:tc>
        <w:tc>
          <w:tcPr>
            <w:tcW w:w="545" w:type="pct"/>
            <w:vAlign w:val="center"/>
          </w:tcPr>
          <w:p w14:paraId="41A19554">
            <w:pPr>
              <w:adjustRightInd w:val="0"/>
              <w:snapToGrid w:val="0"/>
              <w:jc w:val="center"/>
              <w:rPr>
                <w:rFonts w:cs="宋体" w:asciiTheme="minorEastAsia" w:hAnsiTheme="minorEastAsia" w:eastAsiaTheme="minorEastAsia"/>
                <w:kern w:val="0"/>
                <w:szCs w:val="21"/>
                <w:highlight w:val="none"/>
              </w:rPr>
            </w:pPr>
          </w:p>
        </w:tc>
      </w:tr>
    </w:tbl>
    <w:p w14:paraId="09FD5F92">
      <w:pPr>
        <w:adjustRightInd w:val="0"/>
        <w:snapToGrid w:val="0"/>
        <w:rPr>
          <w:rFonts w:ascii="宋体" w:hAnsi="宋体"/>
          <w:b/>
          <w:sz w:val="18"/>
          <w:szCs w:val="18"/>
          <w:highlight w:val="none"/>
        </w:rPr>
      </w:pPr>
    </w:p>
    <w:p w14:paraId="128445CD">
      <w:pPr>
        <w:adjustRightInd w:val="0"/>
        <w:snapToGrid w:val="0"/>
        <w:rPr>
          <w:rFonts w:ascii="宋体" w:hAnsi="宋体"/>
          <w:b/>
          <w:sz w:val="18"/>
          <w:szCs w:val="18"/>
          <w:highlight w:val="none"/>
        </w:rPr>
      </w:pPr>
      <w:r>
        <w:rPr>
          <w:rFonts w:hint="eastAsia" w:ascii="宋体" w:hAnsi="宋体"/>
          <w:b/>
          <w:sz w:val="18"/>
          <w:szCs w:val="18"/>
          <w:highlight w:val="none"/>
        </w:rPr>
        <w:t>要求：</w:t>
      </w:r>
    </w:p>
    <w:p w14:paraId="7772BCBB">
      <w:pPr>
        <w:keepNext w:val="0"/>
        <w:keepLines w:val="0"/>
        <w:pageBreakBefore w:val="0"/>
        <w:widowControl w:val="0"/>
        <w:kinsoku/>
        <w:wordWrap/>
        <w:overflowPunct/>
        <w:topLinePunct w:val="0"/>
        <w:autoSpaceDE/>
        <w:autoSpaceDN/>
        <w:bidi w:val="0"/>
        <w:adjustRightInd w:val="0"/>
        <w:snapToGrid w:val="0"/>
        <w:spacing w:line="360" w:lineRule="auto"/>
        <w:ind w:left="437"/>
        <w:textAlignment w:val="auto"/>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eastAsia="zh-CN"/>
        </w:rPr>
        <w:t>1. 本表为《首次报价一览表》的报价明细表，如有缺项、漏项，视为投标报价中已包含相关费用，采购人无需另外支付任何费用。</w:t>
      </w:r>
    </w:p>
    <w:p w14:paraId="1826DAD7">
      <w:pPr>
        <w:keepNext w:val="0"/>
        <w:keepLines w:val="0"/>
        <w:pageBreakBefore w:val="0"/>
        <w:widowControl w:val="0"/>
        <w:kinsoku/>
        <w:wordWrap/>
        <w:overflowPunct/>
        <w:topLinePunct w:val="0"/>
        <w:autoSpaceDE/>
        <w:autoSpaceDN/>
        <w:bidi w:val="0"/>
        <w:adjustRightInd w:val="0"/>
        <w:snapToGrid w:val="0"/>
        <w:spacing w:line="360" w:lineRule="auto"/>
        <w:ind w:left="437"/>
        <w:textAlignment w:val="auto"/>
        <w:rPr>
          <w:rFonts w:hint="eastAsia" w:ascii="宋体" w:hAnsi="宋体" w:eastAsia="宋体" w:cs="Times New Roman"/>
          <w:sz w:val="21"/>
          <w:szCs w:val="21"/>
          <w:highlight w:val="none"/>
          <w:lang w:val="zh-CN" w:eastAsia="zh-CN"/>
        </w:rPr>
      </w:pPr>
      <w:r>
        <w:rPr>
          <w:rFonts w:hint="eastAsia" w:ascii="宋体" w:hAnsi="宋体" w:eastAsia="宋体" w:cs="Times New Roman"/>
          <w:sz w:val="21"/>
          <w:szCs w:val="21"/>
          <w:highlight w:val="none"/>
          <w:lang w:eastAsia="zh-CN"/>
        </w:rPr>
        <w:t>2.</w:t>
      </w:r>
      <w:r>
        <w:rPr>
          <w:rFonts w:hint="eastAsia" w:ascii="宋体" w:hAnsi="宋体" w:eastAsia="宋体" w:cs="Times New Roman"/>
          <w:sz w:val="21"/>
          <w:szCs w:val="21"/>
          <w:highlight w:val="none"/>
          <w:lang w:val="zh-CN" w:eastAsia="zh-CN"/>
        </w:rPr>
        <w:t>“报价明细表”中的“合计”应与“</w:t>
      </w:r>
      <w:r>
        <w:rPr>
          <w:rFonts w:hint="eastAsia" w:cs="宋体" w:asciiTheme="minorEastAsia" w:hAnsiTheme="minorEastAsia" w:eastAsiaTheme="minorEastAsia"/>
          <w:kern w:val="0"/>
          <w:szCs w:val="21"/>
          <w:highlight w:val="none"/>
          <w:lang w:eastAsia="zh-CN"/>
        </w:rPr>
        <w:t>首次报价一览表</w:t>
      </w:r>
      <w:r>
        <w:rPr>
          <w:rFonts w:hint="eastAsia" w:ascii="宋体" w:hAnsi="宋体" w:eastAsia="宋体" w:cs="Times New Roman"/>
          <w:sz w:val="21"/>
          <w:szCs w:val="21"/>
          <w:highlight w:val="none"/>
          <w:lang w:val="zh-CN" w:eastAsia="zh-CN"/>
        </w:rPr>
        <w:t>”中的投标总报价相一致，不一致时，以首次报价一览表为准。</w:t>
      </w:r>
    </w:p>
    <w:p w14:paraId="0B620E3D">
      <w:pPr>
        <w:spacing w:line="360" w:lineRule="auto"/>
        <w:ind w:left="435"/>
        <w:rPr>
          <w:rFonts w:ascii="宋体"/>
          <w:szCs w:val="21"/>
          <w:highlight w:val="none"/>
          <w:lang w:val="zh-CN"/>
        </w:rPr>
      </w:pPr>
      <w:r>
        <w:rPr>
          <w:rFonts w:hint="eastAsia" w:ascii="宋体"/>
          <w:szCs w:val="21"/>
          <w:highlight w:val="none"/>
        </w:rPr>
        <w:t>3.</w:t>
      </w:r>
      <w:r>
        <w:rPr>
          <w:rFonts w:hint="eastAsia" w:ascii="宋体"/>
          <w:szCs w:val="21"/>
          <w:highlight w:val="none"/>
          <w:lang w:val="zh-CN"/>
        </w:rPr>
        <w:t>报价明细表所填内容按</w:t>
      </w:r>
      <w:r>
        <w:rPr>
          <w:rFonts w:hint="eastAsia" w:ascii="宋体"/>
          <w:szCs w:val="21"/>
          <w:highlight w:val="none"/>
        </w:rPr>
        <w:t>采购</w:t>
      </w:r>
      <w:r>
        <w:rPr>
          <w:rFonts w:hint="eastAsia" w:ascii="宋体"/>
          <w:szCs w:val="21"/>
          <w:highlight w:val="none"/>
          <w:lang w:val="zh-CN"/>
        </w:rPr>
        <w:t>文件采购设备清单要求为准。如有漏报的，视同已包含在</w:t>
      </w:r>
      <w:r>
        <w:rPr>
          <w:rFonts w:hint="eastAsia" w:ascii="宋体"/>
          <w:szCs w:val="21"/>
          <w:highlight w:val="none"/>
        </w:rPr>
        <w:t>投标</w:t>
      </w:r>
      <w:r>
        <w:rPr>
          <w:rFonts w:hint="eastAsia" w:ascii="宋体"/>
          <w:szCs w:val="21"/>
          <w:highlight w:val="none"/>
          <w:lang w:val="zh-CN"/>
        </w:rPr>
        <w:t>总价内或已作优惠处理。</w:t>
      </w:r>
    </w:p>
    <w:p w14:paraId="5D12C40B">
      <w:pPr>
        <w:pStyle w:val="93"/>
        <w:snapToGrid w:val="0"/>
        <w:spacing w:line="500" w:lineRule="exact"/>
        <w:jc w:val="both"/>
        <w:rPr>
          <w:rFonts w:hint="eastAsia" w:ascii="宋体" w:hAnsi="宋体" w:eastAsia="宋体" w:cs="宋体"/>
          <w:b/>
          <w:color w:val="auto"/>
          <w:sz w:val="28"/>
          <w:highlight w:val="none"/>
        </w:rPr>
      </w:pPr>
    </w:p>
    <w:p w14:paraId="5F7C2357">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546D2A0">
      <w:pPr>
        <w:spacing w:line="360" w:lineRule="auto"/>
        <w:ind w:firstLine="435"/>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法定代表人或磋商供应商代表（签章或签字）</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DEFF281">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7CE031A2">
      <w:pPr>
        <w:spacing w:line="360" w:lineRule="auto"/>
        <w:ind w:firstLine="435"/>
        <w:rPr>
          <w:rFonts w:hint="eastAsia" w:ascii="宋体" w:hAnsi="宋体" w:cs="宋体"/>
          <w:color w:val="auto"/>
          <w:sz w:val="24"/>
          <w:highlight w:val="none"/>
          <w:u w:val="single"/>
        </w:rPr>
        <w:sectPr>
          <w:pgSz w:w="11906" w:h="16838"/>
          <w:pgMar w:top="1440" w:right="1800" w:bottom="1440" w:left="1800" w:header="851" w:footer="992" w:gutter="0"/>
          <w:cols w:space="720" w:num="1"/>
          <w:docGrid w:type="lines" w:linePitch="312" w:charSpace="0"/>
        </w:sect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27365324">
      <w:pPr>
        <w:pStyle w:val="93"/>
        <w:snapToGrid w:val="0"/>
        <w:spacing w:line="500" w:lineRule="exact"/>
        <w:jc w:val="both"/>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16</w:t>
      </w:r>
      <w:r>
        <w:rPr>
          <w:rFonts w:hint="eastAsia" w:ascii="宋体" w:hAnsi="宋体" w:eastAsia="宋体" w:cs="宋体"/>
          <w:b/>
          <w:color w:val="auto"/>
          <w:sz w:val="28"/>
          <w:highlight w:val="none"/>
        </w:rPr>
        <w:t xml:space="preserve">:  </w:t>
      </w:r>
    </w:p>
    <w:p w14:paraId="36D0660B">
      <w:pPr>
        <w:pStyle w:val="93"/>
        <w:snapToGrid w:val="0"/>
        <w:spacing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sz w:val="32"/>
          <w:szCs w:val="32"/>
          <w:highlight w:val="none"/>
        </w:rPr>
        <w:t>政府采购活动现场确认声明书</w:t>
      </w:r>
    </w:p>
    <w:p w14:paraId="1A2A6EC2">
      <w:pPr>
        <w:pStyle w:val="93"/>
        <w:snapToGrid w:val="0"/>
        <w:spacing w:line="400" w:lineRule="exact"/>
        <w:rPr>
          <w:rFonts w:hint="eastAsia" w:ascii="宋体" w:hAnsi="宋体" w:eastAsia="宋体" w:cs="宋体"/>
          <w:color w:val="auto"/>
          <w:kern w:val="0"/>
          <w:sz w:val="24"/>
          <w:highlight w:val="none"/>
          <w:u w:val="single"/>
          <w:lang w:eastAsia="zh-CN"/>
        </w:rPr>
      </w:pPr>
    </w:p>
    <w:p w14:paraId="68B38749">
      <w:pPr>
        <w:pStyle w:val="93"/>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lang w:eastAsia="zh-CN"/>
        </w:rPr>
        <w:t>台州市椒江区大陈镇人民政府</w:t>
      </w:r>
      <w:r>
        <w:rPr>
          <w:rFonts w:hint="eastAsia" w:ascii="宋体" w:hAnsi="宋体" w:eastAsia="宋体" w:cs="宋体"/>
          <w:color w:val="auto"/>
          <w:kern w:val="0"/>
          <w:sz w:val="21"/>
          <w:szCs w:val="21"/>
          <w:highlight w:val="none"/>
          <w:u w:val="single"/>
          <w:lang w:val="en-US" w:eastAsia="zh-CN"/>
        </w:rPr>
        <w:t>/台州中亿工程管理有限公司</w:t>
      </w:r>
      <w:r>
        <w:rPr>
          <w:rFonts w:hint="eastAsia" w:ascii="宋体" w:hAnsi="宋体" w:eastAsia="宋体" w:cs="宋体"/>
          <w:color w:val="auto"/>
          <w:kern w:val="0"/>
          <w:sz w:val="21"/>
          <w:szCs w:val="21"/>
          <w:highlight w:val="none"/>
        </w:rPr>
        <w:t>：</w:t>
      </w:r>
    </w:p>
    <w:p w14:paraId="7CE152EE">
      <w:pPr>
        <w:pStyle w:val="93"/>
        <w:keepNext w:val="0"/>
        <w:keepLines w:val="0"/>
        <w:pageBreakBefore w:val="0"/>
        <w:kinsoku/>
        <w:wordWrap/>
        <w:overflowPunct/>
        <w:topLinePunct w:val="0"/>
        <w:autoSpaceDE/>
        <w:autoSpaceDN/>
        <w:bidi w:val="0"/>
        <w:adjustRightInd/>
        <w:snapToGrid w:val="0"/>
        <w:spacing w:line="360" w:lineRule="auto"/>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w:t>
      </w:r>
      <w:r>
        <w:rPr>
          <w:rFonts w:hint="eastAsia" w:ascii="宋体"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u w:val="none"/>
          <w:lang w:val="en-US" w:eastAsia="zh-CN"/>
        </w:rPr>
        <w:t>（授权代表姓名），</w:t>
      </w:r>
      <w:r>
        <w:rPr>
          <w:rFonts w:hint="eastAsia" w:ascii="宋体" w:hAnsi="宋体" w:eastAsia="宋体" w:cs="宋体"/>
          <w:color w:val="auto"/>
          <w:spacing w:val="6"/>
          <w:sz w:val="21"/>
          <w:szCs w:val="21"/>
          <w:highlight w:val="none"/>
        </w:rPr>
        <w:t>经由</w:t>
      </w:r>
      <w:r>
        <w:rPr>
          <w:rFonts w:hint="eastAsia" w:ascii="宋体"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u w:val="none"/>
        </w:rPr>
        <w:t>（单位）</w:t>
      </w:r>
      <w:r>
        <w:rPr>
          <w:rFonts w:hint="eastAsia" w:ascii="宋体"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法</w:t>
      </w:r>
      <w:r>
        <w:rPr>
          <w:rFonts w:hint="eastAsia" w:ascii="宋体" w:hAnsi="宋体" w:eastAsia="宋体" w:cs="宋体"/>
          <w:color w:val="auto"/>
          <w:spacing w:val="6"/>
          <w:sz w:val="21"/>
          <w:szCs w:val="21"/>
          <w:highlight w:val="none"/>
          <w:lang w:eastAsia="zh-CN"/>
        </w:rPr>
        <w:t>定代表</w:t>
      </w:r>
      <w:r>
        <w:rPr>
          <w:rFonts w:hint="eastAsia" w:ascii="宋体" w:hAnsi="宋体" w:eastAsia="宋体" w:cs="宋体"/>
          <w:color w:val="auto"/>
          <w:spacing w:val="6"/>
          <w:sz w:val="21"/>
          <w:szCs w:val="21"/>
          <w:highlight w:val="none"/>
        </w:rPr>
        <w:t>人</w:t>
      </w:r>
      <w:r>
        <w:rPr>
          <w:rFonts w:hint="eastAsia" w:ascii="宋体" w:hAnsi="宋体" w:eastAsia="宋体" w:cs="宋体"/>
          <w:color w:val="auto"/>
          <w:spacing w:val="6"/>
          <w:sz w:val="21"/>
          <w:szCs w:val="21"/>
          <w:highlight w:val="none"/>
          <w:lang w:eastAsia="zh-CN"/>
        </w:rPr>
        <w:t>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lang w:val="en-US" w:eastAsia="zh-CN"/>
        </w:rPr>
        <w:t>大陈岛5G+互联数智无人机采购项目</w:t>
      </w:r>
      <w:r>
        <w:rPr>
          <w:rFonts w:hint="eastAsia" w:ascii="宋体" w:hAnsi="宋体" w:eastAsia="宋体" w:cs="宋体"/>
          <w:color w:val="auto"/>
          <w:spacing w:val="6"/>
          <w:sz w:val="21"/>
          <w:szCs w:val="21"/>
          <w:highlight w:val="none"/>
        </w:rPr>
        <w:t>（编号：</w:t>
      </w:r>
      <w:r>
        <w:rPr>
          <w:rFonts w:hint="eastAsia" w:ascii="宋体"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）政府采购活动，经与本单位法人代表（负责人）联系确认，现就有关公平竞争事项郑重声明如下：</w:t>
      </w:r>
    </w:p>
    <w:p w14:paraId="0E312779">
      <w:pPr>
        <w:pStyle w:val="103"/>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本单位与采购人之间</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不存在利害关系</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存在下列利害关系：</w:t>
      </w:r>
    </w:p>
    <w:p w14:paraId="186F9025">
      <w:pPr>
        <w:pStyle w:val="103"/>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A.投资关系    B.行政隶属关系    C.业务指导关系</w:t>
      </w:r>
    </w:p>
    <w:p w14:paraId="1442B502">
      <w:pPr>
        <w:pStyle w:val="103"/>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（如有，请如实说明）</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1EF706AD">
      <w:pPr>
        <w:pStyle w:val="103"/>
        <w:keepNext w:val="0"/>
        <w:keepLines w:val="0"/>
        <w:pageBreakBefore w:val="0"/>
        <w:widowControl/>
        <w:kinsoku/>
        <w:wordWrap/>
        <w:overflowPunct/>
        <w:topLinePunct w:val="0"/>
        <w:autoSpaceDE/>
        <w:autoSpaceDN/>
        <w:bidi w:val="0"/>
        <w:adjustRightInd/>
        <w:snapToGrid w:val="0"/>
        <w:spacing w:line="360" w:lineRule="auto"/>
        <w:ind w:firstLine="44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与其他所有供应商之间均不存在利害关系</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rPr>
        <w:t>（供应商名称）</w:t>
      </w:r>
      <w:r>
        <w:rPr>
          <w:rFonts w:hint="eastAsia" w:ascii="宋体" w:hAnsi="宋体" w:eastAsia="宋体" w:cs="宋体"/>
          <w:color w:val="auto"/>
          <w:kern w:val="0"/>
          <w:sz w:val="21"/>
          <w:szCs w:val="21"/>
          <w:highlight w:val="none"/>
        </w:rPr>
        <w:t>之间存在下列利害关系：</w:t>
      </w:r>
    </w:p>
    <w:p w14:paraId="5C2C4E7B">
      <w:pPr>
        <w:pStyle w:val="93"/>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A.法定代表人或负责人或实际控制人是同一人；</w:t>
      </w:r>
    </w:p>
    <w:p w14:paraId="5A6B4540">
      <w:pPr>
        <w:pStyle w:val="93"/>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B.法定代表人或负责人或实际控制人是夫妻关系；</w:t>
      </w:r>
    </w:p>
    <w:p w14:paraId="1D5AE2F6">
      <w:pPr>
        <w:pStyle w:val="93"/>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C.法定代表人或负责人或实际控制人是直系血亲关系；</w:t>
      </w:r>
    </w:p>
    <w:p w14:paraId="5053FCE6">
      <w:pPr>
        <w:pStyle w:val="93"/>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D.法定代表人或负责人或实际控制人存在三代以内旁系血亲关系；</w:t>
      </w:r>
    </w:p>
    <w:p w14:paraId="0BB5F69D">
      <w:pPr>
        <w:pStyle w:val="93"/>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E.法定代表人或负责人或实际控制人存在近姻亲关系；</w:t>
      </w:r>
    </w:p>
    <w:p w14:paraId="12F21C3F">
      <w:pPr>
        <w:pStyle w:val="93"/>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F.法定代表人或负责人或实际控制人存在股份控制或实际控制关系；</w:t>
      </w:r>
    </w:p>
    <w:p w14:paraId="3FDA3EEB">
      <w:pPr>
        <w:pStyle w:val="93"/>
        <w:keepNext w:val="0"/>
        <w:keepLines w:val="0"/>
        <w:pageBreakBefore w:val="0"/>
        <w:kinsoku/>
        <w:wordWrap/>
        <w:overflowPunct/>
        <w:topLinePunct w:val="0"/>
        <w:autoSpaceDE/>
        <w:autoSpaceDN/>
        <w:bidi w:val="0"/>
        <w:adjustRightInd/>
        <w:snapToGrid w:val="0"/>
        <w:spacing w:line="360" w:lineRule="auto"/>
        <w:ind w:firstLine="420" w:firstLineChars="200"/>
        <w:textAlignment w:val="auto"/>
        <w:outlineLvl w:val="0"/>
        <w:rPr>
          <w:rFonts w:hint="eastAsia" w:ascii="宋体" w:hAnsi="宋体" w:eastAsia="宋体" w:cs="宋体"/>
          <w:color w:val="auto"/>
          <w:kern w:val="0"/>
          <w:sz w:val="21"/>
          <w:szCs w:val="21"/>
          <w:highlight w:val="none"/>
        </w:rPr>
      </w:pPr>
      <w:bookmarkStart w:id="45" w:name="_Toc17443"/>
      <w:bookmarkStart w:id="46" w:name="_Toc24414"/>
      <w:bookmarkStart w:id="47" w:name="_Toc6796"/>
      <w:r>
        <w:rPr>
          <w:rFonts w:hint="eastAsia" w:ascii="宋体" w:hAnsi="宋体" w:eastAsia="宋体" w:cs="宋体"/>
          <w:color w:val="auto"/>
          <w:kern w:val="0"/>
          <w:sz w:val="21"/>
          <w:szCs w:val="21"/>
          <w:highlight w:val="none"/>
        </w:rPr>
        <w:t>G.存在共同直接或间接投资设立子公司、联营企业和合营企业情况；</w:t>
      </w:r>
      <w:bookmarkEnd w:id="45"/>
      <w:bookmarkEnd w:id="46"/>
      <w:bookmarkEnd w:id="47"/>
    </w:p>
    <w:p w14:paraId="3347BB31">
      <w:pPr>
        <w:pStyle w:val="93"/>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55C2BE56">
      <w:pPr>
        <w:pStyle w:val="93"/>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41E088F5">
      <w:pPr>
        <w:pStyle w:val="103"/>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严格遵守政府采购法律法规和现场纪律。</w:t>
      </w:r>
    </w:p>
    <w:p w14:paraId="6176CE48">
      <w:pPr>
        <w:pStyle w:val="103"/>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我发现</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项利害关系。</w:t>
      </w:r>
    </w:p>
    <w:p w14:paraId="1A45BC31">
      <w:pPr>
        <w:pStyle w:val="93"/>
        <w:snapToGrid w:val="0"/>
        <w:rPr>
          <w:rFonts w:hint="eastAsia" w:ascii="宋体" w:hAnsi="宋体" w:eastAsia="宋体" w:cs="宋体"/>
          <w:color w:val="auto"/>
          <w:sz w:val="21"/>
          <w:szCs w:val="21"/>
          <w:highlight w:val="none"/>
        </w:rPr>
      </w:pPr>
    </w:p>
    <w:p w14:paraId="6108FEC5">
      <w:pPr>
        <w:pStyle w:val="93"/>
        <w:snapToGrid w:val="0"/>
        <w:ind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4193B5AC">
      <w:pPr>
        <w:pStyle w:val="93"/>
        <w:snapToGrid w:val="0"/>
        <w:ind w:firstLine="420" w:firstLineChars="200"/>
        <w:jc w:val="center"/>
        <w:rPr>
          <w:rFonts w:hint="eastAsia" w:ascii="宋体" w:hAnsi="宋体" w:eastAsia="宋体" w:cs="宋体"/>
          <w:color w:val="auto"/>
          <w:sz w:val="21"/>
          <w:szCs w:val="21"/>
          <w:highlight w:val="none"/>
          <w:lang w:val="en-US" w:eastAsia="zh-CN"/>
        </w:rPr>
      </w:pPr>
    </w:p>
    <w:p w14:paraId="162916E5">
      <w:pPr>
        <w:pStyle w:val="93"/>
        <w:snapToGrid w:val="0"/>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（供应商代表签名）：</w:t>
      </w:r>
    </w:p>
    <w:p w14:paraId="7F5025B2">
      <w:pPr>
        <w:pStyle w:val="5"/>
        <w:jc w:val="center"/>
        <w:rPr>
          <w:rFonts w:hint="eastAsia" w:eastAsia="宋体"/>
          <w:b w:val="0"/>
          <w:bCs w:val="0"/>
          <w:color w:val="auto"/>
          <w:highlight w:val="none"/>
          <w:lang w:val="en-GB" w:eastAsia="zh-CN"/>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年   月    </w:t>
      </w:r>
      <w:r>
        <w:rPr>
          <w:rFonts w:hint="eastAsia" w:ascii="宋体" w:hAnsi="宋体" w:eastAsia="宋体" w:cs="宋体"/>
          <w:b w:val="0"/>
          <w:bCs w:val="0"/>
          <w:color w:val="auto"/>
          <w:sz w:val="21"/>
          <w:szCs w:val="21"/>
          <w:highlight w:val="none"/>
          <w:lang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书宋简体">
    <w:altName w:val="宋体"/>
    <w:panose1 w:val="00000000000000000000"/>
    <w:charset w:val="7A"/>
    <w:family w:val="script"/>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2678575"/>
    </w:sdtPr>
    <w:sdtContent>
      <w:p w14:paraId="442DE9D7">
        <w:pPr>
          <w:pStyle w:val="23"/>
          <w:jc w:val="center"/>
        </w:pPr>
        <w:r>
          <w:fldChar w:fldCharType="begin"/>
        </w:r>
        <w:r>
          <w:instrText xml:space="preserve">PAGE   \* MERGEFORMAT</w:instrText>
        </w:r>
        <w:r>
          <w:fldChar w:fldCharType="separate"/>
        </w:r>
        <w:r>
          <w:rPr>
            <w:lang w:val="zh-CN"/>
          </w:rPr>
          <w:t>59</w:t>
        </w:r>
        <w:r>
          <w:rPr>
            <w:lang w:val="zh-CN"/>
          </w:rPr>
          <w:fldChar w:fldCharType="end"/>
        </w:r>
      </w:p>
    </w:sdtContent>
  </w:sdt>
  <w:p w14:paraId="1BE1D5E4">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444482C">
      <w:pPr>
        <w:pStyle w:val="28"/>
      </w:pPr>
      <w:r>
        <w:rPr>
          <w:rStyle w:val="42"/>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6F70C">
    <w:pPr>
      <w:keepNext w:val="0"/>
      <w:keepLines w:val="0"/>
      <w:pageBreakBefore w:val="0"/>
      <w:widowControl w:val="0"/>
      <w:pBdr>
        <w:bottom w:val="single" w:color="auto" w:sz="4" w:space="0"/>
      </w:pBdr>
      <w:kinsoku/>
      <w:wordWrap/>
      <w:overflowPunct/>
      <w:topLinePunct w:val="0"/>
      <w:autoSpaceDE/>
      <w:autoSpaceDN/>
      <w:bidi w:val="0"/>
      <w:adjustRightInd/>
      <w:snapToGrid/>
      <w:spacing w:line="20" w:lineRule="atLeast"/>
      <w:ind w:right="0" w:rightChars="0" w:firstLine="3360" w:firstLineChars="1600"/>
      <w:jc w:val="both"/>
      <w:textAlignment w:val="auto"/>
      <w:rPr>
        <w:rFonts w:hint="eastAsia" w:eastAsia="宋体"/>
        <w:b/>
        <w:color w:val="808080"/>
        <w:kern w:val="0"/>
        <w:sz w:val="18"/>
        <w:u w:val="single"/>
        <w:lang w:eastAsia="zh-CN"/>
      </w:rPr>
    </w:pPr>
    <w:r>
      <w:rPr>
        <w:rFonts w:hint="eastAsia" w:ascii="宋体" w:hAnsi="宋体" w:cs="Calibri Light"/>
        <w:color w:val="000000" w:themeColor="text1"/>
        <w:kern w:val="0"/>
        <w:szCs w:val="21"/>
        <w:u w:val="none"/>
        <w:lang w:eastAsia="zh-CN"/>
      </w:rPr>
      <w:t>大陈岛5G+互联数智无人机采购项目</w:t>
    </w:r>
    <w:r>
      <w:rPr>
        <w:rFonts w:hint="eastAsia" w:ascii="宋体" w:hAnsi="宋体" w:cs="Calibri Light"/>
        <w:color w:val="000000" w:themeColor="text1"/>
        <w:kern w:val="0"/>
        <w:szCs w:val="21"/>
        <w:u w:val="none"/>
        <w:lang w:val="en-US" w:eastAsia="zh-CN"/>
      </w:rPr>
      <w:t>竞争性磋商</w:t>
    </w:r>
    <w:r>
      <w:rPr>
        <w:rFonts w:hint="eastAsia" w:ascii="宋体" w:hAnsi="宋体" w:cs="Calibri Light"/>
        <w:color w:val="000000" w:themeColor="text1"/>
        <w:kern w:val="0"/>
        <w:szCs w:val="21"/>
        <w:u w:val="none"/>
        <w:lang w:eastAsia="zh-CN"/>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83A20"/>
    <w:multiLevelType w:val="singleLevel"/>
    <w:tmpl w:val="BCA83A20"/>
    <w:lvl w:ilvl="0" w:tentative="0">
      <w:start w:val="1"/>
      <w:numFmt w:val="decimal"/>
      <w:suff w:val="nothing"/>
      <w:lvlText w:val="（%1）"/>
      <w:lvlJc w:val="left"/>
    </w:lvl>
  </w:abstractNum>
  <w:abstractNum w:abstractNumId="1">
    <w:nsid w:val="FA974121"/>
    <w:multiLevelType w:val="singleLevel"/>
    <w:tmpl w:val="FA974121"/>
    <w:lvl w:ilvl="0" w:tentative="0">
      <w:start w:val="1"/>
      <w:numFmt w:val="decimal"/>
      <w:suff w:val="nothing"/>
      <w:lvlText w:val="（%1）"/>
      <w:lvlJc w:val="left"/>
    </w:lvl>
  </w:abstractNum>
  <w:abstractNum w:abstractNumId="2">
    <w:nsid w:val="471E06A1"/>
    <w:multiLevelType w:val="singleLevel"/>
    <w:tmpl w:val="471E06A1"/>
    <w:lvl w:ilvl="0" w:tentative="0">
      <w:start w:val="1"/>
      <w:numFmt w:val="japaneseCounting"/>
      <w:pStyle w:val="10"/>
      <w:lvlText w:val="%1、"/>
      <w:lvlJc w:val="left"/>
      <w:pPr>
        <w:tabs>
          <w:tab w:val="left" w:pos="960"/>
        </w:tabs>
        <w:ind w:left="960" w:hanging="600"/>
      </w:pPr>
      <w:rPr>
        <w:rFonts w:hint="eastAsia"/>
        <w:lang w:val="en-US"/>
      </w:rPr>
    </w:lvl>
  </w:abstractNum>
  <w:abstractNum w:abstractNumId="3">
    <w:nsid w:val="4969F691"/>
    <w:multiLevelType w:val="singleLevel"/>
    <w:tmpl w:val="4969F691"/>
    <w:lvl w:ilvl="0" w:tentative="0">
      <w:start w:val="2"/>
      <w:numFmt w:val="decimal"/>
      <w:suff w:val="nothing"/>
      <w:lvlText w:val="（%1）"/>
      <w:lvlJc w:val="left"/>
    </w:lvl>
  </w:abstractNum>
  <w:abstractNum w:abstractNumId="4">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ZhMGZmZGQ0M2Y2NTdjZGI4NWY5NDFkNmVkYzkzMmIifQ=="/>
  </w:docVars>
  <w:rsids>
    <w:rsidRoot w:val="00172A27"/>
    <w:rsid w:val="00002FCA"/>
    <w:rsid w:val="00003136"/>
    <w:rsid w:val="0000683A"/>
    <w:rsid w:val="000068E3"/>
    <w:rsid w:val="00007648"/>
    <w:rsid w:val="00007EDE"/>
    <w:rsid w:val="000113CF"/>
    <w:rsid w:val="00011562"/>
    <w:rsid w:val="00012B3E"/>
    <w:rsid w:val="00013A4D"/>
    <w:rsid w:val="000140CE"/>
    <w:rsid w:val="00014706"/>
    <w:rsid w:val="00014A3D"/>
    <w:rsid w:val="000171B6"/>
    <w:rsid w:val="00020CF0"/>
    <w:rsid w:val="0002114A"/>
    <w:rsid w:val="00023666"/>
    <w:rsid w:val="000238C2"/>
    <w:rsid w:val="00023980"/>
    <w:rsid w:val="0002421C"/>
    <w:rsid w:val="000242F7"/>
    <w:rsid w:val="00024749"/>
    <w:rsid w:val="000251CD"/>
    <w:rsid w:val="000300C0"/>
    <w:rsid w:val="00033334"/>
    <w:rsid w:val="00033E53"/>
    <w:rsid w:val="000343BB"/>
    <w:rsid w:val="00034FCB"/>
    <w:rsid w:val="000363A5"/>
    <w:rsid w:val="00037C6B"/>
    <w:rsid w:val="00040BE3"/>
    <w:rsid w:val="00041326"/>
    <w:rsid w:val="000427A3"/>
    <w:rsid w:val="00044A59"/>
    <w:rsid w:val="000505C2"/>
    <w:rsid w:val="00055B21"/>
    <w:rsid w:val="00057F44"/>
    <w:rsid w:val="00057F8A"/>
    <w:rsid w:val="00060E9E"/>
    <w:rsid w:val="000618F0"/>
    <w:rsid w:val="00061DEA"/>
    <w:rsid w:val="00062836"/>
    <w:rsid w:val="000643FA"/>
    <w:rsid w:val="00064887"/>
    <w:rsid w:val="00067CE3"/>
    <w:rsid w:val="000710A0"/>
    <w:rsid w:val="0007117D"/>
    <w:rsid w:val="00072B07"/>
    <w:rsid w:val="00075CEE"/>
    <w:rsid w:val="00076373"/>
    <w:rsid w:val="00077A92"/>
    <w:rsid w:val="00084D51"/>
    <w:rsid w:val="0008673F"/>
    <w:rsid w:val="00087EDA"/>
    <w:rsid w:val="00090125"/>
    <w:rsid w:val="0009075B"/>
    <w:rsid w:val="00090C06"/>
    <w:rsid w:val="00092528"/>
    <w:rsid w:val="0009289D"/>
    <w:rsid w:val="00093886"/>
    <w:rsid w:val="0009724B"/>
    <w:rsid w:val="0009771D"/>
    <w:rsid w:val="000A1651"/>
    <w:rsid w:val="000A1947"/>
    <w:rsid w:val="000A1D07"/>
    <w:rsid w:val="000A28D4"/>
    <w:rsid w:val="000A3E87"/>
    <w:rsid w:val="000A5FE4"/>
    <w:rsid w:val="000A6575"/>
    <w:rsid w:val="000A7D5A"/>
    <w:rsid w:val="000B6B0B"/>
    <w:rsid w:val="000B736F"/>
    <w:rsid w:val="000B7D2A"/>
    <w:rsid w:val="000C0B10"/>
    <w:rsid w:val="000C31A9"/>
    <w:rsid w:val="000C41E2"/>
    <w:rsid w:val="000C45B2"/>
    <w:rsid w:val="000C5B76"/>
    <w:rsid w:val="000C6D68"/>
    <w:rsid w:val="000D0BF3"/>
    <w:rsid w:val="000D34D3"/>
    <w:rsid w:val="000D4371"/>
    <w:rsid w:val="000D4788"/>
    <w:rsid w:val="000D5DAD"/>
    <w:rsid w:val="000E0FB3"/>
    <w:rsid w:val="000E1A6D"/>
    <w:rsid w:val="000E308E"/>
    <w:rsid w:val="000E3830"/>
    <w:rsid w:val="000E4D3D"/>
    <w:rsid w:val="000E7A67"/>
    <w:rsid w:val="000F2A3C"/>
    <w:rsid w:val="000F351F"/>
    <w:rsid w:val="000F39B8"/>
    <w:rsid w:val="000F3DC1"/>
    <w:rsid w:val="000F67CA"/>
    <w:rsid w:val="000F6C6B"/>
    <w:rsid w:val="000F7A33"/>
    <w:rsid w:val="00101B7B"/>
    <w:rsid w:val="00104099"/>
    <w:rsid w:val="00104C65"/>
    <w:rsid w:val="0010589B"/>
    <w:rsid w:val="00111749"/>
    <w:rsid w:val="00111E1B"/>
    <w:rsid w:val="00112B03"/>
    <w:rsid w:val="001139FC"/>
    <w:rsid w:val="001143E8"/>
    <w:rsid w:val="00114E4B"/>
    <w:rsid w:val="00114EF2"/>
    <w:rsid w:val="00116C9D"/>
    <w:rsid w:val="001216D2"/>
    <w:rsid w:val="001224C6"/>
    <w:rsid w:val="00122777"/>
    <w:rsid w:val="00122D50"/>
    <w:rsid w:val="001230AB"/>
    <w:rsid w:val="00123DC3"/>
    <w:rsid w:val="00125D09"/>
    <w:rsid w:val="001318A9"/>
    <w:rsid w:val="001319F6"/>
    <w:rsid w:val="00131B16"/>
    <w:rsid w:val="001341B3"/>
    <w:rsid w:val="001346F0"/>
    <w:rsid w:val="00134E23"/>
    <w:rsid w:val="00135FCE"/>
    <w:rsid w:val="00135FE3"/>
    <w:rsid w:val="001374B6"/>
    <w:rsid w:val="0013792F"/>
    <w:rsid w:val="00140EC9"/>
    <w:rsid w:val="001427EF"/>
    <w:rsid w:val="00142C82"/>
    <w:rsid w:val="001446DB"/>
    <w:rsid w:val="001451E4"/>
    <w:rsid w:val="001455A1"/>
    <w:rsid w:val="00147C0A"/>
    <w:rsid w:val="001501C0"/>
    <w:rsid w:val="00151661"/>
    <w:rsid w:val="001516AF"/>
    <w:rsid w:val="00151CF7"/>
    <w:rsid w:val="00153F10"/>
    <w:rsid w:val="00154E75"/>
    <w:rsid w:val="00156091"/>
    <w:rsid w:val="00156ED6"/>
    <w:rsid w:val="001574E8"/>
    <w:rsid w:val="00157CCB"/>
    <w:rsid w:val="00161076"/>
    <w:rsid w:val="00163234"/>
    <w:rsid w:val="0016361A"/>
    <w:rsid w:val="0016560E"/>
    <w:rsid w:val="00165E2E"/>
    <w:rsid w:val="00166939"/>
    <w:rsid w:val="00166951"/>
    <w:rsid w:val="00166D22"/>
    <w:rsid w:val="001707B1"/>
    <w:rsid w:val="00171617"/>
    <w:rsid w:val="00171CB7"/>
    <w:rsid w:val="00172A27"/>
    <w:rsid w:val="00175B4D"/>
    <w:rsid w:val="001771E5"/>
    <w:rsid w:val="001778D7"/>
    <w:rsid w:val="00181F9E"/>
    <w:rsid w:val="001830C2"/>
    <w:rsid w:val="001868AB"/>
    <w:rsid w:val="00186E9E"/>
    <w:rsid w:val="00190B97"/>
    <w:rsid w:val="00191356"/>
    <w:rsid w:val="0019183A"/>
    <w:rsid w:val="00196345"/>
    <w:rsid w:val="00196BAF"/>
    <w:rsid w:val="00196BFC"/>
    <w:rsid w:val="00196E50"/>
    <w:rsid w:val="00197336"/>
    <w:rsid w:val="00197EA5"/>
    <w:rsid w:val="00197F0C"/>
    <w:rsid w:val="001A030C"/>
    <w:rsid w:val="001A16E0"/>
    <w:rsid w:val="001A4EAF"/>
    <w:rsid w:val="001A52BE"/>
    <w:rsid w:val="001A554A"/>
    <w:rsid w:val="001A6152"/>
    <w:rsid w:val="001B20AE"/>
    <w:rsid w:val="001B22C4"/>
    <w:rsid w:val="001B2AA9"/>
    <w:rsid w:val="001B40C9"/>
    <w:rsid w:val="001B59DD"/>
    <w:rsid w:val="001B64C1"/>
    <w:rsid w:val="001C0B89"/>
    <w:rsid w:val="001C7567"/>
    <w:rsid w:val="001D10E8"/>
    <w:rsid w:val="001D1DB2"/>
    <w:rsid w:val="001D3188"/>
    <w:rsid w:val="001D4467"/>
    <w:rsid w:val="001D4752"/>
    <w:rsid w:val="001D53D7"/>
    <w:rsid w:val="001D6883"/>
    <w:rsid w:val="001D7F0C"/>
    <w:rsid w:val="001E0D09"/>
    <w:rsid w:val="001E4207"/>
    <w:rsid w:val="001E6596"/>
    <w:rsid w:val="001E66E4"/>
    <w:rsid w:val="001E738B"/>
    <w:rsid w:val="001E7EDC"/>
    <w:rsid w:val="001F00FE"/>
    <w:rsid w:val="001F6CBB"/>
    <w:rsid w:val="00200C86"/>
    <w:rsid w:val="0020116D"/>
    <w:rsid w:val="0020161D"/>
    <w:rsid w:val="00202892"/>
    <w:rsid w:val="00202F01"/>
    <w:rsid w:val="00203F60"/>
    <w:rsid w:val="00204B47"/>
    <w:rsid w:val="00205B28"/>
    <w:rsid w:val="00206D1D"/>
    <w:rsid w:val="00207A5A"/>
    <w:rsid w:val="002116C9"/>
    <w:rsid w:val="00214AF7"/>
    <w:rsid w:val="00215D9B"/>
    <w:rsid w:val="00216D7A"/>
    <w:rsid w:val="00216F12"/>
    <w:rsid w:val="002176DB"/>
    <w:rsid w:val="00217E6D"/>
    <w:rsid w:val="00220726"/>
    <w:rsid w:val="00225CDE"/>
    <w:rsid w:val="00225EE4"/>
    <w:rsid w:val="002272C6"/>
    <w:rsid w:val="00231A93"/>
    <w:rsid w:val="00234C48"/>
    <w:rsid w:val="00235351"/>
    <w:rsid w:val="00240849"/>
    <w:rsid w:val="00241EB4"/>
    <w:rsid w:val="00244053"/>
    <w:rsid w:val="00246F9E"/>
    <w:rsid w:val="00247660"/>
    <w:rsid w:val="0025079B"/>
    <w:rsid w:val="00251A01"/>
    <w:rsid w:val="00252C30"/>
    <w:rsid w:val="00254AC0"/>
    <w:rsid w:val="00255016"/>
    <w:rsid w:val="00256CB0"/>
    <w:rsid w:val="00256F23"/>
    <w:rsid w:val="00257A80"/>
    <w:rsid w:val="002600D1"/>
    <w:rsid w:val="00260934"/>
    <w:rsid w:val="00260D3C"/>
    <w:rsid w:val="0026109B"/>
    <w:rsid w:val="002635F8"/>
    <w:rsid w:val="00263B66"/>
    <w:rsid w:val="00264884"/>
    <w:rsid w:val="00270EB6"/>
    <w:rsid w:val="00271703"/>
    <w:rsid w:val="00273B2A"/>
    <w:rsid w:val="002760D9"/>
    <w:rsid w:val="0027782E"/>
    <w:rsid w:val="0028252E"/>
    <w:rsid w:val="0028341C"/>
    <w:rsid w:val="00283D1F"/>
    <w:rsid w:val="00284789"/>
    <w:rsid w:val="00285DFC"/>
    <w:rsid w:val="0028757B"/>
    <w:rsid w:val="00287BAB"/>
    <w:rsid w:val="00290A35"/>
    <w:rsid w:val="00291659"/>
    <w:rsid w:val="0029248E"/>
    <w:rsid w:val="002930C3"/>
    <w:rsid w:val="002947E2"/>
    <w:rsid w:val="00296AEA"/>
    <w:rsid w:val="0029708C"/>
    <w:rsid w:val="002A0F35"/>
    <w:rsid w:val="002A18EC"/>
    <w:rsid w:val="002A28B7"/>
    <w:rsid w:val="002A30A4"/>
    <w:rsid w:val="002A539D"/>
    <w:rsid w:val="002A56A9"/>
    <w:rsid w:val="002B04BE"/>
    <w:rsid w:val="002B08C7"/>
    <w:rsid w:val="002B171E"/>
    <w:rsid w:val="002B2D82"/>
    <w:rsid w:val="002B3107"/>
    <w:rsid w:val="002B31D9"/>
    <w:rsid w:val="002B55FC"/>
    <w:rsid w:val="002B56C9"/>
    <w:rsid w:val="002B67AD"/>
    <w:rsid w:val="002C00DB"/>
    <w:rsid w:val="002C2318"/>
    <w:rsid w:val="002C3AF4"/>
    <w:rsid w:val="002C595B"/>
    <w:rsid w:val="002C7644"/>
    <w:rsid w:val="002D0961"/>
    <w:rsid w:val="002D1599"/>
    <w:rsid w:val="002D3351"/>
    <w:rsid w:val="002D3C2B"/>
    <w:rsid w:val="002D45CE"/>
    <w:rsid w:val="002D47DD"/>
    <w:rsid w:val="002D4E9E"/>
    <w:rsid w:val="002D6080"/>
    <w:rsid w:val="002D6769"/>
    <w:rsid w:val="002E0695"/>
    <w:rsid w:val="002E12F2"/>
    <w:rsid w:val="002E168E"/>
    <w:rsid w:val="002E1E8B"/>
    <w:rsid w:val="002E4AD2"/>
    <w:rsid w:val="002E4B72"/>
    <w:rsid w:val="002E665C"/>
    <w:rsid w:val="002E7F7A"/>
    <w:rsid w:val="002F13C8"/>
    <w:rsid w:val="002F14B6"/>
    <w:rsid w:val="002F1F7F"/>
    <w:rsid w:val="002F2E84"/>
    <w:rsid w:val="002F384A"/>
    <w:rsid w:val="002F52DF"/>
    <w:rsid w:val="002F5AB8"/>
    <w:rsid w:val="002F61FA"/>
    <w:rsid w:val="002F67C7"/>
    <w:rsid w:val="002F6ED1"/>
    <w:rsid w:val="00301700"/>
    <w:rsid w:val="00301FF1"/>
    <w:rsid w:val="00302B3E"/>
    <w:rsid w:val="0030359F"/>
    <w:rsid w:val="0030490C"/>
    <w:rsid w:val="00305546"/>
    <w:rsid w:val="003071D7"/>
    <w:rsid w:val="0031039D"/>
    <w:rsid w:val="0031041F"/>
    <w:rsid w:val="00314627"/>
    <w:rsid w:val="00314F2B"/>
    <w:rsid w:val="00317C2F"/>
    <w:rsid w:val="0032065E"/>
    <w:rsid w:val="00321186"/>
    <w:rsid w:val="00321974"/>
    <w:rsid w:val="00321BE3"/>
    <w:rsid w:val="00321C34"/>
    <w:rsid w:val="00321DE2"/>
    <w:rsid w:val="003231FE"/>
    <w:rsid w:val="00323A73"/>
    <w:rsid w:val="003261EA"/>
    <w:rsid w:val="003263D5"/>
    <w:rsid w:val="0033046C"/>
    <w:rsid w:val="00331D38"/>
    <w:rsid w:val="00331F32"/>
    <w:rsid w:val="00331FFC"/>
    <w:rsid w:val="0033249C"/>
    <w:rsid w:val="003341A5"/>
    <w:rsid w:val="0033564A"/>
    <w:rsid w:val="00336C3E"/>
    <w:rsid w:val="00336F8A"/>
    <w:rsid w:val="00340F4F"/>
    <w:rsid w:val="00342053"/>
    <w:rsid w:val="003430D2"/>
    <w:rsid w:val="003439C0"/>
    <w:rsid w:val="00343FB7"/>
    <w:rsid w:val="003448C9"/>
    <w:rsid w:val="00345156"/>
    <w:rsid w:val="00347829"/>
    <w:rsid w:val="003505FE"/>
    <w:rsid w:val="0035233F"/>
    <w:rsid w:val="003625A2"/>
    <w:rsid w:val="00366A7A"/>
    <w:rsid w:val="003671A6"/>
    <w:rsid w:val="003672EE"/>
    <w:rsid w:val="00370436"/>
    <w:rsid w:val="003719D5"/>
    <w:rsid w:val="00372507"/>
    <w:rsid w:val="00372B98"/>
    <w:rsid w:val="00372E53"/>
    <w:rsid w:val="003738F0"/>
    <w:rsid w:val="00374028"/>
    <w:rsid w:val="00374CB0"/>
    <w:rsid w:val="00376057"/>
    <w:rsid w:val="00376175"/>
    <w:rsid w:val="003769A9"/>
    <w:rsid w:val="00376C70"/>
    <w:rsid w:val="00377352"/>
    <w:rsid w:val="00377566"/>
    <w:rsid w:val="00380683"/>
    <w:rsid w:val="00380C56"/>
    <w:rsid w:val="00381DA3"/>
    <w:rsid w:val="003861C0"/>
    <w:rsid w:val="00386D57"/>
    <w:rsid w:val="00387546"/>
    <w:rsid w:val="003915F1"/>
    <w:rsid w:val="00391A88"/>
    <w:rsid w:val="00395AF8"/>
    <w:rsid w:val="00397A50"/>
    <w:rsid w:val="003A3B71"/>
    <w:rsid w:val="003A4B1B"/>
    <w:rsid w:val="003A53DD"/>
    <w:rsid w:val="003A739A"/>
    <w:rsid w:val="003A783D"/>
    <w:rsid w:val="003B04B4"/>
    <w:rsid w:val="003B192D"/>
    <w:rsid w:val="003B1E1B"/>
    <w:rsid w:val="003B3825"/>
    <w:rsid w:val="003B4505"/>
    <w:rsid w:val="003B51FB"/>
    <w:rsid w:val="003B7536"/>
    <w:rsid w:val="003C0536"/>
    <w:rsid w:val="003C1341"/>
    <w:rsid w:val="003C662E"/>
    <w:rsid w:val="003D06E7"/>
    <w:rsid w:val="003D22B7"/>
    <w:rsid w:val="003D3BED"/>
    <w:rsid w:val="003D3CFD"/>
    <w:rsid w:val="003D4200"/>
    <w:rsid w:val="003D5AA1"/>
    <w:rsid w:val="003D7521"/>
    <w:rsid w:val="003E1AB7"/>
    <w:rsid w:val="003E1D65"/>
    <w:rsid w:val="003E1F1A"/>
    <w:rsid w:val="003E2A40"/>
    <w:rsid w:val="003E4624"/>
    <w:rsid w:val="003E68C8"/>
    <w:rsid w:val="003E6B73"/>
    <w:rsid w:val="003E6CF0"/>
    <w:rsid w:val="003F028E"/>
    <w:rsid w:val="003F25A4"/>
    <w:rsid w:val="003F312C"/>
    <w:rsid w:val="003F5720"/>
    <w:rsid w:val="003F693E"/>
    <w:rsid w:val="004029D8"/>
    <w:rsid w:val="00402B23"/>
    <w:rsid w:val="00404410"/>
    <w:rsid w:val="00405E5A"/>
    <w:rsid w:val="00410A27"/>
    <w:rsid w:val="0041340F"/>
    <w:rsid w:val="0041416B"/>
    <w:rsid w:val="004147D9"/>
    <w:rsid w:val="0041528D"/>
    <w:rsid w:val="004207DE"/>
    <w:rsid w:val="00420A2D"/>
    <w:rsid w:val="00420FB0"/>
    <w:rsid w:val="004242A6"/>
    <w:rsid w:val="00424ECB"/>
    <w:rsid w:val="004250B3"/>
    <w:rsid w:val="004270B4"/>
    <w:rsid w:val="00430B02"/>
    <w:rsid w:val="004330F7"/>
    <w:rsid w:val="00435E43"/>
    <w:rsid w:val="004402E3"/>
    <w:rsid w:val="0044224A"/>
    <w:rsid w:val="00442492"/>
    <w:rsid w:val="004426F5"/>
    <w:rsid w:val="00445DBE"/>
    <w:rsid w:val="00450129"/>
    <w:rsid w:val="00452557"/>
    <w:rsid w:val="004542DD"/>
    <w:rsid w:val="00456F48"/>
    <w:rsid w:val="004570CE"/>
    <w:rsid w:val="00457B04"/>
    <w:rsid w:val="0046059F"/>
    <w:rsid w:val="00463D64"/>
    <w:rsid w:val="0046550B"/>
    <w:rsid w:val="00465D93"/>
    <w:rsid w:val="004663F2"/>
    <w:rsid w:val="00466D4E"/>
    <w:rsid w:val="00471905"/>
    <w:rsid w:val="00471C96"/>
    <w:rsid w:val="00472DDC"/>
    <w:rsid w:val="00473736"/>
    <w:rsid w:val="004743FD"/>
    <w:rsid w:val="004775F2"/>
    <w:rsid w:val="0048493E"/>
    <w:rsid w:val="00490148"/>
    <w:rsid w:val="00491AB3"/>
    <w:rsid w:val="004921ED"/>
    <w:rsid w:val="004932F9"/>
    <w:rsid w:val="00493974"/>
    <w:rsid w:val="00493DC3"/>
    <w:rsid w:val="00496264"/>
    <w:rsid w:val="004A025E"/>
    <w:rsid w:val="004A0E97"/>
    <w:rsid w:val="004A2C45"/>
    <w:rsid w:val="004A4A3D"/>
    <w:rsid w:val="004A4ACE"/>
    <w:rsid w:val="004A64B3"/>
    <w:rsid w:val="004A64F8"/>
    <w:rsid w:val="004A6646"/>
    <w:rsid w:val="004B0642"/>
    <w:rsid w:val="004B0C7C"/>
    <w:rsid w:val="004B30C4"/>
    <w:rsid w:val="004B4106"/>
    <w:rsid w:val="004C1411"/>
    <w:rsid w:val="004C537A"/>
    <w:rsid w:val="004C6B67"/>
    <w:rsid w:val="004C6BF3"/>
    <w:rsid w:val="004C6C06"/>
    <w:rsid w:val="004C70D5"/>
    <w:rsid w:val="004C7215"/>
    <w:rsid w:val="004D0AB5"/>
    <w:rsid w:val="004D0D99"/>
    <w:rsid w:val="004D1B4F"/>
    <w:rsid w:val="004D23EA"/>
    <w:rsid w:val="004D4442"/>
    <w:rsid w:val="004D4E7A"/>
    <w:rsid w:val="004E00CB"/>
    <w:rsid w:val="004E1B0E"/>
    <w:rsid w:val="004E2E89"/>
    <w:rsid w:val="004E3290"/>
    <w:rsid w:val="004E6325"/>
    <w:rsid w:val="004E656C"/>
    <w:rsid w:val="004E7BD8"/>
    <w:rsid w:val="004F2203"/>
    <w:rsid w:val="004F3E91"/>
    <w:rsid w:val="004F4E3B"/>
    <w:rsid w:val="004F53F0"/>
    <w:rsid w:val="004F6293"/>
    <w:rsid w:val="004F6578"/>
    <w:rsid w:val="00501A03"/>
    <w:rsid w:val="00502A79"/>
    <w:rsid w:val="00503BCD"/>
    <w:rsid w:val="005063AF"/>
    <w:rsid w:val="005078C0"/>
    <w:rsid w:val="0051052F"/>
    <w:rsid w:val="00512DC3"/>
    <w:rsid w:val="00514CCC"/>
    <w:rsid w:val="0051513C"/>
    <w:rsid w:val="005256DD"/>
    <w:rsid w:val="005259D4"/>
    <w:rsid w:val="0052619C"/>
    <w:rsid w:val="00527BD5"/>
    <w:rsid w:val="00530F94"/>
    <w:rsid w:val="0053244F"/>
    <w:rsid w:val="00535198"/>
    <w:rsid w:val="00535CD7"/>
    <w:rsid w:val="005423FB"/>
    <w:rsid w:val="005463F7"/>
    <w:rsid w:val="00547552"/>
    <w:rsid w:val="00547C56"/>
    <w:rsid w:val="00550FCC"/>
    <w:rsid w:val="00551E5F"/>
    <w:rsid w:val="00554569"/>
    <w:rsid w:val="00554938"/>
    <w:rsid w:val="00555C6C"/>
    <w:rsid w:val="00561E85"/>
    <w:rsid w:val="00562B0A"/>
    <w:rsid w:val="00563CD5"/>
    <w:rsid w:val="00564D79"/>
    <w:rsid w:val="005661F2"/>
    <w:rsid w:val="00566B89"/>
    <w:rsid w:val="00567E6E"/>
    <w:rsid w:val="00571317"/>
    <w:rsid w:val="00573A94"/>
    <w:rsid w:val="0058022E"/>
    <w:rsid w:val="0058067C"/>
    <w:rsid w:val="00581FE0"/>
    <w:rsid w:val="00583337"/>
    <w:rsid w:val="00583898"/>
    <w:rsid w:val="00590BA1"/>
    <w:rsid w:val="00591512"/>
    <w:rsid w:val="00591899"/>
    <w:rsid w:val="00592579"/>
    <w:rsid w:val="005927DD"/>
    <w:rsid w:val="00593FE4"/>
    <w:rsid w:val="00596B7C"/>
    <w:rsid w:val="005A0A5C"/>
    <w:rsid w:val="005A0CDF"/>
    <w:rsid w:val="005A101B"/>
    <w:rsid w:val="005A4133"/>
    <w:rsid w:val="005A5FA1"/>
    <w:rsid w:val="005B04A2"/>
    <w:rsid w:val="005B2CB7"/>
    <w:rsid w:val="005B3546"/>
    <w:rsid w:val="005B4F70"/>
    <w:rsid w:val="005B5F8B"/>
    <w:rsid w:val="005B7068"/>
    <w:rsid w:val="005C0078"/>
    <w:rsid w:val="005C4E74"/>
    <w:rsid w:val="005C63E0"/>
    <w:rsid w:val="005C6F29"/>
    <w:rsid w:val="005D1D0A"/>
    <w:rsid w:val="005E0C06"/>
    <w:rsid w:val="005E1015"/>
    <w:rsid w:val="005E35DC"/>
    <w:rsid w:val="005E440B"/>
    <w:rsid w:val="005E44AE"/>
    <w:rsid w:val="005E488C"/>
    <w:rsid w:val="005E7696"/>
    <w:rsid w:val="005E7BDA"/>
    <w:rsid w:val="005F20E6"/>
    <w:rsid w:val="005F383E"/>
    <w:rsid w:val="005F4CD0"/>
    <w:rsid w:val="005F5F0B"/>
    <w:rsid w:val="005F673A"/>
    <w:rsid w:val="005F6A48"/>
    <w:rsid w:val="006010CF"/>
    <w:rsid w:val="006060DE"/>
    <w:rsid w:val="00606B63"/>
    <w:rsid w:val="00610CE1"/>
    <w:rsid w:val="00612386"/>
    <w:rsid w:val="00613303"/>
    <w:rsid w:val="00616401"/>
    <w:rsid w:val="006169D1"/>
    <w:rsid w:val="00617444"/>
    <w:rsid w:val="00617909"/>
    <w:rsid w:val="00625233"/>
    <w:rsid w:val="00625394"/>
    <w:rsid w:val="006261DB"/>
    <w:rsid w:val="006268BF"/>
    <w:rsid w:val="00627192"/>
    <w:rsid w:val="00627531"/>
    <w:rsid w:val="00631F62"/>
    <w:rsid w:val="00632D0D"/>
    <w:rsid w:val="00634FB1"/>
    <w:rsid w:val="006350F0"/>
    <w:rsid w:val="00635D0C"/>
    <w:rsid w:val="0063604F"/>
    <w:rsid w:val="00637E20"/>
    <w:rsid w:val="006416F1"/>
    <w:rsid w:val="00642C8C"/>
    <w:rsid w:val="006439F3"/>
    <w:rsid w:val="00644F81"/>
    <w:rsid w:val="006453E4"/>
    <w:rsid w:val="00645549"/>
    <w:rsid w:val="00645967"/>
    <w:rsid w:val="00645BD2"/>
    <w:rsid w:val="0064660D"/>
    <w:rsid w:val="006475F2"/>
    <w:rsid w:val="006525B5"/>
    <w:rsid w:val="00655271"/>
    <w:rsid w:val="006552D9"/>
    <w:rsid w:val="006616BF"/>
    <w:rsid w:val="00661F52"/>
    <w:rsid w:val="006624C3"/>
    <w:rsid w:val="00664A3A"/>
    <w:rsid w:val="00667162"/>
    <w:rsid w:val="006707D6"/>
    <w:rsid w:val="00670DAC"/>
    <w:rsid w:val="006714C1"/>
    <w:rsid w:val="00671A9F"/>
    <w:rsid w:val="006741FF"/>
    <w:rsid w:val="006759BA"/>
    <w:rsid w:val="00675B75"/>
    <w:rsid w:val="006768C3"/>
    <w:rsid w:val="00681473"/>
    <w:rsid w:val="006819F7"/>
    <w:rsid w:val="00683339"/>
    <w:rsid w:val="006864F9"/>
    <w:rsid w:val="00686C9F"/>
    <w:rsid w:val="00690C98"/>
    <w:rsid w:val="006911DD"/>
    <w:rsid w:val="006933A8"/>
    <w:rsid w:val="006946DC"/>
    <w:rsid w:val="00694EAB"/>
    <w:rsid w:val="00695A94"/>
    <w:rsid w:val="00695DBD"/>
    <w:rsid w:val="00695E5C"/>
    <w:rsid w:val="00697352"/>
    <w:rsid w:val="006A0D62"/>
    <w:rsid w:val="006A1349"/>
    <w:rsid w:val="006A17F8"/>
    <w:rsid w:val="006A3442"/>
    <w:rsid w:val="006A3497"/>
    <w:rsid w:val="006A54BE"/>
    <w:rsid w:val="006B1A8C"/>
    <w:rsid w:val="006B6284"/>
    <w:rsid w:val="006C6130"/>
    <w:rsid w:val="006C616C"/>
    <w:rsid w:val="006C6F95"/>
    <w:rsid w:val="006D113F"/>
    <w:rsid w:val="006D14F1"/>
    <w:rsid w:val="006D26F8"/>
    <w:rsid w:val="006D3B16"/>
    <w:rsid w:val="006D5F00"/>
    <w:rsid w:val="006D623E"/>
    <w:rsid w:val="006D79D2"/>
    <w:rsid w:val="006E4349"/>
    <w:rsid w:val="006E6485"/>
    <w:rsid w:val="006F1EF4"/>
    <w:rsid w:val="006F1FF3"/>
    <w:rsid w:val="006F2265"/>
    <w:rsid w:val="006F3885"/>
    <w:rsid w:val="006F3D05"/>
    <w:rsid w:val="00700A76"/>
    <w:rsid w:val="007106F0"/>
    <w:rsid w:val="00711296"/>
    <w:rsid w:val="0071229C"/>
    <w:rsid w:val="00712B61"/>
    <w:rsid w:val="0071578B"/>
    <w:rsid w:val="00717067"/>
    <w:rsid w:val="007172C4"/>
    <w:rsid w:val="00721909"/>
    <w:rsid w:val="00721EC7"/>
    <w:rsid w:val="007230B2"/>
    <w:rsid w:val="007232E8"/>
    <w:rsid w:val="007306A5"/>
    <w:rsid w:val="0073081E"/>
    <w:rsid w:val="007313D6"/>
    <w:rsid w:val="007317FC"/>
    <w:rsid w:val="00733435"/>
    <w:rsid w:val="00733FD9"/>
    <w:rsid w:val="0073498A"/>
    <w:rsid w:val="00735B51"/>
    <w:rsid w:val="00740393"/>
    <w:rsid w:val="007404A5"/>
    <w:rsid w:val="007412C2"/>
    <w:rsid w:val="00741407"/>
    <w:rsid w:val="00742509"/>
    <w:rsid w:val="00744D37"/>
    <w:rsid w:val="007459E9"/>
    <w:rsid w:val="00746409"/>
    <w:rsid w:val="007507FC"/>
    <w:rsid w:val="00750954"/>
    <w:rsid w:val="007514D5"/>
    <w:rsid w:val="00753022"/>
    <w:rsid w:val="00753C4C"/>
    <w:rsid w:val="0075462B"/>
    <w:rsid w:val="00754894"/>
    <w:rsid w:val="00755E00"/>
    <w:rsid w:val="00760825"/>
    <w:rsid w:val="0076335B"/>
    <w:rsid w:val="00764672"/>
    <w:rsid w:val="00765C3E"/>
    <w:rsid w:val="00770B44"/>
    <w:rsid w:val="00771A4A"/>
    <w:rsid w:val="00772D71"/>
    <w:rsid w:val="0077324E"/>
    <w:rsid w:val="00780CB7"/>
    <w:rsid w:val="0078140D"/>
    <w:rsid w:val="00781FA9"/>
    <w:rsid w:val="007822AB"/>
    <w:rsid w:val="00782F73"/>
    <w:rsid w:val="00783FF2"/>
    <w:rsid w:val="00785AED"/>
    <w:rsid w:val="0078605D"/>
    <w:rsid w:val="00787152"/>
    <w:rsid w:val="00797397"/>
    <w:rsid w:val="007A0958"/>
    <w:rsid w:val="007A1E54"/>
    <w:rsid w:val="007A45F0"/>
    <w:rsid w:val="007A573B"/>
    <w:rsid w:val="007A5BF9"/>
    <w:rsid w:val="007A6B99"/>
    <w:rsid w:val="007B1D1F"/>
    <w:rsid w:val="007B30B3"/>
    <w:rsid w:val="007B4129"/>
    <w:rsid w:val="007B55D1"/>
    <w:rsid w:val="007B689E"/>
    <w:rsid w:val="007C17BC"/>
    <w:rsid w:val="007C3807"/>
    <w:rsid w:val="007C68C9"/>
    <w:rsid w:val="007C6B58"/>
    <w:rsid w:val="007C75D4"/>
    <w:rsid w:val="007D007C"/>
    <w:rsid w:val="007D0EBB"/>
    <w:rsid w:val="007D3652"/>
    <w:rsid w:val="007D54B5"/>
    <w:rsid w:val="007D62CB"/>
    <w:rsid w:val="007D7293"/>
    <w:rsid w:val="007E08DA"/>
    <w:rsid w:val="007E1544"/>
    <w:rsid w:val="007E2766"/>
    <w:rsid w:val="007E2ECB"/>
    <w:rsid w:val="007E53C3"/>
    <w:rsid w:val="007E6261"/>
    <w:rsid w:val="007E7C12"/>
    <w:rsid w:val="007F1AF6"/>
    <w:rsid w:val="007F240B"/>
    <w:rsid w:val="007F3155"/>
    <w:rsid w:val="007F333B"/>
    <w:rsid w:val="007F3F07"/>
    <w:rsid w:val="007F4149"/>
    <w:rsid w:val="007F5652"/>
    <w:rsid w:val="007F7985"/>
    <w:rsid w:val="00801F9E"/>
    <w:rsid w:val="0080298D"/>
    <w:rsid w:val="00804A64"/>
    <w:rsid w:val="00805C31"/>
    <w:rsid w:val="00805C45"/>
    <w:rsid w:val="0080693E"/>
    <w:rsid w:val="00806CEB"/>
    <w:rsid w:val="00812347"/>
    <w:rsid w:val="00814AFC"/>
    <w:rsid w:val="008151DC"/>
    <w:rsid w:val="0081595C"/>
    <w:rsid w:val="00815D7C"/>
    <w:rsid w:val="0081703E"/>
    <w:rsid w:val="008200FB"/>
    <w:rsid w:val="00821977"/>
    <w:rsid w:val="008221CB"/>
    <w:rsid w:val="008224E1"/>
    <w:rsid w:val="008224F2"/>
    <w:rsid w:val="008225AA"/>
    <w:rsid w:val="00823036"/>
    <w:rsid w:val="00825298"/>
    <w:rsid w:val="00830090"/>
    <w:rsid w:val="00835ECA"/>
    <w:rsid w:val="00836474"/>
    <w:rsid w:val="00840672"/>
    <w:rsid w:val="00842103"/>
    <w:rsid w:val="008431A5"/>
    <w:rsid w:val="00843554"/>
    <w:rsid w:val="0084380A"/>
    <w:rsid w:val="00845E89"/>
    <w:rsid w:val="008463D3"/>
    <w:rsid w:val="00846498"/>
    <w:rsid w:val="00852BED"/>
    <w:rsid w:val="00853028"/>
    <w:rsid w:val="00856105"/>
    <w:rsid w:val="00862B90"/>
    <w:rsid w:val="00863375"/>
    <w:rsid w:val="00864202"/>
    <w:rsid w:val="008651C3"/>
    <w:rsid w:val="00865883"/>
    <w:rsid w:val="008671B6"/>
    <w:rsid w:val="00867DE1"/>
    <w:rsid w:val="00872732"/>
    <w:rsid w:val="00873448"/>
    <w:rsid w:val="008734A3"/>
    <w:rsid w:val="00874417"/>
    <w:rsid w:val="00876290"/>
    <w:rsid w:val="0087659D"/>
    <w:rsid w:val="00876997"/>
    <w:rsid w:val="00880016"/>
    <w:rsid w:val="008820F3"/>
    <w:rsid w:val="008833CA"/>
    <w:rsid w:val="00887312"/>
    <w:rsid w:val="008878C2"/>
    <w:rsid w:val="00890994"/>
    <w:rsid w:val="0089321C"/>
    <w:rsid w:val="0089362A"/>
    <w:rsid w:val="00893875"/>
    <w:rsid w:val="00894544"/>
    <w:rsid w:val="00895956"/>
    <w:rsid w:val="008A082C"/>
    <w:rsid w:val="008A1E4C"/>
    <w:rsid w:val="008A25EE"/>
    <w:rsid w:val="008A3509"/>
    <w:rsid w:val="008A37AE"/>
    <w:rsid w:val="008A4C03"/>
    <w:rsid w:val="008A4C3D"/>
    <w:rsid w:val="008A4D22"/>
    <w:rsid w:val="008A53E9"/>
    <w:rsid w:val="008A5E57"/>
    <w:rsid w:val="008B3853"/>
    <w:rsid w:val="008B3988"/>
    <w:rsid w:val="008B7488"/>
    <w:rsid w:val="008B7D5E"/>
    <w:rsid w:val="008C26B6"/>
    <w:rsid w:val="008C2A6F"/>
    <w:rsid w:val="008D002F"/>
    <w:rsid w:val="008D13CD"/>
    <w:rsid w:val="008D181F"/>
    <w:rsid w:val="008D2450"/>
    <w:rsid w:val="008D344F"/>
    <w:rsid w:val="008D4698"/>
    <w:rsid w:val="008D5A5C"/>
    <w:rsid w:val="008D5D95"/>
    <w:rsid w:val="008D7A4A"/>
    <w:rsid w:val="008E1279"/>
    <w:rsid w:val="008E1608"/>
    <w:rsid w:val="008E5972"/>
    <w:rsid w:val="008F3150"/>
    <w:rsid w:val="008F3A7C"/>
    <w:rsid w:val="008F3B5A"/>
    <w:rsid w:val="008F46E1"/>
    <w:rsid w:val="00900F60"/>
    <w:rsid w:val="009019D2"/>
    <w:rsid w:val="009024EF"/>
    <w:rsid w:val="00902C4F"/>
    <w:rsid w:val="009038F5"/>
    <w:rsid w:val="009062C8"/>
    <w:rsid w:val="009079AE"/>
    <w:rsid w:val="00910878"/>
    <w:rsid w:val="009117F5"/>
    <w:rsid w:val="009119F4"/>
    <w:rsid w:val="00914E27"/>
    <w:rsid w:val="009170B9"/>
    <w:rsid w:val="00917D80"/>
    <w:rsid w:val="00920F44"/>
    <w:rsid w:val="00924A9B"/>
    <w:rsid w:val="009277CF"/>
    <w:rsid w:val="009303C2"/>
    <w:rsid w:val="009309B4"/>
    <w:rsid w:val="0093416F"/>
    <w:rsid w:val="00934FD8"/>
    <w:rsid w:val="00935821"/>
    <w:rsid w:val="009359BC"/>
    <w:rsid w:val="00935C11"/>
    <w:rsid w:val="0094101D"/>
    <w:rsid w:val="0094171A"/>
    <w:rsid w:val="00941B77"/>
    <w:rsid w:val="009421AE"/>
    <w:rsid w:val="00943DEF"/>
    <w:rsid w:val="00952F8E"/>
    <w:rsid w:val="00953824"/>
    <w:rsid w:val="00953CD2"/>
    <w:rsid w:val="00955A0B"/>
    <w:rsid w:val="009562BE"/>
    <w:rsid w:val="00956920"/>
    <w:rsid w:val="00957070"/>
    <w:rsid w:val="00957C45"/>
    <w:rsid w:val="00960EC4"/>
    <w:rsid w:val="00961A2A"/>
    <w:rsid w:val="0096281F"/>
    <w:rsid w:val="0096328A"/>
    <w:rsid w:val="00963FE2"/>
    <w:rsid w:val="00964CFF"/>
    <w:rsid w:val="0096518D"/>
    <w:rsid w:val="00972FC5"/>
    <w:rsid w:val="009755FF"/>
    <w:rsid w:val="009763C4"/>
    <w:rsid w:val="00977516"/>
    <w:rsid w:val="009825CD"/>
    <w:rsid w:val="009840D8"/>
    <w:rsid w:val="00984269"/>
    <w:rsid w:val="00984B2D"/>
    <w:rsid w:val="00984F88"/>
    <w:rsid w:val="00985083"/>
    <w:rsid w:val="009854D8"/>
    <w:rsid w:val="0098566F"/>
    <w:rsid w:val="0098695E"/>
    <w:rsid w:val="00987273"/>
    <w:rsid w:val="009907C0"/>
    <w:rsid w:val="00990C56"/>
    <w:rsid w:val="00990D35"/>
    <w:rsid w:val="00991E57"/>
    <w:rsid w:val="00994E0D"/>
    <w:rsid w:val="009A15BD"/>
    <w:rsid w:val="009A1880"/>
    <w:rsid w:val="009A3520"/>
    <w:rsid w:val="009A4312"/>
    <w:rsid w:val="009A5812"/>
    <w:rsid w:val="009B1C22"/>
    <w:rsid w:val="009B236A"/>
    <w:rsid w:val="009B2B58"/>
    <w:rsid w:val="009B5A50"/>
    <w:rsid w:val="009B6216"/>
    <w:rsid w:val="009B65B9"/>
    <w:rsid w:val="009B6A94"/>
    <w:rsid w:val="009B6FE1"/>
    <w:rsid w:val="009B7A46"/>
    <w:rsid w:val="009C08B9"/>
    <w:rsid w:val="009C19EE"/>
    <w:rsid w:val="009C3419"/>
    <w:rsid w:val="009C3BDA"/>
    <w:rsid w:val="009C56D5"/>
    <w:rsid w:val="009C689F"/>
    <w:rsid w:val="009C7F30"/>
    <w:rsid w:val="009D057E"/>
    <w:rsid w:val="009D0B7F"/>
    <w:rsid w:val="009D5772"/>
    <w:rsid w:val="009D593A"/>
    <w:rsid w:val="009D5F20"/>
    <w:rsid w:val="009E2421"/>
    <w:rsid w:val="009E49FD"/>
    <w:rsid w:val="009E4C25"/>
    <w:rsid w:val="009E6A3D"/>
    <w:rsid w:val="009F0D9E"/>
    <w:rsid w:val="009F1622"/>
    <w:rsid w:val="009F29D8"/>
    <w:rsid w:val="009F2B07"/>
    <w:rsid w:val="009F33DA"/>
    <w:rsid w:val="009F3A21"/>
    <w:rsid w:val="009F5970"/>
    <w:rsid w:val="009F5C8A"/>
    <w:rsid w:val="009F66EB"/>
    <w:rsid w:val="009F7548"/>
    <w:rsid w:val="00A00C21"/>
    <w:rsid w:val="00A05228"/>
    <w:rsid w:val="00A0530E"/>
    <w:rsid w:val="00A0753D"/>
    <w:rsid w:val="00A14ECF"/>
    <w:rsid w:val="00A15090"/>
    <w:rsid w:val="00A15562"/>
    <w:rsid w:val="00A156D7"/>
    <w:rsid w:val="00A15989"/>
    <w:rsid w:val="00A167B7"/>
    <w:rsid w:val="00A1730B"/>
    <w:rsid w:val="00A1732A"/>
    <w:rsid w:val="00A20506"/>
    <w:rsid w:val="00A20859"/>
    <w:rsid w:val="00A20EAD"/>
    <w:rsid w:val="00A2177C"/>
    <w:rsid w:val="00A22C02"/>
    <w:rsid w:val="00A23BBF"/>
    <w:rsid w:val="00A2430E"/>
    <w:rsid w:val="00A256A3"/>
    <w:rsid w:val="00A272A6"/>
    <w:rsid w:val="00A273A9"/>
    <w:rsid w:val="00A30C64"/>
    <w:rsid w:val="00A32DD3"/>
    <w:rsid w:val="00A3344B"/>
    <w:rsid w:val="00A342E2"/>
    <w:rsid w:val="00A3553C"/>
    <w:rsid w:val="00A360E1"/>
    <w:rsid w:val="00A364B9"/>
    <w:rsid w:val="00A3713E"/>
    <w:rsid w:val="00A37FEE"/>
    <w:rsid w:val="00A42C35"/>
    <w:rsid w:val="00A451E4"/>
    <w:rsid w:val="00A455BF"/>
    <w:rsid w:val="00A46AFE"/>
    <w:rsid w:val="00A470BB"/>
    <w:rsid w:val="00A47A12"/>
    <w:rsid w:val="00A51627"/>
    <w:rsid w:val="00A51F7A"/>
    <w:rsid w:val="00A522FF"/>
    <w:rsid w:val="00A525F7"/>
    <w:rsid w:val="00A53716"/>
    <w:rsid w:val="00A5441D"/>
    <w:rsid w:val="00A54EA5"/>
    <w:rsid w:val="00A56224"/>
    <w:rsid w:val="00A570D7"/>
    <w:rsid w:val="00A62116"/>
    <w:rsid w:val="00A62E41"/>
    <w:rsid w:val="00A677F0"/>
    <w:rsid w:val="00A67ED9"/>
    <w:rsid w:val="00A701B9"/>
    <w:rsid w:val="00A73CE8"/>
    <w:rsid w:val="00A75C09"/>
    <w:rsid w:val="00A835C3"/>
    <w:rsid w:val="00A84A29"/>
    <w:rsid w:val="00A85657"/>
    <w:rsid w:val="00A85F95"/>
    <w:rsid w:val="00A913AC"/>
    <w:rsid w:val="00A924D4"/>
    <w:rsid w:val="00A93BF9"/>
    <w:rsid w:val="00A946BA"/>
    <w:rsid w:val="00A96C47"/>
    <w:rsid w:val="00A97068"/>
    <w:rsid w:val="00AA042D"/>
    <w:rsid w:val="00AA693A"/>
    <w:rsid w:val="00AA7D94"/>
    <w:rsid w:val="00AB2D53"/>
    <w:rsid w:val="00AB6ACF"/>
    <w:rsid w:val="00AB725C"/>
    <w:rsid w:val="00AC0342"/>
    <w:rsid w:val="00AC1050"/>
    <w:rsid w:val="00AC2451"/>
    <w:rsid w:val="00AC3C97"/>
    <w:rsid w:val="00AC3D34"/>
    <w:rsid w:val="00AC5060"/>
    <w:rsid w:val="00AC5A17"/>
    <w:rsid w:val="00AC5F1E"/>
    <w:rsid w:val="00AC5F7E"/>
    <w:rsid w:val="00AC6351"/>
    <w:rsid w:val="00AC6CC8"/>
    <w:rsid w:val="00AD31FA"/>
    <w:rsid w:val="00AD540A"/>
    <w:rsid w:val="00AD580F"/>
    <w:rsid w:val="00AD635D"/>
    <w:rsid w:val="00AD6BCD"/>
    <w:rsid w:val="00AD6BE3"/>
    <w:rsid w:val="00AD70EF"/>
    <w:rsid w:val="00AE00E9"/>
    <w:rsid w:val="00AE046F"/>
    <w:rsid w:val="00AE24B1"/>
    <w:rsid w:val="00AE2CB8"/>
    <w:rsid w:val="00AE492D"/>
    <w:rsid w:val="00AE4A3F"/>
    <w:rsid w:val="00AE7F9B"/>
    <w:rsid w:val="00AF0B81"/>
    <w:rsid w:val="00AF2F24"/>
    <w:rsid w:val="00AF3BA8"/>
    <w:rsid w:val="00AF4390"/>
    <w:rsid w:val="00AF49C8"/>
    <w:rsid w:val="00AF65B7"/>
    <w:rsid w:val="00AF73F1"/>
    <w:rsid w:val="00AF7B2C"/>
    <w:rsid w:val="00B0051E"/>
    <w:rsid w:val="00B00F2F"/>
    <w:rsid w:val="00B010A1"/>
    <w:rsid w:val="00B03A22"/>
    <w:rsid w:val="00B050EC"/>
    <w:rsid w:val="00B05235"/>
    <w:rsid w:val="00B0540B"/>
    <w:rsid w:val="00B07396"/>
    <w:rsid w:val="00B12781"/>
    <w:rsid w:val="00B14B69"/>
    <w:rsid w:val="00B16346"/>
    <w:rsid w:val="00B17A77"/>
    <w:rsid w:val="00B2034C"/>
    <w:rsid w:val="00B2058C"/>
    <w:rsid w:val="00B2190E"/>
    <w:rsid w:val="00B21C95"/>
    <w:rsid w:val="00B228AD"/>
    <w:rsid w:val="00B23D28"/>
    <w:rsid w:val="00B24809"/>
    <w:rsid w:val="00B25614"/>
    <w:rsid w:val="00B25D83"/>
    <w:rsid w:val="00B25F6A"/>
    <w:rsid w:val="00B26944"/>
    <w:rsid w:val="00B30032"/>
    <w:rsid w:val="00B301E9"/>
    <w:rsid w:val="00B30F4B"/>
    <w:rsid w:val="00B31023"/>
    <w:rsid w:val="00B317EA"/>
    <w:rsid w:val="00B3371A"/>
    <w:rsid w:val="00B4084B"/>
    <w:rsid w:val="00B41154"/>
    <w:rsid w:val="00B41339"/>
    <w:rsid w:val="00B42B72"/>
    <w:rsid w:val="00B42D88"/>
    <w:rsid w:val="00B443A9"/>
    <w:rsid w:val="00B445C7"/>
    <w:rsid w:val="00B47353"/>
    <w:rsid w:val="00B51E88"/>
    <w:rsid w:val="00B53457"/>
    <w:rsid w:val="00B54005"/>
    <w:rsid w:val="00B562B5"/>
    <w:rsid w:val="00B57EA3"/>
    <w:rsid w:val="00B62DB0"/>
    <w:rsid w:val="00B65BAA"/>
    <w:rsid w:val="00B65F14"/>
    <w:rsid w:val="00B66E6B"/>
    <w:rsid w:val="00B71D6C"/>
    <w:rsid w:val="00B71E7B"/>
    <w:rsid w:val="00B725B1"/>
    <w:rsid w:val="00B75202"/>
    <w:rsid w:val="00B76C3E"/>
    <w:rsid w:val="00B80590"/>
    <w:rsid w:val="00B81990"/>
    <w:rsid w:val="00B83443"/>
    <w:rsid w:val="00B846C1"/>
    <w:rsid w:val="00B847EE"/>
    <w:rsid w:val="00B85CCB"/>
    <w:rsid w:val="00B87688"/>
    <w:rsid w:val="00B876B8"/>
    <w:rsid w:val="00B909BD"/>
    <w:rsid w:val="00B92A7D"/>
    <w:rsid w:val="00B93A27"/>
    <w:rsid w:val="00B95476"/>
    <w:rsid w:val="00B96994"/>
    <w:rsid w:val="00B97537"/>
    <w:rsid w:val="00B97748"/>
    <w:rsid w:val="00BA2984"/>
    <w:rsid w:val="00BA3948"/>
    <w:rsid w:val="00BA39AC"/>
    <w:rsid w:val="00BA4191"/>
    <w:rsid w:val="00BA47A9"/>
    <w:rsid w:val="00BA4FD8"/>
    <w:rsid w:val="00BA74E1"/>
    <w:rsid w:val="00BB3223"/>
    <w:rsid w:val="00BB428C"/>
    <w:rsid w:val="00BB5156"/>
    <w:rsid w:val="00BB7138"/>
    <w:rsid w:val="00BC2A0A"/>
    <w:rsid w:val="00BC64BE"/>
    <w:rsid w:val="00BC7CBA"/>
    <w:rsid w:val="00BD09D8"/>
    <w:rsid w:val="00BD7C68"/>
    <w:rsid w:val="00BE0775"/>
    <w:rsid w:val="00BE0FA1"/>
    <w:rsid w:val="00BE1AF7"/>
    <w:rsid w:val="00BE2E9A"/>
    <w:rsid w:val="00BE3750"/>
    <w:rsid w:val="00BE40F4"/>
    <w:rsid w:val="00BE50AB"/>
    <w:rsid w:val="00BE6831"/>
    <w:rsid w:val="00BF282A"/>
    <w:rsid w:val="00BF3C6B"/>
    <w:rsid w:val="00BF6BD9"/>
    <w:rsid w:val="00BF7CD7"/>
    <w:rsid w:val="00BF7DC7"/>
    <w:rsid w:val="00C00B53"/>
    <w:rsid w:val="00C02303"/>
    <w:rsid w:val="00C03BAA"/>
    <w:rsid w:val="00C03DD1"/>
    <w:rsid w:val="00C04958"/>
    <w:rsid w:val="00C05254"/>
    <w:rsid w:val="00C06BDF"/>
    <w:rsid w:val="00C07A1A"/>
    <w:rsid w:val="00C103B2"/>
    <w:rsid w:val="00C104D9"/>
    <w:rsid w:val="00C124D0"/>
    <w:rsid w:val="00C149CA"/>
    <w:rsid w:val="00C14C2E"/>
    <w:rsid w:val="00C151A2"/>
    <w:rsid w:val="00C152E9"/>
    <w:rsid w:val="00C15886"/>
    <w:rsid w:val="00C2095D"/>
    <w:rsid w:val="00C20A8F"/>
    <w:rsid w:val="00C22059"/>
    <w:rsid w:val="00C237C3"/>
    <w:rsid w:val="00C23D1E"/>
    <w:rsid w:val="00C247FB"/>
    <w:rsid w:val="00C26308"/>
    <w:rsid w:val="00C2789E"/>
    <w:rsid w:val="00C3044C"/>
    <w:rsid w:val="00C36EFE"/>
    <w:rsid w:val="00C407AB"/>
    <w:rsid w:val="00C43AFB"/>
    <w:rsid w:val="00C4711F"/>
    <w:rsid w:val="00C4790E"/>
    <w:rsid w:val="00C5234E"/>
    <w:rsid w:val="00C53199"/>
    <w:rsid w:val="00C53A4E"/>
    <w:rsid w:val="00C53E34"/>
    <w:rsid w:val="00C54073"/>
    <w:rsid w:val="00C5451B"/>
    <w:rsid w:val="00C55478"/>
    <w:rsid w:val="00C5673E"/>
    <w:rsid w:val="00C57291"/>
    <w:rsid w:val="00C5746C"/>
    <w:rsid w:val="00C61009"/>
    <w:rsid w:val="00C61E61"/>
    <w:rsid w:val="00C62905"/>
    <w:rsid w:val="00C62AF2"/>
    <w:rsid w:val="00C6410B"/>
    <w:rsid w:val="00C644C6"/>
    <w:rsid w:val="00C64A2E"/>
    <w:rsid w:val="00C65610"/>
    <w:rsid w:val="00C71AC9"/>
    <w:rsid w:val="00C72A2E"/>
    <w:rsid w:val="00C737B9"/>
    <w:rsid w:val="00C75B1C"/>
    <w:rsid w:val="00C77363"/>
    <w:rsid w:val="00C80519"/>
    <w:rsid w:val="00C8062B"/>
    <w:rsid w:val="00C8151E"/>
    <w:rsid w:val="00C822D0"/>
    <w:rsid w:val="00C878E5"/>
    <w:rsid w:val="00C91468"/>
    <w:rsid w:val="00C94876"/>
    <w:rsid w:val="00C95670"/>
    <w:rsid w:val="00C95B77"/>
    <w:rsid w:val="00C967B4"/>
    <w:rsid w:val="00C96F3C"/>
    <w:rsid w:val="00CA356F"/>
    <w:rsid w:val="00CA3F62"/>
    <w:rsid w:val="00CA494B"/>
    <w:rsid w:val="00CA64A4"/>
    <w:rsid w:val="00CB34FD"/>
    <w:rsid w:val="00CB3DD0"/>
    <w:rsid w:val="00CB436C"/>
    <w:rsid w:val="00CB62B7"/>
    <w:rsid w:val="00CB6812"/>
    <w:rsid w:val="00CC205D"/>
    <w:rsid w:val="00CC3C02"/>
    <w:rsid w:val="00CC420C"/>
    <w:rsid w:val="00CC6FC0"/>
    <w:rsid w:val="00CC7383"/>
    <w:rsid w:val="00CD0C54"/>
    <w:rsid w:val="00CD0CE2"/>
    <w:rsid w:val="00CD1B25"/>
    <w:rsid w:val="00CD20B8"/>
    <w:rsid w:val="00CD264B"/>
    <w:rsid w:val="00CD384C"/>
    <w:rsid w:val="00CD4666"/>
    <w:rsid w:val="00CD4880"/>
    <w:rsid w:val="00CD57D8"/>
    <w:rsid w:val="00CD6A45"/>
    <w:rsid w:val="00CE2298"/>
    <w:rsid w:val="00CE2A5B"/>
    <w:rsid w:val="00CE301F"/>
    <w:rsid w:val="00CF1425"/>
    <w:rsid w:val="00CF2EB6"/>
    <w:rsid w:val="00CF48C5"/>
    <w:rsid w:val="00CF5A31"/>
    <w:rsid w:val="00CF6170"/>
    <w:rsid w:val="00CF7383"/>
    <w:rsid w:val="00CF7862"/>
    <w:rsid w:val="00CF7BBF"/>
    <w:rsid w:val="00D0002C"/>
    <w:rsid w:val="00D011C5"/>
    <w:rsid w:val="00D042DB"/>
    <w:rsid w:val="00D0555E"/>
    <w:rsid w:val="00D074D4"/>
    <w:rsid w:val="00D12B8A"/>
    <w:rsid w:val="00D149C4"/>
    <w:rsid w:val="00D14B5F"/>
    <w:rsid w:val="00D15FA2"/>
    <w:rsid w:val="00D1650D"/>
    <w:rsid w:val="00D21EDA"/>
    <w:rsid w:val="00D241AA"/>
    <w:rsid w:val="00D30877"/>
    <w:rsid w:val="00D334D9"/>
    <w:rsid w:val="00D378D3"/>
    <w:rsid w:val="00D40C87"/>
    <w:rsid w:val="00D4237F"/>
    <w:rsid w:val="00D4244D"/>
    <w:rsid w:val="00D4404C"/>
    <w:rsid w:val="00D44256"/>
    <w:rsid w:val="00D453D0"/>
    <w:rsid w:val="00D51EFD"/>
    <w:rsid w:val="00D5202D"/>
    <w:rsid w:val="00D56248"/>
    <w:rsid w:val="00D60CF4"/>
    <w:rsid w:val="00D61DAB"/>
    <w:rsid w:val="00D61E15"/>
    <w:rsid w:val="00D61FB4"/>
    <w:rsid w:val="00D630F6"/>
    <w:rsid w:val="00D64448"/>
    <w:rsid w:val="00D64A80"/>
    <w:rsid w:val="00D66334"/>
    <w:rsid w:val="00D67704"/>
    <w:rsid w:val="00D7070A"/>
    <w:rsid w:val="00D71FD4"/>
    <w:rsid w:val="00D74708"/>
    <w:rsid w:val="00D81F57"/>
    <w:rsid w:val="00D83417"/>
    <w:rsid w:val="00D83BCF"/>
    <w:rsid w:val="00D83C25"/>
    <w:rsid w:val="00D85F3B"/>
    <w:rsid w:val="00D873CA"/>
    <w:rsid w:val="00D92C8A"/>
    <w:rsid w:val="00D97E02"/>
    <w:rsid w:val="00DA027C"/>
    <w:rsid w:val="00DA09ED"/>
    <w:rsid w:val="00DA18A2"/>
    <w:rsid w:val="00DA2D99"/>
    <w:rsid w:val="00DA4B90"/>
    <w:rsid w:val="00DA5346"/>
    <w:rsid w:val="00DA5722"/>
    <w:rsid w:val="00DA5B20"/>
    <w:rsid w:val="00DA5BB2"/>
    <w:rsid w:val="00DA6396"/>
    <w:rsid w:val="00DA7BB6"/>
    <w:rsid w:val="00DB1383"/>
    <w:rsid w:val="00DB47D4"/>
    <w:rsid w:val="00DB6391"/>
    <w:rsid w:val="00DB7244"/>
    <w:rsid w:val="00DC075A"/>
    <w:rsid w:val="00DC2AA9"/>
    <w:rsid w:val="00DC5836"/>
    <w:rsid w:val="00DD0861"/>
    <w:rsid w:val="00DD183F"/>
    <w:rsid w:val="00DD262E"/>
    <w:rsid w:val="00DD27B9"/>
    <w:rsid w:val="00DD3170"/>
    <w:rsid w:val="00DD373F"/>
    <w:rsid w:val="00DD3A1A"/>
    <w:rsid w:val="00DD47DA"/>
    <w:rsid w:val="00DD6107"/>
    <w:rsid w:val="00DE14BD"/>
    <w:rsid w:val="00DE19D5"/>
    <w:rsid w:val="00DE3307"/>
    <w:rsid w:val="00DE4A7D"/>
    <w:rsid w:val="00DE7AB1"/>
    <w:rsid w:val="00DE7AFA"/>
    <w:rsid w:val="00DF100A"/>
    <w:rsid w:val="00DF3B1F"/>
    <w:rsid w:val="00DF3B7F"/>
    <w:rsid w:val="00DF4AD1"/>
    <w:rsid w:val="00DF787E"/>
    <w:rsid w:val="00DF7B31"/>
    <w:rsid w:val="00E0335D"/>
    <w:rsid w:val="00E0364C"/>
    <w:rsid w:val="00E037C9"/>
    <w:rsid w:val="00E04C3C"/>
    <w:rsid w:val="00E052FD"/>
    <w:rsid w:val="00E0707E"/>
    <w:rsid w:val="00E12C79"/>
    <w:rsid w:val="00E139C4"/>
    <w:rsid w:val="00E16234"/>
    <w:rsid w:val="00E16594"/>
    <w:rsid w:val="00E167AB"/>
    <w:rsid w:val="00E209D9"/>
    <w:rsid w:val="00E21B19"/>
    <w:rsid w:val="00E22E74"/>
    <w:rsid w:val="00E237AB"/>
    <w:rsid w:val="00E24CAA"/>
    <w:rsid w:val="00E25A8F"/>
    <w:rsid w:val="00E3305F"/>
    <w:rsid w:val="00E36B63"/>
    <w:rsid w:val="00E3704A"/>
    <w:rsid w:val="00E4200D"/>
    <w:rsid w:val="00E42C45"/>
    <w:rsid w:val="00E43868"/>
    <w:rsid w:val="00E4389B"/>
    <w:rsid w:val="00E43E5B"/>
    <w:rsid w:val="00E47606"/>
    <w:rsid w:val="00E50C4B"/>
    <w:rsid w:val="00E51D60"/>
    <w:rsid w:val="00E563CF"/>
    <w:rsid w:val="00E57234"/>
    <w:rsid w:val="00E6388F"/>
    <w:rsid w:val="00E6434D"/>
    <w:rsid w:val="00E658EA"/>
    <w:rsid w:val="00E65B04"/>
    <w:rsid w:val="00E65D95"/>
    <w:rsid w:val="00E66F3C"/>
    <w:rsid w:val="00E72F55"/>
    <w:rsid w:val="00E778C0"/>
    <w:rsid w:val="00E80604"/>
    <w:rsid w:val="00E80842"/>
    <w:rsid w:val="00E80A32"/>
    <w:rsid w:val="00E813E3"/>
    <w:rsid w:val="00E82196"/>
    <w:rsid w:val="00E84069"/>
    <w:rsid w:val="00E8434A"/>
    <w:rsid w:val="00E8593D"/>
    <w:rsid w:val="00E90828"/>
    <w:rsid w:val="00E91DA6"/>
    <w:rsid w:val="00E94919"/>
    <w:rsid w:val="00E94D42"/>
    <w:rsid w:val="00E9598D"/>
    <w:rsid w:val="00E977E8"/>
    <w:rsid w:val="00E979FD"/>
    <w:rsid w:val="00EA057B"/>
    <w:rsid w:val="00EA29C5"/>
    <w:rsid w:val="00EA3F96"/>
    <w:rsid w:val="00EA4C11"/>
    <w:rsid w:val="00EA7801"/>
    <w:rsid w:val="00EB0686"/>
    <w:rsid w:val="00EB0E64"/>
    <w:rsid w:val="00EB4D57"/>
    <w:rsid w:val="00EB4D74"/>
    <w:rsid w:val="00EB7780"/>
    <w:rsid w:val="00EC0C0C"/>
    <w:rsid w:val="00EC2354"/>
    <w:rsid w:val="00EC3F20"/>
    <w:rsid w:val="00EC507A"/>
    <w:rsid w:val="00EC65A8"/>
    <w:rsid w:val="00EC66E7"/>
    <w:rsid w:val="00EC69FA"/>
    <w:rsid w:val="00EC6EAA"/>
    <w:rsid w:val="00EC6F52"/>
    <w:rsid w:val="00EC74A6"/>
    <w:rsid w:val="00ED1164"/>
    <w:rsid w:val="00ED6F36"/>
    <w:rsid w:val="00ED7569"/>
    <w:rsid w:val="00EE3E9F"/>
    <w:rsid w:val="00EE4173"/>
    <w:rsid w:val="00EF0A11"/>
    <w:rsid w:val="00EF1820"/>
    <w:rsid w:val="00EF2FD6"/>
    <w:rsid w:val="00EF659E"/>
    <w:rsid w:val="00EF6765"/>
    <w:rsid w:val="00EF681C"/>
    <w:rsid w:val="00EF7202"/>
    <w:rsid w:val="00EF7678"/>
    <w:rsid w:val="00F0193F"/>
    <w:rsid w:val="00F03472"/>
    <w:rsid w:val="00F06D0B"/>
    <w:rsid w:val="00F07551"/>
    <w:rsid w:val="00F10E91"/>
    <w:rsid w:val="00F11F82"/>
    <w:rsid w:val="00F129D0"/>
    <w:rsid w:val="00F13256"/>
    <w:rsid w:val="00F149CB"/>
    <w:rsid w:val="00F14DF1"/>
    <w:rsid w:val="00F154C7"/>
    <w:rsid w:val="00F15AFD"/>
    <w:rsid w:val="00F16324"/>
    <w:rsid w:val="00F17102"/>
    <w:rsid w:val="00F17F5F"/>
    <w:rsid w:val="00F22724"/>
    <w:rsid w:val="00F23E52"/>
    <w:rsid w:val="00F2694A"/>
    <w:rsid w:val="00F3086B"/>
    <w:rsid w:val="00F32356"/>
    <w:rsid w:val="00F3358A"/>
    <w:rsid w:val="00F34EF1"/>
    <w:rsid w:val="00F35F29"/>
    <w:rsid w:val="00F360F0"/>
    <w:rsid w:val="00F372AC"/>
    <w:rsid w:val="00F37745"/>
    <w:rsid w:val="00F37B0B"/>
    <w:rsid w:val="00F41A40"/>
    <w:rsid w:val="00F43626"/>
    <w:rsid w:val="00F47C6D"/>
    <w:rsid w:val="00F52856"/>
    <w:rsid w:val="00F5521E"/>
    <w:rsid w:val="00F56804"/>
    <w:rsid w:val="00F5706C"/>
    <w:rsid w:val="00F570D4"/>
    <w:rsid w:val="00F6139A"/>
    <w:rsid w:val="00F618CD"/>
    <w:rsid w:val="00F63A42"/>
    <w:rsid w:val="00F63E20"/>
    <w:rsid w:val="00F64DA9"/>
    <w:rsid w:val="00F6677C"/>
    <w:rsid w:val="00F667AF"/>
    <w:rsid w:val="00F66A2C"/>
    <w:rsid w:val="00F7030C"/>
    <w:rsid w:val="00F707E6"/>
    <w:rsid w:val="00F72390"/>
    <w:rsid w:val="00F726BF"/>
    <w:rsid w:val="00F7285D"/>
    <w:rsid w:val="00F742F7"/>
    <w:rsid w:val="00F74D10"/>
    <w:rsid w:val="00F80BF4"/>
    <w:rsid w:val="00F822A6"/>
    <w:rsid w:val="00F8233A"/>
    <w:rsid w:val="00F83408"/>
    <w:rsid w:val="00F835DD"/>
    <w:rsid w:val="00F84324"/>
    <w:rsid w:val="00F85622"/>
    <w:rsid w:val="00F8580F"/>
    <w:rsid w:val="00F87601"/>
    <w:rsid w:val="00FA0A47"/>
    <w:rsid w:val="00FA0F97"/>
    <w:rsid w:val="00FA1426"/>
    <w:rsid w:val="00FA198E"/>
    <w:rsid w:val="00FA1C99"/>
    <w:rsid w:val="00FA2A40"/>
    <w:rsid w:val="00FA7151"/>
    <w:rsid w:val="00FB0CFD"/>
    <w:rsid w:val="00FB2EE4"/>
    <w:rsid w:val="00FB4140"/>
    <w:rsid w:val="00FB6BC3"/>
    <w:rsid w:val="00FB7FCD"/>
    <w:rsid w:val="00FC0C02"/>
    <w:rsid w:val="00FC1BC1"/>
    <w:rsid w:val="00FC2CFA"/>
    <w:rsid w:val="00FC5200"/>
    <w:rsid w:val="00FC63C5"/>
    <w:rsid w:val="00FC75D1"/>
    <w:rsid w:val="00FC7949"/>
    <w:rsid w:val="00FD143A"/>
    <w:rsid w:val="00FD1A0B"/>
    <w:rsid w:val="00FD2770"/>
    <w:rsid w:val="00FD28D1"/>
    <w:rsid w:val="00FD2949"/>
    <w:rsid w:val="00FD3450"/>
    <w:rsid w:val="00FD6020"/>
    <w:rsid w:val="00FD6A95"/>
    <w:rsid w:val="00FE4399"/>
    <w:rsid w:val="00FE4B5B"/>
    <w:rsid w:val="00FE5504"/>
    <w:rsid w:val="00FE5C52"/>
    <w:rsid w:val="00FE5CE1"/>
    <w:rsid w:val="00FE65EB"/>
    <w:rsid w:val="00FE75FE"/>
    <w:rsid w:val="00FF1BCE"/>
    <w:rsid w:val="00FF5086"/>
    <w:rsid w:val="01061AFC"/>
    <w:rsid w:val="01476ABE"/>
    <w:rsid w:val="01577F23"/>
    <w:rsid w:val="01620F6B"/>
    <w:rsid w:val="01B83E7E"/>
    <w:rsid w:val="01C1297D"/>
    <w:rsid w:val="01CA5B5C"/>
    <w:rsid w:val="01E03674"/>
    <w:rsid w:val="01F9035B"/>
    <w:rsid w:val="021138F7"/>
    <w:rsid w:val="029A7D90"/>
    <w:rsid w:val="029F7154"/>
    <w:rsid w:val="02F8574A"/>
    <w:rsid w:val="03104786"/>
    <w:rsid w:val="031F0BD0"/>
    <w:rsid w:val="032052DC"/>
    <w:rsid w:val="03683842"/>
    <w:rsid w:val="03A761ED"/>
    <w:rsid w:val="03AC1261"/>
    <w:rsid w:val="03C52BEB"/>
    <w:rsid w:val="03D065AC"/>
    <w:rsid w:val="03DD0618"/>
    <w:rsid w:val="03DE4D77"/>
    <w:rsid w:val="03F30732"/>
    <w:rsid w:val="042E0790"/>
    <w:rsid w:val="048C1085"/>
    <w:rsid w:val="049820AD"/>
    <w:rsid w:val="04983E5B"/>
    <w:rsid w:val="04CD731B"/>
    <w:rsid w:val="04DF7CDC"/>
    <w:rsid w:val="04FA1B54"/>
    <w:rsid w:val="05025778"/>
    <w:rsid w:val="052A72FA"/>
    <w:rsid w:val="053D39AA"/>
    <w:rsid w:val="0548762F"/>
    <w:rsid w:val="056C4495"/>
    <w:rsid w:val="057454BB"/>
    <w:rsid w:val="058D1407"/>
    <w:rsid w:val="05A00FA6"/>
    <w:rsid w:val="05D53D9D"/>
    <w:rsid w:val="05DE399C"/>
    <w:rsid w:val="05EC6E5B"/>
    <w:rsid w:val="05F81055"/>
    <w:rsid w:val="05FD550C"/>
    <w:rsid w:val="06056759"/>
    <w:rsid w:val="062261A4"/>
    <w:rsid w:val="062A142B"/>
    <w:rsid w:val="06390F8D"/>
    <w:rsid w:val="0680104B"/>
    <w:rsid w:val="06A26B21"/>
    <w:rsid w:val="06F931D4"/>
    <w:rsid w:val="070748C8"/>
    <w:rsid w:val="070A2DF8"/>
    <w:rsid w:val="074D1B9A"/>
    <w:rsid w:val="077E7A44"/>
    <w:rsid w:val="078B537E"/>
    <w:rsid w:val="079C288F"/>
    <w:rsid w:val="07BE0ABB"/>
    <w:rsid w:val="07CA43AC"/>
    <w:rsid w:val="07FC186F"/>
    <w:rsid w:val="07FE66CB"/>
    <w:rsid w:val="07FF3EB4"/>
    <w:rsid w:val="082779D0"/>
    <w:rsid w:val="08374B13"/>
    <w:rsid w:val="08477D6E"/>
    <w:rsid w:val="084A43A5"/>
    <w:rsid w:val="0865674A"/>
    <w:rsid w:val="087B41C0"/>
    <w:rsid w:val="089F2590"/>
    <w:rsid w:val="08FD02C4"/>
    <w:rsid w:val="092013BF"/>
    <w:rsid w:val="092C553E"/>
    <w:rsid w:val="092F0FA4"/>
    <w:rsid w:val="09821223"/>
    <w:rsid w:val="09A81821"/>
    <w:rsid w:val="09BC5F3D"/>
    <w:rsid w:val="09FC4B93"/>
    <w:rsid w:val="0A0738CA"/>
    <w:rsid w:val="0A307C97"/>
    <w:rsid w:val="0A3A4A38"/>
    <w:rsid w:val="0A440D7C"/>
    <w:rsid w:val="0A56459C"/>
    <w:rsid w:val="0A58528A"/>
    <w:rsid w:val="0A703F3E"/>
    <w:rsid w:val="0A8F392A"/>
    <w:rsid w:val="0A9C4DF7"/>
    <w:rsid w:val="0AD92A42"/>
    <w:rsid w:val="0AE6531E"/>
    <w:rsid w:val="0AFF2E86"/>
    <w:rsid w:val="0B2722BD"/>
    <w:rsid w:val="0B3B41CE"/>
    <w:rsid w:val="0B6B1123"/>
    <w:rsid w:val="0B745622"/>
    <w:rsid w:val="0B7D26A9"/>
    <w:rsid w:val="0B7E024F"/>
    <w:rsid w:val="0B851417"/>
    <w:rsid w:val="0BB447B1"/>
    <w:rsid w:val="0C0C432F"/>
    <w:rsid w:val="0C1E64E9"/>
    <w:rsid w:val="0C201306"/>
    <w:rsid w:val="0C420FD3"/>
    <w:rsid w:val="0C5A062A"/>
    <w:rsid w:val="0C5E6674"/>
    <w:rsid w:val="0C7E465D"/>
    <w:rsid w:val="0C9B1C48"/>
    <w:rsid w:val="0CB657C6"/>
    <w:rsid w:val="0CC021A1"/>
    <w:rsid w:val="0CE57E5A"/>
    <w:rsid w:val="0CE868BC"/>
    <w:rsid w:val="0CEF2A86"/>
    <w:rsid w:val="0D353973"/>
    <w:rsid w:val="0D3D3029"/>
    <w:rsid w:val="0D3F5F88"/>
    <w:rsid w:val="0D592FA6"/>
    <w:rsid w:val="0D8E5406"/>
    <w:rsid w:val="0DDA0D02"/>
    <w:rsid w:val="0DDF6582"/>
    <w:rsid w:val="0DE2468A"/>
    <w:rsid w:val="0E061AF0"/>
    <w:rsid w:val="0E146DE9"/>
    <w:rsid w:val="0E2856FA"/>
    <w:rsid w:val="0E303356"/>
    <w:rsid w:val="0E6F3E7F"/>
    <w:rsid w:val="0E71409B"/>
    <w:rsid w:val="0EAE02A6"/>
    <w:rsid w:val="0EB66071"/>
    <w:rsid w:val="0ECD0C9A"/>
    <w:rsid w:val="0EFD592E"/>
    <w:rsid w:val="0F1669F0"/>
    <w:rsid w:val="0F1F3AF7"/>
    <w:rsid w:val="0F1F5C56"/>
    <w:rsid w:val="0F2B4318"/>
    <w:rsid w:val="0F3D0A31"/>
    <w:rsid w:val="0F4710F7"/>
    <w:rsid w:val="0F5170E2"/>
    <w:rsid w:val="0F7D6A6F"/>
    <w:rsid w:val="0F895230"/>
    <w:rsid w:val="0FA42E3F"/>
    <w:rsid w:val="0FB16A43"/>
    <w:rsid w:val="0FB44675"/>
    <w:rsid w:val="0FD83CA6"/>
    <w:rsid w:val="10252149"/>
    <w:rsid w:val="1045388D"/>
    <w:rsid w:val="10615A49"/>
    <w:rsid w:val="10BF6358"/>
    <w:rsid w:val="112149A2"/>
    <w:rsid w:val="112847B9"/>
    <w:rsid w:val="116A4DD1"/>
    <w:rsid w:val="1185525A"/>
    <w:rsid w:val="11E11FBB"/>
    <w:rsid w:val="11E6479D"/>
    <w:rsid w:val="11FF5458"/>
    <w:rsid w:val="12063B49"/>
    <w:rsid w:val="121F1FC2"/>
    <w:rsid w:val="122F6C04"/>
    <w:rsid w:val="1268153E"/>
    <w:rsid w:val="12883761"/>
    <w:rsid w:val="129C545E"/>
    <w:rsid w:val="12A82E19"/>
    <w:rsid w:val="12B427A8"/>
    <w:rsid w:val="12B7658A"/>
    <w:rsid w:val="12C80001"/>
    <w:rsid w:val="13392CAD"/>
    <w:rsid w:val="133E3F1F"/>
    <w:rsid w:val="136A0829"/>
    <w:rsid w:val="138265B3"/>
    <w:rsid w:val="13863BC1"/>
    <w:rsid w:val="1388048D"/>
    <w:rsid w:val="139B0CFE"/>
    <w:rsid w:val="13A349AB"/>
    <w:rsid w:val="13C93948"/>
    <w:rsid w:val="13D644FC"/>
    <w:rsid w:val="13E7095B"/>
    <w:rsid w:val="13EB4F75"/>
    <w:rsid w:val="14132920"/>
    <w:rsid w:val="141A393F"/>
    <w:rsid w:val="14277AA1"/>
    <w:rsid w:val="1447588B"/>
    <w:rsid w:val="14697287"/>
    <w:rsid w:val="146F653B"/>
    <w:rsid w:val="148849AF"/>
    <w:rsid w:val="14952165"/>
    <w:rsid w:val="14BB2524"/>
    <w:rsid w:val="14C80721"/>
    <w:rsid w:val="14E86739"/>
    <w:rsid w:val="15223B67"/>
    <w:rsid w:val="152E051C"/>
    <w:rsid w:val="158068C9"/>
    <w:rsid w:val="15B60AF1"/>
    <w:rsid w:val="15B85F93"/>
    <w:rsid w:val="15FA69B6"/>
    <w:rsid w:val="167E1BD5"/>
    <w:rsid w:val="168027E3"/>
    <w:rsid w:val="168B7F10"/>
    <w:rsid w:val="16AD07C4"/>
    <w:rsid w:val="16B8213B"/>
    <w:rsid w:val="16DB3E86"/>
    <w:rsid w:val="16FB591E"/>
    <w:rsid w:val="17101557"/>
    <w:rsid w:val="17312619"/>
    <w:rsid w:val="1738499F"/>
    <w:rsid w:val="1759391E"/>
    <w:rsid w:val="17792AC5"/>
    <w:rsid w:val="17936E30"/>
    <w:rsid w:val="17B30F89"/>
    <w:rsid w:val="17EE050A"/>
    <w:rsid w:val="17EE31E8"/>
    <w:rsid w:val="18AB2EE3"/>
    <w:rsid w:val="18AE5C93"/>
    <w:rsid w:val="18B3029F"/>
    <w:rsid w:val="18CB4D29"/>
    <w:rsid w:val="18DB4C76"/>
    <w:rsid w:val="190103A7"/>
    <w:rsid w:val="19102702"/>
    <w:rsid w:val="191F1353"/>
    <w:rsid w:val="193F1845"/>
    <w:rsid w:val="194B373A"/>
    <w:rsid w:val="19665FD6"/>
    <w:rsid w:val="19897100"/>
    <w:rsid w:val="19A40D8D"/>
    <w:rsid w:val="19A64D81"/>
    <w:rsid w:val="19D678CF"/>
    <w:rsid w:val="1A093C4A"/>
    <w:rsid w:val="1A1370D3"/>
    <w:rsid w:val="1A195B45"/>
    <w:rsid w:val="1A1D3847"/>
    <w:rsid w:val="1A3441CE"/>
    <w:rsid w:val="1A4B3542"/>
    <w:rsid w:val="1A885D43"/>
    <w:rsid w:val="1AA8728E"/>
    <w:rsid w:val="1AB737DE"/>
    <w:rsid w:val="1ABE07D3"/>
    <w:rsid w:val="1AD44832"/>
    <w:rsid w:val="1AE04D2E"/>
    <w:rsid w:val="1AF65379"/>
    <w:rsid w:val="1B041DF3"/>
    <w:rsid w:val="1B0E684C"/>
    <w:rsid w:val="1B1836E7"/>
    <w:rsid w:val="1B4125A4"/>
    <w:rsid w:val="1B6165DD"/>
    <w:rsid w:val="1B634D6B"/>
    <w:rsid w:val="1B6F5DCC"/>
    <w:rsid w:val="1B8B1FC0"/>
    <w:rsid w:val="1BAC167D"/>
    <w:rsid w:val="1BAF5033"/>
    <w:rsid w:val="1BCC2910"/>
    <w:rsid w:val="1BD565F1"/>
    <w:rsid w:val="1BDB0DA5"/>
    <w:rsid w:val="1BFB4FA4"/>
    <w:rsid w:val="1BFB6C18"/>
    <w:rsid w:val="1C064C9C"/>
    <w:rsid w:val="1C710883"/>
    <w:rsid w:val="1C835194"/>
    <w:rsid w:val="1CB246CA"/>
    <w:rsid w:val="1CC9536F"/>
    <w:rsid w:val="1CCC6DC9"/>
    <w:rsid w:val="1CEB5018"/>
    <w:rsid w:val="1CF514DE"/>
    <w:rsid w:val="1D0009D6"/>
    <w:rsid w:val="1D172F8B"/>
    <w:rsid w:val="1D3D36AC"/>
    <w:rsid w:val="1D3E175D"/>
    <w:rsid w:val="1D504DDC"/>
    <w:rsid w:val="1D752B34"/>
    <w:rsid w:val="1D7A639C"/>
    <w:rsid w:val="1D840FD9"/>
    <w:rsid w:val="1D8F4C7F"/>
    <w:rsid w:val="1D943902"/>
    <w:rsid w:val="1DB56284"/>
    <w:rsid w:val="1DB775F0"/>
    <w:rsid w:val="1DBD278E"/>
    <w:rsid w:val="1DCE1DD7"/>
    <w:rsid w:val="1DE63703"/>
    <w:rsid w:val="1E140EE3"/>
    <w:rsid w:val="1E2C58E8"/>
    <w:rsid w:val="1E4C552C"/>
    <w:rsid w:val="1E777908"/>
    <w:rsid w:val="1E914B80"/>
    <w:rsid w:val="1E965458"/>
    <w:rsid w:val="1EBA7111"/>
    <w:rsid w:val="1ECC0E79"/>
    <w:rsid w:val="1ED57846"/>
    <w:rsid w:val="1EF06916"/>
    <w:rsid w:val="1F2111C5"/>
    <w:rsid w:val="1F22127B"/>
    <w:rsid w:val="1F896D6A"/>
    <w:rsid w:val="1F901EA7"/>
    <w:rsid w:val="1FDF698A"/>
    <w:rsid w:val="1FE3647B"/>
    <w:rsid w:val="20321AC5"/>
    <w:rsid w:val="203D31DE"/>
    <w:rsid w:val="205E5A7C"/>
    <w:rsid w:val="206C3E4C"/>
    <w:rsid w:val="207A6A56"/>
    <w:rsid w:val="20880DD0"/>
    <w:rsid w:val="209B32E3"/>
    <w:rsid w:val="20A72B0F"/>
    <w:rsid w:val="20AC1667"/>
    <w:rsid w:val="20AE793D"/>
    <w:rsid w:val="21076199"/>
    <w:rsid w:val="21302811"/>
    <w:rsid w:val="21612AEF"/>
    <w:rsid w:val="21872642"/>
    <w:rsid w:val="219F565B"/>
    <w:rsid w:val="224F6049"/>
    <w:rsid w:val="225D0766"/>
    <w:rsid w:val="228D5314"/>
    <w:rsid w:val="2297354C"/>
    <w:rsid w:val="22A00653"/>
    <w:rsid w:val="22D816FD"/>
    <w:rsid w:val="22E66B15"/>
    <w:rsid w:val="22F815C7"/>
    <w:rsid w:val="22F866E1"/>
    <w:rsid w:val="230E63A0"/>
    <w:rsid w:val="23215A82"/>
    <w:rsid w:val="234A68AA"/>
    <w:rsid w:val="2355143D"/>
    <w:rsid w:val="23B36E4E"/>
    <w:rsid w:val="23DB6762"/>
    <w:rsid w:val="23FA2C6D"/>
    <w:rsid w:val="23FC31D7"/>
    <w:rsid w:val="242E1C8E"/>
    <w:rsid w:val="24594F5D"/>
    <w:rsid w:val="245F1C15"/>
    <w:rsid w:val="247F0D69"/>
    <w:rsid w:val="248B1ECD"/>
    <w:rsid w:val="2492704A"/>
    <w:rsid w:val="249B6F89"/>
    <w:rsid w:val="24A87C93"/>
    <w:rsid w:val="24CC0D68"/>
    <w:rsid w:val="24CE594B"/>
    <w:rsid w:val="24D175BE"/>
    <w:rsid w:val="24E231A5"/>
    <w:rsid w:val="25070E5D"/>
    <w:rsid w:val="250A6257"/>
    <w:rsid w:val="25125033"/>
    <w:rsid w:val="251E7212"/>
    <w:rsid w:val="253908EB"/>
    <w:rsid w:val="255B29D1"/>
    <w:rsid w:val="257F739C"/>
    <w:rsid w:val="25B46B95"/>
    <w:rsid w:val="25D7082F"/>
    <w:rsid w:val="25DB26C1"/>
    <w:rsid w:val="26231D62"/>
    <w:rsid w:val="26262334"/>
    <w:rsid w:val="26427E21"/>
    <w:rsid w:val="26684EB3"/>
    <w:rsid w:val="269A4766"/>
    <w:rsid w:val="26B26BA7"/>
    <w:rsid w:val="26B70E7C"/>
    <w:rsid w:val="27095487"/>
    <w:rsid w:val="271444CA"/>
    <w:rsid w:val="273E1D47"/>
    <w:rsid w:val="27602263"/>
    <w:rsid w:val="278F2958"/>
    <w:rsid w:val="27A92F88"/>
    <w:rsid w:val="27BF77CD"/>
    <w:rsid w:val="27CC5A46"/>
    <w:rsid w:val="2810627B"/>
    <w:rsid w:val="282C2B0C"/>
    <w:rsid w:val="283616EF"/>
    <w:rsid w:val="284101E2"/>
    <w:rsid w:val="28653204"/>
    <w:rsid w:val="286F3A6D"/>
    <w:rsid w:val="28841C17"/>
    <w:rsid w:val="28945237"/>
    <w:rsid w:val="289A2BC1"/>
    <w:rsid w:val="28A31A5B"/>
    <w:rsid w:val="28F42A8B"/>
    <w:rsid w:val="290774BB"/>
    <w:rsid w:val="29174EB1"/>
    <w:rsid w:val="29564D4B"/>
    <w:rsid w:val="297624F4"/>
    <w:rsid w:val="29A206CF"/>
    <w:rsid w:val="29B03307"/>
    <w:rsid w:val="29BF184A"/>
    <w:rsid w:val="2A12630A"/>
    <w:rsid w:val="2A1D47D1"/>
    <w:rsid w:val="2A3E362F"/>
    <w:rsid w:val="2A402398"/>
    <w:rsid w:val="2A420242"/>
    <w:rsid w:val="2A67770A"/>
    <w:rsid w:val="2A6F6A9F"/>
    <w:rsid w:val="2A715FC2"/>
    <w:rsid w:val="2A877045"/>
    <w:rsid w:val="2A944B4E"/>
    <w:rsid w:val="2AAD6003"/>
    <w:rsid w:val="2AB078A1"/>
    <w:rsid w:val="2AD9235F"/>
    <w:rsid w:val="2B176ADF"/>
    <w:rsid w:val="2B3C7AFB"/>
    <w:rsid w:val="2B48435D"/>
    <w:rsid w:val="2B626D67"/>
    <w:rsid w:val="2B74142C"/>
    <w:rsid w:val="2B963C55"/>
    <w:rsid w:val="2BB533C1"/>
    <w:rsid w:val="2BD335AA"/>
    <w:rsid w:val="2C11611D"/>
    <w:rsid w:val="2C185162"/>
    <w:rsid w:val="2C2928E2"/>
    <w:rsid w:val="2C300131"/>
    <w:rsid w:val="2C3047F6"/>
    <w:rsid w:val="2C3F33D3"/>
    <w:rsid w:val="2C5524AE"/>
    <w:rsid w:val="2C8E2877"/>
    <w:rsid w:val="2CA107C4"/>
    <w:rsid w:val="2CB54D5D"/>
    <w:rsid w:val="2CC7637F"/>
    <w:rsid w:val="2CD868DD"/>
    <w:rsid w:val="2CF41E9D"/>
    <w:rsid w:val="2CF9391A"/>
    <w:rsid w:val="2CFF231F"/>
    <w:rsid w:val="2D091D10"/>
    <w:rsid w:val="2D3E586B"/>
    <w:rsid w:val="2D4733A7"/>
    <w:rsid w:val="2D4B56B9"/>
    <w:rsid w:val="2D4E5B0D"/>
    <w:rsid w:val="2D823E1A"/>
    <w:rsid w:val="2D9500FB"/>
    <w:rsid w:val="2DC251F3"/>
    <w:rsid w:val="2DFD2B52"/>
    <w:rsid w:val="2E6256D2"/>
    <w:rsid w:val="2E824DA2"/>
    <w:rsid w:val="2E8F0142"/>
    <w:rsid w:val="2E931DAA"/>
    <w:rsid w:val="2E9A0FAB"/>
    <w:rsid w:val="2EA1016D"/>
    <w:rsid w:val="2EDD70A0"/>
    <w:rsid w:val="2EE330D8"/>
    <w:rsid w:val="2EFF2BA5"/>
    <w:rsid w:val="2F060DBC"/>
    <w:rsid w:val="2F10081C"/>
    <w:rsid w:val="2F217EA6"/>
    <w:rsid w:val="2F2A6187"/>
    <w:rsid w:val="2F4F5C4B"/>
    <w:rsid w:val="2F957D75"/>
    <w:rsid w:val="2FAB0962"/>
    <w:rsid w:val="2FCF4325"/>
    <w:rsid w:val="2FE16C3A"/>
    <w:rsid w:val="301748F8"/>
    <w:rsid w:val="30236152"/>
    <w:rsid w:val="30A710B8"/>
    <w:rsid w:val="30AE6CC5"/>
    <w:rsid w:val="30B14AF9"/>
    <w:rsid w:val="30C57633"/>
    <w:rsid w:val="30EE4C7F"/>
    <w:rsid w:val="310F6B93"/>
    <w:rsid w:val="31307046"/>
    <w:rsid w:val="31475925"/>
    <w:rsid w:val="3159018B"/>
    <w:rsid w:val="315E0057"/>
    <w:rsid w:val="316D3DF6"/>
    <w:rsid w:val="31A03297"/>
    <w:rsid w:val="31AA7955"/>
    <w:rsid w:val="31C51E84"/>
    <w:rsid w:val="31D1279F"/>
    <w:rsid w:val="31F00BD1"/>
    <w:rsid w:val="31F32814"/>
    <w:rsid w:val="321A33CA"/>
    <w:rsid w:val="323B2146"/>
    <w:rsid w:val="323D5EBE"/>
    <w:rsid w:val="32592E75"/>
    <w:rsid w:val="327F64D7"/>
    <w:rsid w:val="32905F8D"/>
    <w:rsid w:val="32A01FA9"/>
    <w:rsid w:val="32BF33B7"/>
    <w:rsid w:val="32C710BC"/>
    <w:rsid w:val="32C91500"/>
    <w:rsid w:val="32F01D8B"/>
    <w:rsid w:val="32FC0026"/>
    <w:rsid w:val="3301513E"/>
    <w:rsid w:val="332E2DC3"/>
    <w:rsid w:val="33685B1F"/>
    <w:rsid w:val="33952813"/>
    <w:rsid w:val="33C83E6D"/>
    <w:rsid w:val="33D90C83"/>
    <w:rsid w:val="33E77D72"/>
    <w:rsid w:val="33EB4E73"/>
    <w:rsid w:val="344934F1"/>
    <w:rsid w:val="345117AD"/>
    <w:rsid w:val="34520F36"/>
    <w:rsid w:val="349E3DB1"/>
    <w:rsid w:val="349F21A8"/>
    <w:rsid w:val="34C208FD"/>
    <w:rsid w:val="34CE2DFE"/>
    <w:rsid w:val="352E1AEE"/>
    <w:rsid w:val="35355BF4"/>
    <w:rsid w:val="35D151C8"/>
    <w:rsid w:val="35D83E36"/>
    <w:rsid w:val="35DD1985"/>
    <w:rsid w:val="35E33F07"/>
    <w:rsid w:val="36413C79"/>
    <w:rsid w:val="365438D0"/>
    <w:rsid w:val="369B7657"/>
    <w:rsid w:val="369E4A52"/>
    <w:rsid w:val="36BF1DD2"/>
    <w:rsid w:val="36CE1E68"/>
    <w:rsid w:val="36E76886"/>
    <w:rsid w:val="36EE7787"/>
    <w:rsid w:val="36F56D7F"/>
    <w:rsid w:val="370A0339"/>
    <w:rsid w:val="372E4C4B"/>
    <w:rsid w:val="373E5157"/>
    <w:rsid w:val="37AD13F0"/>
    <w:rsid w:val="37B7479C"/>
    <w:rsid w:val="37DC7F27"/>
    <w:rsid w:val="37FD65A1"/>
    <w:rsid w:val="38066D52"/>
    <w:rsid w:val="387413D6"/>
    <w:rsid w:val="388A7983"/>
    <w:rsid w:val="38B96CA5"/>
    <w:rsid w:val="38D01857"/>
    <w:rsid w:val="38E76B84"/>
    <w:rsid w:val="38EE3222"/>
    <w:rsid w:val="39137BCC"/>
    <w:rsid w:val="3946116B"/>
    <w:rsid w:val="39537D75"/>
    <w:rsid w:val="39965A9D"/>
    <w:rsid w:val="399C171C"/>
    <w:rsid w:val="399C5643"/>
    <w:rsid w:val="39BD4A60"/>
    <w:rsid w:val="39BF6C2A"/>
    <w:rsid w:val="39D15B49"/>
    <w:rsid w:val="3A1E7B11"/>
    <w:rsid w:val="3A72247D"/>
    <w:rsid w:val="3A945BA3"/>
    <w:rsid w:val="3AA56520"/>
    <w:rsid w:val="3AC058DE"/>
    <w:rsid w:val="3AEF3D58"/>
    <w:rsid w:val="3AEF7F72"/>
    <w:rsid w:val="3B2740B6"/>
    <w:rsid w:val="3B53405D"/>
    <w:rsid w:val="3B735A55"/>
    <w:rsid w:val="3B7566C9"/>
    <w:rsid w:val="3B972496"/>
    <w:rsid w:val="3BBA5358"/>
    <w:rsid w:val="3BCC14CB"/>
    <w:rsid w:val="3BD45506"/>
    <w:rsid w:val="3BD57167"/>
    <w:rsid w:val="3BFE6039"/>
    <w:rsid w:val="3C140BA3"/>
    <w:rsid w:val="3C14220E"/>
    <w:rsid w:val="3C153A08"/>
    <w:rsid w:val="3C2854E9"/>
    <w:rsid w:val="3C305BD0"/>
    <w:rsid w:val="3C3570E9"/>
    <w:rsid w:val="3C3B6DA1"/>
    <w:rsid w:val="3C410E85"/>
    <w:rsid w:val="3C8E2B51"/>
    <w:rsid w:val="3CAE6CBC"/>
    <w:rsid w:val="3CB91A62"/>
    <w:rsid w:val="3CE8383B"/>
    <w:rsid w:val="3D063821"/>
    <w:rsid w:val="3D0F48FB"/>
    <w:rsid w:val="3D2A34E3"/>
    <w:rsid w:val="3D6430DB"/>
    <w:rsid w:val="3D7D37CD"/>
    <w:rsid w:val="3D8B2A7E"/>
    <w:rsid w:val="3DBA34F4"/>
    <w:rsid w:val="3DFF671E"/>
    <w:rsid w:val="3E1924BD"/>
    <w:rsid w:val="3E483328"/>
    <w:rsid w:val="3E623328"/>
    <w:rsid w:val="3EDB09CA"/>
    <w:rsid w:val="3EE15E23"/>
    <w:rsid w:val="3EFB0C93"/>
    <w:rsid w:val="3F086869"/>
    <w:rsid w:val="3F315CB6"/>
    <w:rsid w:val="3F663552"/>
    <w:rsid w:val="3FAD63A0"/>
    <w:rsid w:val="3FC61C24"/>
    <w:rsid w:val="40217801"/>
    <w:rsid w:val="4036020E"/>
    <w:rsid w:val="404B3E9C"/>
    <w:rsid w:val="406E663C"/>
    <w:rsid w:val="40957E6F"/>
    <w:rsid w:val="40BD3321"/>
    <w:rsid w:val="40C81049"/>
    <w:rsid w:val="40C8744E"/>
    <w:rsid w:val="410C362B"/>
    <w:rsid w:val="411E2A95"/>
    <w:rsid w:val="41270F4B"/>
    <w:rsid w:val="412F2E76"/>
    <w:rsid w:val="414F7D88"/>
    <w:rsid w:val="415B1EBD"/>
    <w:rsid w:val="4170018D"/>
    <w:rsid w:val="417F3C69"/>
    <w:rsid w:val="41B415CD"/>
    <w:rsid w:val="41E402AC"/>
    <w:rsid w:val="41FE3DC7"/>
    <w:rsid w:val="42BD00FB"/>
    <w:rsid w:val="42EF715C"/>
    <w:rsid w:val="42F45B37"/>
    <w:rsid w:val="42F73E67"/>
    <w:rsid w:val="4395165B"/>
    <w:rsid w:val="43AD2778"/>
    <w:rsid w:val="43B35FE0"/>
    <w:rsid w:val="43D877F5"/>
    <w:rsid w:val="43DF3F91"/>
    <w:rsid w:val="43E80C33"/>
    <w:rsid w:val="440F4BCD"/>
    <w:rsid w:val="441B4340"/>
    <w:rsid w:val="441D4910"/>
    <w:rsid w:val="44406D38"/>
    <w:rsid w:val="44645338"/>
    <w:rsid w:val="44931544"/>
    <w:rsid w:val="44C9404C"/>
    <w:rsid w:val="44D33E35"/>
    <w:rsid w:val="44F42F59"/>
    <w:rsid w:val="45026318"/>
    <w:rsid w:val="450A33CA"/>
    <w:rsid w:val="4528255F"/>
    <w:rsid w:val="45360DDB"/>
    <w:rsid w:val="45492D3D"/>
    <w:rsid w:val="45603F46"/>
    <w:rsid w:val="458727AA"/>
    <w:rsid w:val="45AE4DCE"/>
    <w:rsid w:val="45CE5353"/>
    <w:rsid w:val="45D93CF8"/>
    <w:rsid w:val="45E00BE3"/>
    <w:rsid w:val="45EC0C24"/>
    <w:rsid w:val="45F5481D"/>
    <w:rsid w:val="45FA2F21"/>
    <w:rsid w:val="4612255B"/>
    <w:rsid w:val="461A0599"/>
    <w:rsid w:val="46257474"/>
    <w:rsid w:val="462F3918"/>
    <w:rsid w:val="466F5577"/>
    <w:rsid w:val="468671F8"/>
    <w:rsid w:val="46875502"/>
    <w:rsid w:val="4690074D"/>
    <w:rsid w:val="46BC37F2"/>
    <w:rsid w:val="46CB6D50"/>
    <w:rsid w:val="46D26F5F"/>
    <w:rsid w:val="46DC584E"/>
    <w:rsid w:val="46E82445"/>
    <w:rsid w:val="46F22F79"/>
    <w:rsid w:val="4733072C"/>
    <w:rsid w:val="4750790D"/>
    <w:rsid w:val="4753235E"/>
    <w:rsid w:val="476C53B6"/>
    <w:rsid w:val="479C322F"/>
    <w:rsid w:val="47A1125B"/>
    <w:rsid w:val="47D76015"/>
    <w:rsid w:val="482F7BFF"/>
    <w:rsid w:val="48396CD0"/>
    <w:rsid w:val="489070CE"/>
    <w:rsid w:val="48C931D0"/>
    <w:rsid w:val="48DF056A"/>
    <w:rsid w:val="48EC5AF0"/>
    <w:rsid w:val="48F91EF3"/>
    <w:rsid w:val="48FF75D2"/>
    <w:rsid w:val="491C0184"/>
    <w:rsid w:val="493B4A09"/>
    <w:rsid w:val="497E1657"/>
    <w:rsid w:val="49A117C5"/>
    <w:rsid w:val="49BA799D"/>
    <w:rsid w:val="49D90FA4"/>
    <w:rsid w:val="4A260275"/>
    <w:rsid w:val="4A321693"/>
    <w:rsid w:val="4A4E6A63"/>
    <w:rsid w:val="4A5C2802"/>
    <w:rsid w:val="4A674244"/>
    <w:rsid w:val="4A6D758D"/>
    <w:rsid w:val="4A7933B4"/>
    <w:rsid w:val="4A7E16E6"/>
    <w:rsid w:val="4A8167E7"/>
    <w:rsid w:val="4A8204BA"/>
    <w:rsid w:val="4A873D23"/>
    <w:rsid w:val="4AD66569"/>
    <w:rsid w:val="4AF96FA1"/>
    <w:rsid w:val="4B076D88"/>
    <w:rsid w:val="4B0F6945"/>
    <w:rsid w:val="4B1730BE"/>
    <w:rsid w:val="4B2477C4"/>
    <w:rsid w:val="4B390A4F"/>
    <w:rsid w:val="4BAD77B9"/>
    <w:rsid w:val="4BB01057"/>
    <w:rsid w:val="4BD905AE"/>
    <w:rsid w:val="4BE56846"/>
    <w:rsid w:val="4BF165C8"/>
    <w:rsid w:val="4BF166E4"/>
    <w:rsid w:val="4BFB55AA"/>
    <w:rsid w:val="4C2711FD"/>
    <w:rsid w:val="4C3D2474"/>
    <w:rsid w:val="4C903FC8"/>
    <w:rsid w:val="4C920D8C"/>
    <w:rsid w:val="4CE92A73"/>
    <w:rsid w:val="4D0B0C3B"/>
    <w:rsid w:val="4D1B4A9D"/>
    <w:rsid w:val="4D5F4AE3"/>
    <w:rsid w:val="4D7A191D"/>
    <w:rsid w:val="4D926C66"/>
    <w:rsid w:val="4D9A5B1B"/>
    <w:rsid w:val="4DAA72FD"/>
    <w:rsid w:val="4DAE3310"/>
    <w:rsid w:val="4DCF61BF"/>
    <w:rsid w:val="4DD101CC"/>
    <w:rsid w:val="4DD70893"/>
    <w:rsid w:val="4E1B3100"/>
    <w:rsid w:val="4E2B34A0"/>
    <w:rsid w:val="4E530DA6"/>
    <w:rsid w:val="4E5B79A0"/>
    <w:rsid w:val="4E6A7592"/>
    <w:rsid w:val="4E8D1FA1"/>
    <w:rsid w:val="4EB16A80"/>
    <w:rsid w:val="4EC33D83"/>
    <w:rsid w:val="4ECA007B"/>
    <w:rsid w:val="4ED132BC"/>
    <w:rsid w:val="4EE81B4D"/>
    <w:rsid w:val="4F0B668B"/>
    <w:rsid w:val="4F2238DD"/>
    <w:rsid w:val="4F2D6B78"/>
    <w:rsid w:val="4F6C0472"/>
    <w:rsid w:val="4F987AD3"/>
    <w:rsid w:val="4F9D2BC1"/>
    <w:rsid w:val="4FB01AEB"/>
    <w:rsid w:val="4FBF5856"/>
    <w:rsid w:val="4FCB61AC"/>
    <w:rsid w:val="4FD516E5"/>
    <w:rsid w:val="50206CEA"/>
    <w:rsid w:val="505D4A7F"/>
    <w:rsid w:val="5075461D"/>
    <w:rsid w:val="50847092"/>
    <w:rsid w:val="50903F43"/>
    <w:rsid w:val="50BE7D72"/>
    <w:rsid w:val="50D2558F"/>
    <w:rsid w:val="50F239DB"/>
    <w:rsid w:val="511259E0"/>
    <w:rsid w:val="51145BE4"/>
    <w:rsid w:val="51176F6E"/>
    <w:rsid w:val="512D054B"/>
    <w:rsid w:val="516654FA"/>
    <w:rsid w:val="516F72BF"/>
    <w:rsid w:val="51711B2E"/>
    <w:rsid w:val="51870AAC"/>
    <w:rsid w:val="51E856F6"/>
    <w:rsid w:val="51EF500E"/>
    <w:rsid w:val="51FB0F04"/>
    <w:rsid w:val="52546BE0"/>
    <w:rsid w:val="525B269A"/>
    <w:rsid w:val="527032EE"/>
    <w:rsid w:val="528268DB"/>
    <w:rsid w:val="52B07B8F"/>
    <w:rsid w:val="52BF0BF7"/>
    <w:rsid w:val="52E066C6"/>
    <w:rsid w:val="531F6DD7"/>
    <w:rsid w:val="53285977"/>
    <w:rsid w:val="537606EE"/>
    <w:rsid w:val="53AC7CDC"/>
    <w:rsid w:val="53E67D0C"/>
    <w:rsid w:val="54062349"/>
    <w:rsid w:val="541D0401"/>
    <w:rsid w:val="54250932"/>
    <w:rsid w:val="54BF65DD"/>
    <w:rsid w:val="54C811C0"/>
    <w:rsid w:val="54D9161F"/>
    <w:rsid w:val="550E6AF1"/>
    <w:rsid w:val="55113701"/>
    <w:rsid w:val="552B7BD1"/>
    <w:rsid w:val="552C2C30"/>
    <w:rsid w:val="55454F15"/>
    <w:rsid w:val="555D7051"/>
    <w:rsid w:val="555E38D2"/>
    <w:rsid w:val="559F0FE5"/>
    <w:rsid w:val="55A67168"/>
    <w:rsid w:val="55C0458D"/>
    <w:rsid w:val="55C0633B"/>
    <w:rsid w:val="55C71E85"/>
    <w:rsid w:val="55D10548"/>
    <w:rsid w:val="55F60F40"/>
    <w:rsid w:val="56352885"/>
    <w:rsid w:val="564C0408"/>
    <w:rsid w:val="567A2032"/>
    <w:rsid w:val="569028CD"/>
    <w:rsid w:val="56AE08B0"/>
    <w:rsid w:val="56AF6BFF"/>
    <w:rsid w:val="57280BE4"/>
    <w:rsid w:val="5773598F"/>
    <w:rsid w:val="578E2A27"/>
    <w:rsid w:val="5797058E"/>
    <w:rsid w:val="57CE11E3"/>
    <w:rsid w:val="57D83E10"/>
    <w:rsid w:val="57EA79C9"/>
    <w:rsid w:val="58136BF6"/>
    <w:rsid w:val="582D0A56"/>
    <w:rsid w:val="583652D4"/>
    <w:rsid w:val="583E6B5C"/>
    <w:rsid w:val="588F2508"/>
    <w:rsid w:val="58B05736"/>
    <w:rsid w:val="58BE1993"/>
    <w:rsid w:val="58C04E60"/>
    <w:rsid w:val="59261543"/>
    <w:rsid w:val="59400E96"/>
    <w:rsid w:val="594554D5"/>
    <w:rsid w:val="597933D0"/>
    <w:rsid w:val="599C7BD8"/>
    <w:rsid w:val="599D46E8"/>
    <w:rsid w:val="599F1184"/>
    <w:rsid w:val="59AA3419"/>
    <w:rsid w:val="59AE3DA7"/>
    <w:rsid w:val="59BE6AFF"/>
    <w:rsid w:val="59D402D4"/>
    <w:rsid w:val="59D96004"/>
    <w:rsid w:val="59F86C98"/>
    <w:rsid w:val="5A2055FA"/>
    <w:rsid w:val="5A3B2A23"/>
    <w:rsid w:val="5A3D7F5A"/>
    <w:rsid w:val="5A493D13"/>
    <w:rsid w:val="5A50670B"/>
    <w:rsid w:val="5A7476F4"/>
    <w:rsid w:val="5A8225E3"/>
    <w:rsid w:val="5A855897"/>
    <w:rsid w:val="5A95211A"/>
    <w:rsid w:val="5AB87B39"/>
    <w:rsid w:val="5B0C2013"/>
    <w:rsid w:val="5B1576E4"/>
    <w:rsid w:val="5B1B64A6"/>
    <w:rsid w:val="5B265EB5"/>
    <w:rsid w:val="5B424319"/>
    <w:rsid w:val="5B6E2968"/>
    <w:rsid w:val="5B9444F1"/>
    <w:rsid w:val="5BA25B34"/>
    <w:rsid w:val="5BAE7556"/>
    <w:rsid w:val="5BBF7358"/>
    <w:rsid w:val="5BC562B5"/>
    <w:rsid w:val="5BE10579"/>
    <w:rsid w:val="5BE62B04"/>
    <w:rsid w:val="5BFA25FC"/>
    <w:rsid w:val="5C454872"/>
    <w:rsid w:val="5C62639E"/>
    <w:rsid w:val="5C7E485A"/>
    <w:rsid w:val="5C932D4B"/>
    <w:rsid w:val="5CD01F00"/>
    <w:rsid w:val="5D0132A8"/>
    <w:rsid w:val="5D0505BD"/>
    <w:rsid w:val="5D6D4302"/>
    <w:rsid w:val="5D8660BC"/>
    <w:rsid w:val="5DA52508"/>
    <w:rsid w:val="5DB1138B"/>
    <w:rsid w:val="5DDB48DC"/>
    <w:rsid w:val="5DDC3F2E"/>
    <w:rsid w:val="5E0C4813"/>
    <w:rsid w:val="5E2649D2"/>
    <w:rsid w:val="5E5218E8"/>
    <w:rsid w:val="5E6A32E8"/>
    <w:rsid w:val="5E6C15D7"/>
    <w:rsid w:val="5E875592"/>
    <w:rsid w:val="5E9641CF"/>
    <w:rsid w:val="5E99758D"/>
    <w:rsid w:val="5EC306B7"/>
    <w:rsid w:val="5F063D78"/>
    <w:rsid w:val="5F0F6EAA"/>
    <w:rsid w:val="5F3C1128"/>
    <w:rsid w:val="5F520074"/>
    <w:rsid w:val="5F5D71F1"/>
    <w:rsid w:val="5F750196"/>
    <w:rsid w:val="5F961EFB"/>
    <w:rsid w:val="5FA90F3D"/>
    <w:rsid w:val="5FDC3F39"/>
    <w:rsid w:val="5FDD45BE"/>
    <w:rsid w:val="60190D86"/>
    <w:rsid w:val="606E2203"/>
    <w:rsid w:val="609B00D0"/>
    <w:rsid w:val="60BF3E34"/>
    <w:rsid w:val="60EC7228"/>
    <w:rsid w:val="610042FE"/>
    <w:rsid w:val="610712C2"/>
    <w:rsid w:val="613F280A"/>
    <w:rsid w:val="6176697F"/>
    <w:rsid w:val="61D70C94"/>
    <w:rsid w:val="61D953C0"/>
    <w:rsid w:val="61DC274E"/>
    <w:rsid w:val="62065A1D"/>
    <w:rsid w:val="62214605"/>
    <w:rsid w:val="623D745C"/>
    <w:rsid w:val="6267552A"/>
    <w:rsid w:val="6276359D"/>
    <w:rsid w:val="62AC1528"/>
    <w:rsid w:val="62C331BD"/>
    <w:rsid w:val="62D11B87"/>
    <w:rsid w:val="62D43EED"/>
    <w:rsid w:val="62D60D7C"/>
    <w:rsid w:val="62EB174E"/>
    <w:rsid w:val="6322494F"/>
    <w:rsid w:val="634E33E0"/>
    <w:rsid w:val="635554EA"/>
    <w:rsid w:val="63624ED5"/>
    <w:rsid w:val="63646678"/>
    <w:rsid w:val="637A221F"/>
    <w:rsid w:val="638044B2"/>
    <w:rsid w:val="63AC4E0C"/>
    <w:rsid w:val="63B60CD2"/>
    <w:rsid w:val="63C22794"/>
    <w:rsid w:val="63E5047C"/>
    <w:rsid w:val="63FF0AF4"/>
    <w:rsid w:val="63FF755E"/>
    <w:rsid w:val="640D6BEF"/>
    <w:rsid w:val="6441217E"/>
    <w:rsid w:val="64443CF2"/>
    <w:rsid w:val="64447AE3"/>
    <w:rsid w:val="64BB2AEF"/>
    <w:rsid w:val="64BF54D2"/>
    <w:rsid w:val="64F561FB"/>
    <w:rsid w:val="656B0502"/>
    <w:rsid w:val="659A3661"/>
    <w:rsid w:val="65D460C0"/>
    <w:rsid w:val="65E33EAB"/>
    <w:rsid w:val="65E63B9C"/>
    <w:rsid w:val="65E81126"/>
    <w:rsid w:val="660364FC"/>
    <w:rsid w:val="661D2237"/>
    <w:rsid w:val="664F47B8"/>
    <w:rsid w:val="66832455"/>
    <w:rsid w:val="668B5259"/>
    <w:rsid w:val="668F7D8F"/>
    <w:rsid w:val="66901D14"/>
    <w:rsid w:val="66911D59"/>
    <w:rsid w:val="669C06FE"/>
    <w:rsid w:val="66AE2BB2"/>
    <w:rsid w:val="66AE605A"/>
    <w:rsid w:val="66DA2779"/>
    <w:rsid w:val="6727446C"/>
    <w:rsid w:val="673F7B1E"/>
    <w:rsid w:val="67464C4A"/>
    <w:rsid w:val="677F245B"/>
    <w:rsid w:val="67C41711"/>
    <w:rsid w:val="67CB4B44"/>
    <w:rsid w:val="67E46269"/>
    <w:rsid w:val="68012F0F"/>
    <w:rsid w:val="68452D7C"/>
    <w:rsid w:val="686925AE"/>
    <w:rsid w:val="686A1B0D"/>
    <w:rsid w:val="688349F7"/>
    <w:rsid w:val="68A43842"/>
    <w:rsid w:val="68BE37A5"/>
    <w:rsid w:val="68C45F81"/>
    <w:rsid w:val="69021213"/>
    <w:rsid w:val="695958B7"/>
    <w:rsid w:val="69734507"/>
    <w:rsid w:val="697F3E3A"/>
    <w:rsid w:val="698E0538"/>
    <w:rsid w:val="69B5065A"/>
    <w:rsid w:val="69C9645B"/>
    <w:rsid w:val="69F4223A"/>
    <w:rsid w:val="69FF347E"/>
    <w:rsid w:val="6A0434BE"/>
    <w:rsid w:val="6A1D498A"/>
    <w:rsid w:val="6A4A07B0"/>
    <w:rsid w:val="6A600946"/>
    <w:rsid w:val="6A6F0D38"/>
    <w:rsid w:val="6A7B723E"/>
    <w:rsid w:val="6A800CD7"/>
    <w:rsid w:val="6A83538D"/>
    <w:rsid w:val="6A91059F"/>
    <w:rsid w:val="6A9E4064"/>
    <w:rsid w:val="6AA9322D"/>
    <w:rsid w:val="6AAB0C04"/>
    <w:rsid w:val="6AD71D05"/>
    <w:rsid w:val="6B053E23"/>
    <w:rsid w:val="6B1765A5"/>
    <w:rsid w:val="6B1C7422"/>
    <w:rsid w:val="6B3D59CB"/>
    <w:rsid w:val="6B476E8A"/>
    <w:rsid w:val="6B616D49"/>
    <w:rsid w:val="6B7C755B"/>
    <w:rsid w:val="6B9145AA"/>
    <w:rsid w:val="6BAD1DD3"/>
    <w:rsid w:val="6BD44496"/>
    <w:rsid w:val="6BD62996"/>
    <w:rsid w:val="6BD94B81"/>
    <w:rsid w:val="6BD95330"/>
    <w:rsid w:val="6BE95552"/>
    <w:rsid w:val="6BE96194"/>
    <w:rsid w:val="6C256AA0"/>
    <w:rsid w:val="6C3B6FF3"/>
    <w:rsid w:val="6C4F6AFB"/>
    <w:rsid w:val="6C5C4BB7"/>
    <w:rsid w:val="6C611FB5"/>
    <w:rsid w:val="6C6539DE"/>
    <w:rsid w:val="6C881A75"/>
    <w:rsid w:val="6C950756"/>
    <w:rsid w:val="6CDF0A0C"/>
    <w:rsid w:val="6D267305"/>
    <w:rsid w:val="6D2E2A2F"/>
    <w:rsid w:val="6D62763D"/>
    <w:rsid w:val="6D716483"/>
    <w:rsid w:val="6D7E3A87"/>
    <w:rsid w:val="6D8A2DC6"/>
    <w:rsid w:val="6D9A636F"/>
    <w:rsid w:val="6DF508D1"/>
    <w:rsid w:val="6DFB21AE"/>
    <w:rsid w:val="6E095F12"/>
    <w:rsid w:val="6E20420B"/>
    <w:rsid w:val="6E6D0751"/>
    <w:rsid w:val="6E6D3BA4"/>
    <w:rsid w:val="6E752AF2"/>
    <w:rsid w:val="6E813540"/>
    <w:rsid w:val="6E8B7347"/>
    <w:rsid w:val="6E8C2E06"/>
    <w:rsid w:val="6E8F3F27"/>
    <w:rsid w:val="6ECF0A2C"/>
    <w:rsid w:val="6EEA7239"/>
    <w:rsid w:val="6EF25156"/>
    <w:rsid w:val="6EF51E15"/>
    <w:rsid w:val="6EFC3AD8"/>
    <w:rsid w:val="6F2319BD"/>
    <w:rsid w:val="6F450167"/>
    <w:rsid w:val="6F4F3F59"/>
    <w:rsid w:val="6F6A1467"/>
    <w:rsid w:val="6F7B5355"/>
    <w:rsid w:val="6F8D12F2"/>
    <w:rsid w:val="70125274"/>
    <w:rsid w:val="704C6CF1"/>
    <w:rsid w:val="70786F2B"/>
    <w:rsid w:val="70860455"/>
    <w:rsid w:val="708B5DA4"/>
    <w:rsid w:val="70C46851"/>
    <w:rsid w:val="70CB58EA"/>
    <w:rsid w:val="70E81C17"/>
    <w:rsid w:val="70EB0129"/>
    <w:rsid w:val="70FC5C49"/>
    <w:rsid w:val="70FF3D63"/>
    <w:rsid w:val="710D62F5"/>
    <w:rsid w:val="711840D3"/>
    <w:rsid w:val="71886B1E"/>
    <w:rsid w:val="71900E5F"/>
    <w:rsid w:val="71A70C64"/>
    <w:rsid w:val="71B75952"/>
    <w:rsid w:val="71C823A7"/>
    <w:rsid w:val="71D71EF0"/>
    <w:rsid w:val="71F2536B"/>
    <w:rsid w:val="724038D4"/>
    <w:rsid w:val="72453820"/>
    <w:rsid w:val="727B2A36"/>
    <w:rsid w:val="72A95F79"/>
    <w:rsid w:val="72DB3FC7"/>
    <w:rsid w:val="73437337"/>
    <w:rsid w:val="736A5E0C"/>
    <w:rsid w:val="73A82490"/>
    <w:rsid w:val="73A925A0"/>
    <w:rsid w:val="73B70925"/>
    <w:rsid w:val="73BF0659"/>
    <w:rsid w:val="74035919"/>
    <w:rsid w:val="7408277B"/>
    <w:rsid w:val="741E3A03"/>
    <w:rsid w:val="74310858"/>
    <w:rsid w:val="74422964"/>
    <w:rsid w:val="74695972"/>
    <w:rsid w:val="747358FB"/>
    <w:rsid w:val="747405C4"/>
    <w:rsid w:val="7496678D"/>
    <w:rsid w:val="750423A2"/>
    <w:rsid w:val="750B717B"/>
    <w:rsid w:val="751B72CA"/>
    <w:rsid w:val="752035B3"/>
    <w:rsid w:val="75785DB0"/>
    <w:rsid w:val="760D1E92"/>
    <w:rsid w:val="763C5757"/>
    <w:rsid w:val="76405998"/>
    <w:rsid w:val="76592168"/>
    <w:rsid w:val="76B91C24"/>
    <w:rsid w:val="76E4662D"/>
    <w:rsid w:val="7707109B"/>
    <w:rsid w:val="773A447A"/>
    <w:rsid w:val="7748200C"/>
    <w:rsid w:val="77514B57"/>
    <w:rsid w:val="77525D78"/>
    <w:rsid w:val="7760213D"/>
    <w:rsid w:val="77F33154"/>
    <w:rsid w:val="782D12EC"/>
    <w:rsid w:val="783E7867"/>
    <w:rsid w:val="785D5F3F"/>
    <w:rsid w:val="78E51593"/>
    <w:rsid w:val="79163C5D"/>
    <w:rsid w:val="79561F17"/>
    <w:rsid w:val="796A4998"/>
    <w:rsid w:val="79780B57"/>
    <w:rsid w:val="798E31DA"/>
    <w:rsid w:val="79A14E67"/>
    <w:rsid w:val="79A331C3"/>
    <w:rsid w:val="79B002F1"/>
    <w:rsid w:val="79DD23F7"/>
    <w:rsid w:val="7A0A5532"/>
    <w:rsid w:val="7A0C4606"/>
    <w:rsid w:val="7A273FAF"/>
    <w:rsid w:val="7A301431"/>
    <w:rsid w:val="7A6D61E2"/>
    <w:rsid w:val="7AB21E46"/>
    <w:rsid w:val="7AB80475"/>
    <w:rsid w:val="7B063B68"/>
    <w:rsid w:val="7B1B13A5"/>
    <w:rsid w:val="7B293C42"/>
    <w:rsid w:val="7B3927AA"/>
    <w:rsid w:val="7B4052A5"/>
    <w:rsid w:val="7B484F56"/>
    <w:rsid w:val="7B711D02"/>
    <w:rsid w:val="7B913E9B"/>
    <w:rsid w:val="7B9D1B97"/>
    <w:rsid w:val="7BD007D6"/>
    <w:rsid w:val="7BED7A99"/>
    <w:rsid w:val="7C0C5A19"/>
    <w:rsid w:val="7C487B52"/>
    <w:rsid w:val="7C5C5BEE"/>
    <w:rsid w:val="7C5D2463"/>
    <w:rsid w:val="7C6914E9"/>
    <w:rsid w:val="7C745605"/>
    <w:rsid w:val="7C82671B"/>
    <w:rsid w:val="7C8F5627"/>
    <w:rsid w:val="7CA207E3"/>
    <w:rsid w:val="7CE20DD1"/>
    <w:rsid w:val="7D032E2D"/>
    <w:rsid w:val="7D0A3F03"/>
    <w:rsid w:val="7D1B12B0"/>
    <w:rsid w:val="7D4D1CE8"/>
    <w:rsid w:val="7D4E1003"/>
    <w:rsid w:val="7D5235BE"/>
    <w:rsid w:val="7D7653AD"/>
    <w:rsid w:val="7DB83C18"/>
    <w:rsid w:val="7DCF3050"/>
    <w:rsid w:val="7DD6409E"/>
    <w:rsid w:val="7DE738D1"/>
    <w:rsid w:val="7E056637"/>
    <w:rsid w:val="7E392091"/>
    <w:rsid w:val="7E9852E3"/>
    <w:rsid w:val="7E9C2A38"/>
    <w:rsid w:val="7EA938EA"/>
    <w:rsid w:val="7EC30AC6"/>
    <w:rsid w:val="7ED97B54"/>
    <w:rsid w:val="7EE030AD"/>
    <w:rsid w:val="7F3B240A"/>
    <w:rsid w:val="7F632FC3"/>
    <w:rsid w:val="7F6A3EF9"/>
    <w:rsid w:val="7F756CBD"/>
    <w:rsid w:val="7FC36FDE"/>
    <w:rsid w:val="7FD234B3"/>
    <w:rsid w:val="7FF52F01"/>
    <w:rsid w:val="7FF60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99"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9"/>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6"/>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autoRedefine/>
    <w:qFormat/>
    <w:uiPriority w:val="0"/>
    <w:pPr>
      <w:keepNext/>
      <w:keepLines/>
      <w:spacing w:before="260" w:after="260" w:line="360" w:lineRule="auto"/>
      <w:ind w:firstLine="602" w:firstLineChars="200"/>
      <w:outlineLvl w:val="2"/>
    </w:pPr>
    <w:rPr>
      <w:rFonts w:ascii="方正书宋简体" w:eastAsia="方正书宋简体"/>
      <w:b/>
      <w:bCs/>
      <w:sz w:val="30"/>
      <w:szCs w:val="20"/>
    </w:rPr>
  </w:style>
  <w:style w:type="paragraph" w:styleId="7">
    <w:name w:val="heading 4"/>
    <w:basedOn w:val="1"/>
    <w:next w:val="1"/>
    <w:link w:val="98"/>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86"/>
    <w:autoRedefine/>
    <w:semiHidden/>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49"/>
    <w:autoRedefine/>
    <w:qFormat/>
    <w:uiPriority w:val="0"/>
    <w:pPr>
      <w:keepNext/>
      <w:keepLines/>
      <w:spacing w:before="240" w:after="64" w:line="320" w:lineRule="auto"/>
      <w:outlineLvl w:val="5"/>
    </w:pPr>
    <w:rPr>
      <w:rFonts w:ascii="Calibri Light" w:hAnsi="Calibri Light" w:eastAsia="楷体_GB2312"/>
      <w:b/>
      <w:bCs/>
      <w:sz w:val="24"/>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78"/>
    <w:autoRedefine/>
    <w:qFormat/>
    <w:uiPriority w:val="0"/>
    <w:pPr>
      <w:tabs>
        <w:tab w:val="left" w:pos="720"/>
        <w:tab w:val="left" w:pos="1260"/>
        <w:tab w:val="left" w:pos="2160"/>
        <w:tab w:val="left" w:pos="2880"/>
        <w:tab w:val="left" w:pos="3600"/>
        <w:tab w:val="left" w:pos="4320"/>
        <w:tab w:val="left" w:pos="5040"/>
        <w:tab w:val="left" w:pos="5760"/>
      </w:tabs>
      <w:autoSpaceDE/>
      <w:autoSpaceDN/>
      <w:adjustRightInd/>
      <w:spacing w:after="120" w:line="240" w:lineRule="auto"/>
      <w:ind w:left="420" w:leftChars="200" w:right="0" w:rightChars="0" w:firstLine="420" w:firstLineChars="200"/>
      <w:jc w:val="both"/>
    </w:pPr>
    <w:rPr>
      <w:rFonts w:ascii="Calibri"/>
      <w:color w:val="auto"/>
      <w:kern w:val="2"/>
      <w:sz w:val="21"/>
      <w:szCs w:val="24"/>
    </w:rPr>
  </w:style>
  <w:style w:type="paragraph" w:styleId="3">
    <w:name w:val="Body Text Indent"/>
    <w:basedOn w:val="1"/>
    <w:next w:val="1"/>
    <w:link w:val="77"/>
    <w:autoRedefine/>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楷体_GB2312"/>
      <w:color w:val="000000"/>
      <w:kern w:val="0"/>
      <w:sz w:val="24"/>
      <w:szCs w:val="20"/>
    </w:rPr>
  </w:style>
  <w:style w:type="paragraph" w:styleId="10">
    <w:name w:val="List Number"/>
    <w:basedOn w:val="1"/>
    <w:autoRedefine/>
    <w:qFormat/>
    <w:uiPriority w:val="0"/>
    <w:pPr>
      <w:widowControl/>
      <w:numPr>
        <w:ilvl w:val="0"/>
        <w:numId w:val="1"/>
      </w:numPr>
      <w:tabs>
        <w:tab w:val="left" w:pos="454"/>
        <w:tab w:val="left" w:pos="720"/>
        <w:tab w:val="left" w:pos="899"/>
      </w:tabs>
      <w:spacing w:afterLines="50"/>
      <w:ind w:left="454" w:hanging="284"/>
      <w:jc w:val="left"/>
    </w:pPr>
    <w:rPr>
      <w:kern w:val="0"/>
      <w:sz w:val="24"/>
      <w:szCs w:val="20"/>
    </w:rPr>
  </w:style>
  <w:style w:type="paragraph" w:styleId="11">
    <w:name w:val="Normal Indent"/>
    <w:basedOn w:val="1"/>
    <w:next w:val="12"/>
    <w:autoRedefine/>
    <w:qFormat/>
    <w:uiPriority w:val="0"/>
    <w:pPr>
      <w:ind w:firstLine="420"/>
    </w:pPr>
    <w:rPr>
      <w:szCs w:val="20"/>
    </w:rPr>
  </w:style>
  <w:style w:type="paragraph" w:styleId="12">
    <w:name w:val="toc 2"/>
    <w:basedOn w:val="1"/>
    <w:next w:val="1"/>
    <w:autoRedefine/>
    <w:qFormat/>
    <w:uiPriority w:val="0"/>
    <w:pPr>
      <w:tabs>
        <w:tab w:val="right" w:leader="dot" w:pos="8296"/>
      </w:tabs>
      <w:spacing w:line="360" w:lineRule="auto"/>
      <w:ind w:left="420" w:leftChars="200"/>
    </w:pPr>
  </w:style>
  <w:style w:type="paragraph" w:styleId="13">
    <w:name w:val="caption"/>
    <w:basedOn w:val="1"/>
    <w:next w:val="1"/>
    <w:autoRedefine/>
    <w:qFormat/>
    <w:uiPriority w:val="0"/>
    <w:pPr>
      <w:spacing w:before="152" w:after="160"/>
    </w:pPr>
    <w:rPr>
      <w:rFonts w:ascii="Tahoma" w:hAnsi="Tahoma" w:eastAsia="Cambria Math" w:cs="Tahoma"/>
      <w:sz w:val="20"/>
      <w:szCs w:val="20"/>
    </w:rPr>
  </w:style>
  <w:style w:type="paragraph" w:styleId="14">
    <w:name w:val="annotation text"/>
    <w:basedOn w:val="1"/>
    <w:link w:val="43"/>
    <w:autoRedefine/>
    <w:qFormat/>
    <w:uiPriority w:val="0"/>
    <w:pPr>
      <w:jc w:val="left"/>
    </w:pPr>
  </w:style>
  <w:style w:type="paragraph" w:styleId="15">
    <w:name w:val="Body Text 3"/>
    <w:basedOn w:val="1"/>
    <w:autoRedefine/>
    <w:qFormat/>
    <w:uiPriority w:val="0"/>
    <w:pPr>
      <w:spacing w:after="120"/>
    </w:pPr>
    <w:rPr>
      <w:sz w:val="16"/>
      <w:szCs w:val="16"/>
    </w:rPr>
  </w:style>
  <w:style w:type="paragraph" w:styleId="16">
    <w:name w:val="Body Text"/>
    <w:basedOn w:val="1"/>
    <w:link w:val="90"/>
    <w:autoRedefine/>
    <w:qFormat/>
    <w:uiPriority w:val="0"/>
    <w:pPr>
      <w:spacing w:after="120"/>
    </w:pPr>
  </w:style>
  <w:style w:type="paragraph" w:styleId="17">
    <w:name w:val="List 2"/>
    <w:basedOn w:val="1"/>
    <w:autoRedefine/>
    <w:qFormat/>
    <w:uiPriority w:val="0"/>
    <w:pPr>
      <w:ind w:left="100" w:leftChars="200" w:hanging="200" w:hangingChars="200"/>
    </w:pPr>
  </w:style>
  <w:style w:type="paragraph" w:styleId="18">
    <w:name w:val="Block Text"/>
    <w:basedOn w:val="1"/>
    <w:autoRedefine/>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9">
    <w:name w:val="Plain Text"/>
    <w:basedOn w:val="1"/>
    <w:next w:val="20"/>
    <w:link w:val="48"/>
    <w:autoRedefine/>
    <w:qFormat/>
    <w:uiPriority w:val="0"/>
    <w:rPr>
      <w:rFonts w:ascii="楷体_GB2312" w:hAnsi="Courier New" w:eastAsia="楷体_GB2312"/>
    </w:rPr>
  </w:style>
  <w:style w:type="paragraph" w:styleId="20">
    <w:name w:val="Date"/>
    <w:basedOn w:val="1"/>
    <w:next w:val="1"/>
    <w:autoRedefine/>
    <w:qFormat/>
    <w:uiPriority w:val="0"/>
    <w:pPr>
      <w:ind w:left="2500" w:leftChars="2500"/>
    </w:pPr>
    <w:rPr>
      <w:rFonts w:eastAsia="楷体_GB2312"/>
      <w:sz w:val="32"/>
      <w:szCs w:val="20"/>
    </w:rPr>
  </w:style>
  <w:style w:type="paragraph" w:styleId="21">
    <w:name w:val="Body Text Indent 2"/>
    <w:basedOn w:val="1"/>
    <w:autoRedefine/>
    <w:qFormat/>
    <w:uiPriority w:val="0"/>
    <w:pPr>
      <w:spacing w:after="120" w:line="480" w:lineRule="auto"/>
      <w:ind w:left="420" w:leftChars="200"/>
    </w:pPr>
  </w:style>
  <w:style w:type="paragraph" w:styleId="22">
    <w:name w:val="Balloon Text"/>
    <w:basedOn w:val="1"/>
    <w:link w:val="44"/>
    <w:autoRedefine/>
    <w:qFormat/>
    <w:uiPriority w:val="0"/>
    <w:rPr>
      <w:sz w:val="18"/>
      <w:szCs w:val="18"/>
    </w:rPr>
  </w:style>
  <w:style w:type="paragraph" w:styleId="23">
    <w:name w:val="footer"/>
    <w:basedOn w:val="1"/>
    <w:link w:val="45"/>
    <w:autoRedefine/>
    <w:qFormat/>
    <w:uiPriority w:val="0"/>
    <w:pPr>
      <w:tabs>
        <w:tab w:val="center" w:pos="4153"/>
        <w:tab w:val="right" w:pos="8306"/>
      </w:tabs>
      <w:snapToGrid w:val="0"/>
      <w:jc w:val="left"/>
    </w:pPr>
    <w:rPr>
      <w:sz w:val="18"/>
      <w:szCs w:val="18"/>
    </w:rPr>
  </w:style>
  <w:style w:type="paragraph" w:styleId="24">
    <w:name w:val="envelope return"/>
    <w:basedOn w:val="1"/>
    <w:autoRedefine/>
    <w:qFormat/>
    <w:uiPriority w:val="0"/>
    <w:pPr>
      <w:snapToGrid w:val="0"/>
    </w:pPr>
    <w:rPr>
      <w:rFonts w:ascii="Arial" w:hAnsi="Arial"/>
    </w:rPr>
  </w:style>
  <w:style w:type="paragraph" w:styleId="25">
    <w:name w:val="header"/>
    <w:basedOn w:val="1"/>
    <w:link w:val="47"/>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Subtitle"/>
    <w:basedOn w:val="1"/>
    <w:next w:val="1"/>
    <w:autoRedefine/>
    <w:qFormat/>
    <w:uiPriority w:val="99"/>
    <w:pPr>
      <w:spacing w:before="240" w:after="60" w:line="312" w:lineRule="auto"/>
      <w:jc w:val="center"/>
      <w:outlineLvl w:val="1"/>
    </w:pPr>
    <w:rPr>
      <w:rFonts w:ascii="Cambria" w:hAnsi="Cambria" w:cs="Cambria"/>
      <w:b/>
      <w:bCs/>
      <w:kern w:val="28"/>
    </w:rPr>
  </w:style>
  <w:style w:type="paragraph" w:styleId="27">
    <w:name w:val="List"/>
    <w:basedOn w:val="1"/>
    <w:autoRedefine/>
    <w:qFormat/>
    <w:uiPriority w:val="0"/>
    <w:pPr>
      <w:ind w:left="200" w:hanging="200" w:hangingChars="200"/>
    </w:pPr>
    <w:rPr>
      <w:sz w:val="28"/>
    </w:rPr>
  </w:style>
  <w:style w:type="paragraph" w:styleId="28">
    <w:name w:val="footnote text"/>
    <w:basedOn w:val="1"/>
    <w:link w:val="95"/>
    <w:autoRedefine/>
    <w:unhideWhenUsed/>
    <w:qFormat/>
    <w:uiPriority w:val="99"/>
    <w:pPr>
      <w:snapToGrid w:val="0"/>
      <w:jc w:val="left"/>
    </w:pPr>
    <w:rPr>
      <w:rFonts w:eastAsia="Calibri"/>
      <w:sz w:val="18"/>
    </w:rPr>
  </w:style>
  <w:style w:type="paragraph" w:styleId="29">
    <w:name w:val="toc 6"/>
    <w:basedOn w:val="1"/>
    <w:next w:val="1"/>
    <w:autoRedefine/>
    <w:qFormat/>
    <w:uiPriority w:val="0"/>
    <w:pPr>
      <w:ind w:left="1050"/>
      <w:jc w:val="left"/>
    </w:pPr>
    <w:rPr>
      <w:sz w:val="18"/>
      <w:szCs w:val="18"/>
    </w:rPr>
  </w:style>
  <w:style w:type="paragraph" w:styleId="30">
    <w:name w:val="Body Text Indent 3"/>
    <w:basedOn w:val="1"/>
    <w:autoRedefine/>
    <w:qFormat/>
    <w:uiPriority w:val="0"/>
    <w:pPr>
      <w:ind w:left="420" w:leftChars="200"/>
    </w:pPr>
    <w:rPr>
      <w:sz w:val="16"/>
      <w:szCs w:val="16"/>
    </w:rPr>
  </w:style>
  <w:style w:type="paragraph" w:styleId="31">
    <w:name w:val="Normal (Web)"/>
    <w:basedOn w:val="1"/>
    <w:autoRedefine/>
    <w:qFormat/>
    <w:uiPriority w:val="0"/>
    <w:pPr>
      <w:widowControl/>
      <w:spacing w:before="100" w:beforeAutospacing="1" w:after="100" w:afterAutospacing="1"/>
      <w:jc w:val="left"/>
    </w:pPr>
    <w:rPr>
      <w:rFonts w:hint="eastAsia" w:ascii="楷体_GB2312" w:hAnsi="楷体_GB2312"/>
      <w:kern w:val="0"/>
      <w:sz w:val="24"/>
    </w:rPr>
  </w:style>
  <w:style w:type="paragraph" w:styleId="32">
    <w:name w:val="Title"/>
    <w:basedOn w:val="1"/>
    <w:next w:val="1"/>
    <w:link w:val="87"/>
    <w:autoRedefine/>
    <w:qFormat/>
    <w:uiPriority w:val="99"/>
    <w:pPr>
      <w:spacing w:before="240" w:after="60"/>
      <w:jc w:val="center"/>
      <w:outlineLvl w:val="0"/>
    </w:pPr>
    <w:rPr>
      <w:rFonts w:ascii="Arial" w:hAnsi="Arial" w:cs="Arial"/>
      <w:b/>
      <w:bCs/>
      <w:sz w:val="32"/>
      <w:szCs w:val="32"/>
    </w:rPr>
  </w:style>
  <w:style w:type="paragraph" w:styleId="33">
    <w:name w:val="annotation subject"/>
    <w:basedOn w:val="14"/>
    <w:next w:val="14"/>
    <w:link w:val="46"/>
    <w:autoRedefine/>
    <w:qFormat/>
    <w:uiPriority w:val="0"/>
    <w:rPr>
      <w:b/>
      <w:bCs/>
    </w:rPr>
  </w:style>
  <w:style w:type="paragraph" w:styleId="34">
    <w:name w:val="Body Text First Indent"/>
    <w:basedOn w:val="16"/>
    <w:next w:val="2"/>
    <w:link w:val="99"/>
    <w:autoRedefine/>
    <w:unhideWhenUsed/>
    <w:qFormat/>
    <w:uiPriority w:val="0"/>
    <w:pPr>
      <w:ind w:firstLine="420" w:firstLineChars="100"/>
    </w:pPr>
  </w:style>
  <w:style w:type="table" w:styleId="36">
    <w:name w:val="Table Grid"/>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autoRedefine/>
    <w:qFormat/>
    <w:uiPriority w:val="0"/>
    <w:rPr>
      <w:b/>
      <w:bCs/>
    </w:rPr>
  </w:style>
  <w:style w:type="character" w:styleId="39">
    <w:name w:val="page number"/>
    <w:basedOn w:val="37"/>
    <w:autoRedefine/>
    <w:qFormat/>
    <w:uiPriority w:val="0"/>
  </w:style>
  <w:style w:type="character" w:styleId="40">
    <w:name w:val="Hyperlink"/>
    <w:autoRedefine/>
    <w:qFormat/>
    <w:uiPriority w:val="0"/>
    <w:rPr>
      <w:color w:val="0000FF"/>
      <w:u w:val="single"/>
    </w:rPr>
  </w:style>
  <w:style w:type="character" w:styleId="41">
    <w:name w:val="annotation reference"/>
    <w:autoRedefine/>
    <w:qFormat/>
    <w:uiPriority w:val="0"/>
    <w:rPr>
      <w:sz w:val="21"/>
      <w:szCs w:val="21"/>
    </w:rPr>
  </w:style>
  <w:style w:type="character" w:styleId="42">
    <w:name w:val="footnote reference"/>
    <w:basedOn w:val="37"/>
    <w:autoRedefine/>
    <w:unhideWhenUsed/>
    <w:qFormat/>
    <w:uiPriority w:val="99"/>
    <w:rPr>
      <w:vertAlign w:val="superscript"/>
    </w:rPr>
  </w:style>
  <w:style w:type="character" w:customStyle="1" w:styleId="43">
    <w:name w:val="批注文字 Char1"/>
    <w:link w:val="14"/>
    <w:autoRedefine/>
    <w:qFormat/>
    <w:uiPriority w:val="0"/>
    <w:rPr>
      <w:kern w:val="2"/>
      <w:sz w:val="21"/>
      <w:szCs w:val="24"/>
    </w:rPr>
  </w:style>
  <w:style w:type="character" w:customStyle="1" w:styleId="44">
    <w:name w:val="批注框文本 Char"/>
    <w:link w:val="22"/>
    <w:autoRedefine/>
    <w:qFormat/>
    <w:uiPriority w:val="0"/>
    <w:rPr>
      <w:kern w:val="2"/>
      <w:sz w:val="18"/>
      <w:szCs w:val="18"/>
    </w:rPr>
  </w:style>
  <w:style w:type="character" w:customStyle="1" w:styleId="45">
    <w:name w:val="页脚 Char"/>
    <w:link w:val="23"/>
    <w:autoRedefine/>
    <w:qFormat/>
    <w:uiPriority w:val="0"/>
    <w:rPr>
      <w:kern w:val="2"/>
      <w:sz w:val="18"/>
      <w:szCs w:val="18"/>
    </w:rPr>
  </w:style>
  <w:style w:type="character" w:customStyle="1" w:styleId="46">
    <w:name w:val="批注主题 Char"/>
    <w:basedOn w:val="43"/>
    <w:link w:val="33"/>
    <w:autoRedefine/>
    <w:qFormat/>
    <w:uiPriority w:val="0"/>
    <w:rPr>
      <w:kern w:val="2"/>
      <w:sz w:val="21"/>
      <w:szCs w:val="24"/>
    </w:rPr>
  </w:style>
  <w:style w:type="character" w:customStyle="1" w:styleId="47">
    <w:name w:val="页眉 Char"/>
    <w:link w:val="25"/>
    <w:autoRedefine/>
    <w:qFormat/>
    <w:uiPriority w:val="0"/>
    <w:rPr>
      <w:kern w:val="2"/>
      <w:sz w:val="18"/>
      <w:szCs w:val="18"/>
    </w:rPr>
  </w:style>
  <w:style w:type="character" w:customStyle="1" w:styleId="48">
    <w:name w:val="纯文本 Char2"/>
    <w:link w:val="19"/>
    <w:autoRedefine/>
    <w:qFormat/>
    <w:uiPriority w:val="0"/>
    <w:rPr>
      <w:rFonts w:ascii="楷体_GB2312" w:hAnsi="Courier New" w:eastAsia="楷体_GB2312"/>
      <w:kern w:val="2"/>
      <w:sz w:val="21"/>
      <w:szCs w:val="24"/>
      <w:lang w:val="en-US" w:eastAsia="zh-CN" w:bidi="ar-SA"/>
    </w:rPr>
  </w:style>
  <w:style w:type="character" w:customStyle="1" w:styleId="49">
    <w:name w:val="标题 6 Char"/>
    <w:link w:val="9"/>
    <w:autoRedefine/>
    <w:semiHidden/>
    <w:qFormat/>
    <w:uiPriority w:val="0"/>
    <w:rPr>
      <w:rFonts w:ascii="Calibri Light" w:hAnsi="Calibri Light" w:eastAsia="楷体_GB2312" w:cs="@方正书宋简体"/>
      <w:b/>
      <w:bCs/>
      <w:kern w:val="2"/>
      <w:sz w:val="24"/>
      <w:szCs w:val="24"/>
    </w:rPr>
  </w:style>
  <w:style w:type="paragraph" w:customStyle="1" w:styleId="50">
    <w:name w:val="目录 21"/>
    <w:basedOn w:val="1"/>
    <w:next w:val="1"/>
    <w:autoRedefine/>
    <w:qFormat/>
    <w:uiPriority w:val="0"/>
    <w:pPr>
      <w:spacing w:line="360" w:lineRule="auto"/>
      <w:ind w:left="210" w:leftChars="100" w:firstLine="472" w:firstLineChars="196"/>
      <w:jc w:val="left"/>
    </w:pPr>
    <w:rPr>
      <w:rFonts w:ascii="楷体_GB2312" w:hAnsi="楷体_GB2312"/>
      <w:b/>
      <w:sz w:val="24"/>
    </w:rPr>
  </w:style>
  <w:style w:type="paragraph" w:customStyle="1" w:styleId="51">
    <w:name w:val="列出段落1"/>
    <w:basedOn w:val="1"/>
    <w:autoRedefine/>
    <w:qFormat/>
    <w:uiPriority w:val="0"/>
    <w:pPr>
      <w:ind w:firstLine="420" w:firstLineChars="200"/>
    </w:pPr>
    <w:rPr>
      <w:kern w:val="0"/>
      <w:szCs w:val="20"/>
    </w:rPr>
  </w:style>
  <w:style w:type="paragraph" w:customStyle="1" w:styleId="52">
    <w:name w:val="正文_5"/>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
    <w:name w:val="img"/>
    <w:basedOn w:val="1"/>
    <w:autoRedefine/>
    <w:qFormat/>
    <w:uiPriority w:val="0"/>
    <w:pPr>
      <w:widowControl/>
      <w:spacing w:before="100" w:beforeAutospacing="1" w:after="100" w:afterAutospacing="1"/>
      <w:jc w:val="left"/>
    </w:pPr>
    <w:rPr>
      <w:rFonts w:ascii="楷体_GB2312" w:hAnsi="楷体_GB2312" w:cs="楷体_GB2312"/>
      <w:kern w:val="0"/>
      <w:sz w:val="24"/>
    </w:rPr>
  </w:style>
  <w:style w:type="paragraph" w:customStyle="1" w:styleId="54">
    <w:name w:val="列出段落2"/>
    <w:basedOn w:val="1"/>
    <w:autoRedefine/>
    <w:qFormat/>
    <w:uiPriority w:val="34"/>
    <w:pPr>
      <w:ind w:firstLine="420" w:firstLineChars="200"/>
    </w:pPr>
    <w:rPr>
      <w:rFonts w:eastAsia="楷体_GB2312" w:cs="@方正书宋简体"/>
      <w:szCs w:val="22"/>
    </w:rPr>
  </w:style>
  <w:style w:type="paragraph" w:customStyle="1" w:styleId="55">
    <w:name w:val="正文_1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
    <w:name w:val="p0"/>
    <w:basedOn w:val="1"/>
    <w:autoRedefine/>
    <w:qFormat/>
    <w:uiPriority w:val="0"/>
    <w:pPr>
      <w:widowControl/>
      <w:spacing w:line="365" w:lineRule="atLeast"/>
      <w:ind w:left="1"/>
    </w:pPr>
    <w:rPr>
      <w:kern w:val="0"/>
      <w:sz w:val="20"/>
      <w:szCs w:val="20"/>
    </w:rPr>
  </w:style>
  <w:style w:type="paragraph" w:customStyle="1" w:styleId="57">
    <w:name w:val="p18"/>
    <w:basedOn w:val="1"/>
    <w:autoRedefine/>
    <w:qFormat/>
    <w:uiPriority w:val="99"/>
    <w:pPr>
      <w:widowControl/>
      <w:spacing w:line="748" w:lineRule="atLeast"/>
      <w:ind w:left="-527" w:firstLine="527"/>
    </w:pPr>
    <w:rPr>
      <w:rFonts w:ascii="楷体_GB2312" w:hAnsi="楷体_GB2312" w:cs="楷体_GB2312"/>
      <w:kern w:val="0"/>
      <w:sz w:val="24"/>
    </w:rPr>
  </w:style>
  <w:style w:type="paragraph" w:customStyle="1" w:styleId="58">
    <w:name w:val="正文_3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
    <w:name w:val="正文_2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0">
    <w:name w:val="Char"/>
    <w:basedOn w:val="1"/>
    <w:autoRedefine/>
    <w:qFormat/>
    <w:uiPriority w:val="0"/>
  </w:style>
  <w:style w:type="paragraph" w:customStyle="1" w:styleId="61">
    <w:name w:val="reader-word-layer"/>
    <w:basedOn w:val="1"/>
    <w:autoRedefine/>
    <w:qFormat/>
    <w:uiPriority w:val="0"/>
    <w:pPr>
      <w:widowControl/>
      <w:spacing w:before="100" w:beforeAutospacing="1" w:after="100" w:afterAutospacing="1"/>
      <w:jc w:val="left"/>
    </w:pPr>
    <w:rPr>
      <w:rFonts w:ascii="楷体_GB2312" w:hAnsi="楷体_GB2312" w:cs="楷体_GB2312"/>
      <w:kern w:val="0"/>
      <w:sz w:val="24"/>
    </w:rPr>
  </w:style>
  <w:style w:type="paragraph" w:customStyle="1" w:styleId="62">
    <w:name w:val="正文_14"/>
    <w:autoRedefine/>
    <w:qFormat/>
    <w:uiPriority w:val="0"/>
    <w:rPr>
      <w:rFonts w:ascii="Calibri" w:hAnsi="Calibri" w:eastAsia="宋体" w:cs="Times New Roman"/>
      <w:sz w:val="21"/>
      <w:lang w:val="en-US" w:eastAsia="zh-CN" w:bidi="ar-SA"/>
    </w:rPr>
  </w:style>
  <w:style w:type="paragraph" w:customStyle="1" w:styleId="63">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4">
    <w:name w:val="Char1"/>
    <w:basedOn w:val="1"/>
    <w:autoRedefine/>
    <w:qFormat/>
    <w:uiPriority w:val="0"/>
  </w:style>
  <w:style w:type="paragraph" w:customStyle="1" w:styleId="65">
    <w:name w:val="zw"/>
    <w:basedOn w:val="1"/>
    <w:autoRedefine/>
    <w:qFormat/>
    <w:uiPriority w:val="0"/>
    <w:pPr>
      <w:widowControl/>
      <w:spacing w:before="30"/>
      <w:ind w:left="100" w:right="100"/>
    </w:pPr>
    <w:rPr>
      <w:rFonts w:ascii="方正书宋简体" w:hAnsi="楷体_GB2312" w:eastAsia="方正书宋简体"/>
      <w:color w:val="000000"/>
      <w:kern w:val="0"/>
      <w:szCs w:val="21"/>
    </w:rPr>
  </w:style>
  <w:style w:type="paragraph" w:customStyle="1" w:styleId="66">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7">
    <w:name w:val="无间隔11"/>
    <w:autoRedefine/>
    <w:qFormat/>
    <w:uiPriority w:val="0"/>
    <w:pPr>
      <w:adjustRightInd w:val="0"/>
      <w:snapToGrid w:val="0"/>
    </w:pPr>
    <w:rPr>
      <w:rFonts w:ascii="Tahoma" w:hAnsi="Tahoma" w:eastAsia="微软雅黑" w:cs="Times New Roman"/>
      <w:sz w:val="22"/>
      <w:szCs w:val="22"/>
      <w:lang w:val="en-US" w:eastAsia="zh-CN" w:bidi="ar-SA"/>
    </w:rPr>
  </w:style>
  <w:style w:type="paragraph" w:customStyle="1" w:styleId="68">
    <w:name w:val="默认段落字体 Para Char Char Char Char Char Char Char Char Char1 Char Char Char Char"/>
    <w:basedOn w:val="1"/>
    <w:autoRedefine/>
    <w:qFormat/>
    <w:uiPriority w:val="0"/>
    <w:rPr>
      <w:rFonts w:ascii="Tahoma" w:hAnsi="Tahoma"/>
      <w:sz w:val="24"/>
      <w:szCs w:val="20"/>
    </w:rPr>
  </w:style>
  <w:style w:type="paragraph" w:customStyle="1" w:styleId="69">
    <w:name w:val="Table Paragraph"/>
    <w:basedOn w:val="1"/>
    <w:autoRedefine/>
    <w:qFormat/>
    <w:uiPriority w:val="1"/>
    <w:rPr>
      <w:szCs w:val="20"/>
    </w:rPr>
  </w:style>
  <w:style w:type="paragraph" w:customStyle="1" w:styleId="70">
    <w:name w:val="正文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1">
    <w:name w:val="Char Char Char Char Char Char Char Char Char"/>
    <w:basedOn w:val="1"/>
    <w:autoRedefine/>
    <w:qFormat/>
    <w:uiPriority w:val="0"/>
    <w:pPr>
      <w:widowControl/>
      <w:spacing w:after="160" w:line="240" w:lineRule="exact"/>
      <w:jc w:val="left"/>
    </w:pPr>
    <w:rPr>
      <w:rFonts w:ascii="Times New Roman" w:hAnsi="Times New Roman" w:eastAsia="Times New Roman"/>
      <w:kern w:val="0"/>
      <w:sz w:val="24"/>
      <w:szCs w:val="20"/>
    </w:rPr>
  </w:style>
  <w:style w:type="paragraph" w:styleId="72">
    <w:name w:val="List Paragraph"/>
    <w:basedOn w:val="1"/>
    <w:autoRedefine/>
    <w:qFormat/>
    <w:uiPriority w:val="99"/>
    <w:pPr>
      <w:ind w:firstLine="420" w:firstLineChars="200"/>
    </w:pPr>
  </w:style>
  <w:style w:type="paragraph" w:customStyle="1" w:styleId="73">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6">
    <w:name w:val="标题 2 Char"/>
    <w:basedOn w:val="37"/>
    <w:link w:val="5"/>
    <w:autoRedefine/>
    <w:semiHidden/>
    <w:qFormat/>
    <w:uiPriority w:val="0"/>
    <w:rPr>
      <w:rFonts w:asciiTheme="majorHAnsi" w:hAnsiTheme="majorHAnsi" w:eastAsiaTheme="majorEastAsia" w:cstheme="majorBidi"/>
      <w:b/>
      <w:bCs/>
      <w:kern w:val="2"/>
      <w:sz w:val="32"/>
      <w:szCs w:val="32"/>
    </w:rPr>
  </w:style>
  <w:style w:type="character" w:customStyle="1" w:styleId="77">
    <w:name w:val="正文文本缩进 Char"/>
    <w:basedOn w:val="37"/>
    <w:link w:val="3"/>
    <w:autoRedefine/>
    <w:qFormat/>
    <w:uiPriority w:val="0"/>
    <w:rPr>
      <w:rFonts w:ascii="楷体_GB2312"/>
      <w:color w:val="000000"/>
      <w:sz w:val="24"/>
    </w:rPr>
  </w:style>
  <w:style w:type="character" w:customStyle="1" w:styleId="78">
    <w:name w:val="正文首行缩进 2 Char"/>
    <w:basedOn w:val="77"/>
    <w:link w:val="2"/>
    <w:autoRedefine/>
    <w:qFormat/>
    <w:uiPriority w:val="0"/>
    <w:rPr>
      <w:rFonts w:ascii="楷体_GB2312"/>
      <w:color w:val="000000"/>
      <w:kern w:val="2"/>
      <w:sz w:val="21"/>
      <w:szCs w:val="24"/>
    </w:rPr>
  </w:style>
  <w:style w:type="character" w:customStyle="1" w:styleId="79">
    <w:name w:val="标题 1 Char"/>
    <w:basedOn w:val="37"/>
    <w:link w:val="4"/>
    <w:autoRedefine/>
    <w:qFormat/>
    <w:uiPriority w:val="0"/>
    <w:rPr>
      <w:b/>
      <w:bCs/>
      <w:kern w:val="44"/>
      <w:sz w:val="44"/>
      <w:szCs w:val="44"/>
    </w:rPr>
  </w:style>
  <w:style w:type="table" w:customStyle="1" w:styleId="80">
    <w:name w:val="网格型1"/>
    <w:basedOn w:val="35"/>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1">
    <w:name w:val="首行缩进"/>
    <w:basedOn w:val="1"/>
    <w:autoRedefine/>
    <w:qFormat/>
    <w:uiPriority w:val="0"/>
    <w:pPr>
      <w:ind w:firstLine="480" w:firstLineChars="200"/>
    </w:pPr>
    <w:rPr>
      <w:szCs w:val="20"/>
      <w:lang w:val="zh-CN"/>
    </w:rPr>
  </w:style>
  <w:style w:type="paragraph" w:customStyle="1" w:styleId="82">
    <w:name w:val="￥正文"/>
    <w:basedOn w:val="1"/>
    <w:autoRedefine/>
    <w:qFormat/>
    <w:uiPriority w:val="0"/>
    <w:pPr>
      <w:spacing w:line="360" w:lineRule="auto"/>
      <w:ind w:firstLine="200" w:firstLineChars="200"/>
    </w:pPr>
    <w:rPr>
      <w:kern w:val="0"/>
      <w:sz w:val="24"/>
      <w:szCs w:val="20"/>
    </w:rPr>
  </w:style>
  <w:style w:type="character" w:customStyle="1" w:styleId="83">
    <w:name w:val="纯文本 Char"/>
    <w:autoRedefine/>
    <w:qFormat/>
    <w:uiPriority w:val="0"/>
    <w:rPr>
      <w:rFonts w:ascii="宋体" w:hAnsi="Courier New" w:eastAsia="宋体"/>
      <w:kern w:val="2"/>
      <w:sz w:val="24"/>
      <w:szCs w:val="24"/>
      <w:lang w:val="en-US" w:eastAsia="zh-CN" w:bidi="ar-SA"/>
    </w:rPr>
  </w:style>
  <w:style w:type="paragraph" w:customStyle="1" w:styleId="84">
    <w:name w:val="表格文字"/>
    <w:basedOn w:val="1"/>
    <w:next w:val="16"/>
    <w:autoRedefine/>
    <w:qFormat/>
    <w:uiPriority w:val="0"/>
    <w:pPr>
      <w:adjustRightInd w:val="0"/>
      <w:spacing w:line="420" w:lineRule="atLeast"/>
      <w:jc w:val="left"/>
      <w:textAlignment w:val="baseline"/>
    </w:pPr>
    <w:rPr>
      <w:rFonts w:ascii="Times New Roman" w:hAnsi="Times New Roman"/>
      <w:kern w:val="0"/>
    </w:rPr>
  </w:style>
  <w:style w:type="character" w:customStyle="1" w:styleId="85">
    <w:name w:val="NormalCharacter"/>
    <w:autoRedefine/>
    <w:semiHidden/>
    <w:qFormat/>
    <w:uiPriority w:val="0"/>
  </w:style>
  <w:style w:type="character" w:customStyle="1" w:styleId="86">
    <w:name w:val="标题 5 Char"/>
    <w:basedOn w:val="37"/>
    <w:link w:val="8"/>
    <w:autoRedefine/>
    <w:semiHidden/>
    <w:qFormat/>
    <w:uiPriority w:val="0"/>
    <w:rPr>
      <w:b/>
      <w:bCs/>
      <w:kern w:val="2"/>
      <w:sz w:val="28"/>
      <w:szCs w:val="28"/>
    </w:rPr>
  </w:style>
  <w:style w:type="character" w:customStyle="1" w:styleId="87">
    <w:name w:val="标题 Char"/>
    <w:basedOn w:val="37"/>
    <w:link w:val="32"/>
    <w:autoRedefine/>
    <w:qFormat/>
    <w:uiPriority w:val="99"/>
    <w:rPr>
      <w:rFonts w:ascii="Arial" w:hAnsi="Arial" w:cs="Arial"/>
      <w:b/>
      <w:bCs/>
      <w:kern w:val="2"/>
      <w:sz w:val="32"/>
      <w:szCs w:val="32"/>
    </w:rPr>
  </w:style>
  <w:style w:type="paragraph" w:styleId="88">
    <w:name w:val="No Spacing"/>
    <w:autoRedefine/>
    <w:qFormat/>
    <w:uiPriority w:val="1"/>
    <w:pPr>
      <w:adjustRightInd w:val="0"/>
      <w:snapToGrid w:val="0"/>
    </w:pPr>
    <w:rPr>
      <w:rFonts w:ascii="Tahoma" w:hAnsi="Tahoma" w:eastAsia="微软雅黑" w:cs="Times New Roman"/>
      <w:sz w:val="22"/>
      <w:szCs w:val="22"/>
      <w:lang w:val="en-US" w:eastAsia="zh-CN" w:bidi="ar-SA"/>
    </w:rPr>
  </w:style>
  <w:style w:type="character" w:customStyle="1" w:styleId="89">
    <w:name w:val="纯文本 Char1"/>
    <w:autoRedefine/>
    <w:qFormat/>
    <w:uiPriority w:val="99"/>
    <w:rPr>
      <w:rFonts w:ascii="楷体_GB2312" w:hAnsi="Courier New" w:eastAsia="楷体_GB2312"/>
      <w:kern w:val="2"/>
      <w:sz w:val="21"/>
      <w:szCs w:val="24"/>
      <w:lang w:val="en-US" w:eastAsia="zh-CN" w:bidi="ar-SA"/>
    </w:rPr>
  </w:style>
  <w:style w:type="character" w:customStyle="1" w:styleId="90">
    <w:name w:val="正文文本 Char"/>
    <w:basedOn w:val="37"/>
    <w:link w:val="16"/>
    <w:autoRedefine/>
    <w:qFormat/>
    <w:uiPriority w:val="0"/>
    <w:rPr>
      <w:kern w:val="2"/>
      <w:sz w:val="21"/>
      <w:szCs w:val="24"/>
    </w:rPr>
  </w:style>
  <w:style w:type="paragraph" w:customStyle="1" w:styleId="91">
    <w:name w:val="正文2"/>
    <w:basedOn w:val="1"/>
    <w:autoRedefine/>
    <w:qFormat/>
    <w:uiPriority w:val="0"/>
    <w:pPr>
      <w:spacing w:before="156" w:line="360" w:lineRule="auto"/>
      <w:ind w:firstLine="510" w:firstLineChars="200"/>
    </w:pPr>
    <w:rPr>
      <w:sz w:val="24"/>
      <w:szCs w:val="20"/>
    </w:rPr>
  </w:style>
  <w:style w:type="character" w:styleId="92">
    <w:name w:val="Placeholder Text"/>
    <w:basedOn w:val="37"/>
    <w:autoRedefine/>
    <w:semiHidden/>
    <w:qFormat/>
    <w:uiPriority w:val="99"/>
    <w:rPr>
      <w:color w:val="808080"/>
    </w:rPr>
  </w:style>
  <w:style w:type="paragraph" w:customStyle="1" w:styleId="93">
    <w:name w:val="纯文本1"/>
    <w:basedOn w:val="1"/>
    <w:autoRedefine/>
    <w:qFormat/>
    <w:uiPriority w:val="0"/>
    <w:rPr>
      <w:rFonts w:ascii="楷体_GB2312" w:hAnsi="Courier New" w:eastAsia="楷体_GB2312"/>
    </w:rPr>
  </w:style>
  <w:style w:type="paragraph" w:customStyle="1" w:styleId="94">
    <w:name w:val="无间隔2"/>
    <w:autoRedefine/>
    <w:qFormat/>
    <w:uiPriority w:val="0"/>
    <w:pPr>
      <w:adjustRightInd w:val="0"/>
      <w:snapToGrid w:val="0"/>
    </w:pPr>
    <w:rPr>
      <w:rFonts w:ascii="Tahoma" w:hAnsi="Tahoma" w:eastAsia="微软雅黑" w:cs="Times New Roman"/>
      <w:sz w:val="22"/>
      <w:szCs w:val="22"/>
      <w:lang w:val="en-US" w:eastAsia="zh-CN" w:bidi="ar-SA"/>
    </w:rPr>
  </w:style>
  <w:style w:type="character" w:customStyle="1" w:styleId="95">
    <w:name w:val="脚注文本 Char"/>
    <w:basedOn w:val="37"/>
    <w:link w:val="28"/>
    <w:autoRedefine/>
    <w:qFormat/>
    <w:uiPriority w:val="99"/>
    <w:rPr>
      <w:rFonts w:eastAsia="Calibri"/>
      <w:kern w:val="2"/>
      <w:sz w:val="18"/>
      <w:szCs w:val="24"/>
    </w:rPr>
  </w:style>
  <w:style w:type="character" w:customStyle="1" w:styleId="96">
    <w:name w:val="批注文字 Char"/>
    <w:autoRedefine/>
    <w:qFormat/>
    <w:uiPriority w:val="0"/>
    <w:rPr>
      <w:kern w:val="2"/>
      <w:sz w:val="21"/>
      <w:szCs w:val="24"/>
    </w:rPr>
  </w:style>
  <w:style w:type="paragraph" w:customStyle="1" w:styleId="97">
    <w:name w:val="普通(网站)1"/>
    <w:basedOn w:val="1"/>
    <w:autoRedefine/>
    <w:qFormat/>
    <w:uiPriority w:val="0"/>
    <w:pPr>
      <w:widowControl/>
      <w:spacing w:before="100" w:beforeAutospacing="1" w:after="100" w:afterAutospacing="1"/>
      <w:jc w:val="left"/>
    </w:pPr>
    <w:rPr>
      <w:rFonts w:hint="eastAsia" w:ascii="楷体_GB2312" w:hAnsi="楷体_GB2312"/>
      <w:kern w:val="0"/>
      <w:sz w:val="24"/>
    </w:rPr>
  </w:style>
  <w:style w:type="character" w:customStyle="1" w:styleId="98">
    <w:name w:val="标题 4 Char"/>
    <w:basedOn w:val="37"/>
    <w:link w:val="7"/>
    <w:autoRedefine/>
    <w:semiHidden/>
    <w:qFormat/>
    <w:uiPriority w:val="0"/>
    <w:rPr>
      <w:rFonts w:asciiTheme="majorHAnsi" w:hAnsiTheme="majorHAnsi" w:eastAsiaTheme="majorEastAsia" w:cstheme="majorBidi"/>
      <w:b/>
      <w:bCs/>
      <w:kern w:val="2"/>
      <w:sz w:val="28"/>
      <w:szCs w:val="28"/>
    </w:rPr>
  </w:style>
  <w:style w:type="character" w:customStyle="1" w:styleId="99">
    <w:name w:val="正文首行缩进 Char"/>
    <w:basedOn w:val="90"/>
    <w:link w:val="34"/>
    <w:autoRedefine/>
    <w:qFormat/>
    <w:uiPriority w:val="0"/>
  </w:style>
  <w:style w:type="paragraph" w:customStyle="1" w:styleId="100">
    <w:name w:val="签发人"/>
    <w:basedOn w:val="1"/>
    <w:autoRedefine/>
    <w:qFormat/>
    <w:uiPriority w:val="0"/>
    <w:rPr>
      <w:rFonts w:ascii="Times New Roman" w:hAnsi="Times New Roman" w:eastAsia="楷体"/>
      <w:sz w:val="32"/>
    </w:rPr>
  </w:style>
  <w:style w:type="paragraph" w:customStyle="1" w:styleId="101">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customStyle="1" w:styleId="102">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103">
    <w:name w:val="正文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段落"/>
    <w:autoRedefine/>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105">
    <w:name w:val="列出段落3"/>
    <w:basedOn w:val="1"/>
    <w:autoRedefine/>
    <w:qFormat/>
    <w:uiPriority w:val="0"/>
    <w:pPr>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C64D7-E0DC-4E03-BEC9-069E74461548}">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54</Pages>
  <Words>6056</Words>
  <Characters>7150</Characters>
  <Lines>255</Lines>
  <Paragraphs>71</Paragraphs>
  <TotalTime>4</TotalTime>
  <ScaleCrop>false</ScaleCrop>
  <LinksUpToDate>false</LinksUpToDate>
  <CharactersWithSpaces>7378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2020-08-21T02:47:00Z</dcterms:created>
  <dc:creator>dell</dc:creator>
  <cp:lastModifiedBy>Sukh Shakti Kaur</cp:lastModifiedBy>
  <cp:lastPrinted>2024-04-01T09:01:00Z</cp:lastPrinted>
  <dcterms:modified xsi:type="dcterms:W3CDTF">2024-11-06T00:53:43Z</dcterms:modified>
  <cp:revision>481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A3DC057FFFF34D8ABCE047BBB62A4C59</vt:lpwstr>
  </property>
</Properties>
</file>