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C46B6">
      <w:pPr>
        <w:pStyle w:val="44"/>
        <w:rPr>
          <w:rFonts w:ascii="宋体" w:hAnsi="宋体" w:eastAsia="宋体"/>
          <w:b/>
          <w:color w:val="000000"/>
          <w:kern w:val="0"/>
          <w:sz w:val="52"/>
          <w:szCs w:val="52"/>
          <w:lang w:val="en-US"/>
        </w:rPr>
      </w:pPr>
    </w:p>
    <w:p w14:paraId="43941C38">
      <w:pPr>
        <w:pStyle w:val="44"/>
        <w:rPr>
          <w:rFonts w:ascii="宋体" w:hAnsi="宋体" w:eastAsia="宋体"/>
          <w:b/>
          <w:color w:val="000000"/>
          <w:kern w:val="0"/>
          <w:sz w:val="52"/>
          <w:szCs w:val="52"/>
          <w:lang w:val="en-US"/>
        </w:rPr>
      </w:pPr>
    </w:p>
    <w:p w14:paraId="7ABBDA80">
      <w:pPr>
        <w:pStyle w:val="44"/>
        <w:rPr>
          <w:rFonts w:ascii="宋体" w:hAnsi="宋体" w:eastAsia="宋体"/>
          <w:b/>
          <w:color w:val="000000"/>
          <w:kern w:val="0"/>
          <w:sz w:val="52"/>
          <w:szCs w:val="52"/>
          <w:lang w:val="en-US"/>
        </w:rPr>
      </w:pPr>
    </w:p>
    <w:p w14:paraId="4D492E5D">
      <w:pPr>
        <w:pStyle w:val="44"/>
        <w:jc w:val="center"/>
        <w:rPr>
          <w:rFonts w:ascii="宋体" w:hAnsi="宋体" w:cs="微软雅黑"/>
          <w:b/>
          <w:bCs/>
          <w:sz w:val="72"/>
          <w:szCs w:val="72"/>
        </w:rPr>
      </w:pPr>
      <w:r>
        <w:rPr>
          <w:rFonts w:hint="eastAsia" w:ascii="宋体" w:hAnsi="宋体" w:eastAsia="宋体" w:cs="宋体"/>
          <w:b/>
          <w:bCs/>
          <w:sz w:val="72"/>
          <w:szCs w:val="72"/>
        </w:rPr>
        <w:t>竞争性磋商文件</w:t>
      </w:r>
    </w:p>
    <w:p w14:paraId="5BDBEEDF">
      <w:pPr>
        <w:pStyle w:val="44"/>
        <w:rPr>
          <w:rFonts w:ascii="宋体" w:hAnsi="宋体"/>
          <w:b/>
          <w:bCs/>
          <w:color w:val="000000"/>
          <w:sz w:val="40"/>
          <w:szCs w:val="40"/>
        </w:rPr>
      </w:pPr>
    </w:p>
    <w:p w14:paraId="7B005430">
      <w:pPr>
        <w:spacing w:line="600" w:lineRule="exact"/>
        <w:jc w:val="center"/>
        <w:rPr>
          <w:rFonts w:cs="Calibri"/>
          <w:b/>
          <w:bCs/>
          <w:color w:val="000000"/>
          <w:sz w:val="30"/>
          <w:szCs w:val="30"/>
        </w:rPr>
      </w:pPr>
    </w:p>
    <w:p w14:paraId="5CBD146B">
      <w:pPr>
        <w:spacing w:line="600" w:lineRule="exact"/>
        <w:jc w:val="center"/>
        <w:rPr>
          <w:rFonts w:ascii="宋体" w:hAnsi="宋体" w:eastAsia="宋体"/>
          <w:b/>
          <w:bCs/>
          <w:sz w:val="30"/>
          <w:szCs w:val="30"/>
        </w:rPr>
      </w:pPr>
      <w:r>
        <w:rPr>
          <w:rFonts w:cs="Calibri"/>
          <w:b/>
          <w:bCs/>
          <w:color w:val="000000"/>
          <w:sz w:val="30"/>
          <w:szCs w:val="30"/>
        </w:rPr>
        <w:t>项目编号：</w:t>
      </w:r>
      <w:r>
        <w:rPr>
          <w:rFonts w:hint="eastAsia" w:ascii="宋体" w:hAnsi="宋体" w:eastAsia="宋体"/>
          <w:sz w:val="30"/>
          <w:szCs w:val="30"/>
          <w:lang w:eastAsia="zh-CN"/>
        </w:rPr>
        <w:t>CS-LY2024-057-2</w:t>
      </w:r>
      <w:r>
        <w:rPr>
          <w:rFonts w:hint="eastAsia" w:ascii="宋体" w:hAnsi="宋体" w:eastAsia="宋体"/>
          <w:sz w:val="30"/>
          <w:szCs w:val="30"/>
        </w:rPr>
        <w:t>号</w:t>
      </w:r>
    </w:p>
    <w:p w14:paraId="268A3B13">
      <w:pPr>
        <w:pStyle w:val="44"/>
        <w:rPr>
          <w:rFonts w:ascii="宋体" w:hAnsi="宋体"/>
          <w:b/>
          <w:bCs/>
          <w:color w:val="000000"/>
          <w:sz w:val="30"/>
          <w:szCs w:val="30"/>
        </w:rPr>
      </w:pPr>
    </w:p>
    <w:p w14:paraId="54BC2B5D">
      <w:pPr>
        <w:pStyle w:val="44"/>
        <w:rPr>
          <w:rFonts w:ascii="宋体" w:hAnsi="宋体"/>
          <w:b/>
          <w:bCs/>
          <w:color w:val="000000"/>
          <w:sz w:val="30"/>
          <w:szCs w:val="30"/>
        </w:rPr>
      </w:pPr>
    </w:p>
    <w:p w14:paraId="62DFF57F">
      <w:pPr>
        <w:pStyle w:val="44"/>
        <w:rPr>
          <w:rFonts w:ascii="宋体" w:hAnsi="宋体"/>
          <w:b/>
          <w:bCs/>
          <w:color w:val="000000"/>
          <w:sz w:val="30"/>
          <w:szCs w:val="30"/>
        </w:rPr>
      </w:pPr>
    </w:p>
    <w:p w14:paraId="365BE7B9">
      <w:pPr>
        <w:pStyle w:val="44"/>
        <w:spacing w:line="360" w:lineRule="auto"/>
        <w:ind w:right="-180" w:rightChars="-50" w:firstLine="275" w:firstLineChars="98"/>
        <w:rPr>
          <w:rFonts w:hint="eastAsia" w:asciiTheme="minorEastAsia" w:hAnsiTheme="minorEastAsia" w:eastAsiaTheme="minorEastAsia"/>
          <w:sz w:val="28"/>
          <w:szCs w:val="28"/>
          <w:lang w:eastAsia="zh-CN"/>
        </w:rPr>
      </w:pPr>
      <w:r>
        <w:rPr>
          <w:rFonts w:cs="Calibri" w:asciiTheme="minorEastAsia" w:hAnsiTheme="minorEastAsia" w:eastAsiaTheme="minorEastAsia"/>
          <w:b/>
          <w:bCs/>
          <w:color w:val="000000"/>
          <w:sz w:val="28"/>
          <w:szCs w:val="28"/>
        </w:rPr>
        <w:t>项目名称：</w:t>
      </w:r>
      <w:r>
        <w:rPr>
          <w:rFonts w:hint="eastAsia" w:cs="宋体" w:asciiTheme="minorEastAsia" w:hAnsiTheme="minorEastAsia" w:eastAsiaTheme="minorEastAsia"/>
          <w:color w:val="000000"/>
          <w:sz w:val="28"/>
          <w:szCs w:val="28"/>
          <w:lang w:eastAsia="zh-CN"/>
        </w:rPr>
        <w:t>台州市投资促进中心招商引资服务采购项目（第二次）</w:t>
      </w:r>
    </w:p>
    <w:p w14:paraId="5B9E5C08">
      <w:pPr>
        <w:spacing w:line="600" w:lineRule="exact"/>
        <w:ind w:firstLine="275" w:firstLineChars="98"/>
        <w:rPr>
          <w:rFonts w:asciiTheme="minorEastAsia" w:hAnsiTheme="minorEastAsia" w:eastAsiaTheme="minorEastAsia"/>
          <w:sz w:val="28"/>
          <w:szCs w:val="28"/>
        </w:rPr>
      </w:pPr>
      <w:r>
        <w:rPr>
          <w:rFonts w:cs="Calibri" w:asciiTheme="minorEastAsia" w:hAnsiTheme="minorEastAsia" w:eastAsiaTheme="minorEastAsia"/>
          <w:b/>
          <w:bCs/>
          <w:color w:val="000000"/>
          <w:sz w:val="28"/>
          <w:szCs w:val="28"/>
        </w:rPr>
        <w:t>采购人：</w:t>
      </w:r>
      <w:r>
        <w:rPr>
          <w:rFonts w:hint="eastAsia" w:cs="宋体" w:asciiTheme="minorEastAsia" w:hAnsiTheme="minorEastAsia" w:eastAsiaTheme="minorEastAsia"/>
          <w:color w:val="000000"/>
          <w:sz w:val="28"/>
          <w:szCs w:val="28"/>
          <w:lang w:val="zh-CN"/>
        </w:rPr>
        <w:t>台州市投资促进中心</w:t>
      </w:r>
    </w:p>
    <w:p w14:paraId="3F9744A6">
      <w:pPr>
        <w:pStyle w:val="44"/>
        <w:rPr>
          <w:rFonts w:asciiTheme="minorEastAsia" w:hAnsiTheme="minorEastAsia" w:eastAsiaTheme="minorEastAsia"/>
          <w:sz w:val="28"/>
          <w:szCs w:val="28"/>
        </w:rPr>
      </w:pPr>
    </w:p>
    <w:p w14:paraId="0D38C27D">
      <w:pPr>
        <w:pStyle w:val="11"/>
        <w:ind w:left="9000" w:firstLine="281"/>
        <w:rPr>
          <w:rFonts w:asciiTheme="minorEastAsia" w:hAnsiTheme="minorEastAsia" w:eastAsiaTheme="minorEastAsia"/>
          <w:b/>
          <w:bCs/>
          <w:color w:val="000000"/>
          <w:sz w:val="28"/>
          <w:szCs w:val="28"/>
        </w:rPr>
      </w:pPr>
    </w:p>
    <w:p w14:paraId="6C4820DA">
      <w:pPr>
        <w:pStyle w:val="23"/>
        <w:ind w:firstLine="210"/>
        <w:rPr>
          <w:rFonts w:asciiTheme="minorEastAsia" w:hAnsiTheme="minorEastAsia" w:eastAsiaTheme="minorEastAsia"/>
          <w:sz w:val="28"/>
          <w:szCs w:val="28"/>
        </w:rPr>
      </w:pPr>
    </w:p>
    <w:p w14:paraId="037D30CB">
      <w:pPr>
        <w:pStyle w:val="44"/>
        <w:rPr>
          <w:rFonts w:asciiTheme="minorEastAsia" w:hAnsiTheme="minorEastAsia" w:eastAsiaTheme="minorEastAsia"/>
          <w:sz w:val="28"/>
          <w:szCs w:val="28"/>
        </w:rPr>
      </w:pPr>
    </w:p>
    <w:p w14:paraId="16BD7E8C">
      <w:pPr>
        <w:pStyle w:val="44"/>
        <w:rPr>
          <w:rFonts w:asciiTheme="minorEastAsia" w:hAnsiTheme="minorEastAsia" w:eastAsiaTheme="minorEastAsia"/>
          <w:sz w:val="28"/>
          <w:szCs w:val="28"/>
        </w:rPr>
      </w:pPr>
    </w:p>
    <w:p w14:paraId="6394B014">
      <w:pPr>
        <w:pStyle w:val="44"/>
        <w:rPr>
          <w:rFonts w:asciiTheme="minorEastAsia" w:hAnsiTheme="minorEastAsia" w:eastAsiaTheme="minorEastAsia"/>
          <w:sz w:val="28"/>
          <w:szCs w:val="28"/>
        </w:rPr>
      </w:pPr>
    </w:p>
    <w:p w14:paraId="725EF9EA">
      <w:pPr>
        <w:pStyle w:val="44"/>
        <w:rPr>
          <w:rFonts w:asciiTheme="minorEastAsia" w:hAnsiTheme="minorEastAsia" w:eastAsiaTheme="minorEastAsia"/>
          <w:sz w:val="28"/>
          <w:szCs w:val="28"/>
        </w:rPr>
      </w:pPr>
    </w:p>
    <w:p w14:paraId="638AF694">
      <w:pPr>
        <w:spacing w:line="600" w:lineRule="exact"/>
        <w:jc w:val="center"/>
        <w:rPr>
          <w:rFonts w:asciiTheme="minorEastAsia" w:hAnsiTheme="minorEastAsia" w:eastAsiaTheme="minorEastAsia"/>
          <w:b/>
          <w:bCs/>
          <w:color w:val="FF0000"/>
          <w:sz w:val="28"/>
          <w:szCs w:val="28"/>
        </w:rPr>
      </w:pPr>
      <w:r>
        <w:rPr>
          <w:rFonts w:cs="Calibri" w:asciiTheme="minorEastAsia" w:hAnsiTheme="minorEastAsia" w:eastAsiaTheme="minorEastAsia"/>
          <w:b/>
          <w:bCs/>
          <w:color w:val="000000"/>
          <w:sz w:val="28"/>
          <w:szCs w:val="28"/>
        </w:rPr>
        <w:t>招标代理：</w:t>
      </w:r>
      <w:r>
        <w:rPr>
          <w:rFonts w:hint="eastAsia" w:asciiTheme="minorEastAsia" w:hAnsiTheme="minorEastAsia" w:eastAsiaTheme="minorEastAsia"/>
          <w:b/>
          <w:bCs/>
          <w:sz w:val="28"/>
          <w:szCs w:val="28"/>
        </w:rPr>
        <w:t>隆耀（浙江）工程咨询有限公司</w:t>
      </w:r>
    </w:p>
    <w:p w14:paraId="79F3F027">
      <w:pPr>
        <w:spacing w:line="600" w:lineRule="exact"/>
        <w:ind w:firstLine="562" w:firstLineChars="200"/>
        <w:rPr>
          <w:rFonts w:asciiTheme="minorEastAsia" w:hAnsiTheme="minorEastAsia" w:eastAsiaTheme="minorEastAsia"/>
          <w:b/>
          <w:bCs/>
          <w:color w:val="000000"/>
          <w:sz w:val="28"/>
          <w:szCs w:val="28"/>
        </w:rPr>
      </w:pPr>
    </w:p>
    <w:p w14:paraId="11A47DD0">
      <w:pPr>
        <w:pStyle w:val="28"/>
      </w:pPr>
    </w:p>
    <w:p w14:paraId="20BAE17A">
      <w:pPr>
        <w:spacing w:line="600" w:lineRule="exact"/>
        <w:jc w:val="center"/>
        <w:rPr>
          <w:rFonts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二〇二</w:t>
      </w:r>
      <w:r>
        <w:rPr>
          <w:rFonts w:hint="eastAsia" w:cs="宋体" w:asciiTheme="minorEastAsia" w:hAnsiTheme="minorEastAsia" w:eastAsiaTheme="minorEastAsia"/>
          <w:b/>
          <w:bCs/>
          <w:color w:val="000000"/>
          <w:sz w:val="28"/>
          <w:szCs w:val="28"/>
          <w:lang w:val="en-US" w:eastAsia="zh-CN"/>
        </w:rPr>
        <w:t>四</w:t>
      </w:r>
      <w:r>
        <w:rPr>
          <w:rFonts w:hint="eastAsia" w:cs="宋体" w:asciiTheme="minorEastAsia" w:hAnsiTheme="minorEastAsia" w:eastAsiaTheme="minorEastAsia"/>
          <w:b/>
          <w:bCs/>
          <w:color w:val="000000"/>
          <w:sz w:val="28"/>
          <w:szCs w:val="28"/>
        </w:rPr>
        <w:t>年</w:t>
      </w:r>
      <w:r>
        <w:rPr>
          <w:rFonts w:hint="eastAsia" w:cs="宋体" w:asciiTheme="minorEastAsia" w:hAnsiTheme="minorEastAsia" w:eastAsiaTheme="minorEastAsia"/>
          <w:b/>
          <w:bCs/>
          <w:color w:val="000000"/>
          <w:sz w:val="28"/>
          <w:szCs w:val="28"/>
          <w:lang w:val="en-US" w:eastAsia="zh-CN"/>
        </w:rPr>
        <w:t>九</w:t>
      </w:r>
      <w:r>
        <w:rPr>
          <w:rFonts w:hint="eastAsia" w:cs="宋体" w:asciiTheme="minorEastAsia" w:hAnsiTheme="minorEastAsia" w:eastAsiaTheme="minorEastAsia"/>
          <w:b/>
          <w:bCs/>
          <w:color w:val="000000"/>
          <w:sz w:val="28"/>
          <w:szCs w:val="28"/>
        </w:rPr>
        <w:t>月</w:t>
      </w:r>
    </w:p>
    <w:p w14:paraId="7D0666F1">
      <w:pPr>
        <w:pStyle w:val="44"/>
        <w:rPr>
          <w:rFonts w:asciiTheme="minorEastAsia" w:hAnsiTheme="minorEastAsia" w:eastAsiaTheme="minorEastAsia"/>
          <w:sz w:val="28"/>
          <w:szCs w:val="28"/>
        </w:rPr>
      </w:pPr>
    </w:p>
    <w:p w14:paraId="7CB3403E">
      <w:pPr>
        <w:pStyle w:val="20"/>
        <w:rPr>
          <w:rFonts w:ascii="宋体" w:hAnsi="宋体" w:eastAsia="宋体" w:cs="宋体"/>
          <w:sz w:val="36"/>
          <w:szCs w:val="36"/>
        </w:rPr>
        <w:sectPr>
          <w:headerReference r:id="rId6" w:type="first"/>
          <w:footerReference r:id="rId9" w:type="first"/>
          <w:headerReference r:id="rId4" w:type="default"/>
          <w:footerReference r:id="rId7" w:type="default"/>
          <w:headerReference r:id="rId5" w:type="even"/>
          <w:footerReference r:id="rId8" w:type="even"/>
          <w:pgSz w:w="11906" w:h="16838"/>
          <w:pgMar w:top="1440" w:right="1440" w:bottom="1440" w:left="1440" w:header="851" w:footer="992" w:gutter="0"/>
          <w:pgNumType w:start="0"/>
          <w:cols w:space="720" w:num="1"/>
          <w:titlePg/>
          <w:docGrid w:linePitch="490" w:charSpace="0"/>
        </w:sectPr>
      </w:pPr>
    </w:p>
    <w:p w14:paraId="65E6E3C4">
      <w:pPr>
        <w:pStyle w:val="20"/>
        <w:rPr>
          <w:rFonts w:ascii="宋体" w:hAnsi="宋体" w:eastAsia="宋体" w:cs="宋体"/>
          <w:sz w:val="36"/>
          <w:szCs w:val="36"/>
        </w:rPr>
      </w:pPr>
      <w:r>
        <w:rPr>
          <w:rFonts w:hint="eastAsia" w:ascii="宋体" w:hAnsi="宋体" w:eastAsia="宋体" w:cs="宋体"/>
          <w:sz w:val="36"/>
          <w:szCs w:val="36"/>
        </w:rPr>
        <w:t>目录</w:t>
      </w:r>
    </w:p>
    <w:p w14:paraId="5C581160"/>
    <w:p w14:paraId="1C242700">
      <w:pPr>
        <w:pStyle w:val="20"/>
        <w:rPr>
          <w:rFonts w:ascii="宋体" w:hAnsi="宋体" w:eastAsia="宋体" w:cs="宋体"/>
          <w:b w:val="0"/>
          <w:sz w:val="24"/>
          <w:szCs w:val="24"/>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"1-3" \h \z \u</w:instrText>
      </w:r>
      <w:r>
        <w:rPr>
          <w:rFonts w:hint="eastAsia" w:ascii="宋体" w:hAnsi="宋体" w:eastAsia="宋体" w:cs="宋体"/>
          <w:b w:val="0"/>
          <w:sz w:val="30"/>
          <w:szCs w:val="30"/>
        </w:rPr>
        <w:fldChar w:fldCharType="separate"/>
      </w:r>
      <w:r>
        <w:fldChar w:fldCharType="begin"/>
      </w:r>
      <w:r>
        <w:instrText xml:space="preserve"> HYPERLINK \l "_Toc306901419" </w:instrText>
      </w:r>
      <w:r>
        <w:fldChar w:fldCharType="separate"/>
      </w:r>
      <w:r>
        <w:rPr>
          <w:rStyle w:val="35"/>
          <w:rFonts w:hint="eastAsia" w:ascii="宋体" w:hAnsi="宋体" w:eastAsia="宋体" w:cs="宋体"/>
          <w:b w:val="0"/>
          <w:color w:val="auto"/>
          <w:sz w:val="24"/>
          <w:szCs w:val="24"/>
        </w:rPr>
        <w:t>第一部分 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14:paraId="420E03E4">
      <w:pPr>
        <w:pStyle w:val="20"/>
        <w:rPr>
          <w:rFonts w:ascii="宋体" w:hAnsi="宋体" w:eastAsia="宋体" w:cs="宋体"/>
          <w:b w:val="0"/>
          <w:sz w:val="24"/>
          <w:szCs w:val="24"/>
        </w:rPr>
      </w:pPr>
      <w:r>
        <w:fldChar w:fldCharType="begin"/>
      </w:r>
      <w:r>
        <w:instrText xml:space="preserve"> HYPERLINK \l "_Toc306901436" </w:instrText>
      </w:r>
      <w:r>
        <w:fldChar w:fldCharType="separate"/>
      </w:r>
      <w:r>
        <w:rPr>
          <w:rStyle w:val="35"/>
          <w:rFonts w:hint="eastAsia" w:ascii="宋体" w:hAnsi="宋体" w:eastAsia="宋体" w:cs="宋体"/>
          <w:b w:val="0"/>
          <w:color w:val="auto"/>
          <w:sz w:val="24"/>
          <w:szCs w:val="24"/>
        </w:rPr>
        <w:t>第二部分 供应商须知</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14:paraId="06CF0B6A">
      <w:pPr>
        <w:pStyle w:val="20"/>
        <w:rPr>
          <w:rFonts w:ascii="宋体" w:hAnsi="宋体" w:eastAsia="宋体" w:cs="宋体"/>
          <w:b w:val="0"/>
          <w:sz w:val="24"/>
          <w:szCs w:val="24"/>
        </w:rPr>
      </w:pPr>
      <w:r>
        <w:fldChar w:fldCharType="begin"/>
      </w:r>
      <w:r>
        <w:instrText xml:space="preserve"> HYPERLINK \l "_Toc306901444" </w:instrText>
      </w:r>
      <w:r>
        <w:fldChar w:fldCharType="separate"/>
      </w:r>
      <w:r>
        <w:rPr>
          <w:rStyle w:val="35"/>
          <w:rFonts w:hint="eastAsia" w:ascii="宋体" w:hAnsi="宋体" w:eastAsia="宋体" w:cs="宋体"/>
          <w:b w:val="0"/>
          <w:color w:val="auto"/>
          <w:sz w:val="24"/>
          <w:szCs w:val="24"/>
        </w:rPr>
        <w:t>第三部分 采购需求</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r>
        <w:rPr>
          <w:rFonts w:hint="eastAsia" w:ascii="宋体" w:hAnsi="宋体" w:eastAsia="宋体" w:cs="宋体"/>
          <w:b w:val="0"/>
          <w:sz w:val="24"/>
          <w:szCs w:val="24"/>
        </w:rPr>
        <w:t>1</w:t>
      </w:r>
    </w:p>
    <w:p w14:paraId="2A7BA679">
      <w:pPr>
        <w:pStyle w:val="20"/>
        <w:rPr>
          <w:rFonts w:ascii="宋体" w:hAnsi="宋体" w:eastAsia="宋体" w:cs="宋体"/>
          <w:b w:val="0"/>
          <w:sz w:val="24"/>
          <w:szCs w:val="24"/>
        </w:rPr>
      </w:pPr>
      <w:r>
        <w:fldChar w:fldCharType="begin"/>
      </w:r>
      <w:r>
        <w:instrText xml:space="preserve"> HYPERLINK \l "_Toc306901457" </w:instrText>
      </w:r>
      <w:r>
        <w:fldChar w:fldCharType="separate"/>
      </w:r>
      <w:r>
        <w:rPr>
          <w:rStyle w:val="35"/>
          <w:rFonts w:hint="eastAsia" w:ascii="宋体" w:hAnsi="宋体" w:eastAsia="宋体" w:cs="宋体"/>
          <w:b w:val="0"/>
          <w:color w:val="auto"/>
          <w:sz w:val="24"/>
          <w:szCs w:val="24"/>
        </w:rPr>
        <w:t>第四部分 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35</w:t>
      </w:r>
    </w:p>
    <w:p w14:paraId="42231CC7">
      <w:pPr>
        <w:pStyle w:val="20"/>
        <w:rPr>
          <w:rFonts w:ascii="宋体" w:hAnsi="宋体" w:eastAsia="宋体" w:cs="宋体"/>
          <w:b w:val="0"/>
          <w:sz w:val="24"/>
          <w:szCs w:val="24"/>
        </w:rPr>
      </w:pPr>
      <w:r>
        <w:fldChar w:fldCharType="begin"/>
      </w:r>
      <w:r>
        <w:instrText xml:space="preserve"> HYPERLINK \l "_Toc306901461" </w:instrText>
      </w:r>
      <w:r>
        <w:fldChar w:fldCharType="separate"/>
      </w:r>
      <w:r>
        <w:rPr>
          <w:rStyle w:val="35"/>
          <w:rFonts w:hint="eastAsia" w:ascii="宋体" w:hAnsi="宋体" w:eastAsia="宋体" w:cs="宋体"/>
          <w:b w:val="0"/>
          <w:color w:val="auto"/>
          <w:sz w:val="24"/>
          <w:szCs w:val="24"/>
        </w:rPr>
        <w:t xml:space="preserve">第五部分 </w:t>
      </w:r>
      <w:r>
        <w:rPr>
          <w:rStyle w:val="35"/>
          <w:rFonts w:hint="eastAsia" w:ascii="宋体" w:hAnsi="宋体" w:eastAsia="宋体" w:cs="宋体"/>
          <w:b w:val="0"/>
          <w:color w:val="auto"/>
          <w:sz w:val="24"/>
          <w:szCs w:val="24"/>
          <w:lang w:val="en-US" w:eastAsia="zh-CN"/>
        </w:rPr>
        <w:t>拟签订的</w:t>
      </w:r>
      <w:r>
        <w:rPr>
          <w:rStyle w:val="35"/>
          <w:rFonts w:hint="eastAsia" w:ascii="宋体" w:hAnsi="宋体" w:eastAsia="宋体" w:cs="宋体"/>
          <w:b w:val="0"/>
          <w:color w:val="auto"/>
          <w:sz w:val="24"/>
          <w:szCs w:val="24"/>
        </w:rPr>
        <w:t>合同</w:t>
      </w:r>
      <w:r>
        <w:rPr>
          <w:rStyle w:val="35"/>
          <w:rFonts w:hint="eastAsia" w:ascii="宋体" w:hAnsi="宋体" w:eastAsia="宋体" w:cs="宋体"/>
          <w:b w:val="0"/>
          <w:color w:val="auto"/>
          <w:sz w:val="24"/>
          <w:szCs w:val="24"/>
          <w:lang w:val="en-US" w:eastAsia="zh-CN"/>
        </w:rPr>
        <w:t>文本</w:t>
      </w:r>
      <w:r>
        <w:rPr>
          <w:rFonts w:hint="eastAsia" w:ascii="宋体" w:hAnsi="宋体" w:eastAsia="宋体" w:cs="宋体"/>
          <w:b w:val="0"/>
          <w:sz w:val="24"/>
          <w:szCs w:val="24"/>
        </w:rPr>
        <w:tab/>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t>9</w:t>
      </w:r>
    </w:p>
    <w:p w14:paraId="51A04FEF">
      <w:pPr>
        <w:pStyle w:val="20"/>
        <w:rPr>
          <w:rFonts w:ascii="宋体" w:hAnsi="宋体" w:eastAsia="宋体" w:cs="宋体"/>
          <w:b w:val="0"/>
          <w:sz w:val="32"/>
          <w:szCs w:val="32"/>
        </w:rPr>
      </w:pPr>
      <w:r>
        <w:fldChar w:fldCharType="begin"/>
      </w:r>
      <w:r>
        <w:instrText xml:space="preserve"> HYPERLINK \l "_Toc306901462" </w:instrText>
      </w:r>
      <w:r>
        <w:fldChar w:fldCharType="separate"/>
      </w:r>
      <w:r>
        <w:rPr>
          <w:rStyle w:val="35"/>
          <w:rFonts w:hint="eastAsia" w:ascii="宋体" w:hAnsi="宋体" w:eastAsia="宋体" w:cs="宋体"/>
          <w:b w:val="0"/>
          <w:color w:val="auto"/>
          <w:sz w:val="24"/>
          <w:szCs w:val="24"/>
        </w:rPr>
        <w:t>第六部分 磋商响应文件格式</w:t>
      </w:r>
      <w:r>
        <w:rPr>
          <w:rFonts w:hint="eastAsia" w:ascii="宋体" w:hAnsi="宋体" w:eastAsia="宋体" w:cs="宋体"/>
          <w:b w:val="0"/>
          <w:sz w:val="24"/>
          <w:szCs w:val="24"/>
        </w:rPr>
        <w:tab/>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t>0</w:t>
      </w:r>
    </w:p>
    <w:p w14:paraId="192E9A57">
      <w:pPr>
        <w:shd w:val="clear" w:color="auto" w:fill="FFFFFF"/>
        <w:spacing w:line="360" w:lineRule="auto"/>
        <w:jc w:val="center"/>
        <w:textAlignment w:val="bottom"/>
        <w:rPr>
          <w:rFonts w:ascii="宋体" w:hAnsi="宋体" w:eastAsia="宋体" w:cs="宋体"/>
          <w:b/>
          <w:kern w:val="0"/>
          <w:sz w:val="21"/>
          <w:szCs w:val="21"/>
        </w:rPr>
      </w:pPr>
      <w:r>
        <w:rPr>
          <w:rFonts w:hint="eastAsia" w:ascii="宋体" w:hAnsi="宋体" w:eastAsia="宋体" w:cs="宋体"/>
          <w:sz w:val="30"/>
          <w:szCs w:val="30"/>
        </w:rPr>
        <w:fldChar w:fldCharType="end"/>
      </w:r>
      <w:r>
        <w:rPr>
          <w:rFonts w:hint="eastAsia" w:ascii="宋体" w:hAnsi="宋体" w:eastAsia="宋体" w:cs="宋体"/>
          <w:b/>
          <w:sz w:val="44"/>
          <w:szCs w:val="44"/>
        </w:rPr>
        <w:br w:type="page"/>
      </w:r>
      <w:bookmarkStart w:id="1" w:name="_Toc306901436"/>
      <w:bookmarkStart w:id="2" w:name="_Toc173810692"/>
      <w:r>
        <w:rPr>
          <w:rFonts w:hint="eastAsia" w:ascii="宋体" w:hAnsi="宋体" w:eastAsia="宋体" w:cs="宋体"/>
          <w:b/>
          <w:kern w:val="0"/>
          <w:szCs w:val="36"/>
        </w:rPr>
        <w:t>第一部分 竞争性磋商公告</w:t>
      </w:r>
      <w:r>
        <w:rPr>
          <w:rFonts w:ascii="宋体" w:hAnsi="宋体" w:eastAsia="宋体" w:cs="宋体"/>
          <w:b/>
          <w:kern w:val="0"/>
          <w:sz w:val="21"/>
          <w:szCs w:val="21"/>
        </w:rPr>
        <mc:AlternateContent>
          <mc:Choice Requires="wps">
            <w:drawing>
              <wp:anchor distT="0" distB="0" distL="114300" distR="114300" simplePos="0" relativeHeight="251659264" behindDoc="1" locked="0" layoutInCell="1" allowOverlap="1">
                <wp:simplePos x="0" y="0"/>
                <wp:positionH relativeFrom="column">
                  <wp:posOffset>-25400</wp:posOffset>
                </wp:positionH>
                <wp:positionV relativeFrom="page">
                  <wp:posOffset>1422400</wp:posOffset>
                </wp:positionV>
                <wp:extent cx="6149340" cy="1009650"/>
                <wp:effectExtent l="6350" t="6350" r="16510" b="12700"/>
                <wp:wrapTight wrapText="bothSides">
                  <wp:wrapPolygon>
                    <wp:start x="21592" y="-2"/>
                    <wp:lineTo x="0" y="0"/>
                    <wp:lineTo x="0" y="21600"/>
                    <wp:lineTo x="21592" y="21602"/>
                    <wp:lineTo x="8" y="21602"/>
                    <wp:lineTo x="21600" y="21600"/>
                    <wp:lineTo x="21600" y="0"/>
                    <wp:lineTo x="8" y="-2"/>
                    <wp:lineTo x="21592" y="-2"/>
                  </wp:wrapPolygon>
                </wp:wrapTight>
                <wp:docPr id="2" name="文本框 5"/>
                <wp:cNvGraphicFramePr/>
                <a:graphic xmlns:a="http://schemas.openxmlformats.org/drawingml/2006/main">
                  <a:graphicData uri="http://schemas.microsoft.com/office/word/2010/wordprocessingShape">
                    <wps:wsp>
                      <wps:cNvSpPr txBox="1"/>
                      <wps:spPr>
                        <a:xfrm>
                          <a:off x="0" y="0"/>
                          <a:ext cx="6149340" cy="10096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102F1E60">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7CDF8FCA">
                            <w:pPr>
                              <w:keepNext w:val="0"/>
                              <w:keepLines w:val="0"/>
                              <w:pageBreakBefore w:val="0"/>
                              <w:widowControl w:val="0"/>
                              <w:kinsoku/>
                              <w:wordWrap/>
                              <w:overflowPunct/>
                              <w:topLinePunct w:val="0"/>
                              <w:bidi w:val="0"/>
                              <w:adjustRightInd/>
                              <w:snapToGrid/>
                              <w:spacing w:line="340" w:lineRule="exact"/>
                              <w:ind w:firstLine="420" w:firstLineChars="200"/>
                              <w:textAlignment w:val="auto"/>
                            </w:pPr>
                            <w:r>
                              <w:rPr>
                                <w:rFonts w:hint="eastAsia" w:ascii="宋体" w:hAnsi="宋体" w:eastAsia="宋体" w:cs="宋体"/>
                                <w:kern w:val="0"/>
                                <w:sz w:val="21"/>
                                <w:szCs w:val="21"/>
                                <w:lang w:eastAsia="zh-CN"/>
                              </w:rPr>
                              <w:t>台州市投资促进中心招商引资服务采购项目（第二次）</w:t>
                            </w:r>
                            <w:r>
                              <w:rPr>
                                <w:rFonts w:hint="eastAsia" w:ascii="宋体" w:hAnsi="宋体" w:eastAsia="宋体" w:cs="宋体"/>
                                <w:color w:val="000000"/>
                                <w:sz w:val="21"/>
                                <w:szCs w:val="21"/>
                              </w:rPr>
                              <w:t>采购项目的潜在供应商应在浙江政府采购网</w:t>
                            </w:r>
                            <w:r>
                              <w:rPr>
                                <w:rFonts w:hint="eastAsia" w:ascii="宋体" w:hAnsi="宋体" w:eastAsia="宋体" w:cs="宋体"/>
                                <w:sz w:val="21"/>
                                <w:szCs w:val="21"/>
                              </w:rPr>
                              <w:t>（</w:t>
                            </w:r>
                            <w:r>
                              <w:fldChar w:fldCharType="begin"/>
                            </w:r>
                            <w:r>
                              <w:instrText xml:space="preserve"> HYPERLINK "http://zfcg.czt.zj.gov.cn）获取（下载）采购文件，并于2023年" </w:instrText>
                            </w:r>
                            <w:r>
                              <w:fldChar w:fldCharType="separate"/>
                            </w:r>
                            <w:r>
                              <w:rPr>
                                <w:rStyle w:val="35"/>
                                <w:rFonts w:hint="eastAsia" w:ascii="宋体" w:hAnsi="宋体" w:eastAsia="宋体" w:cs="宋体"/>
                                <w:color w:val="auto"/>
                                <w:sz w:val="21"/>
                                <w:szCs w:val="21"/>
                                <w:u w:val="none"/>
                              </w:rPr>
                              <w:t>http://zfcg.czt.zj.gov.cn）获取（下载）采购文件，并于202</w:t>
                            </w:r>
                            <w:r>
                              <w:rPr>
                                <w:rStyle w:val="35"/>
                                <w:rFonts w:hint="eastAsia" w:ascii="宋体" w:hAnsi="宋体" w:cs="宋体" w:eastAsiaTheme="minorEastAsia"/>
                                <w:color w:val="auto"/>
                                <w:sz w:val="21"/>
                                <w:szCs w:val="21"/>
                                <w:u w:val="none"/>
                                <w:lang w:val="en-US" w:eastAsia="zh-CN"/>
                              </w:rPr>
                              <w:t>4</w:t>
                            </w:r>
                            <w:r>
                              <w:rPr>
                                <w:rStyle w:val="35"/>
                                <w:rFonts w:hint="eastAsia" w:ascii="宋体" w:hAnsi="宋体" w:eastAsia="宋体" w:cs="宋体"/>
                                <w:color w:val="auto"/>
                                <w:sz w:val="21"/>
                                <w:szCs w:val="21"/>
                                <w:u w:val="none"/>
                              </w:rPr>
                              <w:t>年</w:t>
                            </w:r>
                            <w:r>
                              <w:rPr>
                                <w:rStyle w:val="35"/>
                                <w:rFonts w:hint="eastAsia" w:ascii="宋体" w:hAnsi="宋体" w:eastAsia="宋体" w:cs="宋体"/>
                                <w:color w:val="auto"/>
                                <w:sz w:val="21"/>
                                <w:szCs w:val="21"/>
                                <w:u w:val="none"/>
                              </w:rPr>
                              <w:fldChar w:fldCharType="end"/>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日9:</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0(北京时间)前提交(上传)响应文件</w:t>
                            </w:r>
                            <w:r>
                              <w:rPr>
                                <w:rFonts w:hint="eastAsia" w:ascii="宋体" w:hAnsi="宋体" w:eastAsia="宋体" w:cs="宋体"/>
                                <w:bCs/>
                                <w:kern w:val="0"/>
                                <w:sz w:val="21"/>
                                <w:szCs w:val="21"/>
                              </w:rPr>
                              <w:t>：</w:t>
                            </w:r>
                          </w:p>
                        </w:txbxContent>
                      </wps:txbx>
                      <wps:bodyPr upright="1"/>
                    </wps:wsp>
                  </a:graphicData>
                </a:graphic>
              </wp:anchor>
            </w:drawing>
          </mc:Choice>
          <mc:Fallback>
            <w:pict>
              <v:shape id="文本框 5" o:spid="_x0000_s1026" o:spt="202" type="#_x0000_t202" style="position:absolute;left:0pt;margin-left:-2pt;margin-top:112pt;height:79.5pt;width:484.2pt;mso-position-vertical-relative:page;mso-wrap-distance-left:9pt;mso-wrap-distance-right:9pt;z-index:-251657216;mso-width-relative:page;mso-height-relative:page;" fillcolor="#FFFFFF" filled="t" stroked="t" coordsize="21600,21600" wrapcoords="21592 -2 0 0 0 21600 21592 21602 8 21602 21600 21600 21600 0 8 -2 21592 -2" o:gfxdata="UEsDBAoAAAAAAIdO4kAAAAAAAAAAAAAAAAAEAAAAZHJzL1BLAwQUAAAACACHTuJAGiEcfNwAAAAK&#10;AQAADwAAAGRycy9kb3ducmV2LnhtbE2PQU/CQBCF7yb+h82YeDGwS2lIrZ1yUIjxQgKSGG9LO7QN&#10;3dna3Rb49y4nvb3Je3nzvWx5Ma0YqXeNZYTZVIEgLmzZcIWw/1xPEhDOay51a5kQruRgmd/fZTot&#10;7Zm3NO58JUIJu1Qj1N53qZSuqMloN7UdcfCOtjfah7OvZNnrcyg3rYyUWkijGw4fat3Ra03FaTcY&#10;hM31i3/eB3UcP7rke3/arN7WTyvEx4eZegHh6eL/wnDDD+iQB6aDHbh0okWYxGGKR4iimwiB50Uc&#10;gzggzJO5Apln8v+E/BdQSwMEFAAAAAgAh07iQBdT+VATAgAARgQAAA4AAABkcnMvZTJvRG9jLnht&#10;bK1TzY7TMBC+I/EOlu80adktbNR0JSjlggBp4QFc20ks+U8et0lfAN6AExfuPFefY8dOt3QXDj2Q&#10;gzP2jL/55pvx4nYwmuxkAOVsTaeTkhJpuRPKtjX9+mX94jUlEJkVTDsra7qXQG+Xz58tel/Jmeuc&#10;FjIQBLFQ9b6mXYy+KgrgnTQMJs5Li87GBcMibkNbiMB6RDe6mJXlvOhdED44LgHwdDU66RExXALo&#10;mkZxuXJ8a6SNI2qQmkUsCTrlgS4z26aRPH5qGpCR6JpipTGvmATtTVqL5YJVbWC+U/xIgV1C4UlN&#10;himLSU9QKxYZ2Qb1F5RRPDhwTZxwZ4qxkKwIVjEtn2hz1zEvcy0oNfiT6PD/YPnH3edAlKjpjBLL&#10;DDb88OP74efvw69v5DrJ03uoMOrOY1wc3rgBh+bhHPAwVT00waQ/1kPQj+LuT+LKIRKOh/Pp1c3L&#10;K3Rx9E3L8mZ+neUv/lz3AeJ76QxJRk0Ddi+LynYfICIVDH0ISdnAaSXWSuu8Ce3mrQ5kx7DT6/wl&#10;lnjlUZi2pMf0s1dlYsJwfhucGzSNRw3Atjnhoytwjlzm71/IidmKQTcyyAgpjFVGRRmy1Ukm3llB&#10;4t6jzhafF01sjBSUaImvMVk5MjKlL4nE8rRNSWSe9aNMqWVja5IVh82AoMncOLHHNm59UG2HCudG&#10;FsmD45XFOj6FNL/ne7TPn//y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ohHHzcAAAACgEAAA8A&#10;AAAAAAAAAQAgAAAAIgAAAGRycy9kb3ducmV2LnhtbFBLAQIUABQAAAAIAIdO4kAXU/lQEwIAAEYE&#10;AAAOAAAAAAAAAAEAIAAAACsBAABkcnMvZTJvRG9jLnhtbFBLBQYAAAAABgAGAFkBAACwBQAAAAA=&#10;">
                <v:fill on="t" focussize="0,0"/>
                <v:stroke weight="1pt" color="#000000" joinstyle="miter"/>
                <v:imagedata o:title=""/>
                <o:lock v:ext="edit" aspectratio="f"/>
                <v:textbox>
                  <w:txbxContent>
                    <w:p w14:paraId="102F1E60">
                      <w:pPr>
                        <w:spacing w:line="340" w:lineRule="exact"/>
                        <w:rPr>
                          <w:rFonts w:ascii="宋体" w:hAnsi="宋体" w:eastAsia="宋体" w:cs="宋体"/>
                          <w:b/>
                          <w:kern w:val="0"/>
                          <w:sz w:val="21"/>
                          <w:szCs w:val="21"/>
                        </w:rPr>
                      </w:pPr>
                      <w:r>
                        <w:rPr>
                          <w:rFonts w:hint="eastAsia" w:ascii="宋体" w:hAnsi="宋体" w:eastAsia="宋体" w:cs="宋体"/>
                          <w:sz w:val="21"/>
                          <w:szCs w:val="21"/>
                        </w:rPr>
                        <w:t>项目概况</w:t>
                      </w:r>
                    </w:p>
                    <w:p w14:paraId="7CDF8FCA">
                      <w:pPr>
                        <w:keepNext w:val="0"/>
                        <w:keepLines w:val="0"/>
                        <w:pageBreakBefore w:val="0"/>
                        <w:widowControl w:val="0"/>
                        <w:kinsoku/>
                        <w:wordWrap/>
                        <w:overflowPunct/>
                        <w:topLinePunct w:val="0"/>
                        <w:bidi w:val="0"/>
                        <w:adjustRightInd/>
                        <w:snapToGrid/>
                        <w:spacing w:line="340" w:lineRule="exact"/>
                        <w:ind w:firstLine="420" w:firstLineChars="200"/>
                        <w:textAlignment w:val="auto"/>
                      </w:pPr>
                      <w:r>
                        <w:rPr>
                          <w:rFonts w:hint="eastAsia" w:ascii="宋体" w:hAnsi="宋体" w:eastAsia="宋体" w:cs="宋体"/>
                          <w:kern w:val="0"/>
                          <w:sz w:val="21"/>
                          <w:szCs w:val="21"/>
                          <w:lang w:eastAsia="zh-CN"/>
                        </w:rPr>
                        <w:t>台州市投资促进中心招商引资服务采购项目（第二次）</w:t>
                      </w:r>
                      <w:r>
                        <w:rPr>
                          <w:rFonts w:hint="eastAsia" w:ascii="宋体" w:hAnsi="宋体" w:eastAsia="宋体" w:cs="宋体"/>
                          <w:color w:val="000000"/>
                          <w:sz w:val="21"/>
                          <w:szCs w:val="21"/>
                        </w:rPr>
                        <w:t>采购项目的潜在供应商应在浙江政府采购网</w:t>
                      </w:r>
                      <w:r>
                        <w:rPr>
                          <w:rFonts w:hint="eastAsia" w:ascii="宋体" w:hAnsi="宋体" w:eastAsia="宋体" w:cs="宋体"/>
                          <w:sz w:val="21"/>
                          <w:szCs w:val="21"/>
                        </w:rPr>
                        <w:t>（</w:t>
                      </w:r>
                      <w:r>
                        <w:fldChar w:fldCharType="begin"/>
                      </w:r>
                      <w:r>
                        <w:instrText xml:space="preserve"> HYPERLINK "http://zfcg.czt.zj.gov.cn）获取（下载）采购文件，并于2023年" </w:instrText>
                      </w:r>
                      <w:r>
                        <w:fldChar w:fldCharType="separate"/>
                      </w:r>
                      <w:r>
                        <w:rPr>
                          <w:rStyle w:val="35"/>
                          <w:rFonts w:hint="eastAsia" w:ascii="宋体" w:hAnsi="宋体" w:eastAsia="宋体" w:cs="宋体"/>
                          <w:color w:val="auto"/>
                          <w:sz w:val="21"/>
                          <w:szCs w:val="21"/>
                          <w:u w:val="none"/>
                        </w:rPr>
                        <w:t>http://zfcg.czt.zj.gov.cn）获取（下载）采购文件，并于202</w:t>
                      </w:r>
                      <w:r>
                        <w:rPr>
                          <w:rStyle w:val="35"/>
                          <w:rFonts w:hint="eastAsia" w:ascii="宋体" w:hAnsi="宋体" w:cs="宋体" w:eastAsiaTheme="minorEastAsia"/>
                          <w:color w:val="auto"/>
                          <w:sz w:val="21"/>
                          <w:szCs w:val="21"/>
                          <w:u w:val="none"/>
                          <w:lang w:val="en-US" w:eastAsia="zh-CN"/>
                        </w:rPr>
                        <w:t>4</w:t>
                      </w:r>
                      <w:r>
                        <w:rPr>
                          <w:rStyle w:val="35"/>
                          <w:rFonts w:hint="eastAsia" w:ascii="宋体" w:hAnsi="宋体" w:eastAsia="宋体" w:cs="宋体"/>
                          <w:color w:val="auto"/>
                          <w:sz w:val="21"/>
                          <w:szCs w:val="21"/>
                          <w:u w:val="none"/>
                        </w:rPr>
                        <w:t>年</w:t>
                      </w:r>
                      <w:r>
                        <w:rPr>
                          <w:rStyle w:val="35"/>
                          <w:rFonts w:hint="eastAsia" w:ascii="宋体" w:hAnsi="宋体" w:eastAsia="宋体" w:cs="宋体"/>
                          <w:color w:val="auto"/>
                          <w:sz w:val="21"/>
                          <w:szCs w:val="21"/>
                          <w:u w:val="none"/>
                        </w:rPr>
                        <w:fldChar w:fldCharType="end"/>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日9:</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0(北京时间)前提交(上传)响应文件</w:t>
                      </w:r>
                      <w:r>
                        <w:rPr>
                          <w:rFonts w:hint="eastAsia" w:ascii="宋体" w:hAnsi="宋体" w:eastAsia="宋体" w:cs="宋体"/>
                          <w:bCs/>
                          <w:kern w:val="0"/>
                          <w:sz w:val="21"/>
                          <w:szCs w:val="21"/>
                        </w:rPr>
                        <w:t>：</w:t>
                      </w:r>
                    </w:p>
                  </w:txbxContent>
                </v:textbox>
                <w10:wrap type="tight"/>
              </v:shape>
            </w:pict>
          </mc:Fallback>
        </mc:AlternateContent>
      </w:r>
    </w:p>
    <w:p w14:paraId="0EA28BAF">
      <w:pPr>
        <w:spacing w:line="360" w:lineRule="auto"/>
        <w:rPr>
          <w:rFonts w:ascii="宋体" w:hAnsi="宋体" w:eastAsia="宋体" w:cs="宋体"/>
          <w:sz w:val="21"/>
          <w:szCs w:val="21"/>
        </w:rPr>
      </w:pPr>
      <w:bookmarkStart w:id="3" w:name="_Toc291082828"/>
      <w:bookmarkStart w:id="4" w:name="_Toc291142569"/>
      <w:r>
        <w:rPr>
          <w:rFonts w:hint="eastAsia" w:ascii="宋体" w:hAnsi="宋体" w:eastAsia="宋体" w:cs="宋体"/>
          <w:sz w:val="21"/>
          <w:szCs w:val="21"/>
        </w:rPr>
        <w:t>一、</w:t>
      </w:r>
      <w:r>
        <w:rPr>
          <w:rFonts w:hint="eastAsia" w:ascii="宋体" w:hAnsi="宋体" w:eastAsia="宋体" w:cs="宋体"/>
          <w:b/>
          <w:sz w:val="21"/>
          <w:szCs w:val="21"/>
        </w:rPr>
        <w:t>项目基本情况：</w:t>
      </w:r>
    </w:p>
    <w:p w14:paraId="1B8FF53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kern w:val="0"/>
          <w:sz w:val="21"/>
          <w:szCs w:val="21"/>
        </w:rPr>
      </w:pPr>
      <w:r>
        <w:rPr>
          <w:rFonts w:hint="eastAsia" w:ascii="宋体" w:hAnsi="宋体" w:eastAsia="宋体" w:cs="宋体"/>
          <w:kern w:val="0"/>
          <w:sz w:val="21"/>
          <w:szCs w:val="21"/>
        </w:rPr>
        <w:t>1.项目编号：</w:t>
      </w:r>
      <w:bookmarkEnd w:id="3"/>
      <w:bookmarkEnd w:id="4"/>
      <w:r>
        <w:rPr>
          <w:rFonts w:hint="eastAsia" w:ascii="宋体" w:hAnsi="宋体" w:eastAsia="宋体" w:cs="宋体"/>
          <w:kern w:val="0"/>
          <w:sz w:val="21"/>
          <w:szCs w:val="21"/>
          <w:lang w:eastAsia="zh-CN"/>
        </w:rPr>
        <w:t>CS-LY2024-057-2</w:t>
      </w:r>
      <w:r>
        <w:rPr>
          <w:rFonts w:ascii="宋体" w:hAnsi="宋体" w:eastAsia="宋体" w:cs="宋体"/>
          <w:kern w:val="0"/>
          <w:sz w:val="21"/>
          <w:szCs w:val="21"/>
        </w:rPr>
        <w:t>号</w:t>
      </w:r>
    </w:p>
    <w:p w14:paraId="5293056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2.项目名称：</w:t>
      </w:r>
      <w:r>
        <w:rPr>
          <w:rFonts w:hint="eastAsia" w:ascii="宋体" w:hAnsi="宋体" w:eastAsia="宋体" w:cs="宋体"/>
          <w:kern w:val="0"/>
          <w:sz w:val="21"/>
          <w:szCs w:val="21"/>
          <w:lang w:eastAsia="zh-CN"/>
        </w:rPr>
        <w:t>台州市投资促进中心招商引资服务采购项目（第二次）</w:t>
      </w:r>
    </w:p>
    <w:p w14:paraId="248B1FC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kern w:val="0"/>
          <w:sz w:val="21"/>
          <w:szCs w:val="21"/>
        </w:rPr>
      </w:pPr>
      <w:bookmarkStart w:id="5" w:name="_Toc291142571"/>
      <w:bookmarkStart w:id="6" w:name="_Toc291082830"/>
      <w:r>
        <w:rPr>
          <w:rFonts w:hint="eastAsia" w:ascii="宋体" w:hAnsi="宋体" w:eastAsia="宋体" w:cs="宋体"/>
          <w:kern w:val="0"/>
          <w:sz w:val="21"/>
          <w:szCs w:val="21"/>
        </w:rPr>
        <w:t>3.采购方式：竞争性磋商</w:t>
      </w:r>
    </w:p>
    <w:p w14:paraId="3A53D26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kern w:val="0"/>
          <w:sz w:val="21"/>
          <w:szCs w:val="21"/>
        </w:rPr>
      </w:pPr>
      <w:r>
        <w:rPr>
          <w:rFonts w:hint="eastAsia" w:ascii="宋体" w:hAnsi="宋体" w:eastAsia="宋体" w:cs="宋体"/>
          <w:kern w:val="0"/>
          <w:sz w:val="21"/>
          <w:szCs w:val="21"/>
        </w:rPr>
        <w:t>4.预算金额（招标控制价）：</w:t>
      </w:r>
      <w:r>
        <w:rPr>
          <w:rFonts w:hint="eastAsia" w:ascii="宋体" w:hAnsi="宋体" w:eastAsia="宋体" w:cs="宋体"/>
          <w:kern w:val="0"/>
          <w:sz w:val="21"/>
          <w:szCs w:val="21"/>
          <w:lang w:val="en-US" w:eastAsia="zh-CN"/>
        </w:rPr>
        <w:t>500000</w:t>
      </w:r>
      <w:r>
        <w:rPr>
          <w:rFonts w:hint="eastAsia" w:ascii="宋体" w:hAnsi="宋体" w:eastAsia="宋体" w:cs="宋体"/>
          <w:kern w:val="0"/>
          <w:sz w:val="21"/>
          <w:szCs w:val="21"/>
        </w:rPr>
        <w:t>元</w:t>
      </w:r>
    </w:p>
    <w:p w14:paraId="0A76940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kern w:val="0"/>
          <w:sz w:val="21"/>
          <w:szCs w:val="21"/>
        </w:rPr>
      </w:pPr>
      <w:r>
        <w:rPr>
          <w:rFonts w:hint="eastAsia" w:ascii="宋体" w:hAnsi="宋体" w:eastAsia="宋体" w:cs="宋体"/>
          <w:kern w:val="0"/>
          <w:sz w:val="21"/>
          <w:szCs w:val="21"/>
        </w:rPr>
        <w:t>5.最高投标限价：</w:t>
      </w:r>
      <w:r>
        <w:rPr>
          <w:rFonts w:hint="eastAsia" w:ascii="宋体" w:hAnsi="宋体" w:eastAsia="宋体" w:cs="宋体"/>
          <w:kern w:val="0"/>
          <w:sz w:val="21"/>
          <w:szCs w:val="21"/>
          <w:lang w:val="en-US" w:eastAsia="zh-CN"/>
        </w:rPr>
        <w:t>500000</w:t>
      </w:r>
      <w:r>
        <w:rPr>
          <w:rFonts w:hint="eastAsia" w:ascii="宋体" w:hAnsi="宋体" w:eastAsia="宋体" w:cs="宋体"/>
          <w:kern w:val="0"/>
          <w:sz w:val="21"/>
          <w:szCs w:val="21"/>
        </w:rPr>
        <w:t>元</w:t>
      </w:r>
    </w:p>
    <w:p w14:paraId="2396F03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kern w:val="0"/>
          <w:sz w:val="21"/>
          <w:szCs w:val="21"/>
        </w:rPr>
      </w:pPr>
      <w:r>
        <w:rPr>
          <w:rFonts w:hint="eastAsia" w:ascii="宋体" w:hAnsi="宋体" w:eastAsia="宋体" w:cs="宋体"/>
          <w:kern w:val="0"/>
          <w:sz w:val="21"/>
          <w:szCs w:val="21"/>
        </w:rPr>
        <w:t>6.采购需求：</w:t>
      </w:r>
    </w:p>
    <w:p w14:paraId="28093B8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sz w:val="21"/>
          <w:szCs w:val="21"/>
        </w:rPr>
      </w:pPr>
      <w:r>
        <w:rPr>
          <w:rFonts w:hint="eastAsia" w:ascii="宋体" w:hAnsi="宋体" w:eastAsia="宋体" w:cs="宋体"/>
          <w:kern w:val="0"/>
          <w:sz w:val="21"/>
          <w:szCs w:val="21"/>
        </w:rPr>
        <w:t>数量：1           </w:t>
      </w:r>
    </w:p>
    <w:p w14:paraId="212D172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kern w:val="0"/>
          <w:sz w:val="21"/>
          <w:szCs w:val="21"/>
        </w:rPr>
      </w:pPr>
      <w:r>
        <w:rPr>
          <w:rFonts w:hint="eastAsia" w:ascii="宋体" w:hAnsi="宋体" w:eastAsia="宋体" w:cs="宋体"/>
          <w:kern w:val="0"/>
          <w:sz w:val="21"/>
          <w:szCs w:val="21"/>
        </w:rPr>
        <w:t>   预算金额（元）：</w:t>
      </w:r>
      <w:r>
        <w:rPr>
          <w:rFonts w:hint="eastAsia" w:ascii="宋体" w:hAnsi="宋体" w:eastAsia="宋体" w:cs="宋体"/>
          <w:kern w:val="0"/>
          <w:sz w:val="21"/>
          <w:szCs w:val="21"/>
          <w:lang w:val="en-US" w:eastAsia="zh-CN"/>
        </w:rPr>
        <w:t>500000</w:t>
      </w:r>
      <w:r>
        <w:rPr>
          <w:rFonts w:hint="eastAsia" w:ascii="宋体" w:hAnsi="宋体" w:eastAsia="宋体" w:cs="宋体"/>
          <w:kern w:val="0"/>
          <w:sz w:val="21"/>
          <w:szCs w:val="21"/>
        </w:rPr>
        <w:t> </w:t>
      </w:r>
    </w:p>
    <w:p w14:paraId="4972DD9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kern w:val="0"/>
          <w:sz w:val="21"/>
          <w:szCs w:val="21"/>
        </w:rPr>
      </w:pPr>
      <w:r>
        <w:rPr>
          <w:rFonts w:hint="eastAsia" w:ascii="宋体" w:hAnsi="宋体" w:eastAsia="宋体" w:cs="宋体"/>
          <w:kern w:val="0"/>
          <w:sz w:val="21"/>
          <w:szCs w:val="21"/>
        </w:rPr>
        <w:t>   单位：项 </w:t>
      </w:r>
    </w:p>
    <w:p w14:paraId="7700EFC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cs="宋体"/>
          <w:kern w:val="0"/>
          <w:sz w:val="21"/>
          <w:szCs w:val="21"/>
        </w:rPr>
      </w:pPr>
      <w:r>
        <w:rPr>
          <w:rFonts w:hint="eastAsia" w:ascii="宋体" w:hAnsi="宋体" w:eastAsia="宋体" w:cs="宋体"/>
          <w:kern w:val="0"/>
          <w:sz w:val="21"/>
          <w:szCs w:val="21"/>
        </w:rPr>
        <w:t>   简要规格描述：详见磋商文件。 </w:t>
      </w:r>
    </w:p>
    <w:p w14:paraId="683A817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eastAsiaTheme="minorEastAsia"/>
        </w:rPr>
      </w:pPr>
      <w:r>
        <w:rPr>
          <w:rFonts w:hint="eastAsia" w:ascii="宋体" w:hAnsi="宋体" w:eastAsia="宋体" w:cs="宋体"/>
          <w:kern w:val="0"/>
          <w:sz w:val="21"/>
          <w:szCs w:val="21"/>
        </w:rPr>
        <w:t>   备注： </w:t>
      </w:r>
    </w:p>
    <w:bookmarkEnd w:id="5"/>
    <w:bookmarkEnd w:id="6"/>
    <w:p w14:paraId="17467E04">
      <w:pPr>
        <w:keepNext w:val="0"/>
        <w:keepLines w:val="0"/>
        <w:pageBreakBefore w:val="0"/>
        <w:numPr>
          <w:ilvl w:val="0"/>
          <w:numId w:val="1"/>
        </w:numPr>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kern w:val="0"/>
          <w:sz w:val="21"/>
          <w:szCs w:val="21"/>
        </w:rPr>
      </w:pPr>
      <w:bookmarkStart w:id="7" w:name="_Toc291142593"/>
      <w:bookmarkStart w:id="8" w:name="_Toc291082852"/>
      <w:r>
        <w:rPr>
          <w:rFonts w:hint="eastAsia" w:ascii="宋体" w:hAnsi="宋体" w:eastAsia="宋体" w:cs="宋体"/>
          <w:kern w:val="0"/>
          <w:sz w:val="21"/>
          <w:szCs w:val="21"/>
        </w:rPr>
        <w:t>合同履行期限：一年。 </w:t>
      </w:r>
    </w:p>
    <w:p w14:paraId="2678006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kern w:val="0"/>
          <w:sz w:val="21"/>
          <w:szCs w:val="21"/>
        </w:rPr>
      </w:pPr>
      <w:r>
        <w:rPr>
          <w:rFonts w:hint="eastAsia" w:ascii="宋体" w:hAnsi="宋体" w:eastAsia="宋体" w:cs="宋体"/>
          <w:kern w:val="0"/>
          <w:sz w:val="21"/>
          <w:szCs w:val="21"/>
        </w:rPr>
        <w:t>8.本项目不接受联合体投标</w:t>
      </w:r>
    </w:p>
    <w:p w14:paraId="6573C138">
      <w:pPr>
        <w:spacing w:line="360" w:lineRule="auto"/>
        <w:rPr>
          <w:rFonts w:ascii="宋体" w:hAnsi="宋体" w:eastAsia="宋体" w:cs="宋体"/>
          <w:b/>
          <w:sz w:val="21"/>
          <w:szCs w:val="21"/>
        </w:rPr>
      </w:pPr>
      <w:r>
        <w:rPr>
          <w:rFonts w:ascii="宋体" w:hAnsi="宋体" w:eastAsia="宋体" w:cs="宋体"/>
          <w:b/>
          <w:sz w:val="21"/>
          <w:szCs w:val="21"/>
        </w:rPr>
        <w:t>二、申请人的资格要求：</w:t>
      </w:r>
    </w:p>
    <w:p w14:paraId="68D994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1.满足《中华人民共和国政府采购法》第二十二条规定</w:t>
      </w:r>
      <w:r>
        <w:rPr>
          <w:rFonts w:hint="eastAsia" w:ascii="宋体" w:hAnsi="宋体" w:eastAsia="宋体" w:cs="宋体"/>
          <w:kern w:val="0"/>
          <w:sz w:val="21"/>
          <w:szCs w:val="21"/>
          <w:lang w:eastAsia="zh-CN"/>
        </w:rPr>
        <w:t>：</w:t>
      </w:r>
    </w:p>
    <w:p w14:paraId="12C644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（1）具有独立承担民事责任的能力；</w:t>
      </w:r>
    </w:p>
    <w:p w14:paraId="4D97BA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（2）具有良好的商业信誉和健全的财务会计制度；</w:t>
      </w:r>
    </w:p>
    <w:p w14:paraId="5525D3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（3）具有履行合同所必需的设备和专业技术能力；</w:t>
      </w:r>
    </w:p>
    <w:p w14:paraId="79C181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（4）有依法缴纳税收和社会保障资金的良好记录；</w:t>
      </w:r>
    </w:p>
    <w:p w14:paraId="3A0A04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（5）参加政府采购活动前三年内，在经营活动中没有重大违法记录；</w:t>
      </w:r>
    </w:p>
    <w:p w14:paraId="3E9581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法律、行政法规规定的其他条件：单位负责人为同一人或者存在直接控股、管理关系的不同供应商，不得同时参加本项目投标:为本项目提供整体设计、规范编制或者项日管理、监理、检测等服务的供应商，不得再参与本项目投标。</w:t>
      </w:r>
    </w:p>
    <w:p w14:paraId="2151C8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落实政府采购政策需满足的资格要求：本项目为专门面向中小企业采购的项目，供应商应为中小微企业(监狱企业及残疾人福利性单位视同小型、微型企业)。</w:t>
      </w:r>
    </w:p>
    <w:p w14:paraId="398ACB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3.本项目的特定资格要求：</w:t>
      </w:r>
      <w:r>
        <w:rPr>
          <w:rFonts w:hint="eastAsia" w:ascii="宋体" w:hAnsi="宋体" w:eastAsia="宋体" w:cs="宋体"/>
          <w:kern w:val="0"/>
          <w:sz w:val="21"/>
          <w:szCs w:val="21"/>
          <w:lang w:val="en-US" w:eastAsia="zh-CN"/>
        </w:rPr>
        <w:t>无。</w:t>
      </w:r>
    </w:p>
    <w:p w14:paraId="094A2D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未被“信用中国”（www.creditchina.gov.cn)、中国政府采购网（www.ccgp.gov.cn）列入失信被执行人、重大税收违法案件当事人名单、政府采购严重违法失信行为记录名单。</w:t>
      </w:r>
    </w:p>
    <w:bookmarkEnd w:id="7"/>
    <w:bookmarkEnd w:id="8"/>
    <w:p w14:paraId="5CA941B9">
      <w:pPr>
        <w:pStyle w:val="26"/>
        <w:widowControl w:val="0"/>
        <w:spacing w:beforeAutospacing="0" w:afterAutospacing="0" w:line="360" w:lineRule="auto"/>
        <w:jc w:val="both"/>
        <w:rPr>
          <w:rFonts w:hint="default" w:eastAsia="宋体" w:cs="宋体"/>
          <w:b/>
          <w:kern w:val="2"/>
          <w:sz w:val="21"/>
          <w:szCs w:val="21"/>
        </w:rPr>
      </w:pPr>
      <w:bookmarkStart w:id="9" w:name="_Toc291142607"/>
      <w:bookmarkStart w:id="10" w:name="_Toc291082866"/>
      <w:r>
        <w:rPr>
          <w:rFonts w:eastAsia="宋体" w:cs="宋体"/>
          <w:b/>
          <w:kern w:val="2"/>
          <w:sz w:val="21"/>
          <w:szCs w:val="21"/>
        </w:rPr>
        <w:t>三、获取（下载）采购文件</w:t>
      </w:r>
    </w:p>
    <w:p w14:paraId="346521C3">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1.时间：磋商公告发布之日起至提交磋商响应文件截止时间前。</w:t>
      </w:r>
    </w:p>
    <w:p w14:paraId="08C0CCFE">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2.地点（网址）：浙江政府采购网（http</w:t>
      </w:r>
      <w:r>
        <w:rPr>
          <w:rFonts w:hint="eastAsia" w:ascii="宋体" w:hAnsi="宋体" w:eastAsia="宋体" w:cs="宋体"/>
          <w:sz w:val="21"/>
          <w:szCs w:val="21"/>
        </w:rPr>
        <w:t>:</w:t>
      </w:r>
      <w:r>
        <w:rPr>
          <w:rFonts w:hint="eastAsia" w:ascii="宋体" w:hAnsi="宋体" w:eastAsia="宋体" w:cs="宋体"/>
          <w:kern w:val="0"/>
          <w:sz w:val="21"/>
          <w:szCs w:val="21"/>
        </w:rPr>
        <w:t>//zfcg.czt.zj.gov.cn） </w:t>
      </w:r>
    </w:p>
    <w:p w14:paraId="79029350">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3.方式：</w:t>
      </w:r>
      <w:r>
        <w:rPr>
          <w:rFonts w:hint="eastAsia" w:ascii="宋体" w:hAnsi="宋体" w:eastAsia="宋体" w:cs="宋体"/>
          <w:color w:val="000000"/>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kern w:val="0"/>
          <w:sz w:val="21"/>
          <w:szCs w:val="21"/>
        </w:rPr>
        <w:t> </w:t>
      </w:r>
    </w:p>
    <w:p w14:paraId="2269E503">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4.售价（元）：0 </w:t>
      </w:r>
    </w:p>
    <w:p w14:paraId="3A47B42B">
      <w:pPr>
        <w:pStyle w:val="26"/>
        <w:spacing w:beforeAutospacing="0" w:afterAutospacing="0" w:line="360" w:lineRule="auto"/>
        <w:rPr>
          <w:rFonts w:hint="default" w:eastAsia="宋体" w:cs="宋体"/>
          <w:sz w:val="21"/>
          <w:szCs w:val="21"/>
        </w:rPr>
      </w:pPr>
      <w:r>
        <w:rPr>
          <w:rFonts w:eastAsia="宋体" w:cs="宋体"/>
          <w:b/>
          <w:kern w:val="2"/>
          <w:sz w:val="21"/>
          <w:szCs w:val="21"/>
        </w:rPr>
        <w:t>四、</w:t>
      </w:r>
      <w:bookmarkEnd w:id="9"/>
      <w:bookmarkEnd w:id="10"/>
      <w:r>
        <w:rPr>
          <w:rFonts w:eastAsia="宋体" w:cs="宋体"/>
          <w:b/>
          <w:kern w:val="2"/>
          <w:sz w:val="21"/>
          <w:szCs w:val="21"/>
        </w:rPr>
        <w:t>响应文件提交（上传）</w:t>
      </w:r>
    </w:p>
    <w:p w14:paraId="2C72C76A">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w:t>
      </w:r>
      <w:r>
        <w:rPr>
          <w:rFonts w:eastAsia="宋体" w:cs="宋体"/>
          <w:color w:val="000000"/>
          <w:sz w:val="21"/>
          <w:szCs w:val="21"/>
        </w:rPr>
        <w:t xml:space="preserve"> 截止时间：202</w:t>
      </w:r>
      <w:r>
        <w:rPr>
          <w:rFonts w:hint="eastAsia" w:eastAsia="宋体" w:cs="宋体"/>
          <w:color w:val="000000"/>
          <w:sz w:val="21"/>
          <w:szCs w:val="21"/>
          <w:lang w:val="en-US" w:eastAsia="zh-CN"/>
        </w:rPr>
        <w:t>4</w:t>
      </w:r>
      <w:r>
        <w:rPr>
          <w:rFonts w:eastAsia="宋体" w:cs="宋体"/>
          <w:color w:val="000000"/>
          <w:sz w:val="21"/>
          <w:szCs w:val="21"/>
        </w:rPr>
        <w:t>年</w:t>
      </w:r>
      <w:r>
        <w:rPr>
          <w:rFonts w:hint="eastAsia" w:eastAsia="宋体" w:cs="宋体"/>
          <w:color w:val="000000"/>
          <w:sz w:val="21"/>
          <w:szCs w:val="21"/>
          <w:lang w:val="en-US" w:eastAsia="zh-CN"/>
        </w:rPr>
        <w:t>10</w:t>
      </w:r>
      <w:r>
        <w:rPr>
          <w:rFonts w:eastAsia="宋体" w:cs="宋体"/>
          <w:color w:val="000000"/>
          <w:sz w:val="21"/>
          <w:szCs w:val="21"/>
        </w:rPr>
        <w:t>月</w:t>
      </w:r>
      <w:r>
        <w:rPr>
          <w:rFonts w:hint="eastAsia" w:eastAsia="宋体" w:cs="宋体"/>
          <w:color w:val="000000"/>
          <w:sz w:val="21"/>
          <w:szCs w:val="21"/>
          <w:lang w:val="en-US" w:eastAsia="zh-CN"/>
        </w:rPr>
        <w:t>9</w:t>
      </w:r>
      <w:r>
        <w:rPr>
          <w:rFonts w:eastAsia="宋体" w:cs="宋体"/>
          <w:color w:val="000000"/>
          <w:sz w:val="21"/>
          <w:szCs w:val="21"/>
        </w:rPr>
        <w:t>日9:</w:t>
      </w:r>
      <w:r>
        <w:rPr>
          <w:rFonts w:hint="eastAsia" w:eastAsia="宋体" w:cs="宋体"/>
          <w:color w:val="000000"/>
          <w:sz w:val="21"/>
          <w:szCs w:val="21"/>
          <w:lang w:val="en-US" w:eastAsia="zh-CN"/>
        </w:rPr>
        <w:t>0</w:t>
      </w:r>
      <w:r>
        <w:rPr>
          <w:rFonts w:eastAsia="宋体" w:cs="宋体"/>
          <w:color w:val="000000"/>
          <w:sz w:val="21"/>
          <w:szCs w:val="21"/>
        </w:rPr>
        <w:t>0（北京时间）</w:t>
      </w:r>
    </w:p>
    <w:p w14:paraId="0B0CCA17">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2.地点（网址）：</w:t>
      </w:r>
      <w:r>
        <w:rPr>
          <w:rFonts w:eastAsia="宋体" w:cs="宋体"/>
          <w:color w:val="000000"/>
          <w:sz w:val="21"/>
          <w:szCs w:val="21"/>
        </w:rPr>
        <w:t>浙江政府采购云平台（http://www.zcygov.cn）线上递交</w:t>
      </w:r>
    </w:p>
    <w:p w14:paraId="46B47C4E">
      <w:pPr>
        <w:widowControl/>
        <w:spacing w:line="320" w:lineRule="exact"/>
        <w:rPr>
          <w:rFonts w:ascii="宋体" w:hAnsi="宋体" w:eastAsia="宋体" w:cs="宋体"/>
          <w:kern w:val="0"/>
          <w:sz w:val="21"/>
          <w:szCs w:val="21"/>
        </w:rPr>
      </w:pPr>
      <w:r>
        <w:rPr>
          <w:rFonts w:hint="eastAsia" w:ascii="宋体" w:hAnsi="宋体" w:eastAsia="宋体" w:cs="宋体"/>
          <w:b/>
          <w:color w:val="000000"/>
          <w:kern w:val="0"/>
          <w:sz w:val="21"/>
        </w:rPr>
        <w:t>五、响应文件开启</w:t>
      </w:r>
      <w:r>
        <w:rPr>
          <w:rFonts w:hint="eastAsia" w:ascii="宋体" w:hAnsi="宋体" w:eastAsia="宋体" w:cs="宋体"/>
          <w:color w:val="000000"/>
          <w:kern w:val="0"/>
          <w:sz w:val="21"/>
          <w:szCs w:val="21"/>
        </w:rPr>
        <w:t> </w:t>
      </w:r>
    </w:p>
    <w:p w14:paraId="5A6F93BD">
      <w:pPr>
        <w:widowControl/>
        <w:spacing w:line="320" w:lineRule="exact"/>
        <w:jc w:val="left"/>
        <w:rPr>
          <w:rFonts w:ascii="宋体" w:hAnsi="宋体" w:eastAsia="宋体" w:cs="宋体"/>
          <w:kern w:val="0"/>
          <w:sz w:val="21"/>
          <w:szCs w:val="21"/>
        </w:rPr>
      </w:pPr>
      <w:r>
        <w:rPr>
          <w:rFonts w:hint="eastAsia" w:ascii="宋体" w:hAnsi="宋体" w:eastAsia="宋体" w:cs="宋体"/>
          <w:color w:val="000000"/>
          <w:kern w:val="0"/>
          <w:sz w:val="21"/>
          <w:szCs w:val="21"/>
        </w:rPr>
        <w:t>    开启时间：202</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日9:</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0（北京时间）</w:t>
      </w:r>
    </w:p>
    <w:p w14:paraId="21CC29CA">
      <w:pPr>
        <w:widowControl/>
        <w:spacing w:line="320" w:lineRule="exact"/>
        <w:ind w:right="-22" w:rightChars="-6" w:firstLine="63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地点（网址）：通过“政府采购云平台（www.zcygov.cn）”实行在线投标响应。 </w:t>
      </w:r>
      <w:r>
        <w:rPr>
          <w:rFonts w:ascii="宋体" w:hAnsi="宋体" w:eastAsia="宋体" w:cs="宋体"/>
          <w:color w:val="000000"/>
          <w:kern w:val="0"/>
          <w:sz w:val="21"/>
          <w:szCs w:val="21"/>
        </w:rPr>
        <w:tab/>
      </w:r>
    </w:p>
    <w:p w14:paraId="4955BB2F">
      <w:pPr>
        <w:widowControl/>
        <w:spacing w:line="320" w:lineRule="exact"/>
        <w:rPr>
          <w:rFonts w:ascii="宋体" w:hAnsi="宋体" w:eastAsia="宋体" w:cs="宋体"/>
          <w:kern w:val="0"/>
          <w:sz w:val="21"/>
          <w:szCs w:val="21"/>
        </w:rPr>
      </w:pPr>
      <w:r>
        <w:rPr>
          <w:rFonts w:hint="eastAsia" w:ascii="宋体" w:hAnsi="宋体" w:eastAsia="宋体" w:cs="宋体"/>
          <w:b/>
          <w:color w:val="000000"/>
          <w:kern w:val="0"/>
          <w:sz w:val="21"/>
        </w:rPr>
        <w:t>六、公告期限</w:t>
      </w:r>
    </w:p>
    <w:p w14:paraId="245D9407">
      <w:pPr>
        <w:widowControl/>
        <w:spacing w:line="320" w:lineRule="exact"/>
        <w:ind w:firstLine="63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自本公告发布之日起3个工作日。</w:t>
      </w:r>
    </w:p>
    <w:p w14:paraId="29F3B15B">
      <w:pPr>
        <w:widowControl/>
        <w:spacing w:line="320" w:lineRule="exact"/>
        <w:rPr>
          <w:rFonts w:ascii="宋体" w:hAnsi="宋体" w:eastAsia="宋体" w:cs="宋体"/>
          <w:kern w:val="0"/>
          <w:sz w:val="21"/>
          <w:szCs w:val="21"/>
        </w:rPr>
      </w:pPr>
      <w:r>
        <w:rPr>
          <w:rFonts w:hint="eastAsia" w:ascii="宋体" w:hAnsi="宋体" w:eastAsia="宋体" w:cs="宋体"/>
          <w:b/>
          <w:color w:val="000000"/>
          <w:kern w:val="0"/>
          <w:sz w:val="21"/>
        </w:rPr>
        <w:t>七、其他补充事宜</w:t>
      </w:r>
      <w:r>
        <w:rPr>
          <w:rFonts w:hint="eastAsia" w:ascii="宋体" w:hAnsi="宋体" w:eastAsia="宋体" w:cs="宋体"/>
          <w:color w:val="000000"/>
          <w:kern w:val="0"/>
          <w:sz w:val="21"/>
          <w:szCs w:val="21"/>
        </w:rPr>
        <w:t> </w:t>
      </w:r>
    </w:p>
    <w:p w14:paraId="06A358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A4C6E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F0D1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ED45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4.其他事项：公益一类事业单位不属于政府购买服务的承接主体，不得参与承接政府购买服务。</w:t>
      </w:r>
    </w:p>
    <w:p w14:paraId="736A1F73">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八、联系方式：</w:t>
      </w:r>
    </w:p>
    <w:p w14:paraId="13DDB810">
      <w:pPr>
        <w:pStyle w:val="26"/>
        <w:spacing w:beforeAutospacing="0" w:afterAutospacing="0" w:line="360" w:lineRule="auto"/>
        <w:ind w:firstLine="420" w:firstLineChars="200"/>
        <w:rPr>
          <w:rFonts w:hint="default" w:eastAsia="宋体" w:cs="宋体"/>
          <w:sz w:val="21"/>
          <w:szCs w:val="21"/>
        </w:rPr>
      </w:pPr>
      <w:r>
        <w:rPr>
          <w:rFonts w:eastAsia="宋体" w:cs="宋体"/>
          <w:sz w:val="21"/>
          <w:szCs w:val="21"/>
        </w:rPr>
        <w:t>1.采购人信息</w:t>
      </w:r>
    </w:p>
    <w:p w14:paraId="79BDE2C7">
      <w:pPr>
        <w:pStyle w:val="26"/>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default" w:eastAsia="宋体" w:cs="宋体"/>
          <w:sz w:val="21"/>
          <w:szCs w:val="21"/>
        </w:rPr>
      </w:pPr>
      <w:r>
        <w:rPr>
          <w:rFonts w:eastAsia="宋体" w:cs="宋体"/>
          <w:sz w:val="21"/>
          <w:szCs w:val="21"/>
        </w:rPr>
        <w:t>名  称：</w:t>
      </w:r>
      <w:r>
        <w:rPr>
          <w:rFonts w:hint="eastAsia" w:eastAsia="宋体" w:cs="宋体"/>
          <w:sz w:val="21"/>
          <w:szCs w:val="21"/>
          <w:u w:val="single"/>
          <w:lang w:eastAsia="zh-CN"/>
        </w:rPr>
        <w:t>台州市投资促进中心</w:t>
      </w:r>
      <w:r>
        <w:rPr>
          <w:rFonts w:eastAsia="宋体" w:cs="宋体"/>
          <w:sz w:val="21"/>
          <w:szCs w:val="21"/>
        </w:rPr>
        <w:t> </w:t>
      </w:r>
    </w:p>
    <w:p w14:paraId="005A7B48">
      <w:pPr>
        <w:pStyle w:val="26"/>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default" w:eastAsia="宋体" w:cs="宋体"/>
          <w:sz w:val="21"/>
          <w:szCs w:val="21"/>
          <w:u w:val="single"/>
        </w:rPr>
      </w:pPr>
      <w:r>
        <w:rPr>
          <w:rFonts w:eastAsia="宋体" w:cs="宋体"/>
          <w:sz w:val="21"/>
          <w:szCs w:val="21"/>
        </w:rPr>
        <w:t>地  址：</w:t>
      </w:r>
      <w:r>
        <w:rPr>
          <w:rFonts w:hint="eastAsia" w:eastAsia="宋体" w:cs="宋体"/>
          <w:sz w:val="21"/>
          <w:szCs w:val="21"/>
          <w:u w:val="single"/>
        </w:rPr>
        <w:t>台州市椒江区府中路188号开投商务大厦16楼</w:t>
      </w:r>
    </w:p>
    <w:p w14:paraId="5C118B8B">
      <w:pPr>
        <w:pStyle w:val="26"/>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default" w:eastAsia="宋体" w:cs="宋体"/>
          <w:sz w:val="21"/>
          <w:szCs w:val="21"/>
        </w:rPr>
      </w:pPr>
      <w:r>
        <w:rPr>
          <w:rFonts w:eastAsia="宋体" w:cs="宋体"/>
          <w:sz w:val="21"/>
          <w:szCs w:val="21"/>
        </w:rPr>
        <w:t>项目联系人（询问）：</w:t>
      </w:r>
      <w:r>
        <w:rPr>
          <w:rFonts w:hint="eastAsia" w:eastAsia="宋体" w:cs="宋体"/>
          <w:sz w:val="21"/>
          <w:szCs w:val="21"/>
          <w:u w:val="single"/>
          <w:lang w:val="en-US" w:eastAsia="zh-CN"/>
        </w:rPr>
        <w:t>屠</w:t>
      </w:r>
      <w:r>
        <w:rPr>
          <w:rFonts w:eastAsia="宋体" w:cs="宋体"/>
          <w:sz w:val="21"/>
          <w:szCs w:val="21"/>
          <w:u w:val="single"/>
        </w:rPr>
        <w:t>先生</w:t>
      </w:r>
      <w:r>
        <w:rPr>
          <w:rFonts w:eastAsia="宋体" w:cs="宋体"/>
          <w:color w:val="FFFFFF" w:themeColor="background1"/>
          <w:sz w:val="21"/>
          <w:szCs w:val="21"/>
          <w:u w:val="single"/>
          <w14:textFill>
            <w14:solidFill>
              <w14:schemeClr w14:val="bg1"/>
            </w14:solidFill>
          </w14:textFill>
        </w:rPr>
        <w:t>。</w:t>
      </w:r>
    </w:p>
    <w:p w14:paraId="077286C6">
      <w:pPr>
        <w:pStyle w:val="26"/>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default" w:eastAsia="宋体" w:cs="宋体"/>
          <w:sz w:val="21"/>
          <w:szCs w:val="21"/>
        </w:rPr>
      </w:pPr>
      <w:r>
        <w:rPr>
          <w:rFonts w:eastAsia="宋体" w:cs="宋体"/>
          <w:sz w:val="21"/>
          <w:szCs w:val="21"/>
        </w:rPr>
        <w:t>项目联系方式（询问）：</w:t>
      </w:r>
      <w:r>
        <w:rPr>
          <w:rFonts w:hint="eastAsia" w:eastAsia="宋体" w:cs="宋体"/>
          <w:sz w:val="21"/>
          <w:szCs w:val="21"/>
          <w:u w:val="single"/>
          <w:lang w:val="en-US" w:eastAsia="zh-CN"/>
        </w:rPr>
        <w:t>0576-88601558</w:t>
      </w:r>
      <w:r>
        <w:rPr>
          <w:rFonts w:eastAsia="宋体" w:cs="宋体"/>
          <w:color w:val="FFFFFF" w:themeColor="background1"/>
          <w:sz w:val="21"/>
          <w:szCs w:val="21"/>
          <w:u w:val="single"/>
          <w14:textFill>
            <w14:solidFill>
              <w14:schemeClr w14:val="bg1"/>
            </w14:solidFill>
          </w14:textFill>
        </w:rPr>
        <w:t>。</w:t>
      </w:r>
    </w:p>
    <w:p w14:paraId="44874B1A">
      <w:pPr>
        <w:pStyle w:val="26"/>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default" w:eastAsia="宋体" w:cs="宋体"/>
          <w:color w:val="FF0000"/>
          <w:sz w:val="21"/>
          <w:szCs w:val="21"/>
          <w:u w:val="none"/>
          <w:lang w:val="en-US" w:eastAsia="zh-CN"/>
        </w:rPr>
      </w:pPr>
      <w:r>
        <w:rPr>
          <w:rFonts w:eastAsia="宋体" w:cs="宋体"/>
          <w:sz w:val="21"/>
          <w:szCs w:val="21"/>
        </w:rPr>
        <w:t>质疑联系人：</w:t>
      </w:r>
      <w:r>
        <w:rPr>
          <w:rFonts w:hint="eastAsia" w:eastAsia="宋体" w:cs="宋体"/>
          <w:sz w:val="21"/>
          <w:szCs w:val="21"/>
          <w:u w:val="single"/>
          <w:lang w:val="en-US" w:eastAsia="zh-CN"/>
        </w:rPr>
        <w:t>聂先生</w:t>
      </w:r>
      <w:r>
        <w:rPr>
          <w:rFonts w:hint="eastAsia" w:eastAsia="宋体" w:cs="宋体"/>
          <w:color w:val="FF0000"/>
          <w:sz w:val="21"/>
          <w:szCs w:val="21"/>
          <w:u w:val="none"/>
          <w:lang w:val="en-US" w:eastAsia="zh-CN"/>
        </w:rPr>
        <w:t xml:space="preserve">      </w:t>
      </w:r>
    </w:p>
    <w:p w14:paraId="7B8DEEF8">
      <w:pPr>
        <w:pStyle w:val="26"/>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default" w:eastAsia="宋体" w:cs="宋体"/>
          <w:sz w:val="21"/>
          <w:szCs w:val="21"/>
          <w:u w:val="single"/>
          <w:lang w:val="en-US" w:eastAsia="zh-CN"/>
        </w:rPr>
      </w:pPr>
      <w:r>
        <w:rPr>
          <w:rFonts w:eastAsia="宋体" w:cs="宋体"/>
          <w:sz w:val="21"/>
          <w:szCs w:val="21"/>
        </w:rPr>
        <w:t>质疑联系方式：</w:t>
      </w:r>
      <w:r>
        <w:rPr>
          <w:rFonts w:hint="eastAsia" w:eastAsia="宋体" w:cs="宋体"/>
          <w:sz w:val="21"/>
          <w:szCs w:val="21"/>
          <w:u w:val="single"/>
          <w:lang w:val="en-US" w:eastAsia="zh-CN"/>
        </w:rPr>
        <w:t>0576-88603690</w:t>
      </w:r>
    </w:p>
    <w:p w14:paraId="37A4A34E">
      <w:pPr>
        <w:pStyle w:val="26"/>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default" w:eastAsia="宋体" w:cs="宋体"/>
          <w:sz w:val="21"/>
          <w:szCs w:val="21"/>
        </w:rPr>
      </w:pPr>
      <w:r>
        <w:rPr>
          <w:rFonts w:eastAsia="宋体" w:cs="宋体"/>
          <w:sz w:val="21"/>
          <w:szCs w:val="21"/>
        </w:rPr>
        <w:t>2.采购代理机构信息</w:t>
      </w:r>
    </w:p>
    <w:p w14:paraId="0CF77207">
      <w:pPr>
        <w:pStyle w:val="26"/>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default" w:eastAsia="宋体" w:cs="宋体"/>
          <w:sz w:val="21"/>
          <w:szCs w:val="21"/>
        </w:rPr>
      </w:pPr>
      <w:r>
        <w:rPr>
          <w:rFonts w:eastAsia="宋体" w:cs="宋体"/>
          <w:sz w:val="21"/>
          <w:szCs w:val="21"/>
        </w:rPr>
        <w:t>名  称：</w:t>
      </w:r>
      <w:r>
        <w:rPr>
          <w:rFonts w:eastAsia="宋体" w:cs="宋体"/>
          <w:sz w:val="21"/>
          <w:szCs w:val="21"/>
          <w:u w:val="single"/>
        </w:rPr>
        <w:t xml:space="preserve"> 隆耀（浙江）工程咨询有限公司 </w:t>
      </w:r>
    </w:p>
    <w:p w14:paraId="294CDF09">
      <w:pPr>
        <w:pStyle w:val="26"/>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default" w:eastAsia="宋体" w:cs="宋体"/>
          <w:sz w:val="21"/>
          <w:szCs w:val="21"/>
        </w:rPr>
      </w:pPr>
      <w:r>
        <w:rPr>
          <w:rFonts w:eastAsia="宋体" w:cs="宋体"/>
          <w:sz w:val="21"/>
          <w:szCs w:val="21"/>
        </w:rPr>
        <w:t>地  址：</w:t>
      </w:r>
      <w:r>
        <w:rPr>
          <w:rFonts w:eastAsia="宋体" w:cs="宋体"/>
          <w:sz w:val="21"/>
          <w:szCs w:val="21"/>
          <w:u w:val="single"/>
        </w:rPr>
        <w:t>浙江省台州市椒江区白云街道新东方商厦5002室</w:t>
      </w:r>
    </w:p>
    <w:p w14:paraId="36BB1189">
      <w:pPr>
        <w:pStyle w:val="26"/>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default" w:eastAsia="宋体" w:cs="宋体"/>
          <w:sz w:val="21"/>
          <w:szCs w:val="21"/>
        </w:rPr>
      </w:pPr>
      <w:r>
        <w:rPr>
          <w:rFonts w:eastAsia="宋体" w:cs="宋体"/>
          <w:sz w:val="21"/>
          <w:szCs w:val="21"/>
        </w:rPr>
        <w:t>项目联系人（询问）：</w:t>
      </w:r>
      <w:r>
        <w:rPr>
          <w:rFonts w:eastAsia="宋体" w:cs="宋体"/>
          <w:sz w:val="21"/>
          <w:szCs w:val="21"/>
          <w:u w:val="single"/>
        </w:rPr>
        <w:t xml:space="preserve"> 彭女士</w:t>
      </w:r>
      <w:r>
        <w:rPr>
          <w:rFonts w:hint="default" w:eastAsia="宋体" w:cs="宋体"/>
          <w:sz w:val="21"/>
          <w:szCs w:val="21"/>
          <w:u w:val="single"/>
        </w:rPr>
        <w:t xml:space="preserve"> </w:t>
      </w:r>
    </w:p>
    <w:p w14:paraId="7CE643AD">
      <w:pPr>
        <w:pStyle w:val="26"/>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default" w:eastAsia="宋体" w:cs="宋体"/>
          <w:sz w:val="21"/>
          <w:szCs w:val="21"/>
        </w:rPr>
      </w:pPr>
      <w:r>
        <w:rPr>
          <w:rFonts w:eastAsia="宋体" w:cs="宋体"/>
          <w:sz w:val="21"/>
          <w:szCs w:val="21"/>
        </w:rPr>
        <w:t>项目联系方式（询问）：</w:t>
      </w:r>
      <w:r>
        <w:rPr>
          <w:rFonts w:hint="default" w:eastAsia="宋体" w:cs="宋体"/>
          <w:sz w:val="21"/>
          <w:szCs w:val="21"/>
          <w:u w:val="single"/>
        </w:rPr>
        <w:t xml:space="preserve"> </w:t>
      </w:r>
      <w:r>
        <w:rPr>
          <w:rFonts w:eastAsia="宋体" w:cs="宋体"/>
          <w:sz w:val="21"/>
          <w:szCs w:val="21"/>
          <w:u w:val="single"/>
        </w:rPr>
        <w:t>13634013171</w:t>
      </w:r>
    </w:p>
    <w:p w14:paraId="6E4432D4">
      <w:pPr>
        <w:pStyle w:val="26"/>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default" w:eastAsia="宋体" w:cs="宋体"/>
          <w:sz w:val="21"/>
          <w:szCs w:val="21"/>
        </w:rPr>
      </w:pPr>
      <w:r>
        <w:rPr>
          <w:rFonts w:eastAsia="宋体" w:cs="宋体"/>
          <w:sz w:val="21"/>
          <w:szCs w:val="21"/>
        </w:rPr>
        <w:t>质疑联系人：</w:t>
      </w:r>
      <w:r>
        <w:rPr>
          <w:rFonts w:eastAsia="宋体" w:cs="宋体"/>
          <w:sz w:val="21"/>
          <w:szCs w:val="21"/>
          <w:u w:val="single"/>
        </w:rPr>
        <w:t xml:space="preserve"> 陈女士</w:t>
      </w:r>
      <w:r>
        <w:rPr>
          <w:rFonts w:hint="default" w:eastAsia="宋体" w:cs="宋体"/>
          <w:sz w:val="21"/>
          <w:szCs w:val="21"/>
          <w:u w:val="single"/>
        </w:rPr>
        <w:t xml:space="preserve"> </w:t>
      </w:r>
    </w:p>
    <w:p w14:paraId="7F378027">
      <w:pPr>
        <w:pStyle w:val="26"/>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default" w:eastAsia="宋体" w:cs="宋体"/>
          <w:sz w:val="21"/>
          <w:szCs w:val="21"/>
        </w:rPr>
      </w:pPr>
      <w:r>
        <w:rPr>
          <w:rFonts w:eastAsia="宋体" w:cs="宋体"/>
          <w:sz w:val="21"/>
          <w:szCs w:val="21"/>
        </w:rPr>
        <w:t>质疑联系方式：</w:t>
      </w:r>
      <w:r>
        <w:rPr>
          <w:rFonts w:eastAsia="宋体" w:cs="宋体"/>
          <w:sz w:val="21"/>
          <w:szCs w:val="21"/>
          <w:u w:val="single"/>
        </w:rPr>
        <w:t xml:space="preserve"> 13736262145</w:t>
      </w:r>
    </w:p>
    <w:p w14:paraId="6452B3AF">
      <w:pPr>
        <w:shd w:val="clear" w:color="auto"/>
        <w:tabs>
          <w:tab w:val="left" w:pos="3360"/>
        </w:tabs>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3.同级政府采购监督管理部门：</w:t>
      </w:r>
    </w:p>
    <w:p w14:paraId="58353D2C">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名  称：</w:t>
      </w:r>
      <w:r>
        <w:rPr>
          <w:rFonts w:hint="eastAsia" w:eastAsia="宋体" w:cs="宋体"/>
          <w:sz w:val="21"/>
          <w:szCs w:val="21"/>
          <w:u w:val="single"/>
        </w:rPr>
        <w:t>台州市财政局政府采购监督管理办公室；</w:t>
      </w:r>
      <w:r>
        <w:rPr>
          <w:rFonts w:eastAsia="宋体" w:cs="宋体"/>
          <w:sz w:val="21"/>
          <w:szCs w:val="21"/>
          <w:u w:val="single"/>
        </w:rPr>
        <w:t xml:space="preserve"> </w:t>
      </w:r>
    </w:p>
    <w:p w14:paraId="780F063B">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联 系 人：</w:t>
      </w:r>
      <w:r>
        <w:rPr>
          <w:rFonts w:hint="eastAsia" w:eastAsia="宋体" w:cs="宋体"/>
          <w:sz w:val="21"/>
          <w:szCs w:val="21"/>
          <w:u w:val="single"/>
        </w:rPr>
        <w:t>陈工、李工</w:t>
      </w:r>
    </w:p>
    <w:p w14:paraId="1C24B33C">
      <w:pPr>
        <w:pStyle w:val="26"/>
        <w:spacing w:beforeAutospacing="0" w:afterAutospacing="0" w:line="360" w:lineRule="auto"/>
        <w:ind w:firstLine="420" w:firstLineChars="200"/>
        <w:rPr>
          <w:rFonts w:hint="default" w:eastAsia="宋体" w:cs="宋体"/>
          <w:sz w:val="21"/>
          <w:szCs w:val="21"/>
          <w:u w:val="single"/>
        </w:rPr>
      </w:pPr>
      <w:r>
        <w:rPr>
          <w:rFonts w:eastAsia="宋体" w:cs="宋体"/>
          <w:sz w:val="21"/>
          <w:szCs w:val="21"/>
        </w:rPr>
        <w:t>监督投诉电话：</w:t>
      </w:r>
      <w:r>
        <w:rPr>
          <w:rFonts w:hint="eastAsia" w:eastAsia="宋体" w:cs="宋体"/>
          <w:sz w:val="21"/>
          <w:szCs w:val="21"/>
          <w:u w:val="single"/>
        </w:rPr>
        <w:t>0576-88206705、0576-88206731</w:t>
      </w:r>
      <w:r>
        <w:rPr>
          <w:rFonts w:eastAsia="宋体" w:cs="宋体"/>
          <w:sz w:val="21"/>
          <w:szCs w:val="21"/>
          <w:u w:val="single"/>
        </w:rPr>
        <w:t>；</w:t>
      </w:r>
    </w:p>
    <w:p w14:paraId="2F7A17D2">
      <w:pPr>
        <w:pStyle w:val="26"/>
        <w:spacing w:beforeAutospacing="0" w:afterAutospacing="0" w:line="360" w:lineRule="auto"/>
        <w:ind w:firstLine="420" w:firstLineChars="200"/>
        <w:rPr>
          <w:rFonts w:eastAsia="宋体" w:cs="宋体"/>
          <w:sz w:val="21"/>
          <w:szCs w:val="21"/>
          <w:u w:val="single"/>
        </w:rPr>
      </w:pPr>
      <w:r>
        <w:rPr>
          <w:rFonts w:eastAsia="宋体" w:cs="宋体"/>
          <w:sz w:val="21"/>
          <w:szCs w:val="21"/>
        </w:rPr>
        <w:t>地址：</w:t>
      </w:r>
      <w:r>
        <w:rPr>
          <w:rFonts w:hint="eastAsia" w:eastAsia="宋体" w:cs="宋体"/>
          <w:sz w:val="21"/>
          <w:szCs w:val="21"/>
          <w:u w:val="single"/>
        </w:rPr>
        <w:t>台州市椒江区纬一路66号天元大厦</w:t>
      </w:r>
      <w:r>
        <w:rPr>
          <w:rFonts w:eastAsia="宋体" w:cs="宋体"/>
          <w:sz w:val="21"/>
          <w:szCs w:val="21"/>
          <w:u w:val="single"/>
        </w:rPr>
        <w:t>。</w:t>
      </w:r>
    </w:p>
    <w:p w14:paraId="469B7C03">
      <w:pPr>
        <w:shd w:val="clear" w:color="auto"/>
        <w:tabs>
          <w:tab w:val="left" w:pos="3360"/>
        </w:tabs>
        <w:spacing w:line="360" w:lineRule="auto"/>
        <w:ind w:firstLine="420" w:firstLineChars="200"/>
        <w:rPr>
          <w:rFonts w:hint="eastAsia" w:ascii="宋体" w:hAnsi="宋体" w:eastAsia="宋体" w:cs="宋体"/>
          <w:b w:val="0"/>
          <w:bCs w:val="0"/>
          <w:color w:val="auto"/>
          <w:sz w:val="24"/>
          <w:szCs w:val="32"/>
          <w:highlight w:val="none"/>
          <w:lang w:eastAsia="zh-CN"/>
        </w:rPr>
      </w:pPr>
      <w:r>
        <w:rPr>
          <w:rFonts w:hint="eastAsia" w:ascii="宋体" w:hAnsi="宋体" w:eastAsia="宋体" w:cs="宋体"/>
          <w:kern w:val="0"/>
          <w:sz w:val="21"/>
          <w:szCs w:val="21"/>
          <w:lang w:val="en-US" w:eastAsia="zh-CN" w:bidi="ar-SA"/>
        </w:rPr>
        <w:t>4.其余事项：中标供应商如有融资需求，可使用以下银行的政采贷服务。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14:paraId="6188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3F80E1EA">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银行</w:t>
            </w:r>
          </w:p>
        </w:tc>
        <w:tc>
          <w:tcPr>
            <w:tcW w:w="1548" w:type="dxa"/>
            <w:noWrap w:val="0"/>
            <w:vAlign w:val="center"/>
          </w:tcPr>
          <w:p w14:paraId="5510108A">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贷款年利率</w:t>
            </w:r>
          </w:p>
        </w:tc>
        <w:tc>
          <w:tcPr>
            <w:tcW w:w="1217" w:type="dxa"/>
            <w:noWrap w:val="0"/>
            <w:vAlign w:val="center"/>
          </w:tcPr>
          <w:p w14:paraId="03FB0C0C">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p>
        </w:tc>
        <w:tc>
          <w:tcPr>
            <w:tcW w:w="2815" w:type="dxa"/>
            <w:noWrap w:val="0"/>
            <w:vAlign w:val="center"/>
          </w:tcPr>
          <w:p w14:paraId="3A3450A7">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p>
        </w:tc>
      </w:tr>
      <w:tr w14:paraId="35A0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2892C775">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中国工商银行</w:t>
            </w:r>
          </w:p>
        </w:tc>
        <w:tc>
          <w:tcPr>
            <w:tcW w:w="1548" w:type="dxa"/>
            <w:noWrap w:val="0"/>
            <w:vAlign w:val="center"/>
          </w:tcPr>
          <w:p w14:paraId="212945C3">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noWrap w:val="0"/>
            <w:vAlign w:val="center"/>
          </w:tcPr>
          <w:p w14:paraId="37C53AF8">
            <w:pPr>
              <w:shd w:val="clear" w:color="auto"/>
              <w:tabs>
                <w:tab w:val="left" w:pos="3360"/>
              </w:tabs>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卢嘉诚</w:t>
            </w:r>
          </w:p>
        </w:tc>
        <w:tc>
          <w:tcPr>
            <w:tcW w:w="2815" w:type="dxa"/>
            <w:noWrap w:val="0"/>
            <w:vAlign w:val="center"/>
          </w:tcPr>
          <w:p w14:paraId="2FA07D75">
            <w:pPr>
              <w:shd w:val="clear" w:color="auto"/>
              <w:tabs>
                <w:tab w:val="left" w:pos="3360"/>
              </w:tabs>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rPr>
              <w:t>13867658508</w:t>
            </w:r>
          </w:p>
        </w:tc>
      </w:tr>
      <w:tr w14:paraId="53D2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46C33356">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中国农业银行</w:t>
            </w:r>
          </w:p>
        </w:tc>
        <w:tc>
          <w:tcPr>
            <w:tcW w:w="1548" w:type="dxa"/>
            <w:noWrap w:val="0"/>
            <w:vAlign w:val="center"/>
          </w:tcPr>
          <w:p w14:paraId="3C913EF7">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noWrap w:val="0"/>
            <w:vAlign w:val="center"/>
          </w:tcPr>
          <w:p w14:paraId="19A5DA74">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龚盛</w:t>
            </w:r>
          </w:p>
        </w:tc>
        <w:tc>
          <w:tcPr>
            <w:tcW w:w="2815" w:type="dxa"/>
            <w:noWrap w:val="0"/>
            <w:vAlign w:val="center"/>
          </w:tcPr>
          <w:p w14:paraId="4F5A7BBA">
            <w:pPr>
              <w:shd w:val="clear" w:color="auto"/>
              <w:tabs>
                <w:tab w:val="left" w:pos="3360"/>
              </w:tabs>
              <w:bidi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15858682216</w:t>
            </w:r>
          </w:p>
        </w:tc>
      </w:tr>
      <w:tr w14:paraId="5516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6BF38EE9">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中国建设银行</w:t>
            </w:r>
          </w:p>
        </w:tc>
        <w:tc>
          <w:tcPr>
            <w:tcW w:w="1548" w:type="dxa"/>
            <w:noWrap w:val="0"/>
            <w:vAlign w:val="center"/>
          </w:tcPr>
          <w:p w14:paraId="6F0CB122">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3.8%起</w:t>
            </w:r>
          </w:p>
        </w:tc>
        <w:tc>
          <w:tcPr>
            <w:tcW w:w="1217" w:type="dxa"/>
            <w:noWrap w:val="0"/>
            <w:vAlign w:val="center"/>
          </w:tcPr>
          <w:p w14:paraId="119A727D">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梅晶晶</w:t>
            </w:r>
          </w:p>
        </w:tc>
        <w:tc>
          <w:tcPr>
            <w:tcW w:w="2815" w:type="dxa"/>
            <w:noWrap w:val="0"/>
            <w:vAlign w:val="center"/>
          </w:tcPr>
          <w:p w14:paraId="22B59807">
            <w:pPr>
              <w:shd w:val="clear" w:color="auto"/>
              <w:tabs>
                <w:tab w:val="left" w:pos="3360"/>
              </w:tabs>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88</w:t>
            </w:r>
            <w:r>
              <w:rPr>
                <w:rFonts w:hint="eastAsia" w:ascii="宋体" w:hAnsi="宋体" w:eastAsia="宋体" w:cs="宋体"/>
                <w:color w:val="auto"/>
                <w:sz w:val="24"/>
                <w:szCs w:val="24"/>
                <w:highlight w:val="none"/>
                <w:lang w:val="en-US" w:eastAsia="zh-CN"/>
              </w:rPr>
              <w:t>525339/</w:t>
            </w: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val="en-US" w:eastAsia="zh-CN"/>
              </w:rPr>
              <w:t>736585303</w:t>
            </w:r>
          </w:p>
        </w:tc>
      </w:tr>
      <w:tr w14:paraId="250B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692F8191">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中国银行</w:t>
            </w:r>
          </w:p>
        </w:tc>
        <w:tc>
          <w:tcPr>
            <w:tcW w:w="1548" w:type="dxa"/>
            <w:noWrap w:val="0"/>
            <w:vAlign w:val="center"/>
          </w:tcPr>
          <w:p w14:paraId="5F004528">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3.75%起</w:t>
            </w:r>
          </w:p>
        </w:tc>
        <w:tc>
          <w:tcPr>
            <w:tcW w:w="1217" w:type="dxa"/>
            <w:noWrap w:val="0"/>
            <w:vAlign w:val="center"/>
          </w:tcPr>
          <w:p w14:paraId="2DF13413">
            <w:pPr>
              <w:shd w:val="clear" w:color="auto"/>
              <w:tabs>
                <w:tab w:val="left" w:pos="3360"/>
              </w:tabs>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王海</w:t>
            </w:r>
          </w:p>
        </w:tc>
        <w:tc>
          <w:tcPr>
            <w:tcW w:w="2815" w:type="dxa"/>
            <w:noWrap w:val="0"/>
            <w:vAlign w:val="center"/>
          </w:tcPr>
          <w:p w14:paraId="64D9017D">
            <w:pPr>
              <w:shd w:val="clear" w:color="auto"/>
              <w:tabs>
                <w:tab w:val="left" w:pos="3360"/>
              </w:tabs>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13857677798</w:t>
            </w:r>
          </w:p>
        </w:tc>
      </w:tr>
      <w:tr w14:paraId="24FB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7C9181FC">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浦发银行台州分行</w:t>
            </w:r>
          </w:p>
        </w:tc>
        <w:tc>
          <w:tcPr>
            <w:tcW w:w="1548" w:type="dxa"/>
            <w:noWrap w:val="0"/>
            <w:vAlign w:val="center"/>
          </w:tcPr>
          <w:p w14:paraId="0FF42343">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noWrap w:val="0"/>
            <w:vAlign w:val="center"/>
          </w:tcPr>
          <w:p w14:paraId="7B5B97B1">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王渊</w:t>
            </w:r>
          </w:p>
        </w:tc>
        <w:tc>
          <w:tcPr>
            <w:tcW w:w="2815" w:type="dxa"/>
            <w:noWrap w:val="0"/>
            <w:vAlign w:val="center"/>
          </w:tcPr>
          <w:p w14:paraId="7E9DCA4E">
            <w:pPr>
              <w:shd w:val="clear" w:color="auto"/>
              <w:tabs>
                <w:tab w:val="left" w:pos="3360"/>
              </w:tabs>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13616676319</w:t>
            </w:r>
          </w:p>
        </w:tc>
      </w:tr>
      <w:tr w14:paraId="2EB1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375B665C">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浦发银行椒江分行</w:t>
            </w:r>
          </w:p>
        </w:tc>
        <w:tc>
          <w:tcPr>
            <w:tcW w:w="1548" w:type="dxa"/>
            <w:noWrap w:val="0"/>
            <w:vAlign w:val="center"/>
          </w:tcPr>
          <w:p w14:paraId="07AE8600">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noWrap w:val="0"/>
            <w:vAlign w:val="center"/>
          </w:tcPr>
          <w:p w14:paraId="3B9B31FA">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孙瑞华</w:t>
            </w:r>
          </w:p>
        </w:tc>
        <w:tc>
          <w:tcPr>
            <w:tcW w:w="2815" w:type="dxa"/>
            <w:noWrap w:val="0"/>
            <w:vAlign w:val="center"/>
          </w:tcPr>
          <w:p w14:paraId="23B5D7A5">
            <w:pPr>
              <w:shd w:val="clear" w:color="auto"/>
              <w:tabs>
                <w:tab w:val="left" w:pos="3360"/>
              </w:tabs>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13857688081</w:t>
            </w:r>
          </w:p>
        </w:tc>
      </w:tr>
      <w:tr w14:paraId="15D3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4883711D">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交通银行台州分行</w:t>
            </w:r>
          </w:p>
        </w:tc>
        <w:tc>
          <w:tcPr>
            <w:tcW w:w="1548" w:type="dxa"/>
            <w:noWrap w:val="0"/>
            <w:vAlign w:val="center"/>
          </w:tcPr>
          <w:p w14:paraId="75BF7DFC">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3.75%起</w:t>
            </w:r>
          </w:p>
        </w:tc>
        <w:tc>
          <w:tcPr>
            <w:tcW w:w="1217" w:type="dxa"/>
            <w:noWrap w:val="0"/>
            <w:vAlign w:val="center"/>
          </w:tcPr>
          <w:p w14:paraId="4AA90CDB">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周翔宇</w:t>
            </w:r>
          </w:p>
        </w:tc>
        <w:tc>
          <w:tcPr>
            <w:tcW w:w="2815" w:type="dxa"/>
            <w:noWrap w:val="0"/>
            <w:vAlign w:val="center"/>
          </w:tcPr>
          <w:p w14:paraId="14EBE2C1">
            <w:pPr>
              <w:shd w:val="clear" w:color="auto"/>
              <w:tabs>
                <w:tab w:val="left" w:pos="3360"/>
              </w:tabs>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13867697018</w:t>
            </w:r>
          </w:p>
        </w:tc>
      </w:tr>
      <w:tr w14:paraId="1E80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24DBA89E">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招商银行台州分行</w:t>
            </w:r>
          </w:p>
        </w:tc>
        <w:tc>
          <w:tcPr>
            <w:tcW w:w="1548" w:type="dxa"/>
            <w:noWrap w:val="0"/>
            <w:vAlign w:val="center"/>
          </w:tcPr>
          <w:p w14:paraId="32E9473B">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4.32%起</w:t>
            </w:r>
          </w:p>
        </w:tc>
        <w:tc>
          <w:tcPr>
            <w:tcW w:w="1217" w:type="dxa"/>
            <w:noWrap w:val="0"/>
            <w:vAlign w:val="center"/>
          </w:tcPr>
          <w:p w14:paraId="279D7FA4">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王海玲</w:t>
            </w:r>
          </w:p>
        </w:tc>
        <w:tc>
          <w:tcPr>
            <w:tcW w:w="2815" w:type="dxa"/>
            <w:noWrap w:val="0"/>
            <w:vAlign w:val="center"/>
          </w:tcPr>
          <w:p w14:paraId="59F670FC">
            <w:pPr>
              <w:shd w:val="clear" w:color="auto"/>
              <w:tabs>
                <w:tab w:val="left" w:pos="3360"/>
              </w:tabs>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13566413827</w:t>
            </w:r>
          </w:p>
        </w:tc>
      </w:tr>
      <w:tr w14:paraId="1579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65AE5078">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浙商银行台州分行</w:t>
            </w:r>
          </w:p>
        </w:tc>
        <w:tc>
          <w:tcPr>
            <w:tcW w:w="1548" w:type="dxa"/>
            <w:noWrap w:val="0"/>
            <w:vAlign w:val="center"/>
          </w:tcPr>
          <w:p w14:paraId="5EDF3571">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5.01%起</w:t>
            </w:r>
          </w:p>
        </w:tc>
        <w:tc>
          <w:tcPr>
            <w:tcW w:w="1217" w:type="dxa"/>
            <w:noWrap w:val="0"/>
            <w:vAlign w:val="center"/>
          </w:tcPr>
          <w:p w14:paraId="786C1F0A">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章涉漪</w:t>
            </w:r>
          </w:p>
        </w:tc>
        <w:tc>
          <w:tcPr>
            <w:tcW w:w="2815" w:type="dxa"/>
            <w:noWrap w:val="0"/>
            <w:vAlign w:val="center"/>
          </w:tcPr>
          <w:p w14:paraId="7A3028C3">
            <w:pPr>
              <w:shd w:val="clear" w:color="auto"/>
              <w:tabs>
                <w:tab w:val="left" w:pos="3360"/>
              </w:tabs>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81880185/13606681262</w:t>
            </w:r>
          </w:p>
        </w:tc>
      </w:tr>
      <w:tr w14:paraId="5F27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009A4A5E">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中信银行台州分行</w:t>
            </w:r>
          </w:p>
        </w:tc>
        <w:tc>
          <w:tcPr>
            <w:tcW w:w="1548" w:type="dxa"/>
            <w:noWrap w:val="0"/>
            <w:vAlign w:val="center"/>
          </w:tcPr>
          <w:p w14:paraId="3F108C27">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4.15%起</w:t>
            </w:r>
          </w:p>
        </w:tc>
        <w:tc>
          <w:tcPr>
            <w:tcW w:w="1217" w:type="dxa"/>
            <w:noWrap w:val="0"/>
            <w:vAlign w:val="center"/>
          </w:tcPr>
          <w:p w14:paraId="01048461">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陈金园</w:t>
            </w:r>
          </w:p>
        </w:tc>
        <w:tc>
          <w:tcPr>
            <w:tcW w:w="2815" w:type="dxa"/>
            <w:noWrap w:val="0"/>
            <w:vAlign w:val="center"/>
          </w:tcPr>
          <w:p w14:paraId="54EC52F7">
            <w:pPr>
              <w:shd w:val="clear" w:color="auto"/>
              <w:tabs>
                <w:tab w:val="left" w:pos="3360"/>
              </w:tabs>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13586052161</w:t>
            </w:r>
          </w:p>
        </w:tc>
      </w:tr>
      <w:tr w14:paraId="49DD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6236574E">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华夏银行台州分行</w:t>
            </w:r>
          </w:p>
        </w:tc>
        <w:tc>
          <w:tcPr>
            <w:tcW w:w="1548" w:type="dxa"/>
            <w:noWrap w:val="0"/>
            <w:vAlign w:val="center"/>
          </w:tcPr>
          <w:p w14:paraId="1A175AAA">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4.5%起</w:t>
            </w:r>
          </w:p>
        </w:tc>
        <w:tc>
          <w:tcPr>
            <w:tcW w:w="1217" w:type="dxa"/>
            <w:noWrap w:val="0"/>
            <w:vAlign w:val="center"/>
          </w:tcPr>
          <w:p w14:paraId="6E5CCF6D">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邱明达</w:t>
            </w:r>
          </w:p>
        </w:tc>
        <w:tc>
          <w:tcPr>
            <w:tcW w:w="2815" w:type="dxa"/>
            <w:noWrap w:val="0"/>
            <w:vAlign w:val="center"/>
          </w:tcPr>
          <w:p w14:paraId="66B25926">
            <w:pPr>
              <w:shd w:val="clear" w:color="auto"/>
              <w:tabs>
                <w:tab w:val="left" w:pos="3360"/>
              </w:tabs>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81871518/13736252233</w:t>
            </w:r>
          </w:p>
        </w:tc>
      </w:tr>
      <w:tr w14:paraId="6A72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3EE3946E">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泰隆银行开发区支行</w:t>
            </w:r>
          </w:p>
        </w:tc>
        <w:tc>
          <w:tcPr>
            <w:tcW w:w="1548" w:type="dxa"/>
            <w:noWrap w:val="0"/>
            <w:vAlign w:val="center"/>
          </w:tcPr>
          <w:p w14:paraId="0D6900B5">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noWrap w:val="0"/>
            <w:vAlign w:val="center"/>
          </w:tcPr>
          <w:p w14:paraId="6BA1C25C">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梁宛莉</w:t>
            </w:r>
          </w:p>
        </w:tc>
        <w:tc>
          <w:tcPr>
            <w:tcW w:w="2815" w:type="dxa"/>
            <w:noWrap w:val="0"/>
            <w:vAlign w:val="center"/>
          </w:tcPr>
          <w:p w14:paraId="0632F4B0">
            <w:pPr>
              <w:shd w:val="clear" w:color="auto"/>
              <w:tabs>
                <w:tab w:val="left" w:pos="3360"/>
              </w:tabs>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13306869100</w:t>
            </w:r>
          </w:p>
        </w:tc>
      </w:tr>
      <w:tr w14:paraId="008C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063E7FCD">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民泰银行椒江支行</w:t>
            </w:r>
          </w:p>
        </w:tc>
        <w:tc>
          <w:tcPr>
            <w:tcW w:w="1548" w:type="dxa"/>
            <w:noWrap w:val="0"/>
            <w:vAlign w:val="center"/>
          </w:tcPr>
          <w:p w14:paraId="6003D598">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5.8%起</w:t>
            </w:r>
          </w:p>
        </w:tc>
        <w:tc>
          <w:tcPr>
            <w:tcW w:w="1217" w:type="dxa"/>
            <w:noWrap w:val="0"/>
            <w:vAlign w:val="center"/>
          </w:tcPr>
          <w:p w14:paraId="6F80B520">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陈慧珠</w:t>
            </w:r>
          </w:p>
        </w:tc>
        <w:tc>
          <w:tcPr>
            <w:tcW w:w="2815" w:type="dxa"/>
            <w:noWrap w:val="0"/>
            <w:vAlign w:val="center"/>
          </w:tcPr>
          <w:p w14:paraId="7FF14F95">
            <w:pPr>
              <w:shd w:val="clear" w:color="auto"/>
              <w:tabs>
                <w:tab w:val="left" w:pos="3360"/>
              </w:tabs>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13857699669</w:t>
            </w:r>
          </w:p>
        </w:tc>
      </w:tr>
      <w:tr w14:paraId="5D40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5D108BC0">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绍兴银行台州分行</w:t>
            </w:r>
          </w:p>
        </w:tc>
        <w:tc>
          <w:tcPr>
            <w:tcW w:w="1548" w:type="dxa"/>
            <w:noWrap w:val="0"/>
            <w:vAlign w:val="center"/>
          </w:tcPr>
          <w:p w14:paraId="08649D97">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5.1%起</w:t>
            </w:r>
          </w:p>
        </w:tc>
        <w:tc>
          <w:tcPr>
            <w:tcW w:w="1217" w:type="dxa"/>
            <w:noWrap w:val="0"/>
            <w:vAlign w:val="center"/>
          </w:tcPr>
          <w:p w14:paraId="29AE0EF6">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郭庭斌</w:t>
            </w:r>
          </w:p>
        </w:tc>
        <w:tc>
          <w:tcPr>
            <w:tcW w:w="2815" w:type="dxa"/>
            <w:noWrap w:val="0"/>
            <w:vAlign w:val="center"/>
          </w:tcPr>
          <w:p w14:paraId="5BDA917C">
            <w:pPr>
              <w:shd w:val="clear" w:color="auto"/>
              <w:tabs>
                <w:tab w:val="left" w:pos="3360"/>
              </w:tabs>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15958633119</w:t>
            </w:r>
          </w:p>
        </w:tc>
      </w:tr>
      <w:tr w14:paraId="23FB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2FD248B6">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温州银行台州分行</w:t>
            </w:r>
          </w:p>
        </w:tc>
        <w:tc>
          <w:tcPr>
            <w:tcW w:w="1548" w:type="dxa"/>
            <w:noWrap w:val="0"/>
            <w:vAlign w:val="center"/>
          </w:tcPr>
          <w:p w14:paraId="27A8E50E">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4.55%起</w:t>
            </w:r>
          </w:p>
        </w:tc>
        <w:tc>
          <w:tcPr>
            <w:tcW w:w="1217" w:type="dxa"/>
            <w:noWrap w:val="0"/>
            <w:vAlign w:val="center"/>
          </w:tcPr>
          <w:p w14:paraId="7DE8C6A4">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王晓波</w:t>
            </w:r>
          </w:p>
        </w:tc>
        <w:tc>
          <w:tcPr>
            <w:tcW w:w="2815" w:type="dxa"/>
            <w:noWrap w:val="0"/>
            <w:vAlign w:val="center"/>
          </w:tcPr>
          <w:p w14:paraId="454CD130">
            <w:pPr>
              <w:shd w:val="clear" w:color="auto"/>
              <w:tabs>
                <w:tab w:val="left" w:pos="3360"/>
              </w:tabs>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15824005475</w:t>
            </w:r>
          </w:p>
        </w:tc>
      </w:tr>
      <w:tr w14:paraId="332D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25714518">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平安银行台州分行</w:t>
            </w:r>
          </w:p>
        </w:tc>
        <w:tc>
          <w:tcPr>
            <w:tcW w:w="1548" w:type="dxa"/>
            <w:noWrap w:val="0"/>
            <w:vAlign w:val="center"/>
          </w:tcPr>
          <w:p w14:paraId="3657C0F0">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6.53%起</w:t>
            </w:r>
          </w:p>
        </w:tc>
        <w:tc>
          <w:tcPr>
            <w:tcW w:w="1217" w:type="dxa"/>
            <w:noWrap w:val="0"/>
            <w:vAlign w:val="center"/>
          </w:tcPr>
          <w:p w14:paraId="5963E91F">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李俊丽</w:t>
            </w:r>
          </w:p>
        </w:tc>
        <w:tc>
          <w:tcPr>
            <w:tcW w:w="2815" w:type="dxa"/>
            <w:noWrap w:val="0"/>
            <w:vAlign w:val="center"/>
          </w:tcPr>
          <w:p w14:paraId="37331E54">
            <w:pPr>
              <w:shd w:val="clear" w:color="auto"/>
              <w:tabs>
                <w:tab w:val="left" w:pos="3360"/>
              </w:tabs>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15906861025</w:t>
            </w:r>
          </w:p>
        </w:tc>
      </w:tr>
      <w:tr w14:paraId="1E01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5C2F9112">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宁波银行台州分行</w:t>
            </w:r>
          </w:p>
        </w:tc>
        <w:tc>
          <w:tcPr>
            <w:tcW w:w="1548" w:type="dxa"/>
            <w:noWrap w:val="0"/>
            <w:vAlign w:val="center"/>
          </w:tcPr>
          <w:p w14:paraId="68361F94">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4.35%起</w:t>
            </w:r>
          </w:p>
        </w:tc>
        <w:tc>
          <w:tcPr>
            <w:tcW w:w="1217" w:type="dxa"/>
            <w:noWrap w:val="0"/>
            <w:vAlign w:val="center"/>
          </w:tcPr>
          <w:p w14:paraId="24BBA86D">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戴莉丽</w:t>
            </w:r>
          </w:p>
        </w:tc>
        <w:tc>
          <w:tcPr>
            <w:tcW w:w="2815" w:type="dxa"/>
            <w:noWrap w:val="0"/>
            <w:vAlign w:val="center"/>
          </w:tcPr>
          <w:p w14:paraId="0BE279A3">
            <w:pPr>
              <w:shd w:val="clear" w:color="auto"/>
              <w:tabs>
                <w:tab w:val="left" w:pos="3360"/>
              </w:tabs>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13566627207</w:t>
            </w:r>
          </w:p>
        </w:tc>
      </w:tr>
      <w:tr w14:paraId="0FF4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309FEDE1">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金华银行台州分行</w:t>
            </w:r>
          </w:p>
        </w:tc>
        <w:tc>
          <w:tcPr>
            <w:tcW w:w="1548" w:type="dxa"/>
            <w:noWrap w:val="0"/>
            <w:vAlign w:val="center"/>
          </w:tcPr>
          <w:p w14:paraId="157AE1F2">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4.05%起</w:t>
            </w:r>
          </w:p>
        </w:tc>
        <w:tc>
          <w:tcPr>
            <w:tcW w:w="1217" w:type="dxa"/>
            <w:noWrap w:val="0"/>
            <w:vAlign w:val="center"/>
          </w:tcPr>
          <w:p w14:paraId="41C4714E">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金雪婷</w:t>
            </w:r>
          </w:p>
        </w:tc>
        <w:tc>
          <w:tcPr>
            <w:tcW w:w="2815" w:type="dxa"/>
            <w:noWrap w:val="0"/>
            <w:vAlign w:val="center"/>
          </w:tcPr>
          <w:p w14:paraId="6333A251">
            <w:pPr>
              <w:shd w:val="clear" w:color="auto"/>
              <w:tabs>
                <w:tab w:val="left" w:pos="3360"/>
              </w:tabs>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81886670/15968661569</w:t>
            </w:r>
          </w:p>
        </w:tc>
      </w:tr>
      <w:tr w14:paraId="17A9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2117D81A">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台州银行</w:t>
            </w:r>
          </w:p>
        </w:tc>
        <w:tc>
          <w:tcPr>
            <w:tcW w:w="1548" w:type="dxa"/>
            <w:noWrap w:val="0"/>
            <w:vAlign w:val="center"/>
          </w:tcPr>
          <w:p w14:paraId="7C725568">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5.6%起</w:t>
            </w:r>
          </w:p>
        </w:tc>
        <w:tc>
          <w:tcPr>
            <w:tcW w:w="1217" w:type="dxa"/>
            <w:noWrap w:val="0"/>
            <w:vAlign w:val="center"/>
          </w:tcPr>
          <w:p w14:paraId="41D19A6F">
            <w:pPr>
              <w:shd w:val="clear" w:color="auto"/>
              <w:tabs>
                <w:tab w:val="left" w:pos="3360"/>
              </w:tabs>
              <w:bidi w:val="0"/>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洪婷</w:t>
            </w:r>
          </w:p>
        </w:tc>
        <w:tc>
          <w:tcPr>
            <w:tcW w:w="2815" w:type="dxa"/>
            <w:noWrap w:val="0"/>
            <w:vAlign w:val="center"/>
          </w:tcPr>
          <w:p w14:paraId="02371E24">
            <w:pPr>
              <w:shd w:val="clear" w:color="auto"/>
              <w:tabs>
                <w:tab w:val="left" w:pos="3360"/>
              </w:tabs>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15858624999</w:t>
            </w:r>
          </w:p>
        </w:tc>
      </w:tr>
      <w:tr w14:paraId="437A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noWrap w:val="0"/>
            <w:vAlign w:val="center"/>
          </w:tcPr>
          <w:p w14:paraId="0BA83DF2">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邮储银行台州分行</w:t>
            </w:r>
          </w:p>
        </w:tc>
        <w:tc>
          <w:tcPr>
            <w:tcW w:w="1548" w:type="dxa"/>
            <w:noWrap w:val="0"/>
            <w:vAlign w:val="center"/>
          </w:tcPr>
          <w:p w14:paraId="30275E03">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3.85%起</w:t>
            </w:r>
          </w:p>
        </w:tc>
        <w:tc>
          <w:tcPr>
            <w:tcW w:w="1217" w:type="dxa"/>
            <w:noWrap w:val="0"/>
            <w:vAlign w:val="center"/>
          </w:tcPr>
          <w:p w14:paraId="27397D89">
            <w:pPr>
              <w:shd w:val="clear" w:color="auto"/>
              <w:tabs>
                <w:tab w:val="left" w:pos="3360"/>
              </w:tabs>
              <w:bidi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董庆</w:t>
            </w:r>
          </w:p>
        </w:tc>
        <w:tc>
          <w:tcPr>
            <w:tcW w:w="2815" w:type="dxa"/>
            <w:noWrap w:val="0"/>
            <w:vAlign w:val="center"/>
          </w:tcPr>
          <w:p w14:paraId="331BEC62">
            <w:pPr>
              <w:shd w:val="clear" w:color="auto"/>
              <w:tabs>
                <w:tab w:val="left" w:pos="3360"/>
              </w:tabs>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81888982/18957683735</w:t>
            </w:r>
          </w:p>
        </w:tc>
      </w:tr>
    </w:tbl>
    <w:p w14:paraId="52AA6E41">
      <w:pPr>
        <w:shd w:val="clear" w:color="auto"/>
        <w:tabs>
          <w:tab w:val="left" w:pos="3360"/>
        </w:tabs>
        <w:ind w:firstLine="840" w:firstLineChars="350"/>
        <w:jc w:val="center"/>
        <w:rPr>
          <w:rFonts w:hint="eastAsia" w:ascii="宋体" w:hAnsi="宋体" w:eastAsia="宋体" w:cs="宋体"/>
          <w:color w:val="auto"/>
          <w:sz w:val="24"/>
          <w:szCs w:val="24"/>
          <w:highlight w:val="none"/>
        </w:rPr>
      </w:pPr>
    </w:p>
    <w:p w14:paraId="4E0EE34B">
      <w:pPr>
        <w:shd w:val="clear" w:color="auto"/>
        <w:tabs>
          <w:tab w:val="left" w:pos="3360"/>
        </w:tabs>
        <w:ind w:firstLine="840" w:firstLineChars="350"/>
        <w:jc w:val="center"/>
        <w:outlineLvl w:val="0"/>
        <w:rPr>
          <w:rFonts w:hint="eastAsia" w:ascii="宋体" w:hAnsi="宋体" w:eastAsia="宋体" w:cs="宋体"/>
          <w:color w:val="auto"/>
          <w:sz w:val="24"/>
          <w:szCs w:val="24"/>
          <w:highlight w:val="none"/>
        </w:rPr>
      </w:pPr>
      <w:bookmarkStart w:id="11" w:name="_Toc1157339125"/>
      <w:bookmarkStart w:id="12" w:name="_Toc1890699602"/>
      <w:r>
        <w:rPr>
          <w:rFonts w:hint="eastAsia" w:ascii="宋体" w:hAnsi="宋体" w:eastAsia="宋体" w:cs="宋体"/>
          <w:color w:val="auto"/>
          <w:sz w:val="24"/>
          <w:szCs w:val="24"/>
          <w:highlight w:val="none"/>
        </w:rPr>
        <w:t>合同履约保函联系方式</w:t>
      </w:r>
      <w:bookmarkEnd w:id="11"/>
      <w:bookmarkEnd w:id="12"/>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3"/>
        <w:gridCol w:w="1862"/>
        <w:gridCol w:w="988"/>
        <w:gridCol w:w="1565"/>
      </w:tblGrid>
      <w:tr w14:paraId="78CEC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jc w:val="center"/>
        </w:trPr>
        <w:tc>
          <w:tcPr>
            <w:tcW w:w="3853" w:type="dxa"/>
            <w:noWrap w:val="0"/>
            <w:vAlign w:val="center"/>
          </w:tcPr>
          <w:p w14:paraId="39DC4A58">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1862" w:type="dxa"/>
            <w:noWrap w:val="0"/>
            <w:vAlign w:val="center"/>
          </w:tcPr>
          <w:p w14:paraId="7435D2B3">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88" w:type="dxa"/>
            <w:noWrap w:val="0"/>
            <w:vAlign w:val="center"/>
          </w:tcPr>
          <w:p w14:paraId="2B16C2A6">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65" w:type="dxa"/>
            <w:noWrap w:val="0"/>
            <w:vAlign w:val="center"/>
          </w:tcPr>
          <w:p w14:paraId="273157D7">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73217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853" w:type="dxa"/>
            <w:noWrap w:val="0"/>
            <w:vAlign w:val="center"/>
          </w:tcPr>
          <w:p w14:paraId="471A840A">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1862" w:type="dxa"/>
            <w:noWrap w:val="0"/>
            <w:vAlign w:val="center"/>
          </w:tcPr>
          <w:p w14:paraId="183F1051">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8" w:type="dxa"/>
            <w:noWrap w:val="0"/>
            <w:vAlign w:val="center"/>
          </w:tcPr>
          <w:p w14:paraId="2AB8B5C9">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565" w:type="dxa"/>
            <w:noWrap w:val="0"/>
            <w:vAlign w:val="center"/>
          </w:tcPr>
          <w:p w14:paraId="7F54F873">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14:paraId="7C1D8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53" w:type="dxa"/>
            <w:noWrap w:val="0"/>
            <w:vAlign w:val="center"/>
          </w:tcPr>
          <w:p w14:paraId="33066493">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永诚财产保险股份有限公司台州分公司</w:t>
            </w:r>
          </w:p>
        </w:tc>
        <w:tc>
          <w:tcPr>
            <w:tcW w:w="1862" w:type="dxa"/>
            <w:noWrap w:val="0"/>
            <w:vAlign w:val="center"/>
          </w:tcPr>
          <w:p w14:paraId="73AFE0F1">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年费率1%，最低保费1000元</w:t>
            </w:r>
          </w:p>
        </w:tc>
        <w:tc>
          <w:tcPr>
            <w:tcW w:w="988" w:type="dxa"/>
            <w:noWrap w:val="0"/>
            <w:vAlign w:val="center"/>
          </w:tcPr>
          <w:p w14:paraId="2E4665AD">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尹刚强</w:t>
            </w:r>
          </w:p>
        </w:tc>
        <w:tc>
          <w:tcPr>
            <w:tcW w:w="1565" w:type="dxa"/>
            <w:noWrap w:val="0"/>
            <w:vAlign w:val="center"/>
          </w:tcPr>
          <w:p w14:paraId="3175CFAC">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13750668184</w:t>
            </w:r>
          </w:p>
        </w:tc>
      </w:tr>
      <w:tr w14:paraId="1289E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3853" w:type="dxa"/>
            <w:noWrap w:val="0"/>
            <w:vAlign w:val="center"/>
          </w:tcPr>
          <w:p w14:paraId="72D85D5E">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华泰财产保险有限公司台州中心支公司</w:t>
            </w:r>
          </w:p>
        </w:tc>
        <w:tc>
          <w:tcPr>
            <w:tcW w:w="1862" w:type="dxa"/>
            <w:noWrap w:val="0"/>
            <w:vAlign w:val="center"/>
          </w:tcPr>
          <w:p w14:paraId="069711EC">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年费率0.5%，最低保费1000元</w:t>
            </w:r>
          </w:p>
        </w:tc>
        <w:tc>
          <w:tcPr>
            <w:tcW w:w="988" w:type="dxa"/>
            <w:noWrap w:val="0"/>
            <w:vAlign w:val="center"/>
          </w:tcPr>
          <w:p w14:paraId="722C0282">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王灵芳</w:t>
            </w:r>
          </w:p>
        </w:tc>
        <w:tc>
          <w:tcPr>
            <w:tcW w:w="1565" w:type="dxa"/>
            <w:noWrap w:val="0"/>
            <w:vAlign w:val="center"/>
          </w:tcPr>
          <w:p w14:paraId="09487DFC">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88869818 13586123199</w:t>
            </w:r>
          </w:p>
        </w:tc>
      </w:tr>
      <w:tr w14:paraId="29FB6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3853" w:type="dxa"/>
            <w:noWrap w:val="0"/>
            <w:vAlign w:val="center"/>
          </w:tcPr>
          <w:p w14:paraId="399F6BE5">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中国大地财产保险股份有限公司台州中心支公司</w:t>
            </w:r>
          </w:p>
        </w:tc>
        <w:tc>
          <w:tcPr>
            <w:tcW w:w="1862" w:type="dxa"/>
            <w:noWrap w:val="0"/>
            <w:vAlign w:val="center"/>
          </w:tcPr>
          <w:p w14:paraId="1D5E6026">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年费率1.5%，最低保费1000元</w:t>
            </w:r>
          </w:p>
        </w:tc>
        <w:tc>
          <w:tcPr>
            <w:tcW w:w="988" w:type="dxa"/>
            <w:noWrap w:val="0"/>
            <w:vAlign w:val="center"/>
          </w:tcPr>
          <w:p w14:paraId="2C624D89">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徐小明</w:t>
            </w:r>
          </w:p>
        </w:tc>
        <w:tc>
          <w:tcPr>
            <w:tcW w:w="1565" w:type="dxa"/>
            <w:noWrap w:val="0"/>
            <w:vAlign w:val="center"/>
          </w:tcPr>
          <w:p w14:paraId="3B6BF9A1">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88552788      13968603112</w:t>
            </w:r>
          </w:p>
        </w:tc>
      </w:tr>
      <w:tr w14:paraId="305F4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3853" w:type="dxa"/>
            <w:noWrap w:val="0"/>
            <w:vAlign w:val="center"/>
          </w:tcPr>
          <w:p w14:paraId="0400CB9B">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1862" w:type="dxa"/>
            <w:noWrap w:val="0"/>
            <w:vAlign w:val="center"/>
          </w:tcPr>
          <w:p w14:paraId="265B15DA">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88" w:type="dxa"/>
            <w:noWrap w:val="0"/>
            <w:vAlign w:val="center"/>
          </w:tcPr>
          <w:p w14:paraId="4D334D61">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565" w:type="dxa"/>
            <w:noWrap w:val="0"/>
            <w:vAlign w:val="center"/>
          </w:tcPr>
          <w:p w14:paraId="4BC1BA25">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14:paraId="61F50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53" w:type="dxa"/>
            <w:noWrap w:val="0"/>
            <w:vAlign w:val="center"/>
          </w:tcPr>
          <w:p w14:paraId="54562FB6">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中华联合财产保险股份有限公司台州中心支公司</w:t>
            </w:r>
          </w:p>
        </w:tc>
        <w:tc>
          <w:tcPr>
            <w:tcW w:w="1862" w:type="dxa"/>
            <w:noWrap w:val="0"/>
            <w:vAlign w:val="center"/>
          </w:tcPr>
          <w:p w14:paraId="6A2D6106">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年费率2%，最低保费500元</w:t>
            </w:r>
          </w:p>
        </w:tc>
        <w:tc>
          <w:tcPr>
            <w:tcW w:w="988" w:type="dxa"/>
            <w:noWrap w:val="0"/>
            <w:vAlign w:val="center"/>
          </w:tcPr>
          <w:p w14:paraId="53F1163B">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王仙高</w:t>
            </w:r>
          </w:p>
        </w:tc>
        <w:tc>
          <w:tcPr>
            <w:tcW w:w="1565" w:type="dxa"/>
            <w:noWrap w:val="0"/>
            <w:vAlign w:val="center"/>
          </w:tcPr>
          <w:p w14:paraId="71DDE70D">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13858600221</w:t>
            </w:r>
          </w:p>
        </w:tc>
      </w:tr>
      <w:tr w14:paraId="12E54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53" w:type="dxa"/>
            <w:noWrap w:val="0"/>
            <w:vAlign w:val="center"/>
          </w:tcPr>
          <w:p w14:paraId="0227CE3B">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中国人民财产保险股份有限公司台州中心支公司</w:t>
            </w:r>
          </w:p>
        </w:tc>
        <w:tc>
          <w:tcPr>
            <w:tcW w:w="1862" w:type="dxa"/>
            <w:noWrap w:val="0"/>
            <w:vAlign w:val="center"/>
          </w:tcPr>
          <w:p w14:paraId="1879494D">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年费率0.3%，最低保费1000元</w:t>
            </w:r>
          </w:p>
        </w:tc>
        <w:tc>
          <w:tcPr>
            <w:tcW w:w="988" w:type="dxa"/>
            <w:noWrap w:val="0"/>
            <w:vAlign w:val="center"/>
          </w:tcPr>
          <w:p w14:paraId="31C21E84">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王仙春</w:t>
            </w:r>
          </w:p>
        </w:tc>
        <w:tc>
          <w:tcPr>
            <w:tcW w:w="1565" w:type="dxa"/>
            <w:noWrap w:val="0"/>
            <w:vAlign w:val="center"/>
          </w:tcPr>
          <w:p w14:paraId="4B8AE3E2">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13515769179</w:t>
            </w:r>
          </w:p>
        </w:tc>
      </w:tr>
      <w:tr w14:paraId="481AF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53" w:type="dxa"/>
            <w:noWrap w:val="0"/>
            <w:vAlign w:val="center"/>
          </w:tcPr>
          <w:p w14:paraId="7EC5BA46">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永安财产保险股份有限公司台州中心支公司</w:t>
            </w:r>
          </w:p>
        </w:tc>
        <w:tc>
          <w:tcPr>
            <w:tcW w:w="1862" w:type="dxa"/>
            <w:noWrap w:val="0"/>
            <w:vAlign w:val="center"/>
          </w:tcPr>
          <w:p w14:paraId="2C66B28B">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w:t>
            </w:r>
          </w:p>
        </w:tc>
        <w:tc>
          <w:tcPr>
            <w:tcW w:w="988" w:type="dxa"/>
            <w:noWrap w:val="0"/>
            <w:vAlign w:val="center"/>
          </w:tcPr>
          <w:p w14:paraId="0B99D5D4">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王春宇</w:t>
            </w:r>
          </w:p>
        </w:tc>
        <w:tc>
          <w:tcPr>
            <w:tcW w:w="1565" w:type="dxa"/>
            <w:noWrap w:val="0"/>
            <w:vAlign w:val="center"/>
          </w:tcPr>
          <w:p w14:paraId="20D657D6">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13676675331</w:t>
            </w:r>
          </w:p>
        </w:tc>
      </w:tr>
    </w:tbl>
    <w:p w14:paraId="46182F9C">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预付款保函联系方式</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63"/>
        <w:gridCol w:w="1875"/>
        <w:gridCol w:w="975"/>
        <w:gridCol w:w="1574"/>
      </w:tblGrid>
      <w:tr w14:paraId="3805B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jc w:val="center"/>
        </w:trPr>
        <w:tc>
          <w:tcPr>
            <w:tcW w:w="3863" w:type="dxa"/>
            <w:noWrap w:val="0"/>
            <w:vAlign w:val="center"/>
          </w:tcPr>
          <w:p w14:paraId="51CEAF80">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1875" w:type="dxa"/>
            <w:noWrap w:val="0"/>
            <w:vAlign w:val="center"/>
          </w:tcPr>
          <w:p w14:paraId="4C53D28E">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975" w:type="dxa"/>
            <w:noWrap w:val="0"/>
            <w:vAlign w:val="center"/>
          </w:tcPr>
          <w:p w14:paraId="55BB3CB7">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574" w:type="dxa"/>
            <w:noWrap w:val="0"/>
            <w:vAlign w:val="center"/>
          </w:tcPr>
          <w:p w14:paraId="42E2CB13">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16748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3" w:type="dxa"/>
            <w:noWrap w:val="0"/>
            <w:vAlign w:val="center"/>
          </w:tcPr>
          <w:p w14:paraId="481AA2DE">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1875" w:type="dxa"/>
            <w:noWrap w:val="0"/>
            <w:vAlign w:val="center"/>
          </w:tcPr>
          <w:p w14:paraId="15416AC2">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年费率3%，最低保费500元</w:t>
            </w:r>
          </w:p>
        </w:tc>
        <w:tc>
          <w:tcPr>
            <w:tcW w:w="975" w:type="dxa"/>
            <w:noWrap w:val="0"/>
            <w:vAlign w:val="center"/>
          </w:tcPr>
          <w:p w14:paraId="16EAE9AE">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574" w:type="dxa"/>
            <w:noWrap w:val="0"/>
            <w:vAlign w:val="center"/>
          </w:tcPr>
          <w:p w14:paraId="2764AE3D">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14:paraId="4A49B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3863" w:type="dxa"/>
            <w:noWrap w:val="0"/>
            <w:vAlign w:val="center"/>
          </w:tcPr>
          <w:p w14:paraId="543C7C7A">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1875" w:type="dxa"/>
            <w:noWrap w:val="0"/>
            <w:vAlign w:val="center"/>
          </w:tcPr>
          <w:p w14:paraId="703FDA0A">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975" w:type="dxa"/>
            <w:noWrap w:val="0"/>
            <w:vAlign w:val="center"/>
          </w:tcPr>
          <w:p w14:paraId="3A48611E">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574" w:type="dxa"/>
            <w:noWrap w:val="0"/>
            <w:vAlign w:val="center"/>
          </w:tcPr>
          <w:p w14:paraId="48E628F8">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14:paraId="24DB6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3" w:type="dxa"/>
            <w:noWrap w:val="0"/>
            <w:vAlign w:val="center"/>
          </w:tcPr>
          <w:p w14:paraId="4FAC68A8">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天安财产保险股份有限公司台州中心支公司</w:t>
            </w:r>
          </w:p>
        </w:tc>
        <w:tc>
          <w:tcPr>
            <w:tcW w:w="1875" w:type="dxa"/>
            <w:noWrap w:val="0"/>
            <w:vAlign w:val="center"/>
          </w:tcPr>
          <w:p w14:paraId="7E80EAFB">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年费率1%-2%，最低保费500元</w:t>
            </w:r>
          </w:p>
        </w:tc>
        <w:tc>
          <w:tcPr>
            <w:tcW w:w="975" w:type="dxa"/>
            <w:noWrap w:val="0"/>
            <w:vAlign w:val="center"/>
          </w:tcPr>
          <w:p w14:paraId="3B5732A0">
            <w:pPr>
              <w:shd w:val="clear" w:color="auto"/>
              <w:tabs>
                <w:tab w:val="left" w:pos="336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罗赛</w:t>
            </w:r>
          </w:p>
        </w:tc>
        <w:tc>
          <w:tcPr>
            <w:tcW w:w="1574" w:type="dxa"/>
            <w:noWrap w:val="0"/>
            <w:vAlign w:val="center"/>
          </w:tcPr>
          <w:p w14:paraId="1AFF8329">
            <w:pPr>
              <w:shd w:val="clear" w:color="auto"/>
              <w:tabs>
                <w:tab w:val="left" w:pos="3360"/>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13736605643</w:t>
            </w:r>
          </w:p>
        </w:tc>
      </w:tr>
    </w:tbl>
    <w:p w14:paraId="4642533B">
      <w:pPr>
        <w:pStyle w:val="26"/>
        <w:spacing w:beforeAutospacing="0" w:afterAutospacing="0" w:line="360" w:lineRule="auto"/>
        <w:rPr>
          <w:rFonts w:hint="default" w:eastAsia="宋体" w:cs="宋体"/>
          <w:sz w:val="21"/>
          <w:szCs w:val="21"/>
          <w:u w:val="single"/>
          <w:lang w:val="en-US" w:eastAsia="zh-CN"/>
        </w:rPr>
      </w:pPr>
    </w:p>
    <w:p w14:paraId="69654F00">
      <w:pPr>
        <w:spacing w:line="360" w:lineRule="auto"/>
        <w:jc w:val="right"/>
        <w:rPr>
          <w:rFonts w:ascii="宋体" w:hAnsi="宋体" w:eastAsia="宋体" w:cs="宋体"/>
          <w:sz w:val="21"/>
          <w:szCs w:val="21"/>
        </w:rPr>
      </w:pPr>
      <w:r>
        <w:rPr>
          <w:rFonts w:hint="eastAsia" w:ascii="宋体" w:hAnsi="宋体" w:eastAsia="宋体" w:cs="宋体"/>
          <w:sz w:val="21"/>
          <w:szCs w:val="21"/>
        </w:rPr>
        <w:t>隆耀（浙江）工程咨询有限公司</w:t>
      </w:r>
    </w:p>
    <w:p w14:paraId="7DDAA042">
      <w:pPr>
        <w:spacing w:line="360" w:lineRule="auto"/>
        <w:ind w:firstLine="7140" w:firstLineChars="3400"/>
        <w:rPr>
          <w:rFonts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p>
    <w:p w14:paraId="7BD2E799">
      <w:pPr>
        <w:rPr>
          <w:rFonts w:hint="eastAsia" w:ascii="宋体" w:hAnsi="宋体" w:eastAsia="宋体" w:cs="宋体"/>
          <w:b/>
          <w:sz w:val="32"/>
          <w:szCs w:val="32"/>
        </w:rPr>
      </w:pPr>
      <w:r>
        <w:rPr>
          <w:rFonts w:hint="eastAsia" w:ascii="宋体" w:hAnsi="宋体" w:eastAsia="宋体" w:cs="宋体"/>
          <w:b/>
          <w:sz w:val="32"/>
          <w:szCs w:val="32"/>
        </w:rPr>
        <w:br w:type="page"/>
      </w:r>
    </w:p>
    <w:bookmarkEnd w:id="1"/>
    <w:p w14:paraId="464A6A16">
      <w:pPr>
        <w:shd w:val="clear" w:color="auto" w:fill="FFFFFF"/>
        <w:spacing w:line="360" w:lineRule="auto"/>
        <w:jc w:val="center"/>
        <w:textAlignment w:val="bottom"/>
        <w:rPr>
          <w:rFonts w:ascii="宋体" w:hAnsi="宋体" w:eastAsia="宋体" w:cs="宋体"/>
          <w:b/>
          <w:kern w:val="0"/>
          <w:szCs w:val="36"/>
        </w:rPr>
      </w:pPr>
      <w:r>
        <w:rPr>
          <w:rFonts w:hint="eastAsia" w:ascii="宋体" w:hAnsi="宋体" w:eastAsia="宋体" w:cs="宋体"/>
          <w:b/>
          <w:kern w:val="0"/>
          <w:szCs w:val="36"/>
        </w:rPr>
        <w:t>第</w:t>
      </w:r>
      <w:r>
        <w:rPr>
          <w:rFonts w:hint="eastAsia" w:ascii="宋体" w:hAnsi="宋体" w:eastAsia="宋体" w:cs="宋体"/>
          <w:b/>
          <w:kern w:val="0"/>
          <w:szCs w:val="36"/>
          <w:lang w:val="en-US" w:eastAsia="zh-CN"/>
        </w:rPr>
        <w:t>二</w:t>
      </w:r>
      <w:r>
        <w:rPr>
          <w:rFonts w:hint="eastAsia" w:ascii="宋体" w:hAnsi="宋体" w:eastAsia="宋体" w:cs="宋体"/>
          <w:b/>
          <w:kern w:val="0"/>
          <w:szCs w:val="36"/>
        </w:rPr>
        <w:t>部分 供应商须知</w:t>
      </w:r>
    </w:p>
    <w:p w14:paraId="1FF8E007">
      <w:pPr>
        <w:shd w:val="clear" w:color="auto" w:fill="FFFFFF"/>
        <w:spacing w:line="360" w:lineRule="auto"/>
        <w:jc w:val="center"/>
        <w:textAlignment w:val="bottom"/>
        <w:rPr>
          <w:rFonts w:ascii="宋体" w:hAnsi="宋体" w:eastAsia="宋体" w:cs="宋体"/>
          <w:b/>
          <w:kern w:val="0"/>
          <w:sz w:val="24"/>
        </w:rPr>
      </w:pPr>
      <w:r>
        <w:rPr>
          <w:rFonts w:hint="eastAsia" w:ascii="宋体" w:hAnsi="宋体" w:eastAsia="宋体" w:cs="宋体"/>
          <w:b/>
          <w:kern w:val="0"/>
          <w:sz w:val="24"/>
        </w:rPr>
        <w:t>前附表</w:t>
      </w:r>
    </w:p>
    <w:tbl>
      <w:tblPr>
        <w:tblStyle w:val="29"/>
        <w:tblW w:w="96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96"/>
        <w:gridCol w:w="1467"/>
        <w:gridCol w:w="7675"/>
      </w:tblGrid>
      <w:tr w14:paraId="23714C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34" w:hRule="atLeast"/>
          <w:jc w:val="center"/>
        </w:trPr>
        <w:tc>
          <w:tcPr>
            <w:tcW w:w="496" w:type="dxa"/>
            <w:noWrap/>
            <w:vAlign w:val="center"/>
          </w:tcPr>
          <w:p w14:paraId="0E60FB7E">
            <w:pPr>
              <w:spacing w:before="24" w:beforeLines="10" w:line="264" w:lineRule="auto"/>
              <w:jc w:val="center"/>
              <w:rPr>
                <w:rFonts w:ascii="宋体" w:hAnsi="宋体" w:eastAsia="宋体" w:cs="宋体"/>
                <w:b/>
                <w:sz w:val="21"/>
                <w:szCs w:val="21"/>
              </w:rPr>
            </w:pPr>
          </w:p>
          <w:p w14:paraId="67889EDF">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序号</w:t>
            </w:r>
          </w:p>
        </w:tc>
        <w:tc>
          <w:tcPr>
            <w:tcW w:w="1467" w:type="dxa"/>
            <w:noWrap/>
            <w:vAlign w:val="center"/>
          </w:tcPr>
          <w:p w14:paraId="3B09E1E4">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项   目</w:t>
            </w:r>
          </w:p>
        </w:tc>
        <w:tc>
          <w:tcPr>
            <w:tcW w:w="7675" w:type="dxa"/>
            <w:noWrap/>
            <w:vAlign w:val="center"/>
          </w:tcPr>
          <w:p w14:paraId="5AA0D435">
            <w:pPr>
              <w:spacing w:before="24" w:beforeLines="10" w:line="264" w:lineRule="auto"/>
              <w:jc w:val="center"/>
              <w:rPr>
                <w:rFonts w:ascii="宋体" w:hAnsi="宋体" w:eastAsia="宋体" w:cs="宋体"/>
                <w:b/>
                <w:sz w:val="21"/>
                <w:szCs w:val="21"/>
              </w:rPr>
            </w:pPr>
            <w:r>
              <w:rPr>
                <w:rFonts w:hint="eastAsia" w:ascii="宋体" w:hAnsi="宋体" w:eastAsia="宋体" w:cs="宋体"/>
                <w:b/>
                <w:sz w:val="21"/>
                <w:szCs w:val="21"/>
              </w:rPr>
              <w:t>内                容</w:t>
            </w:r>
          </w:p>
        </w:tc>
      </w:tr>
      <w:tr w14:paraId="295C09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6ABC350D">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1</w:t>
            </w:r>
          </w:p>
        </w:tc>
        <w:tc>
          <w:tcPr>
            <w:tcW w:w="1467" w:type="dxa"/>
            <w:noWrap/>
            <w:vAlign w:val="center"/>
          </w:tcPr>
          <w:p w14:paraId="0A491C5E">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bCs/>
                <w:sz w:val="21"/>
                <w:szCs w:val="21"/>
              </w:rPr>
            </w:pPr>
            <w:r>
              <w:rPr>
                <w:rFonts w:hint="eastAsia" w:ascii="宋体" w:hAnsi="宋体" w:eastAsia="宋体" w:cs="宋体"/>
                <w:bCs/>
                <w:sz w:val="21"/>
                <w:szCs w:val="21"/>
              </w:rPr>
              <w:t>落实的政府采购政策</w:t>
            </w:r>
          </w:p>
        </w:tc>
        <w:tc>
          <w:tcPr>
            <w:tcW w:w="7675" w:type="dxa"/>
            <w:noWrap/>
            <w:vAlign w:val="center"/>
          </w:tcPr>
          <w:p w14:paraId="5E1F771C">
            <w:pPr>
              <w:keepNext w:val="0"/>
              <w:keepLines w:val="0"/>
              <w:pageBreakBefore w:val="0"/>
              <w:widowControl/>
              <w:kinsoku/>
              <w:wordWrap/>
              <w:overflowPunct/>
              <w:topLinePunct w:val="0"/>
              <w:bidi w:val="0"/>
              <w:adjustRightInd/>
              <w:snapToGrid/>
              <w:spacing w:line="360" w:lineRule="auto"/>
              <w:jc w:val="left"/>
              <w:textAlignment w:val="auto"/>
              <w:rPr>
                <w:sz w:val="21"/>
                <w:szCs w:val="21"/>
              </w:rPr>
            </w:pPr>
            <w:r>
              <w:rPr>
                <w:rFonts w:hint="eastAsia" w:ascii="宋体" w:hAnsi="宋体" w:eastAsia="宋体" w:cs="宋体"/>
                <w:b/>
                <w:bCs/>
                <w:color w:val="000000"/>
                <w:kern w:val="0"/>
                <w:sz w:val="21"/>
                <w:szCs w:val="21"/>
              </w:rPr>
              <w:t xml:space="preserve">（1）中小企业预留份额情况：根据《政府采购促进中小企业发展管理办法》 财库〔2020〕46 号文件的规定，本项目是属于预留份额专门面向中小企业采购的项目。 </w:t>
            </w:r>
          </w:p>
          <w:p w14:paraId="15DBD66E">
            <w:pPr>
              <w:keepNext w:val="0"/>
              <w:keepLines w:val="0"/>
              <w:pageBreakBefore w:val="0"/>
              <w:widowControl/>
              <w:kinsoku/>
              <w:wordWrap/>
              <w:overflowPunct/>
              <w:topLinePunct w:val="0"/>
              <w:bidi w:val="0"/>
              <w:adjustRightInd/>
              <w:snapToGrid/>
              <w:spacing w:line="360" w:lineRule="auto"/>
              <w:jc w:val="left"/>
              <w:textAlignment w:val="auto"/>
              <w:rPr>
                <w:sz w:val="21"/>
                <w:szCs w:val="21"/>
              </w:rPr>
            </w:pPr>
            <w:r>
              <w:rPr>
                <w:rFonts w:hint="eastAsia" w:ascii="宋体" w:hAnsi="宋体" w:eastAsia="宋体" w:cs="宋体"/>
                <w:color w:val="000000"/>
                <w:kern w:val="0"/>
                <w:sz w:val="21"/>
                <w:szCs w:val="21"/>
              </w:rPr>
              <w:t xml:space="preserve">（2）本采购文件所称中小企业，是指在中华人民共和国境内依法设立，依据 国务院批准的中小企业划分标准确定的中型企业、小型企业和微型企业，但与大企业的负责人为同一人，或者与大企业存在直接控股、管理关系的除外。 </w:t>
            </w:r>
          </w:p>
          <w:p w14:paraId="264D8012">
            <w:pPr>
              <w:keepNext w:val="0"/>
              <w:keepLines w:val="0"/>
              <w:pageBreakBefore w:val="0"/>
              <w:widowControl/>
              <w:kinsoku/>
              <w:wordWrap/>
              <w:overflowPunct/>
              <w:topLinePunct w:val="0"/>
              <w:bidi w:val="0"/>
              <w:adjustRightInd/>
              <w:snapToGrid/>
              <w:spacing w:line="360" w:lineRule="auto"/>
              <w:jc w:val="left"/>
              <w:textAlignment w:val="auto"/>
              <w:rPr>
                <w:sz w:val="21"/>
                <w:szCs w:val="21"/>
              </w:rPr>
            </w:pPr>
            <w:r>
              <w:rPr>
                <w:rFonts w:hint="eastAsia" w:ascii="宋体" w:hAnsi="宋体" w:eastAsia="宋体" w:cs="宋体"/>
                <w:color w:val="000000"/>
                <w:kern w:val="0"/>
                <w:sz w:val="21"/>
                <w:szCs w:val="21"/>
              </w:rPr>
              <w:t>（3）根据《工业和信息化部、国家统计局、国家发展和改革委员会、财政部 关于印发中小企业划型标准规定的通知》（工信部联企业[2011]300 号）规定， 本项目采购标的对应的中小企业划分标准所属行业为：</w:t>
            </w:r>
            <w:r>
              <w:rPr>
                <w:rFonts w:hint="eastAsia" w:ascii="宋体" w:hAnsi="宋体" w:eastAsia="宋体" w:cs="宋体"/>
                <w:b/>
                <w:bCs/>
                <w:color w:val="000000"/>
                <w:kern w:val="0"/>
                <w:sz w:val="21"/>
                <w:szCs w:val="21"/>
              </w:rPr>
              <w:t>（三）其他未列明行业</w:t>
            </w:r>
            <w:r>
              <w:rPr>
                <w:rFonts w:hint="eastAsia" w:ascii="宋体" w:hAnsi="宋体" w:eastAsia="宋体" w:cs="宋体"/>
                <w:color w:val="000000"/>
                <w:kern w:val="0"/>
                <w:sz w:val="21"/>
                <w:szCs w:val="21"/>
              </w:rPr>
              <w:t xml:space="preserve">。 </w:t>
            </w:r>
          </w:p>
          <w:p w14:paraId="698699B4">
            <w:pPr>
              <w:keepNext w:val="0"/>
              <w:keepLines w:val="0"/>
              <w:pageBreakBefore w:val="0"/>
              <w:widowControl/>
              <w:kinsoku/>
              <w:wordWrap/>
              <w:overflowPunct/>
              <w:topLinePunct w:val="0"/>
              <w:bidi w:val="0"/>
              <w:adjustRightInd/>
              <w:snapToGrid/>
              <w:spacing w:line="360" w:lineRule="auto"/>
              <w:jc w:val="left"/>
              <w:textAlignment w:val="auto"/>
              <w:rPr>
                <w:sz w:val="21"/>
                <w:szCs w:val="21"/>
              </w:rPr>
            </w:pPr>
            <w:r>
              <w:rPr>
                <w:rFonts w:hint="eastAsia" w:ascii="宋体" w:hAnsi="宋体" w:eastAsia="宋体" w:cs="宋体"/>
                <w:color w:val="000000"/>
                <w:kern w:val="0"/>
                <w:sz w:val="21"/>
                <w:szCs w:val="21"/>
              </w:rPr>
              <w:t xml:space="preserve">（4）以联合体形式参加政府采购活动，联合体各方均为小微企业的，联合体视同小微企业。 </w:t>
            </w:r>
          </w:p>
          <w:p w14:paraId="17CC7A9D">
            <w:pPr>
              <w:keepNext w:val="0"/>
              <w:keepLines w:val="0"/>
              <w:pageBreakBefore w:val="0"/>
              <w:widowControl/>
              <w:kinsoku/>
              <w:wordWrap/>
              <w:overflowPunct/>
              <w:topLinePunct w:val="0"/>
              <w:bidi w:val="0"/>
              <w:adjustRightInd/>
              <w:snapToGrid/>
              <w:spacing w:line="360" w:lineRule="auto"/>
              <w:jc w:val="left"/>
              <w:textAlignment w:val="auto"/>
              <w:rPr>
                <w:sz w:val="21"/>
                <w:szCs w:val="21"/>
              </w:rPr>
            </w:pPr>
            <w:r>
              <w:rPr>
                <w:rFonts w:hint="eastAsia" w:ascii="宋体" w:hAnsi="宋体" w:eastAsia="宋体" w:cs="宋体"/>
                <w:color w:val="000000"/>
                <w:kern w:val="0"/>
                <w:sz w:val="21"/>
                <w:szCs w:val="21"/>
              </w:rPr>
              <w:t xml:space="preserve">（5）符合小微企业划分标准的个体工商户，视同小微企业。 </w:t>
            </w:r>
          </w:p>
          <w:p w14:paraId="534884E6">
            <w:pPr>
              <w:keepNext w:val="0"/>
              <w:keepLines w:val="0"/>
              <w:pageBreakBefore w:val="0"/>
              <w:widowControl/>
              <w:kinsoku/>
              <w:wordWrap/>
              <w:overflowPunct/>
              <w:topLinePunct w:val="0"/>
              <w:bidi w:val="0"/>
              <w:adjustRightInd/>
              <w:snapToGrid/>
              <w:spacing w:line="360" w:lineRule="auto"/>
              <w:jc w:val="left"/>
              <w:textAlignment w:val="auto"/>
              <w:rPr>
                <w:sz w:val="21"/>
                <w:szCs w:val="21"/>
              </w:rPr>
            </w:pPr>
            <w:r>
              <w:rPr>
                <w:rFonts w:hint="eastAsia" w:ascii="宋体" w:hAnsi="宋体" w:eastAsia="宋体" w:cs="宋体"/>
                <w:color w:val="000000"/>
                <w:kern w:val="0"/>
                <w:sz w:val="21"/>
                <w:szCs w:val="21"/>
              </w:rPr>
              <w:t xml:space="preserve">（6）残疾人福利性单位视同小微企业。残疾人福利性单位参加政府采购活动时，应当出具《残疾人福利性单位声明函》。 </w:t>
            </w:r>
          </w:p>
          <w:p w14:paraId="34AB58E8">
            <w:pPr>
              <w:keepNext w:val="0"/>
              <w:keepLines w:val="0"/>
              <w:pageBreakBefore w:val="0"/>
              <w:widowControl/>
              <w:kinsoku/>
              <w:wordWrap/>
              <w:overflowPunct/>
              <w:topLinePunct w:val="0"/>
              <w:bidi w:val="0"/>
              <w:adjustRightInd/>
              <w:snapToGrid/>
              <w:spacing w:line="360" w:lineRule="auto"/>
              <w:jc w:val="left"/>
              <w:textAlignment w:val="auto"/>
              <w:rPr>
                <w:rFonts w:ascii="宋体" w:hAnsi="宋体" w:eastAsia="宋体" w:cs="宋体"/>
                <w:bCs/>
                <w:sz w:val="21"/>
                <w:szCs w:val="21"/>
              </w:rPr>
            </w:pPr>
            <w:r>
              <w:rPr>
                <w:rFonts w:hint="eastAsia" w:ascii="宋体" w:hAnsi="宋体" w:eastAsia="宋体" w:cs="宋体"/>
                <w:color w:val="000000"/>
                <w:kern w:val="0"/>
                <w:sz w:val="21"/>
                <w:szCs w:val="21"/>
              </w:rPr>
              <w:t>（7）监狱企业视同小微企业。监狱企业参加政府采购活动时，应当出具《监 狱企业声明函》以及省级以上监狱管理局、戒毒管理局（含新疆生产建设兵团） 提供的属于监狱企业的证明文件</w:t>
            </w:r>
          </w:p>
        </w:tc>
      </w:tr>
      <w:tr w14:paraId="24C143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69EED3E1">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2</w:t>
            </w:r>
          </w:p>
        </w:tc>
        <w:tc>
          <w:tcPr>
            <w:tcW w:w="1467" w:type="dxa"/>
            <w:noWrap/>
            <w:vAlign w:val="center"/>
          </w:tcPr>
          <w:p w14:paraId="2F34A43B">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bCs/>
                <w:sz w:val="21"/>
                <w:szCs w:val="21"/>
              </w:rPr>
            </w:pPr>
            <w:r>
              <w:rPr>
                <w:rFonts w:hint="eastAsia" w:ascii="宋体" w:hAnsi="宋体" w:eastAsia="宋体" w:cs="宋体"/>
                <w:bCs/>
                <w:sz w:val="21"/>
                <w:szCs w:val="21"/>
              </w:rPr>
              <w:t>项目名称</w:t>
            </w:r>
          </w:p>
        </w:tc>
        <w:tc>
          <w:tcPr>
            <w:tcW w:w="7675" w:type="dxa"/>
            <w:noWrap/>
            <w:vAlign w:val="center"/>
          </w:tcPr>
          <w:p w14:paraId="4A045A28">
            <w:pPr>
              <w:keepNext w:val="0"/>
              <w:keepLines w:val="0"/>
              <w:pageBreakBefore w:val="0"/>
              <w:kinsoku/>
              <w:wordWrap/>
              <w:overflowPunct/>
              <w:topLinePunct w:val="0"/>
              <w:bidi w:val="0"/>
              <w:adjustRightInd/>
              <w:snapToGrid/>
              <w:spacing w:before="24" w:beforeLines="10" w:line="360"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台州市投资促进中心招商引资服务采购项目（第二次）</w:t>
            </w:r>
          </w:p>
        </w:tc>
      </w:tr>
      <w:tr w14:paraId="213DD9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31DE74FD">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3</w:t>
            </w:r>
          </w:p>
        </w:tc>
        <w:tc>
          <w:tcPr>
            <w:tcW w:w="1467" w:type="dxa"/>
            <w:noWrap/>
            <w:vAlign w:val="center"/>
          </w:tcPr>
          <w:p w14:paraId="3B3D662B">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bCs/>
                <w:sz w:val="21"/>
                <w:szCs w:val="21"/>
              </w:rPr>
            </w:pPr>
            <w:r>
              <w:rPr>
                <w:rFonts w:hint="eastAsia" w:ascii="宋体" w:hAnsi="宋体" w:eastAsia="宋体" w:cs="宋体"/>
                <w:bCs/>
                <w:sz w:val="21"/>
                <w:szCs w:val="21"/>
              </w:rPr>
              <w:t>采购内容</w:t>
            </w:r>
          </w:p>
        </w:tc>
        <w:tc>
          <w:tcPr>
            <w:tcW w:w="7675" w:type="dxa"/>
            <w:noWrap/>
            <w:vAlign w:val="center"/>
          </w:tcPr>
          <w:p w14:paraId="085FD091">
            <w:pPr>
              <w:keepNext w:val="0"/>
              <w:keepLines w:val="0"/>
              <w:pageBreakBefore w:val="0"/>
              <w:kinsoku/>
              <w:wordWrap/>
              <w:overflowPunct/>
              <w:topLinePunct w:val="0"/>
              <w:bidi w:val="0"/>
              <w:adjustRightInd/>
              <w:snapToGrid/>
              <w:spacing w:before="24" w:beforeLines="10" w:line="360" w:lineRule="auto"/>
              <w:textAlignment w:val="auto"/>
              <w:rPr>
                <w:rFonts w:ascii="宋体" w:hAnsi="宋体" w:eastAsia="宋体" w:cs="宋体"/>
                <w:bCs/>
                <w:sz w:val="21"/>
                <w:szCs w:val="21"/>
              </w:rPr>
            </w:pPr>
            <w:r>
              <w:rPr>
                <w:rFonts w:hint="eastAsia" w:ascii="宋体" w:hAnsi="宋体" w:eastAsia="宋体" w:cs="宋体"/>
                <w:bCs/>
                <w:sz w:val="21"/>
                <w:szCs w:val="21"/>
              </w:rPr>
              <w:t>详见本磋商响应文件“第</w:t>
            </w:r>
            <w:r>
              <w:rPr>
                <w:rFonts w:hint="eastAsia" w:ascii="宋体" w:hAnsi="宋体" w:eastAsia="宋体" w:cs="宋体"/>
                <w:bCs/>
                <w:sz w:val="21"/>
                <w:szCs w:val="21"/>
                <w:lang w:val="en-US" w:eastAsia="zh-CN"/>
              </w:rPr>
              <w:t>三</w:t>
            </w:r>
            <w:r>
              <w:rPr>
                <w:rFonts w:hint="eastAsia" w:ascii="宋体" w:hAnsi="宋体" w:eastAsia="宋体" w:cs="宋体"/>
                <w:bCs/>
                <w:sz w:val="21"/>
                <w:szCs w:val="21"/>
              </w:rPr>
              <w:t>部分采购需求”内容</w:t>
            </w:r>
          </w:p>
        </w:tc>
      </w:tr>
      <w:tr w14:paraId="4D8DC0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5647FDB6">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4</w:t>
            </w:r>
          </w:p>
        </w:tc>
        <w:tc>
          <w:tcPr>
            <w:tcW w:w="1467" w:type="dxa"/>
            <w:noWrap/>
            <w:vAlign w:val="center"/>
          </w:tcPr>
          <w:p w14:paraId="44F2ED78">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bCs/>
                <w:sz w:val="21"/>
                <w:szCs w:val="21"/>
              </w:rPr>
            </w:pPr>
            <w:r>
              <w:rPr>
                <w:rFonts w:hint="eastAsia" w:ascii="宋体" w:hAnsi="宋体" w:eastAsia="宋体" w:cs="宋体"/>
                <w:bCs/>
                <w:sz w:val="21"/>
                <w:szCs w:val="21"/>
              </w:rPr>
              <w:t>采购方式</w:t>
            </w:r>
          </w:p>
        </w:tc>
        <w:tc>
          <w:tcPr>
            <w:tcW w:w="7675" w:type="dxa"/>
            <w:noWrap/>
            <w:vAlign w:val="center"/>
          </w:tcPr>
          <w:p w14:paraId="5BFA2975">
            <w:pPr>
              <w:keepNext w:val="0"/>
              <w:keepLines w:val="0"/>
              <w:pageBreakBefore w:val="0"/>
              <w:kinsoku/>
              <w:wordWrap/>
              <w:overflowPunct/>
              <w:topLinePunct w:val="0"/>
              <w:bidi w:val="0"/>
              <w:adjustRightInd/>
              <w:snapToGrid/>
              <w:spacing w:before="24" w:beforeLines="10" w:line="360" w:lineRule="auto"/>
              <w:textAlignment w:val="auto"/>
              <w:rPr>
                <w:rFonts w:ascii="宋体" w:hAnsi="宋体" w:eastAsia="宋体" w:cs="宋体"/>
                <w:bCs/>
                <w:sz w:val="21"/>
                <w:szCs w:val="21"/>
              </w:rPr>
            </w:pPr>
            <w:r>
              <w:rPr>
                <w:rFonts w:hint="eastAsia" w:ascii="宋体" w:hAnsi="宋体" w:eastAsia="宋体" w:cs="宋体"/>
                <w:bCs/>
                <w:sz w:val="21"/>
                <w:szCs w:val="21"/>
              </w:rPr>
              <w:t>竞争性磋商</w:t>
            </w:r>
          </w:p>
        </w:tc>
      </w:tr>
      <w:tr w14:paraId="07B9E9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6" w:type="dxa"/>
            <w:noWrap/>
            <w:vAlign w:val="center"/>
          </w:tcPr>
          <w:p w14:paraId="0F3407BC">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5</w:t>
            </w:r>
          </w:p>
        </w:tc>
        <w:tc>
          <w:tcPr>
            <w:tcW w:w="1467" w:type="dxa"/>
            <w:noWrap/>
            <w:vAlign w:val="center"/>
          </w:tcPr>
          <w:p w14:paraId="55F811F4">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rPr>
              <w:t>服务期限</w:t>
            </w:r>
          </w:p>
        </w:tc>
        <w:tc>
          <w:tcPr>
            <w:tcW w:w="7675" w:type="dxa"/>
            <w:noWrap/>
            <w:vAlign w:val="center"/>
          </w:tcPr>
          <w:p w14:paraId="2A396727">
            <w:pPr>
              <w:keepNext w:val="0"/>
              <w:keepLines w:val="0"/>
              <w:pageBreakBefore w:val="0"/>
              <w:kinsoku/>
              <w:wordWrap/>
              <w:overflowPunct/>
              <w:topLinePunct w:val="0"/>
              <w:bidi w:val="0"/>
              <w:adjustRightInd/>
              <w:snapToGrid/>
              <w:spacing w:before="24" w:beforeLines="10" w:line="360" w:lineRule="auto"/>
              <w:textAlignment w:val="auto"/>
              <w:rPr>
                <w:rFonts w:hint="eastAsia" w:ascii="宋体" w:hAnsi="宋体" w:eastAsia="宋体" w:cs="宋体"/>
                <w:bCs/>
                <w:sz w:val="21"/>
                <w:szCs w:val="21"/>
                <w:lang w:eastAsia="zh-CN"/>
              </w:rPr>
            </w:pPr>
            <w:r>
              <w:rPr>
                <w:rFonts w:hint="eastAsia" w:ascii="宋体" w:hAnsi="宋体" w:eastAsia="宋体" w:cs="宋体"/>
                <w:kern w:val="0"/>
                <w:sz w:val="21"/>
                <w:szCs w:val="21"/>
                <w:lang w:val="en-US" w:eastAsia="zh-CN"/>
              </w:rPr>
              <w:t>一年</w:t>
            </w:r>
          </w:p>
        </w:tc>
      </w:tr>
      <w:tr w14:paraId="1E50B5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96" w:type="dxa"/>
            <w:noWrap/>
            <w:vAlign w:val="center"/>
          </w:tcPr>
          <w:p w14:paraId="0072ACB2">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6</w:t>
            </w:r>
          </w:p>
        </w:tc>
        <w:tc>
          <w:tcPr>
            <w:tcW w:w="1467" w:type="dxa"/>
            <w:noWrap/>
            <w:vAlign w:val="center"/>
          </w:tcPr>
          <w:p w14:paraId="01848E19">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bCs/>
                <w:sz w:val="21"/>
                <w:szCs w:val="21"/>
              </w:rPr>
            </w:pPr>
            <w:r>
              <w:rPr>
                <w:rFonts w:hint="eastAsia" w:ascii="宋体" w:hAnsi="宋体" w:eastAsia="宋体" w:cs="宋体"/>
                <w:bCs/>
                <w:sz w:val="21"/>
                <w:szCs w:val="21"/>
              </w:rPr>
              <w:t>评标办法</w:t>
            </w:r>
          </w:p>
        </w:tc>
        <w:tc>
          <w:tcPr>
            <w:tcW w:w="7675" w:type="dxa"/>
            <w:noWrap/>
            <w:vAlign w:val="center"/>
          </w:tcPr>
          <w:p w14:paraId="1B0F709B">
            <w:pPr>
              <w:keepNext w:val="0"/>
              <w:keepLines w:val="0"/>
              <w:pageBreakBefore w:val="0"/>
              <w:kinsoku/>
              <w:wordWrap/>
              <w:overflowPunct/>
              <w:topLinePunct w:val="0"/>
              <w:bidi w:val="0"/>
              <w:adjustRightInd/>
              <w:snapToGrid/>
              <w:spacing w:before="24" w:beforeLines="10" w:line="360" w:lineRule="auto"/>
              <w:jc w:val="left"/>
              <w:textAlignment w:val="auto"/>
              <w:rPr>
                <w:rFonts w:ascii="宋体" w:hAnsi="宋体" w:eastAsia="宋体" w:cs="宋体"/>
                <w:sz w:val="21"/>
                <w:szCs w:val="21"/>
              </w:rPr>
            </w:pPr>
            <w:r>
              <w:rPr>
                <w:rFonts w:hint="eastAsia" w:ascii="宋体" w:hAnsi="宋体" w:eastAsia="宋体" w:cs="宋体"/>
                <w:bCs/>
                <w:kern w:val="0"/>
                <w:sz w:val="21"/>
                <w:szCs w:val="21"/>
              </w:rPr>
              <w:t>综合评分法</w:t>
            </w:r>
          </w:p>
        </w:tc>
      </w:tr>
      <w:tr w14:paraId="1BD75D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96" w:type="dxa"/>
            <w:noWrap/>
            <w:vAlign w:val="center"/>
          </w:tcPr>
          <w:p w14:paraId="58CA530C">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7</w:t>
            </w:r>
          </w:p>
        </w:tc>
        <w:tc>
          <w:tcPr>
            <w:tcW w:w="1467" w:type="dxa"/>
            <w:noWrap/>
            <w:vAlign w:val="center"/>
          </w:tcPr>
          <w:p w14:paraId="696A12C1">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bCs/>
                <w:sz w:val="21"/>
                <w:szCs w:val="21"/>
              </w:rPr>
            </w:pPr>
            <w:r>
              <w:rPr>
                <w:rFonts w:hint="eastAsia" w:ascii="宋体" w:hAnsi="宋体" w:eastAsia="宋体" w:cs="宋体"/>
                <w:bCs/>
                <w:sz w:val="21"/>
                <w:szCs w:val="21"/>
              </w:rPr>
              <w:t>▲磋商响应文件有效期</w:t>
            </w:r>
          </w:p>
        </w:tc>
        <w:tc>
          <w:tcPr>
            <w:tcW w:w="7675" w:type="dxa"/>
            <w:noWrap/>
            <w:vAlign w:val="center"/>
          </w:tcPr>
          <w:p w14:paraId="25033E78">
            <w:pPr>
              <w:pStyle w:val="26"/>
              <w:keepNext w:val="0"/>
              <w:keepLines w:val="0"/>
              <w:pageBreakBefore w:val="0"/>
              <w:kinsoku/>
              <w:wordWrap/>
              <w:overflowPunct/>
              <w:topLinePunct w:val="0"/>
              <w:bidi w:val="0"/>
              <w:adjustRightInd/>
              <w:snapToGrid/>
              <w:spacing w:before="24" w:beforeLines="10" w:beforeAutospacing="0" w:afterAutospacing="0" w:line="360" w:lineRule="auto"/>
              <w:textAlignment w:val="auto"/>
              <w:rPr>
                <w:rFonts w:hint="default" w:eastAsia="宋体" w:cs="宋体"/>
                <w:bCs/>
                <w:sz w:val="21"/>
                <w:szCs w:val="21"/>
              </w:rPr>
            </w:pPr>
            <w:r>
              <w:rPr>
                <w:rFonts w:eastAsia="宋体" w:cs="宋体"/>
                <w:bCs/>
                <w:sz w:val="21"/>
                <w:szCs w:val="21"/>
              </w:rPr>
              <w:t>磋商响应有效期为90天，磋商响应有效期从提交磋商响应文件的截止之日起算。</w:t>
            </w:r>
          </w:p>
        </w:tc>
      </w:tr>
      <w:tr w14:paraId="54B4B1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96" w:type="dxa"/>
            <w:noWrap/>
            <w:vAlign w:val="center"/>
          </w:tcPr>
          <w:p w14:paraId="52C692D9">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8</w:t>
            </w:r>
          </w:p>
        </w:tc>
        <w:tc>
          <w:tcPr>
            <w:tcW w:w="1467" w:type="dxa"/>
            <w:noWrap/>
            <w:vAlign w:val="center"/>
          </w:tcPr>
          <w:p w14:paraId="548B6595">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bCs/>
                <w:sz w:val="21"/>
                <w:szCs w:val="21"/>
              </w:rPr>
            </w:pPr>
            <w:r>
              <w:rPr>
                <w:rFonts w:hint="eastAsia" w:ascii="宋体" w:hAnsi="宋体" w:eastAsia="宋体" w:cs="宋体"/>
                <w:bCs/>
                <w:sz w:val="21"/>
                <w:szCs w:val="21"/>
              </w:rPr>
              <w:t>▲履约</w:t>
            </w:r>
          </w:p>
          <w:p w14:paraId="2AC5C99A">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bCs/>
                <w:sz w:val="21"/>
                <w:szCs w:val="21"/>
              </w:rPr>
            </w:pPr>
            <w:r>
              <w:rPr>
                <w:rFonts w:hint="eastAsia" w:ascii="宋体" w:hAnsi="宋体" w:eastAsia="宋体" w:cs="宋体"/>
                <w:bCs/>
                <w:sz w:val="21"/>
                <w:szCs w:val="21"/>
              </w:rPr>
              <w:t>保证金</w:t>
            </w:r>
          </w:p>
        </w:tc>
        <w:tc>
          <w:tcPr>
            <w:tcW w:w="7675" w:type="dxa"/>
            <w:noWrap/>
            <w:vAlign w:val="center"/>
          </w:tcPr>
          <w:p w14:paraId="3AC39200">
            <w:pPr>
              <w:keepNext w:val="0"/>
              <w:keepLines w:val="0"/>
              <w:pageBreakBefore w:val="0"/>
              <w:kinsoku/>
              <w:wordWrap/>
              <w:overflowPunct/>
              <w:topLinePunct w:val="0"/>
              <w:bidi w:val="0"/>
              <w:adjustRightInd/>
              <w:snapToGrid/>
              <w:spacing w:before="24" w:beforeLines="10" w:line="360" w:lineRule="auto"/>
              <w:textAlignment w:val="auto"/>
              <w:rPr>
                <w:rFonts w:ascii="宋体" w:hAnsi="宋体" w:eastAsia="宋体" w:cs="宋体"/>
                <w:sz w:val="21"/>
                <w:szCs w:val="21"/>
              </w:rPr>
            </w:pPr>
            <w:r>
              <w:rPr>
                <w:rFonts w:hint="eastAsia" w:ascii="宋体" w:hAnsi="宋体" w:eastAsia="宋体" w:cs="宋体"/>
                <w:sz w:val="21"/>
                <w:szCs w:val="21"/>
              </w:rPr>
              <w:t>本项目履约保证金为合同价的</w:t>
            </w:r>
            <w:r>
              <w:rPr>
                <w:rFonts w:hint="eastAsia" w:ascii="宋体" w:hAnsi="宋体" w:eastAsia="宋体" w:cs="宋体"/>
                <w:sz w:val="21"/>
                <w:szCs w:val="21"/>
                <w:lang w:val="en-US" w:eastAsia="zh-CN"/>
              </w:rPr>
              <w:t>1</w:t>
            </w:r>
            <w:r>
              <w:rPr>
                <w:rFonts w:hint="eastAsia" w:ascii="宋体" w:hAnsi="宋体" w:eastAsia="宋体" w:cs="宋体"/>
                <w:sz w:val="21"/>
                <w:szCs w:val="21"/>
              </w:rPr>
              <w:t>%。</w:t>
            </w:r>
          </w:p>
          <w:p w14:paraId="7ABB4221">
            <w:pPr>
              <w:keepNext w:val="0"/>
              <w:keepLines w:val="0"/>
              <w:pageBreakBefore w:val="0"/>
              <w:kinsoku/>
              <w:wordWrap/>
              <w:overflowPunct/>
              <w:topLinePunct w:val="0"/>
              <w:bidi w:val="0"/>
              <w:adjustRightInd/>
              <w:snapToGrid/>
              <w:spacing w:before="24" w:beforeLines="10" w:line="360" w:lineRule="auto"/>
              <w:textAlignment w:val="auto"/>
              <w:rPr>
                <w:rFonts w:ascii="宋体" w:hAnsi="宋体" w:eastAsia="宋体" w:cs="宋体"/>
                <w:sz w:val="21"/>
                <w:szCs w:val="21"/>
              </w:rPr>
            </w:pPr>
            <w:r>
              <w:rPr>
                <w:rFonts w:hint="eastAsia" w:ascii="宋体" w:hAnsi="宋体" w:eastAsia="宋体" w:cs="宋体"/>
                <w:sz w:val="21"/>
                <w:szCs w:val="21"/>
              </w:rPr>
              <w:t>鼓励供应商开展政采贷、履约保函等政府采购金融服务，供应商以银行、保险公司出具保函形式提交履约保证金的，采购单位不得拒收。</w:t>
            </w:r>
          </w:p>
        </w:tc>
      </w:tr>
      <w:tr w14:paraId="5C9C2C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96" w:type="dxa"/>
            <w:noWrap/>
            <w:vAlign w:val="center"/>
          </w:tcPr>
          <w:p w14:paraId="3E220CA8">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9</w:t>
            </w:r>
          </w:p>
        </w:tc>
        <w:tc>
          <w:tcPr>
            <w:tcW w:w="1467" w:type="dxa"/>
            <w:noWrap/>
            <w:vAlign w:val="center"/>
          </w:tcPr>
          <w:p w14:paraId="3F874C46">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响应文件</w:t>
            </w:r>
          </w:p>
          <w:p w14:paraId="05EE8600">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要求</w:t>
            </w:r>
          </w:p>
        </w:tc>
        <w:tc>
          <w:tcPr>
            <w:tcW w:w="7675" w:type="dxa"/>
            <w:noWrap/>
            <w:vAlign w:val="center"/>
          </w:tcPr>
          <w:p w14:paraId="2CE266BB">
            <w:pPr>
              <w:keepNext w:val="0"/>
              <w:keepLines w:val="0"/>
              <w:pageBreakBefore w:val="0"/>
              <w:widowControl/>
              <w:kinsoku/>
              <w:wordWrap/>
              <w:overflowPunct/>
              <w:topLinePunct w:val="0"/>
              <w:bidi w:val="0"/>
              <w:adjustRightInd/>
              <w:snapToGrid/>
              <w:spacing w:before="24" w:beforeLines="10" w:line="360" w:lineRule="auto"/>
              <w:jc w:val="left"/>
              <w:textAlignment w:val="auto"/>
              <w:rPr>
                <w:rFonts w:ascii="宋体" w:hAnsi="宋体" w:eastAsia="宋体" w:cs="宋体"/>
                <w:sz w:val="21"/>
                <w:szCs w:val="21"/>
              </w:rPr>
            </w:pPr>
            <w:r>
              <w:rPr>
                <w:rFonts w:hint="eastAsia" w:ascii="宋体" w:hAnsi="宋体" w:eastAsia="宋体" w:cs="宋体"/>
                <w:kern w:val="0"/>
                <w:sz w:val="21"/>
                <w:szCs w:val="21"/>
              </w:rPr>
              <w:t xml:space="preserve">（1）“电子加密磋商响应文件”：在线上传递交一份。 </w:t>
            </w:r>
          </w:p>
          <w:p w14:paraId="28ED4DB2">
            <w:pPr>
              <w:keepNext w:val="0"/>
              <w:keepLines w:val="0"/>
              <w:pageBreakBefore w:val="0"/>
              <w:widowControl/>
              <w:kinsoku/>
              <w:wordWrap/>
              <w:overflowPunct/>
              <w:topLinePunct w:val="0"/>
              <w:bidi w:val="0"/>
              <w:adjustRightInd/>
              <w:snapToGrid/>
              <w:spacing w:before="24" w:beforeLines="10" w:line="360" w:lineRule="auto"/>
              <w:jc w:val="left"/>
              <w:textAlignment w:val="auto"/>
              <w:rPr>
                <w:rFonts w:ascii="宋体" w:hAnsi="宋体" w:eastAsia="宋体" w:cs="宋体"/>
                <w:sz w:val="21"/>
                <w:szCs w:val="21"/>
              </w:rPr>
            </w:pPr>
            <w:r>
              <w:rPr>
                <w:rFonts w:hint="eastAsia" w:ascii="宋体" w:hAnsi="宋体" w:eastAsia="宋体" w:cs="宋体"/>
                <w:kern w:val="0"/>
                <w:sz w:val="21"/>
                <w:szCs w:val="21"/>
              </w:rPr>
              <w:t>（2）“备份磋商响应文件”（如有）：以介质存储的数据电文形式（U 盘）并密封包装后递交一份。</w:t>
            </w:r>
          </w:p>
        </w:tc>
      </w:tr>
      <w:tr w14:paraId="2D5A44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96" w:type="dxa"/>
            <w:noWrap/>
            <w:vAlign w:val="center"/>
          </w:tcPr>
          <w:p w14:paraId="23689DC3">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10</w:t>
            </w:r>
          </w:p>
        </w:tc>
        <w:tc>
          <w:tcPr>
            <w:tcW w:w="1467" w:type="dxa"/>
            <w:noWrap/>
            <w:vAlign w:val="center"/>
          </w:tcPr>
          <w:p w14:paraId="21069235">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响应文件的上传和递交</w:t>
            </w:r>
          </w:p>
        </w:tc>
        <w:tc>
          <w:tcPr>
            <w:tcW w:w="7675" w:type="dxa"/>
            <w:noWrap/>
            <w:vAlign w:val="center"/>
          </w:tcPr>
          <w:p w14:paraId="66E73FE2">
            <w:pPr>
              <w:keepNext w:val="0"/>
              <w:keepLines w:val="0"/>
              <w:pageBreakBefore w:val="0"/>
              <w:widowControl/>
              <w:kinsoku/>
              <w:wordWrap/>
              <w:overflowPunct/>
              <w:topLinePunct w:val="0"/>
              <w:bidi w:val="0"/>
              <w:adjustRightInd/>
              <w:snapToGrid/>
              <w:spacing w:before="24" w:beforeLines="10" w:line="360" w:lineRule="auto"/>
              <w:jc w:val="left"/>
              <w:textAlignment w:val="auto"/>
              <w:rPr>
                <w:rFonts w:ascii="宋体" w:hAnsi="宋体" w:eastAsia="宋体" w:cs="宋体"/>
                <w:kern w:val="0"/>
                <w:sz w:val="21"/>
                <w:szCs w:val="21"/>
              </w:rPr>
            </w:pPr>
            <w:r>
              <w:rPr>
                <w:rFonts w:hint="eastAsia" w:ascii="宋体" w:hAnsi="宋体" w:eastAsia="宋体" w:cs="宋体"/>
                <w:b/>
                <w:bCs/>
                <w:kern w:val="0"/>
                <w:sz w:val="21"/>
                <w:szCs w:val="21"/>
              </w:rPr>
              <w:t>（1）“电子加密磋商响应文件”的上传、递交：</w:t>
            </w:r>
          </w:p>
          <w:p w14:paraId="0A823796">
            <w:pPr>
              <w:keepNext w:val="0"/>
              <w:keepLines w:val="0"/>
              <w:pageBreakBefore w:val="0"/>
              <w:widowControl/>
              <w:kinsoku/>
              <w:wordWrap/>
              <w:overflowPunct/>
              <w:topLinePunct w:val="0"/>
              <w:bidi w:val="0"/>
              <w:adjustRightInd/>
              <w:snapToGrid/>
              <w:spacing w:before="24" w:beforeLines="10" w:line="360" w:lineRule="auto"/>
              <w:jc w:val="left"/>
              <w:textAlignment w:val="auto"/>
              <w:rPr>
                <w:rFonts w:ascii="宋体" w:hAnsi="宋体" w:eastAsia="宋体" w:cs="宋体"/>
                <w:kern w:val="0"/>
                <w:sz w:val="21"/>
                <w:szCs w:val="21"/>
              </w:rPr>
            </w:pPr>
            <w:r>
              <w:rPr>
                <w:rFonts w:hint="eastAsia" w:ascii="宋体" w:hAnsi="宋体" w:eastAsia="宋体" w:cs="宋体"/>
                <w:kern w:val="0"/>
                <w:sz w:val="21"/>
                <w:szCs w:val="21"/>
              </w:rPr>
              <w:t xml:space="preserve">a.供应商应在磋商截止时间前将“电子加密磋商响应文件”成功上传递交至“政府采购云平台”，否则视为无效。 </w:t>
            </w:r>
          </w:p>
          <w:p w14:paraId="6CD4BD6C">
            <w:pPr>
              <w:keepNext w:val="0"/>
              <w:keepLines w:val="0"/>
              <w:pageBreakBefore w:val="0"/>
              <w:widowControl/>
              <w:kinsoku/>
              <w:wordWrap/>
              <w:overflowPunct/>
              <w:topLinePunct w:val="0"/>
              <w:bidi w:val="0"/>
              <w:adjustRightInd/>
              <w:snapToGrid/>
              <w:spacing w:before="24" w:beforeLines="10" w:line="360" w:lineRule="auto"/>
              <w:jc w:val="left"/>
              <w:textAlignment w:val="auto"/>
              <w:rPr>
                <w:rFonts w:ascii="宋体" w:hAnsi="宋体" w:eastAsia="宋体" w:cs="宋体"/>
                <w:kern w:val="0"/>
                <w:sz w:val="21"/>
                <w:szCs w:val="21"/>
              </w:rPr>
            </w:pPr>
            <w:r>
              <w:rPr>
                <w:rFonts w:hint="eastAsia" w:ascii="宋体" w:hAnsi="宋体" w:eastAsia="宋体" w:cs="宋体"/>
                <w:kern w:val="0"/>
                <w:sz w:val="21"/>
                <w:szCs w:val="21"/>
              </w:rPr>
              <w:t xml:space="preserve">b.“电子加密响应文件”成功上传递交后，供应商可自行打印响应文件接收回执。 </w:t>
            </w:r>
          </w:p>
          <w:p w14:paraId="26D3EB38">
            <w:pPr>
              <w:keepNext w:val="0"/>
              <w:keepLines w:val="0"/>
              <w:pageBreakBefore w:val="0"/>
              <w:widowControl/>
              <w:kinsoku/>
              <w:wordWrap/>
              <w:overflowPunct/>
              <w:topLinePunct w:val="0"/>
              <w:bidi w:val="0"/>
              <w:adjustRightInd/>
              <w:snapToGrid/>
              <w:spacing w:before="24" w:beforeLines="10" w:line="360" w:lineRule="auto"/>
              <w:jc w:val="left"/>
              <w:textAlignment w:val="auto"/>
              <w:rPr>
                <w:rFonts w:ascii="宋体" w:hAnsi="宋体" w:eastAsia="宋体" w:cs="宋体"/>
                <w:kern w:val="0"/>
                <w:sz w:val="21"/>
                <w:szCs w:val="21"/>
              </w:rPr>
            </w:pPr>
            <w:r>
              <w:rPr>
                <w:rFonts w:hint="eastAsia" w:ascii="宋体" w:hAnsi="宋体" w:eastAsia="宋体" w:cs="宋体"/>
                <w:b/>
                <w:bCs/>
                <w:kern w:val="0"/>
                <w:sz w:val="21"/>
                <w:szCs w:val="21"/>
              </w:rPr>
              <w:t>（2）“备份磋商响应文件”的密封包装、递交（如有）：</w:t>
            </w:r>
          </w:p>
          <w:p w14:paraId="008EEE9C">
            <w:pPr>
              <w:pStyle w:val="26"/>
              <w:keepNext w:val="0"/>
              <w:keepLines w:val="0"/>
              <w:pageBreakBefore w:val="0"/>
              <w:kinsoku/>
              <w:wordWrap/>
              <w:overflowPunct/>
              <w:topLinePunct w:val="0"/>
              <w:bidi w:val="0"/>
              <w:adjustRightInd/>
              <w:snapToGrid/>
              <w:spacing w:before="24" w:beforeLines="10" w:beforeAutospacing="0" w:afterAutospacing="0" w:line="360" w:lineRule="auto"/>
              <w:textAlignment w:val="auto"/>
              <w:rPr>
                <w:rFonts w:hint="default" w:eastAsia="宋体" w:cs="宋体"/>
                <w:sz w:val="21"/>
                <w:szCs w:val="21"/>
              </w:rPr>
            </w:pPr>
            <w:r>
              <w:rPr>
                <w:rFonts w:eastAsia="宋体" w:cs="宋体"/>
                <w:sz w:val="21"/>
                <w:szCs w:val="21"/>
              </w:rPr>
              <w:t xml:space="preserve">a.供应商如提交备份响应文件，以介质存储的数据电文形式的备份响应文件应当密封，封皮应注明供应商名称、项目名称并加盖公章。（详见第六部分 磋商响应文件格式-文件袋封面格式） </w:t>
            </w:r>
          </w:p>
          <w:p w14:paraId="28C3CBF6">
            <w:pPr>
              <w:pStyle w:val="26"/>
              <w:keepNext w:val="0"/>
              <w:keepLines w:val="0"/>
              <w:pageBreakBefore w:val="0"/>
              <w:kinsoku/>
              <w:wordWrap/>
              <w:overflowPunct/>
              <w:topLinePunct w:val="0"/>
              <w:bidi w:val="0"/>
              <w:adjustRightInd/>
              <w:snapToGrid/>
              <w:spacing w:before="24" w:beforeLines="10" w:beforeAutospacing="0" w:afterAutospacing="0" w:line="360" w:lineRule="auto"/>
              <w:textAlignment w:val="auto"/>
              <w:rPr>
                <w:rFonts w:hint="default" w:eastAsia="宋体" w:cs="宋体"/>
                <w:sz w:val="21"/>
                <w:szCs w:val="21"/>
              </w:rPr>
            </w:pPr>
            <w:r>
              <w:rPr>
                <w:rFonts w:eastAsia="宋体" w:cs="宋体"/>
                <w:sz w:val="21"/>
                <w:szCs w:val="21"/>
              </w:rPr>
              <w:t>b.磋商截止时间前将以介质存储的数据电文形式的备份响应文件单独密封后邮寄至采购代理机构，或磋商截止时间前派人将以介质存储的数据电文形式的备份磋商响应文件密封提交到开标室</w:t>
            </w:r>
            <w:r>
              <w:rPr>
                <w:rFonts w:eastAsia="宋体" w:cs="宋体"/>
                <w:b/>
                <w:bCs/>
                <w:sz w:val="21"/>
                <w:szCs w:val="21"/>
              </w:rPr>
              <w:t>（采用快递形式邮寄的建议在磋商截止时间</w:t>
            </w:r>
            <w:r>
              <w:rPr>
                <w:rFonts w:eastAsia="宋体" w:cs="宋体"/>
                <w:sz w:val="21"/>
                <w:szCs w:val="21"/>
              </w:rPr>
              <w:t>前一个工作日下午16:00整</w:t>
            </w:r>
            <w:r>
              <w:rPr>
                <w:rFonts w:eastAsia="宋体" w:cs="宋体"/>
                <w:b/>
                <w:bCs/>
                <w:sz w:val="21"/>
                <w:szCs w:val="21"/>
              </w:rPr>
              <w:t>送达，邮寄地址、收件人及电话详见代理机构联系方式）。</w:t>
            </w:r>
            <w:r>
              <w:rPr>
                <w:rFonts w:eastAsia="宋体" w:cs="宋体"/>
                <w:sz w:val="21"/>
                <w:szCs w:val="21"/>
              </w:rPr>
              <w:t>逾期送达或未密封的磋商响应文件将被采购人及采购代理机构拒收。</w:t>
            </w:r>
          </w:p>
          <w:p w14:paraId="61FE73B1">
            <w:pPr>
              <w:keepNext w:val="0"/>
              <w:keepLines w:val="0"/>
              <w:pageBreakBefore w:val="0"/>
              <w:widowControl/>
              <w:kinsoku/>
              <w:wordWrap/>
              <w:overflowPunct/>
              <w:topLinePunct w:val="0"/>
              <w:bidi w:val="0"/>
              <w:adjustRightInd/>
              <w:snapToGrid/>
              <w:spacing w:before="24" w:beforeLines="10" w:line="360" w:lineRule="auto"/>
              <w:jc w:val="left"/>
              <w:textAlignment w:val="auto"/>
              <w:rPr>
                <w:rFonts w:ascii="宋体" w:hAnsi="宋体" w:eastAsia="宋体" w:cs="宋体"/>
                <w:kern w:val="0"/>
                <w:sz w:val="21"/>
                <w:szCs w:val="21"/>
              </w:rPr>
            </w:pPr>
            <w:r>
              <w:rPr>
                <w:rFonts w:hint="eastAsia" w:ascii="宋体" w:hAnsi="宋体" w:eastAsia="宋体" w:cs="宋体"/>
                <w:kern w:val="0"/>
                <w:sz w:val="21"/>
                <w:szCs w:val="21"/>
              </w:rPr>
              <w:t>（3）响应文件提交截止时间前，供应商仅递交了“备份磋商响应文件”</w:t>
            </w:r>
          </w:p>
          <w:p w14:paraId="17444531">
            <w:pPr>
              <w:keepNext w:val="0"/>
              <w:keepLines w:val="0"/>
              <w:pageBreakBefore w:val="0"/>
              <w:widowControl/>
              <w:kinsoku/>
              <w:wordWrap/>
              <w:overflowPunct/>
              <w:topLinePunct w:val="0"/>
              <w:bidi w:val="0"/>
              <w:adjustRightInd/>
              <w:snapToGrid/>
              <w:spacing w:before="24" w:beforeLines="10" w:line="360" w:lineRule="auto"/>
              <w:jc w:val="left"/>
              <w:textAlignment w:val="auto"/>
              <w:rPr>
                <w:rFonts w:ascii="宋体" w:hAnsi="宋体" w:eastAsia="宋体" w:cs="宋体"/>
                <w:kern w:val="0"/>
                <w:sz w:val="21"/>
                <w:szCs w:val="21"/>
              </w:rPr>
            </w:pPr>
            <w:r>
              <w:rPr>
                <w:rFonts w:hint="eastAsia" w:ascii="宋体" w:hAnsi="宋体" w:eastAsia="宋体" w:cs="宋体"/>
                <w:kern w:val="0"/>
                <w:sz w:val="21"/>
                <w:szCs w:val="21"/>
              </w:rPr>
              <w:t>而未将电子加密磋商响应文件上传至“政府采购云平台”的，视为无效。</w:t>
            </w:r>
          </w:p>
          <w:p w14:paraId="50F8A5F0">
            <w:pPr>
              <w:keepNext w:val="0"/>
              <w:keepLines w:val="0"/>
              <w:pageBreakBefore w:val="0"/>
              <w:widowControl/>
              <w:kinsoku/>
              <w:wordWrap/>
              <w:overflowPunct/>
              <w:topLinePunct w:val="0"/>
              <w:bidi w:val="0"/>
              <w:adjustRightInd/>
              <w:snapToGrid/>
              <w:spacing w:before="24" w:beforeLines="10" w:line="360" w:lineRule="auto"/>
              <w:jc w:val="left"/>
              <w:textAlignment w:val="auto"/>
              <w:rPr>
                <w:rFonts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sz w:val="21"/>
                <w:szCs w:val="21"/>
              </w:rPr>
              <w:t>备份响应文件仅在在线解密异常处理时使用。响应文件已按时解密的，备份响应文件自动失效。</w:t>
            </w:r>
          </w:p>
        </w:tc>
      </w:tr>
      <w:tr w14:paraId="37B9C9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496" w:type="dxa"/>
            <w:noWrap/>
            <w:vAlign w:val="center"/>
          </w:tcPr>
          <w:p w14:paraId="21E467D6">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11</w:t>
            </w:r>
          </w:p>
        </w:tc>
        <w:tc>
          <w:tcPr>
            <w:tcW w:w="1467" w:type="dxa"/>
            <w:noWrap/>
            <w:vAlign w:val="center"/>
          </w:tcPr>
          <w:p w14:paraId="45F377D8">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bCs/>
                <w:sz w:val="21"/>
                <w:szCs w:val="21"/>
              </w:rPr>
            </w:pPr>
            <w:r>
              <w:rPr>
                <w:rFonts w:hint="eastAsia" w:ascii="宋体" w:hAnsi="宋体" w:eastAsia="宋体" w:cs="宋体"/>
                <w:bCs/>
                <w:sz w:val="21"/>
                <w:szCs w:val="21"/>
              </w:rPr>
              <w:t>▲响应文件磋商</w:t>
            </w:r>
          </w:p>
          <w:p w14:paraId="6D9C67F5">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bCs/>
                <w:sz w:val="21"/>
                <w:szCs w:val="21"/>
              </w:rPr>
              <w:t>截止时间</w:t>
            </w:r>
          </w:p>
        </w:tc>
        <w:tc>
          <w:tcPr>
            <w:tcW w:w="7675" w:type="dxa"/>
            <w:noWrap/>
            <w:vAlign w:val="center"/>
          </w:tcPr>
          <w:p w14:paraId="22893D50">
            <w:pPr>
              <w:keepNext w:val="0"/>
              <w:keepLines w:val="0"/>
              <w:pageBreakBefore w:val="0"/>
              <w:kinsoku/>
              <w:wordWrap/>
              <w:overflowPunct/>
              <w:topLinePunct w:val="0"/>
              <w:bidi w:val="0"/>
              <w:adjustRightInd/>
              <w:snapToGrid/>
              <w:spacing w:before="24" w:beforeLines="10" w:line="360" w:lineRule="auto"/>
              <w:textAlignment w:val="auto"/>
              <w:rPr>
                <w:rFonts w:ascii="宋体" w:hAnsi="宋体" w:eastAsia="宋体" w:cs="宋体"/>
                <w:sz w:val="21"/>
                <w:szCs w:val="21"/>
              </w:rPr>
            </w:pPr>
            <w:r>
              <w:rPr>
                <w:rFonts w:hint="eastAsia" w:ascii="宋体" w:hAnsi="宋体" w:eastAsia="宋体" w:cs="宋体"/>
                <w:sz w:val="21"/>
                <w:szCs w:val="21"/>
              </w:rPr>
              <w:t>供应商应当在</w:t>
            </w:r>
            <w:r>
              <w:rPr>
                <w:rFonts w:hint="eastAsia" w:ascii="宋体" w:hAnsi="宋体" w:eastAsia="宋体" w:cs="宋体"/>
                <w:b/>
                <w:bCs/>
                <w:sz w:val="21"/>
                <w:szCs w:val="21"/>
                <w:highlight w:val="none"/>
              </w:rPr>
              <w:t>磋商截止时间：202</w:t>
            </w: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年</w:t>
            </w:r>
            <w:r>
              <w:rPr>
                <w:rFonts w:hint="eastAsia" w:ascii="宋体" w:hAnsi="宋体" w:eastAsia="宋体" w:cs="宋体"/>
                <w:b/>
                <w:bCs/>
                <w:sz w:val="21"/>
                <w:szCs w:val="21"/>
                <w:highlight w:val="none"/>
                <w:lang w:val="en-US" w:eastAsia="zh-CN"/>
              </w:rPr>
              <w:t>10</w:t>
            </w:r>
            <w:r>
              <w:rPr>
                <w:rFonts w:hint="eastAsia" w:ascii="宋体" w:hAnsi="宋体" w:eastAsia="宋体" w:cs="宋体"/>
                <w:b/>
                <w:bCs/>
                <w:sz w:val="21"/>
                <w:szCs w:val="21"/>
                <w:highlight w:val="none"/>
              </w:rPr>
              <w:t>月</w:t>
            </w:r>
            <w:r>
              <w:rPr>
                <w:rFonts w:hint="eastAsia" w:ascii="宋体" w:hAnsi="宋体" w:eastAsia="宋体" w:cs="宋体"/>
                <w:b/>
                <w:bCs/>
                <w:sz w:val="21"/>
                <w:szCs w:val="21"/>
                <w:highlight w:val="none"/>
                <w:lang w:val="en-US" w:eastAsia="zh-CN"/>
              </w:rPr>
              <w:t>9</w:t>
            </w:r>
            <w:r>
              <w:rPr>
                <w:rFonts w:hint="eastAsia" w:ascii="宋体" w:hAnsi="宋体" w:eastAsia="宋体" w:cs="宋体"/>
                <w:b/>
                <w:bCs/>
                <w:sz w:val="21"/>
                <w:szCs w:val="21"/>
                <w:highlight w:val="none"/>
              </w:rPr>
              <w:t>日9：</w:t>
            </w:r>
            <w:r>
              <w:rPr>
                <w:rFonts w:hint="eastAsia" w:ascii="宋体" w:hAnsi="宋体" w:eastAsia="宋体" w:cs="宋体"/>
                <w:b/>
                <w:bCs/>
                <w:sz w:val="21"/>
                <w:szCs w:val="21"/>
                <w:highlight w:val="none"/>
                <w:lang w:val="en-US" w:eastAsia="zh-CN"/>
              </w:rPr>
              <w:t>0</w:t>
            </w:r>
            <w:r>
              <w:rPr>
                <w:rFonts w:hint="eastAsia" w:ascii="宋体" w:hAnsi="宋体" w:eastAsia="宋体" w:cs="宋体"/>
                <w:b/>
                <w:bCs/>
                <w:sz w:val="21"/>
                <w:szCs w:val="21"/>
                <w:highlight w:val="none"/>
              </w:rPr>
              <w:t>0</w:t>
            </w:r>
            <w:r>
              <w:rPr>
                <w:rFonts w:hint="eastAsia" w:ascii="宋体" w:hAnsi="宋体" w:eastAsia="宋体" w:cs="宋体"/>
                <w:b/>
                <w:bCs/>
                <w:sz w:val="21"/>
                <w:szCs w:val="21"/>
              </w:rPr>
              <w:t>（北京时间）前</w:t>
            </w:r>
            <w:r>
              <w:rPr>
                <w:rFonts w:hint="eastAsia" w:ascii="宋体" w:hAnsi="宋体" w:eastAsia="宋体" w:cs="宋体"/>
                <w:sz w:val="21"/>
                <w:szCs w:val="21"/>
              </w:rPr>
              <w:t>完成电子响应文件的传输提交，磋商截止时间前可以补充、修回电子磋商响应文件。补充或者修改电子磋商响应文件的，应当先行撤改或者撤回原文件，补充、修改后重新传输提交。磋商截止时间前未完成传输的，视为撤回电子磋商响应文件。</w:t>
            </w:r>
          </w:p>
        </w:tc>
      </w:tr>
      <w:tr w14:paraId="4AFE38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noWrap/>
            <w:vAlign w:val="center"/>
          </w:tcPr>
          <w:p w14:paraId="762C288A">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12</w:t>
            </w:r>
          </w:p>
        </w:tc>
        <w:tc>
          <w:tcPr>
            <w:tcW w:w="1467" w:type="dxa"/>
            <w:noWrap/>
            <w:vAlign w:val="center"/>
          </w:tcPr>
          <w:p w14:paraId="2B8C2183">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bCs/>
                <w:sz w:val="21"/>
                <w:szCs w:val="21"/>
              </w:rPr>
            </w:pPr>
            <w:r>
              <w:rPr>
                <w:rFonts w:hint="eastAsia" w:ascii="宋体" w:hAnsi="宋体" w:eastAsia="宋体" w:cs="宋体"/>
                <w:bCs/>
                <w:sz w:val="21"/>
                <w:szCs w:val="21"/>
              </w:rPr>
              <w:t>开标时间</w:t>
            </w:r>
          </w:p>
          <w:p w14:paraId="76CA833F">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bCs/>
                <w:sz w:val="21"/>
                <w:szCs w:val="21"/>
              </w:rPr>
            </w:pPr>
            <w:r>
              <w:rPr>
                <w:rFonts w:hint="eastAsia" w:ascii="宋体" w:hAnsi="宋体" w:eastAsia="宋体" w:cs="宋体"/>
                <w:bCs/>
                <w:sz w:val="21"/>
                <w:szCs w:val="21"/>
              </w:rPr>
              <w:t>及地点</w:t>
            </w:r>
          </w:p>
        </w:tc>
        <w:tc>
          <w:tcPr>
            <w:tcW w:w="7675" w:type="dxa"/>
            <w:noWrap/>
            <w:vAlign w:val="center"/>
          </w:tcPr>
          <w:p w14:paraId="669E6BFF">
            <w:pPr>
              <w:keepNext w:val="0"/>
              <w:keepLines w:val="0"/>
              <w:pageBreakBefore w:val="0"/>
              <w:kinsoku/>
              <w:wordWrap/>
              <w:overflowPunct/>
              <w:topLinePunct w:val="0"/>
              <w:bidi w:val="0"/>
              <w:adjustRightInd/>
              <w:snapToGrid/>
              <w:spacing w:before="24" w:beforeLines="10" w:line="360" w:lineRule="auto"/>
              <w:jc w:val="left"/>
              <w:textAlignment w:val="auto"/>
              <w:rPr>
                <w:rFonts w:ascii="宋体" w:hAnsi="宋体" w:eastAsia="宋体" w:cs="宋体"/>
                <w:b/>
                <w:sz w:val="21"/>
                <w:szCs w:val="21"/>
              </w:rPr>
            </w:pPr>
            <w:r>
              <w:rPr>
                <w:rFonts w:hint="eastAsia" w:ascii="宋体" w:hAnsi="宋体" w:eastAsia="宋体" w:cs="宋体"/>
                <w:b/>
                <w:sz w:val="21"/>
                <w:szCs w:val="21"/>
                <w:highlight w:val="none"/>
              </w:rPr>
              <w:t>开标时间：202</w:t>
            </w:r>
            <w:r>
              <w:rPr>
                <w:rFonts w:hint="eastAsia" w:ascii="宋体" w:hAnsi="宋体" w:eastAsia="宋体" w:cs="宋体"/>
                <w:b/>
                <w:sz w:val="21"/>
                <w:szCs w:val="21"/>
                <w:highlight w:val="none"/>
                <w:lang w:val="en-US" w:eastAsia="zh-CN"/>
              </w:rPr>
              <w:t>4</w:t>
            </w:r>
            <w:r>
              <w:rPr>
                <w:rFonts w:hint="eastAsia" w:ascii="宋体" w:hAnsi="宋体" w:eastAsia="宋体" w:cs="宋体"/>
                <w:b/>
                <w:sz w:val="21"/>
                <w:szCs w:val="21"/>
                <w:highlight w:val="none"/>
              </w:rPr>
              <w:t>年</w:t>
            </w:r>
            <w:r>
              <w:rPr>
                <w:rFonts w:hint="eastAsia" w:ascii="宋体" w:hAnsi="宋体" w:eastAsia="宋体" w:cs="宋体"/>
                <w:b/>
                <w:sz w:val="21"/>
                <w:szCs w:val="21"/>
                <w:highlight w:val="none"/>
                <w:lang w:val="en-US" w:eastAsia="zh-CN"/>
              </w:rPr>
              <w:t>10</w:t>
            </w:r>
            <w:r>
              <w:rPr>
                <w:rFonts w:hint="eastAsia" w:ascii="宋体" w:hAnsi="宋体" w:eastAsia="宋体" w:cs="宋体"/>
                <w:b/>
                <w:sz w:val="21"/>
                <w:szCs w:val="21"/>
                <w:highlight w:val="none"/>
              </w:rPr>
              <w:t>月</w:t>
            </w:r>
            <w:r>
              <w:rPr>
                <w:rFonts w:hint="eastAsia" w:ascii="宋体" w:hAnsi="宋体" w:eastAsia="宋体" w:cs="宋体"/>
                <w:b/>
                <w:sz w:val="21"/>
                <w:szCs w:val="21"/>
                <w:highlight w:val="none"/>
                <w:lang w:val="en-US" w:eastAsia="zh-CN"/>
              </w:rPr>
              <w:t>9</w:t>
            </w:r>
            <w:r>
              <w:rPr>
                <w:rFonts w:hint="eastAsia" w:ascii="宋体" w:hAnsi="宋体" w:eastAsia="宋体" w:cs="宋体"/>
                <w:b/>
                <w:sz w:val="21"/>
                <w:szCs w:val="21"/>
                <w:highlight w:val="none"/>
              </w:rPr>
              <w:t>日9：</w:t>
            </w:r>
            <w:r>
              <w:rPr>
                <w:rFonts w:hint="eastAsia" w:ascii="宋体" w:hAnsi="宋体" w:eastAsia="宋体" w:cs="宋体"/>
                <w:b/>
                <w:sz w:val="21"/>
                <w:szCs w:val="21"/>
                <w:highlight w:val="none"/>
                <w:lang w:val="en-US" w:eastAsia="zh-CN"/>
              </w:rPr>
              <w:t>0</w:t>
            </w:r>
            <w:r>
              <w:rPr>
                <w:rFonts w:hint="eastAsia" w:ascii="宋体" w:hAnsi="宋体" w:eastAsia="宋体" w:cs="宋体"/>
                <w:b/>
                <w:sz w:val="21"/>
                <w:szCs w:val="21"/>
                <w:highlight w:val="none"/>
              </w:rPr>
              <w:t>0</w:t>
            </w:r>
            <w:r>
              <w:rPr>
                <w:rFonts w:hint="eastAsia" w:ascii="宋体" w:hAnsi="宋体" w:eastAsia="宋体" w:cs="宋体"/>
                <w:b/>
                <w:sz w:val="21"/>
                <w:szCs w:val="21"/>
              </w:rPr>
              <w:t>（北京时间）</w:t>
            </w:r>
          </w:p>
          <w:p w14:paraId="193F5160">
            <w:pPr>
              <w:pStyle w:val="10"/>
              <w:keepNext w:val="0"/>
              <w:keepLines w:val="0"/>
              <w:pageBreakBefore w:val="0"/>
              <w:kinsoku/>
              <w:wordWrap/>
              <w:overflowPunct/>
              <w:topLinePunct w:val="0"/>
              <w:bidi w:val="0"/>
              <w:adjustRightInd/>
              <w:snapToGrid/>
              <w:spacing w:line="360" w:lineRule="auto"/>
              <w:textAlignment w:val="auto"/>
              <w:rPr>
                <w:rFonts w:eastAsia="宋体"/>
                <w:sz w:val="21"/>
                <w:szCs w:val="21"/>
              </w:rPr>
            </w:pPr>
            <w:r>
              <w:rPr>
                <w:rFonts w:hint="eastAsia" w:eastAsia="宋体"/>
                <w:b/>
                <w:sz w:val="21"/>
                <w:szCs w:val="21"/>
              </w:rPr>
              <w:t>地点：</w:t>
            </w:r>
            <w:r>
              <w:rPr>
                <w:rFonts w:hint="eastAsia" w:ascii="宋体" w:hAnsi="宋体" w:eastAsia="宋体" w:cs="宋体"/>
                <w:sz w:val="21"/>
                <w:szCs w:val="21"/>
              </w:rPr>
              <w:t>通过“政府采购云平台（www.zcygov.cn）”实行在线投标响应</w:t>
            </w:r>
          </w:p>
        </w:tc>
      </w:tr>
      <w:tr w14:paraId="7F496A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233C879E">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13</w:t>
            </w:r>
          </w:p>
        </w:tc>
        <w:tc>
          <w:tcPr>
            <w:tcW w:w="1467" w:type="dxa"/>
            <w:tcBorders>
              <w:bottom w:val="single" w:color="auto" w:sz="4" w:space="0"/>
            </w:tcBorders>
            <w:noWrap/>
            <w:vAlign w:val="center"/>
          </w:tcPr>
          <w:p w14:paraId="54F38509">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bCs/>
                <w:sz w:val="21"/>
                <w:szCs w:val="21"/>
              </w:rPr>
            </w:pPr>
            <w:r>
              <w:rPr>
                <w:rFonts w:hint="eastAsia" w:ascii="宋体" w:hAnsi="宋体" w:eastAsia="宋体" w:cs="宋体"/>
                <w:bCs/>
                <w:sz w:val="21"/>
                <w:szCs w:val="21"/>
              </w:rPr>
              <w:t>备份响应文件拒收</w:t>
            </w:r>
          </w:p>
          <w:p w14:paraId="360F60DE">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bCs/>
                <w:sz w:val="21"/>
                <w:szCs w:val="21"/>
              </w:rPr>
            </w:pPr>
            <w:r>
              <w:rPr>
                <w:rFonts w:hint="eastAsia" w:ascii="宋体" w:hAnsi="宋体" w:eastAsia="宋体" w:cs="宋体"/>
                <w:bCs/>
                <w:sz w:val="21"/>
                <w:szCs w:val="21"/>
              </w:rPr>
              <w:t>（如有）</w:t>
            </w:r>
          </w:p>
        </w:tc>
        <w:tc>
          <w:tcPr>
            <w:tcW w:w="7675" w:type="dxa"/>
            <w:tcBorders>
              <w:bottom w:val="single" w:color="auto" w:sz="4" w:space="0"/>
            </w:tcBorders>
            <w:noWrap/>
            <w:vAlign w:val="center"/>
          </w:tcPr>
          <w:p w14:paraId="4A1729EB">
            <w:pPr>
              <w:keepNext w:val="0"/>
              <w:keepLines w:val="0"/>
              <w:pageBreakBefore w:val="0"/>
              <w:kinsoku/>
              <w:wordWrap/>
              <w:overflowPunct/>
              <w:topLinePunct w:val="0"/>
              <w:bidi w:val="0"/>
              <w:adjustRightInd/>
              <w:snapToGrid/>
              <w:spacing w:before="24" w:beforeLines="10" w:line="360" w:lineRule="auto"/>
              <w:jc w:val="left"/>
              <w:textAlignment w:val="auto"/>
              <w:rPr>
                <w:rFonts w:ascii="宋体" w:hAnsi="宋体" w:eastAsia="宋体" w:cs="宋体"/>
                <w:b/>
                <w:kern w:val="0"/>
                <w:sz w:val="21"/>
                <w:szCs w:val="21"/>
              </w:rPr>
            </w:pPr>
            <w:r>
              <w:rPr>
                <w:rFonts w:hint="eastAsia" w:ascii="宋体" w:hAnsi="宋体" w:eastAsia="宋体" w:cs="宋体"/>
                <w:b/>
                <w:kern w:val="0"/>
                <w:sz w:val="21"/>
                <w:szCs w:val="21"/>
              </w:rPr>
              <w:t>供应商若递交备份磋商响应文件时，如出现下列情况之一的，将予以拒收：</w:t>
            </w:r>
          </w:p>
          <w:p w14:paraId="01DBE611">
            <w:pPr>
              <w:keepNext w:val="0"/>
              <w:keepLines w:val="0"/>
              <w:pageBreakBefore w:val="0"/>
              <w:kinsoku/>
              <w:wordWrap/>
              <w:overflowPunct/>
              <w:topLinePunct w:val="0"/>
              <w:bidi w:val="0"/>
              <w:adjustRightInd/>
              <w:snapToGrid/>
              <w:spacing w:before="24" w:beforeLines="10" w:line="360" w:lineRule="auto"/>
              <w:jc w:val="left"/>
              <w:textAlignment w:val="auto"/>
              <w:rPr>
                <w:rFonts w:ascii="宋体" w:hAnsi="宋体" w:eastAsia="宋体" w:cs="宋体"/>
                <w:bCs/>
                <w:sz w:val="21"/>
                <w:szCs w:val="21"/>
              </w:rPr>
            </w:pPr>
            <w:r>
              <w:rPr>
                <w:rFonts w:hint="eastAsia" w:ascii="宋体" w:hAnsi="宋体" w:eastAsia="宋体" w:cs="宋体"/>
                <w:bCs/>
                <w:sz w:val="21"/>
                <w:szCs w:val="21"/>
              </w:rPr>
              <w:t>1、未按规定密封或标记的磋商响应文件；</w:t>
            </w:r>
          </w:p>
          <w:p w14:paraId="37507E9A">
            <w:pPr>
              <w:keepNext w:val="0"/>
              <w:keepLines w:val="0"/>
              <w:pageBreakBefore w:val="0"/>
              <w:kinsoku/>
              <w:wordWrap/>
              <w:overflowPunct/>
              <w:topLinePunct w:val="0"/>
              <w:bidi w:val="0"/>
              <w:adjustRightInd/>
              <w:snapToGrid/>
              <w:spacing w:before="24" w:beforeLines="10" w:line="360" w:lineRule="auto"/>
              <w:jc w:val="left"/>
              <w:textAlignment w:val="auto"/>
              <w:rPr>
                <w:rFonts w:ascii="宋体" w:hAnsi="宋体" w:eastAsia="宋体" w:cs="宋体"/>
                <w:bCs/>
                <w:sz w:val="21"/>
                <w:szCs w:val="21"/>
              </w:rPr>
            </w:pPr>
            <w:r>
              <w:rPr>
                <w:rFonts w:hint="eastAsia" w:ascii="宋体" w:hAnsi="宋体" w:eastAsia="宋体" w:cs="宋体"/>
                <w:bCs/>
                <w:sz w:val="21"/>
                <w:szCs w:val="21"/>
              </w:rPr>
              <w:t>2、由于包装不妥，在送交途中严重破损或失散的；</w:t>
            </w:r>
          </w:p>
          <w:p w14:paraId="44D32148">
            <w:pPr>
              <w:keepNext w:val="0"/>
              <w:keepLines w:val="0"/>
              <w:pageBreakBefore w:val="0"/>
              <w:widowControl/>
              <w:kinsoku/>
              <w:wordWrap/>
              <w:overflowPunct/>
              <w:topLinePunct w:val="0"/>
              <w:bidi w:val="0"/>
              <w:adjustRightInd/>
              <w:snapToGrid/>
              <w:spacing w:before="24" w:beforeLines="10" w:line="360" w:lineRule="auto"/>
              <w:jc w:val="left"/>
              <w:textAlignment w:val="auto"/>
              <w:rPr>
                <w:rFonts w:ascii="宋体" w:hAnsi="宋体" w:eastAsia="宋体" w:cs="宋体"/>
                <w:sz w:val="21"/>
                <w:szCs w:val="21"/>
              </w:rPr>
            </w:pPr>
            <w:r>
              <w:rPr>
                <w:rFonts w:hint="eastAsia" w:ascii="宋体" w:hAnsi="宋体" w:eastAsia="宋体" w:cs="宋体"/>
                <w:bCs/>
                <w:sz w:val="21"/>
                <w:szCs w:val="21"/>
              </w:rPr>
              <w:t>3、超过磋商截止时间送达的。</w:t>
            </w:r>
          </w:p>
        </w:tc>
      </w:tr>
      <w:tr w14:paraId="677371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96" w:type="dxa"/>
            <w:tcBorders>
              <w:bottom w:val="single" w:color="auto" w:sz="4" w:space="0"/>
            </w:tcBorders>
            <w:noWrap/>
            <w:vAlign w:val="center"/>
          </w:tcPr>
          <w:p w14:paraId="4DAE5C1E">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14</w:t>
            </w:r>
          </w:p>
        </w:tc>
        <w:tc>
          <w:tcPr>
            <w:tcW w:w="1467" w:type="dxa"/>
            <w:tcBorders>
              <w:bottom w:val="single" w:color="auto" w:sz="4" w:space="0"/>
            </w:tcBorders>
            <w:noWrap/>
            <w:vAlign w:val="center"/>
          </w:tcPr>
          <w:p w14:paraId="0C58259B">
            <w:pPr>
              <w:keepNext w:val="0"/>
              <w:keepLines w:val="0"/>
              <w:pageBreakBefore w:val="0"/>
              <w:kinsoku/>
              <w:wordWrap/>
              <w:overflowPunct/>
              <w:topLinePunct w:val="0"/>
              <w:autoSpaceDE w:val="0"/>
              <w:autoSpaceDN w:val="0"/>
              <w:bidi w:val="0"/>
              <w:adjustRightInd/>
              <w:snapToGrid/>
              <w:spacing w:before="24" w:beforeLines="10" w:line="360" w:lineRule="auto"/>
              <w:jc w:val="center"/>
              <w:textAlignment w:val="auto"/>
              <w:rPr>
                <w:rFonts w:ascii="宋体" w:hAnsi="宋体" w:eastAsia="宋体" w:cs="宋体"/>
                <w:sz w:val="21"/>
                <w:szCs w:val="21"/>
                <w:lang w:val="zh-CN"/>
              </w:rPr>
            </w:pPr>
            <w:r>
              <w:rPr>
                <w:rFonts w:hint="eastAsia" w:ascii="宋体" w:hAnsi="宋体" w:eastAsia="宋体" w:cs="宋体"/>
                <w:sz w:val="21"/>
                <w:szCs w:val="21"/>
                <w:lang w:val="zh-CN"/>
              </w:rPr>
              <w:t>实质性条款</w:t>
            </w:r>
          </w:p>
        </w:tc>
        <w:tc>
          <w:tcPr>
            <w:tcW w:w="7675" w:type="dxa"/>
            <w:tcBorders>
              <w:bottom w:val="single" w:color="auto" w:sz="4" w:space="0"/>
            </w:tcBorders>
            <w:noWrap/>
            <w:vAlign w:val="center"/>
          </w:tcPr>
          <w:p w14:paraId="701D77D2">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ascii="宋体" w:hAnsi="宋体" w:eastAsia="宋体" w:cs="宋体"/>
                <w:kern w:val="0"/>
                <w:sz w:val="21"/>
                <w:szCs w:val="21"/>
                <w:lang w:val="zh-CN"/>
              </w:rPr>
            </w:pPr>
            <w:r>
              <w:rPr>
                <w:rFonts w:hint="eastAsia" w:ascii="宋体" w:hAnsi="宋体" w:eastAsia="宋体" w:cs="宋体"/>
                <w:kern w:val="0"/>
                <w:sz w:val="21"/>
                <w:szCs w:val="21"/>
                <w:lang w:val="zh-CN"/>
              </w:rPr>
              <w:t>带</w:t>
            </w:r>
            <w:r>
              <w:rPr>
                <w:rFonts w:hint="eastAsia" w:ascii="宋体" w:hAnsi="宋体" w:eastAsia="宋体" w:cs="宋体"/>
                <w:bCs/>
                <w:sz w:val="21"/>
                <w:szCs w:val="21"/>
              </w:rPr>
              <w:t>▲是实质性条款，磋商响应文件须作出实质性响应，否则作无效标处理。</w:t>
            </w:r>
          </w:p>
        </w:tc>
      </w:tr>
      <w:tr w14:paraId="1D304E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72175464">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15</w:t>
            </w:r>
          </w:p>
        </w:tc>
        <w:tc>
          <w:tcPr>
            <w:tcW w:w="1467" w:type="dxa"/>
            <w:tcBorders>
              <w:top w:val="single" w:color="auto" w:sz="4" w:space="0"/>
              <w:bottom w:val="single" w:color="auto" w:sz="4" w:space="0"/>
            </w:tcBorders>
            <w:noWrap/>
            <w:vAlign w:val="center"/>
          </w:tcPr>
          <w:p w14:paraId="6620F439">
            <w:pPr>
              <w:keepNext w:val="0"/>
              <w:keepLines w:val="0"/>
              <w:pageBreakBefore w:val="0"/>
              <w:kinsoku/>
              <w:wordWrap/>
              <w:overflowPunct/>
              <w:topLinePunct w:val="0"/>
              <w:autoSpaceDE w:val="0"/>
              <w:autoSpaceDN w:val="0"/>
              <w:bidi w:val="0"/>
              <w:adjustRightInd/>
              <w:snapToGrid/>
              <w:spacing w:before="24" w:beforeLines="10" w:line="360" w:lineRule="auto"/>
              <w:jc w:val="center"/>
              <w:textAlignment w:val="auto"/>
              <w:rPr>
                <w:rFonts w:ascii="宋体" w:hAnsi="宋体" w:eastAsia="宋体" w:cs="宋体"/>
                <w:bCs/>
                <w:sz w:val="21"/>
                <w:szCs w:val="21"/>
                <w:lang w:val="zh-CN"/>
              </w:rPr>
            </w:pPr>
            <w:r>
              <w:rPr>
                <w:rFonts w:hint="eastAsia" w:ascii="宋体" w:hAnsi="宋体" w:eastAsia="宋体" w:cs="宋体"/>
                <w:bCs/>
                <w:sz w:val="21"/>
                <w:szCs w:val="21"/>
              </w:rPr>
              <w:t>▲项目最高限价</w:t>
            </w:r>
          </w:p>
        </w:tc>
        <w:tc>
          <w:tcPr>
            <w:tcW w:w="7675" w:type="dxa"/>
            <w:tcBorders>
              <w:top w:val="single" w:color="auto" w:sz="4" w:space="0"/>
              <w:bottom w:val="single" w:color="auto" w:sz="4" w:space="0"/>
            </w:tcBorders>
            <w:noWrap/>
            <w:vAlign w:val="center"/>
          </w:tcPr>
          <w:p w14:paraId="11632942">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ascii="宋体" w:hAnsi="宋体" w:eastAsia="宋体" w:cs="宋体"/>
                <w:bCs/>
                <w:sz w:val="21"/>
                <w:szCs w:val="21"/>
                <w:lang w:val="zh-CN"/>
              </w:rPr>
            </w:pPr>
            <w:r>
              <w:rPr>
                <w:rFonts w:hint="eastAsia" w:ascii="宋体" w:hAnsi="宋体" w:eastAsia="宋体" w:cs="宋体"/>
                <w:bCs/>
                <w:sz w:val="21"/>
                <w:szCs w:val="21"/>
              </w:rPr>
              <w:t>最高限价为</w:t>
            </w:r>
            <w:r>
              <w:rPr>
                <w:rFonts w:hint="eastAsia" w:ascii="宋体" w:hAnsi="宋体" w:eastAsia="宋体" w:cs="宋体"/>
                <w:kern w:val="0"/>
                <w:sz w:val="21"/>
                <w:szCs w:val="21"/>
                <w:lang w:val="en-US" w:eastAsia="zh-CN"/>
              </w:rPr>
              <w:t>500000</w:t>
            </w:r>
            <w:r>
              <w:rPr>
                <w:rFonts w:hint="eastAsia" w:ascii="宋体" w:hAnsi="宋体" w:eastAsia="宋体" w:cs="宋体"/>
                <w:b/>
                <w:kern w:val="0"/>
                <w:sz w:val="21"/>
                <w:szCs w:val="21"/>
              </w:rPr>
              <w:t>元</w:t>
            </w:r>
            <w:r>
              <w:rPr>
                <w:rFonts w:hint="eastAsia" w:ascii="宋体" w:hAnsi="宋体" w:eastAsia="宋体" w:cs="宋体"/>
                <w:bCs/>
                <w:sz w:val="21"/>
                <w:szCs w:val="21"/>
              </w:rPr>
              <w:t xml:space="preserve">。如供应商的磋商报价超过最高限价，其磋商响应文件作无效标处理。 </w:t>
            </w:r>
          </w:p>
        </w:tc>
      </w:tr>
      <w:tr w14:paraId="1308C8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6FFCBC67">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16</w:t>
            </w:r>
          </w:p>
        </w:tc>
        <w:tc>
          <w:tcPr>
            <w:tcW w:w="1467" w:type="dxa"/>
            <w:tcBorders>
              <w:top w:val="single" w:color="auto" w:sz="4" w:space="0"/>
              <w:bottom w:val="single" w:color="auto" w:sz="4" w:space="0"/>
            </w:tcBorders>
            <w:noWrap/>
            <w:vAlign w:val="center"/>
          </w:tcPr>
          <w:p w14:paraId="0B42B302">
            <w:pPr>
              <w:keepNext w:val="0"/>
              <w:keepLines w:val="0"/>
              <w:pageBreakBefore w:val="0"/>
              <w:kinsoku/>
              <w:wordWrap/>
              <w:overflowPunct/>
              <w:topLinePunct w:val="0"/>
              <w:autoSpaceDE w:val="0"/>
              <w:autoSpaceDN w:val="0"/>
              <w:bidi w:val="0"/>
              <w:adjustRightInd/>
              <w:snapToGrid/>
              <w:spacing w:line="360" w:lineRule="auto"/>
              <w:jc w:val="center"/>
              <w:textAlignment w:val="auto"/>
              <w:rPr>
                <w:rFonts w:ascii="宋体" w:hAnsi="宋体" w:eastAsia="宋体" w:cs="宋体"/>
                <w:bCs/>
                <w:sz w:val="21"/>
                <w:szCs w:val="21"/>
              </w:rPr>
            </w:pPr>
            <w:r>
              <w:rPr>
                <w:rFonts w:hint="eastAsia" w:ascii="宋体" w:hAnsi="宋体" w:eastAsia="宋体" w:cs="宋体"/>
                <w:kern w:val="0"/>
                <w:sz w:val="21"/>
                <w:szCs w:val="21"/>
              </w:rPr>
              <w:t>代理服务费</w:t>
            </w:r>
          </w:p>
        </w:tc>
        <w:tc>
          <w:tcPr>
            <w:tcW w:w="7675" w:type="dxa"/>
            <w:tcBorders>
              <w:top w:val="single" w:color="auto" w:sz="4" w:space="0"/>
              <w:bottom w:val="single" w:color="auto" w:sz="4" w:space="0"/>
            </w:tcBorders>
            <w:noWrap/>
            <w:vAlign w:val="center"/>
          </w:tcPr>
          <w:p w14:paraId="6C6D8200">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按照下列表格中</w:t>
            </w:r>
            <w:r>
              <w:rPr>
                <w:rFonts w:hint="eastAsia" w:ascii="宋体" w:hAnsi="宋体" w:eastAsia="宋体" w:cs="宋体"/>
                <w:bCs/>
                <w:sz w:val="21"/>
                <w:szCs w:val="21"/>
                <w:lang w:val="en-US" w:eastAsia="zh-CN"/>
              </w:rPr>
              <w:t>货物招标</w:t>
            </w:r>
            <w:r>
              <w:rPr>
                <w:rFonts w:hint="eastAsia" w:ascii="宋体" w:hAnsi="宋体" w:eastAsia="宋体" w:cs="宋体"/>
                <w:bCs/>
                <w:sz w:val="21"/>
                <w:szCs w:val="21"/>
              </w:rPr>
              <w:t>类计算标准（差额定率累进法）</w:t>
            </w:r>
            <w:r>
              <w:rPr>
                <w:rFonts w:hint="eastAsia" w:ascii="宋体" w:hAnsi="宋体" w:eastAsia="宋体" w:cs="宋体"/>
                <w:bCs/>
                <w:sz w:val="21"/>
                <w:szCs w:val="21"/>
                <w:lang w:val="en-US" w:eastAsia="zh-CN"/>
              </w:rPr>
              <w:t>规定的服务招标费率</w:t>
            </w:r>
            <w:r>
              <w:rPr>
                <w:rFonts w:hint="eastAsia" w:ascii="宋体" w:hAnsi="宋体" w:eastAsia="宋体" w:cs="宋体"/>
                <w:bCs/>
                <w:sz w:val="21"/>
                <w:szCs w:val="21"/>
              </w:rPr>
              <w:t>向中标单位收取招标代理费</w:t>
            </w:r>
            <w:r>
              <w:rPr>
                <w:rFonts w:hint="eastAsia" w:ascii="宋体" w:hAnsi="宋体" w:eastAsia="宋体" w:cs="宋体"/>
                <w:bCs/>
                <w:sz w:val="21"/>
                <w:szCs w:val="21"/>
                <w:lang w:eastAsia="zh-CN"/>
              </w:rPr>
              <w:t>，</w:t>
            </w:r>
            <w:r>
              <w:rPr>
                <w:rFonts w:hint="eastAsia" w:ascii="宋体" w:hAnsi="宋体" w:eastAsia="宋体" w:cs="宋体"/>
                <w:bCs/>
                <w:sz w:val="21"/>
                <w:szCs w:val="21"/>
              </w:rPr>
              <w:t>代理服务费结算时不足</w:t>
            </w:r>
            <w:r>
              <w:rPr>
                <w:rFonts w:hint="eastAsia" w:ascii="宋体" w:hAnsi="宋体" w:eastAsia="宋体" w:cs="宋体"/>
                <w:bCs/>
                <w:sz w:val="21"/>
                <w:szCs w:val="21"/>
                <w:lang w:val="en-US" w:eastAsia="zh-CN"/>
              </w:rPr>
              <w:t>6</w:t>
            </w:r>
            <w:r>
              <w:rPr>
                <w:rFonts w:hint="eastAsia" w:ascii="宋体" w:hAnsi="宋体" w:eastAsia="宋体" w:cs="宋体"/>
                <w:bCs/>
                <w:sz w:val="21"/>
                <w:szCs w:val="21"/>
              </w:rPr>
              <w:t>000元的，按定额</w:t>
            </w:r>
            <w:r>
              <w:rPr>
                <w:rFonts w:hint="eastAsia" w:ascii="宋体" w:hAnsi="宋体" w:eastAsia="宋体" w:cs="宋体"/>
                <w:bCs/>
                <w:sz w:val="21"/>
                <w:szCs w:val="21"/>
                <w:lang w:val="en-US" w:eastAsia="zh-CN"/>
              </w:rPr>
              <w:t>6</w:t>
            </w:r>
            <w:r>
              <w:rPr>
                <w:rFonts w:hint="eastAsia" w:ascii="宋体" w:hAnsi="宋体" w:eastAsia="宋体" w:cs="宋体"/>
                <w:bCs/>
                <w:sz w:val="21"/>
                <w:szCs w:val="21"/>
              </w:rPr>
              <w:t>000收取。该费用中标方须在领取中标通知书时一次性付清。</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1457"/>
              <w:gridCol w:w="1345"/>
              <w:gridCol w:w="1740"/>
            </w:tblGrid>
            <w:tr w14:paraId="5F11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20207505">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服务类型、费率、中标金额（万元）</w:t>
                  </w:r>
                </w:p>
              </w:tc>
              <w:tc>
                <w:tcPr>
                  <w:tcW w:w="978" w:type="pct"/>
                  <w:vAlign w:val="center"/>
                </w:tcPr>
                <w:p w14:paraId="2AFCAF99">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货物招标</w:t>
                  </w:r>
                </w:p>
              </w:tc>
              <w:tc>
                <w:tcPr>
                  <w:tcW w:w="903" w:type="pct"/>
                  <w:vAlign w:val="center"/>
                </w:tcPr>
                <w:p w14:paraId="3D78B3EC">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服务招标</w:t>
                  </w:r>
                </w:p>
              </w:tc>
              <w:tc>
                <w:tcPr>
                  <w:tcW w:w="1167" w:type="pct"/>
                  <w:vAlign w:val="center"/>
                </w:tcPr>
                <w:p w14:paraId="19472404">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工程招标</w:t>
                  </w:r>
                </w:p>
              </w:tc>
            </w:tr>
            <w:tr w14:paraId="710E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4556BF62">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100以下</w:t>
                  </w:r>
                </w:p>
              </w:tc>
              <w:tc>
                <w:tcPr>
                  <w:tcW w:w="978" w:type="pct"/>
                  <w:vAlign w:val="center"/>
                </w:tcPr>
                <w:p w14:paraId="749CBAE5">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1.50%</w:t>
                  </w:r>
                </w:p>
              </w:tc>
              <w:tc>
                <w:tcPr>
                  <w:tcW w:w="903" w:type="pct"/>
                  <w:vAlign w:val="center"/>
                </w:tcPr>
                <w:p w14:paraId="45B8B4BF">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1.50%</w:t>
                  </w:r>
                </w:p>
              </w:tc>
              <w:tc>
                <w:tcPr>
                  <w:tcW w:w="1167" w:type="pct"/>
                  <w:vAlign w:val="center"/>
                </w:tcPr>
                <w:p w14:paraId="37888685">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1.00%</w:t>
                  </w:r>
                </w:p>
              </w:tc>
            </w:tr>
            <w:tr w14:paraId="7814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3798ED7B">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100-500</w:t>
                  </w:r>
                </w:p>
              </w:tc>
              <w:tc>
                <w:tcPr>
                  <w:tcW w:w="978" w:type="pct"/>
                  <w:vAlign w:val="center"/>
                </w:tcPr>
                <w:p w14:paraId="3C5348ED">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1.10%</w:t>
                  </w:r>
                </w:p>
              </w:tc>
              <w:tc>
                <w:tcPr>
                  <w:tcW w:w="903" w:type="pct"/>
                  <w:vAlign w:val="center"/>
                </w:tcPr>
                <w:p w14:paraId="726A8E47">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0.80%</w:t>
                  </w:r>
                </w:p>
              </w:tc>
              <w:tc>
                <w:tcPr>
                  <w:tcW w:w="1167" w:type="pct"/>
                  <w:vAlign w:val="center"/>
                </w:tcPr>
                <w:p w14:paraId="4C24426A">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0.70%</w:t>
                  </w:r>
                </w:p>
              </w:tc>
            </w:tr>
            <w:tr w14:paraId="0C38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4D519A6F">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500-1000</w:t>
                  </w:r>
                </w:p>
              </w:tc>
              <w:tc>
                <w:tcPr>
                  <w:tcW w:w="978" w:type="pct"/>
                  <w:vAlign w:val="center"/>
                </w:tcPr>
                <w:p w14:paraId="1E9D42CC">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0.80%</w:t>
                  </w:r>
                </w:p>
              </w:tc>
              <w:tc>
                <w:tcPr>
                  <w:tcW w:w="903" w:type="pct"/>
                  <w:vAlign w:val="center"/>
                </w:tcPr>
                <w:p w14:paraId="50F9A82E">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0.45%</w:t>
                  </w:r>
                </w:p>
              </w:tc>
              <w:tc>
                <w:tcPr>
                  <w:tcW w:w="1167" w:type="pct"/>
                  <w:vAlign w:val="center"/>
                </w:tcPr>
                <w:p w14:paraId="33F98B13">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0.55%</w:t>
                  </w:r>
                </w:p>
              </w:tc>
            </w:tr>
            <w:tr w14:paraId="35C8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5AE7C6E9">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1000-5000</w:t>
                  </w:r>
                </w:p>
              </w:tc>
              <w:tc>
                <w:tcPr>
                  <w:tcW w:w="978" w:type="pct"/>
                  <w:vAlign w:val="center"/>
                </w:tcPr>
                <w:p w14:paraId="70391100">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0.50%</w:t>
                  </w:r>
                </w:p>
              </w:tc>
              <w:tc>
                <w:tcPr>
                  <w:tcW w:w="903" w:type="pct"/>
                  <w:vAlign w:val="center"/>
                </w:tcPr>
                <w:p w14:paraId="2D08BA69">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0.25%</w:t>
                  </w:r>
                </w:p>
              </w:tc>
              <w:tc>
                <w:tcPr>
                  <w:tcW w:w="1167" w:type="pct"/>
                  <w:vAlign w:val="center"/>
                </w:tcPr>
                <w:p w14:paraId="6B821F41">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0.35%</w:t>
                  </w:r>
                </w:p>
              </w:tc>
            </w:tr>
            <w:tr w14:paraId="58FB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3B08FDC2">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5000-10000</w:t>
                  </w:r>
                </w:p>
              </w:tc>
              <w:tc>
                <w:tcPr>
                  <w:tcW w:w="978" w:type="pct"/>
                  <w:vAlign w:val="center"/>
                </w:tcPr>
                <w:p w14:paraId="7B138F6F">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0.25%</w:t>
                  </w:r>
                </w:p>
              </w:tc>
              <w:tc>
                <w:tcPr>
                  <w:tcW w:w="903" w:type="pct"/>
                  <w:vAlign w:val="center"/>
                </w:tcPr>
                <w:p w14:paraId="2D473B61">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0.10%</w:t>
                  </w:r>
                </w:p>
              </w:tc>
              <w:tc>
                <w:tcPr>
                  <w:tcW w:w="1167" w:type="pct"/>
                  <w:vAlign w:val="center"/>
                </w:tcPr>
                <w:p w14:paraId="6FB66E4C">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0.20%</w:t>
                  </w:r>
                </w:p>
              </w:tc>
            </w:tr>
            <w:tr w14:paraId="79A1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45047CE8">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10000-100000</w:t>
                  </w:r>
                </w:p>
              </w:tc>
              <w:tc>
                <w:tcPr>
                  <w:tcW w:w="978" w:type="pct"/>
                  <w:vAlign w:val="center"/>
                </w:tcPr>
                <w:p w14:paraId="4CCF4CED">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0.05%</w:t>
                  </w:r>
                </w:p>
              </w:tc>
              <w:tc>
                <w:tcPr>
                  <w:tcW w:w="903" w:type="pct"/>
                  <w:vAlign w:val="center"/>
                </w:tcPr>
                <w:p w14:paraId="41377D02">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0.05%</w:t>
                  </w:r>
                </w:p>
              </w:tc>
              <w:tc>
                <w:tcPr>
                  <w:tcW w:w="1167" w:type="pct"/>
                  <w:vAlign w:val="center"/>
                </w:tcPr>
                <w:p w14:paraId="04C148C4">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0.05%</w:t>
                  </w:r>
                </w:p>
              </w:tc>
            </w:tr>
            <w:tr w14:paraId="3BE5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12DA581D">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100000以上</w:t>
                  </w:r>
                </w:p>
              </w:tc>
              <w:tc>
                <w:tcPr>
                  <w:tcW w:w="978" w:type="pct"/>
                  <w:vAlign w:val="center"/>
                </w:tcPr>
                <w:p w14:paraId="1E68F52F">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0.01%</w:t>
                  </w:r>
                </w:p>
              </w:tc>
              <w:tc>
                <w:tcPr>
                  <w:tcW w:w="903" w:type="pct"/>
                  <w:vAlign w:val="center"/>
                </w:tcPr>
                <w:p w14:paraId="76FFAE80">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0.01%</w:t>
                  </w:r>
                </w:p>
              </w:tc>
              <w:tc>
                <w:tcPr>
                  <w:tcW w:w="1167" w:type="pct"/>
                  <w:vAlign w:val="center"/>
                </w:tcPr>
                <w:p w14:paraId="5F7CFCAA">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0.01%</w:t>
                  </w:r>
                </w:p>
              </w:tc>
            </w:tr>
          </w:tbl>
          <w:p w14:paraId="2254EB54">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eastAsia="宋体" w:cs="宋体"/>
                <w:bCs/>
                <w:sz w:val="21"/>
                <w:szCs w:val="21"/>
              </w:rPr>
            </w:pPr>
          </w:p>
        </w:tc>
      </w:tr>
      <w:tr w14:paraId="7895DF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496" w:type="dxa"/>
            <w:tcBorders>
              <w:top w:val="single" w:color="auto" w:sz="4" w:space="0"/>
            </w:tcBorders>
            <w:noWrap/>
            <w:vAlign w:val="center"/>
          </w:tcPr>
          <w:p w14:paraId="11720A38">
            <w:pPr>
              <w:keepNext w:val="0"/>
              <w:keepLines w:val="0"/>
              <w:pageBreakBefore w:val="0"/>
              <w:kinsoku/>
              <w:wordWrap/>
              <w:overflowPunct/>
              <w:topLinePunct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17</w:t>
            </w:r>
          </w:p>
        </w:tc>
        <w:tc>
          <w:tcPr>
            <w:tcW w:w="1467" w:type="dxa"/>
            <w:tcBorders>
              <w:top w:val="single" w:color="auto" w:sz="4" w:space="0"/>
            </w:tcBorders>
            <w:noWrap/>
            <w:vAlign w:val="center"/>
          </w:tcPr>
          <w:p w14:paraId="018FF821">
            <w:pPr>
              <w:keepNext w:val="0"/>
              <w:keepLines w:val="0"/>
              <w:pageBreakBefore w:val="0"/>
              <w:kinsoku/>
              <w:wordWrap/>
              <w:overflowPunct/>
              <w:topLinePunct w:val="0"/>
              <w:autoSpaceDE w:val="0"/>
              <w:autoSpaceDN w:val="0"/>
              <w:bidi w:val="0"/>
              <w:adjustRightInd/>
              <w:snapToGrid/>
              <w:spacing w:before="24" w:beforeLines="10" w:line="360" w:lineRule="auto"/>
              <w:jc w:val="center"/>
              <w:textAlignment w:val="auto"/>
              <w:rPr>
                <w:rFonts w:ascii="宋体" w:hAnsi="宋体" w:eastAsia="宋体" w:cs="宋体"/>
                <w:sz w:val="21"/>
                <w:szCs w:val="21"/>
              </w:rPr>
            </w:pPr>
            <w:r>
              <w:rPr>
                <w:rFonts w:hint="eastAsia" w:ascii="宋体" w:hAnsi="宋体" w:eastAsia="宋体" w:cs="宋体"/>
                <w:sz w:val="21"/>
                <w:szCs w:val="21"/>
              </w:rPr>
              <w:t>解释权</w:t>
            </w:r>
          </w:p>
        </w:tc>
        <w:tc>
          <w:tcPr>
            <w:tcW w:w="7675" w:type="dxa"/>
            <w:tcBorders>
              <w:top w:val="single" w:color="auto" w:sz="4" w:space="0"/>
            </w:tcBorders>
            <w:noWrap/>
            <w:vAlign w:val="center"/>
          </w:tcPr>
          <w:p w14:paraId="48533718">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ascii="宋体" w:hAnsi="宋体" w:eastAsia="宋体" w:cs="宋体"/>
                <w:sz w:val="21"/>
                <w:szCs w:val="21"/>
              </w:rPr>
            </w:pPr>
            <w:r>
              <w:rPr>
                <w:rFonts w:hint="eastAsia" w:ascii="宋体" w:hAnsi="宋体" w:eastAsia="宋体" w:cs="宋体"/>
                <w:sz w:val="21"/>
                <w:szCs w:val="21"/>
              </w:rPr>
              <w:t>本磋商文件解释权属于采购人和采购代理机构。</w:t>
            </w:r>
          </w:p>
        </w:tc>
      </w:tr>
    </w:tbl>
    <w:p w14:paraId="70158455">
      <w:pPr>
        <w:autoSpaceDE w:val="0"/>
        <w:autoSpaceDN w:val="0"/>
        <w:adjustRightInd w:val="0"/>
        <w:spacing w:line="360" w:lineRule="auto"/>
        <w:jc w:val="center"/>
        <w:outlineLvl w:val="1"/>
        <w:rPr>
          <w:rFonts w:ascii="宋体"/>
          <w:sz w:val="21"/>
          <w:szCs w:val="21"/>
          <w:highlight w:val="yellow"/>
        </w:rPr>
      </w:pPr>
    </w:p>
    <w:p w14:paraId="7A7F011B">
      <w:pPr>
        <w:widowControl/>
        <w:jc w:val="left"/>
        <w:rPr>
          <w:rFonts w:ascii="宋体" w:hAnsi="宋体" w:cs="宋体"/>
          <w:b/>
          <w:bCs/>
          <w:sz w:val="21"/>
          <w:szCs w:val="21"/>
        </w:rPr>
      </w:pPr>
    </w:p>
    <w:p w14:paraId="1BF1EF6F">
      <w:pPr>
        <w:keepNext w:val="0"/>
        <w:keepLines w:val="0"/>
        <w:pageBreakBefore w:val="0"/>
        <w:kinsoku/>
        <w:wordWrap/>
        <w:overflowPunct/>
        <w:topLinePunct w:val="0"/>
        <w:autoSpaceDE w:val="0"/>
        <w:autoSpaceDN w:val="0"/>
        <w:bidi w:val="0"/>
        <w:adjustRightInd w:val="0"/>
        <w:spacing w:line="360" w:lineRule="auto"/>
        <w:outlineLvl w:val="1"/>
        <w:rPr>
          <w:rFonts w:ascii="宋体" w:hAnsi="宋体" w:eastAsia="宋体" w:cs="宋体"/>
          <w:b/>
          <w:bCs/>
          <w:sz w:val="21"/>
          <w:szCs w:val="21"/>
          <w:lang w:val="zh-CN"/>
        </w:rPr>
      </w:pPr>
      <w:bookmarkStart w:id="13" w:name="_Toc302983095"/>
      <w:bookmarkStart w:id="14" w:name="_Toc306901446"/>
      <w:r>
        <w:rPr>
          <w:rFonts w:hint="eastAsia" w:ascii="宋体" w:hAnsi="宋体" w:eastAsia="宋体" w:cs="宋体"/>
          <w:b/>
          <w:bCs/>
          <w:sz w:val="21"/>
          <w:szCs w:val="21"/>
          <w:lang w:val="zh-CN"/>
        </w:rPr>
        <w:t>一、</w:t>
      </w:r>
      <w:bookmarkEnd w:id="13"/>
      <w:bookmarkEnd w:id="14"/>
      <w:r>
        <w:rPr>
          <w:rFonts w:hint="eastAsia" w:ascii="宋体" w:hAnsi="宋体" w:eastAsia="宋体" w:cs="宋体"/>
          <w:b/>
          <w:bCs/>
          <w:sz w:val="21"/>
          <w:szCs w:val="21"/>
          <w:lang w:val="zh-CN"/>
        </w:rPr>
        <w:t>总则</w:t>
      </w:r>
    </w:p>
    <w:p w14:paraId="385D82AD">
      <w:pPr>
        <w:keepNext w:val="0"/>
        <w:keepLines w:val="0"/>
        <w:pageBreakBefore w:val="0"/>
        <w:kinsoku/>
        <w:wordWrap/>
        <w:overflowPunct/>
        <w:topLinePunct w:val="0"/>
        <w:bidi w:val="0"/>
        <w:snapToGrid w:val="0"/>
        <w:spacing w:line="360" w:lineRule="auto"/>
        <w:ind w:firstLine="413" w:firstLineChars="196"/>
        <w:jc w:val="left"/>
        <w:outlineLvl w:val="1"/>
        <w:rPr>
          <w:rFonts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14:paraId="7BC2BDA1">
      <w:pPr>
        <w:keepNext w:val="0"/>
        <w:keepLines w:val="0"/>
        <w:pageBreakBefore w:val="0"/>
        <w:kinsoku/>
        <w:wordWrap/>
        <w:overflowPunct/>
        <w:topLinePunct w:val="0"/>
        <w:autoSpaceDE w:val="0"/>
        <w:autoSpaceDN w:val="0"/>
        <w:bidi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14:paraId="1F4B909F">
      <w:pPr>
        <w:keepNext w:val="0"/>
        <w:keepLines w:val="0"/>
        <w:pageBreakBefore w:val="0"/>
        <w:kinsoku/>
        <w:wordWrap/>
        <w:overflowPunct/>
        <w:topLinePunct w:val="0"/>
        <w:autoSpaceDE w:val="0"/>
        <w:autoSpaceDN w:val="0"/>
        <w:bidi w:val="0"/>
        <w:adjustRightInd w:val="0"/>
        <w:spacing w:line="360" w:lineRule="auto"/>
        <w:ind w:firstLine="480"/>
        <w:rPr>
          <w:rFonts w:ascii="宋体" w:hAnsi="宋体" w:eastAsia="宋体" w:cs="宋体"/>
          <w:b/>
          <w:bCs/>
          <w:sz w:val="21"/>
          <w:szCs w:val="21"/>
        </w:rPr>
      </w:pPr>
      <w:bookmarkStart w:id="15" w:name="_Toc306901451"/>
      <w:bookmarkStart w:id="16" w:name="_Toc302983099"/>
      <w:r>
        <w:rPr>
          <w:rFonts w:hint="eastAsia" w:ascii="宋体" w:hAnsi="宋体" w:eastAsia="宋体" w:cs="宋体"/>
          <w:b/>
          <w:bCs/>
          <w:sz w:val="21"/>
          <w:szCs w:val="21"/>
        </w:rPr>
        <w:t>（二）定义</w:t>
      </w:r>
    </w:p>
    <w:p w14:paraId="0BC304B6">
      <w:pPr>
        <w:keepNext w:val="0"/>
        <w:keepLines w:val="0"/>
        <w:pageBreakBefore w:val="0"/>
        <w:kinsoku/>
        <w:wordWrap/>
        <w:overflowPunct/>
        <w:topLinePunct w:val="0"/>
        <w:autoSpaceDE w:val="0"/>
        <w:autoSpaceDN w:val="0"/>
        <w:bidi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“采购组织机构”指受采购人委托，在委托的范围内办理政府采购事宜的机构。</w:t>
      </w:r>
    </w:p>
    <w:p w14:paraId="78ED2427">
      <w:pPr>
        <w:keepNext w:val="0"/>
        <w:keepLines w:val="0"/>
        <w:pageBreakBefore w:val="0"/>
        <w:kinsoku/>
        <w:wordWrap/>
        <w:overflowPunct/>
        <w:topLinePunct w:val="0"/>
        <w:autoSpaceDE w:val="0"/>
        <w:autoSpaceDN w:val="0"/>
        <w:bidi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2、采购人：是指依法进行政府采购的国家机关、事业单位、团体组织。</w:t>
      </w:r>
    </w:p>
    <w:p w14:paraId="66C36CB8">
      <w:pPr>
        <w:keepNext w:val="0"/>
        <w:keepLines w:val="0"/>
        <w:pageBreakBefore w:val="0"/>
        <w:kinsoku/>
        <w:wordWrap/>
        <w:overflowPunct/>
        <w:topLinePunct w:val="0"/>
        <w:autoSpaceDE w:val="0"/>
        <w:autoSpaceDN w:val="0"/>
        <w:bidi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3、供应商：是指参加本政府采购项目磋商的供应商。</w:t>
      </w:r>
    </w:p>
    <w:p w14:paraId="113D86E2">
      <w:pPr>
        <w:keepNext w:val="0"/>
        <w:keepLines w:val="0"/>
        <w:pageBreakBefore w:val="0"/>
        <w:kinsoku/>
        <w:wordWrap/>
        <w:overflowPunct/>
        <w:topLinePunct w:val="0"/>
        <w:autoSpaceDE w:val="0"/>
        <w:autoSpaceDN w:val="0"/>
        <w:bidi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4、货物：是指各种形态和种类的物品，包括原材料、燃料、设备、产品等。</w:t>
      </w:r>
    </w:p>
    <w:p w14:paraId="5C020343">
      <w:pPr>
        <w:keepNext w:val="0"/>
        <w:keepLines w:val="0"/>
        <w:pageBreakBefore w:val="0"/>
        <w:kinsoku/>
        <w:wordWrap/>
        <w:overflowPunct/>
        <w:topLinePunct w:val="0"/>
        <w:autoSpaceDE w:val="0"/>
        <w:autoSpaceDN w:val="0"/>
        <w:bidi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5、服务：是指除货物和工程以外的政府采购对象，包括各类专业服务、信息网络开发服务、金融保险服务、运输服务，以及维修与维护服务等。</w:t>
      </w:r>
    </w:p>
    <w:p w14:paraId="4C334256">
      <w:pPr>
        <w:keepNext w:val="0"/>
        <w:keepLines w:val="0"/>
        <w:pageBreakBefore w:val="0"/>
        <w:kinsoku/>
        <w:wordWrap/>
        <w:overflowPunct/>
        <w:topLinePunct w:val="0"/>
        <w:autoSpaceDE w:val="0"/>
        <w:autoSpaceDN w:val="0"/>
        <w:bidi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6、“书面形式”包括信函、传真等。</w:t>
      </w:r>
    </w:p>
    <w:p w14:paraId="0FD3C53B">
      <w:pPr>
        <w:keepNext w:val="0"/>
        <w:keepLines w:val="0"/>
        <w:pageBreakBefore w:val="0"/>
        <w:kinsoku/>
        <w:wordWrap/>
        <w:overflowPunct/>
        <w:topLinePunct w:val="0"/>
        <w:autoSpaceDE w:val="0"/>
        <w:autoSpaceDN w:val="0"/>
        <w:bidi w:val="0"/>
        <w:adjustRightInd w:val="0"/>
        <w:spacing w:line="360" w:lineRule="auto"/>
        <w:ind w:firstLine="480"/>
        <w:rPr>
          <w:rFonts w:ascii="宋体" w:hAnsi="宋体" w:eastAsia="宋体" w:cs="宋体"/>
          <w:sz w:val="21"/>
          <w:szCs w:val="21"/>
        </w:rPr>
      </w:pPr>
      <w:r>
        <w:rPr>
          <w:rFonts w:hint="eastAsia" w:ascii="宋体" w:hAnsi="宋体" w:eastAsia="宋体" w:cs="宋体"/>
          <w:sz w:val="21"/>
          <w:szCs w:val="21"/>
        </w:rPr>
        <w:t>7、“▲”系指实质性要求条款。</w:t>
      </w:r>
    </w:p>
    <w:p w14:paraId="1B66D0F6">
      <w:pPr>
        <w:keepNext w:val="0"/>
        <w:keepLines w:val="0"/>
        <w:pageBreakBefore w:val="0"/>
        <w:kinsoku/>
        <w:wordWrap/>
        <w:overflowPunct/>
        <w:topLinePunct w:val="0"/>
        <w:autoSpaceDE w:val="0"/>
        <w:autoSpaceDN w:val="0"/>
        <w:bidi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（三）磋商费用</w:t>
      </w:r>
    </w:p>
    <w:p w14:paraId="39233A30">
      <w:pPr>
        <w:keepNext w:val="0"/>
        <w:keepLines w:val="0"/>
        <w:pageBreakBefore w:val="0"/>
        <w:kinsoku/>
        <w:wordWrap/>
        <w:overflowPunct/>
        <w:topLinePunct w:val="0"/>
        <w:autoSpaceDE w:val="0"/>
        <w:autoSpaceDN w:val="0"/>
        <w:bidi w:val="0"/>
        <w:adjustRightIn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1、不论磋商结果如何，供应商均应自行承担所有与磋商有关的全部费用（磋商文件有相关规定除外）。</w:t>
      </w:r>
    </w:p>
    <w:p w14:paraId="6D49A60F">
      <w:pPr>
        <w:keepNext w:val="0"/>
        <w:keepLines w:val="0"/>
        <w:pageBreakBefore w:val="0"/>
        <w:widowControl w:val="0"/>
        <w:kinsoku/>
        <w:wordWrap/>
        <w:overflowPunct/>
        <w:topLinePunct w:val="0"/>
        <w:autoSpaceDE w:val="0"/>
        <w:autoSpaceDN w:val="0"/>
        <w:bidi w:val="0"/>
        <w:adjustRightInd/>
        <w:snapToGrid/>
        <w:spacing w:before="24" w:beforeLines="10"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color w:val="000000"/>
          <w:sz w:val="21"/>
          <w:szCs w:val="21"/>
        </w:rPr>
        <w:t>2、招标代理费</w:t>
      </w:r>
      <w:r>
        <w:rPr>
          <w:rFonts w:hint="eastAsia" w:ascii="宋体" w:hAnsi="宋体" w:eastAsia="宋体" w:cs="宋体"/>
          <w:sz w:val="21"/>
          <w:szCs w:val="21"/>
        </w:rPr>
        <w:t>：</w:t>
      </w:r>
      <w:r>
        <w:rPr>
          <w:rFonts w:hint="eastAsia" w:ascii="宋体" w:hAnsi="宋体" w:eastAsia="宋体" w:cs="宋体"/>
          <w:bCs/>
          <w:sz w:val="21"/>
          <w:szCs w:val="21"/>
        </w:rPr>
        <w:t>按照下列表格中</w:t>
      </w:r>
      <w:r>
        <w:rPr>
          <w:rFonts w:hint="eastAsia" w:ascii="宋体" w:hAnsi="宋体" w:eastAsia="宋体" w:cs="宋体"/>
          <w:bCs/>
          <w:sz w:val="21"/>
          <w:szCs w:val="21"/>
          <w:lang w:val="en-US" w:eastAsia="zh-CN"/>
        </w:rPr>
        <w:t>货物招标</w:t>
      </w:r>
      <w:r>
        <w:rPr>
          <w:rFonts w:hint="eastAsia" w:ascii="宋体" w:hAnsi="宋体" w:eastAsia="宋体" w:cs="宋体"/>
          <w:bCs/>
          <w:sz w:val="21"/>
          <w:szCs w:val="21"/>
        </w:rPr>
        <w:t>类计算标准（差额定率累进法）</w:t>
      </w:r>
      <w:r>
        <w:rPr>
          <w:rFonts w:hint="eastAsia" w:ascii="宋体" w:hAnsi="宋体" w:eastAsia="宋体" w:cs="宋体"/>
          <w:bCs/>
          <w:sz w:val="21"/>
          <w:szCs w:val="21"/>
          <w:lang w:val="en-US" w:eastAsia="zh-CN"/>
        </w:rPr>
        <w:t>规定的服务招标费率</w:t>
      </w:r>
      <w:r>
        <w:rPr>
          <w:rFonts w:hint="eastAsia" w:ascii="宋体" w:hAnsi="宋体" w:eastAsia="宋体" w:cs="宋体"/>
          <w:bCs/>
          <w:sz w:val="21"/>
          <w:szCs w:val="21"/>
        </w:rPr>
        <w:t>向中标单位收取招标代理费</w:t>
      </w:r>
      <w:r>
        <w:rPr>
          <w:rFonts w:hint="eastAsia" w:ascii="宋体" w:hAnsi="宋体" w:eastAsia="宋体" w:cs="宋体"/>
          <w:bCs/>
          <w:sz w:val="21"/>
          <w:szCs w:val="21"/>
          <w:lang w:eastAsia="zh-CN"/>
        </w:rPr>
        <w:t>，</w:t>
      </w:r>
      <w:r>
        <w:rPr>
          <w:rFonts w:hint="eastAsia" w:ascii="宋体" w:hAnsi="宋体" w:eastAsia="宋体" w:cs="宋体"/>
          <w:bCs/>
          <w:sz w:val="21"/>
          <w:szCs w:val="21"/>
        </w:rPr>
        <w:t>代理服务费结算时不足</w:t>
      </w:r>
      <w:r>
        <w:rPr>
          <w:rFonts w:hint="eastAsia" w:ascii="宋体" w:hAnsi="宋体" w:eastAsia="宋体" w:cs="宋体"/>
          <w:bCs/>
          <w:sz w:val="21"/>
          <w:szCs w:val="21"/>
          <w:lang w:val="en-US" w:eastAsia="zh-CN"/>
        </w:rPr>
        <w:t>6</w:t>
      </w:r>
      <w:r>
        <w:rPr>
          <w:rFonts w:hint="eastAsia" w:ascii="宋体" w:hAnsi="宋体" w:eastAsia="宋体" w:cs="宋体"/>
          <w:bCs/>
          <w:sz w:val="21"/>
          <w:szCs w:val="21"/>
        </w:rPr>
        <w:t>000元的，按定额</w:t>
      </w:r>
      <w:r>
        <w:rPr>
          <w:rFonts w:hint="eastAsia" w:ascii="宋体" w:hAnsi="宋体" w:eastAsia="宋体" w:cs="宋体"/>
          <w:bCs/>
          <w:sz w:val="21"/>
          <w:szCs w:val="21"/>
          <w:lang w:val="en-US" w:eastAsia="zh-CN"/>
        </w:rPr>
        <w:t>6</w:t>
      </w:r>
      <w:r>
        <w:rPr>
          <w:rFonts w:hint="eastAsia" w:ascii="宋体" w:hAnsi="宋体" w:eastAsia="宋体" w:cs="宋体"/>
          <w:bCs/>
          <w:sz w:val="21"/>
          <w:szCs w:val="21"/>
        </w:rPr>
        <w:t>000收取。该费用中标方须在领取中标通知书时一次性付清。</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4"/>
        <w:gridCol w:w="1734"/>
        <w:gridCol w:w="1601"/>
        <w:gridCol w:w="2069"/>
      </w:tblGrid>
      <w:tr w14:paraId="30D9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06FCE3A3">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服务类型、费率、中标金额（万元）</w:t>
            </w:r>
          </w:p>
        </w:tc>
        <w:tc>
          <w:tcPr>
            <w:tcW w:w="978" w:type="pct"/>
            <w:vAlign w:val="center"/>
          </w:tcPr>
          <w:p w14:paraId="4D44CC46">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货物招标</w:t>
            </w:r>
          </w:p>
        </w:tc>
        <w:tc>
          <w:tcPr>
            <w:tcW w:w="903" w:type="pct"/>
            <w:vAlign w:val="center"/>
          </w:tcPr>
          <w:p w14:paraId="1B9A9895">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服务招标</w:t>
            </w:r>
          </w:p>
        </w:tc>
        <w:tc>
          <w:tcPr>
            <w:tcW w:w="1167" w:type="pct"/>
            <w:vAlign w:val="center"/>
          </w:tcPr>
          <w:p w14:paraId="5E1A5BF7">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工程招标</w:t>
            </w:r>
          </w:p>
        </w:tc>
      </w:tr>
      <w:tr w14:paraId="144E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19E14C57">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100以下</w:t>
            </w:r>
          </w:p>
        </w:tc>
        <w:tc>
          <w:tcPr>
            <w:tcW w:w="978" w:type="pct"/>
            <w:vAlign w:val="center"/>
          </w:tcPr>
          <w:p w14:paraId="5D1906DB">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1.50%</w:t>
            </w:r>
          </w:p>
        </w:tc>
        <w:tc>
          <w:tcPr>
            <w:tcW w:w="903" w:type="pct"/>
            <w:vAlign w:val="center"/>
          </w:tcPr>
          <w:p w14:paraId="5A44F01F">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1.50%</w:t>
            </w:r>
          </w:p>
        </w:tc>
        <w:tc>
          <w:tcPr>
            <w:tcW w:w="1167" w:type="pct"/>
            <w:vAlign w:val="center"/>
          </w:tcPr>
          <w:p w14:paraId="39A15A1A">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1.00%</w:t>
            </w:r>
          </w:p>
        </w:tc>
      </w:tr>
      <w:tr w14:paraId="3624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11A91476">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100-500</w:t>
            </w:r>
          </w:p>
        </w:tc>
        <w:tc>
          <w:tcPr>
            <w:tcW w:w="978" w:type="pct"/>
            <w:vAlign w:val="center"/>
          </w:tcPr>
          <w:p w14:paraId="0A569B44">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1.10%</w:t>
            </w:r>
          </w:p>
        </w:tc>
        <w:tc>
          <w:tcPr>
            <w:tcW w:w="903" w:type="pct"/>
            <w:vAlign w:val="center"/>
          </w:tcPr>
          <w:p w14:paraId="66B7870D">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0.80%</w:t>
            </w:r>
          </w:p>
        </w:tc>
        <w:tc>
          <w:tcPr>
            <w:tcW w:w="1167" w:type="pct"/>
            <w:vAlign w:val="center"/>
          </w:tcPr>
          <w:p w14:paraId="7F1F59CF">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0.70%</w:t>
            </w:r>
          </w:p>
        </w:tc>
      </w:tr>
      <w:tr w14:paraId="27F1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2E13B2F6">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500-1000</w:t>
            </w:r>
          </w:p>
        </w:tc>
        <w:tc>
          <w:tcPr>
            <w:tcW w:w="978" w:type="pct"/>
            <w:vAlign w:val="center"/>
          </w:tcPr>
          <w:p w14:paraId="39B4D80D">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0.80%</w:t>
            </w:r>
          </w:p>
        </w:tc>
        <w:tc>
          <w:tcPr>
            <w:tcW w:w="903" w:type="pct"/>
            <w:vAlign w:val="center"/>
          </w:tcPr>
          <w:p w14:paraId="0DCB766F">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0.45%</w:t>
            </w:r>
          </w:p>
        </w:tc>
        <w:tc>
          <w:tcPr>
            <w:tcW w:w="1167" w:type="pct"/>
            <w:vAlign w:val="center"/>
          </w:tcPr>
          <w:p w14:paraId="1F2F72B1">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0.55%</w:t>
            </w:r>
          </w:p>
        </w:tc>
      </w:tr>
      <w:tr w14:paraId="46D3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53B79F1A">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1000-5000</w:t>
            </w:r>
          </w:p>
        </w:tc>
        <w:tc>
          <w:tcPr>
            <w:tcW w:w="978" w:type="pct"/>
            <w:vAlign w:val="center"/>
          </w:tcPr>
          <w:p w14:paraId="73EF01B7">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0.50%</w:t>
            </w:r>
          </w:p>
        </w:tc>
        <w:tc>
          <w:tcPr>
            <w:tcW w:w="903" w:type="pct"/>
            <w:vAlign w:val="center"/>
          </w:tcPr>
          <w:p w14:paraId="0FA5AED0">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0.25%</w:t>
            </w:r>
          </w:p>
        </w:tc>
        <w:tc>
          <w:tcPr>
            <w:tcW w:w="1167" w:type="pct"/>
            <w:vAlign w:val="center"/>
          </w:tcPr>
          <w:p w14:paraId="1B8864A6">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0.35%</w:t>
            </w:r>
          </w:p>
        </w:tc>
      </w:tr>
      <w:tr w14:paraId="4097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1930CD7D">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5000-10000</w:t>
            </w:r>
          </w:p>
        </w:tc>
        <w:tc>
          <w:tcPr>
            <w:tcW w:w="978" w:type="pct"/>
            <w:vAlign w:val="center"/>
          </w:tcPr>
          <w:p w14:paraId="365E5D91">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0.25%</w:t>
            </w:r>
          </w:p>
        </w:tc>
        <w:tc>
          <w:tcPr>
            <w:tcW w:w="903" w:type="pct"/>
            <w:vAlign w:val="center"/>
          </w:tcPr>
          <w:p w14:paraId="10B0869C">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0.10%</w:t>
            </w:r>
          </w:p>
        </w:tc>
        <w:tc>
          <w:tcPr>
            <w:tcW w:w="1167" w:type="pct"/>
            <w:vAlign w:val="center"/>
          </w:tcPr>
          <w:p w14:paraId="78D82EB9">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0.20%</w:t>
            </w:r>
          </w:p>
        </w:tc>
      </w:tr>
      <w:tr w14:paraId="06B8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49" w:type="pct"/>
            <w:vAlign w:val="center"/>
          </w:tcPr>
          <w:p w14:paraId="24DF1D47">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10000-100000</w:t>
            </w:r>
          </w:p>
        </w:tc>
        <w:tc>
          <w:tcPr>
            <w:tcW w:w="978" w:type="pct"/>
            <w:vAlign w:val="center"/>
          </w:tcPr>
          <w:p w14:paraId="0D430898">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0.05%</w:t>
            </w:r>
          </w:p>
        </w:tc>
        <w:tc>
          <w:tcPr>
            <w:tcW w:w="903" w:type="pct"/>
            <w:vAlign w:val="center"/>
          </w:tcPr>
          <w:p w14:paraId="5E4DC9FE">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0.05%</w:t>
            </w:r>
          </w:p>
        </w:tc>
        <w:tc>
          <w:tcPr>
            <w:tcW w:w="1167" w:type="pct"/>
            <w:vAlign w:val="center"/>
          </w:tcPr>
          <w:p w14:paraId="493BCDF1">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0.05%</w:t>
            </w:r>
          </w:p>
        </w:tc>
      </w:tr>
      <w:tr w14:paraId="5D52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49" w:type="pct"/>
            <w:vAlign w:val="center"/>
          </w:tcPr>
          <w:p w14:paraId="09085159">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100000以上</w:t>
            </w:r>
          </w:p>
        </w:tc>
        <w:tc>
          <w:tcPr>
            <w:tcW w:w="978" w:type="pct"/>
            <w:vAlign w:val="center"/>
          </w:tcPr>
          <w:p w14:paraId="24180C76">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0.01%</w:t>
            </w:r>
          </w:p>
        </w:tc>
        <w:tc>
          <w:tcPr>
            <w:tcW w:w="903" w:type="pct"/>
            <w:vAlign w:val="center"/>
          </w:tcPr>
          <w:p w14:paraId="03F9A723">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0.01%</w:t>
            </w:r>
          </w:p>
        </w:tc>
        <w:tc>
          <w:tcPr>
            <w:tcW w:w="1167" w:type="pct"/>
            <w:vAlign w:val="center"/>
          </w:tcPr>
          <w:p w14:paraId="49B8AAFD">
            <w:pPr>
              <w:keepNext w:val="0"/>
              <w:keepLines w:val="0"/>
              <w:pageBreakBefore w:val="0"/>
              <w:kinsoku/>
              <w:wordWrap/>
              <w:overflowPunct/>
              <w:topLinePunct w:val="0"/>
              <w:autoSpaceDE w:val="0"/>
              <w:autoSpaceDN w:val="0"/>
              <w:bidi w:val="0"/>
              <w:adjustRightInd/>
              <w:snapToGrid/>
              <w:spacing w:before="24" w:beforeLines="10"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0.01%</w:t>
            </w:r>
          </w:p>
        </w:tc>
      </w:tr>
    </w:tbl>
    <w:p w14:paraId="2094E734">
      <w:pPr>
        <w:keepNext w:val="0"/>
        <w:keepLines w:val="0"/>
        <w:pageBreakBefore w:val="0"/>
        <w:widowControl/>
        <w:kinsoku/>
        <w:wordWrap/>
        <w:overflowPunct/>
        <w:topLinePunct w:val="0"/>
        <w:autoSpaceDE w:val="0"/>
        <w:autoSpaceDN w:val="0"/>
        <w:bidi w:val="0"/>
        <w:adjustRightInd w:val="0"/>
        <w:snapToGrid w:val="0"/>
        <w:spacing w:line="360" w:lineRule="auto"/>
        <w:ind w:firstLine="482"/>
        <w:rPr>
          <w:rFonts w:ascii="宋体" w:hAnsi="宋体" w:eastAsia="宋体" w:cs="宋体"/>
          <w:color w:val="000000"/>
          <w:sz w:val="21"/>
          <w:szCs w:val="21"/>
        </w:rPr>
      </w:pPr>
      <w:r>
        <w:rPr>
          <w:rFonts w:hint="eastAsia" w:ascii="宋体" w:hAnsi="宋体" w:eastAsia="宋体" w:cs="宋体"/>
          <w:color w:val="000000"/>
          <w:sz w:val="21"/>
          <w:szCs w:val="21"/>
        </w:rPr>
        <w:t>本项费用由投标人自行考虑，分摊在各项投标报价中，结算时不再另行计取。</w:t>
      </w:r>
    </w:p>
    <w:p w14:paraId="7C43FF37">
      <w:pPr>
        <w:keepNext w:val="0"/>
        <w:keepLines w:val="0"/>
        <w:pageBreakBefore w:val="0"/>
        <w:kinsoku/>
        <w:wordWrap/>
        <w:overflowPunct/>
        <w:topLinePunct w:val="0"/>
        <w:autoSpaceDE w:val="0"/>
        <w:autoSpaceDN w:val="0"/>
        <w:bidi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（四）联合体投标</w:t>
      </w:r>
    </w:p>
    <w:p w14:paraId="6B975C77">
      <w:pPr>
        <w:keepNext w:val="0"/>
        <w:keepLines w:val="0"/>
        <w:pageBreakBefore w:val="0"/>
        <w:kinsoku/>
        <w:wordWrap/>
        <w:overflowPunct/>
        <w:topLinePunct w:val="0"/>
        <w:autoSpaceDE w:val="0"/>
        <w:autoSpaceDN w:val="0"/>
        <w:bidi w:val="0"/>
        <w:adjustRightInd w:val="0"/>
        <w:spacing w:line="360" w:lineRule="auto"/>
        <w:ind w:firstLine="480"/>
        <w:rPr>
          <w:rFonts w:hint="eastAsia" w:ascii="宋体" w:hAnsi="宋体" w:eastAsia="宋体" w:cs="宋体"/>
          <w:b w:val="0"/>
          <w:bCs w:val="0"/>
          <w:sz w:val="21"/>
          <w:szCs w:val="21"/>
        </w:rPr>
      </w:pPr>
      <w:r>
        <w:rPr>
          <w:rFonts w:hint="eastAsia" w:ascii="宋体" w:hAnsi="宋体" w:eastAsia="宋体" w:cs="宋体"/>
          <w:b w:val="0"/>
          <w:bCs w:val="0"/>
          <w:sz w:val="21"/>
          <w:szCs w:val="21"/>
        </w:rPr>
        <w:t>本项目不接受联合体投标</w:t>
      </w:r>
      <w:r>
        <w:rPr>
          <w:rFonts w:hint="eastAsia" w:ascii="宋体" w:hAnsi="宋体" w:eastAsia="宋体" w:cs="宋体"/>
          <w:b w:val="0"/>
          <w:bCs w:val="0"/>
          <w:sz w:val="21"/>
          <w:szCs w:val="21"/>
          <w:lang w:val="zh-CN"/>
        </w:rPr>
        <w:t>。</w:t>
      </w:r>
    </w:p>
    <w:p w14:paraId="38B61874">
      <w:pPr>
        <w:keepNext w:val="0"/>
        <w:keepLines w:val="0"/>
        <w:pageBreakBefore w:val="0"/>
        <w:kinsoku/>
        <w:wordWrap/>
        <w:overflowPunct/>
        <w:topLinePunct w:val="0"/>
        <w:autoSpaceDE w:val="0"/>
        <w:autoSpaceDN w:val="0"/>
        <w:bidi w:val="0"/>
        <w:adjustRightInd w:val="0"/>
        <w:spacing w:line="360" w:lineRule="auto"/>
        <w:ind w:firstLine="480"/>
        <w:rPr>
          <w:rFonts w:hint="eastAsia" w:ascii="宋体" w:hAnsi="宋体" w:eastAsia="宋体" w:cs="宋体"/>
          <w:b/>
          <w:bCs/>
          <w:sz w:val="21"/>
          <w:szCs w:val="21"/>
          <w:lang w:val="zh-CN"/>
        </w:rPr>
      </w:pPr>
      <w:r>
        <w:rPr>
          <w:rFonts w:hint="eastAsia" w:ascii="宋体" w:hAnsi="宋体" w:eastAsia="宋体" w:cs="宋体"/>
          <w:b/>
          <w:bCs/>
          <w:sz w:val="21"/>
          <w:szCs w:val="21"/>
          <w:lang w:val="zh-CN"/>
        </w:rPr>
        <w:t>（五）转包与分包</w:t>
      </w:r>
    </w:p>
    <w:p w14:paraId="3C42BB06">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1、本项目不允许转包。</w:t>
      </w:r>
    </w:p>
    <w:p w14:paraId="6438AC96">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2、本项目不允许分包。</w:t>
      </w:r>
    </w:p>
    <w:p w14:paraId="0D16CB6F">
      <w:pPr>
        <w:keepNext w:val="0"/>
        <w:keepLines w:val="0"/>
        <w:pageBreakBefore w:val="0"/>
        <w:kinsoku/>
        <w:wordWrap/>
        <w:overflowPunct/>
        <w:topLinePunct w:val="0"/>
        <w:autoSpaceDE w:val="0"/>
        <w:autoSpaceDN w:val="0"/>
        <w:bidi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（六）特别说明</w:t>
      </w:r>
    </w:p>
    <w:p w14:paraId="420B0F6A">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▲1.使用综合评分法的采购项目，提供相同品牌产品且通过资格审查、符合性审查的不同供应商参加同一合同项下</w:t>
      </w:r>
      <w:r>
        <w:rPr>
          <w:rFonts w:hint="eastAsia" w:ascii="宋体" w:hAnsi="宋体" w:eastAsia="宋体" w:cs="宋体"/>
          <w:sz w:val="21"/>
          <w:szCs w:val="21"/>
        </w:rPr>
        <w:t>磋商</w:t>
      </w:r>
      <w:r>
        <w:rPr>
          <w:rFonts w:hint="eastAsia" w:ascii="宋体" w:hAnsi="宋体" w:eastAsia="宋体" w:cs="宋体"/>
          <w:sz w:val="21"/>
          <w:szCs w:val="21"/>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46317071">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非单一产品采购项目，多家供应商提供的核心产品品牌相同的，按前款规定处理。</w:t>
      </w:r>
    </w:p>
    <w:p w14:paraId="4175E072">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所使用的资格、信誉、荣誉、业绩与企业认证必须为本法人所拥有。</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所使用的采购项目实施人员必须为本法人员工（或必须为本法人或控股公司正式员工）。</w:t>
      </w:r>
    </w:p>
    <w:p w14:paraId="2B7A1D74">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3.供应商应仔细阅读磋商文件的所有内容，按照磋商文件的要求提交磋商响应文件，并对所提供的全部资料的真实性承担法律责任。</w:t>
      </w:r>
    </w:p>
    <w:p w14:paraId="74744B07">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供应商</w:t>
      </w:r>
      <w:r>
        <w:rPr>
          <w:rFonts w:hint="eastAsia" w:ascii="宋体" w:hAnsi="宋体" w:eastAsia="宋体" w:cs="宋体"/>
          <w:sz w:val="21"/>
          <w:szCs w:val="21"/>
          <w:lang w:val="zh-CN"/>
        </w:rPr>
        <w:t>在</w:t>
      </w:r>
      <w:r>
        <w:rPr>
          <w:rFonts w:hint="eastAsia" w:ascii="宋体" w:hAnsi="宋体" w:eastAsia="宋体" w:cs="宋体"/>
          <w:sz w:val="21"/>
          <w:szCs w:val="21"/>
        </w:rPr>
        <w:t>磋商</w:t>
      </w:r>
      <w:r>
        <w:rPr>
          <w:rFonts w:hint="eastAsia" w:ascii="宋体" w:hAnsi="宋体" w:eastAsia="宋体" w:cs="宋体"/>
          <w:sz w:val="21"/>
          <w:szCs w:val="21"/>
          <w:lang w:val="zh-CN"/>
        </w:rPr>
        <w:t>活动中提供任何虚假材料，其</w:t>
      </w:r>
      <w:r>
        <w:rPr>
          <w:rFonts w:hint="eastAsia" w:ascii="宋体" w:hAnsi="宋体" w:eastAsia="宋体" w:cs="宋体"/>
          <w:sz w:val="21"/>
          <w:szCs w:val="21"/>
        </w:rPr>
        <w:t>磋商</w:t>
      </w:r>
      <w:r>
        <w:rPr>
          <w:rFonts w:hint="eastAsia" w:ascii="宋体" w:hAnsi="宋体" w:eastAsia="宋体" w:cs="宋体"/>
          <w:sz w:val="21"/>
          <w:szCs w:val="21"/>
          <w:lang w:val="zh-CN"/>
        </w:rPr>
        <w:t>无效，并报监管部门查处；中标后发现的，中标人须依照《中华人民共和国消费者权益保护法》第49条之规定赔偿采购人，且民事赔偿并不免除违法供应商的行政与刑事责任。</w:t>
      </w:r>
    </w:p>
    <w:p w14:paraId="373267C2">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5.为采购项目提供整体设计、规范编制或者项目管理、监理、检测等服务的供应商，不得再参加该采购项目的其他采购活动。</w:t>
      </w:r>
    </w:p>
    <w:p w14:paraId="1965F786">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▲6.</w:t>
      </w:r>
      <w:r>
        <w:rPr>
          <w:rFonts w:hint="eastAsia" w:ascii="宋体" w:hAnsi="宋体" w:eastAsia="宋体" w:cs="宋体"/>
          <w:b/>
          <w:bCs/>
          <w:sz w:val="21"/>
          <w:szCs w:val="21"/>
        </w:rPr>
        <w:t>供应商</w:t>
      </w:r>
      <w:r>
        <w:rPr>
          <w:rFonts w:hint="eastAsia" w:ascii="宋体" w:hAnsi="宋体" w:eastAsia="宋体" w:cs="宋体"/>
          <w:b/>
          <w:bCs/>
          <w:sz w:val="21"/>
          <w:szCs w:val="21"/>
          <w:lang w:val="zh-CN"/>
        </w:rPr>
        <w:t>信用信息查询渠道及截止时点、信用信息查询记录和证据留存的具体方式、信用信息的使用规则：</w:t>
      </w:r>
    </w:p>
    <w:p w14:paraId="27C283F3">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0081"/>
      </w:r>
      <w:r>
        <w:rPr>
          <w:rFonts w:hint="eastAsia" w:ascii="宋体" w:hAnsi="宋体" w:eastAsia="宋体" w:cs="宋体"/>
          <w:sz w:val="21"/>
          <w:szCs w:val="21"/>
          <w:lang w:val="zh-CN"/>
        </w:rPr>
        <w:t>查询渠道：中国政府采购网（网址：http://www.ccgp.gov.cn）、信用中国（网址：</w:t>
      </w:r>
      <w:r>
        <w:rPr>
          <w:sz w:val="21"/>
          <w:szCs w:val="21"/>
        </w:rPr>
        <w:fldChar w:fldCharType="begin"/>
      </w:r>
      <w:r>
        <w:rPr>
          <w:sz w:val="21"/>
          <w:szCs w:val="21"/>
        </w:rPr>
        <w:instrText xml:space="preserve"> HYPERLINK "http://www.creditchina.gov.cn" </w:instrText>
      </w:r>
      <w:r>
        <w:rPr>
          <w:sz w:val="21"/>
          <w:szCs w:val="21"/>
        </w:rPr>
        <w:fldChar w:fldCharType="separate"/>
      </w:r>
      <w:r>
        <w:rPr>
          <w:rFonts w:hint="eastAsia" w:ascii="宋体" w:hAnsi="宋体" w:eastAsia="宋体" w:cs="宋体"/>
          <w:sz w:val="21"/>
          <w:szCs w:val="21"/>
          <w:lang w:val="zh-CN"/>
        </w:rPr>
        <w:t>http://www.creditchina.gov.cn</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t>
      </w:r>
    </w:p>
    <w:p w14:paraId="7882EDE8">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2"/>
      </w:r>
      <w:r>
        <w:rPr>
          <w:rFonts w:hint="eastAsia" w:ascii="宋体" w:hAnsi="宋体" w:eastAsia="宋体" w:cs="宋体"/>
          <w:sz w:val="21"/>
          <w:szCs w:val="21"/>
          <w:lang w:val="zh-CN"/>
        </w:rPr>
        <w:t>截止时间：开标后评标前。</w:t>
      </w:r>
    </w:p>
    <w:p w14:paraId="3552A939">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sym w:font="Wingdings" w:char="F083"/>
      </w:r>
      <w:r>
        <w:rPr>
          <w:rFonts w:hint="eastAsia" w:ascii="宋体" w:hAnsi="宋体" w:eastAsia="宋体" w:cs="宋体"/>
          <w:sz w:val="21"/>
          <w:szCs w:val="21"/>
          <w:lang w:val="zh-CN"/>
        </w:rPr>
        <w:t>信用信息查询记录和证据留存的具体方式：将在规定查询时间内打印信用信息查询记录及相关证据，并将与其他采购文件一并保存。</w:t>
      </w:r>
    </w:p>
    <w:p w14:paraId="24AF5B23">
      <w:pPr>
        <w:keepNext w:val="0"/>
        <w:keepLines w:val="0"/>
        <w:pageBreakBefore w:val="0"/>
        <w:kinsoku/>
        <w:wordWrap/>
        <w:overflowPunct/>
        <w:topLinePunct w:val="0"/>
        <w:autoSpaceDE w:val="0"/>
        <w:autoSpaceDN w:val="0"/>
        <w:bidi w:val="0"/>
        <w:adjustRightInd w:val="0"/>
        <w:spacing w:line="360" w:lineRule="auto"/>
        <w:ind w:firstLine="480"/>
        <w:rPr>
          <w:rFonts w:ascii="宋体" w:hAnsi="宋体" w:eastAsia="宋体" w:cs="宋体"/>
          <w:b/>
          <w:bCs/>
          <w:sz w:val="21"/>
          <w:szCs w:val="21"/>
        </w:rPr>
      </w:pPr>
      <w:r>
        <w:rPr>
          <w:rFonts w:hint="eastAsia" w:ascii="宋体" w:hAnsi="宋体" w:eastAsia="宋体" w:cs="宋体"/>
          <w:sz w:val="21"/>
          <w:szCs w:val="21"/>
          <w:lang w:val="zh-CN"/>
        </w:rPr>
        <w:sym w:font="Wingdings" w:char="0084"/>
      </w:r>
      <w:r>
        <w:rPr>
          <w:rFonts w:hint="eastAsia" w:ascii="宋体" w:hAnsi="宋体" w:eastAsia="宋体" w:cs="宋体"/>
          <w:sz w:val="21"/>
          <w:szCs w:val="21"/>
          <w:lang w:val="zh-CN"/>
        </w:rPr>
        <w:t>使用规则：对列入失信被执行人、重大税收违法案件当事人名单、政府采购严重违法失信行为记录名单的供应商，拒绝其参与采购活动</w:t>
      </w:r>
      <w:r>
        <w:rPr>
          <w:rFonts w:hint="eastAsia" w:ascii="宋体" w:hAnsi="宋体" w:eastAsia="宋体" w:cs="宋体"/>
          <w:sz w:val="21"/>
          <w:szCs w:val="21"/>
        </w:rPr>
        <w:t>。</w:t>
      </w:r>
      <w:bookmarkEnd w:id="15"/>
      <w:bookmarkEnd w:id="16"/>
    </w:p>
    <w:p w14:paraId="16614D86">
      <w:pPr>
        <w:keepNext w:val="0"/>
        <w:keepLines w:val="0"/>
        <w:pageBreakBefore w:val="0"/>
        <w:kinsoku/>
        <w:wordWrap/>
        <w:overflowPunct/>
        <w:topLinePunct w:val="0"/>
        <w:autoSpaceDE w:val="0"/>
        <w:autoSpaceDN w:val="0"/>
        <w:bidi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二、磋商文件</w:t>
      </w:r>
    </w:p>
    <w:p w14:paraId="73AE086D">
      <w:pPr>
        <w:keepNext w:val="0"/>
        <w:keepLines w:val="0"/>
        <w:pageBreakBefore w:val="0"/>
        <w:kinsoku/>
        <w:wordWrap/>
        <w:overflowPunct/>
        <w:topLinePunct w:val="0"/>
        <w:autoSpaceDE w:val="0"/>
        <w:autoSpaceDN w:val="0"/>
        <w:bidi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一</w:t>
      </w:r>
      <w:r>
        <w:rPr>
          <w:rFonts w:hint="eastAsia" w:ascii="宋体" w:hAnsi="宋体" w:eastAsia="宋体" w:cs="宋体"/>
          <w:b/>
          <w:sz w:val="21"/>
          <w:szCs w:val="21"/>
        </w:rPr>
        <w:t>）磋商</w:t>
      </w:r>
      <w:r>
        <w:rPr>
          <w:rFonts w:hint="eastAsia" w:ascii="宋体" w:hAnsi="宋体" w:eastAsia="宋体" w:cs="宋体"/>
          <w:b/>
          <w:sz w:val="21"/>
          <w:szCs w:val="21"/>
          <w:lang w:val="zh-CN"/>
        </w:rPr>
        <w:t>文件的构成</w:t>
      </w:r>
    </w:p>
    <w:p w14:paraId="768F01CB">
      <w:pPr>
        <w:keepNext w:val="0"/>
        <w:keepLines w:val="0"/>
        <w:pageBreakBefore w:val="0"/>
        <w:kinsoku/>
        <w:wordWrap/>
        <w:overflowPunct/>
        <w:topLinePunct w:val="0"/>
        <w:autoSpaceDE w:val="0"/>
        <w:autoSpaceDN w:val="0"/>
        <w:bidi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rPr>
        <w:t>磋商</w:t>
      </w:r>
      <w:r>
        <w:rPr>
          <w:rFonts w:hint="eastAsia" w:ascii="宋体" w:hAnsi="宋体" w:eastAsia="宋体" w:cs="宋体"/>
          <w:sz w:val="21"/>
          <w:szCs w:val="21"/>
          <w:lang w:val="zh-CN"/>
        </w:rPr>
        <w:t>文件由以下部份组成：</w:t>
      </w:r>
    </w:p>
    <w:p w14:paraId="732E2BFA">
      <w:pPr>
        <w:keepNext w:val="0"/>
        <w:keepLines w:val="0"/>
        <w:pageBreakBefore w:val="0"/>
        <w:numPr>
          <w:ilvl w:val="0"/>
          <w:numId w:val="2"/>
        </w:numPr>
        <w:kinsoku/>
        <w:wordWrap/>
        <w:overflowPunct/>
        <w:topLinePunct w:val="0"/>
        <w:autoSpaceDE w:val="0"/>
        <w:autoSpaceDN w:val="0"/>
        <w:bidi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竞争性磋商</w:t>
      </w:r>
      <w:r>
        <w:rPr>
          <w:rFonts w:hint="eastAsia" w:ascii="宋体" w:hAnsi="宋体" w:eastAsia="宋体" w:cs="宋体"/>
          <w:sz w:val="21"/>
          <w:szCs w:val="21"/>
          <w:lang w:val="zh-CN"/>
        </w:rPr>
        <w:t>公告</w:t>
      </w:r>
    </w:p>
    <w:p w14:paraId="219F27B9">
      <w:pPr>
        <w:keepNext w:val="0"/>
        <w:keepLines w:val="0"/>
        <w:pageBreakBefore w:val="0"/>
        <w:numPr>
          <w:ilvl w:val="0"/>
          <w:numId w:val="2"/>
        </w:numPr>
        <w:kinsoku/>
        <w:wordWrap/>
        <w:overflowPunct/>
        <w:topLinePunct w:val="0"/>
        <w:autoSpaceDE w:val="0"/>
        <w:autoSpaceDN w:val="0"/>
        <w:bidi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采购</w:t>
      </w:r>
      <w:r>
        <w:rPr>
          <w:rFonts w:hint="eastAsia" w:ascii="宋体" w:hAnsi="宋体" w:eastAsia="宋体" w:cs="宋体"/>
          <w:sz w:val="21"/>
          <w:szCs w:val="21"/>
          <w:lang w:val="zh-CN"/>
        </w:rPr>
        <w:t>需求</w:t>
      </w:r>
    </w:p>
    <w:p w14:paraId="3187868E">
      <w:pPr>
        <w:keepNext w:val="0"/>
        <w:keepLines w:val="0"/>
        <w:pageBreakBefore w:val="0"/>
        <w:numPr>
          <w:ilvl w:val="0"/>
          <w:numId w:val="2"/>
        </w:numPr>
        <w:kinsoku/>
        <w:wordWrap/>
        <w:overflowPunct/>
        <w:topLinePunct w:val="0"/>
        <w:autoSpaceDE w:val="0"/>
        <w:autoSpaceDN w:val="0"/>
        <w:bidi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须知</w:t>
      </w:r>
    </w:p>
    <w:p w14:paraId="0477DF6B">
      <w:pPr>
        <w:keepNext w:val="0"/>
        <w:keepLines w:val="0"/>
        <w:pageBreakBefore w:val="0"/>
        <w:numPr>
          <w:ilvl w:val="0"/>
          <w:numId w:val="2"/>
        </w:numPr>
        <w:kinsoku/>
        <w:wordWrap/>
        <w:overflowPunct/>
        <w:topLinePunct w:val="0"/>
        <w:autoSpaceDE w:val="0"/>
        <w:autoSpaceDN w:val="0"/>
        <w:bidi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评标办法及评分标准</w:t>
      </w:r>
    </w:p>
    <w:p w14:paraId="216D3AA1">
      <w:pPr>
        <w:keepNext w:val="0"/>
        <w:keepLines w:val="0"/>
        <w:pageBreakBefore w:val="0"/>
        <w:numPr>
          <w:ilvl w:val="0"/>
          <w:numId w:val="2"/>
        </w:numPr>
        <w:kinsoku/>
        <w:wordWrap/>
        <w:overflowPunct/>
        <w:topLinePunct w:val="0"/>
        <w:autoSpaceDE w:val="0"/>
        <w:autoSpaceDN w:val="0"/>
        <w:bidi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lang w:val="zh-CN"/>
        </w:rPr>
        <w:t>合同主要条款</w:t>
      </w:r>
    </w:p>
    <w:p w14:paraId="33D8DBE5">
      <w:pPr>
        <w:keepNext w:val="0"/>
        <w:keepLines w:val="0"/>
        <w:pageBreakBefore w:val="0"/>
        <w:numPr>
          <w:ilvl w:val="0"/>
          <w:numId w:val="2"/>
        </w:numPr>
        <w:kinsoku/>
        <w:wordWrap/>
        <w:overflowPunct/>
        <w:topLinePunct w:val="0"/>
        <w:autoSpaceDE w:val="0"/>
        <w:autoSpaceDN w:val="0"/>
        <w:bidi w:val="0"/>
        <w:adjustRightInd w:val="0"/>
        <w:spacing w:line="360" w:lineRule="auto"/>
        <w:rPr>
          <w:rFonts w:ascii="宋体" w:hAnsi="宋体" w:eastAsia="宋体" w:cs="宋体"/>
          <w:sz w:val="21"/>
          <w:szCs w:val="21"/>
          <w:lang w:val="zh-CN"/>
        </w:rPr>
      </w:pPr>
      <w:r>
        <w:rPr>
          <w:rFonts w:hint="eastAsia" w:ascii="宋体" w:hAnsi="宋体" w:eastAsia="宋体" w:cs="宋体"/>
          <w:sz w:val="21"/>
          <w:szCs w:val="21"/>
        </w:rPr>
        <w:t>磋商响应</w:t>
      </w:r>
      <w:r>
        <w:rPr>
          <w:rFonts w:hint="eastAsia" w:ascii="宋体" w:hAnsi="宋体" w:eastAsia="宋体" w:cs="宋体"/>
          <w:sz w:val="21"/>
          <w:szCs w:val="21"/>
          <w:lang w:val="zh-CN"/>
        </w:rPr>
        <w:t>文件格式</w:t>
      </w:r>
    </w:p>
    <w:p w14:paraId="6130BD64">
      <w:pPr>
        <w:keepNext w:val="0"/>
        <w:keepLines w:val="0"/>
        <w:pageBreakBefore w:val="0"/>
        <w:kinsoku/>
        <w:wordWrap/>
        <w:overflowPunct/>
        <w:topLinePunct w:val="0"/>
        <w:autoSpaceDE w:val="0"/>
        <w:autoSpaceDN w:val="0"/>
        <w:bidi w:val="0"/>
        <w:adjustRightIn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7、</w:t>
      </w:r>
      <w:r>
        <w:rPr>
          <w:rFonts w:hint="eastAsia" w:ascii="宋体" w:hAnsi="宋体" w:eastAsia="宋体" w:cs="宋体"/>
          <w:sz w:val="21"/>
          <w:szCs w:val="21"/>
        </w:rPr>
        <w:t>本项目磋商文件的澄清、答复、修改、补充的内容</w:t>
      </w:r>
    </w:p>
    <w:p w14:paraId="6F54BB90">
      <w:pPr>
        <w:keepNext w:val="0"/>
        <w:keepLines w:val="0"/>
        <w:pageBreakBefore w:val="0"/>
        <w:kinsoku/>
        <w:wordWrap/>
        <w:overflowPunct/>
        <w:topLinePunct w:val="0"/>
        <w:autoSpaceDE w:val="0"/>
        <w:autoSpaceDN w:val="0"/>
        <w:bidi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（二）</w:t>
      </w:r>
      <w:r>
        <w:rPr>
          <w:rFonts w:hint="eastAsia" w:ascii="宋体" w:hAnsi="宋体" w:eastAsia="宋体" w:cs="宋体"/>
          <w:b/>
          <w:sz w:val="21"/>
          <w:szCs w:val="21"/>
        </w:rPr>
        <w:t>磋商</w:t>
      </w:r>
      <w:r>
        <w:rPr>
          <w:rFonts w:hint="eastAsia" w:ascii="宋体" w:hAnsi="宋体" w:eastAsia="宋体" w:cs="宋体"/>
          <w:b/>
          <w:sz w:val="21"/>
          <w:szCs w:val="21"/>
          <w:lang w:val="zh-CN"/>
        </w:rPr>
        <w:t>文件的澄清与修改</w:t>
      </w:r>
    </w:p>
    <w:p w14:paraId="29B2C4BE">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供应商</w:t>
      </w:r>
      <w:r>
        <w:rPr>
          <w:rFonts w:hint="eastAsia" w:ascii="宋体" w:hAnsi="宋体" w:eastAsia="宋体" w:cs="宋体"/>
          <w:sz w:val="21"/>
          <w:szCs w:val="21"/>
          <w:lang w:val="zh-CN"/>
        </w:rPr>
        <w:t>如发现</w:t>
      </w:r>
      <w:r>
        <w:rPr>
          <w:rFonts w:hint="eastAsia" w:ascii="宋体" w:hAnsi="宋体" w:eastAsia="宋体" w:cs="宋体"/>
          <w:sz w:val="21"/>
          <w:szCs w:val="21"/>
        </w:rPr>
        <w:t>磋商</w:t>
      </w:r>
      <w:r>
        <w:rPr>
          <w:rFonts w:hint="eastAsia" w:ascii="宋体" w:hAnsi="宋体" w:eastAsia="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eastAsia="宋体" w:cs="宋体"/>
          <w:sz w:val="21"/>
          <w:szCs w:val="21"/>
        </w:rPr>
        <w:t>磋商</w:t>
      </w:r>
      <w:r>
        <w:rPr>
          <w:rFonts w:hint="eastAsia" w:ascii="宋体" w:hAnsi="宋体" w:eastAsia="宋体" w:cs="宋体"/>
          <w:sz w:val="21"/>
          <w:szCs w:val="21"/>
          <w:lang w:val="zh-CN"/>
        </w:rPr>
        <w:t>文件之日（发售截止日之后收到采购文件的，以发售截止日为准）或者采购文件公告期限届满之日（即为</w:t>
      </w:r>
      <w:r>
        <w:rPr>
          <w:rFonts w:hint="eastAsia" w:ascii="宋体" w:hAnsi="宋体" w:eastAsia="宋体" w:cs="宋体"/>
          <w:sz w:val="21"/>
          <w:szCs w:val="21"/>
        </w:rPr>
        <w:t>磋商</w:t>
      </w:r>
      <w:r>
        <w:rPr>
          <w:rFonts w:hint="eastAsia" w:ascii="宋体" w:hAnsi="宋体" w:eastAsia="宋体" w:cs="宋体"/>
          <w:sz w:val="21"/>
          <w:szCs w:val="21"/>
          <w:lang w:val="zh-CN"/>
        </w:rPr>
        <w:t>公告发布后的第</w:t>
      </w:r>
      <w:r>
        <w:rPr>
          <w:rFonts w:hint="eastAsia" w:ascii="宋体" w:hAnsi="宋体" w:eastAsia="宋体" w:cs="宋体"/>
          <w:sz w:val="21"/>
          <w:szCs w:val="21"/>
        </w:rPr>
        <w:t>4</w:t>
      </w:r>
      <w:r>
        <w:rPr>
          <w:rFonts w:hint="eastAsia" w:ascii="宋体" w:hAnsi="宋体" w:eastAsia="宋体" w:cs="宋体"/>
          <w:sz w:val="21"/>
          <w:szCs w:val="21"/>
          <w:lang w:val="zh-CN"/>
        </w:rPr>
        <w:t>个工作日）起7个工作日内，以书面形式向采购人和采购代理机构提出质疑。逾期不得再对</w:t>
      </w:r>
      <w:r>
        <w:rPr>
          <w:rFonts w:hint="eastAsia" w:ascii="宋体" w:hAnsi="宋体" w:eastAsia="宋体" w:cs="宋体"/>
          <w:sz w:val="21"/>
          <w:szCs w:val="21"/>
        </w:rPr>
        <w:t>磋商</w:t>
      </w:r>
      <w:r>
        <w:rPr>
          <w:rFonts w:hint="eastAsia" w:ascii="宋体" w:hAnsi="宋体" w:eastAsia="宋体" w:cs="宋体"/>
          <w:sz w:val="21"/>
          <w:szCs w:val="21"/>
          <w:lang w:val="zh-CN"/>
        </w:rPr>
        <w:t>文件内容提出质疑，并视为对</w:t>
      </w:r>
      <w:r>
        <w:rPr>
          <w:rFonts w:hint="eastAsia" w:ascii="宋体" w:hAnsi="宋体" w:eastAsia="宋体" w:cs="宋体"/>
          <w:sz w:val="21"/>
          <w:szCs w:val="21"/>
        </w:rPr>
        <w:t>磋商</w:t>
      </w:r>
      <w:r>
        <w:rPr>
          <w:rFonts w:hint="eastAsia" w:ascii="宋体" w:hAnsi="宋体" w:eastAsia="宋体" w:cs="宋体"/>
          <w:sz w:val="21"/>
          <w:szCs w:val="21"/>
          <w:lang w:val="zh-CN"/>
        </w:rPr>
        <w:t>文件内容认可。</w:t>
      </w:r>
    </w:p>
    <w:p w14:paraId="3FFB9A5A">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2.采购代理机构对已发出的</w:t>
      </w:r>
      <w:r>
        <w:rPr>
          <w:rFonts w:hint="eastAsia" w:ascii="宋体" w:hAnsi="宋体" w:eastAsia="宋体" w:cs="宋体"/>
          <w:sz w:val="21"/>
          <w:szCs w:val="21"/>
        </w:rPr>
        <w:t>磋商</w:t>
      </w:r>
      <w:r>
        <w:rPr>
          <w:rFonts w:hint="eastAsia" w:ascii="宋体" w:hAnsi="宋体" w:eastAsia="宋体" w:cs="宋体"/>
          <w:sz w:val="21"/>
          <w:szCs w:val="21"/>
          <w:lang w:val="zh-CN"/>
        </w:rPr>
        <w:t>文件进行必要的澄清或者修改，澄清或者修改内容可能影响</w:t>
      </w:r>
      <w:r>
        <w:rPr>
          <w:rFonts w:hint="eastAsia" w:ascii="宋体" w:hAnsi="宋体" w:eastAsia="宋体" w:cs="宋体"/>
          <w:sz w:val="21"/>
          <w:szCs w:val="21"/>
        </w:rPr>
        <w:t>磋商响应</w:t>
      </w:r>
      <w:r>
        <w:rPr>
          <w:rFonts w:hint="eastAsia" w:ascii="宋体" w:hAnsi="宋体" w:eastAsia="宋体" w:cs="宋体"/>
          <w:sz w:val="21"/>
          <w:szCs w:val="21"/>
          <w:lang w:val="zh-CN"/>
        </w:rPr>
        <w:t>文件编制的，采购代理机构于磋商响应文件提交截止时间至少</w:t>
      </w:r>
      <w:r>
        <w:rPr>
          <w:rFonts w:hint="eastAsia" w:ascii="宋体" w:hAnsi="宋体" w:eastAsia="宋体" w:cs="宋体"/>
          <w:sz w:val="21"/>
          <w:szCs w:val="21"/>
        </w:rPr>
        <w:t>3个工作日</w:t>
      </w:r>
      <w:r>
        <w:rPr>
          <w:rFonts w:hint="eastAsia" w:ascii="宋体" w:hAnsi="宋体" w:eastAsia="宋体" w:cs="宋体"/>
          <w:sz w:val="21"/>
          <w:szCs w:val="21"/>
          <w:lang w:val="zh-CN"/>
        </w:rPr>
        <w:t>前在“浙江省政府采购网”网站上发布澄清或更正公告；不足</w:t>
      </w:r>
      <w:r>
        <w:rPr>
          <w:rFonts w:hint="eastAsia" w:ascii="宋体" w:hAnsi="宋体" w:eastAsia="宋体" w:cs="宋体"/>
          <w:sz w:val="21"/>
          <w:szCs w:val="21"/>
        </w:rPr>
        <w:t>3个工作日</w:t>
      </w:r>
      <w:r>
        <w:rPr>
          <w:rFonts w:hint="eastAsia" w:ascii="宋体" w:hAnsi="宋体" w:eastAsia="宋体" w:cs="宋体"/>
          <w:sz w:val="21"/>
          <w:szCs w:val="21"/>
          <w:lang w:val="zh-CN"/>
        </w:rPr>
        <w:t>的，采购代理机构有权顺延提交</w:t>
      </w:r>
      <w:r>
        <w:rPr>
          <w:rFonts w:hint="eastAsia" w:ascii="宋体" w:hAnsi="宋体" w:eastAsia="宋体" w:cs="宋体"/>
          <w:sz w:val="21"/>
          <w:szCs w:val="21"/>
        </w:rPr>
        <w:t>磋商响应</w:t>
      </w:r>
      <w:r>
        <w:rPr>
          <w:rFonts w:hint="eastAsia" w:ascii="宋体" w:hAnsi="宋体" w:eastAsia="宋体" w:cs="宋体"/>
          <w:sz w:val="21"/>
          <w:szCs w:val="21"/>
          <w:lang w:val="zh-CN"/>
        </w:rPr>
        <w:t>文件的截止时间。</w:t>
      </w:r>
    </w:p>
    <w:p w14:paraId="1DF853F4">
      <w:pPr>
        <w:keepNext w:val="0"/>
        <w:keepLines w:val="0"/>
        <w:pageBreakBefore w:val="0"/>
        <w:kinsoku/>
        <w:wordWrap/>
        <w:overflowPunct/>
        <w:topLinePunct w:val="0"/>
        <w:autoSpaceDE w:val="0"/>
        <w:autoSpaceDN w:val="0"/>
        <w:bidi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sz w:val="21"/>
          <w:szCs w:val="21"/>
          <w:lang w:val="zh-CN"/>
        </w:rPr>
        <w:t>3.当</w:t>
      </w:r>
      <w:r>
        <w:rPr>
          <w:rFonts w:hint="eastAsia" w:ascii="宋体" w:hAnsi="宋体" w:eastAsia="宋体" w:cs="宋体"/>
          <w:sz w:val="21"/>
          <w:szCs w:val="21"/>
        </w:rPr>
        <w:t>磋商</w:t>
      </w:r>
      <w:r>
        <w:rPr>
          <w:rFonts w:hint="eastAsia" w:ascii="宋体" w:hAnsi="宋体" w:eastAsia="宋体" w:cs="宋体"/>
          <w:sz w:val="21"/>
          <w:szCs w:val="21"/>
          <w:lang w:val="zh-CN"/>
        </w:rPr>
        <w:t>文件与</w:t>
      </w:r>
      <w:r>
        <w:rPr>
          <w:rFonts w:hint="eastAsia" w:ascii="宋体" w:hAnsi="宋体" w:eastAsia="宋体" w:cs="宋体"/>
          <w:sz w:val="21"/>
          <w:szCs w:val="21"/>
        </w:rPr>
        <w:t>磋商</w:t>
      </w:r>
      <w:r>
        <w:rPr>
          <w:rFonts w:hint="eastAsia" w:ascii="宋体" w:hAnsi="宋体" w:eastAsia="宋体" w:cs="宋体"/>
          <w:sz w:val="21"/>
          <w:szCs w:val="21"/>
          <w:lang w:val="zh-CN"/>
        </w:rPr>
        <w:t>文件的澄清、修改、补充等在同一内容的表述上不一致时，以最后发出的书面文件为准。</w:t>
      </w:r>
    </w:p>
    <w:p w14:paraId="6908E870">
      <w:pPr>
        <w:keepNext w:val="0"/>
        <w:keepLines w:val="0"/>
        <w:pageBreakBefore w:val="0"/>
        <w:kinsoku/>
        <w:wordWrap/>
        <w:overflowPunct/>
        <w:topLinePunct w:val="0"/>
        <w:autoSpaceDE w:val="0"/>
        <w:autoSpaceDN w:val="0"/>
        <w:bidi w:val="0"/>
        <w:adjustRightIn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2CD4E936">
      <w:pPr>
        <w:keepNext w:val="0"/>
        <w:keepLines w:val="0"/>
        <w:pageBreakBefore w:val="0"/>
        <w:kinsoku/>
        <w:wordWrap/>
        <w:overflowPunct/>
        <w:topLinePunct w:val="0"/>
        <w:autoSpaceDE w:val="0"/>
        <w:autoSpaceDN w:val="0"/>
        <w:bidi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5756A0AF">
      <w:pPr>
        <w:keepNext w:val="0"/>
        <w:keepLines w:val="0"/>
        <w:pageBreakBefore w:val="0"/>
        <w:kinsoku/>
        <w:wordWrap/>
        <w:overflowPunct/>
        <w:topLinePunct w:val="0"/>
        <w:autoSpaceDE w:val="0"/>
        <w:autoSpaceDN w:val="0"/>
        <w:bidi w:val="0"/>
        <w:adjustRightInd w:val="0"/>
        <w:spacing w:line="360" w:lineRule="auto"/>
        <w:ind w:firstLine="420" w:firstLineChars="200"/>
        <w:rPr>
          <w:rFonts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1315F819">
      <w:pPr>
        <w:keepNext w:val="0"/>
        <w:keepLines w:val="0"/>
        <w:pageBreakBefore w:val="0"/>
        <w:kinsoku/>
        <w:wordWrap/>
        <w:overflowPunct/>
        <w:topLinePunct w:val="0"/>
        <w:autoSpaceDE w:val="0"/>
        <w:autoSpaceDN w:val="0"/>
        <w:bidi w:val="0"/>
        <w:adjustRightInd w:val="0"/>
        <w:spacing w:line="360" w:lineRule="auto"/>
        <w:ind w:firstLine="420" w:firstLineChars="200"/>
        <w:rPr>
          <w:rFonts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14:paraId="32D8CB4C">
      <w:pPr>
        <w:keepNext w:val="0"/>
        <w:keepLines w:val="0"/>
        <w:pageBreakBefore w:val="0"/>
        <w:kinsoku/>
        <w:wordWrap/>
        <w:overflowPunct/>
        <w:topLinePunct w:val="0"/>
        <w:bidi w:val="0"/>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▲3、资格证明文件的组成：</w:t>
      </w:r>
    </w:p>
    <w:p w14:paraId="3ABEB87E">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（1）磋商承诺函（格式见附件）；</w:t>
      </w:r>
    </w:p>
    <w:p w14:paraId="07D92C62">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（2）授权委托书（格式见附件）（若法定代表人亲自办理磋商事宜的或自然人参加磋商的，则无须提供）；</w:t>
      </w:r>
    </w:p>
    <w:p w14:paraId="3D94EBFD">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）法人或者其他组织的营业执照等证明文件，自然人的身份证明（</w:t>
      </w:r>
      <w:r>
        <w:rPr>
          <w:rFonts w:hint="eastAsia" w:ascii="宋体" w:hAnsi="宋体" w:eastAsia="宋体" w:cs="宋体"/>
          <w:sz w:val="21"/>
          <w:szCs w:val="21"/>
          <w:lang w:val="en-US" w:eastAsia="zh-CN"/>
        </w:rPr>
        <w:t>注：本项目为政府购买服务项目，</w:t>
      </w:r>
      <w:r>
        <w:rPr>
          <w:rFonts w:hint="eastAsia" w:ascii="宋体" w:hAnsi="宋体" w:eastAsia="宋体" w:cs="宋体"/>
          <w:sz w:val="21"/>
          <w:szCs w:val="21"/>
          <w:lang w:val="zh-CN"/>
        </w:rPr>
        <w:t>公益一类事业单位、使用事业编制且由财政拨款保障的群团组织，不作为</w:t>
      </w:r>
      <w:r>
        <w:rPr>
          <w:rFonts w:hint="eastAsia" w:ascii="宋体" w:hAnsi="宋体" w:eastAsia="宋体" w:cs="宋体"/>
          <w:sz w:val="21"/>
          <w:szCs w:val="21"/>
          <w:lang w:val="en-US" w:eastAsia="zh-CN"/>
        </w:rPr>
        <w:t>本项目</w:t>
      </w:r>
      <w:r>
        <w:rPr>
          <w:rFonts w:hint="eastAsia" w:ascii="宋体" w:hAnsi="宋体" w:eastAsia="宋体" w:cs="宋体"/>
          <w:sz w:val="21"/>
          <w:szCs w:val="21"/>
          <w:lang w:val="zh-CN"/>
        </w:rPr>
        <w:t>承接主体）；</w:t>
      </w:r>
    </w:p>
    <w:p w14:paraId="61BC0025">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）具有履行合同所必需设备和专业技术能力的承诺函；</w:t>
      </w:r>
    </w:p>
    <w:p w14:paraId="546B944F">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val="zh-CN"/>
        </w:rPr>
        <w:t>）无重大违法记录声明书；</w:t>
      </w:r>
    </w:p>
    <w:p w14:paraId="185C5EDB">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6</w:t>
      </w:r>
      <w:r>
        <w:rPr>
          <w:rFonts w:hint="eastAsia" w:ascii="宋体" w:hAnsi="宋体" w:eastAsia="宋体" w:cs="宋体"/>
          <w:sz w:val="21"/>
          <w:szCs w:val="21"/>
        </w:rPr>
        <w:t>）提供中小企业声明函；</w:t>
      </w:r>
    </w:p>
    <w:p w14:paraId="7B384B95">
      <w:pPr>
        <w:keepNext w:val="0"/>
        <w:keepLines w:val="0"/>
        <w:pageBreakBefore w:val="0"/>
        <w:kinsoku/>
        <w:wordWrap/>
        <w:overflowPunct/>
        <w:topLinePunct w:val="0"/>
        <w:autoSpaceDE w:val="0"/>
        <w:autoSpaceDN w:val="0"/>
        <w:bidi w:val="0"/>
        <w:adjustRightInd w:val="0"/>
        <w:snapToGrid w:val="0"/>
        <w:spacing w:line="360" w:lineRule="auto"/>
        <w:ind w:firstLine="420" w:firstLineChars="200"/>
        <w:rPr>
          <w:rFonts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zh-CN"/>
        </w:rPr>
        <w:t>提供采购公告中符合供应商特定条件的</w:t>
      </w:r>
      <w:r>
        <w:rPr>
          <w:rFonts w:hint="eastAsia" w:ascii="宋体" w:hAnsi="宋体" w:eastAsia="宋体" w:cs="宋体"/>
          <w:sz w:val="21"/>
          <w:szCs w:val="21"/>
          <w:lang w:val="en-US" w:eastAsia="zh-CN"/>
        </w:rPr>
        <w:t>相关证明材料</w:t>
      </w:r>
      <w:r>
        <w:rPr>
          <w:rFonts w:hint="eastAsia" w:ascii="宋体" w:hAnsi="宋体" w:eastAsia="宋体" w:cs="宋体"/>
          <w:sz w:val="21"/>
          <w:szCs w:val="21"/>
          <w:lang w:val="zh-CN"/>
        </w:rPr>
        <w:t>（供应商特定条件中有要求的必须提供），以及需要说明的其他资料。</w:t>
      </w:r>
    </w:p>
    <w:p w14:paraId="6D6B5BA5">
      <w:pPr>
        <w:keepNext w:val="0"/>
        <w:keepLines w:val="0"/>
        <w:pageBreakBefore w:val="0"/>
        <w:kinsoku/>
        <w:wordWrap/>
        <w:overflowPunct/>
        <w:topLinePunct w:val="0"/>
        <w:autoSpaceDE w:val="0"/>
        <w:autoSpaceDN w:val="0"/>
        <w:bidi w:val="0"/>
        <w:adjustRightInd w:val="0"/>
        <w:snapToGrid w:val="0"/>
        <w:spacing w:line="360" w:lineRule="auto"/>
        <w:ind w:firstLine="480"/>
        <w:rPr>
          <w:rFonts w:ascii="宋体" w:hAnsi="宋体" w:eastAsia="宋体" w:cs="宋体"/>
          <w:sz w:val="21"/>
          <w:szCs w:val="21"/>
          <w:lang w:val="zh-CN"/>
        </w:rPr>
      </w:pPr>
      <w:r>
        <w:rPr>
          <w:rFonts w:hint="eastAsia" w:ascii="宋体" w:hAnsi="宋体" w:eastAsia="宋体" w:cs="宋体"/>
          <w:b/>
          <w:bCs/>
          <w:sz w:val="21"/>
          <w:szCs w:val="21"/>
          <w:lang w:val="zh-CN"/>
        </w:rPr>
        <w:t>▲注：开标前采购机构不安排资格预审，若供应商不按要求提供资格审查材料，其磋商响应文件作无效标处理。</w:t>
      </w:r>
    </w:p>
    <w:p w14:paraId="338DE2D0">
      <w:pPr>
        <w:keepNext w:val="0"/>
        <w:keepLines w:val="0"/>
        <w:pageBreakBefore w:val="0"/>
        <w:tabs>
          <w:tab w:val="left" w:pos="5955"/>
        </w:tabs>
        <w:kinsoku/>
        <w:wordWrap/>
        <w:overflowPunct/>
        <w:topLinePunct w:val="0"/>
        <w:bidi w:val="0"/>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4、商务与技术标的组成：</w:t>
      </w:r>
      <w:r>
        <w:rPr>
          <w:rFonts w:hint="eastAsia" w:ascii="宋体" w:hAnsi="宋体" w:eastAsia="宋体" w:cs="宋体"/>
          <w:b/>
          <w:sz w:val="21"/>
          <w:szCs w:val="21"/>
        </w:rPr>
        <w:tab/>
      </w:r>
    </w:p>
    <w:p w14:paraId="6EA61CAA">
      <w:pPr>
        <w:keepNext w:val="0"/>
        <w:keepLines w:val="0"/>
        <w:pageBreakBefore w:val="0"/>
        <w:kinsoku/>
        <w:wordWrap/>
        <w:overflowPunct/>
        <w:topLinePunct w:val="0"/>
        <w:bidi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（1）供应商基本情况表（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66E1C19B">
      <w:pPr>
        <w:keepNext w:val="0"/>
        <w:keepLines w:val="0"/>
        <w:pageBreakBefore w:val="0"/>
        <w:kinsoku/>
        <w:wordWrap/>
        <w:overflowPunct/>
        <w:topLinePunct w:val="0"/>
        <w:bidi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）商务响应表（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2CE8B240">
      <w:pPr>
        <w:keepNext w:val="0"/>
        <w:keepLines w:val="0"/>
        <w:pageBreakBefore w:val="0"/>
        <w:kinsoku/>
        <w:wordWrap/>
        <w:overflowPunct/>
        <w:topLinePunct w:val="0"/>
        <w:bidi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）类似项目业绩（</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1690203F">
      <w:pPr>
        <w:keepNext w:val="0"/>
        <w:keepLines w:val="0"/>
        <w:pageBreakBefore w:val="0"/>
        <w:kinsoku/>
        <w:wordWrap/>
        <w:overflowPunct/>
        <w:topLinePunct w:val="0"/>
        <w:bidi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）项目</w:t>
      </w:r>
      <w:r>
        <w:rPr>
          <w:rFonts w:hint="eastAsia" w:ascii="宋体" w:hAnsi="宋体" w:eastAsia="宋体" w:cs="宋体"/>
          <w:sz w:val="21"/>
          <w:szCs w:val="21"/>
          <w:lang w:val="en-US" w:eastAsia="zh-CN"/>
        </w:rPr>
        <w:t>负责人</w:t>
      </w:r>
      <w:r>
        <w:rPr>
          <w:rFonts w:hint="eastAsia" w:ascii="宋体" w:hAnsi="宋体" w:eastAsia="宋体" w:cs="宋体"/>
          <w:sz w:val="21"/>
          <w:szCs w:val="21"/>
        </w:rPr>
        <w:t>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7923537C">
      <w:pPr>
        <w:keepNext w:val="0"/>
        <w:keepLines w:val="0"/>
        <w:pageBreakBefore w:val="0"/>
        <w:kinsoku/>
        <w:wordWrap/>
        <w:overflowPunct/>
        <w:topLinePunct w:val="0"/>
        <w:bidi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5）常用联系人员简历</w:t>
      </w:r>
      <w:r>
        <w:rPr>
          <w:rFonts w:hint="eastAsia" w:ascii="宋体" w:hAnsi="宋体" w:eastAsia="宋体" w:cs="宋体"/>
          <w:sz w:val="21"/>
          <w:szCs w:val="21"/>
        </w:rPr>
        <w:t>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2F14222D">
      <w:pPr>
        <w:keepNext w:val="0"/>
        <w:keepLines w:val="0"/>
        <w:pageBreakBefore w:val="0"/>
        <w:kinsoku/>
        <w:wordWrap/>
        <w:overflowPunct/>
        <w:topLinePunct w:val="0"/>
        <w:bidi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kern w:val="0"/>
          <w:sz w:val="21"/>
          <w:szCs w:val="21"/>
        </w:rPr>
        <w:t>服务方案</w:t>
      </w:r>
      <w:r>
        <w:rPr>
          <w:rFonts w:hint="eastAsia" w:ascii="宋体" w:hAnsi="宋体" w:eastAsia="宋体" w:cs="宋体"/>
          <w:sz w:val="21"/>
          <w:szCs w:val="21"/>
        </w:rPr>
        <w:t>；</w:t>
      </w:r>
    </w:p>
    <w:p w14:paraId="06A9569D">
      <w:pPr>
        <w:keepNext w:val="0"/>
        <w:keepLines w:val="0"/>
        <w:pageBreakBefore w:val="0"/>
        <w:kinsoku/>
        <w:wordWrap/>
        <w:overflowPunct/>
        <w:topLinePunct w:val="0"/>
        <w:bidi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）招商信息</w:t>
      </w:r>
      <w:r>
        <w:rPr>
          <w:rFonts w:hint="eastAsia" w:ascii="宋体" w:hAnsi="宋体" w:eastAsia="宋体" w:cs="宋体"/>
          <w:sz w:val="21"/>
          <w:szCs w:val="21"/>
          <w:lang w:val="en-US" w:eastAsia="zh-CN"/>
        </w:rPr>
        <w:t>资源</w:t>
      </w:r>
      <w:r>
        <w:rPr>
          <w:rFonts w:hint="eastAsia" w:ascii="宋体" w:hAnsi="宋体" w:eastAsia="宋体" w:cs="宋体"/>
          <w:sz w:val="21"/>
          <w:szCs w:val="21"/>
        </w:rPr>
        <w:t>；</w:t>
      </w:r>
    </w:p>
    <w:p w14:paraId="55941969">
      <w:pPr>
        <w:keepNext w:val="0"/>
        <w:keepLines w:val="0"/>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）上门招商</w:t>
      </w:r>
      <w:r>
        <w:rPr>
          <w:rFonts w:hint="eastAsia" w:ascii="宋体" w:hAnsi="宋体" w:eastAsia="宋体" w:cs="宋体"/>
          <w:sz w:val="21"/>
          <w:szCs w:val="21"/>
          <w:lang w:val="en-US" w:eastAsia="zh-CN"/>
        </w:rPr>
        <w:t>方案</w:t>
      </w:r>
      <w:r>
        <w:rPr>
          <w:rFonts w:hint="eastAsia" w:ascii="宋体" w:hAnsi="宋体" w:eastAsia="宋体" w:cs="宋体"/>
          <w:sz w:val="21"/>
          <w:szCs w:val="21"/>
        </w:rPr>
        <w:t>；</w:t>
      </w:r>
    </w:p>
    <w:p w14:paraId="0DF1EC13">
      <w:pPr>
        <w:keepNext w:val="0"/>
        <w:keepLines w:val="0"/>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招商活动方案</w:t>
      </w:r>
      <w:r>
        <w:rPr>
          <w:rFonts w:hint="eastAsia" w:ascii="宋体" w:hAnsi="宋体" w:eastAsia="宋体" w:cs="宋体"/>
          <w:sz w:val="21"/>
          <w:szCs w:val="21"/>
        </w:rPr>
        <w:t>；</w:t>
      </w:r>
    </w:p>
    <w:p w14:paraId="6257CBBE">
      <w:pPr>
        <w:keepNext w:val="0"/>
        <w:keepLines w:val="0"/>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业务培训方案</w:t>
      </w:r>
      <w:r>
        <w:rPr>
          <w:rFonts w:hint="eastAsia" w:ascii="宋体" w:hAnsi="宋体" w:eastAsia="宋体" w:cs="宋体"/>
          <w:sz w:val="21"/>
          <w:szCs w:val="21"/>
        </w:rPr>
        <w:t>；</w:t>
      </w:r>
    </w:p>
    <w:p w14:paraId="041F3A16">
      <w:pPr>
        <w:keepNext w:val="0"/>
        <w:keepLines w:val="0"/>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重难点分析及解决方案</w:t>
      </w:r>
      <w:r>
        <w:rPr>
          <w:rFonts w:hint="eastAsia" w:ascii="宋体" w:hAnsi="宋体" w:eastAsia="宋体" w:cs="宋体"/>
          <w:sz w:val="21"/>
          <w:szCs w:val="21"/>
        </w:rPr>
        <w:t>；</w:t>
      </w:r>
    </w:p>
    <w:p w14:paraId="71706F77">
      <w:pPr>
        <w:keepNext w:val="0"/>
        <w:keepLines w:val="0"/>
        <w:pageBreakBefore w:val="0"/>
        <w:kinsoku/>
        <w:wordWrap/>
        <w:overflowPunct/>
        <w:topLinePunct w:val="0"/>
        <w:bidi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）服务质量保障措施；</w:t>
      </w:r>
    </w:p>
    <w:p w14:paraId="48CB7CC4">
      <w:pPr>
        <w:keepNext w:val="0"/>
        <w:keepLines w:val="0"/>
        <w:pageBreakBefore w:val="0"/>
        <w:kinsoku/>
        <w:wordWrap/>
        <w:overflowPunct/>
        <w:topLinePunct w:val="0"/>
        <w:bidi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r>
        <w:rPr>
          <w:rFonts w:hint="eastAsia" w:ascii="宋体" w:hAnsi="宋体" w:eastAsia="宋体" w:cs="宋体"/>
          <w:sz w:val="21"/>
          <w:szCs w:val="21"/>
        </w:rPr>
        <w:t>应急工作方案</w:t>
      </w:r>
      <w:r>
        <w:rPr>
          <w:rFonts w:hint="eastAsia" w:ascii="宋体" w:hAnsi="宋体" w:eastAsia="宋体" w:cs="宋体"/>
          <w:sz w:val="21"/>
          <w:szCs w:val="21"/>
          <w:lang w:eastAsia="zh-CN"/>
        </w:rPr>
        <w:t>；</w:t>
      </w:r>
    </w:p>
    <w:p w14:paraId="3845AB91">
      <w:pPr>
        <w:keepNext w:val="0"/>
        <w:keepLines w:val="0"/>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）供应商认为需要提供的其他资料（包括可能影响供应商商务与技术标评分的各类证明材料）。</w:t>
      </w:r>
    </w:p>
    <w:p w14:paraId="2EA087FF">
      <w:pPr>
        <w:keepNext w:val="0"/>
        <w:keepLines w:val="0"/>
        <w:pageBreakBefore w:val="0"/>
        <w:kinsoku/>
        <w:wordWrap/>
        <w:overflowPunct/>
        <w:topLinePunct w:val="0"/>
        <w:bidi w:val="0"/>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5、报价标的组成：</w:t>
      </w:r>
    </w:p>
    <w:p w14:paraId="451E12A2">
      <w:pPr>
        <w:keepNext w:val="0"/>
        <w:keepLines w:val="0"/>
        <w:pageBreakBefore w:val="0"/>
        <w:tabs>
          <w:tab w:val="left" w:pos="3870"/>
          <w:tab w:val="left" w:pos="4085"/>
        </w:tabs>
        <w:kinsoku/>
        <w:wordWrap/>
        <w:overflowPunct/>
        <w:topLinePunct w:val="0"/>
        <w:bidi w:val="0"/>
        <w:snapToGrid w:val="0"/>
        <w:spacing w:line="360" w:lineRule="auto"/>
        <w:ind w:firstLine="422" w:firstLineChars="200"/>
        <w:jc w:val="left"/>
        <w:rPr>
          <w:rFonts w:ascii="宋体" w:hAnsi="宋体" w:eastAsia="宋体" w:cs="宋体"/>
          <w:b/>
          <w:kern w:val="0"/>
          <w:sz w:val="21"/>
          <w:szCs w:val="21"/>
        </w:rPr>
      </w:pPr>
      <w:r>
        <w:rPr>
          <w:rFonts w:hint="eastAsia" w:ascii="宋体" w:hAnsi="宋体" w:eastAsia="宋体" w:cs="宋体"/>
          <w:b/>
          <w:kern w:val="0"/>
          <w:sz w:val="21"/>
          <w:szCs w:val="21"/>
        </w:rPr>
        <w:t>▲（1）报价内容由首次报价一览表、报价明细表以及供应商认为其他需要说明的内容组成。</w:t>
      </w:r>
    </w:p>
    <w:p w14:paraId="16007F32">
      <w:pPr>
        <w:keepNext w:val="0"/>
        <w:keepLines w:val="0"/>
        <w:pageBreakBefore w:val="0"/>
        <w:tabs>
          <w:tab w:val="left" w:pos="3870"/>
          <w:tab w:val="left" w:pos="4085"/>
        </w:tabs>
        <w:kinsoku/>
        <w:wordWrap/>
        <w:overflowPunct/>
        <w:topLinePunct w:val="0"/>
        <w:bidi w:val="0"/>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▲（2）此报价为供应商针对本项目报出的唯一的首次报价，包含其它一切所要涉及到的费用，有选择的报价将被拒绝。</w:t>
      </w:r>
    </w:p>
    <w:p w14:paraId="54B62FFB">
      <w:pPr>
        <w:keepNext w:val="0"/>
        <w:keepLines w:val="0"/>
        <w:pageBreakBefore w:val="0"/>
        <w:tabs>
          <w:tab w:val="left" w:pos="3870"/>
          <w:tab w:val="left" w:pos="4085"/>
        </w:tabs>
        <w:kinsoku/>
        <w:wordWrap/>
        <w:overflowPunct/>
        <w:topLinePunct w:val="0"/>
        <w:bidi w:val="0"/>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3）总报价应包括磋商文件、磋商文件所注明的全部内容以及报价中须包含所有一切人员工资、各种加班费、节假日补贴、各种社会保险、安全保险、食宿与交通、材料费、人工费、辅助材料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46E95E92">
      <w:pPr>
        <w:keepNext w:val="0"/>
        <w:keepLines w:val="0"/>
        <w:pageBreakBefore w:val="0"/>
        <w:tabs>
          <w:tab w:val="left" w:pos="3870"/>
          <w:tab w:val="left" w:pos="4085"/>
        </w:tabs>
        <w:kinsoku/>
        <w:wordWrap/>
        <w:overflowPunct/>
        <w:topLinePunct w:val="0"/>
        <w:bidi w:val="0"/>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cs="宋体"/>
          <w:b/>
          <w:bCs/>
          <w:sz w:val="21"/>
          <w:szCs w:val="21"/>
          <w:lang w:val="zh-CN"/>
        </w:rPr>
        <w:t>本项目专门面向中小企业采购，价格评审时，小微企业的投标价格不作扣除</w:t>
      </w:r>
      <w:r>
        <w:rPr>
          <w:rFonts w:hint="eastAsia" w:ascii="宋体" w:hAnsi="宋体" w:eastAsia="宋体"/>
          <w:kern w:val="0"/>
          <w:sz w:val="21"/>
          <w:szCs w:val="21"/>
        </w:rPr>
        <w:t>。</w:t>
      </w:r>
    </w:p>
    <w:p w14:paraId="7DFCFA11">
      <w:pPr>
        <w:keepNext w:val="0"/>
        <w:keepLines w:val="0"/>
        <w:pageBreakBefore w:val="0"/>
        <w:tabs>
          <w:tab w:val="left" w:pos="3870"/>
          <w:tab w:val="left" w:pos="4085"/>
        </w:tabs>
        <w:kinsoku/>
        <w:wordWrap/>
        <w:overflowPunct/>
        <w:topLinePunct w:val="0"/>
        <w:bidi w:val="0"/>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（5）相关报价表需打印或用不退色的墨水填写， 磋商响应报价表不得涂改和增删，如有错漏必须修改，修改处须由同一签署人签字或盖章。由于字迹模糊或表达不清引起的后果由供应商负责。</w:t>
      </w:r>
    </w:p>
    <w:p w14:paraId="70963012">
      <w:pPr>
        <w:keepNext w:val="0"/>
        <w:keepLines w:val="0"/>
        <w:pageBreakBefore w:val="0"/>
        <w:kinsoku/>
        <w:wordWrap/>
        <w:overflowPunct/>
        <w:topLinePunct w:val="0"/>
        <w:bidi w:val="0"/>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（6）报价有关表格应按磋商采购文件中相关附表格式填写。</w:t>
      </w:r>
    </w:p>
    <w:p w14:paraId="782D7F31">
      <w:pPr>
        <w:pStyle w:val="11"/>
        <w:keepNext w:val="0"/>
        <w:keepLines w:val="0"/>
        <w:pageBreakBefore w:val="0"/>
        <w:kinsoku/>
        <w:wordWrap/>
        <w:overflowPunct/>
        <w:topLinePunct w:val="0"/>
        <w:bidi w:val="0"/>
        <w:spacing w:line="360" w:lineRule="auto"/>
        <w:ind w:firstLine="210"/>
        <w:rPr>
          <w:rFonts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b/>
          <w:bCs/>
          <w:sz w:val="21"/>
          <w:szCs w:val="21"/>
        </w:rPr>
        <w:t>6</w:t>
      </w:r>
      <w:r>
        <w:rPr>
          <w:rFonts w:hint="eastAsia" w:ascii="宋体" w:hAnsi="宋体" w:eastAsia="宋体" w:cs="宋体"/>
          <w:b/>
          <w:bCs/>
          <w:sz w:val="21"/>
          <w:szCs w:val="21"/>
          <w:lang w:val="zh-CN"/>
        </w:rPr>
        <w:t>、报价要求</w:t>
      </w:r>
    </w:p>
    <w:p w14:paraId="0C10CB3D">
      <w:pPr>
        <w:keepNext w:val="0"/>
        <w:keepLines w:val="0"/>
        <w:pageBreakBefore w:val="0"/>
        <w:kinsoku/>
        <w:wordWrap/>
        <w:overflowPunct/>
        <w:topLinePunct w:val="0"/>
        <w:bidi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lang w:val="zh-CN"/>
        </w:rPr>
        <w:t>①本项目设有最高限价，如投标人的投标总报价超过最高限价，其投标文件作无效标处理。</w:t>
      </w:r>
    </w:p>
    <w:p w14:paraId="40A84587">
      <w:pPr>
        <w:keepNext w:val="0"/>
        <w:keepLines w:val="0"/>
        <w:pageBreakBefore w:val="0"/>
        <w:kinsoku/>
        <w:wordWrap/>
        <w:overflowPunct/>
        <w:topLinePunct w:val="0"/>
        <w:bidi w:val="0"/>
        <w:spacing w:line="360" w:lineRule="auto"/>
        <w:ind w:firstLine="422" w:firstLineChars="200"/>
        <w:rPr>
          <w:rFonts w:ascii="宋体" w:hAnsi="宋体" w:eastAsia="宋体" w:cs="宋体"/>
          <w:b/>
          <w:bCs/>
          <w:sz w:val="21"/>
          <w:szCs w:val="21"/>
          <w:lang w:val="zh-CN"/>
        </w:rPr>
      </w:pPr>
      <w:r>
        <w:rPr>
          <w:rFonts w:hint="eastAsia" w:ascii="宋体" w:hAnsi="宋体" w:eastAsia="宋体" w:cs="宋体"/>
          <w:b/>
          <w:bCs/>
          <w:sz w:val="21"/>
          <w:szCs w:val="21"/>
        </w:rPr>
        <w:t>②初次报价在本项目磋商响应文件递交截止时间前按磋商文件要求自主报价；最终报价在本顶目磋商结束后由所有有效的磋商供应商在规定的时间30分钟内（最终报价时间时限根据评审情况另行通知）在平台上进行最终报价</w:t>
      </w:r>
      <w:r>
        <w:rPr>
          <w:sz w:val="21"/>
          <w:szCs w:val="21"/>
        </w:rPr>
        <w:fldChar w:fldCharType="begin"/>
      </w:r>
      <w:r>
        <w:rPr>
          <w:sz w:val="21"/>
          <w:szCs w:val="21"/>
        </w:rPr>
        <w:instrText xml:space="preserve"> HYPERLINK "mailto:675642008@qq.com），最后报价不得高于首次报价（谈判文件的采购需求发生实质性变动的情况除外）。" </w:instrText>
      </w:r>
      <w:r>
        <w:rPr>
          <w:sz w:val="21"/>
          <w:szCs w:val="21"/>
        </w:rPr>
        <w:fldChar w:fldCharType="separate"/>
      </w:r>
      <w:r>
        <w:rPr>
          <w:rFonts w:hint="eastAsia" w:ascii="宋体" w:hAnsi="宋体" w:eastAsia="宋体" w:cs="宋体"/>
          <w:b/>
          <w:bCs/>
          <w:sz w:val="21"/>
          <w:szCs w:val="21"/>
          <w:u w:val="single"/>
        </w:rPr>
        <w:t>，</w:t>
      </w:r>
      <w:r>
        <w:rPr>
          <w:rFonts w:hint="eastAsia" w:ascii="宋体" w:hAnsi="宋体" w:eastAsia="宋体" w:cs="宋体"/>
          <w:b/>
          <w:bCs/>
          <w:sz w:val="21"/>
          <w:szCs w:val="21"/>
          <w:u w:val="single"/>
          <w:lang w:val="zh-CN"/>
        </w:rPr>
        <w:t>最终报价不得高于初次报价，否则将导致无效标。（磋商文件的采购需求发生实质性变动的情况除外）。</w:t>
      </w:r>
      <w:r>
        <w:rPr>
          <w:rFonts w:hint="eastAsia" w:ascii="宋体" w:hAnsi="宋体" w:eastAsia="宋体" w:cs="宋体"/>
          <w:b/>
          <w:bCs/>
          <w:sz w:val="21"/>
          <w:szCs w:val="21"/>
          <w:u w:val="single"/>
          <w:lang w:val="zh-CN"/>
        </w:rPr>
        <w:fldChar w:fldCharType="end"/>
      </w:r>
    </w:p>
    <w:p w14:paraId="01BDE0D1">
      <w:pPr>
        <w:keepNext w:val="0"/>
        <w:keepLines w:val="0"/>
        <w:pageBreakBefore w:val="0"/>
        <w:kinsoku/>
        <w:wordWrap/>
        <w:overflowPunct/>
        <w:topLinePunct w:val="0"/>
        <w:bidi w:val="0"/>
        <w:spacing w:line="360" w:lineRule="auto"/>
        <w:ind w:firstLine="422" w:firstLineChars="200"/>
        <w:rPr>
          <w:rFonts w:ascii="宋体" w:hAnsi="宋体" w:eastAsia="宋体" w:cs="宋体"/>
          <w:sz w:val="21"/>
          <w:szCs w:val="21"/>
          <w:lang w:val="zh-CN"/>
        </w:rPr>
      </w:pPr>
      <w:r>
        <w:rPr>
          <w:rFonts w:hint="eastAsia" w:ascii="宋体" w:hAnsi="宋体" w:eastAsia="宋体" w:cs="宋体"/>
          <w:b/>
          <w:bCs/>
          <w:sz w:val="21"/>
          <w:szCs w:val="21"/>
        </w:rPr>
        <w:t>▲</w:t>
      </w:r>
      <w:r>
        <w:rPr>
          <w:rFonts w:hint="eastAsia" w:ascii="宋体" w:hAnsi="宋体" w:eastAsia="宋体" w:cs="宋体"/>
          <w:b/>
          <w:bCs/>
          <w:sz w:val="21"/>
          <w:szCs w:val="21"/>
          <w:u w:val="single"/>
        </w:rPr>
        <w:t>各供应商针对本项目最终报价工作应当事先作好充分准备，以避免在规定时间内未能完成最终报价，在规定时间内未能提完成最终报价，按供应商自动放弃处理，责任由供应商自负。</w:t>
      </w:r>
    </w:p>
    <w:p w14:paraId="1D2FB3E2">
      <w:pPr>
        <w:keepNext w:val="0"/>
        <w:keepLines w:val="0"/>
        <w:pageBreakBefore w:val="0"/>
        <w:kinsoku/>
        <w:wordWrap/>
        <w:overflowPunct/>
        <w:topLinePunct w:val="0"/>
        <w:bidi w:val="0"/>
        <w:snapToGrid w:val="0"/>
        <w:spacing w:line="360" w:lineRule="auto"/>
        <w:ind w:left="480"/>
        <w:rPr>
          <w:rFonts w:ascii="宋体" w:hAnsi="宋体" w:eastAsia="宋体" w:cs="宋体"/>
          <w:sz w:val="21"/>
          <w:szCs w:val="21"/>
          <w:lang w:val="zh-CN"/>
        </w:rPr>
      </w:pPr>
      <w:r>
        <w:rPr>
          <w:rFonts w:hint="eastAsia" w:ascii="宋体" w:hAnsi="宋体" w:eastAsia="宋体" w:cs="宋体"/>
          <w:b/>
          <w:kern w:val="0"/>
          <w:sz w:val="21"/>
          <w:szCs w:val="21"/>
        </w:rPr>
        <w:t>（二）、磋商响应文件的制作、份数及递交要求</w:t>
      </w:r>
    </w:p>
    <w:p w14:paraId="007B233B">
      <w:pPr>
        <w:keepNext w:val="0"/>
        <w:keepLines w:val="0"/>
        <w:pageBreakBefore w:val="0"/>
        <w:kinsoku/>
        <w:wordWrap/>
        <w:overflowPunct/>
        <w:topLinePunct w:val="0"/>
        <w:autoSpaceDE w:val="0"/>
        <w:autoSpaceDN w:val="0"/>
        <w:bidi w:val="0"/>
        <w:adjustRightInd w:val="0"/>
        <w:snapToGrid w:val="0"/>
        <w:spacing w:line="360" w:lineRule="auto"/>
        <w:ind w:firstLine="480"/>
        <w:rPr>
          <w:rFonts w:ascii="宋体" w:hAnsi="宋体" w:eastAsia="宋体" w:cs="宋体"/>
          <w:b/>
          <w:sz w:val="21"/>
          <w:szCs w:val="21"/>
        </w:rPr>
      </w:pPr>
      <w:r>
        <w:rPr>
          <w:rFonts w:hint="eastAsia" w:ascii="宋体" w:hAnsi="宋体" w:eastAsia="宋体" w:cs="宋体"/>
          <w:b/>
          <w:sz w:val="21"/>
          <w:szCs w:val="21"/>
        </w:rPr>
        <w:t>1、磋商响应文件的制作要求</w:t>
      </w:r>
    </w:p>
    <w:p w14:paraId="1F658AB1">
      <w:pPr>
        <w:keepNext w:val="0"/>
        <w:keepLines w:val="0"/>
        <w:pageBreakBefore w:val="0"/>
        <w:kinsoku/>
        <w:wordWrap/>
        <w:overflowPunct/>
        <w:topLinePunct w:val="0"/>
        <w:autoSpaceDE w:val="0"/>
        <w:autoSpaceDN w:val="0"/>
        <w:bidi w:val="0"/>
        <w:adjustRightInd w:val="0"/>
        <w:snapToGrid w:val="0"/>
        <w:spacing w:line="360" w:lineRule="auto"/>
        <w:ind w:firstLine="480"/>
        <w:rPr>
          <w:rFonts w:ascii="宋体" w:hAnsi="宋体" w:eastAsia="宋体" w:cs="宋体"/>
          <w:kern w:val="0"/>
          <w:sz w:val="21"/>
          <w:szCs w:val="21"/>
        </w:rPr>
      </w:pPr>
      <w:r>
        <w:rPr>
          <w:rFonts w:hint="eastAsia" w:ascii="宋体" w:hAnsi="宋体" w:eastAsia="宋体" w:cs="宋体"/>
          <w:sz w:val="21"/>
          <w:szCs w:val="21"/>
        </w:rPr>
        <w:t>（1）供应商应按照磋商响应文件组成内容及项目磋商需求和浙江政府采购云平台要求制作制作磋商响应文件，</w:t>
      </w:r>
      <w:r>
        <w:rPr>
          <w:rFonts w:hint="eastAsia" w:ascii="宋体" w:hAnsi="宋体" w:eastAsia="宋体" w:cs="宋体"/>
          <w:kern w:val="0"/>
          <w:sz w:val="21"/>
          <w:szCs w:val="21"/>
        </w:rPr>
        <w:t>不按</w:t>
      </w:r>
      <w:r>
        <w:rPr>
          <w:rFonts w:hint="eastAsia" w:ascii="宋体" w:hAnsi="宋体" w:eastAsia="宋体" w:cs="宋体"/>
          <w:sz w:val="21"/>
          <w:szCs w:val="21"/>
        </w:rPr>
        <w:t>磋商采购文件</w:t>
      </w:r>
      <w:r>
        <w:rPr>
          <w:rFonts w:hint="eastAsia" w:ascii="宋体" w:hAnsi="宋体" w:eastAsia="宋体" w:cs="宋体"/>
          <w:kern w:val="0"/>
          <w:sz w:val="21"/>
          <w:szCs w:val="21"/>
        </w:rPr>
        <w:t>要求和浙江政府采购云平台要求制作</w:t>
      </w:r>
      <w:r>
        <w:rPr>
          <w:rFonts w:hint="eastAsia" w:ascii="宋体" w:hAnsi="宋体" w:eastAsia="宋体" w:cs="宋体"/>
          <w:sz w:val="21"/>
          <w:szCs w:val="21"/>
        </w:rPr>
        <w:t>磋商响应文件</w:t>
      </w:r>
      <w:r>
        <w:rPr>
          <w:rFonts w:hint="eastAsia" w:ascii="宋体" w:hAnsi="宋体" w:eastAsia="宋体" w:cs="宋体"/>
          <w:kern w:val="0"/>
          <w:sz w:val="21"/>
          <w:szCs w:val="21"/>
        </w:rPr>
        <w:t>的将视情处理（拒收、扣分等），由此产生的责任由</w:t>
      </w:r>
      <w:r>
        <w:rPr>
          <w:rFonts w:hint="eastAsia" w:ascii="宋体" w:hAnsi="宋体" w:eastAsia="宋体" w:cs="宋体"/>
          <w:sz w:val="21"/>
          <w:szCs w:val="21"/>
        </w:rPr>
        <w:t>磋商供应商</w:t>
      </w:r>
      <w:r>
        <w:rPr>
          <w:rFonts w:hint="eastAsia" w:ascii="宋体" w:hAnsi="宋体" w:eastAsia="宋体" w:cs="宋体"/>
          <w:kern w:val="0"/>
          <w:sz w:val="21"/>
          <w:szCs w:val="21"/>
        </w:rPr>
        <w:t>自行承担。</w:t>
      </w:r>
    </w:p>
    <w:p w14:paraId="6AC60BB0">
      <w:pPr>
        <w:keepNext w:val="0"/>
        <w:keepLines w:val="0"/>
        <w:pageBreakBefore w:val="0"/>
        <w:kinsoku/>
        <w:wordWrap/>
        <w:overflowPunct/>
        <w:topLinePunct w:val="0"/>
        <w:bidi w:val="0"/>
        <w:snapToGrid w:val="0"/>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电子磋商响应文件部分：供应商应根据“供应商-政府采购项目电子交易操作指南”及本磋商响应文件规定的格式和顺序编制电子磋商响应文件并进行关联定位。</w:t>
      </w:r>
    </w:p>
    <w:p w14:paraId="2023DA9E">
      <w:pPr>
        <w:keepNext w:val="0"/>
        <w:keepLines w:val="0"/>
        <w:pageBreakBefore w:val="0"/>
        <w:kinsoku/>
        <w:wordWrap/>
        <w:overflowPunct/>
        <w:topLinePunct w:val="0"/>
        <w:bidi w:val="0"/>
        <w:snapToGrid w:val="0"/>
        <w:spacing w:line="360" w:lineRule="auto"/>
        <w:ind w:firstLine="422" w:firstLineChars="200"/>
        <w:rPr>
          <w:rFonts w:ascii="宋体" w:hAnsi="宋体" w:eastAsia="宋体" w:cs="宋体"/>
          <w:sz w:val="21"/>
          <w:szCs w:val="21"/>
        </w:rPr>
      </w:pPr>
      <w:r>
        <w:rPr>
          <w:rFonts w:hint="eastAsia" w:ascii="宋体" w:hAnsi="宋体" w:eastAsia="宋体" w:cs="宋体"/>
          <w:b/>
          <w:bCs/>
          <w:sz w:val="21"/>
          <w:szCs w:val="21"/>
        </w:rPr>
        <w:t>备份磋商响应文件应与政采云平台上传的电子磋商响应文件一致。</w:t>
      </w:r>
    </w:p>
    <w:p w14:paraId="40F3E22F">
      <w:pPr>
        <w:keepNext w:val="0"/>
        <w:keepLines w:val="0"/>
        <w:pageBreakBefore w:val="0"/>
        <w:kinsoku/>
        <w:wordWrap/>
        <w:overflowPunct/>
        <w:topLinePunct w:val="0"/>
        <w:autoSpaceDE w:val="0"/>
        <w:autoSpaceDN w:val="0"/>
        <w:bidi w:val="0"/>
        <w:adjustRightInd w:val="0"/>
        <w:snapToGrid w:val="0"/>
        <w:spacing w:line="360" w:lineRule="auto"/>
        <w:ind w:firstLine="420" w:firstLineChars="200"/>
        <w:rPr>
          <w:rFonts w:ascii="宋体" w:hAnsi="宋体" w:eastAsia="宋体" w:cs="宋体"/>
          <w:kern w:val="0"/>
          <w:sz w:val="21"/>
          <w:szCs w:val="21"/>
          <w:lang w:val="zh-CN"/>
        </w:rPr>
      </w:pPr>
      <w:r>
        <w:rPr>
          <w:rFonts w:hint="eastAsia" w:ascii="宋体" w:hAnsi="宋体" w:eastAsia="宋体" w:cs="宋体"/>
          <w:bCs/>
          <w:sz w:val="21"/>
          <w:szCs w:val="21"/>
        </w:rPr>
        <w:t>▲</w:t>
      </w:r>
      <w:r>
        <w:rPr>
          <w:rFonts w:hint="eastAsia" w:ascii="宋体" w:hAnsi="宋体" w:eastAsia="宋体" w:cs="宋体"/>
          <w:sz w:val="21"/>
          <w:szCs w:val="21"/>
        </w:rPr>
        <w:t>（2）供应商应对所提供的全部资料的真实性承担法律责任，磋商响应文件</w:t>
      </w:r>
      <w:r>
        <w:rPr>
          <w:rFonts w:hint="eastAsia" w:ascii="宋体" w:hAnsi="宋体" w:eastAsia="宋体" w:cs="宋体"/>
          <w:sz w:val="21"/>
          <w:szCs w:val="21"/>
          <w:lang w:val="zh-CN"/>
        </w:rPr>
        <w:t>内容中有要求盖章的地方，</w:t>
      </w:r>
      <w:r>
        <w:rPr>
          <w:rFonts w:hint="eastAsia" w:ascii="宋体" w:hAnsi="宋体" w:eastAsia="宋体" w:cs="宋体"/>
          <w:kern w:val="0"/>
          <w:sz w:val="21"/>
          <w:szCs w:val="21"/>
          <w:lang w:val="zh-CN"/>
        </w:rPr>
        <w:t>必须加盖</w:t>
      </w:r>
      <w:r>
        <w:rPr>
          <w:rFonts w:hint="eastAsia" w:ascii="宋体" w:hAnsi="宋体" w:eastAsia="宋体" w:cs="宋体"/>
          <w:sz w:val="21"/>
          <w:szCs w:val="21"/>
        </w:rPr>
        <w:t>磋商供应商</w:t>
      </w:r>
      <w:r>
        <w:rPr>
          <w:rFonts w:hint="eastAsia" w:ascii="宋体" w:hAnsi="宋体" w:eastAsia="宋体" w:cs="宋体"/>
          <w:kern w:val="0"/>
          <w:sz w:val="21"/>
          <w:szCs w:val="21"/>
          <w:lang w:val="zh-CN"/>
        </w:rPr>
        <w:t>的公章（或CA电子公章）以及法定代表人或全权代表的盖章或签字（CA电子签章或签字），其中</w:t>
      </w:r>
      <w:r>
        <w:rPr>
          <w:rFonts w:hint="eastAsia" w:ascii="宋体" w:hAnsi="宋体" w:eastAsia="宋体" w:cs="宋体"/>
          <w:sz w:val="21"/>
          <w:szCs w:val="21"/>
        </w:rPr>
        <w:t>所有证书类文件提供的复印件</w:t>
      </w:r>
      <w:r>
        <w:rPr>
          <w:rFonts w:hint="eastAsia" w:ascii="宋体" w:hAnsi="宋体" w:eastAsia="宋体" w:cs="宋体"/>
          <w:kern w:val="0"/>
          <w:sz w:val="21"/>
          <w:szCs w:val="21"/>
        </w:rPr>
        <w:t>必须全部加盖单位公章（或CA电子公章）且</w:t>
      </w:r>
      <w:r>
        <w:rPr>
          <w:rFonts w:hint="eastAsia" w:ascii="宋体" w:hAnsi="宋体" w:eastAsia="宋体" w:cs="宋体"/>
          <w:sz w:val="21"/>
          <w:szCs w:val="21"/>
        </w:rPr>
        <w:t>必须在有效期内的。</w:t>
      </w:r>
    </w:p>
    <w:p w14:paraId="12AC87C6">
      <w:pPr>
        <w:keepNext w:val="0"/>
        <w:keepLines w:val="0"/>
        <w:pageBreakBefore w:val="0"/>
        <w:kinsoku/>
        <w:wordWrap/>
        <w:overflowPunct/>
        <w:topLinePunct w:val="0"/>
        <w:bidi w:val="0"/>
        <w:snapToGrid w:val="0"/>
        <w:spacing w:line="360" w:lineRule="auto"/>
        <w:ind w:firstLine="420" w:firstLineChars="200"/>
        <w:jc w:val="left"/>
        <w:rPr>
          <w:rFonts w:ascii="宋体" w:hAnsi="宋体" w:eastAsia="宋体" w:cs="宋体"/>
          <w:sz w:val="21"/>
          <w:szCs w:val="21"/>
        </w:rPr>
      </w:pPr>
      <w:r>
        <w:rPr>
          <w:rFonts w:hint="eastAsia" w:ascii="宋体" w:hAnsi="宋体" w:eastAsia="宋体" w:cs="宋体"/>
          <w:kern w:val="0"/>
          <w:sz w:val="21"/>
          <w:szCs w:val="21"/>
          <w:lang w:val="zh-CN"/>
        </w:rPr>
        <w:t>（</w:t>
      </w:r>
      <w:r>
        <w:rPr>
          <w:rFonts w:hint="eastAsia" w:ascii="宋体" w:hAnsi="宋体" w:eastAsia="宋体" w:cs="宋体"/>
          <w:kern w:val="0"/>
          <w:sz w:val="21"/>
          <w:szCs w:val="21"/>
        </w:rPr>
        <w:t>3</w:t>
      </w:r>
      <w:r>
        <w:rPr>
          <w:rFonts w:hint="eastAsia" w:ascii="宋体" w:hAnsi="宋体" w:eastAsia="宋体" w:cs="宋体"/>
          <w:kern w:val="0"/>
          <w:sz w:val="21"/>
          <w:szCs w:val="21"/>
          <w:lang w:val="zh-CN"/>
        </w:rPr>
        <w:t>）</w:t>
      </w:r>
      <w:r>
        <w:rPr>
          <w:rFonts w:hint="eastAsia" w:ascii="宋体" w:hAnsi="宋体" w:eastAsia="宋体" w:cs="宋体"/>
          <w:sz w:val="21"/>
          <w:szCs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0F27946F">
      <w:pPr>
        <w:keepNext w:val="0"/>
        <w:keepLines w:val="0"/>
        <w:pageBreakBefore w:val="0"/>
        <w:kinsoku/>
        <w:wordWrap/>
        <w:overflowPunct/>
        <w:topLinePunct w:val="0"/>
        <w:bidi w:val="0"/>
        <w:snapToGri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（4）磋商计量单位，磋商采购文件已有明确规定的，使用磋商采购文件规定的计量单位；磋商采购文件没有规定的，应采用中华人民共和国法定计量单位（货币单位：人民币元），否则视同未响应。</w:t>
      </w:r>
    </w:p>
    <w:p w14:paraId="2FB7C699">
      <w:pPr>
        <w:keepNext w:val="0"/>
        <w:keepLines w:val="0"/>
        <w:pageBreakBefore w:val="0"/>
        <w:kinsoku/>
        <w:wordWrap/>
        <w:overflowPunct/>
        <w:topLinePunct w:val="0"/>
        <w:autoSpaceDE w:val="0"/>
        <w:autoSpaceDN w:val="0"/>
        <w:bidi w:val="0"/>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（5）若磋商供应商不按采购文件的要求提供资格审查材料，其风险由磋商供应商自行承担。</w:t>
      </w:r>
    </w:p>
    <w:p w14:paraId="59288609">
      <w:pPr>
        <w:keepNext w:val="0"/>
        <w:keepLines w:val="0"/>
        <w:pageBreakBefore w:val="0"/>
        <w:kinsoku/>
        <w:wordWrap/>
        <w:overflowPunct/>
        <w:topLinePunct w:val="0"/>
        <w:autoSpaceDE w:val="0"/>
        <w:autoSpaceDN w:val="0"/>
        <w:bidi w:val="0"/>
        <w:adjustRightInd w:val="0"/>
        <w:snapToGrid w:val="0"/>
        <w:spacing w:line="360" w:lineRule="auto"/>
        <w:ind w:firstLine="480"/>
        <w:rPr>
          <w:rFonts w:ascii="宋体" w:hAnsi="宋体" w:eastAsia="宋体" w:cs="宋体"/>
          <w:sz w:val="21"/>
          <w:szCs w:val="21"/>
        </w:rPr>
      </w:pPr>
      <w:r>
        <w:rPr>
          <w:rFonts w:hint="eastAsia" w:ascii="宋体" w:hAnsi="宋体" w:eastAsia="宋体" w:cs="宋体"/>
          <w:kern w:val="0"/>
          <w:sz w:val="21"/>
          <w:szCs w:val="21"/>
        </w:rPr>
        <w:t>（6）</w:t>
      </w:r>
      <w:r>
        <w:rPr>
          <w:rFonts w:hint="eastAsia" w:ascii="宋体" w:hAnsi="宋体" w:eastAsia="宋体" w:cs="宋体"/>
          <w:sz w:val="21"/>
          <w:szCs w:val="21"/>
        </w:rPr>
        <w:t>与本次磋商无关的内容请不要制作在内，确保磋商响应文件有针对性、简洁明了。</w:t>
      </w:r>
    </w:p>
    <w:p w14:paraId="6FD1D47D">
      <w:pPr>
        <w:keepNext w:val="0"/>
        <w:keepLines w:val="0"/>
        <w:pageBreakBefore w:val="0"/>
        <w:kinsoku/>
        <w:wordWrap/>
        <w:overflowPunct/>
        <w:topLinePunct w:val="0"/>
        <w:autoSpaceDE w:val="0"/>
        <w:autoSpaceDN w:val="0"/>
        <w:bidi w:val="0"/>
        <w:adjustRightInd w:val="0"/>
        <w:snapToGrid w:val="0"/>
        <w:spacing w:line="360" w:lineRule="auto"/>
        <w:ind w:firstLine="417" w:firstLineChars="198"/>
        <w:rPr>
          <w:rFonts w:ascii="宋体" w:hAnsi="宋体" w:eastAsia="宋体" w:cs="宋体"/>
          <w:b/>
          <w:sz w:val="21"/>
          <w:szCs w:val="21"/>
        </w:rPr>
      </w:pPr>
      <w:r>
        <w:rPr>
          <w:rFonts w:hint="eastAsia" w:ascii="宋体" w:hAnsi="宋体" w:eastAsia="宋体" w:cs="宋体"/>
          <w:b/>
          <w:sz w:val="21"/>
          <w:szCs w:val="21"/>
        </w:rPr>
        <w:t>2、磋商响应文件份数：</w:t>
      </w:r>
    </w:p>
    <w:p w14:paraId="65A94CA9">
      <w:pPr>
        <w:keepNext w:val="0"/>
        <w:keepLines w:val="0"/>
        <w:pageBreakBefore w:val="0"/>
        <w:kinsoku/>
        <w:wordWrap/>
        <w:overflowPunct/>
        <w:topLinePunct w:val="0"/>
        <w:autoSpaceDE w:val="0"/>
        <w:autoSpaceDN w:val="0"/>
        <w:bidi w:val="0"/>
        <w:adjustRightInd w:val="0"/>
        <w:snapToGrid w:val="0"/>
        <w:spacing w:line="360" w:lineRule="auto"/>
        <w:ind w:firstLine="417" w:firstLineChars="198"/>
        <w:rPr>
          <w:rFonts w:ascii="宋体" w:hAnsi="宋体" w:eastAsia="宋体" w:cs="宋体"/>
          <w:b/>
          <w:sz w:val="21"/>
          <w:szCs w:val="21"/>
        </w:rPr>
      </w:pPr>
      <w:r>
        <w:rPr>
          <w:rFonts w:hint="eastAsia" w:ascii="宋体" w:hAnsi="宋体" w:eastAsia="宋体" w:cs="宋体"/>
          <w:b/>
          <w:sz w:val="21"/>
          <w:szCs w:val="21"/>
        </w:rPr>
        <w:t>（1）电子磋商响应文件一份：通过政采云平台电子投标工具（政采云电子投标客户端）生成的，一份为加密标书。</w:t>
      </w:r>
    </w:p>
    <w:p w14:paraId="1CF30473">
      <w:pPr>
        <w:keepNext w:val="0"/>
        <w:keepLines w:val="0"/>
        <w:pageBreakBefore w:val="0"/>
        <w:kinsoku/>
        <w:wordWrap/>
        <w:overflowPunct/>
        <w:topLinePunct w:val="0"/>
        <w:autoSpaceDE w:val="0"/>
        <w:autoSpaceDN w:val="0"/>
        <w:bidi w:val="0"/>
        <w:adjustRightInd w:val="0"/>
        <w:snapToGrid w:val="0"/>
        <w:spacing w:line="360" w:lineRule="auto"/>
        <w:ind w:firstLine="417" w:firstLineChars="198"/>
        <w:rPr>
          <w:rFonts w:ascii="宋体" w:hAnsi="宋体" w:eastAsia="宋体" w:cs="宋体"/>
          <w:b/>
          <w:sz w:val="21"/>
          <w:szCs w:val="21"/>
          <w:highlight w:val="none"/>
        </w:rPr>
      </w:pPr>
      <w:r>
        <w:rPr>
          <w:rFonts w:hint="eastAsia" w:ascii="宋体" w:hAnsi="宋体" w:eastAsia="宋体" w:cs="宋体"/>
          <w:b/>
          <w:sz w:val="21"/>
          <w:szCs w:val="21"/>
        </w:rPr>
        <w:t>（2）备份磋商响应文件（政采云平台上最后生成的具备电子签章的备份磋商响应文件，文件名后缀为备份文件四字的首字母）：电子邮件提交一份，由投标人自行确定是否提交；若提交请将备份磋商响应文件打包压缩加密后以电子邮件的形式发送至</w:t>
      </w:r>
      <w:r>
        <w:rPr>
          <w:rFonts w:hint="eastAsia" w:ascii="宋体" w:hAnsi="宋体" w:eastAsia="宋体" w:cs="宋体"/>
          <w:b/>
          <w:sz w:val="21"/>
          <w:szCs w:val="21"/>
          <w:highlight w:val="none"/>
        </w:rPr>
        <w:t>631122035@qq.com。</w:t>
      </w:r>
    </w:p>
    <w:p w14:paraId="091528AB">
      <w:pPr>
        <w:keepNext w:val="0"/>
        <w:keepLines w:val="0"/>
        <w:pageBreakBefore w:val="0"/>
        <w:kinsoku/>
        <w:wordWrap/>
        <w:overflowPunct/>
        <w:topLinePunct w:val="0"/>
        <w:autoSpaceDE w:val="0"/>
        <w:autoSpaceDN w:val="0"/>
        <w:bidi w:val="0"/>
        <w:adjustRightInd w:val="0"/>
        <w:snapToGrid w:val="0"/>
        <w:spacing w:line="360" w:lineRule="auto"/>
        <w:ind w:firstLine="417" w:firstLineChars="198"/>
        <w:rPr>
          <w:rFonts w:ascii="宋体" w:hAnsi="宋体" w:eastAsia="宋体" w:cs="宋体"/>
          <w:b/>
          <w:sz w:val="21"/>
          <w:szCs w:val="21"/>
        </w:rPr>
      </w:pPr>
      <w:r>
        <w:rPr>
          <w:rFonts w:hint="eastAsia" w:ascii="宋体" w:hAnsi="宋体" w:eastAsia="宋体" w:cs="宋体"/>
          <w:b/>
          <w:sz w:val="21"/>
          <w:szCs w:val="21"/>
        </w:rPr>
        <w:t>（3）中标供应商应提供与电子磋商响应文件内容一致的纸质磋商响应文件各一正二副，装订成册，采用胶订或线订，不得采用活页夹等可随时拆换的方式装订。（胶订或线订以外装订形式视为活页装订）中标人在领取中标通知书时提供纸质磋商响应文件。</w:t>
      </w:r>
    </w:p>
    <w:p w14:paraId="7113E23A">
      <w:pPr>
        <w:keepNext w:val="0"/>
        <w:keepLines w:val="0"/>
        <w:pageBreakBefore w:val="0"/>
        <w:kinsoku/>
        <w:wordWrap/>
        <w:overflowPunct/>
        <w:topLinePunct w:val="0"/>
        <w:autoSpaceDE w:val="0"/>
        <w:autoSpaceDN w:val="0"/>
        <w:bidi w:val="0"/>
        <w:adjustRightInd w:val="0"/>
        <w:snapToGrid w:val="0"/>
        <w:spacing w:line="360" w:lineRule="auto"/>
        <w:ind w:firstLine="480"/>
        <w:rPr>
          <w:rFonts w:ascii="宋体" w:hAnsi="宋体" w:eastAsia="宋体" w:cs="宋体"/>
          <w:b/>
          <w:sz w:val="21"/>
          <w:szCs w:val="21"/>
        </w:rPr>
      </w:pPr>
      <w:r>
        <w:rPr>
          <w:rFonts w:hint="eastAsia" w:ascii="宋体" w:hAnsi="宋体" w:eastAsia="宋体" w:cs="宋体"/>
          <w:b/>
          <w:kern w:val="0"/>
          <w:sz w:val="21"/>
          <w:szCs w:val="21"/>
        </w:rPr>
        <w:t>3、</w:t>
      </w:r>
      <w:r>
        <w:rPr>
          <w:rFonts w:hint="eastAsia" w:ascii="宋体" w:hAnsi="宋体" w:eastAsia="宋体" w:cs="宋体"/>
          <w:b/>
          <w:sz w:val="21"/>
          <w:szCs w:val="21"/>
        </w:rPr>
        <w:t>磋商响应文件的递交要求</w:t>
      </w:r>
    </w:p>
    <w:p w14:paraId="484BEA05">
      <w:pPr>
        <w:keepNext w:val="0"/>
        <w:keepLines w:val="0"/>
        <w:pageBreakBefore w:val="0"/>
        <w:tabs>
          <w:tab w:val="left" w:pos="1418"/>
        </w:tabs>
        <w:kinsoku/>
        <w:wordWrap/>
        <w:overflowPunct/>
        <w:topLinePunct w:val="0"/>
        <w:autoSpaceDE w:val="0"/>
        <w:autoSpaceDN w:val="0"/>
        <w:bidi w:val="0"/>
        <w:adjustRightInd w:val="0"/>
        <w:snapToGrid w:val="0"/>
        <w:spacing w:line="360" w:lineRule="auto"/>
        <w:ind w:firstLine="420" w:firstLineChars="200"/>
        <w:rPr>
          <w:rFonts w:ascii="宋体" w:hAnsi="宋体" w:eastAsia="宋体" w:cs="宋体"/>
          <w:kern w:val="0"/>
          <w:sz w:val="21"/>
          <w:szCs w:val="21"/>
        </w:rPr>
      </w:pPr>
      <w:bookmarkStart w:id="17" w:name="_Toc531359012"/>
      <w:bookmarkStart w:id="18" w:name="_Toc530551857"/>
      <w:bookmarkStart w:id="19" w:name="_Toc34895557"/>
      <w:r>
        <w:rPr>
          <w:rFonts w:hint="eastAsia" w:ascii="宋体" w:hAnsi="宋体" w:eastAsia="宋体" w:cs="宋体"/>
          <w:kern w:val="0"/>
          <w:sz w:val="21"/>
          <w:szCs w:val="21"/>
        </w:rPr>
        <w:t>（1）磋商响应文件导入</w:t>
      </w:r>
      <w:bookmarkEnd w:id="17"/>
      <w:bookmarkEnd w:id="18"/>
      <w:r>
        <w:rPr>
          <w:rFonts w:hint="eastAsia" w:ascii="宋体" w:hAnsi="宋体" w:eastAsia="宋体" w:cs="宋体"/>
          <w:kern w:val="0"/>
          <w:sz w:val="21"/>
          <w:szCs w:val="21"/>
        </w:rPr>
        <w:t>和加密</w:t>
      </w:r>
      <w:bookmarkEnd w:id="19"/>
    </w:p>
    <w:p w14:paraId="3EC4A630">
      <w:pPr>
        <w:keepNext w:val="0"/>
        <w:keepLines w:val="0"/>
        <w:pageBreakBefore w:val="0"/>
        <w:tabs>
          <w:tab w:val="left" w:pos="1418"/>
        </w:tabs>
        <w:kinsoku/>
        <w:wordWrap/>
        <w:overflowPunct/>
        <w:topLinePunct w:val="0"/>
        <w:autoSpaceDE w:val="0"/>
        <w:autoSpaceDN w:val="0"/>
        <w:bidi w:val="0"/>
        <w:adjustRightInd w:val="0"/>
        <w:snapToGri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①磋商供应商应当按照资格证明文件、商务与技术文件和报价文件三部分分别导入相应位置，各文件之间不得导错位置；</w:t>
      </w:r>
    </w:p>
    <w:p w14:paraId="1A563BB9">
      <w:pPr>
        <w:keepNext w:val="0"/>
        <w:keepLines w:val="0"/>
        <w:pageBreakBefore w:val="0"/>
        <w:tabs>
          <w:tab w:val="left" w:pos="1418"/>
        </w:tabs>
        <w:kinsoku/>
        <w:wordWrap/>
        <w:overflowPunct/>
        <w:topLinePunct w:val="0"/>
        <w:autoSpaceDE w:val="0"/>
        <w:autoSpaceDN w:val="0"/>
        <w:bidi w:val="0"/>
        <w:adjustRightInd w:val="0"/>
        <w:snapToGri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②磋商响应文件编制好后应当生成电子加密磋商文件，生成电子加密磋商文件具体流程详见【浙江省】供应商-政府采购项目电子交易操作指南网址：</w:t>
      </w:r>
      <w:r>
        <w:rPr>
          <w:sz w:val="21"/>
          <w:szCs w:val="21"/>
        </w:rPr>
        <w:fldChar w:fldCharType="begin"/>
      </w:r>
      <w:r>
        <w:rPr>
          <w:sz w:val="21"/>
          <w:szCs w:val="21"/>
        </w:rPr>
        <w:instrText xml:space="preserve"> HYPERLINK "https://service.zcygov.cn/" \l "/knowledges/CW1EtGwBFdiHxlNd6I3m/6IMVAG0BFdiHxlNdQ8Na" </w:instrText>
      </w:r>
      <w:r>
        <w:rPr>
          <w:sz w:val="21"/>
          <w:szCs w:val="21"/>
        </w:rPr>
        <w:fldChar w:fldCharType="separate"/>
      </w:r>
      <w:r>
        <w:rPr>
          <w:rFonts w:hint="eastAsia" w:ascii="宋体" w:hAnsi="宋体" w:eastAsia="宋体" w:cs="宋体"/>
          <w:kern w:val="0"/>
          <w:sz w:val="21"/>
          <w:szCs w:val="21"/>
        </w:rPr>
        <w:t>https://service.zcygov.cn/#/knowledges/CW1EtGwBFdiHxlNd6I3m/6IMVAG0BFdiHxlNdQ8Na</w:t>
      </w:r>
      <w:r>
        <w:rPr>
          <w:rFonts w:hint="eastAsia" w:ascii="宋体" w:hAnsi="宋体" w:eastAsia="宋体" w:cs="宋体"/>
          <w:kern w:val="0"/>
          <w:sz w:val="21"/>
          <w:szCs w:val="21"/>
        </w:rPr>
        <w:fldChar w:fldCharType="end"/>
      </w:r>
    </w:p>
    <w:p w14:paraId="6E0AD048">
      <w:pPr>
        <w:keepNext w:val="0"/>
        <w:keepLines w:val="0"/>
        <w:pageBreakBefore w:val="0"/>
        <w:tabs>
          <w:tab w:val="left" w:pos="1418"/>
        </w:tabs>
        <w:kinsoku/>
        <w:wordWrap/>
        <w:overflowPunct/>
        <w:topLinePunct w:val="0"/>
        <w:autoSpaceDE w:val="0"/>
        <w:autoSpaceDN w:val="0"/>
        <w:bidi w:val="0"/>
        <w:adjustRightInd w:val="0"/>
        <w:snapToGri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（2）磋商响应文件的提交</w:t>
      </w:r>
    </w:p>
    <w:p w14:paraId="682F38DB">
      <w:pPr>
        <w:keepNext w:val="0"/>
        <w:keepLines w:val="0"/>
        <w:pageBreakBefore w:val="0"/>
        <w:tabs>
          <w:tab w:val="left" w:pos="1418"/>
        </w:tabs>
        <w:kinsoku/>
        <w:wordWrap/>
        <w:overflowPunct/>
        <w:topLinePunct w:val="0"/>
        <w:autoSpaceDE w:val="0"/>
        <w:autoSpaceDN w:val="0"/>
        <w:bidi w:val="0"/>
        <w:adjustRightInd w:val="0"/>
        <w:snapToGri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①磋商响应文件提交截止时间：见磋商须知“前附表”；</w:t>
      </w:r>
    </w:p>
    <w:p w14:paraId="59E17AB7">
      <w:pPr>
        <w:keepNext w:val="0"/>
        <w:keepLines w:val="0"/>
        <w:pageBreakBefore w:val="0"/>
        <w:tabs>
          <w:tab w:val="left" w:pos="1418"/>
        </w:tabs>
        <w:kinsoku/>
        <w:wordWrap/>
        <w:overflowPunct/>
        <w:topLinePunct w:val="0"/>
        <w:autoSpaceDE w:val="0"/>
        <w:autoSpaceDN w:val="0"/>
        <w:bidi w:val="0"/>
        <w:adjustRightInd w:val="0"/>
        <w:snapToGri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②磋商响应文件提交地点：见磋商须知“前附表”。</w:t>
      </w:r>
    </w:p>
    <w:p w14:paraId="1CC749C1">
      <w:pPr>
        <w:keepNext w:val="0"/>
        <w:keepLines w:val="0"/>
        <w:pageBreakBefore w:val="0"/>
        <w:tabs>
          <w:tab w:val="left" w:pos="1418"/>
        </w:tabs>
        <w:kinsoku/>
        <w:wordWrap/>
        <w:overflowPunct/>
        <w:topLinePunct w:val="0"/>
        <w:autoSpaceDE w:val="0"/>
        <w:autoSpaceDN w:val="0"/>
        <w:bidi w:val="0"/>
        <w:adjustRightInd w:val="0"/>
        <w:snapToGri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（3）不予接收的磋商响应文件情形</w:t>
      </w:r>
    </w:p>
    <w:p w14:paraId="60B4150C">
      <w:pPr>
        <w:keepNext w:val="0"/>
        <w:keepLines w:val="0"/>
        <w:pageBreakBefore w:val="0"/>
        <w:tabs>
          <w:tab w:val="left" w:pos="1418"/>
        </w:tabs>
        <w:kinsoku/>
        <w:wordWrap/>
        <w:overflowPunct/>
        <w:topLinePunct w:val="0"/>
        <w:autoSpaceDE w:val="0"/>
        <w:autoSpaceDN w:val="0"/>
        <w:bidi w:val="0"/>
        <w:adjustRightInd w:val="0"/>
        <w:snapToGri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①磋商截止时间前未完成传输的磋商响应文件；</w:t>
      </w:r>
    </w:p>
    <w:p w14:paraId="790505D2">
      <w:pPr>
        <w:keepNext w:val="0"/>
        <w:keepLines w:val="0"/>
        <w:pageBreakBefore w:val="0"/>
        <w:tabs>
          <w:tab w:val="left" w:pos="1418"/>
        </w:tabs>
        <w:kinsoku/>
        <w:wordWrap/>
        <w:overflowPunct/>
        <w:topLinePunct w:val="0"/>
        <w:autoSpaceDE w:val="0"/>
        <w:autoSpaceDN w:val="0"/>
        <w:bidi w:val="0"/>
        <w:adjustRightInd w:val="0"/>
        <w:snapToGri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②未生成加密的磋商响应文件；</w:t>
      </w:r>
    </w:p>
    <w:p w14:paraId="5DB03256">
      <w:pPr>
        <w:keepNext w:val="0"/>
        <w:keepLines w:val="0"/>
        <w:pageBreakBefore w:val="0"/>
        <w:tabs>
          <w:tab w:val="left" w:pos="1418"/>
        </w:tabs>
        <w:kinsoku/>
        <w:wordWrap/>
        <w:overflowPunct/>
        <w:topLinePunct w:val="0"/>
        <w:autoSpaceDE w:val="0"/>
        <w:autoSpaceDN w:val="0"/>
        <w:bidi w:val="0"/>
        <w:adjustRightInd w:val="0"/>
        <w:snapToGri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（4）如有特殊情况，采购代理机构延长截止时间和开标时间，采购代理机构和磋商供应商的权利和义务将受到新的截止时间和开标时间的约束。</w:t>
      </w:r>
    </w:p>
    <w:p w14:paraId="094720B5">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4、磋商响应文件的补充、修改和撤回。</w:t>
      </w:r>
    </w:p>
    <w:p w14:paraId="7BF03414">
      <w:pPr>
        <w:keepNext w:val="0"/>
        <w:keepLines w:val="0"/>
        <w:pageBreakBefore w:val="0"/>
        <w:tabs>
          <w:tab w:val="left" w:pos="1418"/>
        </w:tabs>
        <w:kinsoku/>
        <w:wordWrap/>
        <w:overflowPunct/>
        <w:topLinePunct w:val="0"/>
        <w:autoSpaceDE w:val="0"/>
        <w:autoSpaceDN w:val="0"/>
        <w:bidi w:val="0"/>
        <w:adjustRightInd w:val="0"/>
        <w:snapToGri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1E3CF869">
      <w:pPr>
        <w:keepNext w:val="0"/>
        <w:keepLines w:val="0"/>
        <w:pageBreakBefore w:val="0"/>
        <w:tabs>
          <w:tab w:val="left" w:pos="1418"/>
        </w:tabs>
        <w:kinsoku/>
        <w:wordWrap/>
        <w:overflowPunct/>
        <w:topLinePunct w:val="0"/>
        <w:autoSpaceDE w:val="0"/>
        <w:autoSpaceDN w:val="0"/>
        <w:bidi w:val="0"/>
        <w:adjustRightInd w:val="0"/>
        <w:snapToGri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zh-CN"/>
        </w:rPr>
        <w:t>在磋商响应文件递交截止时间后,磋商供应商不得修改或撤回已</w:t>
      </w:r>
      <w:r>
        <w:rPr>
          <w:rFonts w:hint="eastAsia" w:ascii="宋体" w:hAnsi="宋体" w:eastAsia="宋体" w:cs="宋体"/>
          <w:kern w:val="0"/>
          <w:sz w:val="21"/>
          <w:szCs w:val="21"/>
        </w:rPr>
        <w:t>提交</w:t>
      </w:r>
      <w:r>
        <w:rPr>
          <w:rFonts w:hint="eastAsia" w:ascii="宋体" w:hAnsi="宋体" w:eastAsia="宋体" w:cs="宋体"/>
          <w:kern w:val="0"/>
          <w:sz w:val="21"/>
          <w:szCs w:val="21"/>
          <w:lang w:val="zh-CN"/>
        </w:rPr>
        <w:t>的磋商响应文件。</w:t>
      </w:r>
    </w:p>
    <w:p w14:paraId="270DCD9A">
      <w:pPr>
        <w:keepNext w:val="0"/>
        <w:keepLines w:val="0"/>
        <w:pageBreakBefore w:val="0"/>
        <w:tabs>
          <w:tab w:val="left" w:pos="1418"/>
        </w:tabs>
        <w:kinsoku/>
        <w:wordWrap/>
        <w:overflowPunct/>
        <w:topLinePunct w:val="0"/>
        <w:autoSpaceDE w:val="0"/>
        <w:autoSpaceDN w:val="0"/>
        <w:bidi w:val="0"/>
        <w:adjustRightInd w:val="0"/>
        <w:snapToGrid w:val="0"/>
        <w:spacing w:line="360" w:lineRule="auto"/>
        <w:ind w:left="480"/>
        <w:rPr>
          <w:rFonts w:ascii="宋体" w:hAnsi="宋体" w:eastAsia="宋体" w:cs="宋体"/>
          <w:kern w:val="0"/>
          <w:sz w:val="21"/>
          <w:szCs w:val="21"/>
        </w:rPr>
      </w:pPr>
      <w:r>
        <w:rPr>
          <w:rFonts w:hint="eastAsia" w:ascii="宋体" w:hAnsi="宋体" w:eastAsia="宋体" w:cs="宋体"/>
          <w:b/>
          <w:kern w:val="0"/>
          <w:sz w:val="21"/>
          <w:szCs w:val="21"/>
        </w:rPr>
        <w:t>（三）磋商响应文件的有效期</w:t>
      </w:r>
    </w:p>
    <w:p w14:paraId="3DB5D7E5">
      <w:pPr>
        <w:keepNext w:val="0"/>
        <w:keepLines w:val="0"/>
        <w:pageBreakBefore w:val="0"/>
        <w:kinsoku/>
        <w:wordWrap/>
        <w:overflowPunct/>
        <w:topLinePunct w:val="0"/>
        <w:bidi w:val="0"/>
        <w:snapToGrid w:val="0"/>
        <w:spacing w:line="360" w:lineRule="auto"/>
        <w:ind w:firstLine="422" w:firstLineChars="200"/>
        <w:rPr>
          <w:rFonts w:ascii="宋体" w:hAnsi="宋体" w:eastAsia="宋体" w:cs="宋体"/>
          <w:sz w:val="21"/>
          <w:szCs w:val="21"/>
          <w:lang w:val="en-GB"/>
        </w:rPr>
      </w:pPr>
      <w:r>
        <w:rPr>
          <w:rFonts w:hint="eastAsia" w:ascii="宋体" w:hAnsi="宋体" w:eastAsia="宋体" w:cs="宋体"/>
          <w:b/>
          <w:sz w:val="21"/>
          <w:szCs w:val="21"/>
        </w:rPr>
        <w:t>▲</w:t>
      </w:r>
      <w:r>
        <w:rPr>
          <w:rFonts w:hint="eastAsia" w:ascii="宋体" w:hAnsi="宋体" w:eastAsia="宋体" w:cs="宋体"/>
          <w:sz w:val="21"/>
          <w:szCs w:val="21"/>
        </w:rPr>
        <w:t>1、</w:t>
      </w:r>
      <w:r>
        <w:rPr>
          <w:rFonts w:hint="eastAsia" w:ascii="宋体" w:hAnsi="宋体" w:eastAsia="宋体" w:cs="宋体"/>
          <w:sz w:val="21"/>
          <w:szCs w:val="21"/>
          <w:lang w:val="zh-CN"/>
        </w:rPr>
        <w:t>自磋商响应</w:t>
      </w:r>
      <w:r>
        <w:rPr>
          <w:rFonts w:hint="eastAsia" w:ascii="宋体" w:hAnsi="宋体" w:eastAsia="宋体" w:cs="宋体"/>
          <w:sz w:val="21"/>
          <w:szCs w:val="21"/>
        </w:rPr>
        <w:t>文件</w:t>
      </w:r>
      <w:r>
        <w:rPr>
          <w:rFonts w:hint="eastAsia" w:ascii="宋体" w:hAnsi="宋体" w:eastAsia="宋体" w:cs="宋体"/>
          <w:sz w:val="21"/>
          <w:szCs w:val="21"/>
          <w:lang w:val="zh-CN"/>
        </w:rPr>
        <w:t>提交截止之日起90天磋商响应文件应保持有效。有效期短于这个规定期限的磋商响应文件将被拒绝。</w:t>
      </w:r>
      <w:r>
        <w:rPr>
          <w:rFonts w:hint="eastAsia" w:ascii="宋体" w:hAnsi="宋体" w:eastAsia="宋体" w:cs="宋体"/>
          <w:sz w:val="21"/>
          <w:szCs w:val="21"/>
        </w:rPr>
        <w:t>成交</w:t>
      </w:r>
      <w:r>
        <w:rPr>
          <w:rFonts w:hint="eastAsia" w:ascii="宋体" w:hAnsi="宋体" w:eastAsia="宋体" w:cs="宋体"/>
          <w:sz w:val="21"/>
          <w:szCs w:val="21"/>
          <w:lang w:val="zh-CN"/>
        </w:rPr>
        <w:t>磋商响应文件有</w:t>
      </w:r>
      <w:r>
        <w:rPr>
          <w:rFonts w:hint="eastAsia" w:ascii="宋体" w:hAnsi="宋体" w:eastAsia="宋体" w:cs="宋体"/>
          <w:sz w:val="21"/>
          <w:szCs w:val="21"/>
          <w:lang w:val="en-GB"/>
        </w:rPr>
        <w:t>效期顺延至合同履行完毕，在此有效期内未经同意，</w:t>
      </w:r>
      <w:r>
        <w:rPr>
          <w:rFonts w:hint="eastAsia" w:ascii="宋体" w:hAnsi="宋体" w:eastAsia="宋体" w:cs="宋体"/>
          <w:sz w:val="21"/>
          <w:szCs w:val="21"/>
          <w:lang w:val="zh-CN"/>
        </w:rPr>
        <w:t>磋商响应</w:t>
      </w:r>
      <w:r>
        <w:rPr>
          <w:rFonts w:hint="eastAsia" w:ascii="宋体" w:hAnsi="宋体" w:eastAsia="宋体" w:cs="宋体"/>
          <w:sz w:val="21"/>
          <w:szCs w:val="21"/>
          <w:lang w:val="en-GB"/>
        </w:rPr>
        <w:t>文件的一切内容和补充承诺均为持续有效且不予改变。</w:t>
      </w:r>
    </w:p>
    <w:p w14:paraId="41E10EB1">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2、在特殊情况下，采购人可与磋商供应商协商延长磋商响应文件的有效期，这种要求和答复均以书面形式进行。</w:t>
      </w:r>
    </w:p>
    <w:p w14:paraId="5A5C2924">
      <w:pPr>
        <w:keepNext w:val="0"/>
        <w:keepLines w:val="0"/>
        <w:pageBreakBefore w:val="0"/>
        <w:tabs>
          <w:tab w:val="left" w:pos="1418"/>
        </w:tabs>
        <w:kinsoku/>
        <w:wordWrap/>
        <w:overflowPunct/>
        <w:topLinePunct w:val="0"/>
        <w:autoSpaceDE w:val="0"/>
        <w:autoSpaceDN w:val="0"/>
        <w:bidi w:val="0"/>
        <w:adjustRightInd w:val="0"/>
        <w:snapToGrid w:val="0"/>
        <w:spacing w:line="360" w:lineRule="auto"/>
        <w:ind w:left="60"/>
        <w:rPr>
          <w:rFonts w:ascii="宋体" w:hAnsi="宋体" w:eastAsia="宋体" w:cs="宋体"/>
          <w:b/>
          <w:kern w:val="0"/>
          <w:sz w:val="21"/>
          <w:szCs w:val="21"/>
        </w:rPr>
      </w:pPr>
      <w:r>
        <w:rPr>
          <w:rFonts w:hint="eastAsia" w:ascii="宋体" w:hAnsi="宋体" w:eastAsia="宋体" w:cs="宋体"/>
          <w:b/>
          <w:kern w:val="0"/>
          <w:sz w:val="21"/>
          <w:szCs w:val="21"/>
        </w:rPr>
        <w:t>四、磋商</w:t>
      </w:r>
    </w:p>
    <w:p w14:paraId="58B67DC1">
      <w:pPr>
        <w:pStyle w:val="10"/>
        <w:keepNext w:val="0"/>
        <w:keepLines w:val="0"/>
        <w:pageBreakBefore w:val="0"/>
        <w:kinsoku/>
        <w:wordWrap/>
        <w:overflowPunct/>
        <w:topLinePunct w:val="0"/>
        <w:bidi w:val="0"/>
        <w:spacing w:line="360" w:lineRule="auto"/>
        <w:ind w:left="60" w:firstLine="420" w:firstLineChars="200"/>
        <w:rPr>
          <w:rFonts w:ascii="宋体" w:hAnsi="宋体" w:eastAsia="宋体" w:cs="宋体"/>
          <w:sz w:val="21"/>
          <w:szCs w:val="21"/>
        </w:rPr>
      </w:pPr>
      <w:r>
        <w:rPr>
          <w:rFonts w:hint="eastAsia" w:ascii="宋体" w:hAnsi="宋体" w:eastAsia="宋体" w:cs="宋体"/>
          <w:sz w:val="21"/>
          <w:szCs w:val="21"/>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63651FF2">
      <w:pPr>
        <w:keepNext w:val="0"/>
        <w:keepLines w:val="0"/>
        <w:pageBreakBefore w:val="0"/>
        <w:kinsoku/>
        <w:wordWrap/>
        <w:overflowPunct/>
        <w:topLinePunct w:val="0"/>
        <w:autoSpaceDE w:val="0"/>
        <w:autoSpaceDN w:val="0"/>
        <w:bidi w:val="0"/>
        <w:adjustRightInd w:val="0"/>
        <w:snapToGrid w:val="0"/>
        <w:spacing w:line="360" w:lineRule="auto"/>
        <w:ind w:firstLine="211" w:firstLineChars="100"/>
        <w:rPr>
          <w:rFonts w:ascii="宋体" w:hAnsi="宋体" w:eastAsia="宋体" w:cs="宋体"/>
          <w:b/>
          <w:sz w:val="21"/>
          <w:szCs w:val="21"/>
        </w:rPr>
      </w:pPr>
      <w:r>
        <w:rPr>
          <w:rFonts w:hint="eastAsia" w:ascii="宋体" w:hAnsi="宋体" w:eastAsia="宋体" w:cs="宋体"/>
          <w:b/>
          <w:sz w:val="21"/>
          <w:szCs w:val="21"/>
        </w:rPr>
        <w:t>（一）磋商事项</w:t>
      </w:r>
    </w:p>
    <w:p w14:paraId="0103627A">
      <w:pPr>
        <w:keepNext w:val="0"/>
        <w:keepLines w:val="0"/>
        <w:pageBreakBefore w:val="0"/>
        <w:kinsoku/>
        <w:wordWrap/>
        <w:overflowPunct/>
        <w:topLinePunct w:val="0"/>
        <w:autoSpaceDE w:val="0"/>
        <w:autoSpaceDN w:val="0"/>
        <w:bidi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7EF215BD">
      <w:pPr>
        <w:keepNext w:val="0"/>
        <w:keepLines w:val="0"/>
        <w:pageBreakBefore w:val="0"/>
        <w:kinsoku/>
        <w:wordWrap/>
        <w:overflowPunct/>
        <w:topLinePunct w:val="0"/>
        <w:autoSpaceDE w:val="0"/>
        <w:autoSpaceDN w:val="0"/>
        <w:bidi w:val="0"/>
        <w:adjustRightInd w:val="0"/>
        <w:spacing w:line="360" w:lineRule="auto"/>
        <w:ind w:firstLine="420" w:firstLineChars="200"/>
        <w:jc w:val="left"/>
        <w:rPr>
          <w:rFonts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14:paraId="7A8D6C3A">
      <w:pPr>
        <w:keepNext w:val="0"/>
        <w:keepLines w:val="0"/>
        <w:pageBreakBefore w:val="0"/>
        <w:kinsoku/>
        <w:wordWrap/>
        <w:overflowPunct/>
        <w:topLinePunct w:val="0"/>
        <w:autoSpaceDE w:val="0"/>
        <w:autoSpaceDN w:val="0"/>
        <w:bidi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14:paraId="46D71BE2">
      <w:pPr>
        <w:keepNext w:val="0"/>
        <w:keepLines w:val="0"/>
        <w:pageBreakBefore w:val="0"/>
        <w:kinsoku/>
        <w:wordWrap/>
        <w:overflowPunct/>
        <w:topLinePunct w:val="0"/>
        <w:autoSpaceDE w:val="0"/>
        <w:autoSpaceDN w:val="0"/>
        <w:bidi w:val="0"/>
        <w:adjustRightInd w:val="0"/>
        <w:snapToGrid w:val="0"/>
        <w:spacing w:line="360" w:lineRule="auto"/>
        <w:ind w:firstLine="211" w:firstLineChars="100"/>
        <w:rPr>
          <w:rFonts w:ascii="宋体" w:hAnsi="宋体" w:eastAsia="宋体" w:cs="宋体"/>
          <w:kern w:val="0"/>
          <w:sz w:val="21"/>
          <w:szCs w:val="21"/>
        </w:rPr>
      </w:pPr>
      <w:r>
        <w:rPr>
          <w:rFonts w:hint="eastAsia" w:ascii="宋体" w:hAnsi="宋体" w:eastAsia="宋体" w:cs="宋体"/>
          <w:b/>
          <w:sz w:val="21"/>
          <w:szCs w:val="21"/>
        </w:rPr>
        <w:t>（二）磋商程序</w:t>
      </w:r>
    </w:p>
    <w:p w14:paraId="3E7595F7">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1、开启开标场地的录音录像采集设备，并确保其正常运行。</w:t>
      </w:r>
    </w:p>
    <w:p w14:paraId="286DDF54">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2、对提交了电子备份磋商文件的磋商供应商，代理机构工作人员应做好磋商响应文件签收记录并通过发送网络形式及时告知供应商。</w:t>
      </w:r>
    </w:p>
    <w:p w14:paraId="4D2E4892">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3、主持人宣布开标，介绍开标现场的人员情况，宣读递交磋商响应文件的供应商名单、开标纪律、应当回避的情形等注意事项。 </w:t>
      </w:r>
    </w:p>
    <w:p w14:paraId="45080F21">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2A4C152E">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41505646">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6、磋商小组所有成员集中与单一供应商分别进行磋商，并给予所有参加磋商的供应商平等的磋商机会。</w:t>
      </w:r>
    </w:p>
    <w:p w14:paraId="6A3B7BC3">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eastAsia="宋体" w:cs="宋体"/>
          <w:b/>
          <w:bCs/>
          <w:sz w:val="21"/>
          <w:szCs w:val="21"/>
        </w:rPr>
        <w:t>通过政府采购云平台通知所有参加磋商的供应商</w:t>
      </w:r>
      <w:r>
        <w:rPr>
          <w:rFonts w:hint="eastAsia" w:ascii="宋体" w:hAnsi="宋体" w:eastAsia="宋体" w:cs="宋体"/>
          <w:sz w:val="21"/>
          <w:szCs w:val="21"/>
        </w:rPr>
        <w:t>。供应商应当按照磋商文件的变动情况和磋商小组的要求重新提交响应文件，并加盖单位CA签章，上传政府采购云平台。</w:t>
      </w:r>
    </w:p>
    <w:p w14:paraId="5B05B795">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8、磋商文件能够详细列明采购标的的技术、服务要求的，磋商结束后，磋商小组将要求所有实质性响应的供应商在规定时间内提交最终报价，最终报价是供应商响应文件的有效组成部分。 </w:t>
      </w:r>
    </w:p>
    <w:p w14:paraId="2255D3CF">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9、经磋商确定最终采购需求和提交最终报价的供应商后，由磋商小组采用综合评分法对提交最终报价的供应商的响应文件和最终报价进行综合评分。</w:t>
      </w:r>
    </w:p>
    <w:p w14:paraId="466417BD">
      <w:pPr>
        <w:pStyle w:val="14"/>
        <w:keepNext w:val="0"/>
        <w:keepLines w:val="0"/>
        <w:pageBreakBefore w:val="0"/>
        <w:kinsoku/>
        <w:wordWrap/>
        <w:overflowPunct/>
        <w:topLinePunct w:val="0"/>
        <w:bidi w:val="0"/>
        <w:snapToGrid w:val="0"/>
        <w:spacing w:line="360" w:lineRule="auto"/>
        <w:ind w:firstLine="420" w:firstLineChars="200"/>
        <w:rPr>
          <w:rFonts w:hAnsi="宋体" w:eastAsia="宋体" w:cs="宋体"/>
          <w:sz w:val="21"/>
          <w:szCs w:val="21"/>
        </w:rPr>
      </w:pPr>
      <w:r>
        <w:rPr>
          <w:rFonts w:hint="eastAsia" w:hAnsi="宋体" w:eastAsia="宋体" w:cs="宋体"/>
          <w:sz w:val="21"/>
          <w:szCs w:val="21"/>
        </w:rPr>
        <w:t>10、磋商小组根据综合评分情况，按照评审得分由高到低顺序确定预成交供应商，编写评审报告。</w:t>
      </w:r>
    </w:p>
    <w:p w14:paraId="300CA6D2">
      <w:pPr>
        <w:pStyle w:val="14"/>
        <w:keepNext w:val="0"/>
        <w:keepLines w:val="0"/>
        <w:pageBreakBefore w:val="0"/>
        <w:kinsoku/>
        <w:wordWrap/>
        <w:overflowPunct/>
        <w:topLinePunct w:val="0"/>
        <w:bidi w:val="0"/>
        <w:snapToGrid w:val="0"/>
        <w:spacing w:line="360" w:lineRule="auto"/>
        <w:ind w:firstLine="420" w:firstLineChars="200"/>
        <w:rPr>
          <w:rFonts w:hAnsi="宋体" w:eastAsia="宋体" w:cs="宋体"/>
          <w:sz w:val="21"/>
          <w:szCs w:val="21"/>
        </w:rPr>
      </w:pPr>
      <w:r>
        <w:rPr>
          <w:rFonts w:hint="eastAsia" w:hAnsi="宋体" w:eastAsia="宋体" w:cs="宋体"/>
          <w:sz w:val="21"/>
          <w:szCs w:val="21"/>
        </w:rPr>
        <w:t>11、采购组织机构对磋商小组专家成员进行评价；</w:t>
      </w:r>
    </w:p>
    <w:p w14:paraId="58DA6F82">
      <w:pPr>
        <w:pStyle w:val="14"/>
        <w:keepNext w:val="0"/>
        <w:keepLines w:val="0"/>
        <w:pageBreakBefore w:val="0"/>
        <w:kinsoku/>
        <w:wordWrap/>
        <w:overflowPunct/>
        <w:topLinePunct w:val="0"/>
        <w:bidi w:val="0"/>
        <w:snapToGrid w:val="0"/>
        <w:spacing w:line="360" w:lineRule="auto"/>
        <w:ind w:firstLine="420" w:firstLineChars="200"/>
        <w:rPr>
          <w:rFonts w:hAnsi="宋体" w:eastAsia="宋体" w:cs="宋体"/>
          <w:sz w:val="21"/>
          <w:szCs w:val="21"/>
        </w:rPr>
      </w:pPr>
      <w:r>
        <w:rPr>
          <w:rFonts w:hint="eastAsia" w:hAnsi="宋体" w:eastAsia="宋体" w:cs="宋体"/>
          <w:sz w:val="21"/>
          <w:szCs w:val="21"/>
        </w:rPr>
        <w:t>12、主持人到磋商采购会现场宣布磋商结果（含技术得分、最终报价、报价得分及总得分），磋商采购会议结束。</w:t>
      </w:r>
    </w:p>
    <w:p w14:paraId="4DC23C44">
      <w:pPr>
        <w:pStyle w:val="14"/>
        <w:keepNext w:val="0"/>
        <w:keepLines w:val="0"/>
        <w:pageBreakBefore w:val="0"/>
        <w:kinsoku/>
        <w:wordWrap/>
        <w:overflowPunct/>
        <w:topLinePunct w:val="0"/>
        <w:bidi w:val="0"/>
        <w:snapToGrid w:val="0"/>
        <w:spacing w:line="360" w:lineRule="auto"/>
        <w:ind w:firstLine="422" w:firstLineChars="200"/>
        <w:rPr>
          <w:rFonts w:hAnsi="宋体" w:eastAsia="宋体" w:cs="宋体"/>
          <w:sz w:val="21"/>
          <w:szCs w:val="21"/>
        </w:rPr>
      </w:pPr>
      <w:r>
        <w:rPr>
          <w:rFonts w:hint="eastAsia" w:hAnsi="宋体" w:eastAsia="宋体" w:cs="宋体"/>
          <w:b/>
          <w:sz w:val="21"/>
          <w:szCs w:val="21"/>
        </w:rPr>
        <w:t>（二）澄清问题的形式</w:t>
      </w:r>
    </w:p>
    <w:p w14:paraId="7BA0A37E">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6F40FB20">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（2）供应商的的澄清、说明或补正将作为磋商响应文件的一部分。</w:t>
      </w:r>
    </w:p>
    <w:p w14:paraId="09C460AC">
      <w:pPr>
        <w:keepNext w:val="0"/>
        <w:keepLines w:val="0"/>
        <w:pageBreakBefore w:val="0"/>
        <w:kinsoku/>
        <w:wordWrap/>
        <w:overflowPunct/>
        <w:topLinePunct w:val="0"/>
        <w:bidi w:val="0"/>
        <w:snapToGrid w:val="0"/>
        <w:spacing w:line="360" w:lineRule="auto"/>
        <w:ind w:firstLine="422" w:firstLineChars="200"/>
        <w:rPr>
          <w:rFonts w:ascii="宋体" w:hAnsi="宋体" w:eastAsia="宋体" w:cs="宋体"/>
          <w:sz w:val="21"/>
          <w:szCs w:val="21"/>
        </w:rPr>
      </w:pPr>
      <w:r>
        <w:rPr>
          <w:rFonts w:hint="eastAsia" w:ascii="宋体" w:hAnsi="宋体" w:eastAsia="宋体" w:cs="宋体"/>
          <w:b/>
          <w:sz w:val="21"/>
          <w:szCs w:val="21"/>
        </w:rPr>
        <w:t>（三）错误修正</w:t>
      </w:r>
    </w:p>
    <w:p w14:paraId="3C016E2C">
      <w:pPr>
        <w:pStyle w:val="26"/>
        <w:keepNext w:val="0"/>
        <w:keepLines w:val="0"/>
        <w:pageBreakBefore w:val="0"/>
        <w:kinsoku/>
        <w:wordWrap/>
        <w:overflowPunct/>
        <w:topLinePunct w:val="0"/>
        <w:bidi w:val="0"/>
        <w:snapToGrid w:val="0"/>
        <w:spacing w:beforeAutospacing="0" w:afterAutospacing="0" w:line="360" w:lineRule="auto"/>
        <w:ind w:firstLine="420" w:firstLineChars="200"/>
        <w:jc w:val="both"/>
        <w:rPr>
          <w:rFonts w:hint="default" w:eastAsia="宋体" w:cs="宋体"/>
          <w:sz w:val="21"/>
          <w:szCs w:val="21"/>
        </w:rPr>
      </w:pPr>
      <w:r>
        <w:rPr>
          <w:rFonts w:eastAsia="宋体" w:cs="宋体"/>
          <w:sz w:val="21"/>
          <w:szCs w:val="21"/>
        </w:rPr>
        <w:t>磋商响应文件报价出现前后不一致的，除磋商采购文件另有规定外，按照下列规定修正：</w:t>
      </w:r>
    </w:p>
    <w:p w14:paraId="077BF83B">
      <w:pPr>
        <w:pStyle w:val="26"/>
        <w:keepNext w:val="0"/>
        <w:keepLines w:val="0"/>
        <w:pageBreakBefore w:val="0"/>
        <w:kinsoku/>
        <w:wordWrap/>
        <w:overflowPunct/>
        <w:topLinePunct w:val="0"/>
        <w:bidi w:val="0"/>
        <w:snapToGrid w:val="0"/>
        <w:spacing w:beforeAutospacing="0" w:afterAutospacing="0" w:line="360" w:lineRule="auto"/>
        <w:jc w:val="both"/>
        <w:rPr>
          <w:rFonts w:hint="default" w:eastAsia="宋体" w:cs="宋体"/>
          <w:sz w:val="21"/>
          <w:szCs w:val="21"/>
        </w:rPr>
      </w:pPr>
      <w:r>
        <w:rPr>
          <w:rFonts w:eastAsia="宋体" w:cs="宋体"/>
          <w:sz w:val="21"/>
          <w:szCs w:val="21"/>
        </w:rPr>
        <w:t>　　1、磋商响应文件中首次报价一览表内容与磋商响应文件中相应内容不一致的，以首次报价一览表为准；</w:t>
      </w:r>
    </w:p>
    <w:p w14:paraId="751F2CA5">
      <w:pPr>
        <w:pStyle w:val="26"/>
        <w:keepNext w:val="0"/>
        <w:keepLines w:val="0"/>
        <w:pageBreakBefore w:val="0"/>
        <w:kinsoku/>
        <w:wordWrap/>
        <w:overflowPunct/>
        <w:topLinePunct w:val="0"/>
        <w:bidi w:val="0"/>
        <w:snapToGrid w:val="0"/>
        <w:spacing w:beforeAutospacing="0" w:afterAutospacing="0" w:line="360" w:lineRule="auto"/>
        <w:jc w:val="both"/>
        <w:rPr>
          <w:rFonts w:hint="default" w:eastAsia="宋体" w:cs="宋体"/>
          <w:sz w:val="21"/>
          <w:szCs w:val="21"/>
        </w:rPr>
      </w:pPr>
      <w:r>
        <w:rPr>
          <w:rFonts w:eastAsia="宋体" w:cs="宋体"/>
          <w:sz w:val="21"/>
          <w:szCs w:val="21"/>
        </w:rPr>
        <w:t>　　2、大写金额和小写金额不一致的，以大写金额为准；</w:t>
      </w:r>
    </w:p>
    <w:p w14:paraId="67C21F60">
      <w:pPr>
        <w:pStyle w:val="26"/>
        <w:keepNext w:val="0"/>
        <w:keepLines w:val="0"/>
        <w:pageBreakBefore w:val="0"/>
        <w:kinsoku/>
        <w:wordWrap/>
        <w:overflowPunct/>
        <w:topLinePunct w:val="0"/>
        <w:bidi w:val="0"/>
        <w:snapToGrid w:val="0"/>
        <w:spacing w:beforeAutospacing="0" w:afterAutospacing="0" w:line="360" w:lineRule="auto"/>
        <w:jc w:val="both"/>
        <w:rPr>
          <w:rFonts w:hint="default" w:eastAsia="宋体" w:cs="宋体"/>
          <w:sz w:val="21"/>
          <w:szCs w:val="21"/>
        </w:rPr>
      </w:pPr>
      <w:r>
        <w:rPr>
          <w:rFonts w:eastAsia="宋体" w:cs="宋体"/>
          <w:sz w:val="21"/>
          <w:szCs w:val="21"/>
        </w:rPr>
        <w:t>　　3、单价金额小数点或者百分比有明显错位的，以首次报价一览表的总价为准，并修改单价；</w:t>
      </w:r>
    </w:p>
    <w:p w14:paraId="2919E2C8">
      <w:pPr>
        <w:pStyle w:val="26"/>
        <w:keepNext w:val="0"/>
        <w:keepLines w:val="0"/>
        <w:pageBreakBefore w:val="0"/>
        <w:kinsoku/>
        <w:wordWrap/>
        <w:overflowPunct/>
        <w:topLinePunct w:val="0"/>
        <w:bidi w:val="0"/>
        <w:snapToGrid w:val="0"/>
        <w:spacing w:beforeAutospacing="0" w:afterAutospacing="0" w:line="360" w:lineRule="auto"/>
        <w:jc w:val="both"/>
        <w:rPr>
          <w:rFonts w:hint="default" w:eastAsia="宋体" w:cs="宋体"/>
          <w:sz w:val="21"/>
          <w:szCs w:val="21"/>
        </w:rPr>
      </w:pPr>
      <w:r>
        <w:rPr>
          <w:rFonts w:eastAsia="宋体" w:cs="宋体"/>
          <w:sz w:val="21"/>
          <w:szCs w:val="21"/>
        </w:rPr>
        <w:t>　　4、总价金额与按单价汇总金额不一致的，以单价金额计算结果为准。</w:t>
      </w:r>
    </w:p>
    <w:p w14:paraId="09E5786E">
      <w:pPr>
        <w:pStyle w:val="26"/>
        <w:keepNext w:val="0"/>
        <w:keepLines w:val="0"/>
        <w:pageBreakBefore w:val="0"/>
        <w:kinsoku/>
        <w:wordWrap/>
        <w:overflowPunct/>
        <w:topLinePunct w:val="0"/>
        <w:bidi w:val="0"/>
        <w:snapToGrid w:val="0"/>
        <w:spacing w:beforeAutospacing="0" w:afterAutospacing="0" w:line="360" w:lineRule="auto"/>
        <w:ind w:firstLine="480"/>
        <w:jc w:val="both"/>
        <w:rPr>
          <w:rFonts w:hint="default" w:eastAsia="宋体" w:cs="宋体"/>
          <w:sz w:val="21"/>
          <w:szCs w:val="21"/>
        </w:rPr>
      </w:pPr>
      <w:r>
        <w:rPr>
          <w:rFonts w:eastAsia="宋体" w:cs="宋体"/>
          <w:sz w:val="21"/>
          <w:szCs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3FC5401E">
      <w:pPr>
        <w:pStyle w:val="26"/>
        <w:keepNext w:val="0"/>
        <w:keepLines w:val="0"/>
        <w:pageBreakBefore w:val="0"/>
        <w:kinsoku/>
        <w:wordWrap/>
        <w:overflowPunct/>
        <w:topLinePunct w:val="0"/>
        <w:bidi w:val="0"/>
        <w:snapToGrid w:val="0"/>
        <w:spacing w:beforeAutospacing="0" w:afterAutospacing="0" w:line="360" w:lineRule="auto"/>
        <w:ind w:firstLine="480"/>
        <w:rPr>
          <w:rFonts w:hint="default" w:eastAsia="宋体" w:cs="宋体"/>
          <w:b/>
          <w:sz w:val="21"/>
          <w:szCs w:val="21"/>
        </w:rPr>
      </w:pPr>
      <w:r>
        <w:rPr>
          <w:rFonts w:eastAsia="宋体" w:cs="宋体"/>
          <w:b/>
          <w:sz w:val="21"/>
          <w:szCs w:val="21"/>
        </w:rPr>
        <w:t>（四）磋商过程中出现以下情形，导致电子交易平台无法正常运行，或者无法保证电子交易的公平、公正和安全时，采购组织机构可中止电子交易活动：</w:t>
      </w:r>
    </w:p>
    <w:p w14:paraId="615E8AC6">
      <w:pPr>
        <w:keepNext w:val="0"/>
        <w:keepLines w:val="0"/>
        <w:pageBreakBefore w:val="0"/>
        <w:kinsoku/>
        <w:wordWrap/>
        <w:overflowPunct/>
        <w:topLinePunct w:val="0"/>
        <w:bidi w:val="0"/>
        <w:adjustRightInd w:val="0"/>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1、电子交易平台发生故障而无法登录访问的； </w:t>
      </w:r>
    </w:p>
    <w:p w14:paraId="156E50C0">
      <w:pPr>
        <w:keepNext w:val="0"/>
        <w:keepLines w:val="0"/>
        <w:pageBreakBefore w:val="0"/>
        <w:kinsoku/>
        <w:wordWrap/>
        <w:overflowPunct/>
        <w:topLinePunct w:val="0"/>
        <w:bidi w:val="0"/>
        <w:adjustRightInd w:val="0"/>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2、电子交易平台应用或数据库出现错误，不能进行正常操作的；</w:t>
      </w:r>
    </w:p>
    <w:p w14:paraId="5FAC8E71">
      <w:pPr>
        <w:keepNext w:val="0"/>
        <w:keepLines w:val="0"/>
        <w:pageBreakBefore w:val="0"/>
        <w:kinsoku/>
        <w:wordWrap/>
        <w:overflowPunct/>
        <w:topLinePunct w:val="0"/>
        <w:bidi w:val="0"/>
        <w:adjustRightInd w:val="0"/>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3、电子交易平台发现严重安全漏洞，有潜在泄密危险的；</w:t>
      </w:r>
    </w:p>
    <w:p w14:paraId="3B12B050">
      <w:pPr>
        <w:keepNext w:val="0"/>
        <w:keepLines w:val="0"/>
        <w:pageBreakBefore w:val="0"/>
        <w:kinsoku/>
        <w:wordWrap/>
        <w:overflowPunct/>
        <w:topLinePunct w:val="0"/>
        <w:bidi w:val="0"/>
        <w:adjustRightInd w:val="0"/>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4、病毒发作导致不能进行正常操作的； </w:t>
      </w:r>
    </w:p>
    <w:p w14:paraId="5BDF0980">
      <w:pPr>
        <w:keepNext w:val="0"/>
        <w:keepLines w:val="0"/>
        <w:pageBreakBefore w:val="0"/>
        <w:kinsoku/>
        <w:wordWrap/>
        <w:overflowPunct/>
        <w:topLinePunct w:val="0"/>
        <w:bidi w:val="0"/>
        <w:adjustRightInd w:val="0"/>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5、其他无法保证电子交易的公平、公正和安全的情况。</w:t>
      </w:r>
    </w:p>
    <w:p w14:paraId="53182B22">
      <w:pPr>
        <w:keepNext w:val="0"/>
        <w:keepLines w:val="0"/>
        <w:pageBreakBefore w:val="0"/>
        <w:kinsoku/>
        <w:wordWrap/>
        <w:overflowPunct/>
        <w:topLinePunct w:val="0"/>
        <w:bidi w:val="0"/>
        <w:adjustRightInd w:val="0"/>
        <w:snapToGrid w:val="0"/>
        <w:spacing w:line="360" w:lineRule="auto"/>
        <w:ind w:firstLine="420" w:firstLineChars="200"/>
        <w:jc w:val="left"/>
        <w:rPr>
          <w:rFonts w:ascii="宋体" w:hAnsi="宋体" w:eastAsia="宋体" w:cs="宋体"/>
          <w:sz w:val="21"/>
          <w:szCs w:val="21"/>
        </w:rPr>
      </w:pPr>
      <w:r>
        <w:rPr>
          <w:rFonts w:hint="eastAsia" w:ascii="宋体" w:hAnsi="宋体" w:eastAsia="宋体" w:cs="宋体"/>
          <w:kern w:val="0"/>
          <w:sz w:val="21"/>
          <w:szCs w:val="21"/>
        </w:rPr>
        <w:t>出现前款规定情形，不影响采购公平、公正性的，采购组织机构可以待上述情形消除后继续组织电子交易活动；影响或可能影响采购公平、公正性的，应当重新采购。</w:t>
      </w:r>
    </w:p>
    <w:p w14:paraId="12726708">
      <w:pPr>
        <w:pStyle w:val="26"/>
        <w:keepNext w:val="0"/>
        <w:keepLines w:val="0"/>
        <w:pageBreakBefore w:val="0"/>
        <w:kinsoku/>
        <w:wordWrap/>
        <w:overflowPunct/>
        <w:topLinePunct w:val="0"/>
        <w:bidi w:val="0"/>
        <w:snapToGrid w:val="0"/>
        <w:spacing w:beforeAutospacing="0" w:afterAutospacing="0" w:line="360" w:lineRule="auto"/>
        <w:ind w:firstLine="480"/>
        <w:rPr>
          <w:rFonts w:hint="default" w:eastAsia="宋体" w:cs="宋体"/>
          <w:sz w:val="21"/>
          <w:szCs w:val="21"/>
        </w:rPr>
      </w:pPr>
      <w:r>
        <w:rPr>
          <w:rFonts w:eastAsia="宋体" w:cs="宋体"/>
          <w:b/>
          <w:sz w:val="21"/>
          <w:szCs w:val="21"/>
        </w:rPr>
        <w:t>（五）磋商供应商存在下列情况之一的，响应无效，终止磋商</w:t>
      </w:r>
    </w:p>
    <w:p w14:paraId="3A821265">
      <w:pPr>
        <w:keepNext w:val="0"/>
        <w:keepLines w:val="0"/>
        <w:pageBreakBefore w:val="0"/>
        <w:kinsoku/>
        <w:wordWrap/>
        <w:overflowPunct/>
        <w:topLinePunct w:val="0"/>
        <w:bidi w:val="0"/>
        <w:adjustRightInd w:val="0"/>
        <w:snapToGrid w:val="0"/>
        <w:spacing w:line="360" w:lineRule="auto"/>
        <w:ind w:firstLine="420" w:firstLineChars="200"/>
        <w:jc w:val="left"/>
        <w:rPr>
          <w:rFonts w:ascii="宋体" w:hAnsi="宋体" w:eastAsia="宋体" w:cs="宋体"/>
          <w:b/>
          <w:sz w:val="21"/>
          <w:szCs w:val="21"/>
        </w:rPr>
      </w:pPr>
      <w:r>
        <w:rPr>
          <w:rFonts w:hint="eastAsia" w:ascii="宋体" w:hAnsi="宋体" w:eastAsia="宋体" w:cs="宋体"/>
          <w:kern w:val="0"/>
          <w:sz w:val="21"/>
          <w:szCs w:val="21"/>
        </w:rPr>
        <w:t>1、磋商响应文件中的报价货物跟商务与技术内容中的供应货物出现重大偏差的。</w:t>
      </w:r>
    </w:p>
    <w:p w14:paraId="37E38AB6">
      <w:pPr>
        <w:pStyle w:val="26"/>
        <w:keepNext w:val="0"/>
        <w:keepLines w:val="0"/>
        <w:pageBreakBefore w:val="0"/>
        <w:tabs>
          <w:tab w:val="left" w:pos="7380"/>
        </w:tabs>
        <w:kinsoku/>
        <w:wordWrap/>
        <w:overflowPunct/>
        <w:topLinePunct w:val="0"/>
        <w:bidi w:val="0"/>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2、不具备磋商采购文件中规定的资格要求的。</w:t>
      </w:r>
    </w:p>
    <w:p w14:paraId="64E3CD10">
      <w:pPr>
        <w:pStyle w:val="26"/>
        <w:keepNext w:val="0"/>
        <w:keepLines w:val="0"/>
        <w:pageBreakBefore w:val="0"/>
        <w:kinsoku/>
        <w:wordWrap/>
        <w:overflowPunct/>
        <w:topLinePunct w:val="0"/>
        <w:bidi w:val="0"/>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3、未实质性响应磋商文件中打“</w:t>
      </w:r>
      <w:r>
        <w:rPr>
          <w:rFonts w:eastAsia="宋体" w:cs="宋体"/>
          <w:sz w:val="21"/>
          <w:szCs w:val="21"/>
          <w:lang w:val="zh-CN"/>
        </w:rPr>
        <w:t>▲</w:t>
      </w:r>
      <w:r>
        <w:rPr>
          <w:rFonts w:eastAsia="宋体" w:cs="宋体"/>
          <w:sz w:val="21"/>
          <w:szCs w:val="21"/>
        </w:rPr>
        <w:t>”条款或者磋商响应文件含有采购人不能接受的附加条件的。</w:t>
      </w:r>
    </w:p>
    <w:p w14:paraId="5E3000D8">
      <w:pPr>
        <w:keepNext w:val="0"/>
        <w:keepLines w:val="0"/>
        <w:pageBreakBefore w:val="0"/>
        <w:kinsoku/>
        <w:wordWrap/>
        <w:overflowPunct/>
        <w:topLinePunct w:val="0"/>
        <w:bidi w:val="0"/>
        <w:adjustRightInd w:val="0"/>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sz w:val="21"/>
          <w:szCs w:val="21"/>
        </w:rPr>
        <w:t>、磋商响应文件实质性内容填写不全或模糊不清，无法辨认的。</w:t>
      </w:r>
    </w:p>
    <w:p w14:paraId="3A8D20BA">
      <w:pPr>
        <w:pStyle w:val="26"/>
        <w:keepNext w:val="0"/>
        <w:keepLines w:val="0"/>
        <w:pageBreakBefore w:val="0"/>
        <w:kinsoku/>
        <w:wordWrap/>
        <w:overflowPunct/>
        <w:topLinePunct w:val="0"/>
        <w:bidi w:val="0"/>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1C241041">
      <w:pPr>
        <w:pStyle w:val="26"/>
        <w:keepNext w:val="0"/>
        <w:keepLines w:val="0"/>
        <w:pageBreakBefore w:val="0"/>
        <w:kinsoku/>
        <w:wordWrap/>
        <w:overflowPunct/>
        <w:topLinePunct w:val="0"/>
        <w:bidi w:val="0"/>
        <w:adjustRightInd w:val="0"/>
        <w:snapToGrid w:val="0"/>
        <w:spacing w:beforeAutospacing="0" w:afterAutospacing="0" w:line="360" w:lineRule="auto"/>
        <w:ind w:firstLine="420" w:firstLineChars="200"/>
        <w:rPr>
          <w:rFonts w:hint="default" w:eastAsia="宋体" w:cs="宋体"/>
          <w:sz w:val="21"/>
          <w:szCs w:val="21"/>
        </w:rPr>
      </w:pPr>
      <w:r>
        <w:rPr>
          <w:rFonts w:eastAsia="宋体" w:cs="宋体"/>
          <w:sz w:val="21"/>
          <w:szCs w:val="21"/>
        </w:rPr>
        <w:t>6、报价超过磋商文件中规定的最高限价的。</w:t>
      </w:r>
    </w:p>
    <w:p w14:paraId="288CC366">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7、磋商参数未如实填写，完全复制粘贴磋商采购参数的。</w:t>
      </w:r>
    </w:p>
    <w:p w14:paraId="309FC6DB">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8、</w:t>
      </w:r>
      <w:r>
        <w:rPr>
          <w:rFonts w:hint="eastAsia" w:ascii="宋体" w:hAnsi="宋体" w:eastAsia="宋体" w:cs="宋体"/>
          <w:sz w:val="21"/>
          <w:szCs w:val="21"/>
        </w:rPr>
        <w:t>磋商响应文件中技术方案不明确，存在一个或一个以上备选（替代）方案的</w:t>
      </w:r>
      <w:r>
        <w:rPr>
          <w:rFonts w:hint="eastAsia" w:ascii="宋体" w:hAnsi="宋体" w:eastAsia="宋体" w:cs="宋体"/>
          <w:kern w:val="0"/>
          <w:sz w:val="21"/>
          <w:szCs w:val="21"/>
        </w:rPr>
        <w:t>。</w:t>
      </w:r>
    </w:p>
    <w:p w14:paraId="178A685E">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9、磋商响应文件提供虚假材料的。</w:t>
      </w:r>
    </w:p>
    <w:p w14:paraId="0C80280E">
      <w:pPr>
        <w:keepNext w:val="0"/>
        <w:keepLines w:val="0"/>
        <w:pageBreakBefore w:val="0"/>
        <w:kinsoku/>
        <w:wordWrap/>
        <w:overflowPunct/>
        <w:topLinePunct w:val="0"/>
        <w:autoSpaceDE w:val="0"/>
        <w:autoSpaceDN w:val="0"/>
        <w:bidi w:val="0"/>
        <w:adjustRightInd w:val="0"/>
        <w:snapToGri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10、法律、法规和磋商文件中规定的其他实质性要求的（包括被拒绝的条款）。</w:t>
      </w:r>
    </w:p>
    <w:p w14:paraId="3E0B3BB3">
      <w:pPr>
        <w:keepNext w:val="0"/>
        <w:keepLines w:val="0"/>
        <w:pageBreakBefore w:val="0"/>
        <w:kinsoku/>
        <w:wordWrap/>
        <w:overflowPunct/>
        <w:topLinePunct w:val="0"/>
        <w:autoSpaceDE w:val="0"/>
        <w:autoSpaceDN w:val="0"/>
        <w:bidi w:val="0"/>
        <w:adjustRightInd w:val="0"/>
        <w:snapToGrid w:val="0"/>
        <w:spacing w:line="360" w:lineRule="auto"/>
        <w:ind w:firstLine="422" w:firstLineChars="200"/>
        <w:jc w:val="left"/>
        <w:rPr>
          <w:rFonts w:ascii="宋体" w:hAnsi="宋体" w:eastAsia="宋体" w:cs="宋体"/>
          <w:kern w:val="0"/>
          <w:sz w:val="21"/>
          <w:szCs w:val="21"/>
        </w:rPr>
      </w:pPr>
      <w:r>
        <w:rPr>
          <w:rFonts w:hint="eastAsia" w:ascii="宋体" w:hAnsi="宋体" w:eastAsia="宋体" w:cs="宋体"/>
          <w:b/>
          <w:kern w:val="0"/>
          <w:sz w:val="21"/>
          <w:szCs w:val="21"/>
        </w:rPr>
        <w:t>（六）有下列情况之一的，本次磋商终止。</w:t>
      </w:r>
    </w:p>
    <w:p w14:paraId="6863955E">
      <w:pPr>
        <w:keepNext w:val="0"/>
        <w:keepLines w:val="0"/>
        <w:pageBreakBefore w:val="0"/>
        <w:kinsoku/>
        <w:wordWrap/>
        <w:overflowPunct/>
        <w:topLinePunct w:val="0"/>
        <w:autoSpaceDE w:val="0"/>
        <w:autoSpaceDN w:val="0"/>
        <w:bidi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（1）出现影响采购公正的违法、违规、欺骗行为的；</w:t>
      </w:r>
    </w:p>
    <w:p w14:paraId="06CA4DB5">
      <w:pPr>
        <w:keepNext w:val="0"/>
        <w:keepLines w:val="0"/>
        <w:pageBreakBefore w:val="0"/>
        <w:kinsoku/>
        <w:wordWrap/>
        <w:overflowPunct/>
        <w:topLinePunct w:val="0"/>
        <w:autoSpaceDE w:val="0"/>
        <w:autoSpaceDN w:val="0"/>
        <w:bidi w:val="0"/>
        <w:spacing w:line="360" w:lineRule="auto"/>
        <w:ind w:firstLine="420" w:firstLineChars="200"/>
        <w:textAlignment w:val="bottom"/>
        <w:rPr>
          <w:rFonts w:ascii="宋体" w:hAnsi="宋体" w:eastAsia="宋体" w:cs="宋体"/>
          <w:sz w:val="21"/>
          <w:szCs w:val="21"/>
        </w:rPr>
      </w:pPr>
      <w:r>
        <w:rPr>
          <w:rFonts w:hint="eastAsia" w:ascii="宋体" w:hAnsi="宋体" w:eastAsia="宋体" w:cs="宋体"/>
          <w:sz w:val="21"/>
          <w:szCs w:val="21"/>
        </w:rPr>
        <w:t>（2）因重大变故，采购任务取消的；</w:t>
      </w:r>
    </w:p>
    <w:p w14:paraId="4D6FD8EC">
      <w:pPr>
        <w:keepNext w:val="0"/>
        <w:keepLines w:val="0"/>
        <w:pageBreakBefore w:val="0"/>
        <w:kinsoku/>
        <w:wordWrap/>
        <w:overflowPunct/>
        <w:topLinePunct w:val="0"/>
        <w:autoSpaceDE w:val="0"/>
        <w:autoSpaceDN w:val="0"/>
        <w:bidi w:val="0"/>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（3）提交磋商响应文件供应商或符合资格条件供应商或实质性响应供应商不足三家的。</w:t>
      </w:r>
    </w:p>
    <w:p w14:paraId="40A77BE9">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5" w:firstLine="422" w:firstLineChars="200"/>
        <w:jc w:val="left"/>
        <w:rPr>
          <w:rFonts w:ascii="宋体" w:hAnsi="宋体" w:eastAsia="宋体" w:cs="宋体"/>
          <w:b/>
          <w:kern w:val="0"/>
          <w:sz w:val="21"/>
          <w:szCs w:val="21"/>
        </w:rPr>
      </w:pPr>
      <w:r>
        <w:rPr>
          <w:rFonts w:hint="eastAsia" w:ascii="宋体" w:hAnsi="宋体" w:eastAsia="宋体" w:cs="宋体"/>
          <w:b/>
          <w:kern w:val="0"/>
          <w:sz w:val="21"/>
          <w:szCs w:val="21"/>
        </w:rPr>
        <w:t>（七）磋商原则和方法</w:t>
      </w:r>
    </w:p>
    <w:p w14:paraId="510F5EFB">
      <w:pPr>
        <w:pStyle w:val="14"/>
        <w:keepNext w:val="0"/>
        <w:keepLines w:val="0"/>
        <w:pageBreakBefore w:val="0"/>
        <w:kinsoku/>
        <w:wordWrap/>
        <w:overflowPunct/>
        <w:topLinePunct w:val="0"/>
        <w:bidi w:val="0"/>
        <w:snapToGrid w:val="0"/>
        <w:spacing w:line="360" w:lineRule="auto"/>
        <w:ind w:firstLine="525" w:firstLineChars="250"/>
        <w:rPr>
          <w:rFonts w:hAnsi="宋体" w:eastAsia="宋体" w:cs="宋体"/>
          <w:sz w:val="21"/>
          <w:szCs w:val="21"/>
        </w:rPr>
      </w:pPr>
      <w:r>
        <w:rPr>
          <w:rFonts w:hint="eastAsia" w:hAnsi="宋体" w:eastAsia="宋体" w:cs="宋体"/>
          <w:sz w:val="21"/>
          <w:szCs w:val="21"/>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1B86A4FD">
      <w:pPr>
        <w:pStyle w:val="14"/>
        <w:keepNext w:val="0"/>
        <w:keepLines w:val="0"/>
        <w:pageBreakBefore w:val="0"/>
        <w:kinsoku/>
        <w:wordWrap/>
        <w:overflowPunct/>
        <w:topLinePunct w:val="0"/>
        <w:bidi w:val="0"/>
        <w:snapToGrid w:val="0"/>
        <w:spacing w:line="360" w:lineRule="auto"/>
        <w:ind w:firstLine="525" w:firstLineChars="250"/>
        <w:rPr>
          <w:rFonts w:hAnsi="宋体" w:eastAsia="宋体" w:cs="宋体"/>
          <w:sz w:val="21"/>
          <w:szCs w:val="21"/>
        </w:rPr>
      </w:pPr>
      <w:r>
        <w:rPr>
          <w:rFonts w:hint="eastAsia" w:hAnsi="宋体" w:eastAsia="宋体" w:cs="宋体"/>
          <w:sz w:val="21"/>
          <w:szCs w:val="21"/>
        </w:rPr>
        <w:t>2、磋商办法。具体磋商内容及评分标准等详见《评审方法及评分标准》。</w:t>
      </w:r>
    </w:p>
    <w:p w14:paraId="539E2B9B">
      <w:pPr>
        <w:pStyle w:val="14"/>
        <w:keepNext w:val="0"/>
        <w:keepLines w:val="0"/>
        <w:pageBreakBefore w:val="0"/>
        <w:kinsoku/>
        <w:wordWrap/>
        <w:overflowPunct/>
        <w:topLinePunct w:val="0"/>
        <w:bidi w:val="0"/>
        <w:snapToGrid w:val="0"/>
        <w:spacing w:line="360" w:lineRule="auto"/>
        <w:ind w:firstLine="422" w:firstLineChars="200"/>
        <w:rPr>
          <w:rFonts w:hAnsi="宋体" w:eastAsia="宋体" w:cs="宋体"/>
          <w:sz w:val="21"/>
          <w:szCs w:val="21"/>
        </w:rPr>
      </w:pPr>
      <w:r>
        <w:rPr>
          <w:rFonts w:hint="eastAsia" w:hAnsi="宋体" w:eastAsia="宋体" w:cs="宋体"/>
          <w:b/>
          <w:sz w:val="21"/>
          <w:szCs w:val="21"/>
        </w:rPr>
        <w:t>（八）评审过程的监控</w:t>
      </w:r>
    </w:p>
    <w:p w14:paraId="38C4D710">
      <w:pPr>
        <w:pStyle w:val="26"/>
        <w:keepNext w:val="0"/>
        <w:keepLines w:val="0"/>
        <w:pageBreakBefore w:val="0"/>
        <w:kinsoku/>
        <w:wordWrap/>
        <w:overflowPunct/>
        <w:topLinePunct w:val="0"/>
        <w:bidi w:val="0"/>
        <w:snapToGrid w:val="0"/>
        <w:spacing w:beforeAutospacing="0" w:afterAutospacing="0" w:line="360" w:lineRule="auto"/>
        <w:ind w:firstLine="420" w:firstLineChars="200"/>
        <w:jc w:val="both"/>
        <w:rPr>
          <w:rFonts w:hint="default" w:eastAsia="宋体" w:cs="宋体"/>
          <w:sz w:val="21"/>
          <w:szCs w:val="21"/>
        </w:rPr>
      </w:pPr>
      <w:r>
        <w:rPr>
          <w:rFonts w:eastAsia="宋体" w:cs="宋体"/>
          <w:sz w:val="21"/>
          <w:szCs w:val="21"/>
        </w:rPr>
        <w:t>本项目评审过程实行全程录音、录像监控，政府采购监管部门视情进行现场监督，供应商在评审过程中所进行的试图影响评审结果的不公正活动，可能导致其被拒绝磋商。</w:t>
      </w:r>
    </w:p>
    <w:p w14:paraId="056D3F6A">
      <w:pPr>
        <w:pStyle w:val="26"/>
        <w:keepNext w:val="0"/>
        <w:keepLines w:val="0"/>
        <w:pageBreakBefore w:val="0"/>
        <w:kinsoku/>
        <w:wordWrap/>
        <w:overflowPunct/>
        <w:topLinePunct w:val="0"/>
        <w:bidi w:val="0"/>
        <w:snapToGrid w:val="0"/>
        <w:spacing w:beforeAutospacing="0" w:afterAutospacing="0" w:line="360" w:lineRule="auto"/>
        <w:ind w:firstLine="422" w:firstLineChars="200"/>
        <w:jc w:val="both"/>
        <w:rPr>
          <w:rFonts w:hint="default" w:eastAsia="宋体" w:cs="宋体"/>
          <w:sz w:val="21"/>
          <w:szCs w:val="21"/>
        </w:rPr>
      </w:pPr>
      <w:r>
        <w:rPr>
          <w:rFonts w:eastAsia="宋体" w:cs="宋体"/>
          <w:b/>
          <w:sz w:val="21"/>
          <w:szCs w:val="21"/>
        </w:rPr>
        <w:t>五、磋商结果确定</w:t>
      </w:r>
    </w:p>
    <w:p w14:paraId="37615A82">
      <w:pPr>
        <w:pStyle w:val="26"/>
        <w:keepNext w:val="0"/>
        <w:keepLines w:val="0"/>
        <w:pageBreakBefore w:val="0"/>
        <w:kinsoku/>
        <w:wordWrap/>
        <w:overflowPunct/>
        <w:topLinePunct w:val="0"/>
        <w:bidi w:val="0"/>
        <w:snapToGrid w:val="0"/>
        <w:spacing w:beforeAutospacing="0" w:afterAutospacing="0" w:line="360" w:lineRule="auto"/>
        <w:ind w:firstLine="525" w:firstLineChars="250"/>
        <w:jc w:val="both"/>
        <w:rPr>
          <w:rFonts w:hint="default" w:eastAsia="宋体" w:cs="宋体"/>
          <w:sz w:val="21"/>
          <w:szCs w:val="21"/>
        </w:rPr>
      </w:pPr>
      <w:r>
        <w:rPr>
          <w:rFonts w:eastAsia="宋体" w:cs="宋体"/>
          <w:sz w:val="21"/>
          <w:szCs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049D59F3">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2、发布成交结果公告。采购组织机构应当在成交供应商确定后2个工作日内，在省级以上财政部门指定的政府采购信息发布媒体及相关网站上公告成交结果，并将磋商文件随同公告。</w:t>
      </w:r>
    </w:p>
    <w:p w14:paraId="36A261F1">
      <w:pPr>
        <w:keepNext w:val="0"/>
        <w:keepLines w:val="0"/>
        <w:pageBreakBefore w:val="0"/>
        <w:kinsoku/>
        <w:wordWrap/>
        <w:overflowPunct/>
        <w:topLinePunct w:val="0"/>
        <w:bidi w:val="0"/>
        <w:snapToGri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3、发出成交通知书。采购组织机构在发布成交结果同时，向成交供应商发出成交通知书。</w:t>
      </w:r>
    </w:p>
    <w:p w14:paraId="77364DDF">
      <w:pPr>
        <w:keepNext w:val="0"/>
        <w:keepLines w:val="0"/>
        <w:pageBreakBefore w:val="0"/>
        <w:kinsoku/>
        <w:wordWrap/>
        <w:overflowPunct/>
        <w:topLinePunct w:val="0"/>
        <w:bidi w:val="0"/>
        <w:snapToGrid w:val="0"/>
        <w:spacing w:line="360" w:lineRule="auto"/>
        <w:ind w:firstLine="422" w:firstLineChars="200"/>
        <w:rPr>
          <w:rFonts w:ascii="宋体" w:hAnsi="宋体" w:eastAsia="宋体" w:cs="宋体"/>
          <w:b/>
          <w:kern w:val="0"/>
          <w:sz w:val="21"/>
          <w:szCs w:val="21"/>
        </w:rPr>
      </w:pPr>
      <w:r>
        <w:rPr>
          <w:rFonts w:hint="eastAsia" w:ascii="宋体" w:hAnsi="宋体" w:eastAsia="宋体" w:cs="宋体"/>
          <w:b/>
          <w:kern w:val="0"/>
          <w:sz w:val="21"/>
          <w:szCs w:val="21"/>
        </w:rPr>
        <w:t>六、合同签订及公告</w:t>
      </w:r>
    </w:p>
    <w:p w14:paraId="187BB84D">
      <w:pPr>
        <w:pStyle w:val="12"/>
        <w:keepNext w:val="0"/>
        <w:keepLines w:val="0"/>
        <w:pageBreakBefore w:val="0"/>
        <w:kinsoku/>
        <w:wordWrap/>
        <w:overflowPunct/>
        <w:topLinePunct w:val="0"/>
        <w:bidi w:val="0"/>
        <w:snapToGrid w:val="0"/>
        <w:spacing w:line="360" w:lineRule="auto"/>
        <w:ind w:firstLine="422" w:firstLineChars="200"/>
        <w:rPr>
          <w:rFonts w:ascii="宋体" w:hAnsi="宋体" w:eastAsia="宋体" w:cs="宋体"/>
          <w:b/>
          <w:sz w:val="21"/>
          <w:szCs w:val="21"/>
        </w:rPr>
      </w:pPr>
      <w:r>
        <w:rPr>
          <w:rFonts w:hint="eastAsia" w:ascii="宋体" w:hAnsi="宋体" w:eastAsia="宋体" w:cs="宋体"/>
          <w:b/>
          <w:sz w:val="21"/>
          <w:szCs w:val="21"/>
        </w:rPr>
        <w:t>（一）签订合同</w:t>
      </w:r>
    </w:p>
    <w:p w14:paraId="58FA1461">
      <w:pPr>
        <w:pStyle w:val="26"/>
        <w:keepNext w:val="0"/>
        <w:keepLines w:val="0"/>
        <w:pageBreakBefore w:val="0"/>
        <w:kinsoku/>
        <w:wordWrap/>
        <w:overflowPunct/>
        <w:topLinePunct w:val="0"/>
        <w:bidi w:val="0"/>
        <w:snapToGrid w:val="0"/>
        <w:spacing w:beforeAutospacing="0" w:afterAutospacing="0" w:line="360" w:lineRule="auto"/>
        <w:ind w:firstLine="525" w:firstLineChars="250"/>
        <w:jc w:val="both"/>
        <w:rPr>
          <w:rFonts w:hint="default" w:eastAsia="宋体" w:cs="宋体"/>
          <w:sz w:val="21"/>
          <w:szCs w:val="21"/>
        </w:rPr>
      </w:pPr>
      <w:r>
        <w:rPr>
          <w:rFonts w:eastAsia="宋体" w:cs="宋体"/>
          <w:sz w:val="21"/>
          <w:szCs w:val="21"/>
        </w:rPr>
        <w:t>1、采购人应当自成交通知书发出之日起30日内，按照磋商采购文件确定的合同文本以及采购标的、规格型号、采购金额、采购数量和服务要求等事项签订政府采购合同。</w:t>
      </w:r>
    </w:p>
    <w:p w14:paraId="5EEA0D5A">
      <w:pPr>
        <w:pStyle w:val="26"/>
        <w:keepNext w:val="0"/>
        <w:keepLines w:val="0"/>
        <w:pageBreakBefore w:val="0"/>
        <w:kinsoku/>
        <w:wordWrap/>
        <w:overflowPunct/>
        <w:topLinePunct w:val="0"/>
        <w:bidi w:val="0"/>
        <w:snapToGrid w:val="0"/>
        <w:spacing w:beforeAutospacing="0" w:afterAutospacing="0" w:line="360" w:lineRule="auto"/>
        <w:ind w:firstLine="525" w:firstLineChars="250"/>
        <w:jc w:val="both"/>
        <w:rPr>
          <w:rFonts w:hint="default" w:eastAsia="宋体" w:cs="宋体"/>
          <w:sz w:val="21"/>
          <w:szCs w:val="21"/>
        </w:rPr>
      </w:pPr>
      <w:r>
        <w:rPr>
          <w:rFonts w:eastAsia="宋体" w:cs="宋体"/>
          <w:sz w:val="21"/>
          <w:szCs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68CE3C78">
      <w:pPr>
        <w:pStyle w:val="26"/>
        <w:keepNext w:val="0"/>
        <w:keepLines w:val="0"/>
        <w:pageBreakBefore w:val="0"/>
        <w:kinsoku/>
        <w:wordWrap/>
        <w:overflowPunct/>
        <w:topLinePunct w:val="0"/>
        <w:bidi w:val="0"/>
        <w:snapToGrid w:val="0"/>
        <w:spacing w:beforeAutospacing="0" w:afterAutospacing="0" w:line="360" w:lineRule="auto"/>
        <w:ind w:firstLine="525" w:firstLineChars="250"/>
        <w:jc w:val="both"/>
        <w:rPr>
          <w:rFonts w:hint="default" w:eastAsia="宋体" w:cs="宋体"/>
          <w:sz w:val="21"/>
          <w:szCs w:val="21"/>
        </w:rPr>
      </w:pPr>
      <w:r>
        <w:rPr>
          <w:rFonts w:eastAsia="宋体" w:cs="宋体"/>
          <w:sz w:val="21"/>
          <w:szCs w:val="21"/>
        </w:rPr>
        <w:t>3、成交供应商无故拖延、拒签合同的,取消成交资格。</w:t>
      </w:r>
    </w:p>
    <w:p w14:paraId="1B92AB68">
      <w:pPr>
        <w:pStyle w:val="26"/>
        <w:keepNext w:val="0"/>
        <w:keepLines w:val="0"/>
        <w:pageBreakBefore w:val="0"/>
        <w:kinsoku/>
        <w:wordWrap/>
        <w:overflowPunct/>
        <w:topLinePunct w:val="0"/>
        <w:bidi w:val="0"/>
        <w:snapToGrid w:val="0"/>
        <w:spacing w:beforeAutospacing="0" w:afterAutospacing="0" w:line="360" w:lineRule="auto"/>
        <w:ind w:firstLine="525" w:firstLineChars="250"/>
        <w:jc w:val="both"/>
        <w:rPr>
          <w:rFonts w:hint="default" w:eastAsia="宋体" w:cs="宋体"/>
          <w:sz w:val="21"/>
          <w:szCs w:val="21"/>
        </w:rPr>
      </w:pPr>
      <w:r>
        <w:rPr>
          <w:rFonts w:eastAsia="宋体" w:cs="宋体"/>
          <w:sz w:val="21"/>
          <w:szCs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2759CC51">
      <w:pPr>
        <w:pStyle w:val="26"/>
        <w:keepNext w:val="0"/>
        <w:keepLines w:val="0"/>
        <w:pageBreakBefore w:val="0"/>
        <w:kinsoku/>
        <w:wordWrap/>
        <w:overflowPunct/>
        <w:topLinePunct w:val="0"/>
        <w:bidi w:val="0"/>
        <w:snapToGrid w:val="0"/>
        <w:spacing w:beforeAutospacing="0" w:afterAutospacing="0" w:line="360" w:lineRule="auto"/>
        <w:ind w:firstLine="525" w:firstLineChars="250"/>
        <w:jc w:val="both"/>
        <w:rPr>
          <w:rFonts w:hint="default" w:eastAsia="宋体" w:cs="宋体"/>
          <w:sz w:val="21"/>
          <w:szCs w:val="21"/>
        </w:rPr>
      </w:pPr>
      <w:r>
        <w:rPr>
          <w:rFonts w:eastAsia="宋体" w:cs="宋体"/>
          <w:sz w:val="21"/>
          <w:szCs w:val="21"/>
        </w:rPr>
        <w:t>5、询问或者质疑事项可能影响成交结果的，采购人应当暂停签订合同，已经签订合同的，应当中止履行合同（成交结果的质疑期为成交结果公告期限届满之日起七个工作日）。</w:t>
      </w:r>
    </w:p>
    <w:p w14:paraId="3202E4BC">
      <w:pPr>
        <w:pStyle w:val="26"/>
        <w:keepNext w:val="0"/>
        <w:keepLines w:val="0"/>
        <w:pageBreakBefore w:val="0"/>
        <w:kinsoku/>
        <w:wordWrap/>
        <w:overflowPunct/>
        <w:topLinePunct w:val="0"/>
        <w:bidi w:val="0"/>
        <w:snapToGrid w:val="0"/>
        <w:spacing w:beforeAutospacing="0" w:afterAutospacing="0" w:line="360" w:lineRule="auto"/>
        <w:ind w:firstLine="527" w:firstLineChars="250"/>
        <w:jc w:val="both"/>
        <w:rPr>
          <w:rFonts w:hint="default" w:eastAsia="宋体" w:cs="宋体"/>
          <w:b/>
          <w:sz w:val="21"/>
          <w:szCs w:val="21"/>
        </w:rPr>
      </w:pPr>
      <w:r>
        <w:rPr>
          <w:rFonts w:eastAsia="宋体" w:cs="宋体"/>
          <w:b/>
          <w:sz w:val="21"/>
          <w:szCs w:val="21"/>
        </w:rPr>
        <w:t>（二）合同公告及备案</w:t>
      </w:r>
    </w:p>
    <w:p w14:paraId="462FD486">
      <w:pPr>
        <w:pStyle w:val="26"/>
        <w:keepNext w:val="0"/>
        <w:keepLines w:val="0"/>
        <w:pageBreakBefore w:val="0"/>
        <w:kinsoku/>
        <w:wordWrap/>
        <w:overflowPunct/>
        <w:topLinePunct w:val="0"/>
        <w:bidi w:val="0"/>
        <w:snapToGrid w:val="0"/>
        <w:spacing w:beforeAutospacing="0" w:afterAutospacing="0" w:line="360" w:lineRule="auto"/>
        <w:ind w:firstLine="525" w:firstLineChars="250"/>
        <w:jc w:val="both"/>
        <w:rPr>
          <w:rFonts w:hint="default" w:eastAsia="宋体" w:cs="宋体"/>
          <w:b/>
          <w:sz w:val="21"/>
          <w:szCs w:val="21"/>
        </w:rPr>
      </w:pPr>
      <w:r>
        <w:rPr>
          <w:rFonts w:eastAsia="宋体" w:cs="宋体"/>
          <w:sz w:val="21"/>
          <w:szCs w:val="21"/>
        </w:rPr>
        <w:t>采购人应当自政府采购合同签订之日起2个工作日内，在省级以上财政部门指定的政府采购信息发布媒体及相关网站上公告。</w:t>
      </w:r>
      <w:bookmarkEnd w:id="2"/>
      <w:bookmarkStart w:id="20" w:name="_Toc306901457"/>
      <w:bookmarkStart w:id="21" w:name="_Toc173810699"/>
    </w:p>
    <w:p w14:paraId="30DDFD08">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pacing w:line="360" w:lineRule="auto"/>
        <w:jc w:val="center"/>
        <w:rPr>
          <w:rFonts w:ascii="宋体" w:hAnsi="宋体" w:eastAsia="宋体" w:cs="宋体"/>
          <w:b/>
          <w:sz w:val="30"/>
          <w:szCs w:val="30"/>
        </w:rPr>
      </w:pPr>
    </w:p>
    <w:p w14:paraId="3F6D9BFE">
      <w:pPr>
        <w:rPr>
          <w:rFonts w:ascii="宋体" w:hAnsi="宋体" w:eastAsia="宋体" w:cs="宋体"/>
          <w:b/>
          <w:sz w:val="30"/>
          <w:szCs w:val="30"/>
        </w:rPr>
      </w:pPr>
      <w:r>
        <w:rPr>
          <w:rFonts w:hint="eastAsia" w:ascii="宋体" w:hAnsi="宋体" w:eastAsia="宋体" w:cs="宋体"/>
          <w:b/>
          <w:sz w:val="30"/>
          <w:szCs w:val="30"/>
        </w:rPr>
        <w:br w:type="page"/>
      </w:r>
    </w:p>
    <w:p w14:paraId="722D96BA">
      <w:pPr>
        <w:autoSpaceDE w:val="0"/>
        <w:autoSpaceDN w:val="0"/>
        <w:adjustRightInd w:val="0"/>
        <w:spacing w:line="360" w:lineRule="auto"/>
        <w:jc w:val="center"/>
        <w:outlineLvl w:val="0"/>
        <w:rPr>
          <w:rFonts w:ascii="宋体" w:hAnsi="宋体" w:eastAsia="宋体" w:cs="宋体"/>
          <w:b/>
          <w:sz w:val="32"/>
          <w:szCs w:val="32"/>
        </w:rPr>
      </w:pPr>
      <w:r>
        <w:rPr>
          <w:rFonts w:hint="eastAsia" w:ascii="宋体" w:hAnsi="宋体" w:eastAsia="宋体" w:cs="宋体"/>
          <w:b/>
          <w:sz w:val="32"/>
          <w:szCs w:val="32"/>
        </w:rPr>
        <w:t>第</w:t>
      </w:r>
      <w:r>
        <w:rPr>
          <w:rFonts w:hint="eastAsia" w:ascii="宋体" w:hAnsi="宋体" w:eastAsia="宋体" w:cs="宋体"/>
          <w:b/>
          <w:sz w:val="32"/>
          <w:szCs w:val="32"/>
          <w:lang w:val="en-US" w:eastAsia="zh-CN"/>
        </w:rPr>
        <w:t>三</w:t>
      </w:r>
      <w:r>
        <w:rPr>
          <w:rFonts w:hint="eastAsia" w:ascii="宋体" w:hAnsi="宋体" w:eastAsia="宋体" w:cs="宋体"/>
          <w:b/>
          <w:sz w:val="32"/>
          <w:szCs w:val="32"/>
        </w:rPr>
        <w:t>部分 采购需求</w:t>
      </w:r>
    </w:p>
    <w:p w14:paraId="03558B83">
      <w:pPr>
        <w:pStyle w:val="10"/>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一、采购项目</w:t>
      </w:r>
      <w:r>
        <w:rPr>
          <w:rFonts w:hint="eastAsia" w:ascii="宋体" w:hAnsi="宋体" w:eastAsia="宋体" w:cs="宋体"/>
          <w:b/>
          <w:sz w:val="21"/>
          <w:szCs w:val="21"/>
          <w:lang w:val="en-US" w:eastAsia="zh-CN"/>
        </w:rPr>
        <w:t>一览表</w:t>
      </w:r>
    </w:p>
    <w:tbl>
      <w:tblPr>
        <w:tblStyle w:val="29"/>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992"/>
        <w:gridCol w:w="836"/>
        <w:gridCol w:w="851"/>
        <w:gridCol w:w="1943"/>
        <w:gridCol w:w="1635"/>
        <w:gridCol w:w="1291"/>
      </w:tblGrid>
      <w:tr w14:paraId="27A7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913" w:type="dxa"/>
            <w:shd w:val="clear" w:color="auto" w:fill="EEECE1"/>
            <w:vAlign w:val="center"/>
          </w:tcPr>
          <w:p w14:paraId="0E6919CC">
            <w:pPr>
              <w:tabs>
                <w:tab w:val="left" w:pos="8280"/>
              </w:tabs>
              <w:autoSpaceDE w:val="0"/>
              <w:autoSpaceDN w:val="0"/>
              <w:spacing w:line="360" w:lineRule="auto"/>
              <w:ind w:right="25"/>
              <w:jc w:val="center"/>
              <w:rPr>
                <w:rFonts w:ascii="仿宋" w:hAnsi="仿宋" w:eastAsia="仿宋" w:cs="仿宋"/>
                <w:b/>
                <w:sz w:val="24"/>
                <w:szCs w:val="24"/>
              </w:rPr>
            </w:pPr>
            <w:r>
              <w:rPr>
                <w:rFonts w:hint="eastAsia" w:ascii="仿宋" w:hAnsi="仿宋" w:eastAsia="仿宋" w:cs="仿宋"/>
                <w:b/>
                <w:sz w:val="24"/>
                <w:szCs w:val="24"/>
              </w:rPr>
              <w:t>标号</w:t>
            </w:r>
          </w:p>
        </w:tc>
        <w:tc>
          <w:tcPr>
            <w:tcW w:w="1992" w:type="dxa"/>
            <w:shd w:val="clear" w:color="auto" w:fill="EEECE1"/>
            <w:vAlign w:val="center"/>
          </w:tcPr>
          <w:p w14:paraId="318182F1">
            <w:pPr>
              <w:tabs>
                <w:tab w:val="left" w:pos="8280"/>
              </w:tabs>
              <w:autoSpaceDE w:val="0"/>
              <w:autoSpaceDN w:val="0"/>
              <w:spacing w:line="360" w:lineRule="auto"/>
              <w:ind w:right="25" w:firstLine="120" w:firstLineChars="50"/>
              <w:jc w:val="center"/>
              <w:rPr>
                <w:rFonts w:ascii="仿宋" w:hAnsi="仿宋" w:eastAsia="仿宋" w:cs="仿宋"/>
                <w:b/>
                <w:sz w:val="24"/>
                <w:szCs w:val="24"/>
              </w:rPr>
            </w:pPr>
            <w:r>
              <w:rPr>
                <w:rFonts w:hint="eastAsia" w:ascii="仿宋" w:hAnsi="仿宋" w:eastAsia="仿宋" w:cs="仿宋"/>
                <w:b/>
                <w:sz w:val="24"/>
                <w:szCs w:val="24"/>
              </w:rPr>
              <w:t>项目名称</w:t>
            </w:r>
          </w:p>
        </w:tc>
        <w:tc>
          <w:tcPr>
            <w:tcW w:w="836" w:type="dxa"/>
            <w:shd w:val="clear" w:color="auto" w:fill="EEECE1"/>
            <w:vAlign w:val="center"/>
          </w:tcPr>
          <w:p w14:paraId="2E4622B1">
            <w:pPr>
              <w:tabs>
                <w:tab w:val="left" w:pos="8280"/>
              </w:tabs>
              <w:autoSpaceDE w:val="0"/>
              <w:autoSpaceDN w:val="0"/>
              <w:spacing w:line="360" w:lineRule="auto"/>
              <w:ind w:right="25"/>
              <w:jc w:val="center"/>
              <w:rPr>
                <w:rFonts w:ascii="仿宋" w:hAnsi="仿宋" w:eastAsia="仿宋" w:cs="仿宋"/>
                <w:b/>
                <w:sz w:val="24"/>
                <w:szCs w:val="24"/>
              </w:rPr>
            </w:pPr>
            <w:r>
              <w:rPr>
                <w:rFonts w:hint="eastAsia" w:ascii="仿宋" w:hAnsi="仿宋" w:eastAsia="仿宋" w:cs="仿宋"/>
                <w:b/>
                <w:sz w:val="24"/>
                <w:szCs w:val="24"/>
              </w:rPr>
              <w:t>数量</w:t>
            </w:r>
          </w:p>
        </w:tc>
        <w:tc>
          <w:tcPr>
            <w:tcW w:w="851" w:type="dxa"/>
            <w:shd w:val="clear" w:color="auto" w:fill="EEECE1"/>
            <w:vAlign w:val="center"/>
          </w:tcPr>
          <w:p w14:paraId="23F3DC07">
            <w:pPr>
              <w:tabs>
                <w:tab w:val="left" w:pos="8280"/>
              </w:tabs>
              <w:autoSpaceDE w:val="0"/>
              <w:autoSpaceDN w:val="0"/>
              <w:spacing w:line="360" w:lineRule="auto"/>
              <w:ind w:right="25"/>
              <w:jc w:val="center"/>
              <w:rPr>
                <w:rFonts w:ascii="仿宋" w:hAnsi="仿宋" w:eastAsia="仿宋" w:cs="仿宋"/>
                <w:b/>
                <w:sz w:val="24"/>
                <w:szCs w:val="24"/>
              </w:rPr>
            </w:pPr>
            <w:r>
              <w:rPr>
                <w:rFonts w:hint="eastAsia" w:ascii="仿宋" w:hAnsi="仿宋" w:eastAsia="仿宋" w:cs="仿宋"/>
                <w:b/>
                <w:sz w:val="24"/>
                <w:szCs w:val="24"/>
              </w:rPr>
              <w:t>单位</w:t>
            </w:r>
          </w:p>
        </w:tc>
        <w:tc>
          <w:tcPr>
            <w:tcW w:w="1943" w:type="dxa"/>
            <w:shd w:val="clear" w:color="auto" w:fill="EEECE1"/>
            <w:vAlign w:val="center"/>
          </w:tcPr>
          <w:p w14:paraId="05EF7816">
            <w:pPr>
              <w:tabs>
                <w:tab w:val="left" w:pos="8280"/>
              </w:tabs>
              <w:autoSpaceDE w:val="0"/>
              <w:autoSpaceDN w:val="0"/>
              <w:spacing w:line="360" w:lineRule="auto"/>
              <w:ind w:right="25"/>
              <w:jc w:val="center"/>
              <w:rPr>
                <w:rFonts w:ascii="仿宋" w:hAnsi="仿宋" w:eastAsia="仿宋" w:cs="仿宋"/>
                <w:b/>
                <w:sz w:val="24"/>
                <w:szCs w:val="24"/>
              </w:rPr>
            </w:pPr>
            <w:r>
              <w:rPr>
                <w:rFonts w:hint="eastAsia" w:ascii="仿宋" w:hAnsi="仿宋" w:eastAsia="仿宋" w:cs="仿宋"/>
                <w:b/>
                <w:sz w:val="24"/>
                <w:szCs w:val="24"/>
              </w:rPr>
              <w:t>预算</w:t>
            </w:r>
          </w:p>
          <w:p w14:paraId="3B2F785D">
            <w:pPr>
              <w:tabs>
                <w:tab w:val="left" w:pos="8280"/>
              </w:tabs>
              <w:autoSpaceDE w:val="0"/>
              <w:autoSpaceDN w:val="0"/>
              <w:spacing w:line="360" w:lineRule="auto"/>
              <w:ind w:right="25"/>
              <w:jc w:val="center"/>
              <w:rPr>
                <w:rFonts w:ascii="仿宋" w:hAnsi="仿宋" w:eastAsia="仿宋" w:cs="仿宋"/>
                <w:b/>
                <w:sz w:val="24"/>
                <w:szCs w:val="24"/>
              </w:rPr>
            </w:pPr>
            <w:r>
              <w:rPr>
                <w:rFonts w:hint="eastAsia" w:ascii="仿宋" w:hAnsi="仿宋" w:eastAsia="仿宋" w:cs="仿宋"/>
                <w:b/>
                <w:sz w:val="24"/>
                <w:szCs w:val="24"/>
              </w:rPr>
              <w:t>（万元）</w:t>
            </w:r>
          </w:p>
        </w:tc>
        <w:tc>
          <w:tcPr>
            <w:tcW w:w="1635" w:type="dxa"/>
            <w:shd w:val="clear" w:color="auto" w:fill="EEECE1"/>
            <w:vAlign w:val="center"/>
          </w:tcPr>
          <w:p w14:paraId="4BD81C2A">
            <w:pPr>
              <w:tabs>
                <w:tab w:val="left" w:pos="8280"/>
              </w:tabs>
              <w:autoSpaceDE w:val="0"/>
              <w:autoSpaceDN w:val="0"/>
              <w:spacing w:line="360" w:lineRule="auto"/>
              <w:ind w:right="25" w:firstLine="240"/>
              <w:jc w:val="center"/>
              <w:rPr>
                <w:rFonts w:ascii="仿宋" w:hAnsi="仿宋" w:eastAsia="仿宋" w:cs="仿宋"/>
                <w:b/>
                <w:sz w:val="24"/>
                <w:szCs w:val="24"/>
              </w:rPr>
            </w:pPr>
            <w:r>
              <w:rPr>
                <w:rFonts w:hint="eastAsia" w:ascii="仿宋" w:hAnsi="仿宋" w:eastAsia="仿宋" w:cs="仿宋"/>
                <w:b/>
                <w:sz w:val="24"/>
                <w:szCs w:val="24"/>
                <w:lang w:eastAsia="zh-CN"/>
              </w:rPr>
              <w:t>服务</w:t>
            </w:r>
            <w:r>
              <w:rPr>
                <w:rFonts w:hint="eastAsia" w:ascii="仿宋" w:hAnsi="仿宋" w:eastAsia="仿宋" w:cs="仿宋"/>
                <w:b/>
                <w:sz w:val="24"/>
                <w:szCs w:val="24"/>
              </w:rPr>
              <w:t>期</w:t>
            </w:r>
          </w:p>
        </w:tc>
        <w:tc>
          <w:tcPr>
            <w:tcW w:w="1291" w:type="dxa"/>
            <w:shd w:val="clear" w:color="auto" w:fill="EEECE1"/>
            <w:vAlign w:val="center"/>
          </w:tcPr>
          <w:p w14:paraId="7AD9085C">
            <w:pPr>
              <w:tabs>
                <w:tab w:val="left" w:pos="8280"/>
              </w:tabs>
              <w:autoSpaceDE w:val="0"/>
              <w:autoSpaceDN w:val="0"/>
              <w:spacing w:line="360" w:lineRule="auto"/>
              <w:ind w:right="25"/>
              <w:jc w:val="center"/>
              <w:rPr>
                <w:rFonts w:ascii="仿宋" w:hAnsi="仿宋" w:eastAsia="仿宋" w:cs="仿宋"/>
                <w:b/>
                <w:sz w:val="24"/>
                <w:szCs w:val="24"/>
              </w:rPr>
            </w:pPr>
            <w:r>
              <w:rPr>
                <w:rFonts w:hint="eastAsia" w:ascii="仿宋" w:hAnsi="仿宋" w:eastAsia="仿宋" w:cs="仿宋"/>
                <w:b/>
                <w:sz w:val="24"/>
                <w:szCs w:val="24"/>
                <w:lang w:eastAsia="zh-CN"/>
              </w:rPr>
              <w:t>服务</w:t>
            </w:r>
            <w:r>
              <w:rPr>
                <w:rFonts w:hint="eastAsia" w:ascii="仿宋" w:hAnsi="仿宋" w:eastAsia="仿宋" w:cs="仿宋"/>
                <w:b/>
                <w:sz w:val="24"/>
                <w:szCs w:val="24"/>
              </w:rPr>
              <w:t>地点</w:t>
            </w:r>
          </w:p>
        </w:tc>
      </w:tr>
      <w:tr w14:paraId="0F55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913" w:type="dxa"/>
            <w:vAlign w:val="center"/>
          </w:tcPr>
          <w:p w14:paraId="34802529">
            <w:pPr>
              <w:tabs>
                <w:tab w:val="left" w:pos="8280"/>
              </w:tabs>
              <w:autoSpaceDE w:val="0"/>
              <w:autoSpaceDN w:val="0"/>
              <w:jc w:val="center"/>
              <w:rPr>
                <w:rFonts w:ascii="仿宋" w:hAnsi="仿宋" w:eastAsia="仿宋" w:cs="仿宋"/>
                <w:sz w:val="24"/>
                <w:szCs w:val="24"/>
              </w:rPr>
            </w:pPr>
            <w:r>
              <w:rPr>
                <w:rFonts w:hint="eastAsia" w:ascii="仿宋" w:hAnsi="仿宋" w:eastAsia="仿宋" w:cs="仿宋"/>
                <w:sz w:val="24"/>
                <w:szCs w:val="24"/>
              </w:rPr>
              <w:t>1</w:t>
            </w:r>
          </w:p>
        </w:tc>
        <w:tc>
          <w:tcPr>
            <w:tcW w:w="1992" w:type="dxa"/>
            <w:vAlign w:val="center"/>
          </w:tcPr>
          <w:p w14:paraId="17D50D2C">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台州市投资促进中心招商引资服务采购项目（第二次）</w:t>
            </w:r>
          </w:p>
        </w:tc>
        <w:tc>
          <w:tcPr>
            <w:tcW w:w="836" w:type="dxa"/>
            <w:vAlign w:val="center"/>
          </w:tcPr>
          <w:p w14:paraId="7DEFADB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851" w:type="dxa"/>
            <w:vAlign w:val="center"/>
          </w:tcPr>
          <w:p w14:paraId="59D657C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1943" w:type="dxa"/>
            <w:vAlign w:val="center"/>
          </w:tcPr>
          <w:p w14:paraId="06B1B81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1635" w:type="dxa"/>
            <w:vAlign w:val="center"/>
          </w:tcPr>
          <w:p w14:paraId="3603567B">
            <w:pPr>
              <w:jc w:val="center"/>
              <w:rPr>
                <w:rFonts w:ascii="仿宋" w:hAnsi="仿宋" w:eastAsia="仿宋" w:cs="仿宋"/>
                <w:sz w:val="24"/>
                <w:szCs w:val="24"/>
              </w:rPr>
            </w:pPr>
            <w:r>
              <w:rPr>
                <w:rFonts w:hint="eastAsia" w:ascii="仿宋" w:hAnsi="仿宋" w:eastAsia="仿宋" w:cs="仿宋"/>
                <w:sz w:val="24"/>
                <w:szCs w:val="24"/>
              </w:rPr>
              <w:t>一年</w:t>
            </w:r>
          </w:p>
        </w:tc>
        <w:tc>
          <w:tcPr>
            <w:tcW w:w="1291" w:type="dxa"/>
            <w:vAlign w:val="center"/>
          </w:tcPr>
          <w:p w14:paraId="3A94D5E6">
            <w:pPr>
              <w:pStyle w:val="12"/>
              <w:tabs>
                <w:tab w:val="left" w:pos="0"/>
                <w:tab w:val="left" w:pos="1260"/>
                <w:tab w:val="left" w:pos="1365"/>
              </w:tabs>
              <w:spacing w:line="240" w:lineRule="auto"/>
              <w:ind w:left="0" w:leftChars="0" w:firstLine="0" w:firstLineChars="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 xml:space="preserve">采购人指定地点 </w:t>
            </w:r>
          </w:p>
        </w:tc>
      </w:tr>
    </w:tbl>
    <w:p w14:paraId="4D749415">
      <w:pPr>
        <w:pStyle w:val="11"/>
        <w:rPr>
          <w:rFonts w:hint="eastAsia"/>
          <w:lang w:eastAsia="zh-CN"/>
        </w:rPr>
      </w:pPr>
    </w:p>
    <w:p w14:paraId="2EACB978">
      <w:pPr>
        <w:keepNext w:val="0"/>
        <w:keepLines w:val="0"/>
        <w:pageBreakBefore w:val="0"/>
        <w:numPr>
          <w:ilvl w:val="0"/>
          <w:numId w:val="3"/>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kern w:val="0"/>
          <w:sz w:val="21"/>
          <w:szCs w:val="21"/>
          <w:lang w:val="en-US" w:eastAsia="zh-CN"/>
        </w:rPr>
      </w:pPr>
      <w:bookmarkStart w:id="22" w:name="OLE_LINK4"/>
      <w:r>
        <w:rPr>
          <w:rFonts w:hint="eastAsia" w:ascii="宋体" w:hAnsi="宋体" w:eastAsia="宋体" w:cs="宋体"/>
          <w:b/>
          <w:bCs/>
          <w:kern w:val="0"/>
          <w:sz w:val="21"/>
          <w:szCs w:val="21"/>
          <w:lang w:val="en-US" w:eastAsia="zh-CN"/>
        </w:rPr>
        <w:t>项目概况</w:t>
      </w:r>
    </w:p>
    <w:p w14:paraId="1936728A">
      <w:pPr>
        <w:pStyle w:val="10"/>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bCs/>
          <w:kern w:val="0"/>
          <w:sz w:val="21"/>
          <w:szCs w:val="21"/>
          <w:lang w:val="en-US" w:eastAsia="zh-CN"/>
        </w:rPr>
      </w:pPr>
      <w:r>
        <w:rPr>
          <w:rFonts w:hint="default" w:ascii="宋体" w:hAnsi="宋体" w:eastAsia="宋体" w:cs="宋体"/>
          <w:bCs/>
          <w:kern w:val="0"/>
          <w:sz w:val="21"/>
          <w:szCs w:val="21"/>
          <w:lang w:val="en-US" w:eastAsia="zh-CN"/>
        </w:rPr>
        <w:t>中标供应商通过电话、拜访、网络等方式协助采购人做好台州市产业推广、客户信息收集、项目洽谈和引进等招商工作，为台州市寻找有投资意向的企业，并积极促进双方对接和项目在台州范围内落地。</w:t>
      </w:r>
    </w:p>
    <w:bookmarkEnd w:id="22"/>
    <w:p w14:paraId="1F924974">
      <w:pPr>
        <w:snapToGrid w:val="0"/>
        <w:spacing w:line="400" w:lineRule="exact"/>
        <w:jc w:val="left"/>
        <w:rPr>
          <w:rFonts w:ascii="宋体" w:hAnsi="宋体" w:eastAsia="宋体" w:cs="宋体"/>
          <w:b/>
          <w:bCs/>
          <w:kern w:val="0"/>
          <w:sz w:val="21"/>
          <w:szCs w:val="21"/>
        </w:rPr>
      </w:pPr>
      <w:r>
        <w:rPr>
          <w:rFonts w:hint="eastAsia" w:ascii="宋体" w:hAnsi="宋体" w:eastAsia="宋体" w:cs="宋体"/>
          <w:b/>
          <w:bCs/>
          <w:kern w:val="0"/>
          <w:sz w:val="21"/>
          <w:szCs w:val="21"/>
        </w:rPr>
        <w:t>三、服务内容、要求</w:t>
      </w:r>
    </w:p>
    <w:p w14:paraId="034CD8F6">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（一）提供有效招商信息</w:t>
      </w:r>
    </w:p>
    <w:p w14:paraId="2982754E">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1、项目要求：新能源汽车、新材料、医药、精密制造、光电等符合台州市招商主导产业并且固定资产投资规模不低于10亿元人民币的项目（世界500强企业投资项目、行业龙头企业、外资项目除外）。</w:t>
      </w:r>
    </w:p>
    <w:p w14:paraId="4A81F657">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2、区域要求：台州市外企业。</w:t>
      </w:r>
    </w:p>
    <w:p w14:paraId="1674CECC">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3、客户要求：近期有投资计划、符合台州产业需求、愿意来台州投资合作并进行互访交流（不含台州户籍人员或台州企业在外设立的公司）。</w:t>
      </w:r>
    </w:p>
    <w:p w14:paraId="086ECE35">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4、成交供应商应安排专职招商人员代表采购人进行客商信息收集、治谈和引荐等招商工作。</w:t>
      </w:r>
    </w:p>
    <w:p w14:paraId="235DF41D">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5、成交供应商每年提供不少于30个符合采购人要求的有效项目信息（指采购人和投资方进行面对面沟通，且经采购人确认）。</w:t>
      </w:r>
    </w:p>
    <w:p w14:paraId="053EA86C">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项目信息含企业情况介绍，拟投资项目名称、投资内容、投资规模、载体需求、政策诉求、企业负责人联系方式等主要内容，以简报形式发给采购人指定人员确认。</w:t>
      </w:r>
    </w:p>
    <w:p w14:paraId="38703128">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6、成交供应商承诺在合作期内至少落地2家符合前述条件的企业。</w:t>
      </w:r>
    </w:p>
    <w:p w14:paraId="12D715E0">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（二）上门招商</w:t>
      </w:r>
    </w:p>
    <w:p w14:paraId="144D40B6">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1.成交供应商根据采购人需求，组织采购人赴招商目标企业（不含有效招商信息中的投资企业）开展产业链精准招商，帮助采购人联系目标企业负责人，开展考察和洽谈对接。</w:t>
      </w:r>
    </w:p>
    <w:p w14:paraId="325B70E9">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2.成交供应商承诺合作期内上门招商不少于20家。</w:t>
      </w:r>
    </w:p>
    <w:p w14:paraId="14F61136">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（三）小型招商活动</w:t>
      </w:r>
    </w:p>
    <w:p w14:paraId="249958DD">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乙方组织其高端客户在国内主要城市（包括但不限于北京、上海、深圳、杭州等地）举办闭门洽谈会或小型沙龙等商务活动，做好客户邀请、会务安排等，帮助采购人推介投资环境、开展交流合作。合作期内不少于</w:t>
      </w:r>
      <w:r>
        <w:rPr>
          <w:rFonts w:hint="eastAsia" w:ascii="宋体" w:hAnsi="宋体" w:eastAsia="宋体" w:cs="宋体"/>
          <w:bCs/>
          <w:kern w:val="0"/>
          <w:sz w:val="21"/>
          <w:szCs w:val="21"/>
          <w:lang w:val="en-US" w:eastAsia="zh-CN"/>
        </w:rPr>
        <w:t>4</w:t>
      </w:r>
      <w:r>
        <w:rPr>
          <w:rFonts w:hint="eastAsia" w:ascii="宋体" w:hAnsi="宋体" w:eastAsia="宋体" w:cs="宋体"/>
          <w:bCs/>
          <w:kern w:val="0"/>
          <w:sz w:val="21"/>
          <w:szCs w:val="21"/>
        </w:rPr>
        <w:t>次。</w:t>
      </w:r>
    </w:p>
    <w:p w14:paraId="6A4B38A5">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 xml:space="preserve">（四）业务培训 </w:t>
      </w:r>
    </w:p>
    <w:p w14:paraId="08A3D5BB">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中标供应商组织采购人认可的国内外产业链专家、招商领域专家学者、投资基金高级合伙人，采用线上与线下相结合的形式，对台州招商干部进行业务培训，授课内容包括基金、产业、科技、基金、谈判技巧、实战经验等知识领域，授课次数不少于15次。</w:t>
      </w:r>
    </w:p>
    <w:p w14:paraId="0308C38F">
      <w:pPr>
        <w:pStyle w:val="10"/>
        <w:snapToGrid w:val="0"/>
        <w:spacing w:line="400" w:lineRule="exact"/>
        <w:rPr>
          <w:rFonts w:ascii="宋体" w:hAnsi="宋体" w:eastAsia="宋体" w:cs="宋体"/>
          <w:b/>
          <w:kern w:val="0"/>
          <w:sz w:val="21"/>
          <w:szCs w:val="21"/>
        </w:rPr>
      </w:pPr>
      <w:r>
        <w:rPr>
          <w:rFonts w:hint="eastAsia" w:ascii="宋体" w:hAnsi="宋体" w:eastAsia="宋体" w:cs="宋体"/>
          <w:b/>
          <w:kern w:val="0"/>
          <w:sz w:val="21"/>
          <w:szCs w:val="21"/>
        </w:rPr>
        <w:t>四、</w:t>
      </w:r>
      <w:r>
        <w:rPr>
          <w:rFonts w:hint="eastAsia" w:ascii="宋体" w:hAnsi="宋体" w:eastAsia="宋体" w:cs="宋体"/>
          <w:b/>
          <w:kern w:val="0"/>
          <w:sz w:val="21"/>
          <w:szCs w:val="21"/>
          <w:lang w:val="en-US" w:eastAsia="zh-CN"/>
        </w:rPr>
        <w:t>商务</w:t>
      </w:r>
      <w:r>
        <w:rPr>
          <w:rFonts w:hint="eastAsia" w:ascii="宋体" w:hAnsi="宋体" w:eastAsia="宋体" w:cs="宋体"/>
          <w:b/>
          <w:kern w:val="0"/>
          <w:sz w:val="21"/>
          <w:szCs w:val="21"/>
        </w:rPr>
        <w:t>要求</w:t>
      </w:r>
    </w:p>
    <w:p w14:paraId="23370FAC">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（一）服务期：一年</w:t>
      </w:r>
    </w:p>
    <w:p w14:paraId="57EEED81">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（二）服务地点：采购单位指定地点。</w:t>
      </w:r>
    </w:p>
    <w:p w14:paraId="46A347A2">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（三）付款方式：</w:t>
      </w:r>
    </w:p>
    <w:p w14:paraId="3B697D0E">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1、双方签订合同且</w:t>
      </w:r>
      <w:r>
        <w:rPr>
          <w:rFonts w:hint="eastAsia" w:ascii="宋体" w:hAnsi="宋体" w:eastAsia="宋体" w:cs="宋体"/>
          <w:bCs/>
          <w:kern w:val="0"/>
          <w:sz w:val="21"/>
          <w:szCs w:val="21"/>
          <w:lang w:val="en-US" w:eastAsia="zh-CN"/>
        </w:rPr>
        <w:t>中标人</w:t>
      </w:r>
      <w:r>
        <w:rPr>
          <w:rFonts w:hint="eastAsia" w:ascii="宋体" w:hAnsi="宋体" w:eastAsia="宋体" w:cs="宋体"/>
          <w:bCs/>
          <w:kern w:val="0"/>
          <w:sz w:val="21"/>
          <w:szCs w:val="21"/>
          <w:lang w:eastAsia="zh-CN"/>
        </w:rPr>
        <w:t>提供相关发票后10个工作日，</w:t>
      </w:r>
      <w:r>
        <w:rPr>
          <w:rFonts w:hint="eastAsia" w:ascii="宋体" w:hAnsi="宋体" w:eastAsia="宋体" w:cs="宋体"/>
          <w:bCs/>
          <w:kern w:val="0"/>
          <w:sz w:val="21"/>
          <w:szCs w:val="21"/>
          <w:lang w:val="en-US" w:eastAsia="zh-CN"/>
        </w:rPr>
        <w:t>支付</w:t>
      </w:r>
      <w:r>
        <w:rPr>
          <w:rFonts w:hint="eastAsia" w:ascii="宋体" w:hAnsi="宋体" w:eastAsia="宋体" w:cs="宋体"/>
          <w:bCs/>
          <w:kern w:val="0"/>
          <w:sz w:val="21"/>
          <w:szCs w:val="21"/>
          <w:lang w:eastAsia="zh-CN"/>
        </w:rPr>
        <w:t>合同总价40%的</w:t>
      </w:r>
      <w:r>
        <w:rPr>
          <w:rFonts w:hint="eastAsia" w:ascii="宋体" w:hAnsi="宋体" w:eastAsia="宋体" w:cs="宋体"/>
          <w:bCs/>
          <w:kern w:val="0"/>
          <w:sz w:val="21"/>
          <w:szCs w:val="21"/>
          <w:lang w:val="en-US" w:eastAsia="zh-CN"/>
        </w:rPr>
        <w:t>预付款</w:t>
      </w:r>
      <w:r>
        <w:rPr>
          <w:rFonts w:hint="eastAsia" w:ascii="宋体" w:hAnsi="宋体" w:eastAsia="宋体" w:cs="宋体"/>
          <w:bCs/>
          <w:kern w:val="0"/>
          <w:sz w:val="21"/>
          <w:szCs w:val="21"/>
          <w:lang w:eastAsia="zh-CN"/>
        </w:rPr>
        <w:t>；</w:t>
      </w:r>
    </w:p>
    <w:p w14:paraId="30DABC86">
      <w:pPr>
        <w:pStyle w:val="10"/>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2、2024年12月1日前再行支付合同总价的20%；</w:t>
      </w:r>
    </w:p>
    <w:p w14:paraId="51E8F2CE">
      <w:pPr>
        <w:pStyle w:val="10"/>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bidi="ar-SA"/>
        </w:rPr>
        <w:t>3、</w:t>
      </w:r>
      <w:r>
        <w:rPr>
          <w:rFonts w:hint="eastAsia" w:ascii="宋体" w:hAnsi="宋体" w:eastAsia="宋体" w:cs="宋体"/>
          <w:bCs/>
          <w:kern w:val="0"/>
          <w:sz w:val="21"/>
          <w:szCs w:val="21"/>
          <w:lang w:eastAsia="zh-CN"/>
        </w:rPr>
        <w:t>合同到期后，</w:t>
      </w:r>
      <w:r>
        <w:rPr>
          <w:rFonts w:hint="eastAsia" w:ascii="宋体" w:hAnsi="宋体" w:eastAsia="宋体" w:cs="宋体"/>
          <w:bCs/>
          <w:kern w:val="0"/>
          <w:sz w:val="21"/>
          <w:szCs w:val="21"/>
          <w:lang w:val="en-US" w:eastAsia="zh-CN"/>
        </w:rPr>
        <w:t>中标人</w:t>
      </w:r>
      <w:r>
        <w:rPr>
          <w:rFonts w:hint="eastAsia" w:ascii="宋体" w:hAnsi="宋体" w:eastAsia="宋体" w:cs="宋体"/>
          <w:bCs/>
          <w:kern w:val="0"/>
          <w:sz w:val="21"/>
          <w:szCs w:val="21"/>
          <w:lang w:eastAsia="zh-CN"/>
        </w:rPr>
        <w:t>完成全部服务内容并经</w:t>
      </w:r>
      <w:r>
        <w:rPr>
          <w:rFonts w:hint="eastAsia" w:ascii="宋体" w:hAnsi="宋体" w:eastAsia="宋体" w:cs="宋体"/>
          <w:bCs/>
          <w:kern w:val="0"/>
          <w:sz w:val="21"/>
          <w:szCs w:val="21"/>
          <w:lang w:val="en-US" w:eastAsia="zh-CN"/>
        </w:rPr>
        <w:t>采购人</w:t>
      </w:r>
      <w:r>
        <w:rPr>
          <w:rFonts w:hint="eastAsia" w:ascii="宋体" w:hAnsi="宋体" w:eastAsia="宋体" w:cs="宋体"/>
          <w:bCs/>
          <w:kern w:val="0"/>
          <w:sz w:val="21"/>
          <w:szCs w:val="21"/>
          <w:lang w:eastAsia="zh-CN"/>
        </w:rPr>
        <w:t>验收合格后15个工作日内，按照经</w:t>
      </w:r>
      <w:r>
        <w:rPr>
          <w:rFonts w:hint="eastAsia" w:ascii="宋体" w:hAnsi="宋体" w:eastAsia="宋体" w:cs="宋体"/>
          <w:bCs/>
          <w:kern w:val="0"/>
          <w:sz w:val="21"/>
          <w:szCs w:val="21"/>
          <w:lang w:val="en-US" w:eastAsia="zh-CN"/>
        </w:rPr>
        <w:t>采购人</w:t>
      </w:r>
      <w:r>
        <w:rPr>
          <w:rFonts w:hint="eastAsia" w:ascii="宋体" w:hAnsi="宋体" w:eastAsia="宋体" w:cs="宋体"/>
          <w:bCs/>
          <w:kern w:val="0"/>
          <w:sz w:val="21"/>
          <w:szCs w:val="21"/>
          <w:lang w:eastAsia="zh-CN"/>
        </w:rPr>
        <w:t>验收合格的工作内容，据实结算余款，未经验收合格的服务内容按</w:t>
      </w:r>
      <w:r>
        <w:rPr>
          <w:rFonts w:hint="eastAsia" w:ascii="宋体" w:hAnsi="宋体" w:eastAsia="宋体" w:cs="宋体"/>
          <w:bCs/>
          <w:kern w:val="0"/>
          <w:sz w:val="21"/>
          <w:szCs w:val="21"/>
          <w:lang w:val="en-US" w:eastAsia="zh-CN"/>
        </w:rPr>
        <w:t>合同</w:t>
      </w:r>
      <w:r>
        <w:rPr>
          <w:rFonts w:hint="eastAsia" w:ascii="宋体" w:hAnsi="宋体" w:eastAsia="宋体" w:cs="宋体"/>
          <w:bCs/>
          <w:kern w:val="0"/>
          <w:sz w:val="21"/>
          <w:szCs w:val="21"/>
          <w:lang w:eastAsia="zh-CN"/>
        </w:rPr>
        <w:t>约定扣除。</w:t>
      </w:r>
    </w:p>
    <w:p w14:paraId="48AC2DBA">
      <w:pPr>
        <w:pStyle w:val="10"/>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（四）验收：</w:t>
      </w:r>
      <w:r>
        <w:rPr>
          <w:rFonts w:hint="eastAsia" w:ascii="宋体" w:hAnsi="宋体" w:eastAsia="宋体" w:cs="宋体"/>
          <w:bCs/>
          <w:kern w:val="0"/>
          <w:sz w:val="21"/>
          <w:szCs w:val="21"/>
          <w:lang w:eastAsia="zh-CN"/>
        </w:rPr>
        <w:t>为完成验收，甲方有权委托第三方进行评估审核，乙方应当予以配合。</w:t>
      </w:r>
    </w:p>
    <w:p w14:paraId="267D7082">
      <w:pPr>
        <w:pStyle w:val="10"/>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（五）</w:t>
      </w:r>
      <w:r>
        <w:rPr>
          <w:rFonts w:hint="eastAsia" w:ascii="宋体" w:hAnsi="宋体" w:eastAsia="宋体" w:cs="宋体"/>
          <w:bCs/>
          <w:kern w:val="0"/>
          <w:sz w:val="21"/>
          <w:szCs w:val="21"/>
          <w:lang w:eastAsia="zh-CN"/>
        </w:rPr>
        <w:t>磋商响应</w:t>
      </w:r>
      <w:r>
        <w:rPr>
          <w:rFonts w:hint="eastAsia" w:ascii="宋体" w:hAnsi="宋体" w:eastAsia="宋体" w:cs="宋体"/>
          <w:bCs/>
          <w:kern w:val="0"/>
          <w:sz w:val="21"/>
          <w:szCs w:val="21"/>
          <w:lang w:val="en-US" w:eastAsia="zh-CN"/>
        </w:rPr>
        <w:t>文件</w:t>
      </w:r>
      <w:r>
        <w:rPr>
          <w:rFonts w:hint="eastAsia" w:ascii="宋体" w:hAnsi="宋体" w:eastAsia="宋体" w:cs="宋体"/>
          <w:bCs/>
          <w:kern w:val="0"/>
          <w:sz w:val="21"/>
          <w:szCs w:val="21"/>
          <w:lang w:eastAsia="zh-CN"/>
        </w:rPr>
        <w:t>有效期：磋商响应有效期为90天，磋商响应有效期从提交磋商响应文件的截止之日起算。</w:t>
      </w:r>
    </w:p>
    <w:p w14:paraId="06035D76">
      <w:pPr>
        <w:pStyle w:val="10"/>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（六）履约保证金：1.</w:t>
      </w:r>
      <w:r>
        <w:rPr>
          <w:rFonts w:hint="eastAsia" w:ascii="宋体" w:hAnsi="宋体" w:eastAsia="宋体" w:cs="宋体"/>
          <w:bCs/>
          <w:kern w:val="0"/>
          <w:sz w:val="21"/>
          <w:szCs w:val="21"/>
          <w:lang w:eastAsia="zh-CN"/>
        </w:rPr>
        <w:t>本项目履约保证金为合同价的</w:t>
      </w: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lang w:eastAsia="zh-CN"/>
        </w:rPr>
        <w:t>鼓励供应商开展政采贷、履约保函等政府采购金融服务，供应商以银行、保险公司出具保函形式提交履约保证金的，采购单位不得拒收。</w:t>
      </w:r>
    </w:p>
    <w:p w14:paraId="42FEC42B">
      <w:pPr>
        <w:pStyle w:val="11"/>
        <w:keepNext w:val="0"/>
        <w:keepLines w:val="0"/>
        <w:pageBreakBefore w:val="0"/>
        <w:kinsoku/>
        <w:wordWrap/>
        <w:overflowPunct/>
        <w:topLinePunct w:val="0"/>
        <w:autoSpaceDE/>
        <w:autoSpaceDN/>
        <w:bidi w:val="0"/>
        <w:adjustRightInd/>
        <w:snapToGrid w:val="0"/>
        <w:spacing w:line="360" w:lineRule="auto"/>
        <w:ind w:firstLineChars="200"/>
        <w:textAlignment w:val="auto"/>
        <w:rPr>
          <w:rFonts w:ascii="宋体" w:hAnsi="宋体" w:eastAsia="宋体" w:cs="宋体"/>
          <w:bCs/>
          <w:sz w:val="21"/>
          <w:szCs w:val="21"/>
        </w:rPr>
      </w:pPr>
    </w:p>
    <w:p w14:paraId="4082F7DB">
      <w:pPr>
        <w:rPr>
          <w:rFonts w:hint="eastAsia" w:ascii="宋体" w:hAnsi="宋体" w:eastAsia="宋体" w:cs="宋体"/>
          <w:b/>
          <w:sz w:val="30"/>
          <w:szCs w:val="30"/>
        </w:rPr>
      </w:pPr>
    </w:p>
    <w:p w14:paraId="53D0CF87">
      <w:pPr>
        <w:rPr>
          <w:rFonts w:hint="eastAsia" w:ascii="宋体" w:hAnsi="宋体" w:eastAsia="宋体" w:cs="宋体"/>
          <w:b/>
          <w:sz w:val="30"/>
          <w:szCs w:val="30"/>
        </w:rPr>
      </w:pPr>
      <w:r>
        <w:rPr>
          <w:rFonts w:hint="eastAsia" w:ascii="宋体" w:hAnsi="宋体" w:eastAsia="宋体" w:cs="宋体"/>
          <w:b/>
          <w:sz w:val="30"/>
          <w:szCs w:val="30"/>
        </w:rPr>
        <w:br w:type="page"/>
      </w:r>
    </w:p>
    <w:p w14:paraId="5D0F2AE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ascii="宋体" w:hAnsi="宋体" w:eastAsia="宋体" w:cs="宋体"/>
          <w:b/>
          <w:sz w:val="30"/>
          <w:szCs w:val="30"/>
        </w:rPr>
      </w:pPr>
      <w:r>
        <w:rPr>
          <w:rFonts w:hint="eastAsia" w:ascii="宋体" w:hAnsi="宋体" w:eastAsia="宋体" w:cs="宋体"/>
          <w:b/>
          <w:sz w:val="30"/>
          <w:szCs w:val="30"/>
        </w:rPr>
        <w:t>第四部分 评标办法及评分标准</w:t>
      </w:r>
      <w:bookmarkEnd w:id="20"/>
    </w:p>
    <w:bookmarkEnd w:id="21"/>
    <w:p w14:paraId="5B1D179E">
      <w:pPr>
        <w:keepNext w:val="0"/>
        <w:keepLines w:val="0"/>
        <w:pageBreakBefore w:val="0"/>
        <w:widowControl w:val="0"/>
        <w:shd w:val="clear" w:color="auto" w:fill="FFFFFF"/>
        <w:kinsoku/>
        <w:wordWrap/>
        <w:overflowPunct/>
        <w:topLinePunct w:val="0"/>
        <w:autoSpaceDE/>
        <w:autoSpaceDN/>
        <w:bidi w:val="0"/>
        <w:adjustRightInd/>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一、采购组织机构将组织磋商小组，磋商小组由3人以上单数组成，其中技术专家不少于三分之二，对供应商提供的磋商响应文件进行综合评审。</w:t>
      </w:r>
    </w:p>
    <w:p w14:paraId="2CE8ED3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rPr>
          <w:rFonts w:ascii="宋体" w:hAnsi="宋体" w:eastAsia="宋体" w:cs="宋体"/>
          <w:sz w:val="21"/>
          <w:szCs w:val="21"/>
        </w:rPr>
      </w:pPr>
      <w:r>
        <w:rPr>
          <w:rFonts w:hint="eastAsia" w:ascii="宋体" w:hAnsi="宋体" w:eastAsia="宋体" w:cs="宋体"/>
          <w:bCs/>
          <w:kern w:val="0"/>
          <w:sz w:val="21"/>
          <w:szCs w:val="21"/>
          <w:lang w:val="zh-CN"/>
        </w:rPr>
        <w:t>二、本次磋商项目的评审方法为</w:t>
      </w:r>
      <w:r>
        <w:rPr>
          <w:rFonts w:hint="eastAsia" w:ascii="宋体" w:hAnsi="宋体" w:eastAsia="宋体" w:cs="宋体"/>
          <w:b/>
          <w:kern w:val="0"/>
          <w:sz w:val="21"/>
          <w:szCs w:val="21"/>
          <w:lang w:val="zh-CN"/>
        </w:rPr>
        <w:t>综合评分法</w:t>
      </w:r>
      <w:r>
        <w:rPr>
          <w:rFonts w:hint="eastAsia" w:ascii="宋体" w:hAnsi="宋体" w:eastAsia="宋体" w:cs="宋体"/>
          <w:bCs/>
          <w:kern w:val="0"/>
          <w:sz w:val="21"/>
          <w:szCs w:val="21"/>
          <w:lang w:val="zh-CN"/>
        </w:rPr>
        <w:t>，总计100分</w:t>
      </w:r>
      <w:r>
        <w:rPr>
          <w:rFonts w:hint="eastAsia" w:ascii="宋体" w:hAnsi="宋体" w:eastAsia="宋体" w:cs="宋体"/>
          <w:bCs/>
          <w:sz w:val="21"/>
          <w:szCs w:val="21"/>
          <w:lang w:val="zh-CN"/>
        </w:rPr>
        <w:t>（商务与技术文件为</w:t>
      </w:r>
      <w:r>
        <w:rPr>
          <w:rFonts w:hint="eastAsia" w:ascii="宋体" w:hAnsi="宋体" w:eastAsia="宋体" w:cs="宋体"/>
          <w:b/>
          <w:sz w:val="21"/>
          <w:szCs w:val="21"/>
          <w:lang w:val="en-US" w:eastAsia="zh-CN"/>
        </w:rPr>
        <w:t>8</w:t>
      </w:r>
      <w:r>
        <w:rPr>
          <w:rFonts w:hint="eastAsia" w:ascii="宋体" w:hAnsi="宋体" w:eastAsia="宋体" w:cs="宋体"/>
          <w:b/>
          <w:sz w:val="21"/>
          <w:szCs w:val="21"/>
        </w:rPr>
        <w:t>0</w:t>
      </w:r>
      <w:r>
        <w:rPr>
          <w:rFonts w:hint="eastAsia" w:ascii="宋体" w:hAnsi="宋体" w:eastAsia="宋体" w:cs="宋体"/>
          <w:bCs/>
          <w:sz w:val="21"/>
          <w:szCs w:val="21"/>
          <w:lang w:val="zh-CN"/>
        </w:rPr>
        <w:t>分，报价文件为</w:t>
      </w:r>
      <w:r>
        <w:rPr>
          <w:rFonts w:hint="eastAsia" w:ascii="宋体" w:hAnsi="宋体" w:eastAsia="宋体" w:cs="宋体"/>
          <w:b/>
          <w:sz w:val="21"/>
          <w:szCs w:val="21"/>
          <w:lang w:val="en-US" w:eastAsia="zh-CN"/>
        </w:rPr>
        <w:t>2</w:t>
      </w:r>
      <w:r>
        <w:rPr>
          <w:rFonts w:ascii="宋体" w:hAnsi="宋体" w:eastAsia="宋体" w:cs="宋体"/>
          <w:b/>
          <w:sz w:val="21"/>
          <w:szCs w:val="21"/>
        </w:rPr>
        <w:t>0</w:t>
      </w:r>
      <w:r>
        <w:rPr>
          <w:rFonts w:hint="eastAsia" w:ascii="宋体" w:hAnsi="宋体" w:eastAsia="宋体" w:cs="宋体"/>
          <w:bCs/>
          <w:sz w:val="21"/>
          <w:szCs w:val="21"/>
          <w:lang w:val="zh-CN"/>
        </w:rPr>
        <w:t>分）</w:t>
      </w:r>
      <w:r>
        <w:rPr>
          <w:rFonts w:hint="eastAsia" w:ascii="宋体" w:hAnsi="宋体" w:eastAsia="宋体" w:cs="宋体"/>
          <w:sz w:val="21"/>
          <w:szCs w:val="21"/>
        </w:rPr>
        <w:t>。</w:t>
      </w:r>
    </w:p>
    <w:p w14:paraId="5B09EB69">
      <w:pPr>
        <w:keepNext w:val="0"/>
        <w:keepLines w:val="0"/>
        <w:pageBreakBefore w:val="0"/>
        <w:widowControl w:val="0"/>
        <w:shd w:val="clear" w:color="auto" w:fill="FFFFFF"/>
        <w:kinsoku/>
        <w:wordWrap/>
        <w:overflowPunct/>
        <w:topLinePunct w:val="0"/>
        <w:autoSpaceDE/>
        <w:autoSpaceDN/>
        <w:bidi w:val="0"/>
        <w:adjustRightInd/>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（一）商务与技术文件中的客观分由磋商小组讨论后统一打分；其余在规定的分值内单独评定打分。</w:t>
      </w:r>
    </w:p>
    <w:p w14:paraId="76977973">
      <w:pPr>
        <w:keepNext w:val="0"/>
        <w:keepLines w:val="0"/>
        <w:pageBreakBefore w:val="0"/>
        <w:widowControl w:val="0"/>
        <w:shd w:val="clear" w:color="auto" w:fill="FFFFFF"/>
        <w:kinsoku/>
        <w:wordWrap/>
        <w:overflowPunct/>
        <w:topLinePunct w:val="0"/>
        <w:autoSpaceDE/>
        <w:autoSpaceDN/>
        <w:bidi w:val="0"/>
        <w:adjustRightInd/>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（二）各磋商供应商商务与技术文件得分按照磋商小组成员的独立评分结果汇总后的算术平均分计算，计算公式为：</w:t>
      </w:r>
    </w:p>
    <w:p w14:paraId="3BF76123">
      <w:pPr>
        <w:keepNext w:val="0"/>
        <w:keepLines w:val="0"/>
        <w:pageBreakBefore w:val="0"/>
        <w:widowControl w:val="0"/>
        <w:shd w:val="clear" w:color="auto" w:fill="FFFFFF"/>
        <w:kinsoku/>
        <w:wordWrap/>
        <w:overflowPunct/>
        <w:topLinePunct w:val="0"/>
        <w:autoSpaceDE/>
        <w:autoSpaceDN/>
        <w:bidi w:val="0"/>
        <w:adjustRightInd/>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商务与技术文件得分=磋商小组所有成员评分合计数/磋商小组组成人员数。</w:t>
      </w:r>
    </w:p>
    <w:p w14:paraId="01B8C0EF">
      <w:pPr>
        <w:keepNext w:val="0"/>
        <w:keepLines w:val="0"/>
        <w:pageBreakBefore w:val="0"/>
        <w:widowControl w:val="0"/>
        <w:shd w:val="clear" w:color="auto" w:fill="FFFFFF"/>
        <w:kinsoku/>
        <w:wordWrap/>
        <w:overflowPunct/>
        <w:topLinePunct w:val="0"/>
        <w:autoSpaceDE/>
        <w:autoSpaceDN/>
        <w:bidi w:val="0"/>
        <w:adjustRightInd/>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（三）综合评分法中的价格分统一采用低价优先法计算，即满足磋商文件要求且最后报价最低的供应商的价格作为磋商基准价，其报价得满分。其他供应商的价格分统一按照下列公式计算：</w:t>
      </w:r>
    </w:p>
    <w:p w14:paraId="1010F189">
      <w:pPr>
        <w:keepNext w:val="0"/>
        <w:keepLines w:val="0"/>
        <w:pageBreakBefore w:val="0"/>
        <w:widowControl w:val="0"/>
        <w:shd w:val="clear" w:color="auto" w:fill="FFFFFF"/>
        <w:kinsoku/>
        <w:wordWrap/>
        <w:overflowPunct/>
        <w:topLinePunct w:val="0"/>
        <w:autoSpaceDE/>
        <w:autoSpaceDN/>
        <w:bidi w:val="0"/>
        <w:adjustRightInd/>
        <w:spacing w:line="360" w:lineRule="auto"/>
        <w:ind w:firstLine="420" w:firstLineChars="200"/>
        <w:jc w:val="left"/>
        <w:textAlignment w:val="bottom"/>
        <w:rPr>
          <w:rFonts w:ascii="宋体" w:hAnsi="宋体" w:eastAsia="宋体" w:cs="宋体"/>
          <w:bCs/>
          <w:kern w:val="0"/>
          <w:sz w:val="21"/>
          <w:szCs w:val="21"/>
          <w:u w:val="single"/>
          <w:lang w:val="zh-CN"/>
        </w:rPr>
      </w:pPr>
      <w:r>
        <w:rPr>
          <w:rFonts w:hint="eastAsia" w:ascii="宋体" w:hAnsi="宋体" w:eastAsia="宋体" w:cs="宋体"/>
          <w:bCs/>
          <w:kern w:val="0"/>
          <w:sz w:val="21"/>
          <w:szCs w:val="21"/>
          <w:u w:val="single"/>
          <w:lang w:val="zh-CN"/>
        </w:rPr>
        <w:t>磋商报价得分=(磋商基准价</w:t>
      </w:r>
      <w:r>
        <w:rPr>
          <w:rFonts w:hint="eastAsia" w:ascii="宋体" w:hAnsi="宋体" w:eastAsia="宋体" w:cs="宋体"/>
          <w:bCs/>
          <w:kern w:val="0"/>
          <w:sz w:val="21"/>
          <w:szCs w:val="21"/>
          <w:u w:val="single"/>
        </w:rPr>
        <w:t>/</w:t>
      </w:r>
      <w:r>
        <w:rPr>
          <w:rFonts w:hint="eastAsia" w:ascii="宋体" w:hAnsi="宋体" w:eastAsia="宋体" w:cs="宋体"/>
          <w:bCs/>
          <w:kern w:val="0"/>
          <w:sz w:val="21"/>
          <w:szCs w:val="21"/>
          <w:u w:val="single"/>
          <w:lang w:val="zh-CN"/>
        </w:rPr>
        <w:t>最后磋商报价)×</w:t>
      </w:r>
      <w:r>
        <w:rPr>
          <w:rFonts w:hint="eastAsia" w:ascii="宋体" w:hAnsi="宋体" w:eastAsia="宋体" w:cs="宋体"/>
          <w:bCs/>
          <w:kern w:val="0"/>
          <w:sz w:val="21"/>
          <w:szCs w:val="21"/>
          <w:u w:val="single"/>
          <w:lang w:val="en-US" w:eastAsia="zh-CN"/>
        </w:rPr>
        <w:t>2</w:t>
      </w:r>
      <w:r>
        <w:rPr>
          <w:rFonts w:hint="eastAsia" w:ascii="宋体" w:hAnsi="宋体" w:eastAsia="宋体" w:cs="宋体"/>
          <w:bCs/>
          <w:kern w:val="0"/>
          <w:sz w:val="21"/>
          <w:szCs w:val="21"/>
          <w:u w:val="single"/>
        </w:rPr>
        <w:t>0</w:t>
      </w:r>
      <w:r>
        <w:rPr>
          <w:rFonts w:hint="eastAsia" w:ascii="宋体" w:hAnsi="宋体" w:eastAsia="宋体" w:cs="宋体"/>
          <w:bCs/>
          <w:kern w:val="0"/>
          <w:sz w:val="21"/>
          <w:szCs w:val="21"/>
          <w:u w:val="single"/>
          <w:lang w:val="zh-CN"/>
        </w:rPr>
        <w:t>%×100 。</w:t>
      </w:r>
    </w:p>
    <w:p w14:paraId="448D88CB">
      <w:pPr>
        <w:keepNext w:val="0"/>
        <w:keepLines w:val="0"/>
        <w:pageBreakBefore w:val="0"/>
        <w:widowControl w:val="0"/>
        <w:kinsoku/>
        <w:wordWrap/>
        <w:overflowPunct/>
        <w:topLinePunct w:val="0"/>
        <w:autoSpaceDE/>
        <w:autoSpaceDN/>
        <w:bidi w:val="0"/>
        <w:adjustRightInd/>
        <w:spacing w:line="360" w:lineRule="auto"/>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bCs/>
          <w:kern w:val="0"/>
          <w:sz w:val="21"/>
          <w:szCs w:val="21"/>
          <w:lang w:val="zh-CN"/>
        </w:rPr>
        <w:t>注：</w:t>
      </w:r>
      <w:r>
        <w:rPr>
          <w:rFonts w:hint="eastAsia" w:cs="宋体" w:asciiTheme="minorEastAsia" w:hAnsiTheme="minorEastAsia" w:eastAsiaTheme="minorEastAsia"/>
          <w:b/>
          <w:bCs/>
          <w:sz w:val="21"/>
          <w:szCs w:val="21"/>
          <w:u w:val="single"/>
          <w:lang w:val="zh-CN"/>
        </w:rPr>
        <w:t>对于投标报价明显低于成本价，且</w:t>
      </w:r>
      <w:r>
        <w:rPr>
          <w:rFonts w:hint="eastAsia" w:cs="宋体" w:asciiTheme="minorEastAsia" w:hAnsiTheme="minorEastAsia" w:eastAsiaTheme="minorEastAsia"/>
          <w:b/>
          <w:bCs/>
          <w:sz w:val="21"/>
          <w:szCs w:val="21"/>
          <w:u w:val="single"/>
        </w:rPr>
        <w:t>投标人不能合理说明原因并提供证明材料的</w:t>
      </w:r>
      <w:r>
        <w:rPr>
          <w:rFonts w:hint="eastAsia" w:cs="宋体" w:asciiTheme="minorEastAsia" w:hAnsiTheme="minorEastAsia" w:eastAsiaTheme="minorEastAsia"/>
          <w:b/>
          <w:bCs/>
          <w:sz w:val="21"/>
          <w:szCs w:val="21"/>
          <w:u w:val="single"/>
          <w:lang w:val="zh-CN"/>
        </w:rPr>
        <w:t>，</w:t>
      </w:r>
      <w:r>
        <w:rPr>
          <w:rFonts w:hint="eastAsia" w:cs="宋体" w:asciiTheme="minorEastAsia" w:hAnsiTheme="minorEastAsia" w:eastAsiaTheme="minorEastAsia"/>
          <w:b/>
          <w:bCs/>
          <w:sz w:val="21"/>
          <w:szCs w:val="21"/>
          <w:u w:val="single"/>
        </w:rPr>
        <w:t>评标</w:t>
      </w:r>
      <w:r>
        <w:rPr>
          <w:rFonts w:hint="eastAsia" w:cs="宋体" w:asciiTheme="minorEastAsia" w:hAnsiTheme="minorEastAsia" w:eastAsiaTheme="minorEastAsia"/>
          <w:b/>
          <w:bCs/>
          <w:sz w:val="21"/>
          <w:szCs w:val="21"/>
          <w:u w:val="single"/>
          <w:lang w:val="zh-CN"/>
        </w:rPr>
        <w:t>小组认为其有可能影响商品质量和不能诚信履约的</w:t>
      </w:r>
      <w:r>
        <w:rPr>
          <w:rFonts w:hint="eastAsia" w:cs="宋体" w:asciiTheme="minorEastAsia" w:hAnsiTheme="minorEastAsia" w:eastAsiaTheme="minorEastAsia"/>
          <w:b/>
          <w:bCs/>
          <w:sz w:val="21"/>
          <w:szCs w:val="21"/>
          <w:u w:val="single"/>
        </w:rPr>
        <w:t>作</w:t>
      </w:r>
      <w:r>
        <w:rPr>
          <w:rFonts w:hint="eastAsia" w:cs="宋体" w:asciiTheme="minorEastAsia" w:hAnsiTheme="minorEastAsia" w:eastAsiaTheme="minorEastAsia"/>
          <w:b/>
          <w:bCs/>
          <w:sz w:val="21"/>
          <w:szCs w:val="21"/>
          <w:u w:val="single"/>
          <w:lang w:val="zh-CN"/>
        </w:rPr>
        <w:t>无效标处理。</w:t>
      </w:r>
    </w:p>
    <w:p w14:paraId="016BD2B2">
      <w:pPr>
        <w:keepNext w:val="0"/>
        <w:keepLines w:val="0"/>
        <w:pageBreakBefore w:val="0"/>
        <w:widowControl w:val="0"/>
        <w:kinsoku/>
        <w:wordWrap/>
        <w:overflowPunct/>
        <w:topLinePunct w:val="0"/>
        <w:autoSpaceDE/>
        <w:autoSpaceDN/>
        <w:bidi w:val="0"/>
        <w:adjustRightInd/>
        <w:spacing w:line="360" w:lineRule="auto"/>
        <w:ind w:firstLine="420" w:firstLineChars="200"/>
        <w:rPr>
          <w:rFonts w:cs="宋体" w:asciiTheme="minorEastAsia" w:hAnsiTheme="minorEastAsia" w:eastAsiaTheme="minorEastAsia"/>
          <w:b/>
          <w:bCs/>
          <w:sz w:val="21"/>
          <w:szCs w:val="21"/>
          <w:lang w:val="zh-CN"/>
        </w:rPr>
      </w:pPr>
      <w:r>
        <w:rPr>
          <w:rFonts w:hint="eastAsia" w:cs="宋体" w:asciiTheme="minorEastAsia" w:hAnsiTheme="minorEastAsia" w:eastAsiaTheme="minorEastAsia"/>
          <w:sz w:val="21"/>
          <w:szCs w:val="21"/>
          <w:lang w:val="zh-CN"/>
        </w:rPr>
        <w:t>（四）政府采购政策及优惠：</w:t>
      </w:r>
      <w:r>
        <w:rPr>
          <w:rFonts w:hint="eastAsia" w:cs="宋体" w:asciiTheme="minorEastAsia" w:hAnsiTheme="minorEastAsia" w:eastAsiaTheme="minorEastAsia"/>
          <w:b/>
          <w:bCs/>
          <w:sz w:val="21"/>
          <w:szCs w:val="21"/>
          <w:lang w:val="zh-CN"/>
        </w:rPr>
        <w:t>本项目专门面向中小企业采购，价格评审时，小微企业的投标价格不作扣除。</w:t>
      </w:r>
    </w:p>
    <w:p w14:paraId="3257BD72">
      <w:pPr>
        <w:keepNext w:val="0"/>
        <w:keepLines w:val="0"/>
        <w:pageBreakBefore w:val="0"/>
        <w:widowControl w:val="0"/>
        <w:kinsoku/>
        <w:wordWrap/>
        <w:overflowPunct/>
        <w:topLinePunct w:val="0"/>
        <w:autoSpaceDE/>
        <w:autoSpaceDN/>
        <w:bidi w:val="0"/>
        <w:adjustRightInd/>
        <w:snapToGrid w:val="0"/>
        <w:spacing w:line="360" w:lineRule="auto"/>
        <w:ind w:firstLine="420"/>
        <w:rPr>
          <w:sz w:val="21"/>
          <w:szCs w:val="21"/>
          <w:lang w:val="zh-CN"/>
        </w:rPr>
      </w:pPr>
      <w:r>
        <w:rPr>
          <w:rFonts w:hint="eastAsia" w:ascii="宋体" w:hAnsi="宋体" w:eastAsia="宋体" w:cs="宋体"/>
          <w:sz w:val="21"/>
          <w:szCs w:val="21"/>
        </w:rPr>
        <w:t>注：得分以系统计算为准，保留2位小数。</w:t>
      </w:r>
    </w:p>
    <w:p w14:paraId="219DEAA2">
      <w:pPr>
        <w:keepNext w:val="0"/>
        <w:keepLines w:val="0"/>
        <w:pageBreakBefore w:val="0"/>
        <w:widowControl w:val="0"/>
        <w:shd w:val="clear" w:color="auto" w:fill="FFFFFF"/>
        <w:kinsoku/>
        <w:wordWrap/>
        <w:overflowPunct/>
        <w:topLinePunct w:val="0"/>
        <w:autoSpaceDE/>
        <w:autoSpaceDN/>
        <w:bidi w:val="0"/>
        <w:adjustRightInd/>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三、在最大限度地满足磋商文件实质性要求前提下，磋商小组按照磋商文件中规定的各项因素进行综合评审后，</w:t>
      </w:r>
      <w:r>
        <w:rPr>
          <w:rFonts w:hint="eastAsia" w:ascii="宋体" w:hAnsi="宋体" w:eastAsia="宋体" w:cs="宋体"/>
          <w:bCs/>
          <w:kern w:val="0"/>
          <w:sz w:val="21"/>
          <w:szCs w:val="21"/>
          <w:lang w:val="en-US" w:eastAsia="zh-CN"/>
        </w:rPr>
        <w:t>推荐</w:t>
      </w:r>
      <w:r>
        <w:rPr>
          <w:rFonts w:hint="eastAsia" w:ascii="宋体" w:hAnsi="宋体" w:eastAsia="宋体" w:cs="宋体"/>
          <w:bCs/>
          <w:kern w:val="0"/>
          <w:sz w:val="21"/>
          <w:szCs w:val="21"/>
          <w:lang w:val="zh-CN"/>
        </w:rPr>
        <w:t>评审总得分最高的供应商为</w:t>
      </w:r>
      <w:r>
        <w:rPr>
          <w:rFonts w:hint="eastAsia" w:ascii="宋体" w:hAnsi="宋体" w:eastAsia="宋体" w:cs="宋体"/>
          <w:bCs/>
          <w:kern w:val="0"/>
          <w:sz w:val="21"/>
          <w:szCs w:val="21"/>
          <w:lang w:val="en-US" w:eastAsia="zh-CN"/>
        </w:rPr>
        <w:t>第一</w:t>
      </w:r>
      <w:r>
        <w:rPr>
          <w:rFonts w:hint="eastAsia" w:ascii="宋体" w:hAnsi="宋体" w:eastAsia="宋体" w:cs="宋体"/>
          <w:bCs/>
          <w:kern w:val="0"/>
          <w:sz w:val="21"/>
          <w:szCs w:val="21"/>
          <w:lang w:val="zh-CN"/>
        </w:rPr>
        <w:t>成交候选供应商，</w:t>
      </w:r>
      <w:r>
        <w:rPr>
          <w:rFonts w:hint="eastAsia" w:ascii="宋体" w:hAnsi="宋体" w:eastAsia="宋体" w:cs="宋体"/>
          <w:bCs/>
          <w:kern w:val="0"/>
          <w:sz w:val="21"/>
          <w:szCs w:val="21"/>
          <w:lang w:val="en-US" w:eastAsia="zh-CN"/>
        </w:rPr>
        <w:t>推荐</w:t>
      </w:r>
      <w:r>
        <w:rPr>
          <w:rFonts w:hint="eastAsia" w:ascii="宋体" w:hAnsi="宋体" w:eastAsia="宋体" w:cs="宋体"/>
          <w:bCs/>
          <w:kern w:val="0"/>
          <w:sz w:val="21"/>
          <w:szCs w:val="21"/>
          <w:lang w:val="zh-CN"/>
        </w:rPr>
        <w:t>评审总得分</w:t>
      </w:r>
      <w:r>
        <w:rPr>
          <w:rFonts w:hint="eastAsia" w:ascii="宋体" w:hAnsi="宋体" w:eastAsia="宋体" w:cs="宋体"/>
          <w:bCs/>
          <w:kern w:val="0"/>
          <w:sz w:val="21"/>
          <w:szCs w:val="21"/>
          <w:lang w:val="en-US" w:eastAsia="zh-CN"/>
        </w:rPr>
        <w:t>次</w:t>
      </w:r>
      <w:r>
        <w:rPr>
          <w:rFonts w:hint="eastAsia" w:ascii="宋体" w:hAnsi="宋体" w:eastAsia="宋体" w:cs="宋体"/>
          <w:bCs/>
          <w:kern w:val="0"/>
          <w:sz w:val="21"/>
          <w:szCs w:val="21"/>
          <w:lang w:val="zh-CN"/>
        </w:rPr>
        <w:t>高的供应商为</w:t>
      </w:r>
      <w:r>
        <w:rPr>
          <w:rFonts w:hint="eastAsia" w:ascii="宋体" w:hAnsi="宋体" w:eastAsia="宋体" w:cs="宋体"/>
          <w:bCs/>
          <w:kern w:val="0"/>
          <w:sz w:val="21"/>
          <w:szCs w:val="21"/>
          <w:lang w:val="en-US" w:eastAsia="zh-CN"/>
        </w:rPr>
        <w:t>第二</w:t>
      </w:r>
      <w:r>
        <w:rPr>
          <w:rFonts w:hint="eastAsia" w:ascii="宋体" w:hAnsi="宋体" w:eastAsia="宋体" w:cs="宋体"/>
          <w:bCs/>
          <w:kern w:val="0"/>
          <w:sz w:val="21"/>
          <w:szCs w:val="21"/>
          <w:lang w:val="zh-CN"/>
        </w:rPr>
        <w:t>成交候选供应商，评审总得分</w:t>
      </w:r>
      <w:r>
        <w:rPr>
          <w:rFonts w:hint="eastAsia" w:ascii="宋体" w:hAnsi="宋体" w:eastAsia="宋体" w:cs="宋体"/>
          <w:bCs/>
          <w:kern w:val="0"/>
          <w:sz w:val="21"/>
          <w:szCs w:val="21"/>
          <w:lang w:val="en-US" w:eastAsia="zh-CN"/>
        </w:rPr>
        <w:t>第三</w:t>
      </w:r>
      <w:r>
        <w:rPr>
          <w:rFonts w:hint="eastAsia" w:ascii="宋体" w:hAnsi="宋体" w:eastAsia="宋体" w:cs="宋体"/>
          <w:bCs/>
          <w:kern w:val="0"/>
          <w:sz w:val="21"/>
          <w:szCs w:val="21"/>
          <w:lang w:val="zh-CN"/>
        </w:rPr>
        <w:t>高的供应商为</w:t>
      </w:r>
      <w:r>
        <w:rPr>
          <w:rFonts w:hint="eastAsia" w:ascii="宋体" w:hAnsi="宋体" w:eastAsia="宋体" w:cs="宋体"/>
          <w:bCs/>
          <w:kern w:val="0"/>
          <w:sz w:val="21"/>
          <w:szCs w:val="21"/>
          <w:lang w:val="en-US" w:eastAsia="zh-CN"/>
        </w:rPr>
        <w:t>第三</w:t>
      </w:r>
      <w:r>
        <w:rPr>
          <w:rFonts w:hint="eastAsia" w:ascii="宋体" w:hAnsi="宋体" w:eastAsia="宋体" w:cs="宋体"/>
          <w:bCs/>
          <w:kern w:val="0"/>
          <w:sz w:val="21"/>
          <w:szCs w:val="21"/>
          <w:lang w:val="zh-CN"/>
        </w:rPr>
        <w:t>成交候选供应商。</w:t>
      </w:r>
    </w:p>
    <w:p w14:paraId="70B31588">
      <w:pPr>
        <w:keepNext w:val="0"/>
        <w:keepLines w:val="0"/>
        <w:pageBreakBefore w:val="0"/>
        <w:widowControl w:val="0"/>
        <w:shd w:val="clear" w:color="auto" w:fill="FFFFFF"/>
        <w:kinsoku/>
        <w:wordWrap/>
        <w:overflowPunct/>
        <w:topLinePunct w:val="0"/>
        <w:autoSpaceDE/>
        <w:autoSpaceDN/>
        <w:bidi w:val="0"/>
        <w:adjustRightInd/>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四、如综合得分相同，最后报价低者为先；如综合得分且最后报价相同的，货物类采购项目以技术性能得分较高者为先，服务类采购项目以实力信誉及业绩得分较高者为先。</w:t>
      </w:r>
    </w:p>
    <w:p w14:paraId="6358A1E3">
      <w:pPr>
        <w:keepNext w:val="0"/>
        <w:keepLines w:val="0"/>
        <w:pageBreakBefore w:val="0"/>
        <w:widowControl w:val="0"/>
        <w:shd w:val="clear" w:color="auto" w:fill="FFFFFF"/>
        <w:kinsoku/>
        <w:wordWrap/>
        <w:overflowPunct/>
        <w:topLinePunct w:val="0"/>
        <w:autoSpaceDE/>
        <w:autoSpaceDN/>
        <w:bidi w:val="0"/>
        <w:adjustRightInd/>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五、提供相同品牌产品的不同供应商参加同一合同项下磋商的，按一家供应商认定：</w:t>
      </w:r>
    </w:p>
    <w:p w14:paraId="01714032">
      <w:pPr>
        <w:keepNext w:val="0"/>
        <w:keepLines w:val="0"/>
        <w:pageBreakBefore w:val="0"/>
        <w:widowControl w:val="0"/>
        <w:shd w:val="clear" w:color="auto" w:fill="FFFFFF"/>
        <w:kinsoku/>
        <w:wordWrap/>
        <w:overflowPunct/>
        <w:topLinePunct w:val="0"/>
        <w:autoSpaceDE/>
        <w:autoSpaceDN/>
        <w:bidi w:val="0"/>
        <w:adjustRightInd/>
        <w:spacing w:line="360" w:lineRule="auto"/>
        <w:ind w:firstLine="420" w:firstLineChars="200"/>
        <w:jc w:val="left"/>
        <w:textAlignment w:val="bottom"/>
        <w:rPr>
          <w:rFonts w:ascii="宋体" w:hAnsi="宋体" w:eastAsia="宋体" w:cs="宋体"/>
          <w:bCs/>
          <w:kern w:val="0"/>
          <w:sz w:val="21"/>
          <w:szCs w:val="21"/>
          <w:lang w:val="zh-CN"/>
        </w:rPr>
      </w:pPr>
      <w:r>
        <w:rPr>
          <w:rFonts w:hint="eastAsia" w:ascii="宋体" w:hAnsi="宋体" w:eastAsia="宋体" w:cs="宋体"/>
          <w:bCs/>
          <w:kern w:val="0"/>
          <w:sz w:val="21"/>
          <w:szCs w:val="21"/>
          <w:lang w:val="zh-CN"/>
        </w:rPr>
        <w:t>（1）采用最低评标价法的采购项目，以其中通过资格审查、符合性审查且报价最低的参加评标；报价相同的，由磋商小组集体确定一个供应商参加磋商，其他供应商不再参加。</w:t>
      </w:r>
    </w:p>
    <w:p w14:paraId="45288854">
      <w:pPr>
        <w:keepNext w:val="0"/>
        <w:keepLines w:val="0"/>
        <w:pageBreakBefore w:val="0"/>
        <w:widowControl w:val="0"/>
        <w:shd w:val="clear" w:color="auto" w:fill="FFFFFF"/>
        <w:kinsoku/>
        <w:wordWrap/>
        <w:overflowPunct/>
        <w:topLinePunct w:val="0"/>
        <w:autoSpaceDE/>
        <w:autoSpaceDN/>
        <w:bidi w:val="0"/>
        <w:adjustRightInd/>
        <w:spacing w:line="360" w:lineRule="auto"/>
        <w:ind w:firstLine="420" w:firstLineChars="200"/>
        <w:jc w:val="left"/>
        <w:textAlignment w:val="bottom"/>
        <w:rPr>
          <w:rFonts w:ascii="宋体" w:hAnsi="宋体" w:eastAsia="宋体" w:cs="宋体"/>
          <w:bCs/>
          <w:color w:val="FF0000"/>
          <w:kern w:val="0"/>
          <w:sz w:val="21"/>
          <w:szCs w:val="21"/>
          <w:lang w:val="zh-CN"/>
        </w:rPr>
      </w:pPr>
      <w:r>
        <w:rPr>
          <w:rFonts w:hint="eastAsia" w:ascii="宋体" w:hAnsi="宋体" w:eastAsia="宋体" w:cs="宋体"/>
          <w:bCs/>
          <w:kern w:val="0"/>
          <w:sz w:val="21"/>
          <w:szCs w:val="21"/>
          <w:lang w:val="zh-CN"/>
        </w:rPr>
        <w:t>（2）使用综合评分法的采购项目，评审后得分最高的同品牌供应商获得成交推荐资格；评审得分相同的，由磋商小组集体推荐一个供应商作为成交候选人，其他同品牌供应商不作为成交候选人。</w:t>
      </w:r>
    </w:p>
    <w:p w14:paraId="295BE465">
      <w:pPr>
        <w:rPr>
          <w:rFonts w:ascii="宋体" w:hAnsi="宋体" w:eastAsia="宋体" w:cs="宋体"/>
          <w:b/>
          <w:kern w:val="0"/>
          <w:sz w:val="21"/>
          <w:szCs w:val="21"/>
          <w:lang w:val="zh-CN"/>
        </w:rPr>
      </w:pPr>
      <w:r>
        <w:rPr>
          <w:rFonts w:hint="eastAsia" w:ascii="宋体" w:hAnsi="宋体" w:eastAsia="宋体" w:cs="宋体"/>
          <w:b/>
          <w:kern w:val="0"/>
          <w:sz w:val="21"/>
          <w:szCs w:val="21"/>
          <w:lang w:val="zh-CN"/>
        </w:rPr>
        <w:t>六、本次评分具体分值细化条款如下表：</w:t>
      </w:r>
      <w:r>
        <w:rPr>
          <w:rFonts w:hint="eastAsia" w:ascii="宋体" w:hAnsi="宋体" w:eastAsia="宋体" w:cs="宋体"/>
          <w:b/>
          <w:kern w:val="0"/>
          <w:sz w:val="21"/>
          <w:szCs w:val="21"/>
          <w:lang w:val="zh-CN"/>
        </w:rPr>
        <w:br w:type="page"/>
      </w:r>
    </w:p>
    <w:tbl>
      <w:tblPr>
        <w:tblStyle w:val="29"/>
        <w:tblpPr w:leftFromText="180" w:rightFromText="180" w:vertAnchor="text" w:horzAnchor="page" w:tblpX="1446" w:tblpY="409"/>
        <w:tblOverlap w:val="never"/>
        <w:tblW w:w="9717"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33"/>
        <w:gridCol w:w="1067"/>
        <w:gridCol w:w="7251"/>
        <w:gridCol w:w="766"/>
      </w:tblGrid>
      <w:tr w14:paraId="04FB40B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4" w:hRule="atLeast"/>
        </w:trPr>
        <w:tc>
          <w:tcPr>
            <w:tcW w:w="633" w:type="dxa"/>
            <w:tcBorders>
              <w:top w:val="single" w:color="auto" w:sz="12" w:space="0"/>
              <w:left w:val="single" w:color="auto" w:sz="12" w:space="0"/>
              <w:bottom w:val="single" w:color="auto" w:sz="4" w:space="0"/>
              <w:right w:val="single" w:color="auto" w:sz="4" w:space="0"/>
            </w:tcBorders>
            <w:vAlign w:val="center"/>
          </w:tcPr>
          <w:p w14:paraId="56C9C7EA">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序号</w:t>
            </w:r>
          </w:p>
        </w:tc>
        <w:tc>
          <w:tcPr>
            <w:tcW w:w="1067" w:type="dxa"/>
            <w:tcBorders>
              <w:top w:val="single" w:color="auto" w:sz="12" w:space="0"/>
              <w:left w:val="single" w:color="auto" w:sz="4" w:space="0"/>
              <w:bottom w:val="single" w:color="auto" w:sz="4" w:space="0"/>
              <w:right w:val="single" w:color="auto" w:sz="4" w:space="0"/>
            </w:tcBorders>
            <w:vAlign w:val="center"/>
          </w:tcPr>
          <w:p w14:paraId="02B8869C">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类型</w:t>
            </w:r>
          </w:p>
        </w:tc>
        <w:tc>
          <w:tcPr>
            <w:tcW w:w="7251" w:type="dxa"/>
            <w:tcBorders>
              <w:top w:val="single" w:color="auto" w:sz="12" w:space="0"/>
              <w:left w:val="single" w:color="auto" w:sz="4" w:space="0"/>
              <w:bottom w:val="single" w:color="auto" w:sz="4" w:space="0"/>
              <w:right w:val="single" w:color="auto" w:sz="4" w:space="0"/>
            </w:tcBorders>
            <w:vAlign w:val="center"/>
          </w:tcPr>
          <w:p w14:paraId="724C0DA2">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评分标准（电子磋商响应文件中提供的证明材料（证书、合同等）应清晰可辨，如无法辨识，将不予给分。）</w:t>
            </w:r>
          </w:p>
        </w:tc>
        <w:tc>
          <w:tcPr>
            <w:tcW w:w="766" w:type="dxa"/>
            <w:tcBorders>
              <w:top w:val="single" w:color="auto" w:sz="12" w:space="0"/>
              <w:left w:val="single" w:color="auto" w:sz="4" w:space="0"/>
              <w:bottom w:val="single" w:color="auto" w:sz="4" w:space="0"/>
              <w:right w:val="single" w:color="auto" w:sz="12" w:space="0"/>
            </w:tcBorders>
            <w:vAlign w:val="center"/>
          </w:tcPr>
          <w:p w14:paraId="1FDDB2A5">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分值</w:t>
            </w:r>
          </w:p>
          <w:p w14:paraId="48CC401C">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权重</w:t>
            </w:r>
          </w:p>
        </w:tc>
      </w:tr>
      <w:tr w14:paraId="3760F15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94" w:hRule="atLeast"/>
        </w:trPr>
        <w:tc>
          <w:tcPr>
            <w:tcW w:w="9717" w:type="dxa"/>
            <w:gridSpan w:val="4"/>
            <w:tcBorders>
              <w:top w:val="single" w:color="auto" w:sz="12" w:space="0"/>
              <w:left w:val="single" w:color="auto" w:sz="12" w:space="0"/>
              <w:bottom w:val="single" w:color="auto" w:sz="4" w:space="0"/>
              <w:right w:val="single" w:color="auto" w:sz="12" w:space="0"/>
            </w:tcBorders>
            <w:vAlign w:val="center"/>
          </w:tcPr>
          <w:p w14:paraId="75D6B709">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商务技术文件（</w:t>
            </w:r>
            <w:r>
              <w:rPr>
                <w:rFonts w:hint="eastAsia" w:ascii="宋体" w:hAnsi="宋体" w:eastAsia="宋体" w:cs="宋体"/>
                <w:bCs/>
                <w:kern w:val="0"/>
                <w:sz w:val="21"/>
                <w:szCs w:val="21"/>
                <w:lang w:val="en-US" w:eastAsia="zh-CN"/>
              </w:rPr>
              <w:t>8</w:t>
            </w:r>
            <w:r>
              <w:rPr>
                <w:rFonts w:hint="eastAsia" w:ascii="宋体" w:hAnsi="宋体" w:eastAsia="宋体" w:cs="宋体"/>
                <w:bCs/>
                <w:kern w:val="0"/>
                <w:sz w:val="21"/>
                <w:szCs w:val="21"/>
                <w:lang w:val="zh-CN"/>
              </w:rPr>
              <w:t>0分）</w:t>
            </w:r>
          </w:p>
        </w:tc>
      </w:tr>
      <w:tr w14:paraId="3D0770B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76" w:hRule="atLeast"/>
        </w:trPr>
        <w:tc>
          <w:tcPr>
            <w:tcW w:w="633" w:type="dxa"/>
            <w:tcBorders>
              <w:top w:val="single" w:color="auto" w:sz="4" w:space="0"/>
              <w:left w:val="single" w:color="auto" w:sz="12" w:space="0"/>
              <w:bottom w:val="single" w:color="auto" w:sz="4" w:space="0"/>
              <w:right w:val="single" w:color="auto" w:sz="4" w:space="0"/>
            </w:tcBorders>
            <w:vAlign w:val="center"/>
          </w:tcPr>
          <w:p w14:paraId="1573790A">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1</w:t>
            </w:r>
          </w:p>
        </w:tc>
        <w:tc>
          <w:tcPr>
            <w:tcW w:w="1067" w:type="dxa"/>
            <w:tcBorders>
              <w:top w:val="single" w:color="auto" w:sz="4" w:space="0"/>
              <w:left w:val="single" w:color="auto" w:sz="4" w:space="0"/>
              <w:bottom w:val="single" w:color="auto" w:sz="4" w:space="0"/>
              <w:right w:val="single" w:color="auto" w:sz="4" w:space="0"/>
            </w:tcBorders>
            <w:vAlign w:val="center"/>
          </w:tcPr>
          <w:p w14:paraId="42E1C37C">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投标供应商综合实力</w:t>
            </w:r>
          </w:p>
        </w:tc>
        <w:tc>
          <w:tcPr>
            <w:tcW w:w="7251" w:type="dxa"/>
            <w:tcBorders>
              <w:top w:val="single" w:color="auto" w:sz="4" w:space="0"/>
              <w:left w:val="single" w:color="auto" w:sz="4" w:space="0"/>
              <w:bottom w:val="single" w:color="auto" w:sz="4" w:space="0"/>
              <w:right w:val="single" w:color="auto" w:sz="4" w:space="0"/>
            </w:tcBorders>
            <w:vAlign w:val="center"/>
          </w:tcPr>
          <w:p w14:paraId="709DC97A">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根据投标供应商综合实力</w:t>
            </w:r>
            <w:r>
              <w:rPr>
                <w:rFonts w:hint="eastAsia" w:ascii="宋体" w:hAnsi="宋体" w:eastAsia="宋体" w:cs="宋体"/>
                <w:bCs/>
                <w:kern w:val="0"/>
                <w:sz w:val="21"/>
                <w:szCs w:val="21"/>
                <w:lang w:val="zh-CN"/>
              </w:rPr>
              <w:t>，</w:t>
            </w:r>
            <w:r>
              <w:rPr>
                <w:rFonts w:hint="eastAsia" w:ascii="宋体" w:hAnsi="宋体" w:eastAsia="宋体" w:cs="宋体"/>
                <w:bCs/>
                <w:kern w:val="0"/>
                <w:sz w:val="21"/>
                <w:szCs w:val="21"/>
                <w:lang w:val="en-US" w:eastAsia="zh-CN"/>
              </w:rPr>
              <w:t>从有效期内的权威认证证书、信誉、企业状况等进行综合评分，打分区间：0,1,2,3,4,5</w:t>
            </w:r>
            <w:r>
              <w:rPr>
                <w:rFonts w:hint="eastAsia" w:ascii="宋体" w:hAnsi="宋体" w:eastAsia="宋体" w:cs="宋体"/>
                <w:bCs/>
                <w:kern w:val="0"/>
                <w:sz w:val="21"/>
                <w:szCs w:val="21"/>
                <w:lang w:val="zh-CN"/>
              </w:rPr>
              <w:t>。</w:t>
            </w:r>
          </w:p>
          <w:p w14:paraId="26E9D44E">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【须提供</w:t>
            </w:r>
            <w:r>
              <w:rPr>
                <w:rFonts w:hint="eastAsia" w:ascii="宋体" w:hAnsi="宋体" w:eastAsia="宋体" w:cs="宋体"/>
                <w:bCs/>
                <w:kern w:val="0"/>
                <w:sz w:val="21"/>
                <w:szCs w:val="21"/>
                <w:lang w:val="en-US" w:eastAsia="zh-CN"/>
              </w:rPr>
              <w:t>相关证书扫描件</w:t>
            </w:r>
            <w:r>
              <w:rPr>
                <w:rFonts w:hint="eastAsia" w:ascii="宋体" w:hAnsi="宋体" w:eastAsia="宋体" w:cs="宋体"/>
                <w:bCs/>
                <w:kern w:val="0"/>
                <w:sz w:val="21"/>
                <w:szCs w:val="21"/>
                <w:lang w:val="zh-CN"/>
              </w:rPr>
              <w:t>并加盖投标供应商公章】。</w:t>
            </w:r>
          </w:p>
        </w:tc>
        <w:tc>
          <w:tcPr>
            <w:tcW w:w="766" w:type="dxa"/>
            <w:tcBorders>
              <w:top w:val="single" w:color="auto" w:sz="4" w:space="0"/>
              <w:left w:val="single" w:color="auto" w:sz="4" w:space="0"/>
              <w:bottom w:val="single" w:color="auto" w:sz="4" w:space="0"/>
              <w:right w:val="single" w:color="auto" w:sz="12" w:space="0"/>
            </w:tcBorders>
            <w:vAlign w:val="center"/>
          </w:tcPr>
          <w:p w14:paraId="6DAB8565">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default" w:ascii="宋体" w:hAnsi="宋体" w:eastAsia="宋体" w:cs="宋体"/>
                <w:bCs/>
                <w:color w:val="FF0000"/>
                <w:kern w:val="0"/>
                <w:sz w:val="21"/>
                <w:szCs w:val="21"/>
                <w:lang w:val="en-US" w:eastAsia="zh-CN"/>
              </w:rPr>
            </w:pPr>
            <w:r>
              <w:rPr>
                <w:rFonts w:hint="eastAsia" w:ascii="宋体" w:hAnsi="宋体" w:eastAsia="宋体" w:cs="宋体"/>
                <w:bCs/>
                <w:color w:val="auto"/>
                <w:kern w:val="0"/>
                <w:sz w:val="21"/>
                <w:szCs w:val="21"/>
                <w:lang w:val="en-US" w:eastAsia="zh-CN"/>
              </w:rPr>
              <w:t>5分</w:t>
            </w:r>
          </w:p>
        </w:tc>
      </w:tr>
      <w:tr w14:paraId="619494E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645" w:hRule="atLeast"/>
        </w:trPr>
        <w:tc>
          <w:tcPr>
            <w:tcW w:w="633" w:type="dxa"/>
            <w:tcBorders>
              <w:top w:val="single" w:color="auto" w:sz="4" w:space="0"/>
              <w:left w:val="single" w:color="auto" w:sz="12" w:space="0"/>
              <w:bottom w:val="single" w:color="auto" w:sz="4" w:space="0"/>
              <w:right w:val="single" w:color="auto" w:sz="4" w:space="0"/>
            </w:tcBorders>
            <w:vAlign w:val="center"/>
          </w:tcPr>
          <w:p w14:paraId="50760D52">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zh-CN"/>
              </w:rPr>
              <w:t>2</w:t>
            </w:r>
          </w:p>
        </w:tc>
        <w:tc>
          <w:tcPr>
            <w:tcW w:w="1067" w:type="dxa"/>
            <w:tcBorders>
              <w:top w:val="single" w:color="auto" w:sz="4" w:space="0"/>
              <w:left w:val="single" w:color="auto" w:sz="4" w:space="0"/>
              <w:bottom w:val="single" w:color="auto" w:sz="4" w:space="0"/>
              <w:right w:val="single" w:color="auto" w:sz="4" w:space="0"/>
            </w:tcBorders>
            <w:vAlign w:val="center"/>
          </w:tcPr>
          <w:p w14:paraId="3C52FE36">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zh-CN"/>
              </w:rPr>
              <w:t>项目负责人情况</w:t>
            </w:r>
          </w:p>
        </w:tc>
        <w:tc>
          <w:tcPr>
            <w:tcW w:w="7251" w:type="dxa"/>
            <w:tcBorders>
              <w:top w:val="single" w:color="auto" w:sz="4" w:space="0"/>
              <w:left w:val="single" w:color="auto" w:sz="4" w:space="0"/>
              <w:bottom w:val="single" w:color="auto" w:sz="4" w:space="0"/>
              <w:right w:val="single" w:color="auto" w:sz="4" w:space="0"/>
            </w:tcBorders>
            <w:vAlign w:val="center"/>
          </w:tcPr>
          <w:p w14:paraId="15626FB5">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zh-CN"/>
              </w:rPr>
              <w:t>拟派项目负责人在单位担任总监及以上级别，有8年以上从事相关产业研究或招商相关项目经验的得5分</w:t>
            </w:r>
            <w:r>
              <w:rPr>
                <w:rFonts w:hint="eastAsia" w:ascii="宋体" w:hAnsi="宋体" w:eastAsia="宋体" w:cs="宋体"/>
                <w:bCs/>
                <w:kern w:val="0"/>
                <w:sz w:val="21"/>
                <w:szCs w:val="21"/>
                <w:lang w:val="zh-CN" w:eastAsia="zh-CN"/>
              </w:rPr>
              <w:t>；</w:t>
            </w:r>
            <w:r>
              <w:rPr>
                <w:rFonts w:hint="eastAsia" w:ascii="宋体" w:hAnsi="宋体" w:eastAsia="宋体" w:cs="宋体"/>
                <w:bCs/>
                <w:kern w:val="0"/>
                <w:sz w:val="21"/>
                <w:szCs w:val="21"/>
                <w:lang w:val="zh-CN"/>
              </w:rPr>
              <w:t>有</w:t>
            </w:r>
            <w:r>
              <w:rPr>
                <w:rFonts w:hint="eastAsia" w:ascii="宋体" w:hAnsi="宋体" w:eastAsia="宋体" w:cs="宋体"/>
                <w:bCs/>
                <w:kern w:val="0"/>
                <w:sz w:val="21"/>
                <w:szCs w:val="21"/>
                <w:lang w:val="en-US" w:eastAsia="zh-CN"/>
              </w:rPr>
              <w:t>5</w:t>
            </w:r>
            <w:r>
              <w:rPr>
                <w:rFonts w:hint="eastAsia" w:ascii="宋体" w:hAnsi="宋体" w:eastAsia="宋体" w:cs="宋体"/>
                <w:bCs/>
                <w:kern w:val="0"/>
                <w:sz w:val="21"/>
                <w:szCs w:val="21"/>
                <w:lang w:val="zh-CN"/>
              </w:rPr>
              <w:t>年以上从事相关产业研究或招商相关项目经验的得</w:t>
            </w:r>
            <w:r>
              <w:rPr>
                <w:rFonts w:hint="eastAsia" w:ascii="宋体" w:hAnsi="宋体" w:eastAsia="宋体" w:cs="宋体"/>
                <w:bCs/>
                <w:kern w:val="0"/>
                <w:sz w:val="21"/>
                <w:szCs w:val="21"/>
                <w:lang w:val="en-US" w:eastAsia="zh-CN"/>
              </w:rPr>
              <w:t>3</w:t>
            </w:r>
            <w:r>
              <w:rPr>
                <w:rFonts w:hint="eastAsia" w:ascii="宋体" w:hAnsi="宋体" w:eastAsia="宋体" w:cs="宋体"/>
                <w:bCs/>
                <w:kern w:val="0"/>
                <w:sz w:val="21"/>
                <w:szCs w:val="21"/>
                <w:lang w:val="zh-CN"/>
              </w:rPr>
              <w:t>分</w:t>
            </w:r>
            <w:r>
              <w:rPr>
                <w:rFonts w:hint="eastAsia" w:ascii="宋体" w:hAnsi="宋体" w:eastAsia="宋体" w:cs="宋体"/>
                <w:bCs/>
                <w:kern w:val="0"/>
                <w:sz w:val="21"/>
                <w:szCs w:val="21"/>
                <w:lang w:val="zh-CN" w:eastAsia="zh-CN"/>
              </w:rPr>
              <w:t>；</w:t>
            </w:r>
            <w:r>
              <w:rPr>
                <w:rFonts w:hint="eastAsia" w:ascii="宋体" w:hAnsi="宋体" w:eastAsia="宋体" w:cs="宋体"/>
                <w:bCs/>
                <w:kern w:val="0"/>
                <w:sz w:val="21"/>
                <w:szCs w:val="21"/>
                <w:lang w:val="zh-CN"/>
              </w:rPr>
              <w:t>有</w:t>
            </w:r>
            <w:r>
              <w:rPr>
                <w:rFonts w:hint="eastAsia" w:ascii="宋体" w:hAnsi="宋体" w:eastAsia="宋体" w:cs="宋体"/>
                <w:bCs/>
                <w:kern w:val="0"/>
                <w:sz w:val="21"/>
                <w:szCs w:val="21"/>
                <w:lang w:val="en-US" w:eastAsia="zh-CN"/>
              </w:rPr>
              <w:t>3</w:t>
            </w:r>
            <w:r>
              <w:rPr>
                <w:rFonts w:hint="eastAsia" w:ascii="宋体" w:hAnsi="宋体" w:eastAsia="宋体" w:cs="宋体"/>
                <w:bCs/>
                <w:kern w:val="0"/>
                <w:sz w:val="21"/>
                <w:szCs w:val="21"/>
                <w:lang w:val="zh-CN"/>
              </w:rPr>
              <w:t>年以上从事相关产业研究或招商相关项目经验的得</w:t>
            </w: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lang w:val="zh-CN"/>
              </w:rPr>
              <w:t>分</w:t>
            </w:r>
            <w:r>
              <w:rPr>
                <w:rFonts w:hint="eastAsia" w:ascii="宋体" w:hAnsi="宋体" w:eastAsia="宋体" w:cs="宋体"/>
                <w:bCs/>
                <w:kern w:val="0"/>
                <w:sz w:val="21"/>
                <w:szCs w:val="21"/>
                <w:lang w:val="zh-CN" w:eastAsia="zh-CN"/>
              </w:rPr>
              <w:t>；</w:t>
            </w:r>
            <w:r>
              <w:rPr>
                <w:rFonts w:hint="eastAsia" w:ascii="宋体" w:hAnsi="宋体" w:eastAsia="宋体" w:cs="宋体"/>
                <w:bCs/>
                <w:kern w:val="0"/>
                <w:sz w:val="21"/>
                <w:szCs w:val="21"/>
                <w:lang w:val="en-US" w:eastAsia="zh-CN"/>
              </w:rPr>
              <w:t>否则不得分。</w:t>
            </w:r>
          </w:p>
          <w:p w14:paraId="7A19E218">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zh-CN"/>
              </w:rPr>
              <w:t>【须提供人员简历、学历证书及社保参保证明（以当地社保部门出具的证明为准），提供</w:t>
            </w:r>
            <w:r>
              <w:rPr>
                <w:rFonts w:hint="eastAsia" w:ascii="宋体" w:hAnsi="宋体" w:eastAsia="宋体" w:cs="宋体"/>
                <w:bCs/>
                <w:kern w:val="0"/>
                <w:sz w:val="21"/>
                <w:szCs w:val="21"/>
                <w:lang w:val="en-US" w:eastAsia="zh-CN"/>
              </w:rPr>
              <w:t>扫描</w:t>
            </w:r>
            <w:r>
              <w:rPr>
                <w:rFonts w:hint="eastAsia" w:ascii="宋体" w:hAnsi="宋体" w:eastAsia="宋体" w:cs="宋体"/>
                <w:bCs/>
                <w:kern w:val="0"/>
                <w:sz w:val="21"/>
                <w:szCs w:val="21"/>
                <w:lang w:val="zh-CN"/>
              </w:rPr>
              <w:t>件并加盖投标供应商公章，有一项不符合不得分】。</w:t>
            </w:r>
          </w:p>
        </w:tc>
        <w:tc>
          <w:tcPr>
            <w:tcW w:w="766" w:type="dxa"/>
            <w:tcBorders>
              <w:top w:val="single" w:color="auto" w:sz="4" w:space="0"/>
              <w:left w:val="single" w:color="auto" w:sz="4" w:space="0"/>
              <w:bottom w:val="single" w:color="auto" w:sz="4" w:space="0"/>
              <w:right w:val="single" w:color="auto" w:sz="12" w:space="0"/>
            </w:tcBorders>
            <w:vAlign w:val="center"/>
          </w:tcPr>
          <w:p w14:paraId="15D19E45">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5</w:t>
            </w:r>
            <w:r>
              <w:rPr>
                <w:rFonts w:hint="eastAsia" w:ascii="宋体" w:hAnsi="宋体" w:eastAsia="宋体" w:cs="宋体"/>
                <w:bCs/>
                <w:kern w:val="0"/>
                <w:sz w:val="21"/>
                <w:szCs w:val="21"/>
                <w:lang w:val="zh-CN"/>
              </w:rPr>
              <w:t>分</w:t>
            </w:r>
          </w:p>
        </w:tc>
      </w:tr>
      <w:tr w14:paraId="258B60B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85" w:hRule="atLeast"/>
        </w:trPr>
        <w:tc>
          <w:tcPr>
            <w:tcW w:w="633" w:type="dxa"/>
            <w:tcBorders>
              <w:top w:val="single" w:color="auto" w:sz="4" w:space="0"/>
              <w:left w:val="single" w:color="auto" w:sz="12" w:space="0"/>
              <w:bottom w:val="single" w:color="auto" w:sz="4" w:space="0"/>
              <w:right w:val="single" w:color="auto" w:sz="4" w:space="0"/>
            </w:tcBorders>
            <w:vAlign w:val="center"/>
          </w:tcPr>
          <w:p w14:paraId="5221390D">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zh-CN"/>
              </w:rPr>
              <w:t>3</w:t>
            </w:r>
          </w:p>
        </w:tc>
        <w:tc>
          <w:tcPr>
            <w:tcW w:w="1067" w:type="dxa"/>
            <w:tcBorders>
              <w:top w:val="single" w:color="auto" w:sz="4" w:space="0"/>
              <w:left w:val="single" w:color="auto" w:sz="4" w:space="0"/>
              <w:bottom w:val="single" w:color="auto" w:sz="4" w:space="0"/>
              <w:right w:val="single" w:color="auto" w:sz="4" w:space="0"/>
            </w:tcBorders>
            <w:vAlign w:val="center"/>
          </w:tcPr>
          <w:p w14:paraId="5498FE42">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其他人员配备及实施能力</w:t>
            </w:r>
          </w:p>
        </w:tc>
        <w:tc>
          <w:tcPr>
            <w:tcW w:w="7251" w:type="dxa"/>
            <w:tcBorders>
              <w:top w:val="single" w:color="auto" w:sz="4" w:space="0"/>
              <w:left w:val="single" w:color="auto" w:sz="4" w:space="0"/>
              <w:bottom w:val="single" w:color="auto" w:sz="4" w:space="0"/>
              <w:right w:val="single" w:color="auto" w:sz="4" w:space="0"/>
            </w:tcBorders>
            <w:vAlign w:val="center"/>
          </w:tcPr>
          <w:p w14:paraId="3D2BC9B1">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eastAsia="zh-CN"/>
              </w:rPr>
            </w:pPr>
            <w:r>
              <w:rPr>
                <w:rFonts w:hint="eastAsia" w:ascii="宋体" w:hAnsi="宋体" w:eastAsia="宋体" w:cs="宋体"/>
                <w:bCs/>
                <w:kern w:val="0"/>
                <w:sz w:val="21"/>
                <w:szCs w:val="21"/>
                <w:lang w:val="zh-CN"/>
              </w:rPr>
              <w:t>除项目负责人1名外，还需配备1名常用联系人员，常用联系人员在单位担任经理及以上级别，有5年</w:t>
            </w:r>
            <w:r>
              <w:rPr>
                <w:rFonts w:hint="eastAsia" w:ascii="宋体" w:hAnsi="宋体" w:eastAsia="宋体" w:cs="宋体"/>
                <w:bCs/>
                <w:kern w:val="0"/>
                <w:sz w:val="21"/>
                <w:szCs w:val="21"/>
                <w:lang w:val="zh-CN" w:eastAsia="zh-CN"/>
              </w:rPr>
              <w:t>及</w:t>
            </w:r>
            <w:r>
              <w:rPr>
                <w:rFonts w:hint="eastAsia" w:ascii="宋体" w:hAnsi="宋体" w:eastAsia="宋体" w:cs="宋体"/>
                <w:bCs/>
                <w:kern w:val="0"/>
                <w:sz w:val="21"/>
                <w:szCs w:val="21"/>
                <w:lang w:val="zh-CN"/>
              </w:rPr>
              <w:t>以上从事相关产业研究或招商相关项目经验，符合要求的得3分</w:t>
            </w:r>
            <w:r>
              <w:rPr>
                <w:rFonts w:hint="eastAsia" w:ascii="宋体" w:hAnsi="宋体" w:eastAsia="宋体" w:cs="宋体"/>
                <w:bCs/>
                <w:kern w:val="0"/>
                <w:sz w:val="21"/>
                <w:szCs w:val="21"/>
                <w:lang w:val="zh-CN" w:eastAsia="zh-CN"/>
              </w:rPr>
              <w:t>；有</w:t>
            </w:r>
            <w:r>
              <w:rPr>
                <w:rFonts w:hint="eastAsia" w:ascii="宋体" w:hAnsi="宋体" w:eastAsia="宋体" w:cs="宋体"/>
                <w:bCs/>
                <w:kern w:val="0"/>
                <w:sz w:val="21"/>
                <w:szCs w:val="21"/>
                <w:lang w:val="en-US" w:eastAsia="zh-CN"/>
              </w:rPr>
              <w:t>3年及以上</w:t>
            </w:r>
            <w:r>
              <w:rPr>
                <w:rFonts w:hint="eastAsia" w:ascii="宋体" w:hAnsi="宋体" w:eastAsia="宋体" w:cs="宋体"/>
                <w:bCs/>
                <w:kern w:val="0"/>
                <w:sz w:val="21"/>
                <w:szCs w:val="21"/>
                <w:lang w:val="zh-CN"/>
              </w:rPr>
              <w:t>从事相关产业研究或招商相关项目经验，符合要求的得</w:t>
            </w: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lang w:val="zh-CN"/>
              </w:rPr>
              <w:t>分；</w:t>
            </w:r>
            <w:r>
              <w:rPr>
                <w:rFonts w:hint="eastAsia" w:ascii="宋体" w:hAnsi="宋体" w:eastAsia="宋体" w:cs="宋体"/>
                <w:bCs/>
                <w:kern w:val="0"/>
                <w:sz w:val="21"/>
                <w:szCs w:val="21"/>
                <w:lang w:val="zh-CN" w:eastAsia="zh-CN"/>
              </w:rPr>
              <w:t>有</w:t>
            </w:r>
            <w:r>
              <w:rPr>
                <w:rFonts w:hint="eastAsia" w:ascii="宋体" w:hAnsi="宋体" w:eastAsia="宋体" w:cs="宋体"/>
                <w:bCs/>
                <w:kern w:val="0"/>
                <w:sz w:val="21"/>
                <w:szCs w:val="21"/>
                <w:lang w:val="en-US" w:eastAsia="zh-CN"/>
              </w:rPr>
              <w:t>1年及以上</w:t>
            </w:r>
            <w:r>
              <w:rPr>
                <w:rFonts w:hint="eastAsia" w:ascii="宋体" w:hAnsi="宋体" w:eastAsia="宋体" w:cs="宋体"/>
                <w:bCs/>
                <w:kern w:val="0"/>
                <w:sz w:val="21"/>
                <w:szCs w:val="21"/>
                <w:lang w:val="zh-CN"/>
              </w:rPr>
              <w:t>从事相关产业研究或招商相关项目经验，符合要求的得</w:t>
            </w:r>
            <w:r>
              <w:rPr>
                <w:rFonts w:hint="eastAsia" w:ascii="宋体" w:hAnsi="宋体" w:eastAsia="宋体" w:cs="宋体"/>
                <w:bCs/>
                <w:kern w:val="0"/>
                <w:sz w:val="21"/>
                <w:szCs w:val="21"/>
                <w:lang w:val="en-US" w:eastAsia="zh-CN"/>
              </w:rPr>
              <w:t>0.5</w:t>
            </w:r>
            <w:r>
              <w:rPr>
                <w:rFonts w:hint="eastAsia" w:ascii="宋体" w:hAnsi="宋体" w:eastAsia="宋体" w:cs="宋体"/>
                <w:bCs/>
                <w:kern w:val="0"/>
                <w:sz w:val="21"/>
                <w:szCs w:val="21"/>
                <w:lang w:val="zh-CN"/>
              </w:rPr>
              <w:t>分</w:t>
            </w:r>
            <w:r>
              <w:rPr>
                <w:rFonts w:hint="eastAsia" w:ascii="宋体" w:hAnsi="宋体" w:eastAsia="宋体" w:cs="宋体"/>
                <w:bCs/>
                <w:kern w:val="0"/>
                <w:sz w:val="21"/>
                <w:szCs w:val="21"/>
                <w:lang w:val="zh-CN" w:eastAsia="zh-CN"/>
              </w:rPr>
              <w:t>。</w:t>
            </w:r>
          </w:p>
          <w:p w14:paraId="20B71CC4">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【须提供人员简历、学历证书及社保参保证明（以当地社保部门出具的证明为准），提供</w:t>
            </w:r>
            <w:r>
              <w:rPr>
                <w:rFonts w:hint="eastAsia" w:ascii="宋体" w:hAnsi="宋体" w:eastAsia="宋体" w:cs="宋体"/>
                <w:bCs/>
                <w:kern w:val="0"/>
                <w:sz w:val="21"/>
                <w:szCs w:val="21"/>
                <w:lang w:val="en-US" w:eastAsia="zh-CN"/>
              </w:rPr>
              <w:t>扫描</w:t>
            </w:r>
            <w:r>
              <w:rPr>
                <w:rFonts w:hint="eastAsia" w:ascii="宋体" w:hAnsi="宋体" w:eastAsia="宋体" w:cs="宋体"/>
                <w:bCs/>
                <w:kern w:val="0"/>
                <w:sz w:val="21"/>
                <w:szCs w:val="21"/>
                <w:lang w:val="zh-CN"/>
              </w:rPr>
              <w:t>件并加盖投标供应商公章，有一项不符合不得分】。</w:t>
            </w:r>
          </w:p>
        </w:tc>
        <w:tc>
          <w:tcPr>
            <w:tcW w:w="766" w:type="dxa"/>
            <w:tcBorders>
              <w:top w:val="single" w:color="auto" w:sz="4" w:space="0"/>
              <w:left w:val="single" w:color="auto" w:sz="4" w:space="0"/>
              <w:bottom w:val="single" w:color="auto" w:sz="4" w:space="0"/>
              <w:right w:val="single" w:color="auto" w:sz="12" w:space="0"/>
            </w:tcBorders>
            <w:vAlign w:val="center"/>
          </w:tcPr>
          <w:p w14:paraId="7B58B870">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en-US" w:eastAsia="zh-CN"/>
              </w:rPr>
              <w:t>3</w:t>
            </w:r>
            <w:r>
              <w:rPr>
                <w:rFonts w:hint="eastAsia" w:ascii="宋体" w:hAnsi="宋体" w:eastAsia="宋体" w:cs="宋体"/>
                <w:bCs/>
                <w:kern w:val="0"/>
                <w:sz w:val="21"/>
                <w:szCs w:val="21"/>
                <w:lang w:val="zh-CN"/>
              </w:rPr>
              <w:t>分</w:t>
            </w:r>
          </w:p>
        </w:tc>
      </w:tr>
      <w:tr w14:paraId="0DBB918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85" w:hRule="atLeast"/>
        </w:trPr>
        <w:tc>
          <w:tcPr>
            <w:tcW w:w="633" w:type="dxa"/>
            <w:tcBorders>
              <w:top w:val="single" w:color="auto" w:sz="4" w:space="0"/>
              <w:left w:val="single" w:color="auto" w:sz="12" w:space="0"/>
              <w:bottom w:val="single" w:color="auto" w:sz="4" w:space="0"/>
              <w:right w:val="single" w:color="auto" w:sz="4" w:space="0"/>
            </w:tcBorders>
            <w:vAlign w:val="center"/>
          </w:tcPr>
          <w:p w14:paraId="37D85E1D">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zh-CN"/>
              </w:rPr>
              <w:t>4</w:t>
            </w:r>
          </w:p>
        </w:tc>
        <w:tc>
          <w:tcPr>
            <w:tcW w:w="1067" w:type="dxa"/>
            <w:tcBorders>
              <w:top w:val="single" w:color="auto" w:sz="4" w:space="0"/>
              <w:left w:val="single" w:color="auto" w:sz="4" w:space="0"/>
              <w:bottom w:val="single" w:color="auto" w:sz="4" w:space="0"/>
              <w:right w:val="single" w:color="auto" w:sz="4" w:space="0"/>
            </w:tcBorders>
            <w:vAlign w:val="center"/>
          </w:tcPr>
          <w:p w14:paraId="42DBF173">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投标供应商业绩</w:t>
            </w:r>
          </w:p>
        </w:tc>
        <w:tc>
          <w:tcPr>
            <w:tcW w:w="7251" w:type="dxa"/>
            <w:tcBorders>
              <w:top w:val="single" w:color="auto" w:sz="4" w:space="0"/>
              <w:left w:val="single" w:color="auto" w:sz="4" w:space="0"/>
              <w:bottom w:val="single" w:color="auto" w:sz="4" w:space="0"/>
              <w:right w:val="single" w:color="auto" w:sz="4" w:space="0"/>
            </w:tcBorders>
            <w:vAlign w:val="center"/>
          </w:tcPr>
          <w:p w14:paraId="3C7ED7D2">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color w:val="auto"/>
                <w:kern w:val="0"/>
                <w:sz w:val="21"/>
                <w:szCs w:val="21"/>
                <w:lang w:val="zh-CN"/>
              </w:rPr>
            </w:pPr>
            <w:r>
              <w:rPr>
                <w:rFonts w:hint="eastAsia" w:ascii="宋体" w:hAnsi="宋体" w:eastAsia="宋体" w:cs="宋体"/>
                <w:bCs/>
                <w:color w:val="auto"/>
                <w:kern w:val="0"/>
                <w:sz w:val="21"/>
                <w:szCs w:val="21"/>
                <w:lang w:val="zh-CN"/>
              </w:rPr>
              <w:t>投标供应商202</w:t>
            </w:r>
            <w:r>
              <w:rPr>
                <w:rFonts w:hint="eastAsia" w:ascii="宋体" w:hAnsi="宋体" w:eastAsia="宋体" w:cs="宋体"/>
                <w:bCs/>
                <w:color w:val="auto"/>
                <w:kern w:val="0"/>
                <w:sz w:val="21"/>
                <w:szCs w:val="21"/>
                <w:lang w:val="en-US" w:eastAsia="zh-CN"/>
              </w:rPr>
              <w:t>1</w:t>
            </w:r>
            <w:r>
              <w:rPr>
                <w:rFonts w:hint="eastAsia" w:ascii="宋体" w:hAnsi="宋体" w:eastAsia="宋体" w:cs="宋体"/>
                <w:bCs/>
                <w:color w:val="auto"/>
                <w:kern w:val="0"/>
                <w:sz w:val="21"/>
                <w:szCs w:val="21"/>
                <w:lang w:val="zh-CN"/>
              </w:rPr>
              <w:t>年1月1日（以合同签订时间为准）至今已经完成过</w:t>
            </w:r>
            <w:r>
              <w:rPr>
                <w:rFonts w:hint="eastAsia" w:ascii="宋体" w:hAnsi="宋体" w:eastAsia="宋体" w:cs="宋体"/>
                <w:bCs/>
                <w:color w:val="auto"/>
                <w:kern w:val="0"/>
                <w:sz w:val="21"/>
                <w:szCs w:val="21"/>
                <w:lang w:val="en-US" w:eastAsia="zh-CN"/>
              </w:rPr>
              <w:t>类似项目业绩（项目特征：</w:t>
            </w:r>
            <w:r>
              <w:rPr>
                <w:rFonts w:hint="eastAsia" w:ascii="宋体" w:hAnsi="宋体" w:eastAsia="宋体" w:cs="宋体"/>
                <w:bCs/>
                <w:color w:val="auto"/>
                <w:kern w:val="0"/>
                <w:sz w:val="21"/>
                <w:szCs w:val="21"/>
                <w:lang w:val="zh-CN"/>
              </w:rPr>
              <w:t>招商、产业咨询</w:t>
            </w:r>
            <w:r>
              <w:rPr>
                <w:rFonts w:hint="eastAsia" w:ascii="宋体" w:hAnsi="宋体" w:eastAsia="宋体" w:cs="宋体"/>
                <w:bCs/>
                <w:color w:val="auto"/>
                <w:kern w:val="0"/>
                <w:sz w:val="21"/>
                <w:szCs w:val="21"/>
                <w:lang w:val="en-US" w:eastAsia="zh-CN"/>
              </w:rPr>
              <w:t>）</w:t>
            </w:r>
            <w:r>
              <w:rPr>
                <w:rFonts w:hint="eastAsia" w:ascii="宋体" w:hAnsi="宋体" w:eastAsia="宋体" w:cs="宋体"/>
                <w:bCs/>
                <w:color w:val="auto"/>
                <w:kern w:val="0"/>
                <w:sz w:val="21"/>
                <w:szCs w:val="21"/>
                <w:lang w:val="zh-CN"/>
              </w:rPr>
              <w:t>，提供项目合同证明材料并加盖投标供应商公章，每提供一份合同得0.</w:t>
            </w:r>
            <w:r>
              <w:rPr>
                <w:rFonts w:hint="eastAsia" w:ascii="宋体" w:hAnsi="宋体" w:eastAsia="宋体" w:cs="宋体"/>
                <w:bCs/>
                <w:color w:val="auto"/>
                <w:kern w:val="0"/>
                <w:sz w:val="21"/>
                <w:szCs w:val="21"/>
                <w:lang w:val="en-US" w:eastAsia="zh-CN"/>
              </w:rPr>
              <w:t>2</w:t>
            </w:r>
            <w:r>
              <w:rPr>
                <w:rFonts w:hint="eastAsia" w:ascii="宋体" w:hAnsi="宋体" w:eastAsia="宋体" w:cs="宋体"/>
                <w:bCs/>
                <w:color w:val="auto"/>
                <w:kern w:val="0"/>
                <w:sz w:val="21"/>
                <w:szCs w:val="21"/>
                <w:lang w:val="zh-CN"/>
              </w:rPr>
              <w:t>分，最高得</w:t>
            </w:r>
            <w:r>
              <w:rPr>
                <w:rFonts w:hint="eastAsia" w:ascii="宋体" w:hAnsi="宋体" w:eastAsia="宋体" w:cs="宋体"/>
                <w:bCs/>
                <w:color w:val="auto"/>
                <w:kern w:val="0"/>
                <w:sz w:val="21"/>
                <w:szCs w:val="21"/>
                <w:lang w:val="en-US" w:eastAsia="zh-CN"/>
              </w:rPr>
              <w:t>2</w:t>
            </w:r>
            <w:r>
              <w:rPr>
                <w:rFonts w:hint="eastAsia" w:ascii="宋体" w:hAnsi="宋体" w:eastAsia="宋体" w:cs="宋体"/>
                <w:bCs/>
                <w:color w:val="auto"/>
                <w:kern w:val="0"/>
                <w:sz w:val="21"/>
                <w:szCs w:val="21"/>
                <w:lang w:val="zh-CN"/>
              </w:rPr>
              <w:t>分。</w:t>
            </w:r>
          </w:p>
          <w:p w14:paraId="4841DC61">
            <w:pPr>
              <w:pStyle w:val="2"/>
              <w:rPr>
                <w:rFonts w:hint="eastAsia"/>
                <w:lang w:val="zh-CN"/>
              </w:rPr>
            </w:pPr>
            <w:r>
              <w:rPr>
                <w:rFonts w:hint="eastAsia" w:ascii="宋体" w:hAnsi="宋体" w:eastAsia="宋体" w:cs="宋体"/>
                <w:bCs/>
                <w:color w:val="auto"/>
                <w:kern w:val="0"/>
                <w:sz w:val="21"/>
                <w:szCs w:val="21"/>
                <w:lang w:val="zh-CN"/>
              </w:rPr>
              <w:t>【须提供</w:t>
            </w:r>
            <w:r>
              <w:rPr>
                <w:rFonts w:hint="eastAsia" w:ascii="宋体" w:hAnsi="宋体" w:eastAsia="宋体" w:cs="宋体"/>
                <w:bCs/>
                <w:color w:val="auto"/>
                <w:kern w:val="0"/>
                <w:sz w:val="21"/>
                <w:szCs w:val="21"/>
                <w:lang w:val="en-US" w:eastAsia="zh-CN"/>
              </w:rPr>
              <w:t>合同扫描</w:t>
            </w:r>
            <w:r>
              <w:rPr>
                <w:rFonts w:hint="eastAsia" w:ascii="宋体" w:hAnsi="宋体" w:eastAsia="宋体" w:cs="宋体"/>
                <w:bCs/>
                <w:color w:val="auto"/>
                <w:kern w:val="0"/>
                <w:sz w:val="21"/>
                <w:szCs w:val="21"/>
                <w:lang w:val="zh-CN"/>
              </w:rPr>
              <w:t>件并加盖投标供应商公章，</w:t>
            </w:r>
            <w:r>
              <w:rPr>
                <w:rFonts w:hint="eastAsia" w:ascii="宋体" w:hAnsi="宋体" w:eastAsia="宋体" w:cs="宋体"/>
                <w:bCs/>
                <w:color w:val="auto"/>
                <w:kern w:val="0"/>
                <w:sz w:val="21"/>
                <w:szCs w:val="21"/>
                <w:lang w:val="en-US" w:eastAsia="zh-CN"/>
              </w:rPr>
              <w:t>否则</w:t>
            </w:r>
            <w:r>
              <w:rPr>
                <w:rFonts w:hint="eastAsia" w:ascii="宋体" w:hAnsi="宋体" w:eastAsia="宋体" w:cs="宋体"/>
                <w:bCs/>
                <w:color w:val="auto"/>
                <w:kern w:val="0"/>
                <w:sz w:val="21"/>
                <w:szCs w:val="21"/>
                <w:lang w:val="zh-CN"/>
              </w:rPr>
              <w:t>不得分】</w:t>
            </w:r>
          </w:p>
        </w:tc>
        <w:tc>
          <w:tcPr>
            <w:tcW w:w="766" w:type="dxa"/>
            <w:tcBorders>
              <w:top w:val="single" w:color="auto" w:sz="4" w:space="0"/>
              <w:left w:val="single" w:color="auto" w:sz="4" w:space="0"/>
              <w:bottom w:val="single" w:color="auto" w:sz="4" w:space="0"/>
              <w:right w:val="single" w:color="auto" w:sz="12" w:space="0"/>
            </w:tcBorders>
            <w:vAlign w:val="center"/>
          </w:tcPr>
          <w:p w14:paraId="0CDFCB07">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lang w:val="zh-CN"/>
              </w:rPr>
              <w:t>分</w:t>
            </w:r>
          </w:p>
        </w:tc>
      </w:tr>
      <w:tr w14:paraId="219A853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0" w:hRule="atLeast"/>
        </w:trPr>
        <w:tc>
          <w:tcPr>
            <w:tcW w:w="633" w:type="dxa"/>
            <w:tcBorders>
              <w:top w:val="single" w:color="auto" w:sz="4" w:space="0"/>
              <w:left w:val="single" w:color="auto" w:sz="12" w:space="0"/>
              <w:bottom w:val="single" w:color="auto" w:sz="4" w:space="0"/>
              <w:right w:val="single" w:color="auto" w:sz="4" w:space="0"/>
            </w:tcBorders>
            <w:vAlign w:val="center"/>
          </w:tcPr>
          <w:p w14:paraId="6578D2E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zh-CN"/>
              </w:rPr>
              <w:t>5</w:t>
            </w:r>
          </w:p>
        </w:tc>
        <w:tc>
          <w:tcPr>
            <w:tcW w:w="1067" w:type="dxa"/>
            <w:tcBorders>
              <w:top w:val="single" w:color="auto" w:sz="4" w:space="0"/>
              <w:left w:val="single" w:color="auto" w:sz="4" w:space="0"/>
              <w:bottom w:val="single" w:color="auto" w:sz="4" w:space="0"/>
              <w:right w:val="single" w:color="auto" w:sz="4" w:space="0"/>
            </w:tcBorders>
            <w:vAlign w:val="center"/>
          </w:tcPr>
          <w:p w14:paraId="50A8AC01">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服务方案</w:t>
            </w:r>
          </w:p>
        </w:tc>
        <w:tc>
          <w:tcPr>
            <w:tcW w:w="7251" w:type="dxa"/>
            <w:tcBorders>
              <w:top w:val="single" w:color="auto" w:sz="4" w:space="0"/>
              <w:left w:val="single" w:color="auto" w:sz="4" w:space="0"/>
              <w:bottom w:val="single" w:color="auto" w:sz="4" w:space="0"/>
              <w:right w:val="single" w:color="auto" w:sz="4" w:space="0"/>
            </w:tcBorders>
            <w:vAlign w:val="center"/>
          </w:tcPr>
          <w:p w14:paraId="1CC7CA77">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服务方案：投标人提出的服务方案是否合理、完整、可行，投标方案点对点应答是否详尽、明晰，是否满足招标文件要求</w:t>
            </w:r>
            <w:r>
              <w:rPr>
                <w:rFonts w:hint="eastAsia" w:ascii="宋体" w:hAnsi="宋体" w:eastAsia="宋体" w:cs="宋体"/>
                <w:bCs/>
                <w:kern w:val="0"/>
                <w:sz w:val="21"/>
                <w:szCs w:val="21"/>
                <w:lang w:val="en-US" w:eastAsia="zh-CN"/>
              </w:rPr>
              <w:t>进行综合评分，打分区间：0,1,2,3,4,5</w:t>
            </w:r>
            <w:r>
              <w:rPr>
                <w:rFonts w:hint="eastAsia" w:ascii="宋体" w:hAnsi="宋体" w:eastAsia="宋体" w:cs="宋体"/>
                <w:bCs/>
                <w:kern w:val="0"/>
                <w:sz w:val="21"/>
                <w:szCs w:val="21"/>
                <w:lang w:val="zh-CN"/>
              </w:rPr>
              <w:t>。</w:t>
            </w:r>
          </w:p>
        </w:tc>
        <w:tc>
          <w:tcPr>
            <w:tcW w:w="766" w:type="dxa"/>
            <w:tcBorders>
              <w:top w:val="single" w:color="auto" w:sz="4" w:space="0"/>
              <w:left w:val="single" w:color="auto" w:sz="4" w:space="0"/>
              <w:bottom w:val="single" w:color="auto" w:sz="4" w:space="0"/>
              <w:right w:val="single" w:color="auto" w:sz="12" w:space="0"/>
            </w:tcBorders>
            <w:vAlign w:val="center"/>
          </w:tcPr>
          <w:p w14:paraId="79101944">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en-US" w:eastAsia="zh-CN"/>
              </w:rPr>
              <w:t>5</w:t>
            </w:r>
            <w:r>
              <w:rPr>
                <w:rFonts w:hint="eastAsia" w:ascii="宋体" w:hAnsi="宋体" w:eastAsia="宋体" w:cs="宋体"/>
                <w:bCs/>
                <w:kern w:val="0"/>
                <w:sz w:val="21"/>
                <w:szCs w:val="21"/>
                <w:lang w:val="zh-CN"/>
              </w:rPr>
              <w:t>分</w:t>
            </w:r>
          </w:p>
        </w:tc>
      </w:tr>
      <w:tr w14:paraId="014852C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5" w:hRule="atLeast"/>
        </w:trPr>
        <w:tc>
          <w:tcPr>
            <w:tcW w:w="633" w:type="dxa"/>
            <w:tcBorders>
              <w:top w:val="single" w:color="auto" w:sz="4" w:space="0"/>
              <w:left w:val="single" w:color="auto" w:sz="12" w:space="0"/>
              <w:bottom w:val="single" w:color="auto" w:sz="4" w:space="0"/>
              <w:right w:val="single" w:color="auto" w:sz="4" w:space="0"/>
            </w:tcBorders>
            <w:vAlign w:val="center"/>
          </w:tcPr>
          <w:p w14:paraId="63DAB6EC">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zh-CN"/>
              </w:rPr>
              <w:t>6</w:t>
            </w:r>
          </w:p>
        </w:tc>
        <w:tc>
          <w:tcPr>
            <w:tcW w:w="1067" w:type="dxa"/>
            <w:vMerge w:val="restart"/>
            <w:tcBorders>
              <w:top w:val="single" w:color="auto" w:sz="4" w:space="0"/>
              <w:left w:val="single" w:color="auto" w:sz="4" w:space="0"/>
              <w:right w:val="single" w:color="auto" w:sz="4" w:space="0"/>
            </w:tcBorders>
            <w:vAlign w:val="center"/>
          </w:tcPr>
          <w:p w14:paraId="54C848D9">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招商信息</w:t>
            </w:r>
          </w:p>
        </w:tc>
        <w:tc>
          <w:tcPr>
            <w:tcW w:w="7251" w:type="dxa"/>
            <w:tcBorders>
              <w:top w:val="single" w:color="auto" w:sz="4" w:space="0"/>
              <w:left w:val="single" w:color="auto" w:sz="4" w:space="0"/>
              <w:bottom w:val="single" w:color="auto" w:sz="4" w:space="0"/>
              <w:right w:val="single" w:color="auto" w:sz="4" w:space="0"/>
            </w:tcBorders>
            <w:vAlign w:val="center"/>
          </w:tcPr>
          <w:p w14:paraId="1AE9C19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根据投标人针对本项目所能提供的</w:t>
            </w:r>
            <w:r>
              <w:rPr>
                <w:rFonts w:hint="eastAsia" w:ascii="宋体" w:hAnsi="宋体" w:eastAsia="宋体" w:cs="宋体"/>
                <w:bCs/>
                <w:kern w:val="0"/>
                <w:sz w:val="21"/>
                <w:szCs w:val="21"/>
                <w:lang w:val="en-US" w:eastAsia="zh-CN"/>
              </w:rPr>
              <w:t>商业</w:t>
            </w:r>
            <w:r>
              <w:rPr>
                <w:rFonts w:hint="eastAsia" w:ascii="宋体" w:hAnsi="宋体" w:eastAsia="宋体" w:cs="宋体"/>
                <w:bCs/>
                <w:kern w:val="0"/>
                <w:sz w:val="21"/>
                <w:szCs w:val="21"/>
                <w:lang w:val="zh-CN"/>
              </w:rPr>
              <w:t>资源</w:t>
            </w:r>
            <w:r>
              <w:rPr>
                <w:rFonts w:hint="eastAsia" w:ascii="宋体" w:hAnsi="宋体" w:eastAsia="宋体" w:cs="宋体"/>
                <w:bCs/>
                <w:kern w:val="0"/>
                <w:sz w:val="21"/>
                <w:szCs w:val="21"/>
                <w:lang w:val="en-US" w:eastAsia="zh-CN"/>
              </w:rPr>
              <w:t>实力、产业项目信息</w:t>
            </w:r>
            <w:r>
              <w:rPr>
                <w:rFonts w:hint="eastAsia" w:ascii="宋体" w:hAnsi="宋体" w:eastAsia="宋体" w:cs="宋体"/>
                <w:bCs/>
                <w:kern w:val="0"/>
                <w:sz w:val="21"/>
                <w:szCs w:val="21"/>
                <w:lang w:val="zh-CN"/>
              </w:rPr>
              <w:t>（已有的稳定信息来源或承诺提供的均可）</w:t>
            </w:r>
            <w:r>
              <w:rPr>
                <w:rFonts w:hint="eastAsia" w:ascii="宋体" w:hAnsi="宋体" w:eastAsia="宋体" w:cs="宋体"/>
                <w:bCs/>
                <w:kern w:val="0"/>
                <w:sz w:val="21"/>
                <w:szCs w:val="21"/>
                <w:lang w:val="en-US" w:eastAsia="zh-CN"/>
              </w:rPr>
              <w:t>进行综合评分，打分区间：0,1,2,3,4,5</w:t>
            </w:r>
            <w:r>
              <w:rPr>
                <w:rFonts w:hint="eastAsia" w:ascii="宋体" w:hAnsi="宋体" w:eastAsia="宋体" w:cs="宋体"/>
                <w:bCs/>
                <w:kern w:val="0"/>
                <w:sz w:val="21"/>
                <w:szCs w:val="21"/>
                <w:lang w:val="zh-CN"/>
              </w:rPr>
              <w:t>。</w:t>
            </w:r>
          </w:p>
        </w:tc>
        <w:tc>
          <w:tcPr>
            <w:tcW w:w="766" w:type="dxa"/>
            <w:tcBorders>
              <w:top w:val="single" w:color="auto" w:sz="4" w:space="0"/>
              <w:left w:val="single" w:color="auto" w:sz="4" w:space="0"/>
              <w:bottom w:val="single" w:color="auto" w:sz="4" w:space="0"/>
              <w:right w:val="single" w:color="auto" w:sz="12" w:space="0"/>
            </w:tcBorders>
            <w:vAlign w:val="center"/>
          </w:tcPr>
          <w:p w14:paraId="3ED52C38">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5分</w:t>
            </w:r>
          </w:p>
        </w:tc>
      </w:tr>
      <w:tr w14:paraId="0AF4C55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85" w:hRule="atLeast"/>
        </w:trPr>
        <w:tc>
          <w:tcPr>
            <w:tcW w:w="633" w:type="dxa"/>
            <w:tcBorders>
              <w:top w:val="single" w:color="auto" w:sz="4" w:space="0"/>
              <w:left w:val="single" w:color="auto" w:sz="12" w:space="0"/>
              <w:bottom w:val="single" w:color="auto" w:sz="4" w:space="0"/>
              <w:right w:val="single" w:color="auto" w:sz="4" w:space="0"/>
            </w:tcBorders>
            <w:vAlign w:val="center"/>
          </w:tcPr>
          <w:p w14:paraId="77D4CE4A">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zh-CN"/>
              </w:rPr>
              <w:t>7</w:t>
            </w:r>
          </w:p>
        </w:tc>
        <w:tc>
          <w:tcPr>
            <w:tcW w:w="1067" w:type="dxa"/>
            <w:vMerge w:val="continue"/>
            <w:tcBorders>
              <w:left w:val="single" w:color="auto" w:sz="4" w:space="0"/>
              <w:bottom w:val="single" w:color="auto" w:sz="4" w:space="0"/>
              <w:right w:val="single" w:color="auto" w:sz="4" w:space="0"/>
            </w:tcBorders>
            <w:vAlign w:val="center"/>
          </w:tcPr>
          <w:p w14:paraId="6A736F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bottom"/>
              <w:rPr>
                <w:rFonts w:hint="eastAsia" w:ascii="宋体" w:hAnsi="宋体" w:eastAsia="宋体" w:cs="宋体"/>
                <w:bCs/>
                <w:kern w:val="0"/>
                <w:sz w:val="21"/>
                <w:szCs w:val="21"/>
                <w:lang w:val="zh-CN"/>
              </w:rPr>
            </w:pPr>
          </w:p>
        </w:tc>
        <w:tc>
          <w:tcPr>
            <w:tcW w:w="7251" w:type="dxa"/>
            <w:tcBorders>
              <w:top w:val="single" w:color="auto" w:sz="4" w:space="0"/>
              <w:left w:val="single" w:color="auto" w:sz="4" w:space="0"/>
              <w:bottom w:val="single" w:color="auto" w:sz="4" w:space="0"/>
              <w:right w:val="single" w:color="auto" w:sz="4" w:space="0"/>
            </w:tcBorders>
            <w:vAlign w:val="center"/>
          </w:tcPr>
          <w:p w14:paraId="65CFCA56">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根据投标人基于</w:t>
            </w:r>
            <w:r>
              <w:rPr>
                <w:rFonts w:hint="eastAsia" w:ascii="宋体" w:hAnsi="宋体" w:eastAsia="宋体" w:cs="宋体"/>
                <w:bCs/>
                <w:kern w:val="0"/>
                <w:sz w:val="21"/>
                <w:szCs w:val="21"/>
                <w:lang w:val="en-US" w:eastAsia="zh-CN"/>
              </w:rPr>
              <w:t>上述</w:t>
            </w:r>
            <w:r>
              <w:rPr>
                <w:rFonts w:hint="eastAsia" w:ascii="宋体" w:hAnsi="宋体" w:eastAsia="宋体" w:cs="宋体"/>
                <w:bCs/>
                <w:kern w:val="0"/>
                <w:sz w:val="21"/>
                <w:szCs w:val="21"/>
                <w:lang w:val="zh-CN"/>
              </w:rPr>
              <w:t>产业信息的项目落地方案进行综合打分，</w:t>
            </w:r>
            <w:r>
              <w:rPr>
                <w:rFonts w:hint="eastAsia" w:ascii="宋体" w:hAnsi="宋体" w:eastAsia="宋体" w:cs="宋体"/>
                <w:bCs/>
                <w:kern w:val="0"/>
                <w:sz w:val="21"/>
                <w:szCs w:val="21"/>
                <w:lang w:val="en-US" w:eastAsia="zh-CN"/>
              </w:rPr>
              <w:t>打分区间：0,2,4,6,8,10</w:t>
            </w:r>
            <w:r>
              <w:rPr>
                <w:rFonts w:hint="eastAsia" w:ascii="宋体" w:hAnsi="宋体" w:eastAsia="宋体" w:cs="宋体"/>
                <w:bCs/>
                <w:kern w:val="0"/>
                <w:sz w:val="21"/>
                <w:szCs w:val="21"/>
                <w:lang w:val="zh-CN"/>
              </w:rPr>
              <w:t>。</w:t>
            </w:r>
          </w:p>
          <w:p w14:paraId="18DCC24A">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【须提供</w:t>
            </w:r>
            <w:r>
              <w:rPr>
                <w:rFonts w:hint="eastAsia" w:ascii="宋体" w:hAnsi="宋体" w:eastAsia="宋体" w:cs="宋体"/>
                <w:bCs/>
                <w:kern w:val="0"/>
                <w:sz w:val="21"/>
                <w:szCs w:val="21"/>
                <w:lang w:val="en-US" w:eastAsia="zh-CN"/>
              </w:rPr>
              <w:t>合作期内符合条件落地企业数量承诺函</w:t>
            </w:r>
            <w:r>
              <w:rPr>
                <w:rFonts w:hint="eastAsia" w:ascii="宋体" w:hAnsi="宋体" w:eastAsia="宋体" w:cs="宋体"/>
                <w:bCs/>
                <w:kern w:val="0"/>
                <w:sz w:val="21"/>
                <w:szCs w:val="21"/>
                <w:lang w:val="zh-CN"/>
              </w:rPr>
              <w:t>并加盖投标供应商公章】。</w:t>
            </w:r>
          </w:p>
        </w:tc>
        <w:tc>
          <w:tcPr>
            <w:tcW w:w="766" w:type="dxa"/>
            <w:tcBorders>
              <w:top w:val="single" w:color="auto" w:sz="4" w:space="0"/>
              <w:left w:val="single" w:color="auto" w:sz="4" w:space="0"/>
              <w:bottom w:val="single" w:color="auto" w:sz="4" w:space="0"/>
              <w:right w:val="single" w:color="auto" w:sz="12" w:space="0"/>
            </w:tcBorders>
            <w:vAlign w:val="center"/>
          </w:tcPr>
          <w:p w14:paraId="2BE5AE84">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10分</w:t>
            </w:r>
          </w:p>
        </w:tc>
      </w:tr>
      <w:tr w14:paraId="0F42A88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02" w:hRule="atLeast"/>
        </w:trPr>
        <w:tc>
          <w:tcPr>
            <w:tcW w:w="633" w:type="dxa"/>
            <w:tcBorders>
              <w:top w:val="single" w:color="auto" w:sz="4" w:space="0"/>
              <w:left w:val="single" w:color="auto" w:sz="12" w:space="0"/>
              <w:bottom w:val="single" w:color="auto" w:sz="4" w:space="0"/>
              <w:right w:val="single" w:color="auto" w:sz="4" w:space="0"/>
            </w:tcBorders>
            <w:vAlign w:val="center"/>
          </w:tcPr>
          <w:p w14:paraId="6B34921A">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zh-CN"/>
              </w:rPr>
              <w:t>8</w:t>
            </w:r>
          </w:p>
        </w:tc>
        <w:tc>
          <w:tcPr>
            <w:tcW w:w="1067" w:type="dxa"/>
            <w:tcBorders>
              <w:top w:val="single" w:color="auto" w:sz="4" w:space="0"/>
              <w:left w:val="single" w:color="auto" w:sz="4" w:space="0"/>
              <w:right w:val="single" w:color="auto" w:sz="4" w:space="0"/>
            </w:tcBorders>
            <w:vAlign w:val="center"/>
          </w:tcPr>
          <w:p w14:paraId="2685F179">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上门招商</w:t>
            </w:r>
          </w:p>
        </w:tc>
        <w:tc>
          <w:tcPr>
            <w:tcW w:w="7251" w:type="dxa"/>
            <w:tcBorders>
              <w:top w:val="single" w:color="auto" w:sz="4" w:space="0"/>
              <w:left w:val="single" w:color="auto" w:sz="4" w:space="0"/>
              <w:bottom w:val="single" w:color="auto" w:sz="4" w:space="0"/>
              <w:right w:val="single" w:color="auto" w:sz="4" w:space="0"/>
            </w:tcBorders>
            <w:vAlign w:val="center"/>
          </w:tcPr>
          <w:p w14:paraId="25665F4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en-US" w:eastAsia="zh-CN"/>
              </w:rPr>
              <w:t>根据投标人上门招商方案及经验打分，包括但不限于考察方式、洽谈对接流程安排、</w:t>
            </w:r>
            <w:r>
              <w:rPr>
                <w:rFonts w:hint="eastAsia" w:ascii="宋体" w:hAnsi="宋体" w:eastAsia="宋体" w:cs="宋体"/>
                <w:bCs/>
                <w:kern w:val="0"/>
                <w:sz w:val="21"/>
                <w:szCs w:val="21"/>
                <w:lang w:val="zh-CN"/>
              </w:rPr>
              <w:t>协助推进投资项目落户方案等内容进行综合打分，</w:t>
            </w:r>
            <w:r>
              <w:rPr>
                <w:rFonts w:hint="eastAsia" w:ascii="宋体" w:hAnsi="宋体" w:eastAsia="宋体" w:cs="宋体"/>
                <w:bCs/>
                <w:kern w:val="0"/>
                <w:sz w:val="21"/>
                <w:szCs w:val="21"/>
                <w:lang w:val="en-US" w:eastAsia="zh-CN"/>
              </w:rPr>
              <w:t>打分区间：0,2,4,6,8,10</w:t>
            </w:r>
            <w:r>
              <w:rPr>
                <w:rFonts w:hint="eastAsia" w:ascii="宋体" w:hAnsi="宋体" w:eastAsia="宋体" w:cs="宋体"/>
                <w:bCs/>
                <w:kern w:val="0"/>
                <w:sz w:val="21"/>
                <w:szCs w:val="21"/>
                <w:lang w:val="zh-CN"/>
              </w:rPr>
              <w:t>。</w:t>
            </w:r>
          </w:p>
          <w:p w14:paraId="1093F35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【须提供</w:t>
            </w:r>
            <w:r>
              <w:rPr>
                <w:rFonts w:hint="eastAsia" w:ascii="宋体" w:hAnsi="宋体" w:eastAsia="宋体" w:cs="宋体"/>
                <w:bCs/>
                <w:kern w:val="0"/>
                <w:sz w:val="21"/>
                <w:szCs w:val="21"/>
                <w:lang w:val="en-US" w:eastAsia="zh-CN"/>
              </w:rPr>
              <w:t>上门招商数量承诺函</w:t>
            </w:r>
            <w:r>
              <w:rPr>
                <w:rFonts w:hint="eastAsia" w:ascii="宋体" w:hAnsi="宋体" w:eastAsia="宋体" w:cs="宋体"/>
                <w:bCs/>
                <w:kern w:val="0"/>
                <w:sz w:val="21"/>
                <w:szCs w:val="21"/>
                <w:lang w:val="zh-CN"/>
              </w:rPr>
              <w:t>并加盖投标供应商公章】。</w:t>
            </w:r>
          </w:p>
        </w:tc>
        <w:tc>
          <w:tcPr>
            <w:tcW w:w="766" w:type="dxa"/>
            <w:tcBorders>
              <w:top w:val="single" w:color="auto" w:sz="4" w:space="0"/>
              <w:left w:val="single" w:color="auto" w:sz="4" w:space="0"/>
              <w:bottom w:val="single" w:color="auto" w:sz="4" w:space="0"/>
              <w:right w:val="single" w:color="auto" w:sz="12" w:space="0"/>
            </w:tcBorders>
            <w:vAlign w:val="center"/>
          </w:tcPr>
          <w:p w14:paraId="430BCC8E">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10分</w:t>
            </w:r>
          </w:p>
        </w:tc>
      </w:tr>
      <w:tr w14:paraId="77C60CB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85" w:hRule="atLeast"/>
        </w:trPr>
        <w:tc>
          <w:tcPr>
            <w:tcW w:w="633" w:type="dxa"/>
            <w:tcBorders>
              <w:top w:val="single" w:color="auto" w:sz="4" w:space="0"/>
              <w:left w:val="single" w:color="auto" w:sz="12" w:space="0"/>
              <w:bottom w:val="single" w:color="auto" w:sz="4" w:space="0"/>
              <w:right w:val="single" w:color="auto" w:sz="4" w:space="0"/>
            </w:tcBorders>
            <w:vAlign w:val="center"/>
          </w:tcPr>
          <w:p w14:paraId="24631894">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zh-CN"/>
              </w:rPr>
              <w:t>9</w:t>
            </w:r>
          </w:p>
        </w:tc>
        <w:tc>
          <w:tcPr>
            <w:tcW w:w="1067" w:type="dxa"/>
            <w:tcBorders>
              <w:left w:val="single" w:color="auto" w:sz="4" w:space="0"/>
              <w:bottom w:val="single" w:color="auto" w:sz="4" w:space="0"/>
              <w:right w:val="single" w:color="auto" w:sz="4" w:space="0"/>
            </w:tcBorders>
            <w:vAlign w:val="center"/>
          </w:tcPr>
          <w:p w14:paraId="00D02410">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招商活动方案</w:t>
            </w:r>
          </w:p>
        </w:tc>
        <w:tc>
          <w:tcPr>
            <w:tcW w:w="7251" w:type="dxa"/>
            <w:tcBorders>
              <w:top w:val="single" w:color="auto" w:sz="4" w:space="0"/>
              <w:left w:val="single" w:color="auto" w:sz="4" w:space="0"/>
              <w:bottom w:val="single" w:color="auto" w:sz="4" w:space="0"/>
              <w:right w:val="single" w:color="auto" w:sz="4" w:space="0"/>
            </w:tcBorders>
            <w:vAlign w:val="center"/>
          </w:tcPr>
          <w:p w14:paraId="5207E24C">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en-US" w:eastAsia="zh-CN"/>
              </w:rPr>
              <w:t>根据投标人</w:t>
            </w:r>
            <w:r>
              <w:rPr>
                <w:rFonts w:hint="eastAsia" w:ascii="宋体" w:hAnsi="宋体" w:eastAsia="宋体" w:cs="宋体"/>
                <w:bCs/>
                <w:kern w:val="0"/>
                <w:sz w:val="21"/>
                <w:szCs w:val="21"/>
                <w:lang w:val="zh-CN"/>
              </w:rPr>
              <w:t>招商活动组织能力及经验打分，</w:t>
            </w:r>
            <w:r>
              <w:rPr>
                <w:rFonts w:hint="eastAsia" w:ascii="宋体" w:hAnsi="宋体" w:eastAsia="宋体" w:cs="宋体"/>
                <w:bCs/>
                <w:kern w:val="0"/>
                <w:sz w:val="21"/>
                <w:szCs w:val="21"/>
                <w:lang w:val="en-US" w:eastAsia="zh-CN"/>
              </w:rPr>
              <w:t>包括但不限于</w:t>
            </w:r>
            <w:r>
              <w:rPr>
                <w:rFonts w:hint="eastAsia" w:ascii="宋体" w:hAnsi="宋体" w:eastAsia="宋体" w:cs="宋体"/>
                <w:bCs/>
                <w:kern w:val="0"/>
                <w:sz w:val="21"/>
                <w:szCs w:val="21"/>
                <w:lang w:val="zh-CN"/>
              </w:rPr>
              <w:t>会议设计思路、活动流程、客户邀约计划、活动效果、组织经验等内容进行综合打分，</w:t>
            </w:r>
            <w:r>
              <w:rPr>
                <w:rFonts w:hint="eastAsia" w:ascii="宋体" w:hAnsi="宋体" w:eastAsia="宋体" w:cs="宋体"/>
                <w:bCs/>
                <w:kern w:val="0"/>
                <w:sz w:val="21"/>
                <w:szCs w:val="21"/>
                <w:lang w:val="en-US" w:eastAsia="zh-CN"/>
              </w:rPr>
              <w:t>打分区间：0,2,4,6,8</w:t>
            </w:r>
            <w:r>
              <w:rPr>
                <w:rFonts w:hint="eastAsia" w:ascii="宋体" w:hAnsi="宋体" w:eastAsia="宋体" w:cs="宋体"/>
                <w:bCs/>
                <w:kern w:val="0"/>
                <w:sz w:val="21"/>
                <w:szCs w:val="21"/>
                <w:lang w:val="zh-CN"/>
              </w:rPr>
              <w:t>。</w:t>
            </w:r>
          </w:p>
        </w:tc>
        <w:tc>
          <w:tcPr>
            <w:tcW w:w="766" w:type="dxa"/>
            <w:tcBorders>
              <w:top w:val="single" w:color="auto" w:sz="4" w:space="0"/>
              <w:left w:val="single" w:color="auto" w:sz="4" w:space="0"/>
              <w:bottom w:val="single" w:color="auto" w:sz="4" w:space="0"/>
              <w:right w:val="single" w:color="auto" w:sz="12" w:space="0"/>
            </w:tcBorders>
            <w:vAlign w:val="center"/>
          </w:tcPr>
          <w:p w14:paraId="119E1586">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en-US" w:eastAsia="zh-CN"/>
              </w:rPr>
              <w:t>8</w:t>
            </w:r>
            <w:r>
              <w:rPr>
                <w:rFonts w:hint="eastAsia" w:ascii="宋体" w:hAnsi="宋体" w:eastAsia="宋体" w:cs="宋体"/>
                <w:bCs/>
                <w:kern w:val="0"/>
                <w:sz w:val="21"/>
                <w:szCs w:val="21"/>
                <w:lang w:val="zh-CN"/>
              </w:rPr>
              <w:t>分</w:t>
            </w:r>
          </w:p>
        </w:tc>
      </w:tr>
      <w:tr w14:paraId="4F667A3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85" w:hRule="atLeast"/>
        </w:trPr>
        <w:tc>
          <w:tcPr>
            <w:tcW w:w="633" w:type="dxa"/>
            <w:tcBorders>
              <w:top w:val="single" w:color="auto" w:sz="4" w:space="0"/>
              <w:left w:val="single" w:color="auto" w:sz="12" w:space="0"/>
              <w:bottom w:val="single" w:color="auto" w:sz="4" w:space="0"/>
              <w:right w:val="single" w:color="auto" w:sz="4" w:space="0"/>
            </w:tcBorders>
            <w:vAlign w:val="center"/>
          </w:tcPr>
          <w:p w14:paraId="28FF1A6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zh-CN"/>
              </w:rPr>
              <w:t>10</w:t>
            </w:r>
          </w:p>
        </w:tc>
        <w:tc>
          <w:tcPr>
            <w:tcW w:w="1067" w:type="dxa"/>
            <w:tcBorders>
              <w:left w:val="single" w:color="auto" w:sz="4" w:space="0"/>
              <w:bottom w:val="single" w:color="auto" w:sz="4" w:space="0"/>
              <w:right w:val="single" w:color="auto" w:sz="4" w:space="0"/>
            </w:tcBorders>
            <w:vAlign w:val="center"/>
          </w:tcPr>
          <w:p w14:paraId="7FC468F0">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业务培训方案</w:t>
            </w:r>
          </w:p>
        </w:tc>
        <w:tc>
          <w:tcPr>
            <w:tcW w:w="7251" w:type="dxa"/>
            <w:tcBorders>
              <w:top w:val="single" w:color="auto" w:sz="4" w:space="0"/>
              <w:left w:val="single" w:color="auto" w:sz="4" w:space="0"/>
              <w:bottom w:val="single" w:color="auto" w:sz="4" w:space="0"/>
              <w:right w:val="single" w:color="auto" w:sz="4" w:space="0"/>
            </w:tcBorders>
            <w:vAlign w:val="center"/>
          </w:tcPr>
          <w:p w14:paraId="10FABBF9">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根据投标人</w:t>
            </w:r>
            <w:r>
              <w:rPr>
                <w:rFonts w:hint="eastAsia" w:ascii="宋体" w:hAnsi="宋体" w:eastAsia="宋体" w:cs="宋体"/>
                <w:bCs/>
                <w:kern w:val="0"/>
                <w:sz w:val="21"/>
                <w:szCs w:val="21"/>
                <w:lang w:val="en-US" w:eastAsia="zh-CN"/>
              </w:rPr>
              <w:t>拟邀请的专家、学者及业务培训方案</w:t>
            </w:r>
            <w:r>
              <w:rPr>
                <w:rFonts w:hint="eastAsia" w:ascii="宋体" w:hAnsi="宋体" w:eastAsia="宋体" w:cs="宋体"/>
                <w:bCs/>
                <w:kern w:val="0"/>
                <w:sz w:val="21"/>
                <w:szCs w:val="21"/>
                <w:lang w:val="zh-CN"/>
              </w:rPr>
              <w:t>进行打分</w:t>
            </w:r>
            <w:r>
              <w:rPr>
                <w:rFonts w:hint="eastAsia" w:ascii="宋体" w:hAnsi="宋体" w:eastAsia="宋体" w:cs="宋体"/>
                <w:bCs/>
                <w:kern w:val="0"/>
                <w:sz w:val="21"/>
                <w:szCs w:val="21"/>
                <w:lang w:val="en-US" w:eastAsia="zh-CN"/>
              </w:rPr>
              <w:t>，包括但不限于专家学者的专业水平、授课内容、课时安排</w:t>
            </w:r>
            <w:r>
              <w:rPr>
                <w:rFonts w:hint="eastAsia" w:ascii="宋体" w:hAnsi="宋体" w:eastAsia="宋体" w:cs="宋体"/>
                <w:bCs/>
                <w:kern w:val="0"/>
                <w:sz w:val="21"/>
                <w:szCs w:val="21"/>
                <w:lang w:val="zh-CN"/>
              </w:rPr>
              <w:t>等内容进行综合打分，</w:t>
            </w:r>
            <w:r>
              <w:rPr>
                <w:rFonts w:hint="eastAsia" w:ascii="宋体" w:hAnsi="宋体" w:eastAsia="宋体" w:cs="宋体"/>
                <w:bCs/>
                <w:kern w:val="0"/>
                <w:sz w:val="21"/>
                <w:szCs w:val="21"/>
                <w:lang w:val="en-US" w:eastAsia="zh-CN"/>
              </w:rPr>
              <w:t>打分区间：0,2,4,6,8,10</w:t>
            </w:r>
            <w:r>
              <w:rPr>
                <w:rFonts w:hint="eastAsia" w:ascii="宋体" w:hAnsi="宋体" w:eastAsia="宋体" w:cs="宋体"/>
                <w:bCs/>
                <w:kern w:val="0"/>
                <w:sz w:val="21"/>
                <w:szCs w:val="21"/>
                <w:lang w:val="zh-CN"/>
              </w:rPr>
              <w:t>。</w:t>
            </w:r>
          </w:p>
        </w:tc>
        <w:tc>
          <w:tcPr>
            <w:tcW w:w="766" w:type="dxa"/>
            <w:tcBorders>
              <w:top w:val="single" w:color="auto" w:sz="4" w:space="0"/>
              <w:left w:val="single" w:color="auto" w:sz="4" w:space="0"/>
              <w:bottom w:val="single" w:color="auto" w:sz="4" w:space="0"/>
              <w:right w:val="single" w:color="auto" w:sz="12" w:space="0"/>
            </w:tcBorders>
            <w:vAlign w:val="center"/>
          </w:tcPr>
          <w:p w14:paraId="7EFE32D9">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10分</w:t>
            </w:r>
          </w:p>
        </w:tc>
      </w:tr>
      <w:tr w14:paraId="5B96A18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85" w:hRule="atLeast"/>
        </w:trPr>
        <w:tc>
          <w:tcPr>
            <w:tcW w:w="633" w:type="dxa"/>
            <w:tcBorders>
              <w:top w:val="single" w:color="auto" w:sz="4" w:space="0"/>
              <w:left w:val="single" w:color="auto" w:sz="12" w:space="0"/>
              <w:bottom w:val="single" w:color="auto" w:sz="4" w:space="0"/>
              <w:right w:val="single" w:color="auto" w:sz="4" w:space="0"/>
            </w:tcBorders>
            <w:vAlign w:val="center"/>
          </w:tcPr>
          <w:p w14:paraId="32489ABC">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zh-CN"/>
              </w:rPr>
              <w:t>11</w:t>
            </w:r>
          </w:p>
        </w:tc>
        <w:tc>
          <w:tcPr>
            <w:tcW w:w="1067" w:type="dxa"/>
            <w:tcBorders>
              <w:top w:val="single" w:color="auto" w:sz="4" w:space="0"/>
              <w:left w:val="single" w:color="auto" w:sz="4" w:space="0"/>
              <w:bottom w:val="single" w:color="auto" w:sz="4" w:space="0"/>
              <w:right w:val="single" w:color="auto" w:sz="4" w:space="0"/>
            </w:tcBorders>
            <w:vAlign w:val="center"/>
          </w:tcPr>
          <w:p w14:paraId="434D72ED">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重点问题和困难</w:t>
            </w:r>
          </w:p>
        </w:tc>
        <w:tc>
          <w:tcPr>
            <w:tcW w:w="7251" w:type="dxa"/>
            <w:tcBorders>
              <w:top w:val="single" w:color="auto" w:sz="4" w:space="0"/>
              <w:left w:val="single" w:color="auto" w:sz="4" w:space="0"/>
              <w:bottom w:val="single" w:color="auto" w:sz="4" w:space="0"/>
              <w:right w:val="single" w:color="auto" w:sz="4" w:space="0"/>
            </w:tcBorders>
            <w:vAlign w:val="center"/>
          </w:tcPr>
          <w:p w14:paraId="0B26B2F6">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对本项目存在的重点问题和困难是否提出了明确的技术解决方法，或技术方案充分考虑了以上问题，解决方案是否具有逻辑性、完整性、可行性进行综合打分，</w:t>
            </w:r>
            <w:r>
              <w:rPr>
                <w:rFonts w:hint="eastAsia" w:ascii="宋体" w:hAnsi="宋体" w:eastAsia="宋体" w:cs="宋体"/>
                <w:bCs/>
                <w:kern w:val="0"/>
                <w:sz w:val="21"/>
                <w:szCs w:val="21"/>
                <w:lang w:val="en-US" w:eastAsia="zh-CN"/>
              </w:rPr>
              <w:t>打分区间：0,1,3,5,7</w:t>
            </w:r>
            <w:r>
              <w:rPr>
                <w:rFonts w:hint="eastAsia" w:ascii="宋体" w:hAnsi="宋体" w:eastAsia="宋体" w:cs="宋体"/>
                <w:bCs/>
                <w:kern w:val="0"/>
                <w:sz w:val="21"/>
                <w:szCs w:val="21"/>
                <w:lang w:val="zh-CN"/>
              </w:rPr>
              <w:t>。</w:t>
            </w:r>
          </w:p>
        </w:tc>
        <w:tc>
          <w:tcPr>
            <w:tcW w:w="766" w:type="dxa"/>
            <w:tcBorders>
              <w:top w:val="single" w:color="auto" w:sz="4" w:space="0"/>
              <w:left w:val="single" w:color="auto" w:sz="4" w:space="0"/>
              <w:bottom w:val="single" w:color="auto" w:sz="4" w:space="0"/>
              <w:right w:val="single" w:color="auto" w:sz="12" w:space="0"/>
            </w:tcBorders>
            <w:vAlign w:val="center"/>
          </w:tcPr>
          <w:p w14:paraId="35DF75B2">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en-US" w:eastAsia="zh-CN"/>
              </w:rPr>
              <w:t>7</w:t>
            </w:r>
            <w:r>
              <w:rPr>
                <w:rFonts w:hint="eastAsia" w:ascii="宋体" w:hAnsi="宋体" w:eastAsia="宋体" w:cs="宋体"/>
                <w:bCs/>
                <w:kern w:val="0"/>
                <w:sz w:val="21"/>
                <w:szCs w:val="21"/>
                <w:lang w:val="zh-CN"/>
              </w:rPr>
              <w:t>分</w:t>
            </w:r>
          </w:p>
        </w:tc>
      </w:tr>
      <w:tr w14:paraId="4DE0F5C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85" w:hRule="atLeast"/>
        </w:trPr>
        <w:tc>
          <w:tcPr>
            <w:tcW w:w="633" w:type="dxa"/>
            <w:tcBorders>
              <w:top w:val="single" w:color="auto" w:sz="4" w:space="0"/>
              <w:left w:val="single" w:color="auto" w:sz="12" w:space="0"/>
              <w:bottom w:val="single" w:color="auto" w:sz="4" w:space="0"/>
              <w:right w:val="single" w:color="auto" w:sz="4" w:space="0"/>
            </w:tcBorders>
            <w:vAlign w:val="center"/>
          </w:tcPr>
          <w:p w14:paraId="7D5D0B19">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12</w:t>
            </w:r>
          </w:p>
        </w:tc>
        <w:tc>
          <w:tcPr>
            <w:tcW w:w="1067" w:type="dxa"/>
            <w:tcBorders>
              <w:top w:val="single" w:color="auto" w:sz="4" w:space="0"/>
              <w:left w:val="single" w:color="auto" w:sz="4" w:space="0"/>
              <w:bottom w:val="single" w:color="auto" w:sz="4" w:space="0"/>
              <w:right w:val="single" w:color="auto" w:sz="4" w:space="0"/>
            </w:tcBorders>
            <w:vAlign w:val="center"/>
          </w:tcPr>
          <w:p w14:paraId="131A5302">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服务质量保障措施</w:t>
            </w:r>
          </w:p>
        </w:tc>
        <w:tc>
          <w:tcPr>
            <w:tcW w:w="7251" w:type="dxa"/>
            <w:tcBorders>
              <w:top w:val="single" w:color="auto" w:sz="4" w:space="0"/>
              <w:left w:val="single" w:color="auto" w:sz="4" w:space="0"/>
              <w:bottom w:val="single" w:color="auto" w:sz="4" w:space="0"/>
              <w:right w:val="single" w:color="auto" w:sz="4" w:space="0"/>
            </w:tcBorders>
            <w:vAlign w:val="center"/>
          </w:tcPr>
          <w:p w14:paraId="5613BF21">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针对本项目的招商引资服务质量保障措施，评标委员会根据投标文件中制定的保障措施的合理情况进行综合打分，</w:t>
            </w:r>
            <w:r>
              <w:rPr>
                <w:rFonts w:hint="eastAsia" w:ascii="宋体" w:hAnsi="宋体" w:eastAsia="宋体" w:cs="宋体"/>
                <w:bCs/>
                <w:kern w:val="0"/>
                <w:sz w:val="21"/>
                <w:szCs w:val="21"/>
                <w:lang w:val="en-US" w:eastAsia="zh-CN"/>
              </w:rPr>
              <w:t>打分区间：0,1,3,5,7</w:t>
            </w:r>
            <w:r>
              <w:rPr>
                <w:rFonts w:hint="eastAsia" w:ascii="宋体" w:hAnsi="宋体" w:eastAsia="宋体" w:cs="宋体"/>
                <w:bCs/>
                <w:kern w:val="0"/>
                <w:sz w:val="21"/>
                <w:szCs w:val="21"/>
                <w:lang w:val="zh-CN"/>
              </w:rPr>
              <w:t xml:space="preserve">。 </w:t>
            </w:r>
          </w:p>
        </w:tc>
        <w:tc>
          <w:tcPr>
            <w:tcW w:w="766" w:type="dxa"/>
            <w:tcBorders>
              <w:top w:val="single" w:color="auto" w:sz="4" w:space="0"/>
              <w:left w:val="single" w:color="auto" w:sz="4" w:space="0"/>
              <w:bottom w:val="single" w:color="auto" w:sz="4" w:space="0"/>
              <w:right w:val="single" w:color="auto" w:sz="12" w:space="0"/>
            </w:tcBorders>
            <w:vAlign w:val="center"/>
          </w:tcPr>
          <w:p w14:paraId="6BB935BA">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en-US" w:eastAsia="zh-CN"/>
              </w:rPr>
              <w:t>7</w:t>
            </w:r>
            <w:r>
              <w:rPr>
                <w:rFonts w:hint="eastAsia" w:ascii="宋体" w:hAnsi="宋体" w:eastAsia="宋体" w:cs="宋体"/>
                <w:bCs/>
                <w:kern w:val="0"/>
                <w:sz w:val="21"/>
                <w:szCs w:val="21"/>
                <w:lang w:val="zh-CN"/>
              </w:rPr>
              <w:t>分</w:t>
            </w:r>
          </w:p>
        </w:tc>
      </w:tr>
      <w:tr w14:paraId="4AF53EC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75" w:hRule="atLeast"/>
        </w:trPr>
        <w:tc>
          <w:tcPr>
            <w:tcW w:w="633" w:type="dxa"/>
            <w:tcBorders>
              <w:top w:val="single" w:color="auto" w:sz="4" w:space="0"/>
              <w:left w:val="single" w:color="auto" w:sz="12" w:space="0"/>
              <w:bottom w:val="single" w:color="auto" w:sz="4" w:space="0"/>
              <w:right w:val="single" w:color="auto" w:sz="4" w:space="0"/>
            </w:tcBorders>
            <w:vAlign w:val="center"/>
          </w:tcPr>
          <w:p w14:paraId="7AC1AB43">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13</w:t>
            </w:r>
          </w:p>
        </w:tc>
        <w:tc>
          <w:tcPr>
            <w:tcW w:w="1067" w:type="dxa"/>
            <w:tcBorders>
              <w:top w:val="single" w:color="auto" w:sz="4" w:space="0"/>
              <w:left w:val="single" w:color="auto" w:sz="4" w:space="0"/>
              <w:bottom w:val="single" w:color="auto" w:sz="4" w:space="0"/>
              <w:right w:val="single" w:color="auto" w:sz="4" w:space="0"/>
            </w:tcBorders>
            <w:vAlign w:val="center"/>
          </w:tcPr>
          <w:p w14:paraId="4B09CD69">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应急工作方案</w:t>
            </w:r>
          </w:p>
        </w:tc>
        <w:tc>
          <w:tcPr>
            <w:tcW w:w="7251" w:type="dxa"/>
            <w:tcBorders>
              <w:top w:val="single" w:color="auto" w:sz="4" w:space="0"/>
              <w:left w:val="single" w:color="auto" w:sz="4" w:space="0"/>
              <w:bottom w:val="single" w:color="auto" w:sz="4" w:space="0"/>
              <w:right w:val="single" w:color="auto" w:sz="4" w:space="0"/>
            </w:tcBorders>
            <w:vAlign w:val="center"/>
          </w:tcPr>
          <w:p w14:paraId="3A469A94">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投标人根据本项目制定详细的应急工作方案计划，对招标人临时安排的任务、突发事件等制定处理及响应方案，解决方案是否具有逻辑性、完整性、可行性进行综合评分，</w:t>
            </w:r>
            <w:r>
              <w:rPr>
                <w:rFonts w:hint="eastAsia" w:ascii="宋体" w:hAnsi="宋体" w:eastAsia="宋体" w:cs="宋体"/>
                <w:bCs/>
                <w:kern w:val="0"/>
                <w:sz w:val="21"/>
                <w:szCs w:val="21"/>
                <w:lang w:val="en-US" w:eastAsia="zh-CN"/>
              </w:rPr>
              <w:t>打分区间：0,1,2,3</w:t>
            </w:r>
            <w:r>
              <w:rPr>
                <w:rFonts w:hint="eastAsia" w:ascii="宋体" w:hAnsi="宋体" w:eastAsia="宋体" w:cs="宋体"/>
                <w:bCs/>
                <w:kern w:val="0"/>
                <w:sz w:val="21"/>
                <w:szCs w:val="21"/>
                <w:lang w:val="zh-CN"/>
              </w:rPr>
              <w:t>。</w:t>
            </w:r>
          </w:p>
        </w:tc>
        <w:tc>
          <w:tcPr>
            <w:tcW w:w="766" w:type="dxa"/>
            <w:tcBorders>
              <w:top w:val="single" w:color="auto" w:sz="4" w:space="0"/>
              <w:left w:val="single" w:color="auto" w:sz="4" w:space="0"/>
              <w:bottom w:val="single" w:color="auto" w:sz="4" w:space="0"/>
              <w:right w:val="single" w:color="auto" w:sz="12" w:space="0"/>
            </w:tcBorders>
            <w:vAlign w:val="center"/>
          </w:tcPr>
          <w:p w14:paraId="51BFFD28">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en-US" w:eastAsia="zh-CN"/>
              </w:rPr>
              <w:t>3</w:t>
            </w:r>
            <w:r>
              <w:rPr>
                <w:rFonts w:hint="eastAsia" w:ascii="宋体" w:hAnsi="宋体" w:eastAsia="宋体" w:cs="宋体"/>
                <w:bCs/>
                <w:kern w:val="0"/>
                <w:sz w:val="21"/>
                <w:szCs w:val="21"/>
                <w:lang w:val="zh-CN"/>
              </w:rPr>
              <w:t>分</w:t>
            </w:r>
          </w:p>
        </w:tc>
      </w:tr>
      <w:tr w14:paraId="75A8572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5" w:hRule="atLeast"/>
        </w:trPr>
        <w:tc>
          <w:tcPr>
            <w:tcW w:w="9717" w:type="dxa"/>
            <w:gridSpan w:val="4"/>
            <w:tcBorders>
              <w:top w:val="single" w:color="auto" w:sz="4" w:space="0"/>
              <w:left w:val="single" w:color="auto" w:sz="12" w:space="0"/>
              <w:bottom w:val="single" w:color="auto" w:sz="4" w:space="0"/>
              <w:right w:val="single" w:color="auto" w:sz="12" w:space="0"/>
            </w:tcBorders>
            <w:vAlign w:val="center"/>
          </w:tcPr>
          <w:p w14:paraId="01217CE1">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报价文件（</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lang w:val="zh-CN"/>
              </w:rPr>
              <w:t>0分）</w:t>
            </w:r>
          </w:p>
        </w:tc>
      </w:tr>
      <w:tr w14:paraId="691D789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185" w:hRule="atLeast"/>
        </w:trPr>
        <w:tc>
          <w:tcPr>
            <w:tcW w:w="633" w:type="dxa"/>
            <w:tcBorders>
              <w:top w:val="single" w:color="auto" w:sz="4" w:space="0"/>
              <w:left w:val="single" w:color="auto" w:sz="12" w:space="0"/>
              <w:bottom w:val="single" w:color="auto" w:sz="4" w:space="0"/>
              <w:right w:val="single" w:color="auto" w:sz="4" w:space="0"/>
            </w:tcBorders>
            <w:vAlign w:val="center"/>
          </w:tcPr>
          <w:p w14:paraId="1DB6F604">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zh-CN"/>
              </w:rPr>
              <w:t>1</w:t>
            </w:r>
            <w:r>
              <w:rPr>
                <w:rFonts w:hint="eastAsia" w:ascii="宋体" w:hAnsi="宋体" w:eastAsia="宋体" w:cs="宋体"/>
                <w:bCs/>
                <w:kern w:val="0"/>
                <w:sz w:val="21"/>
                <w:szCs w:val="21"/>
                <w:lang w:val="en-US" w:eastAsia="zh-CN"/>
              </w:rPr>
              <w:t>4</w:t>
            </w:r>
          </w:p>
        </w:tc>
        <w:tc>
          <w:tcPr>
            <w:tcW w:w="1067" w:type="dxa"/>
            <w:tcBorders>
              <w:top w:val="single" w:color="auto" w:sz="4" w:space="0"/>
              <w:left w:val="single" w:color="auto" w:sz="4" w:space="0"/>
              <w:bottom w:val="single" w:color="auto" w:sz="4" w:space="0"/>
              <w:right w:val="single" w:color="auto" w:sz="4" w:space="0"/>
            </w:tcBorders>
            <w:vAlign w:val="center"/>
          </w:tcPr>
          <w:p w14:paraId="47F3DBDC">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投标报价</w:t>
            </w:r>
          </w:p>
        </w:tc>
        <w:tc>
          <w:tcPr>
            <w:tcW w:w="7251" w:type="dxa"/>
            <w:tcBorders>
              <w:top w:val="single" w:color="auto" w:sz="4" w:space="0"/>
              <w:left w:val="single" w:color="auto" w:sz="4" w:space="0"/>
              <w:bottom w:val="single" w:color="auto" w:sz="4" w:space="0"/>
              <w:right w:val="single" w:color="auto" w:sz="4" w:space="0"/>
            </w:tcBorders>
            <w:vAlign w:val="center"/>
          </w:tcPr>
          <w:p w14:paraId="210DB921">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有效投标报价的最低价作为评标基准价，其最低报价为满分；按［投标报价得分=（评标基准价/投标报价）*</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lang w:val="zh-CN"/>
              </w:rPr>
              <w:t>0%*100］的计算公式计算。</w:t>
            </w:r>
          </w:p>
          <w:p w14:paraId="3B968993">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评标过程中，不得去掉报价中的最高报价和最低报价。</w:t>
            </w:r>
          </w:p>
        </w:tc>
        <w:tc>
          <w:tcPr>
            <w:tcW w:w="766" w:type="dxa"/>
            <w:tcBorders>
              <w:top w:val="single" w:color="auto" w:sz="4" w:space="0"/>
              <w:left w:val="single" w:color="auto" w:sz="4" w:space="0"/>
              <w:bottom w:val="single" w:color="auto" w:sz="4" w:space="0"/>
              <w:right w:val="single" w:color="auto" w:sz="12" w:space="0"/>
            </w:tcBorders>
            <w:vAlign w:val="center"/>
          </w:tcPr>
          <w:p w14:paraId="6197BB78">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en-US" w:eastAsia="zh-CN"/>
              </w:rPr>
              <w:t>20</w:t>
            </w:r>
            <w:r>
              <w:rPr>
                <w:rFonts w:hint="eastAsia" w:ascii="宋体" w:hAnsi="宋体" w:eastAsia="宋体" w:cs="宋体"/>
                <w:bCs/>
                <w:kern w:val="0"/>
                <w:sz w:val="21"/>
                <w:szCs w:val="21"/>
                <w:lang w:val="zh-CN"/>
              </w:rPr>
              <w:t>分</w:t>
            </w:r>
          </w:p>
        </w:tc>
      </w:tr>
    </w:tbl>
    <w:p w14:paraId="1F69A363">
      <w:pPr>
        <w:pStyle w:val="11"/>
        <w:ind w:firstLine="210"/>
        <w:rPr>
          <w:rFonts w:eastAsiaTheme="minorEastAsia"/>
          <w:sz w:val="21"/>
          <w:szCs w:val="21"/>
          <w:lang w:val="zh-CN"/>
        </w:rPr>
      </w:pPr>
    </w:p>
    <w:p w14:paraId="5991ECC2">
      <w:pPr>
        <w:rPr>
          <w:rFonts w:ascii="宋体" w:hAnsi="宋体" w:eastAsia="宋体" w:cs="宋体"/>
          <w:b/>
          <w:bCs/>
          <w:sz w:val="21"/>
          <w:szCs w:val="21"/>
        </w:rPr>
      </w:pPr>
      <w:r>
        <w:rPr>
          <w:rFonts w:hint="eastAsia" w:ascii="宋体" w:hAnsi="宋体" w:eastAsia="宋体" w:cs="宋体"/>
          <w:b/>
          <w:bCs/>
          <w:sz w:val="21"/>
          <w:szCs w:val="21"/>
        </w:rPr>
        <w:t>注：请磋商响应方根据评分细则，设置好“关联定位”，方便专家评审。</w:t>
      </w:r>
    </w:p>
    <w:p w14:paraId="659535CC">
      <w:pPr>
        <w:rPr>
          <w:rFonts w:hint="eastAsia" w:ascii="宋体" w:hAnsi="宋体" w:eastAsia="宋体" w:cs="宋体"/>
          <w:b/>
          <w:sz w:val="21"/>
          <w:szCs w:val="21"/>
        </w:rPr>
      </w:pPr>
      <w:r>
        <w:rPr>
          <w:rFonts w:hint="eastAsia" w:ascii="宋体" w:hAnsi="宋体" w:eastAsia="宋体" w:cs="宋体"/>
          <w:b/>
          <w:sz w:val="21"/>
          <w:szCs w:val="21"/>
        </w:rPr>
        <w:br w:type="page"/>
      </w:r>
    </w:p>
    <w:p w14:paraId="5B627150">
      <w:pPr>
        <w:keepNext w:val="0"/>
        <w:keepLines w:val="0"/>
        <w:numPr>
          <w:ilvl w:val="0"/>
          <w:numId w:val="4"/>
        </w:numPr>
        <w:kinsoku/>
        <w:wordWrap/>
        <w:topLinePunct w:val="0"/>
        <w:autoSpaceDE w:val="0"/>
        <w:autoSpaceDN w:val="0"/>
        <w:bidi w:val="0"/>
        <w:adjustRightInd w:val="0"/>
        <w:spacing w:line="360" w:lineRule="auto"/>
        <w:jc w:val="center"/>
        <w:outlineLvl w:val="0"/>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拟签订的合同文本</w:t>
      </w:r>
    </w:p>
    <w:p w14:paraId="4FBB7CA1">
      <w:pPr>
        <w:widowControl/>
        <w:shd w:val="clear" w:color="auto" w:fill="FFFFFF"/>
        <w:spacing w:line="360" w:lineRule="auto"/>
        <w:ind w:firstLine="480" w:firstLineChars="200"/>
        <w:rPr>
          <w:rFonts w:hint="eastAsia" w:ascii="宋体" w:hAnsi="宋体"/>
          <w:sz w:val="24"/>
        </w:rPr>
      </w:pPr>
      <w:r>
        <w:rPr>
          <w:rFonts w:hint="eastAsia" w:ascii="宋体" w:hAnsi="宋体"/>
          <w:sz w:val="24"/>
        </w:rPr>
        <w:t>委托人（甲方）：台州市投资促进中心</w:t>
      </w:r>
    </w:p>
    <w:p w14:paraId="6AF8DFEA">
      <w:pPr>
        <w:widowControl/>
        <w:shd w:val="clear" w:color="auto" w:fill="FFFFFF"/>
        <w:spacing w:line="360" w:lineRule="auto"/>
        <w:ind w:firstLine="480" w:firstLineChars="200"/>
        <w:rPr>
          <w:rFonts w:hint="eastAsia" w:ascii="宋体" w:hAnsi="宋体"/>
          <w:sz w:val="24"/>
        </w:rPr>
      </w:pPr>
      <w:r>
        <w:rPr>
          <w:rFonts w:hint="eastAsia" w:ascii="宋体" w:hAnsi="宋体"/>
          <w:sz w:val="24"/>
        </w:rPr>
        <w:t>负责人：</w:t>
      </w:r>
    </w:p>
    <w:p w14:paraId="51EEE042">
      <w:pPr>
        <w:widowControl/>
        <w:shd w:val="clear" w:color="auto" w:fill="FFFFFF"/>
        <w:spacing w:line="360" w:lineRule="auto"/>
        <w:ind w:firstLine="480" w:firstLineChars="200"/>
        <w:rPr>
          <w:rFonts w:hint="eastAsia" w:ascii="宋体" w:hAnsi="宋体"/>
          <w:sz w:val="24"/>
        </w:rPr>
      </w:pPr>
      <w:r>
        <w:rPr>
          <w:rFonts w:hint="eastAsia" w:ascii="宋体" w:hAnsi="宋体"/>
          <w:sz w:val="24"/>
        </w:rPr>
        <w:t>地址：</w:t>
      </w:r>
    </w:p>
    <w:p w14:paraId="17740C45">
      <w:pPr>
        <w:widowControl/>
        <w:shd w:val="clear" w:color="auto" w:fill="FFFFFF"/>
        <w:spacing w:line="360" w:lineRule="auto"/>
        <w:ind w:firstLine="480" w:firstLineChars="200"/>
        <w:rPr>
          <w:rFonts w:hint="eastAsia" w:ascii="宋体" w:hAnsi="宋体"/>
          <w:sz w:val="24"/>
        </w:rPr>
      </w:pPr>
      <w:r>
        <w:rPr>
          <w:rFonts w:hint="eastAsia" w:ascii="宋体" w:hAnsi="宋体"/>
          <w:sz w:val="24"/>
        </w:rPr>
        <w:t>联系人：</w:t>
      </w:r>
    </w:p>
    <w:p w14:paraId="03151991">
      <w:pPr>
        <w:widowControl/>
        <w:shd w:val="clear" w:color="auto" w:fill="FFFFFF"/>
        <w:spacing w:line="360" w:lineRule="auto"/>
        <w:ind w:firstLine="480" w:firstLineChars="200"/>
        <w:rPr>
          <w:rFonts w:hint="eastAsia" w:ascii="宋体" w:hAnsi="宋体"/>
          <w:sz w:val="24"/>
        </w:rPr>
      </w:pPr>
      <w:r>
        <w:rPr>
          <w:rFonts w:hint="eastAsia" w:ascii="宋体" w:hAnsi="宋体"/>
          <w:sz w:val="24"/>
        </w:rPr>
        <w:t>联系电话：</w:t>
      </w:r>
    </w:p>
    <w:p w14:paraId="55B39A7E">
      <w:pPr>
        <w:widowControl/>
        <w:shd w:val="clear" w:color="auto" w:fill="FFFFFF"/>
        <w:spacing w:line="360" w:lineRule="auto"/>
        <w:ind w:firstLine="480" w:firstLineChars="200"/>
        <w:rPr>
          <w:rFonts w:hint="eastAsia" w:ascii="宋体" w:hAnsi="宋体"/>
          <w:sz w:val="24"/>
        </w:rPr>
      </w:pPr>
    </w:p>
    <w:p w14:paraId="43239D51">
      <w:pPr>
        <w:widowControl/>
        <w:shd w:val="clear" w:color="auto" w:fill="FFFFFF"/>
        <w:spacing w:line="360" w:lineRule="auto"/>
        <w:ind w:firstLine="480" w:firstLineChars="200"/>
        <w:rPr>
          <w:rFonts w:hint="eastAsia" w:ascii="宋体" w:hAnsi="宋体"/>
          <w:sz w:val="24"/>
        </w:rPr>
      </w:pPr>
      <w:r>
        <w:rPr>
          <w:rFonts w:hint="eastAsia" w:ascii="宋体" w:hAnsi="宋体"/>
          <w:sz w:val="24"/>
        </w:rPr>
        <w:t>受托人（乙方）：</w:t>
      </w:r>
    </w:p>
    <w:p w14:paraId="4C16F490">
      <w:pPr>
        <w:widowControl/>
        <w:shd w:val="clear" w:color="auto" w:fill="FFFFFF"/>
        <w:spacing w:line="360" w:lineRule="auto"/>
        <w:ind w:firstLine="480" w:firstLineChars="200"/>
        <w:rPr>
          <w:rFonts w:hint="eastAsia" w:ascii="宋体" w:hAnsi="宋体"/>
          <w:sz w:val="24"/>
        </w:rPr>
      </w:pPr>
      <w:r>
        <w:rPr>
          <w:rFonts w:hint="eastAsia" w:ascii="宋体" w:hAnsi="宋体"/>
          <w:sz w:val="24"/>
        </w:rPr>
        <w:t>法定代表人：</w:t>
      </w:r>
    </w:p>
    <w:p w14:paraId="01880311">
      <w:pPr>
        <w:widowControl/>
        <w:shd w:val="clear" w:color="auto" w:fill="FFFFFF"/>
        <w:spacing w:line="360" w:lineRule="auto"/>
        <w:ind w:firstLine="480" w:firstLineChars="200"/>
        <w:rPr>
          <w:rFonts w:hint="eastAsia" w:ascii="宋体" w:hAnsi="宋体"/>
          <w:sz w:val="24"/>
        </w:rPr>
      </w:pPr>
      <w:r>
        <w:rPr>
          <w:rFonts w:hint="eastAsia" w:ascii="宋体" w:hAnsi="宋体"/>
          <w:sz w:val="24"/>
        </w:rPr>
        <w:t>地址：</w:t>
      </w:r>
    </w:p>
    <w:p w14:paraId="1F0B8327">
      <w:pPr>
        <w:widowControl/>
        <w:shd w:val="clear" w:color="auto" w:fill="FFFFFF"/>
        <w:spacing w:line="360" w:lineRule="auto"/>
        <w:ind w:firstLine="480" w:firstLineChars="200"/>
        <w:rPr>
          <w:rFonts w:hint="eastAsia" w:ascii="宋体" w:hAnsi="宋体"/>
          <w:sz w:val="24"/>
        </w:rPr>
      </w:pPr>
      <w:r>
        <w:rPr>
          <w:rFonts w:hint="eastAsia" w:ascii="宋体" w:hAnsi="宋体"/>
          <w:sz w:val="24"/>
        </w:rPr>
        <w:t>联系人：</w:t>
      </w:r>
    </w:p>
    <w:p w14:paraId="19A1D784">
      <w:pPr>
        <w:widowControl/>
        <w:shd w:val="clear" w:color="auto" w:fill="FFFFFF"/>
        <w:spacing w:line="360" w:lineRule="auto"/>
        <w:ind w:firstLine="480" w:firstLineChars="200"/>
        <w:rPr>
          <w:rFonts w:hint="eastAsia" w:ascii="宋体" w:hAnsi="宋体"/>
          <w:sz w:val="24"/>
        </w:rPr>
      </w:pPr>
      <w:r>
        <w:rPr>
          <w:rFonts w:hint="eastAsia" w:ascii="宋体" w:hAnsi="宋体"/>
          <w:sz w:val="24"/>
        </w:rPr>
        <w:t>联系电话：</w:t>
      </w:r>
    </w:p>
    <w:p w14:paraId="56DEA397">
      <w:pPr>
        <w:widowControl/>
        <w:shd w:val="clear" w:color="auto" w:fill="FFFFFF"/>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为共同做好台州市的招商引资工作，由甲方委托乙方进行招商引资事务。为明确双方之权利义务，依照《中华人民共和国民法典》及其有关法律法规的规定，经双方充分协商，订立本协议。</w:t>
      </w:r>
    </w:p>
    <w:p w14:paraId="4DD416B8">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bookmarkStart w:id="23" w:name="_Toc381081902"/>
      <w:r>
        <w:rPr>
          <w:rFonts w:hint="eastAsia" w:ascii="宋体" w:hAnsi="宋体"/>
          <w:b/>
          <w:bCs/>
          <w:color w:val="000000" w:themeColor="text1"/>
          <w:sz w:val="24"/>
          <w14:textFill>
            <w14:solidFill>
              <w14:schemeClr w14:val="tx1"/>
            </w14:solidFill>
          </w14:textFill>
        </w:rPr>
        <w:t>第一条 委托事务</w:t>
      </w:r>
    </w:p>
    <w:p w14:paraId="380755C2">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乙方为台州市寻找有投资意向的企业，并积极促进双方对接和项目在台州范围内落地，并提供本协议约定的服务。</w:t>
      </w:r>
    </w:p>
    <w:p w14:paraId="3416C437">
      <w:pPr>
        <w:widowControl/>
        <w:shd w:val="clear" w:color="auto" w:fill="FFFFFF"/>
        <w:spacing w:line="360" w:lineRule="auto"/>
        <w:ind w:firstLine="480" w:firstLineChars="200"/>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第二条 委托期限</w:t>
      </w:r>
    </w:p>
    <w:p w14:paraId="6FF2662A">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自2024年  月 1 日起，委托期限一年。</w:t>
      </w:r>
    </w:p>
    <w:p w14:paraId="3FAF2AA0">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第三条 工作任务</w:t>
      </w:r>
    </w:p>
    <w:p w14:paraId="1BE7F5B3">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乙方通过电话、拜访、网络等方式协助甲方做好台州市产业推广、客商信息收集、项目洽谈和引进等招商工作。</w:t>
      </w:r>
    </w:p>
    <w:p w14:paraId="62E2AD51">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第四条 服务内容、要求及相应委托报酬</w:t>
      </w:r>
    </w:p>
    <w:p w14:paraId="499F283F">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（一）提供有效招商信息</w:t>
      </w:r>
    </w:p>
    <w:p w14:paraId="3AC67208">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1、项目要求：新能源汽车、新材料、医药、精密制造、光电等符合台州市招商主导产业并且固定资产投资规模不低于10亿元人民币的项目（世界500强企业投资项目、行业龙头企业、外资项目除外）。                                        </w:t>
      </w:r>
    </w:p>
    <w:p w14:paraId="7A393F04">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2、区域要求：台州市外企业。</w:t>
      </w:r>
    </w:p>
    <w:p w14:paraId="296F6B81">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3、客户要求：近期有投资计划、符合台州产业需求、愿意来台州投资合作并进行互访交流（不含台州户籍人员或台州企业在外设立的公司）。</w:t>
      </w:r>
    </w:p>
    <w:p w14:paraId="7F89AFAC">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4、乙方安排专职招商人员代表甲方进行客商信息收集、洽谈和引荐等招商工作。</w:t>
      </w:r>
    </w:p>
    <w:p w14:paraId="6A9D4E69">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5、双方商定乙方每年提供不少于</w:t>
      </w:r>
      <w:r>
        <w:rPr>
          <w:rFonts w:hint="eastAsia" w:ascii="宋体" w:hAnsi="宋体" w:eastAsia="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个符合甲方要求的有效项目信息（指甲方和投资方都有互访交流愿望，且经甲方确认）。项目信息含企业情况介绍，拟投资项目名称、投资内容、投资规模、载体需求、政策诉求、企业负责人联系方式等主要内容，以简报形式发给甲方指定人员确认。</w:t>
      </w:r>
    </w:p>
    <w:p w14:paraId="4AD3439E">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6、乙方承诺在合作期内至少落地</w:t>
      </w:r>
      <w:r>
        <w:rPr>
          <w:rFonts w:hint="eastAsia" w:ascii="宋体" w:hAnsi="宋体" w:eastAsia="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家符合前述条件的企业。</w:t>
      </w:r>
    </w:p>
    <w:p w14:paraId="2E01B154">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该项委托报酬</w:t>
      </w:r>
      <w:r>
        <w:rPr>
          <w:rFonts w:hint="eastAsia" w:ascii="宋体" w:hAnsi="宋体" w:eastAsia="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p>
    <w:p w14:paraId="7B7449A9">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（二）上门招商</w:t>
      </w:r>
    </w:p>
    <w:p w14:paraId="67F1AE18">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乙方应甲方需求，组织甲方赴招商目标企业（不含有效招商信息中的投资企业）开展产业链精准招商，帮助联系目标企业负责人，开展考察和洽谈对接。合作期内不少于</w:t>
      </w:r>
      <w:r>
        <w:rPr>
          <w:rFonts w:hint="eastAsia" w:ascii="宋体" w:hAnsi="宋体" w:eastAsia="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家。</w:t>
      </w:r>
    </w:p>
    <w:p w14:paraId="29682D02">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该项委托报酬</w:t>
      </w:r>
      <w:r>
        <w:rPr>
          <w:rFonts w:hint="eastAsia" w:ascii="宋体" w:hAnsi="宋体" w:eastAsia="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p>
    <w:p w14:paraId="05D08735">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（三）小型招商活动</w:t>
      </w:r>
    </w:p>
    <w:p w14:paraId="697623C8">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组织其高端客户，在国内主要城市（包括但不限于北京、上海、深圳、杭州等地）举办闭门洽谈会或小型沙龙会等商务活动，做好客户邀请、会务安排等，帮助甲方推介投资环境、开展交流合作。合作期内不少于</w:t>
      </w:r>
      <w:r>
        <w:rPr>
          <w:rFonts w:hint="eastAsia" w:ascii="宋体" w:hAnsi="宋体" w:eastAsia="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次。</w:t>
      </w:r>
    </w:p>
    <w:p w14:paraId="5E20B89C">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该项委托报酬</w:t>
      </w:r>
      <w:r>
        <w:rPr>
          <w:rFonts w:hint="eastAsia" w:ascii="宋体" w:hAnsi="宋体" w:eastAsia="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p>
    <w:p w14:paraId="5C1B43F7">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（四）业务培训</w:t>
      </w:r>
    </w:p>
    <w:p w14:paraId="7C9CC5CE">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组织甲方认可的国内外产业链专家、招商领域专家学者、投资基金高级合伙人等，采用线上与线下相结合的形式，对台州招商干部进行业务培训，授课内容包括经济、产业、科技、基金、谈判技巧、实战经验等知识领域，授课次数</w:t>
      </w:r>
      <w:r>
        <w:rPr>
          <w:rFonts w:hint="eastAsia" w:ascii="宋体" w:hAnsi="宋体"/>
          <w:color w:val="000000" w:themeColor="text1"/>
          <w:sz w:val="24"/>
          <w:highlight w:val="none"/>
          <w14:textFill>
            <w14:solidFill>
              <w14:schemeClr w14:val="tx1"/>
            </w14:solidFill>
          </w14:textFill>
        </w:rPr>
        <w:t>不少于</w:t>
      </w:r>
      <w:r>
        <w:rPr>
          <w:rFonts w:hint="eastAsia" w:ascii="宋体" w:hAnsi="宋体" w:eastAsia="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次。</w:t>
      </w:r>
    </w:p>
    <w:p w14:paraId="59E8F789">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该项委托报酬</w:t>
      </w:r>
      <w:r>
        <w:rPr>
          <w:rFonts w:hint="eastAsia" w:ascii="宋体" w:hAnsi="宋体" w:eastAsia="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p>
    <w:p w14:paraId="19199454">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第五条 委托报酬及支付方式</w:t>
      </w:r>
    </w:p>
    <w:p w14:paraId="504FB73F">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（一）依据乙方提供的招商服务内容，</w:t>
      </w:r>
      <w:r>
        <w:rPr>
          <w:rFonts w:hint="eastAsia" w:ascii="宋体" w:hAnsi="宋体" w:eastAsia="宋体"/>
          <w:color w:val="000000" w:themeColor="text1"/>
          <w:sz w:val="24"/>
          <w:lang w:val="en-US" w:eastAsia="zh-CN"/>
          <w14:textFill>
            <w14:solidFill>
              <w14:schemeClr w14:val="tx1"/>
            </w14:solidFill>
          </w14:textFill>
        </w:rPr>
        <w:t>本项目合同价为</w:t>
      </w:r>
      <w:r>
        <w:rPr>
          <w:rFonts w:hint="eastAsia" w:ascii="宋体" w:hAnsi="宋体" w:eastAsia="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万元（大写：</w:t>
      </w:r>
      <w:r>
        <w:rPr>
          <w:rFonts w:hint="eastAsia" w:ascii="宋体" w:hAnsi="宋体" w:eastAsia="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w:t>
      </w:r>
    </w:p>
    <w:p w14:paraId="7AA740E2">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（二）支付方式：</w:t>
      </w:r>
    </w:p>
    <w:p w14:paraId="74528647">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1、双方签订合同且乙方提供相关发票后10个工作日，甲方预付乙方合同总价40%合同款，计</w:t>
      </w:r>
      <w:r>
        <w:rPr>
          <w:rFonts w:hint="eastAsia" w:ascii="宋体" w:hAnsi="宋体" w:eastAsia="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p>
    <w:p w14:paraId="1B592576">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2、2024年12月1日前再行支付合同总价的20%，计</w:t>
      </w:r>
      <w:r>
        <w:rPr>
          <w:rFonts w:hint="eastAsia" w:ascii="宋体" w:hAnsi="宋体" w:eastAsia="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p>
    <w:p w14:paraId="20ED7F47">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合同到期后，乙方完成全部服务内容并经甲方验收合格后15个工作日内，按照经甲方验收合格的工作内容，据实结算余款，未经验收合格的服务内容按照本协议第八条第二款约定扣除。为完成验收，甲方有权委托第三方进行评估审核，乙方应当予以配合。</w:t>
      </w:r>
    </w:p>
    <w:p w14:paraId="268F1DE3">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（三）甲方付款前，乙方应当按照甲方要求开具有效的增值税发票。乙方收款账户如下：</w:t>
      </w:r>
    </w:p>
    <w:p w14:paraId="1FC28F5F">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  名：</w:t>
      </w:r>
    </w:p>
    <w:p w14:paraId="2C16EB12">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  号：</w:t>
      </w:r>
    </w:p>
    <w:p w14:paraId="206DF7A4">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开户行：</w:t>
      </w:r>
    </w:p>
    <w:p w14:paraId="049EF83A">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第六条 项目落地奖励</w:t>
      </w:r>
    </w:p>
    <w:p w14:paraId="6A475054">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双方商定由乙方提供的客户资源落地后，按照台州市相关中介招商办法执行项目奖励。                            </w:t>
      </w:r>
    </w:p>
    <w:p w14:paraId="1061A472">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第七条 双方义务</w:t>
      </w:r>
    </w:p>
    <w:p w14:paraId="690CEB4C">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（一）甲方义务</w:t>
      </w:r>
    </w:p>
    <w:p w14:paraId="0F1FB5D5">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1、甲方向乙方提供详细的招商资料和政策，并承诺政策的正确性，如遇政策调整，甲方应及时通知乙方。</w:t>
      </w:r>
    </w:p>
    <w:p w14:paraId="5AF5C696">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2、甲方应为乙方提供工作开展需要的拜访函等相关材料。</w:t>
      </w:r>
    </w:p>
    <w:p w14:paraId="022D2A65">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（二）乙方义务</w:t>
      </w:r>
    </w:p>
    <w:p w14:paraId="23086EC1">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1、乙方在招商活动中必须严格执行我国的有关招商政策。</w:t>
      </w:r>
    </w:p>
    <w:p w14:paraId="7D652ECD">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2、乙方不得以甲方名义进行与代理招商无关的经济社会活动。</w:t>
      </w:r>
    </w:p>
    <w:p w14:paraId="2319FEA7">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3、乙方在招商活动中应保守甲方的秘密，不得向第三方透露。</w:t>
      </w:r>
    </w:p>
    <w:p w14:paraId="6AE7AA52">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4、乙方引进的项目必须符合台州的产业发展规划。</w:t>
      </w:r>
    </w:p>
    <w:p w14:paraId="6F703230">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5、乙方应当勤勉尽责完成本协议约定的服务内容。</w:t>
      </w:r>
    </w:p>
    <w:p w14:paraId="7BF87AC5">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第八条 合同解除与违约责任</w:t>
      </w:r>
    </w:p>
    <w:p w14:paraId="2F44B8D5">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（一）发生下列任一情形的，甲方有权解除本协议：</w:t>
      </w:r>
    </w:p>
    <w:p w14:paraId="09C83C38">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1、乙方在本协议签订后二个月内没有提供经甲方确认的有效项目信息，甲方可解除本合同。</w:t>
      </w:r>
    </w:p>
    <w:p w14:paraId="09812266">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2、未经甲方同意，乙方不得单方解除本协议。</w:t>
      </w:r>
    </w:p>
    <w:p w14:paraId="618BED43">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（二）本协议解除或因委托期限届满而终止的，双方以乙方实际完成且经甲方验收后的服务内容据实结算，多退少补。双方应当于协议解除或终止后15个工作日内完成结算。</w:t>
      </w:r>
    </w:p>
    <w:p w14:paraId="6FF2FDE1">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结算标准如下：就每一项未完成的服务内容，甲方按照如下标准在</w:t>
      </w:r>
      <w:r>
        <w:rPr>
          <w:rFonts w:hint="eastAsia" w:ascii="宋体" w:hAnsi="宋体" w:eastAsia="宋体"/>
          <w:color w:val="000000" w:themeColor="text1"/>
          <w:sz w:val="24"/>
          <w:lang w:val="en-US" w:eastAsia="zh-CN"/>
          <w14:textFill>
            <w14:solidFill>
              <w14:schemeClr w14:val="tx1"/>
            </w14:solidFill>
          </w14:textFill>
        </w:rPr>
        <w:t>合同价</w:t>
      </w:r>
      <w:r>
        <w:rPr>
          <w:rFonts w:hint="eastAsia" w:ascii="宋体" w:hAnsi="宋体"/>
          <w:color w:val="000000" w:themeColor="text1"/>
          <w:sz w:val="24"/>
          <w14:textFill>
            <w14:solidFill>
              <w14:schemeClr w14:val="tx1"/>
            </w14:solidFill>
          </w14:textFill>
        </w:rPr>
        <w:t xml:space="preserve">范围内进行扣除：有效项目信息按1万元/条扣除，落地企业按5万元/家扣除，上门招商按0.5万元/家扣除，小型招商活动按1万元/次扣除，业务培训按0.4万元/次扣除。 </w:t>
      </w:r>
    </w:p>
    <w:p w14:paraId="01B32121">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（三）如果因为不可抗力等原因导致委托期限内乙方未完成全部服务内容的，双方可根据实际情况协商，适当延长委托期限。</w:t>
      </w:r>
    </w:p>
    <w:p w14:paraId="60E457AE">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（四）任何一方违约给对方造成损失的，由违约方赔偿守约方的全部损失以及因此所支付的费用（包括但不限于律师费、差旅费、诉讼费、保全费、鉴定费、评估费等）。</w:t>
      </w:r>
    </w:p>
    <w:p w14:paraId="6913A3DF">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第九条 合同纠纷的解决办法</w:t>
      </w:r>
    </w:p>
    <w:p w14:paraId="157AF96E">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因履行本协议发生争议，双方应协商解决，协商不成的提交甲方所在地有管辖权的人民法院诉讼解决。</w:t>
      </w:r>
    </w:p>
    <w:p w14:paraId="62DE8B47">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第十条 通知与送达</w:t>
      </w:r>
    </w:p>
    <w:p w14:paraId="5CBEAE8C">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与本协议有关的任何通知（含司法送达），均应送达至本协议文首所列地址；邮件寄出至该地址的，即视为有效送达。</w:t>
      </w:r>
    </w:p>
    <w:p w14:paraId="7FB165A4">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第十一条 其他</w:t>
      </w:r>
    </w:p>
    <w:p w14:paraId="3DF14702">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本协议未尽事宜，由双方协商签定补充协议。补充协议与本协议具有同等效力。本协议一式四份，双方各执二份，具有同等法律效力。本协议自双方盖章后生效。</w:t>
      </w:r>
    </w:p>
    <w:p w14:paraId="10FCE406">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（以下无正文）</w:t>
      </w:r>
    </w:p>
    <w:p w14:paraId="4B86C20E">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p>
    <w:p w14:paraId="77830F4E">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p>
    <w:p w14:paraId="5DD0ACA2">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p>
    <w:p w14:paraId="5C8F92C5">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p>
    <w:p w14:paraId="0BA213FC">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p>
    <w:p w14:paraId="15D7DAE9">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p>
    <w:p w14:paraId="37230E1D">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p>
    <w:p w14:paraId="73088D75">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p>
    <w:p w14:paraId="63EF4641">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p>
    <w:p w14:paraId="36CAF774">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p>
    <w:p w14:paraId="0098CFAE">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甲方：台州市投资促进中心  乙方：</w:t>
      </w:r>
    </w:p>
    <w:p w14:paraId="4E42202C">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p>
    <w:p w14:paraId="647B6404">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p>
    <w:p w14:paraId="274D46CA">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签字：                    签字：</w:t>
      </w:r>
    </w:p>
    <w:p w14:paraId="04D03133">
      <w:pPr>
        <w:widowControl/>
        <w:shd w:val="clear" w:color="auto" w:fill="FFFFFF"/>
        <w:spacing w:line="360" w:lineRule="auto"/>
        <w:ind w:firstLine="480" w:firstLineChars="200"/>
        <w:rPr>
          <w:rFonts w:hint="eastAsia" w:ascii="宋体" w:hAnsi="宋体"/>
          <w:color w:val="000000" w:themeColor="text1"/>
          <w:sz w:val="24"/>
          <w14:textFill>
            <w14:solidFill>
              <w14:schemeClr w14:val="tx1"/>
            </w14:solidFill>
          </w14:textFill>
        </w:rPr>
      </w:pPr>
    </w:p>
    <w:p w14:paraId="78633DC7">
      <w:pPr>
        <w:widowControl/>
        <w:shd w:val="clear" w:color="auto" w:fill="FFFFFF"/>
        <w:spacing w:line="360" w:lineRule="auto"/>
        <w:ind w:firstLine="480" w:firstLineChars="200"/>
        <w:rPr>
          <w:rFonts w:hint="eastAsia" w:ascii="宋体" w:hAnsi="宋体" w:eastAsia="宋体" w:cs="宋体"/>
          <w:b/>
          <w:bCs/>
          <w:sz w:val="32"/>
          <w:szCs w:val="32"/>
        </w:rPr>
      </w:pPr>
      <w:r>
        <w:rPr>
          <w:rFonts w:hint="eastAsia" w:ascii="宋体" w:hAnsi="宋体"/>
          <w:color w:val="000000" w:themeColor="text1"/>
          <w:sz w:val="24"/>
          <w14:textFill>
            <w14:solidFill>
              <w14:schemeClr w14:val="tx1"/>
            </w14:solidFill>
          </w14:textFill>
        </w:rPr>
        <w:t>日期：2024年  月   日    日期：2024年  月  日</w:t>
      </w:r>
      <w:r>
        <w:rPr>
          <w:rFonts w:hint="eastAsia" w:ascii="宋体" w:hAnsi="宋体" w:eastAsia="宋体" w:cs="宋体"/>
          <w:b/>
          <w:bCs/>
          <w:sz w:val="32"/>
          <w:szCs w:val="32"/>
        </w:rPr>
        <w:br w:type="page"/>
      </w:r>
    </w:p>
    <w:p w14:paraId="14FE6954">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第六部分　磋商响应文件格式</w:t>
      </w:r>
    </w:p>
    <w:p w14:paraId="2E8AF9C7">
      <w:pPr>
        <w:spacing w:line="360" w:lineRule="auto"/>
        <w:rPr>
          <w:rFonts w:ascii="宋体" w:hAnsi="宋体" w:eastAsia="宋体" w:cs="宋体"/>
          <w:b/>
          <w:bCs/>
          <w:sz w:val="24"/>
        </w:rPr>
      </w:pPr>
      <w:r>
        <w:rPr>
          <w:rFonts w:hint="eastAsia" w:ascii="宋体" w:hAnsi="宋体" w:eastAsia="宋体" w:cs="宋体"/>
          <w:b/>
          <w:bCs/>
          <w:sz w:val="24"/>
        </w:rPr>
        <w:t>文件袋封面格式：</w:t>
      </w:r>
    </w:p>
    <w:tbl>
      <w:tblPr>
        <w:tblStyle w:val="29"/>
        <w:tblW w:w="9623"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623"/>
      </w:tblGrid>
      <w:tr w14:paraId="4B8F3A97">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390" w:hRule="atLeast"/>
          <w:jc w:val="center"/>
        </w:trPr>
        <w:tc>
          <w:tcPr>
            <w:tcW w:w="9623" w:type="dxa"/>
            <w:tcBorders>
              <w:top w:val="double" w:color="666699" w:sz="4" w:space="0"/>
              <w:left w:val="double" w:color="666699" w:sz="4" w:space="0"/>
              <w:bottom w:val="double" w:color="666699" w:sz="4" w:space="0"/>
              <w:right w:val="double" w:color="666699" w:sz="4" w:space="0"/>
            </w:tcBorders>
            <w:shd w:val="clear" w:color="auto" w:fill="FCFEEA"/>
            <w:noWrap/>
          </w:tcPr>
          <w:p w14:paraId="33437400">
            <w:pPr>
              <w:spacing w:line="480" w:lineRule="auto"/>
              <w:ind w:right="420"/>
              <w:jc w:val="right"/>
              <w:rPr>
                <w:rFonts w:ascii="宋体" w:hAnsi="宋体" w:eastAsia="宋体" w:cs="宋体"/>
                <w:b/>
                <w:bCs/>
                <w:sz w:val="28"/>
                <w:szCs w:val="28"/>
              </w:rPr>
            </w:pPr>
          </w:p>
          <w:p w14:paraId="4D58A8D0">
            <w:pPr>
              <w:pStyle w:val="11"/>
              <w:ind w:firstLine="210"/>
              <w:rPr>
                <w:rFonts w:eastAsiaTheme="minorEastAsia"/>
              </w:rPr>
            </w:pPr>
          </w:p>
          <w:p w14:paraId="4075CB8B">
            <w:pPr>
              <w:pStyle w:val="23"/>
              <w:rPr>
                <w:rFonts w:eastAsiaTheme="minorEastAsia"/>
              </w:rPr>
            </w:pPr>
          </w:p>
          <w:p w14:paraId="60B851B2">
            <w:pPr>
              <w:rPr>
                <w:rFonts w:eastAsiaTheme="minorEastAsia"/>
              </w:rPr>
            </w:pPr>
          </w:p>
          <w:p w14:paraId="168F4079">
            <w:pPr>
              <w:pStyle w:val="11"/>
              <w:ind w:firstLine="210"/>
              <w:rPr>
                <w:rFonts w:eastAsiaTheme="minorEastAsia"/>
              </w:rPr>
            </w:pPr>
          </w:p>
          <w:p w14:paraId="0D4F119A">
            <w:pPr>
              <w:pStyle w:val="23"/>
              <w:rPr>
                <w:rFonts w:eastAsiaTheme="minorEastAsia"/>
              </w:rPr>
            </w:pPr>
          </w:p>
          <w:p w14:paraId="5289B597">
            <w:pPr>
              <w:spacing w:line="480" w:lineRule="auto"/>
              <w:ind w:right="420"/>
              <w:jc w:val="right"/>
              <w:rPr>
                <w:rFonts w:ascii="宋体" w:hAnsi="宋体" w:eastAsia="宋体" w:cs="宋体"/>
                <w:b/>
                <w:bCs/>
                <w:sz w:val="28"/>
                <w:szCs w:val="28"/>
              </w:rPr>
            </w:pPr>
          </w:p>
          <w:p w14:paraId="5B3EE93D">
            <w:pPr>
              <w:spacing w:line="480" w:lineRule="auto"/>
              <w:jc w:val="center"/>
              <w:rPr>
                <w:rFonts w:hint="eastAsia" w:ascii="宋体" w:hAnsi="宋体" w:eastAsia="宋体" w:cs="宋体"/>
                <w:b/>
                <w:sz w:val="28"/>
                <w:szCs w:val="28"/>
                <w:u w:val="single"/>
                <w:lang w:eastAsia="zh-CN"/>
              </w:rPr>
            </w:pPr>
            <w:r>
              <w:rPr>
                <w:rFonts w:hint="eastAsia" w:ascii="宋体" w:hAnsi="宋体" w:eastAsia="宋体" w:cs="宋体"/>
                <w:b/>
                <w:sz w:val="28"/>
                <w:szCs w:val="28"/>
              </w:rPr>
              <w:t>项目名称：</w:t>
            </w:r>
            <w:r>
              <w:rPr>
                <w:rFonts w:hint="eastAsia" w:ascii="宋体" w:hAnsi="宋体" w:eastAsia="宋体" w:cs="宋体"/>
                <w:b/>
                <w:sz w:val="28"/>
                <w:szCs w:val="28"/>
                <w:lang w:eastAsia="zh-CN"/>
              </w:rPr>
              <w:t>台州市投资促进中心招商引资服务采购项目（第二次）</w:t>
            </w:r>
          </w:p>
          <w:p w14:paraId="561E7BAC">
            <w:pPr>
              <w:spacing w:line="480" w:lineRule="auto"/>
              <w:jc w:val="center"/>
              <w:rPr>
                <w:rFonts w:ascii="宋体" w:hAnsi="宋体" w:eastAsia="宋体" w:cs="宋体"/>
                <w:b/>
                <w:sz w:val="28"/>
                <w:szCs w:val="28"/>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CS-LY2024-057-2</w:t>
            </w:r>
            <w:r>
              <w:rPr>
                <w:rFonts w:ascii="宋体" w:hAnsi="宋体" w:eastAsia="宋体" w:cs="宋体"/>
                <w:b/>
                <w:sz w:val="28"/>
                <w:szCs w:val="28"/>
              </w:rPr>
              <w:t>号</w:t>
            </w:r>
          </w:p>
          <w:p w14:paraId="34C61551">
            <w:pPr>
              <w:pStyle w:val="11"/>
              <w:ind w:firstLine="210"/>
              <w:rPr>
                <w:rFonts w:eastAsiaTheme="minorEastAsia"/>
              </w:rPr>
            </w:pPr>
          </w:p>
          <w:p w14:paraId="1E8E1351">
            <w:pPr>
              <w:pStyle w:val="23"/>
              <w:rPr>
                <w:rFonts w:eastAsiaTheme="minorEastAsia"/>
              </w:rPr>
            </w:pPr>
          </w:p>
          <w:p w14:paraId="0ABFA5BA">
            <w:pPr>
              <w:spacing w:line="480" w:lineRule="auto"/>
              <w:jc w:val="center"/>
              <w:rPr>
                <w:rFonts w:ascii="宋体" w:hAnsi="宋体" w:eastAsia="宋体" w:cs="宋体"/>
                <w:b/>
                <w:sz w:val="28"/>
                <w:szCs w:val="28"/>
              </w:rPr>
            </w:pPr>
            <w:r>
              <w:rPr>
                <w:rFonts w:hint="eastAsia" w:ascii="宋体" w:hAnsi="宋体" w:eastAsia="宋体" w:cs="宋体"/>
                <w:b/>
                <w:sz w:val="44"/>
                <w:szCs w:val="44"/>
                <w:lang w:val="zh-CN"/>
              </w:rPr>
              <w:t>备份电子磋商响应文件（如有）</w:t>
            </w:r>
          </w:p>
          <w:p w14:paraId="1EAEE1B2">
            <w:pPr>
              <w:spacing w:line="480" w:lineRule="auto"/>
              <w:jc w:val="center"/>
              <w:rPr>
                <w:rFonts w:ascii="宋体" w:hAnsi="宋体" w:eastAsia="宋体" w:cs="宋体"/>
                <w:b/>
                <w:sz w:val="32"/>
              </w:rPr>
            </w:pPr>
          </w:p>
          <w:p w14:paraId="3FF849D1">
            <w:pPr>
              <w:pStyle w:val="11"/>
              <w:ind w:firstLine="210"/>
              <w:rPr>
                <w:rFonts w:eastAsiaTheme="minorEastAsia"/>
              </w:rPr>
            </w:pPr>
          </w:p>
          <w:p w14:paraId="0BB212AA">
            <w:pPr>
              <w:pStyle w:val="10"/>
              <w:rPr>
                <w:rFonts w:ascii="宋体" w:hAnsi="宋体" w:eastAsia="宋体" w:cs="宋体"/>
              </w:rPr>
            </w:pPr>
          </w:p>
          <w:p w14:paraId="1A279749">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供应商：</w:t>
            </w:r>
          </w:p>
          <w:p w14:paraId="67B93F0D">
            <w:pPr>
              <w:spacing w:line="360" w:lineRule="auto"/>
              <w:ind w:firstLine="2108" w:firstLineChars="750"/>
              <w:rPr>
                <w:rFonts w:ascii="宋体" w:hAnsi="宋体" w:eastAsia="宋体" w:cs="宋体"/>
                <w:b/>
                <w:sz w:val="28"/>
                <w:szCs w:val="28"/>
                <w:u w:val="single"/>
              </w:rPr>
            </w:pPr>
            <w:r>
              <w:rPr>
                <w:rFonts w:hint="eastAsia" w:ascii="宋体" w:hAnsi="宋体" w:eastAsia="宋体" w:cs="宋体"/>
                <w:b/>
                <w:sz w:val="28"/>
                <w:szCs w:val="28"/>
              </w:rPr>
              <w:t>地  址：</w:t>
            </w:r>
          </w:p>
          <w:p w14:paraId="268D5481">
            <w:pPr>
              <w:spacing w:line="360" w:lineRule="auto"/>
              <w:rPr>
                <w:rFonts w:ascii="宋体" w:hAnsi="宋体" w:eastAsia="宋体" w:cs="宋体"/>
                <w:sz w:val="24"/>
                <w:u w:val="single"/>
              </w:rPr>
            </w:pPr>
          </w:p>
          <w:p w14:paraId="023273FF">
            <w:pPr>
              <w:pStyle w:val="11"/>
              <w:ind w:firstLine="210"/>
              <w:rPr>
                <w:rFonts w:eastAsiaTheme="minorEastAsia"/>
              </w:rPr>
            </w:pPr>
          </w:p>
          <w:p w14:paraId="2175A006">
            <w:pPr>
              <w:rPr>
                <w:rFonts w:eastAsiaTheme="minorEastAsia"/>
              </w:rPr>
            </w:pPr>
          </w:p>
          <w:p w14:paraId="2074756B">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开标时启封</w:t>
            </w:r>
          </w:p>
          <w:p w14:paraId="62541A9A">
            <w:pPr>
              <w:pStyle w:val="14"/>
              <w:spacing w:before="156" w:after="156" w:line="360" w:lineRule="auto"/>
              <w:ind w:firstLine="120" w:firstLineChars="50"/>
              <w:jc w:val="center"/>
              <w:rPr>
                <w:rFonts w:hAnsi="宋体" w:eastAsia="宋体" w:cs="宋体"/>
                <w:b/>
                <w:sz w:val="24"/>
                <w:szCs w:val="24"/>
              </w:rPr>
            </w:pPr>
            <w:r>
              <w:rPr>
                <w:rFonts w:hint="eastAsia" w:hAnsi="宋体" w:eastAsia="宋体" w:cs="宋体"/>
                <w:b/>
                <w:sz w:val="24"/>
                <w:szCs w:val="24"/>
              </w:rPr>
              <w:t>递交地点：隆耀（浙江）工程咨询有限公司</w:t>
            </w:r>
          </w:p>
          <w:p w14:paraId="0121C994">
            <w:pPr>
              <w:pStyle w:val="14"/>
              <w:spacing w:before="156" w:after="156" w:line="360" w:lineRule="auto"/>
              <w:ind w:firstLine="120" w:firstLineChars="50"/>
              <w:jc w:val="center"/>
              <w:rPr>
                <w:rFonts w:eastAsiaTheme="minorEastAsia"/>
              </w:rPr>
            </w:pPr>
            <w:r>
              <w:rPr>
                <w:rFonts w:hint="eastAsia" w:hAnsi="宋体" w:eastAsia="宋体" w:cs="宋体"/>
                <w:b/>
                <w:sz w:val="24"/>
                <w:szCs w:val="24"/>
              </w:rPr>
              <w:t>（浙江省台州市椒江区白云街道新东方商厦5002室）</w:t>
            </w:r>
            <w:bookmarkStart w:id="30" w:name="_GoBack"/>
            <w:bookmarkEnd w:id="30"/>
          </w:p>
        </w:tc>
      </w:tr>
    </w:tbl>
    <w:p w14:paraId="67F5DE3C">
      <w:pPr>
        <w:pStyle w:val="4"/>
        <w:spacing w:before="240" w:beforeLines="100" w:line="360" w:lineRule="auto"/>
        <w:jc w:val="center"/>
        <w:rPr>
          <w:rFonts w:ascii="宋体" w:hAnsi="宋体" w:eastAsia="宋体" w:cs="宋体"/>
        </w:rPr>
      </w:pPr>
      <w:bookmarkStart w:id="24" w:name="_Toc528927455"/>
      <w:bookmarkStart w:id="25" w:name="_Toc528578413"/>
      <w:r>
        <w:rPr>
          <w:rFonts w:hint="eastAsia" w:ascii="宋体" w:hAnsi="宋体" w:eastAsia="宋体"/>
          <w:bCs w:val="0"/>
          <w:lang w:val="zh-CN"/>
        </w:rPr>
        <w:t>1、资格证明文件格式</w:t>
      </w:r>
      <w:bookmarkEnd w:id="24"/>
      <w:bookmarkEnd w:id="25"/>
    </w:p>
    <w:p w14:paraId="23182687">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  录</w:t>
      </w:r>
    </w:p>
    <w:p w14:paraId="7BC2A113">
      <w:pPr>
        <w:pStyle w:val="14"/>
        <w:adjustRightInd w:val="0"/>
        <w:snapToGrid w:val="0"/>
        <w:spacing w:line="360" w:lineRule="auto"/>
        <w:jc w:val="center"/>
        <w:rPr>
          <w:rFonts w:hAnsi="宋体" w:eastAsia="宋体" w:cs="宋体"/>
          <w:b/>
          <w:bCs/>
          <w:sz w:val="24"/>
          <w:szCs w:val="24"/>
        </w:rPr>
      </w:pPr>
      <w:r>
        <w:rPr>
          <w:rFonts w:hint="eastAsia" w:hAnsi="宋体" w:eastAsia="宋体" w:cs="宋体"/>
          <w:sz w:val="24"/>
        </w:rPr>
        <w:t>（按照“第三部分 磋商须知”有关资格证明文件组成要求编排）</w:t>
      </w:r>
    </w:p>
    <w:p w14:paraId="43DF7F15">
      <w:pPr>
        <w:pStyle w:val="14"/>
        <w:adjustRightInd w:val="0"/>
        <w:snapToGrid w:val="0"/>
        <w:spacing w:before="120" w:after="120"/>
        <w:rPr>
          <w:rFonts w:hAnsi="宋体" w:eastAsia="宋体" w:cs="宋体"/>
          <w:b/>
          <w:bCs/>
          <w:sz w:val="24"/>
          <w:szCs w:val="24"/>
        </w:rPr>
      </w:pPr>
    </w:p>
    <w:p w14:paraId="70582D06">
      <w:pPr>
        <w:pStyle w:val="14"/>
        <w:adjustRightInd w:val="0"/>
        <w:snapToGrid w:val="0"/>
        <w:spacing w:before="120" w:after="120"/>
        <w:rPr>
          <w:rFonts w:hAnsi="宋体" w:eastAsia="宋体" w:cs="宋体"/>
          <w:b/>
          <w:bCs/>
          <w:sz w:val="24"/>
          <w:szCs w:val="24"/>
        </w:rPr>
      </w:pPr>
    </w:p>
    <w:p w14:paraId="62FE0954">
      <w:pPr>
        <w:pStyle w:val="15"/>
        <w:ind w:left="9000"/>
        <w:rPr>
          <w:rFonts w:ascii="宋体" w:hAnsi="宋体" w:eastAsia="宋体" w:cs="宋体"/>
          <w:b/>
          <w:bCs/>
          <w:sz w:val="24"/>
        </w:rPr>
      </w:pPr>
    </w:p>
    <w:p w14:paraId="11115DDB">
      <w:pPr>
        <w:rPr>
          <w:rFonts w:ascii="宋体" w:hAnsi="宋体" w:eastAsia="宋体" w:cs="宋体"/>
          <w:b/>
          <w:bCs/>
          <w:sz w:val="24"/>
        </w:rPr>
      </w:pPr>
    </w:p>
    <w:p w14:paraId="001BC2EE">
      <w:pPr>
        <w:pStyle w:val="11"/>
        <w:ind w:firstLine="241"/>
        <w:rPr>
          <w:rFonts w:ascii="宋体" w:hAnsi="宋体" w:eastAsia="宋体" w:cs="宋体"/>
          <w:b/>
          <w:bCs/>
          <w:sz w:val="24"/>
          <w:szCs w:val="24"/>
        </w:rPr>
      </w:pPr>
    </w:p>
    <w:p w14:paraId="0E192AE3">
      <w:pPr>
        <w:pStyle w:val="11"/>
        <w:ind w:firstLine="241"/>
        <w:rPr>
          <w:rFonts w:ascii="宋体" w:hAnsi="宋体" w:eastAsia="宋体" w:cs="宋体"/>
          <w:b/>
          <w:bCs/>
          <w:sz w:val="24"/>
          <w:szCs w:val="24"/>
        </w:rPr>
      </w:pPr>
    </w:p>
    <w:p w14:paraId="0752432E">
      <w:pPr>
        <w:pStyle w:val="11"/>
        <w:ind w:firstLine="241"/>
        <w:rPr>
          <w:rFonts w:ascii="宋体" w:hAnsi="宋体" w:eastAsia="宋体" w:cs="宋体"/>
          <w:b/>
          <w:bCs/>
          <w:sz w:val="24"/>
          <w:szCs w:val="24"/>
        </w:rPr>
      </w:pPr>
    </w:p>
    <w:p w14:paraId="2FA7E0B6">
      <w:pPr>
        <w:pStyle w:val="11"/>
        <w:ind w:firstLine="241"/>
        <w:rPr>
          <w:rFonts w:ascii="宋体" w:hAnsi="宋体" w:eastAsia="宋体" w:cs="宋体"/>
          <w:b/>
          <w:bCs/>
          <w:sz w:val="24"/>
          <w:szCs w:val="24"/>
        </w:rPr>
      </w:pPr>
    </w:p>
    <w:p w14:paraId="21A9CC4D">
      <w:pPr>
        <w:pStyle w:val="11"/>
        <w:ind w:firstLine="241"/>
        <w:rPr>
          <w:rFonts w:ascii="宋体" w:hAnsi="宋体" w:eastAsia="宋体" w:cs="宋体"/>
          <w:b/>
          <w:bCs/>
          <w:sz w:val="24"/>
          <w:szCs w:val="24"/>
        </w:rPr>
      </w:pPr>
    </w:p>
    <w:p w14:paraId="1FF6D134">
      <w:pPr>
        <w:pStyle w:val="11"/>
        <w:ind w:firstLine="241"/>
        <w:rPr>
          <w:rFonts w:ascii="宋体" w:hAnsi="宋体" w:eastAsia="宋体" w:cs="宋体"/>
          <w:b/>
          <w:bCs/>
          <w:sz w:val="24"/>
          <w:szCs w:val="24"/>
        </w:rPr>
      </w:pPr>
    </w:p>
    <w:p w14:paraId="679C4F88">
      <w:pPr>
        <w:pStyle w:val="11"/>
        <w:ind w:firstLine="241"/>
        <w:rPr>
          <w:rFonts w:ascii="宋体" w:hAnsi="宋体" w:eastAsia="宋体" w:cs="宋体"/>
          <w:b/>
          <w:bCs/>
          <w:sz w:val="24"/>
          <w:szCs w:val="24"/>
        </w:rPr>
      </w:pPr>
    </w:p>
    <w:p w14:paraId="1BC123AF">
      <w:pPr>
        <w:pStyle w:val="14"/>
        <w:adjustRightInd w:val="0"/>
        <w:snapToGrid w:val="0"/>
        <w:spacing w:before="120" w:after="120"/>
        <w:rPr>
          <w:rFonts w:hAnsi="宋体" w:eastAsia="宋体" w:cs="宋体"/>
          <w:b/>
          <w:bCs/>
          <w:sz w:val="24"/>
          <w:szCs w:val="24"/>
        </w:rPr>
      </w:pPr>
    </w:p>
    <w:p w14:paraId="2516A7F2">
      <w:pPr>
        <w:pStyle w:val="15"/>
        <w:ind w:left="9000"/>
        <w:rPr>
          <w:rFonts w:ascii="宋体" w:hAnsi="宋体" w:eastAsia="宋体" w:cs="宋体"/>
        </w:rPr>
      </w:pPr>
    </w:p>
    <w:p w14:paraId="4266F2E0">
      <w:pPr>
        <w:rPr>
          <w:rFonts w:ascii="宋体" w:hAnsi="宋体" w:eastAsia="宋体" w:cs="宋体"/>
        </w:rPr>
      </w:pPr>
    </w:p>
    <w:p w14:paraId="2F1B8D97">
      <w:pPr>
        <w:pStyle w:val="11"/>
        <w:ind w:firstLine="210"/>
        <w:rPr>
          <w:rFonts w:ascii="宋体" w:hAnsi="宋体" w:eastAsia="宋体" w:cs="宋体"/>
        </w:rPr>
      </w:pPr>
    </w:p>
    <w:p w14:paraId="2D9A39EC">
      <w:pPr>
        <w:pStyle w:val="11"/>
        <w:ind w:firstLine="210"/>
        <w:rPr>
          <w:rFonts w:ascii="宋体" w:hAnsi="宋体" w:eastAsia="宋体" w:cs="宋体"/>
        </w:rPr>
      </w:pPr>
    </w:p>
    <w:p w14:paraId="22939159">
      <w:pPr>
        <w:pStyle w:val="11"/>
        <w:ind w:firstLine="210"/>
        <w:rPr>
          <w:rFonts w:ascii="宋体" w:hAnsi="宋体" w:eastAsia="宋体" w:cs="宋体"/>
        </w:rPr>
      </w:pPr>
    </w:p>
    <w:p w14:paraId="324697C2">
      <w:pPr>
        <w:pStyle w:val="11"/>
        <w:ind w:firstLine="210"/>
        <w:rPr>
          <w:rFonts w:ascii="宋体" w:hAnsi="宋体" w:eastAsia="宋体" w:cs="宋体"/>
        </w:rPr>
      </w:pPr>
    </w:p>
    <w:p w14:paraId="37538217">
      <w:pPr>
        <w:pStyle w:val="11"/>
        <w:ind w:firstLine="210"/>
        <w:rPr>
          <w:rFonts w:ascii="宋体" w:hAnsi="宋体" w:eastAsia="宋体" w:cs="宋体"/>
        </w:rPr>
      </w:pPr>
    </w:p>
    <w:p w14:paraId="1CC465AA">
      <w:pPr>
        <w:pStyle w:val="11"/>
        <w:ind w:firstLine="210"/>
        <w:rPr>
          <w:rFonts w:ascii="宋体" w:hAnsi="宋体" w:eastAsia="宋体" w:cs="宋体"/>
        </w:rPr>
      </w:pPr>
    </w:p>
    <w:p w14:paraId="124ACE0D">
      <w:pPr>
        <w:pStyle w:val="11"/>
        <w:ind w:firstLine="210"/>
        <w:rPr>
          <w:rFonts w:ascii="宋体" w:hAnsi="宋体" w:eastAsia="宋体" w:cs="宋体"/>
        </w:rPr>
      </w:pPr>
    </w:p>
    <w:p w14:paraId="4FC371CF">
      <w:pPr>
        <w:pStyle w:val="11"/>
        <w:ind w:firstLine="210"/>
        <w:rPr>
          <w:rFonts w:ascii="宋体" w:hAnsi="宋体" w:eastAsia="宋体" w:cs="宋体"/>
        </w:rPr>
      </w:pPr>
    </w:p>
    <w:p w14:paraId="799292EE">
      <w:pPr>
        <w:pStyle w:val="11"/>
        <w:ind w:firstLine="210"/>
        <w:rPr>
          <w:rFonts w:ascii="宋体" w:hAnsi="宋体" w:eastAsia="宋体" w:cs="宋体"/>
        </w:rPr>
      </w:pPr>
    </w:p>
    <w:p w14:paraId="71F32B72">
      <w:pPr>
        <w:pStyle w:val="11"/>
        <w:ind w:firstLine="210"/>
        <w:rPr>
          <w:rFonts w:ascii="宋体" w:hAnsi="宋体" w:eastAsia="宋体" w:cs="宋体"/>
        </w:rPr>
      </w:pPr>
    </w:p>
    <w:p w14:paraId="5478613D">
      <w:pPr>
        <w:pStyle w:val="11"/>
        <w:ind w:firstLine="210"/>
        <w:rPr>
          <w:rFonts w:ascii="宋体" w:hAnsi="宋体" w:eastAsia="宋体" w:cs="宋体"/>
        </w:rPr>
      </w:pPr>
    </w:p>
    <w:p w14:paraId="0F4559CC">
      <w:pPr>
        <w:pStyle w:val="11"/>
        <w:ind w:firstLine="210"/>
        <w:rPr>
          <w:rFonts w:ascii="宋体" w:hAnsi="宋体" w:eastAsia="宋体" w:cs="宋体"/>
        </w:rPr>
      </w:pPr>
    </w:p>
    <w:p w14:paraId="506D689B">
      <w:pPr>
        <w:pStyle w:val="11"/>
        <w:ind w:firstLine="210"/>
        <w:rPr>
          <w:rFonts w:ascii="宋体" w:hAnsi="宋体" w:eastAsia="宋体" w:cs="宋体"/>
        </w:rPr>
      </w:pPr>
    </w:p>
    <w:p w14:paraId="0FE34821">
      <w:pPr>
        <w:pStyle w:val="23"/>
        <w:rPr>
          <w:rFonts w:ascii="宋体" w:hAnsi="宋体" w:eastAsia="宋体" w:cs="宋体"/>
        </w:rPr>
      </w:pPr>
    </w:p>
    <w:p w14:paraId="495681F2">
      <w:pPr>
        <w:rPr>
          <w:rFonts w:ascii="宋体" w:hAnsi="宋体" w:eastAsia="宋体" w:cs="宋体"/>
        </w:rPr>
      </w:pPr>
    </w:p>
    <w:p w14:paraId="6266E964">
      <w:pPr>
        <w:pStyle w:val="44"/>
        <w:rPr>
          <w:rFonts w:ascii="宋体" w:hAnsi="宋体" w:eastAsia="宋体" w:cs="宋体"/>
        </w:rPr>
      </w:pPr>
    </w:p>
    <w:p w14:paraId="0A782CF2">
      <w:pPr>
        <w:pStyle w:val="44"/>
        <w:rPr>
          <w:rFonts w:ascii="宋体" w:hAnsi="宋体" w:eastAsia="宋体" w:cs="宋体"/>
        </w:rPr>
      </w:pPr>
    </w:p>
    <w:p w14:paraId="316AFDF9">
      <w:pPr>
        <w:pStyle w:val="44"/>
        <w:rPr>
          <w:rFonts w:ascii="宋体" w:hAnsi="宋体" w:eastAsia="宋体" w:cs="宋体"/>
        </w:rPr>
      </w:pPr>
    </w:p>
    <w:p w14:paraId="24407471">
      <w:pPr>
        <w:pStyle w:val="44"/>
        <w:rPr>
          <w:rFonts w:ascii="宋体" w:hAnsi="宋体" w:eastAsia="宋体" w:cs="宋体"/>
        </w:rPr>
      </w:pPr>
    </w:p>
    <w:p w14:paraId="2CC12F25">
      <w:pPr>
        <w:pStyle w:val="44"/>
        <w:rPr>
          <w:rFonts w:ascii="宋体" w:hAnsi="宋体" w:eastAsia="宋体" w:cs="宋体"/>
        </w:rPr>
      </w:pPr>
    </w:p>
    <w:p w14:paraId="593EF8F6">
      <w:pPr>
        <w:pStyle w:val="14"/>
        <w:adjustRightInd w:val="0"/>
        <w:snapToGrid w:val="0"/>
        <w:spacing w:before="120" w:after="120"/>
        <w:rPr>
          <w:rFonts w:hAnsi="宋体" w:eastAsia="宋体" w:cs="宋体"/>
          <w:sz w:val="24"/>
          <w:szCs w:val="24"/>
        </w:rPr>
      </w:pPr>
      <w:r>
        <w:rPr>
          <w:rFonts w:hint="eastAsia" w:hAnsi="宋体" w:eastAsia="宋体" w:cs="宋体"/>
          <w:b/>
          <w:bCs/>
          <w:sz w:val="24"/>
          <w:szCs w:val="24"/>
        </w:rPr>
        <w:t>附件一：</w:t>
      </w:r>
    </w:p>
    <w:p w14:paraId="52FB8E66">
      <w:pPr>
        <w:pStyle w:val="14"/>
        <w:adjustRightInd w:val="0"/>
        <w:snapToGrid w:val="0"/>
        <w:spacing w:line="360" w:lineRule="auto"/>
        <w:jc w:val="center"/>
        <w:rPr>
          <w:rFonts w:hAnsi="宋体" w:eastAsia="宋体" w:cs="宋体"/>
          <w:sz w:val="32"/>
          <w:szCs w:val="32"/>
        </w:rPr>
      </w:pPr>
      <w:r>
        <w:rPr>
          <w:rFonts w:hint="eastAsia" w:hAnsi="宋体" w:eastAsia="宋体" w:cs="宋体"/>
          <w:b/>
          <w:bCs/>
          <w:sz w:val="32"/>
          <w:szCs w:val="32"/>
        </w:rPr>
        <w:t>磋商承诺函</w:t>
      </w:r>
    </w:p>
    <w:p w14:paraId="785B6BAF">
      <w:pPr>
        <w:adjustRightInd w:val="0"/>
        <w:snapToGrid w:val="0"/>
        <w:spacing w:line="360" w:lineRule="auto"/>
        <w:ind w:firstLine="105" w:firstLineChars="50"/>
        <w:rPr>
          <w:rFonts w:ascii="宋体" w:hAnsi="宋体" w:eastAsia="宋体" w:cs="宋体"/>
          <w:sz w:val="21"/>
          <w:szCs w:val="21"/>
        </w:rPr>
      </w:pPr>
      <w:r>
        <w:rPr>
          <w:rFonts w:hint="eastAsia" w:ascii="宋体" w:hAnsi="宋体" w:eastAsia="宋体" w:cs="宋体"/>
          <w:sz w:val="21"/>
          <w:szCs w:val="21"/>
          <w:u w:val="single"/>
          <w:lang w:eastAsia="zh-CN"/>
        </w:rPr>
        <w:t>台州市投资促进中心</w:t>
      </w:r>
      <w:r>
        <w:rPr>
          <w:rFonts w:hint="eastAsia" w:ascii="宋体" w:hAnsi="宋体" w:eastAsia="宋体" w:cs="宋体"/>
          <w:sz w:val="21"/>
          <w:szCs w:val="21"/>
        </w:rPr>
        <w:t>：</w:t>
      </w:r>
    </w:p>
    <w:p w14:paraId="3D7A0264">
      <w:pPr>
        <w:pStyle w:val="14"/>
        <w:adjustRightInd w:val="0"/>
        <w:snapToGrid w:val="0"/>
        <w:spacing w:line="360" w:lineRule="auto"/>
        <w:ind w:firstLine="720"/>
        <w:rPr>
          <w:rFonts w:hAnsi="宋体" w:eastAsia="宋体" w:cs="宋体"/>
          <w:sz w:val="21"/>
          <w:szCs w:val="21"/>
        </w:rPr>
      </w:pPr>
      <w:r>
        <w:rPr>
          <w:rFonts w:hint="eastAsia" w:hAnsi="宋体" w:eastAsia="宋体" w:cs="宋体"/>
          <w:sz w:val="21"/>
          <w:szCs w:val="21"/>
        </w:rPr>
        <w:t>__________________________（磋商人全称）授权____________________ （全权代表姓名）____________________（职务、职称）为全权代表，参加贵方组织的______________ （采购编号、采购项目名称） 采购磋商的有关活动，并对此项目进行响应。为此：我方同意在磋商须知前列表规定的磋商日期起遵守本采购承诺函中的承诺且在磋商有效期满之前均具有约束力。</w:t>
      </w:r>
    </w:p>
    <w:p w14:paraId="0A7D611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1、我方承诺已经具备《中华人民共和国政府采购法》参加政府采购活动的供应商应当具备的条件：</w:t>
      </w:r>
    </w:p>
    <w:p w14:paraId="623738D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（1）具有独立承担民事责任的能力；</w:t>
      </w:r>
    </w:p>
    <w:p w14:paraId="39C7DF6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（2）具有良好的商业信誉和健全的财务会计制度；</w:t>
      </w:r>
    </w:p>
    <w:p w14:paraId="37ADD5B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（3）具有履行合同所必需的设备和专业技术能力；</w:t>
      </w:r>
    </w:p>
    <w:p w14:paraId="33760EEC">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（4）有依法缴纳税收和社会保障资金的良好记录；</w:t>
      </w:r>
    </w:p>
    <w:p w14:paraId="755BDF8A">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4DD1E82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（6）法律、行政法规规定的其他条件。</w:t>
      </w:r>
    </w:p>
    <w:p w14:paraId="4C114CA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2、提供磋商须知规定的全部磋商响应文件，包括：</w:t>
      </w:r>
    </w:p>
    <w:p w14:paraId="4505C596">
      <w:pPr>
        <w:pStyle w:val="12"/>
        <w:tabs>
          <w:tab w:val="left" w:pos="0"/>
          <w:tab w:val="left" w:pos="1260"/>
          <w:tab w:val="left" w:pos="1365"/>
        </w:tabs>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（1）资格与证明文件；</w:t>
      </w:r>
    </w:p>
    <w:p w14:paraId="450B7AD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（2）商务与技术文件；</w:t>
      </w:r>
    </w:p>
    <w:p w14:paraId="0115569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（3）报价文件；</w:t>
      </w:r>
    </w:p>
    <w:p w14:paraId="7644DA3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（4）磋商须知前列表要求的磋商人提交的全部文件；</w:t>
      </w:r>
    </w:p>
    <w:p w14:paraId="3D4ADC2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3、按竞争性磋商文件要求提供的服务报价详见磋商投标函。</w:t>
      </w:r>
    </w:p>
    <w:p w14:paraId="259ABB4D">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4、保证忠实地执行双方所签订的合同，并承担合同规定的责任和义务。</w:t>
      </w:r>
    </w:p>
    <w:p w14:paraId="27C4783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5、保证遵守竞争性磋商文件中的其他有关条款。</w:t>
      </w:r>
    </w:p>
    <w:p w14:paraId="15DCADE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6、我们完全理解贵方不一定要接受最低报价。</w:t>
      </w:r>
    </w:p>
    <w:p w14:paraId="3A8A56C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7、我方愿意向贵方提供真实完整的任何与该项目有关的数据、情况和技术资料。若贵方需要，我方愿意提供我方作出的一切承诺的证明材料。</w:t>
      </w:r>
    </w:p>
    <w:p w14:paraId="1A139D22">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8、我方已详细审核全部竞争性磋商文件，包括竞争性磋商的修改文件（如有的话）、参考资料及有关附件，确认无误。</w:t>
      </w:r>
    </w:p>
    <w:p w14:paraId="4F84741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EBE903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（一）提供虚假材料谋取中标、成交的；</w:t>
      </w:r>
    </w:p>
    <w:p w14:paraId="7BA1C90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（二）采取不正当手段诋毁、排挤其他供应商的；</w:t>
      </w:r>
    </w:p>
    <w:p w14:paraId="77A085F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（三）与采购人、其他供应商或者采购代理机构恶意串通的；</w:t>
      </w:r>
    </w:p>
    <w:p w14:paraId="5C77CF05">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（四）向采购人、采购代理机构行贿或者提供其他不正当利益的；</w:t>
      </w:r>
    </w:p>
    <w:p w14:paraId="4AF25290">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（五）拒绝有关部门监督检查或者提供虚假情况的。</w:t>
      </w:r>
    </w:p>
    <w:p w14:paraId="2383BFB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供应商有前款第（一）至（五）项情形之一的，中标、成交无效。</w:t>
      </w:r>
    </w:p>
    <w:p w14:paraId="5ABA253B">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10、我方的磋商响应文件在成交后天内有效。</w:t>
      </w:r>
    </w:p>
    <w:p w14:paraId="37DA8C5E">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与本次采购有关的一切往来通讯请寄：</w:t>
      </w:r>
    </w:p>
    <w:p w14:paraId="7CDF9101">
      <w:pPr>
        <w:pStyle w:val="14"/>
        <w:adjustRightInd w:val="0"/>
        <w:snapToGrid w:val="0"/>
        <w:spacing w:line="360" w:lineRule="auto"/>
        <w:ind w:firstLine="480"/>
        <w:rPr>
          <w:rFonts w:hAnsi="宋体" w:eastAsia="宋体" w:cs="宋体"/>
          <w:sz w:val="21"/>
          <w:szCs w:val="21"/>
        </w:rPr>
      </w:pPr>
      <w:r>
        <w:rPr>
          <w:rFonts w:hint="eastAsia" w:hAnsi="宋体" w:eastAsia="宋体" w:cs="宋体"/>
          <w:sz w:val="21"/>
          <w:szCs w:val="21"/>
        </w:rPr>
        <w:t>地址：__________________     邮编：____________　</w:t>
      </w:r>
    </w:p>
    <w:p w14:paraId="4FB47705">
      <w:pPr>
        <w:pStyle w:val="14"/>
        <w:adjustRightInd w:val="0"/>
        <w:snapToGrid w:val="0"/>
        <w:spacing w:line="360" w:lineRule="auto"/>
        <w:ind w:firstLine="420" w:firstLineChars="200"/>
        <w:rPr>
          <w:rFonts w:hAnsi="宋体" w:eastAsia="宋体" w:cs="宋体"/>
          <w:sz w:val="21"/>
          <w:szCs w:val="21"/>
        </w:rPr>
      </w:pPr>
      <w:r>
        <w:rPr>
          <w:rFonts w:hint="eastAsia" w:hAnsi="宋体" w:eastAsia="宋体" w:cs="宋体"/>
          <w:sz w:val="21"/>
          <w:szCs w:val="21"/>
        </w:rPr>
        <w:t>电话：__________________传真：____________</w:t>
      </w:r>
    </w:p>
    <w:p w14:paraId="370B4954">
      <w:pPr>
        <w:pStyle w:val="14"/>
        <w:adjustRightInd w:val="0"/>
        <w:snapToGrid w:val="0"/>
        <w:spacing w:line="360" w:lineRule="auto"/>
        <w:ind w:firstLine="420" w:firstLineChars="200"/>
        <w:rPr>
          <w:rFonts w:hAnsi="宋体" w:eastAsia="宋体" w:cs="宋体"/>
          <w:sz w:val="21"/>
          <w:szCs w:val="21"/>
        </w:rPr>
      </w:pPr>
    </w:p>
    <w:p w14:paraId="7DA7B174">
      <w:pPr>
        <w:pStyle w:val="14"/>
        <w:adjustRightInd w:val="0"/>
        <w:snapToGrid w:val="0"/>
        <w:spacing w:line="360" w:lineRule="auto"/>
        <w:ind w:firstLine="3000" w:firstLineChars="1200"/>
        <w:rPr>
          <w:rFonts w:hAnsi="宋体" w:eastAsia="宋体" w:cs="宋体"/>
          <w:spacing w:val="20"/>
          <w:sz w:val="21"/>
          <w:szCs w:val="21"/>
        </w:rPr>
      </w:pPr>
    </w:p>
    <w:p w14:paraId="733858A7">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6B4A8BDB">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B1468C5">
      <w:pPr>
        <w:tabs>
          <w:tab w:val="left" w:pos="3111"/>
        </w:tabs>
        <w:autoSpaceDE w:val="0"/>
        <w:autoSpaceDN w:val="0"/>
        <w:adjustRightInd w:val="0"/>
        <w:rPr>
          <w:rFonts w:ascii="宋体" w:hAnsi="宋体" w:eastAsia="宋体" w:cs="宋体"/>
          <w:kern w:val="0"/>
          <w:sz w:val="24"/>
        </w:rPr>
      </w:pPr>
      <w:r>
        <w:rPr>
          <w:rFonts w:hint="eastAsia" w:ascii="宋体" w:hAnsi="宋体" w:cs="宋体"/>
          <w:color w:val="auto"/>
          <w:sz w:val="24"/>
          <w:highlight w:val="none"/>
        </w:rPr>
        <w:t>日期：</w:t>
      </w:r>
    </w:p>
    <w:p w14:paraId="56885CEB">
      <w:pPr>
        <w:tabs>
          <w:tab w:val="left" w:pos="3111"/>
        </w:tabs>
        <w:autoSpaceDE w:val="0"/>
        <w:autoSpaceDN w:val="0"/>
        <w:adjustRightInd w:val="0"/>
        <w:rPr>
          <w:rFonts w:ascii="宋体" w:hAnsi="宋体" w:eastAsia="宋体" w:cs="宋体"/>
          <w:kern w:val="0"/>
          <w:sz w:val="24"/>
        </w:rPr>
      </w:pPr>
    </w:p>
    <w:p w14:paraId="5BDD510D">
      <w:pPr>
        <w:tabs>
          <w:tab w:val="left" w:pos="3111"/>
        </w:tabs>
        <w:autoSpaceDE w:val="0"/>
        <w:autoSpaceDN w:val="0"/>
        <w:adjustRightInd w:val="0"/>
        <w:rPr>
          <w:rFonts w:ascii="宋体" w:hAnsi="宋体" w:eastAsia="宋体" w:cs="宋体"/>
          <w:kern w:val="0"/>
          <w:sz w:val="24"/>
        </w:rPr>
      </w:pPr>
    </w:p>
    <w:p w14:paraId="4F25936D">
      <w:pPr>
        <w:pStyle w:val="14"/>
        <w:adjustRightInd w:val="0"/>
        <w:snapToGrid w:val="0"/>
        <w:spacing w:before="120" w:after="120"/>
        <w:jc w:val="left"/>
        <w:rPr>
          <w:rFonts w:hAnsi="宋体" w:eastAsia="宋体" w:cs="宋体"/>
          <w:b/>
          <w:bCs/>
          <w:szCs w:val="21"/>
        </w:rPr>
      </w:pPr>
      <w:r>
        <w:rPr>
          <w:rFonts w:hint="eastAsia" w:hAnsi="宋体" w:eastAsia="宋体" w:cs="宋体"/>
          <w:b/>
          <w:bCs/>
          <w:szCs w:val="21"/>
        </w:rPr>
        <w:t>注：未按照本磋商承诺函格式要求填报的磋商承诺函将被视为非实质性响应磋商，从而导致其被拒绝。</w:t>
      </w:r>
    </w:p>
    <w:p w14:paraId="4E6FB318">
      <w:pPr>
        <w:snapToGrid w:val="0"/>
        <w:spacing w:before="120" w:beforeLines="50" w:after="50"/>
        <w:jc w:val="left"/>
        <w:rPr>
          <w:rFonts w:ascii="宋体" w:hAnsi="宋体" w:eastAsia="宋体" w:cs="宋体"/>
          <w:b/>
          <w:bCs/>
          <w:sz w:val="24"/>
        </w:rPr>
      </w:pPr>
    </w:p>
    <w:p w14:paraId="1DAF9D9B">
      <w:pPr>
        <w:snapToGrid w:val="0"/>
        <w:spacing w:before="120" w:beforeLines="50" w:after="50"/>
        <w:jc w:val="left"/>
        <w:rPr>
          <w:rFonts w:ascii="宋体" w:hAnsi="宋体" w:eastAsia="宋体" w:cs="宋体"/>
          <w:b/>
          <w:bCs/>
          <w:sz w:val="24"/>
        </w:rPr>
      </w:pPr>
    </w:p>
    <w:p w14:paraId="602B37D0">
      <w:pPr>
        <w:pStyle w:val="44"/>
        <w:rPr>
          <w:rFonts w:ascii="宋体" w:hAnsi="宋体" w:eastAsia="宋体" w:cs="宋体"/>
          <w:b/>
          <w:bCs/>
          <w:sz w:val="24"/>
        </w:rPr>
      </w:pPr>
    </w:p>
    <w:p w14:paraId="76FFFEAB">
      <w:pPr>
        <w:pStyle w:val="44"/>
        <w:rPr>
          <w:rFonts w:ascii="宋体" w:hAnsi="宋体" w:eastAsia="宋体" w:cs="宋体"/>
          <w:b/>
          <w:bCs/>
          <w:sz w:val="24"/>
        </w:rPr>
      </w:pPr>
    </w:p>
    <w:p w14:paraId="06FD5653">
      <w:pPr>
        <w:pStyle w:val="44"/>
        <w:rPr>
          <w:rFonts w:ascii="宋体" w:hAnsi="宋体" w:eastAsia="宋体" w:cs="宋体"/>
          <w:b/>
          <w:bCs/>
          <w:sz w:val="24"/>
        </w:rPr>
      </w:pPr>
    </w:p>
    <w:p w14:paraId="2D0FCB9B">
      <w:pPr>
        <w:pStyle w:val="44"/>
        <w:rPr>
          <w:rFonts w:ascii="宋体" w:hAnsi="宋体" w:eastAsia="宋体" w:cs="宋体"/>
          <w:b/>
          <w:bCs/>
          <w:sz w:val="24"/>
        </w:rPr>
      </w:pPr>
    </w:p>
    <w:p w14:paraId="41EA28FC">
      <w:pPr>
        <w:pStyle w:val="44"/>
        <w:rPr>
          <w:rFonts w:ascii="宋体" w:hAnsi="宋体" w:eastAsia="宋体" w:cs="宋体"/>
          <w:b/>
          <w:bCs/>
          <w:sz w:val="24"/>
        </w:rPr>
      </w:pPr>
    </w:p>
    <w:p w14:paraId="7A6A75AE">
      <w:pPr>
        <w:pStyle w:val="44"/>
        <w:rPr>
          <w:rFonts w:ascii="宋体" w:hAnsi="宋体" w:eastAsia="宋体" w:cs="宋体"/>
        </w:rPr>
      </w:pPr>
    </w:p>
    <w:p w14:paraId="24460968">
      <w:pPr>
        <w:pStyle w:val="44"/>
        <w:rPr>
          <w:rFonts w:ascii="宋体" w:hAnsi="宋体" w:eastAsia="宋体" w:cs="宋体"/>
        </w:rPr>
      </w:pPr>
    </w:p>
    <w:p w14:paraId="043013CB">
      <w:pPr>
        <w:pStyle w:val="44"/>
        <w:rPr>
          <w:rFonts w:ascii="宋体" w:hAnsi="宋体" w:eastAsia="宋体" w:cs="宋体"/>
        </w:rPr>
      </w:pPr>
    </w:p>
    <w:p w14:paraId="629E060B">
      <w:pPr>
        <w:pStyle w:val="44"/>
        <w:rPr>
          <w:rFonts w:ascii="宋体" w:hAnsi="宋体" w:eastAsia="宋体" w:cs="宋体"/>
        </w:rPr>
      </w:pPr>
    </w:p>
    <w:p w14:paraId="417F6663">
      <w:pPr>
        <w:pStyle w:val="44"/>
        <w:rPr>
          <w:rFonts w:ascii="宋体" w:hAnsi="宋体" w:eastAsia="宋体" w:cs="宋体"/>
        </w:rPr>
      </w:pPr>
    </w:p>
    <w:p w14:paraId="50362EE2">
      <w:pPr>
        <w:pStyle w:val="44"/>
        <w:rPr>
          <w:rFonts w:ascii="宋体" w:hAnsi="宋体" w:eastAsia="宋体" w:cs="宋体"/>
        </w:rPr>
      </w:pPr>
    </w:p>
    <w:p w14:paraId="490E0AFE">
      <w:pPr>
        <w:rPr>
          <w:rFonts w:hint="eastAsia" w:ascii="宋体" w:hAnsi="宋体" w:eastAsia="宋体" w:cs="宋体"/>
          <w:b/>
          <w:bCs/>
          <w:sz w:val="24"/>
        </w:rPr>
      </w:pPr>
      <w:r>
        <w:rPr>
          <w:rFonts w:hint="eastAsia" w:ascii="宋体" w:hAnsi="宋体" w:eastAsia="宋体" w:cs="宋体"/>
          <w:b/>
          <w:bCs/>
          <w:sz w:val="24"/>
        </w:rPr>
        <w:br w:type="page"/>
      </w:r>
    </w:p>
    <w:p w14:paraId="00BDFCFD">
      <w:pPr>
        <w:snapToGrid w:val="0"/>
        <w:spacing w:before="120" w:beforeLines="50" w:after="50"/>
        <w:jc w:val="left"/>
        <w:rPr>
          <w:rFonts w:ascii="宋体" w:hAnsi="宋体" w:eastAsia="宋体" w:cs="宋体"/>
          <w:b/>
          <w:bCs/>
          <w:sz w:val="24"/>
        </w:rPr>
      </w:pPr>
      <w:r>
        <w:rPr>
          <w:rFonts w:hint="eastAsia" w:ascii="宋体" w:hAnsi="宋体" w:eastAsia="宋体" w:cs="宋体"/>
          <w:b/>
          <w:bCs/>
          <w:sz w:val="24"/>
        </w:rPr>
        <w:t xml:space="preserve">附件二：                    </w:t>
      </w:r>
    </w:p>
    <w:p w14:paraId="4C431AE6">
      <w:pPr>
        <w:snapToGrid w:val="0"/>
        <w:spacing w:line="360" w:lineRule="auto"/>
        <w:jc w:val="center"/>
        <w:rPr>
          <w:rFonts w:ascii="宋体" w:hAnsi="宋体" w:eastAsia="宋体" w:cs="宋体"/>
          <w:bCs/>
          <w:sz w:val="24"/>
        </w:rPr>
      </w:pPr>
      <w:r>
        <w:rPr>
          <w:rFonts w:hint="eastAsia" w:ascii="宋体" w:hAnsi="宋体" w:eastAsia="宋体" w:cs="宋体"/>
          <w:b/>
          <w:sz w:val="32"/>
          <w:szCs w:val="32"/>
        </w:rPr>
        <w:t>法定代表人授权委托书</w:t>
      </w:r>
    </w:p>
    <w:p w14:paraId="6EF1AD54">
      <w:pPr>
        <w:snapToGrid w:val="0"/>
        <w:spacing w:line="360" w:lineRule="auto"/>
        <w:rPr>
          <w:rFonts w:ascii="宋体" w:hAnsi="宋体" w:eastAsia="宋体" w:cs="宋体"/>
          <w:b/>
          <w:bCs/>
          <w:sz w:val="21"/>
          <w:szCs w:val="21"/>
        </w:rPr>
      </w:pPr>
      <w:r>
        <w:rPr>
          <w:rFonts w:hint="eastAsia" w:ascii="宋体" w:hAnsi="宋体" w:eastAsia="宋体" w:cs="宋体"/>
          <w:bCs/>
          <w:sz w:val="21"/>
          <w:szCs w:val="21"/>
        </w:rPr>
        <w:t>致：</w:t>
      </w:r>
      <w:r>
        <w:rPr>
          <w:rFonts w:hint="eastAsia" w:ascii="宋体" w:hAnsi="宋体" w:eastAsia="宋体" w:cs="宋体"/>
          <w:bCs/>
          <w:sz w:val="21"/>
          <w:szCs w:val="21"/>
          <w:lang w:eastAsia="zh-CN"/>
        </w:rPr>
        <w:t>台州市投资促进中心</w:t>
      </w:r>
      <w:r>
        <w:rPr>
          <w:rFonts w:hint="eastAsia" w:ascii="宋体" w:hAnsi="宋体" w:eastAsia="宋体" w:cs="宋体"/>
          <w:sz w:val="21"/>
          <w:szCs w:val="21"/>
        </w:rPr>
        <w:t>（采购单位名称）：</w:t>
      </w:r>
    </w:p>
    <w:p w14:paraId="19EAA7D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（磋商供应商全称）法定代表人授权（全称代表姓名）为全权代表，参加贵局组织的</w:t>
      </w:r>
      <w:r>
        <w:rPr>
          <w:rFonts w:hint="eastAsia" w:ascii="宋体" w:hAnsi="宋体" w:eastAsia="宋体" w:cs="宋体"/>
          <w:sz w:val="21"/>
          <w:szCs w:val="21"/>
          <w:u w:val="single"/>
          <w:lang w:eastAsia="zh-CN"/>
        </w:rPr>
        <w:t>台州市投资促进中心招商引资服务采购项目（第二次）</w:t>
      </w:r>
      <w:r>
        <w:rPr>
          <w:rFonts w:hint="eastAsia" w:ascii="宋体" w:hAnsi="宋体" w:eastAsia="宋体" w:cs="宋体"/>
          <w:sz w:val="21"/>
          <w:szCs w:val="21"/>
        </w:rPr>
        <w:t>，编号：</w:t>
      </w:r>
      <w:r>
        <w:rPr>
          <w:rFonts w:hint="eastAsia" w:ascii="宋体" w:hAnsi="宋体" w:eastAsia="宋体" w:cs="宋体"/>
          <w:sz w:val="21"/>
          <w:szCs w:val="21"/>
          <w:u w:val="single"/>
          <w:lang w:eastAsia="zh-CN"/>
        </w:rPr>
        <w:t>CS-LY2024-057-2</w:t>
      </w:r>
      <w:r>
        <w:rPr>
          <w:rFonts w:hint="eastAsia" w:ascii="宋体" w:hAnsi="宋体" w:eastAsia="宋体" w:cs="宋体"/>
          <w:sz w:val="21"/>
          <w:szCs w:val="21"/>
          <w:u w:val="single"/>
        </w:rPr>
        <w:t>号</w:t>
      </w:r>
      <w:r>
        <w:rPr>
          <w:rFonts w:hint="eastAsia" w:ascii="宋体" w:hAnsi="宋体" w:eastAsia="宋体" w:cs="宋体"/>
          <w:sz w:val="21"/>
          <w:szCs w:val="21"/>
        </w:rPr>
        <w:t>的磋商活动，全权代表我方处理磋商活动中的一切事务，我均予以承认。</w:t>
      </w:r>
    </w:p>
    <w:p w14:paraId="21351295">
      <w:pPr>
        <w:spacing w:line="360" w:lineRule="auto"/>
        <w:ind w:firstLine="420" w:firstLineChars="200"/>
        <w:rPr>
          <w:rFonts w:ascii="宋体" w:hAnsi="宋体" w:eastAsia="宋体" w:cs="宋体"/>
          <w:sz w:val="21"/>
          <w:szCs w:val="21"/>
        </w:rPr>
      </w:pPr>
    </w:p>
    <w:p w14:paraId="077E86B8">
      <w:pPr>
        <w:wordWrap w:val="0"/>
        <w:spacing w:line="360" w:lineRule="auto"/>
        <w:jc w:val="right"/>
        <w:rPr>
          <w:rFonts w:ascii="宋体" w:hAnsi="宋体" w:eastAsia="宋体" w:cs="宋体"/>
          <w:sz w:val="21"/>
          <w:szCs w:val="21"/>
        </w:rPr>
      </w:pPr>
    </w:p>
    <w:p w14:paraId="0CF642BD">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法定代表人（签字或盖章）：</w:t>
      </w:r>
    </w:p>
    <w:p w14:paraId="234415C7">
      <w:pPr>
        <w:spacing w:line="360" w:lineRule="auto"/>
        <w:jc w:val="right"/>
        <w:rPr>
          <w:rFonts w:ascii="宋体" w:hAnsi="宋体" w:eastAsia="宋体" w:cs="宋体"/>
          <w:sz w:val="21"/>
          <w:szCs w:val="21"/>
        </w:rPr>
      </w:pPr>
    </w:p>
    <w:p w14:paraId="216CB8D3">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磋商供应商全称（盖单位章）：</w:t>
      </w:r>
    </w:p>
    <w:p w14:paraId="66C44A07">
      <w:pPr>
        <w:spacing w:line="360" w:lineRule="auto"/>
        <w:ind w:firstLine="420" w:firstLineChars="200"/>
        <w:rPr>
          <w:rFonts w:ascii="宋体" w:hAnsi="宋体" w:eastAsia="宋体" w:cs="宋体"/>
          <w:sz w:val="21"/>
          <w:szCs w:val="21"/>
        </w:rPr>
      </w:pPr>
    </w:p>
    <w:p w14:paraId="5DA93FB8">
      <w:pPr>
        <w:spacing w:line="360" w:lineRule="auto"/>
        <w:ind w:firstLine="420" w:firstLineChars="200"/>
        <w:jc w:val="right"/>
        <w:rPr>
          <w:rFonts w:ascii="宋体" w:hAnsi="宋体" w:eastAsia="宋体" w:cs="宋体"/>
          <w:sz w:val="21"/>
          <w:szCs w:val="21"/>
        </w:rPr>
      </w:pPr>
      <w:r>
        <w:rPr>
          <w:rFonts w:hint="eastAsia" w:ascii="宋体" w:hAnsi="宋体" w:eastAsia="宋体" w:cs="宋体"/>
          <w:sz w:val="21"/>
          <w:szCs w:val="21"/>
        </w:rPr>
        <w:t>日  期：    年   月   日</w:t>
      </w:r>
    </w:p>
    <w:p w14:paraId="0AC69904">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附：                                      </w:t>
      </w:r>
    </w:p>
    <w:p w14:paraId="44AA36A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授权代表姓名（签字）：                  手机：</w:t>
      </w:r>
    </w:p>
    <w:p w14:paraId="166334B9">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职务：                                 电话：</w:t>
      </w:r>
    </w:p>
    <w:p w14:paraId="3D13D4F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详细通讯地址：                         传真：</w:t>
      </w:r>
    </w:p>
    <w:p w14:paraId="7DF24DE1">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邮政编码：</w:t>
      </w:r>
    </w:p>
    <w:tbl>
      <w:tblPr>
        <w:tblStyle w:val="29"/>
        <w:tblpPr w:leftFromText="180" w:rightFromText="180" w:vertAnchor="text" w:horzAnchor="page" w:tblpX="1788" w:tblpY="335"/>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7048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524" w:type="dxa"/>
            <w:tcBorders>
              <w:top w:val="single" w:color="auto" w:sz="4" w:space="0"/>
              <w:left w:val="single" w:color="auto" w:sz="4" w:space="0"/>
              <w:bottom w:val="single" w:color="auto" w:sz="4" w:space="0"/>
              <w:right w:val="single" w:color="auto" w:sz="4" w:space="0"/>
            </w:tcBorders>
            <w:noWrap/>
          </w:tcPr>
          <w:p w14:paraId="0DC86BA1">
            <w:pPr>
              <w:spacing w:line="360" w:lineRule="auto"/>
              <w:rPr>
                <w:rFonts w:ascii="宋体" w:hAnsi="宋体" w:eastAsia="宋体" w:cs="宋体"/>
                <w:sz w:val="21"/>
                <w:szCs w:val="21"/>
              </w:rPr>
            </w:pPr>
            <w:r>
              <w:rPr>
                <w:rFonts w:hint="eastAsia" w:ascii="宋体" w:hAnsi="宋体" w:eastAsia="宋体" w:cs="宋体"/>
                <w:sz w:val="21"/>
                <w:szCs w:val="21"/>
              </w:rPr>
              <w:t>身份证复印件粘贴处：</w:t>
            </w:r>
          </w:p>
        </w:tc>
      </w:tr>
    </w:tbl>
    <w:p w14:paraId="038828D3">
      <w:pPr>
        <w:pStyle w:val="10"/>
        <w:rPr>
          <w:rFonts w:ascii="宋体" w:hAnsi="宋体" w:eastAsia="宋体" w:cs="宋体"/>
          <w:sz w:val="21"/>
          <w:szCs w:val="21"/>
        </w:rPr>
      </w:pPr>
    </w:p>
    <w:p w14:paraId="06A6DE4D">
      <w:pPr>
        <w:pStyle w:val="14"/>
        <w:adjustRightInd w:val="0"/>
        <w:snapToGrid w:val="0"/>
        <w:spacing w:before="156" w:after="156"/>
        <w:rPr>
          <w:rFonts w:hAnsi="宋体" w:eastAsia="宋体" w:cs="宋体"/>
          <w:b/>
          <w:bCs/>
          <w:sz w:val="21"/>
          <w:szCs w:val="21"/>
        </w:rPr>
      </w:pPr>
    </w:p>
    <w:p w14:paraId="7843F2A9">
      <w:pPr>
        <w:pStyle w:val="14"/>
        <w:adjustRightInd w:val="0"/>
        <w:snapToGrid w:val="0"/>
        <w:spacing w:before="120" w:after="120"/>
        <w:jc w:val="center"/>
        <w:rPr>
          <w:rFonts w:hAnsi="宋体" w:eastAsia="宋体" w:cs="宋体"/>
          <w:b/>
          <w:bCs/>
          <w:sz w:val="21"/>
          <w:szCs w:val="21"/>
          <w:lang w:val="zh-CN"/>
        </w:rPr>
      </w:pPr>
    </w:p>
    <w:p w14:paraId="7E57867F">
      <w:pPr>
        <w:rPr>
          <w:rFonts w:ascii="宋体" w:hAnsi="宋体" w:eastAsia="宋体" w:cs="宋体"/>
          <w:b/>
          <w:bCs/>
          <w:sz w:val="24"/>
        </w:rPr>
      </w:pPr>
      <w:r>
        <w:rPr>
          <w:rFonts w:hint="eastAsia" w:ascii="宋体" w:hAnsi="宋体" w:eastAsia="宋体" w:cs="宋体"/>
          <w:b/>
          <w:bCs/>
          <w:sz w:val="24"/>
        </w:rPr>
        <w:br w:type="page"/>
      </w:r>
    </w:p>
    <w:p w14:paraId="209A993D">
      <w:pPr>
        <w:pStyle w:val="7"/>
        <w:spacing w:line="360" w:lineRule="auto"/>
        <w:ind w:firstLine="0"/>
        <w:jc w:val="left"/>
        <w:rPr>
          <w:rFonts w:ascii="宋体" w:hAnsi="宋体" w:eastAsia="宋体" w:cs="宋体"/>
          <w:b/>
          <w:bCs/>
          <w:sz w:val="24"/>
          <w:szCs w:val="24"/>
        </w:rPr>
      </w:pPr>
      <w:r>
        <w:rPr>
          <w:rFonts w:hint="eastAsia" w:ascii="宋体" w:hAnsi="宋体" w:eastAsia="宋体" w:cs="宋体"/>
          <w:b/>
          <w:bCs/>
          <w:sz w:val="24"/>
          <w:szCs w:val="24"/>
        </w:rPr>
        <w:t>附件三：</w:t>
      </w:r>
    </w:p>
    <w:p w14:paraId="41E25FE2">
      <w:pPr>
        <w:pStyle w:val="63"/>
        <w:widowControl w:val="0"/>
        <w:snapToGrid w:val="0"/>
        <w:spacing w:line="500" w:lineRule="exact"/>
        <w:ind w:firstLine="0" w:firstLineChars="0"/>
        <w:jc w:val="center"/>
        <w:rPr>
          <w:rFonts w:ascii="仿宋" w:hAnsi="仿宋"/>
          <w:sz w:val="28"/>
        </w:rPr>
      </w:pPr>
      <w:r>
        <w:rPr>
          <w:rFonts w:hint="eastAsia" w:ascii="方正小标宋简体" w:hAnsi="方正小标宋简体" w:eastAsia="方正小标宋简体" w:cs="方正小标宋简体"/>
          <w:sz w:val="32"/>
          <w:szCs w:val="32"/>
        </w:rPr>
        <w:t>政府采购活动</w:t>
      </w:r>
      <w:r>
        <w:rPr>
          <w:rFonts w:ascii="方正小标宋简体" w:hAnsi="方正小标宋简体" w:eastAsia="方正小标宋简体" w:cs="方正小标宋简体"/>
          <w:sz w:val="32"/>
          <w:szCs w:val="32"/>
        </w:rPr>
        <w:t>现场确认声明书</w:t>
      </w:r>
    </w:p>
    <w:p w14:paraId="19D6F3C8">
      <w:pPr>
        <w:pStyle w:val="63"/>
        <w:widowControl w:val="0"/>
        <w:snapToGrid w:val="0"/>
        <w:spacing w:line="500" w:lineRule="exact"/>
        <w:ind w:firstLine="0" w:firstLineChars="0"/>
        <w:jc w:val="both"/>
        <w:rPr>
          <w:rFonts w:hAnsi="宋体" w:cs="宋体"/>
          <w:b/>
          <w:sz w:val="21"/>
          <w:szCs w:val="21"/>
        </w:rPr>
      </w:pPr>
      <w:r>
        <w:rPr>
          <w:rFonts w:hint="eastAsia" w:hAnsi="宋体" w:eastAsia="宋体" w:cs="宋体"/>
          <w:sz w:val="21"/>
          <w:szCs w:val="21"/>
          <w:u w:val="single"/>
        </w:rPr>
        <w:t>隆耀（浙江）工程咨询有限公司</w:t>
      </w:r>
      <w:r>
        <w:rPr>
          <w:rFonts w:hAnsi="宋体" w:cs="宋体"/>
          <w:sz w:val="21"/>
          <w:szCs w:val="21"/>
        </w:rPr>
        <w:t>：</w:t>
      </w:r>
    </w:p>
    <w:p w14:paraId="50620CDC">
      <w:pPr>
        <w:pStyle w:val="63"/>
        <w:widowControl w:val="0"/>
        <w:snapToGrid w:val="0"/>
        <w:spacing w:line="500" w:lineRule="exact"/>
        <w:ind w:firstLine="432"/>
        <w:jc w:val="both"/>
        <w:rPr>
          <w:rFonts w:hAnsi="宋体" w:cs="宋体"/>
          <w:spacing w:val="6"/>
          <w:sz w:val="21"/>
          <w:szCs w:val="21"/>
        </w:rPr>
      </w:pPr>
      <w:r>
        <w:rPr>
          <w:rFonts w:hAnsi="宋体" w:cs="宋体"/>
          <w:spacing w:val="6"/>
          <w:sz w:val="21"/>
          <w:szCs w:val="21"/>
        </w:rPr>
        <w:t>本人经由</w:t>
      </w:r>
      <w:r>
        <w:rPr>
          <w:rFonts w:hint="eastAsia" w:hAnsi="宋体" w:cs="宋体"/>
          <w:kern w:val="1"/>
          <w:sz w:val="21"/>
          <w:szCs w:val="21"/>
          <w:u w:val="single"/>
        </w:rPr>
        <w:t>（投标人名称）</w:t>
      </w:r>
      <w:r>
        <w:rPr>
          <w:rFonts w:hAnsi="宋体" w:cs="宋体"/>
          <w:spacing w:val="6"/>
          <w:sz w:val="21"/>
          <w:szCs w:val="21"/>
        </w:rPr>
        <w:t>负责人</w:t>
      </w:r>
      <w:r>
        <w:rPr>
          <w:rFonts w:hint="eastAsia" w:hAnsi="宋体"/>
          <w:sz w:val="21"/>
          <w:szCs w:val="21"/>
          <w:u w:val="single"/>
        </w:rPr>
        <w:t>（法定代表人）</w:t>
      </w:r>
      <w:r>
        <w:rPr>
          <w:rFonts w:hAnsi="宋体" w:cs="宋体"/>
          <w:spacing w:val="6"/>
          <w:sz w:val="21"/>
          <w:szCs w:val="21"/>
        </w:rPr>
        <w:t>合法授权参加</w:t>
      </w:r>
      <w:r>
        <w:rPr>
          <w:rFonts w:hint="eastAsia" w:hAnsi="宋体" w:eastAsia="宋体" w:cs="宋体"/>
          <w:sz w:val="21"/>
          <w:szCs w:val="21"/>
          <w:u w:val="single"/>
          <w:lang w:eastAsia="zh-CN"/>
        </w:rPr>
        <w:t>台州市投资促进中心招商引资服务采购项目（第二次）</w:t>
      </w:r>
      <w:r>
        <w:rPr>
          <w:rFonts w:hAnsi="宋体" w:cs="宋体"/>
          <w:spacing w:val="6"/>
          <w:sz w:val="21"/>
          <w:szCs w:val="21"/>
        </w:rPr>
        <w:t>（编号：</w:t>
      </w:r>
      <w:r>
        <w:rPr>
          <w:rFonts w:hint="eastAsia" w:hAnsi="宋体" w:eastAsia="宋体" w:cs="宋体"/>
          <w:spacing w:val="6"/>
          <w:sz w:val="21"/>
          <w:szCs w:val="21"/>
          <w:u w:val="single"/>
          <w:lang w:eastAsia="zh-CN"/>
        </w:rPr>
        <w:t>CS-LY2024-057-2</w:t>
      </w:r>
      <w:r>
        <w:rPr>
          <w:rFonts w:hint="eastAsia" w:hAnsi="宋体" w:cs="宋体"/>
          <w:spacing w:val="6"/>
          <w:sz w:val="21"/>
          <w:szCs w:val="21"/>
          <w:u w:val="single"/>
        </w:rPr>
        <w:t>号</w:t>
      </w:r>
      <w:r>
        <w:rPr>
          <w:rFonts w:hAnsi="宋体" w:cs="宋体"/>
          <w:spacing w:val="6"/>
          <w:sz w:val="21"/>
          <w:szCs w:val="21"/>
        </w:rPr>
        <w:t>）政府采购活动，经与本单位法人代表（负责人）联系确认，现就有关公平竞争事项郑重声明如下：</w:t>
      </w:r>
    </w:p>
    <w:p w14:paraId="680D59D2">
      <w:pPr>
        <w:pStyle w:val="45"/>
        <w:widowControl/>
        <w:snapToGrid w:val="0"/>
        <w:spacing w:line="420" w:lineRule="exact"/>
        <w:ind w:firstLine="0" w:firstLineChars="0"/>
        <w:rPr>
          <w:sz w:val="21"/>
          <w:szCs w:val="21"/>
        </w:rPr>
      </w:pPr>
      <w:r>
        <w:rPr>
          <w:rFonts w:hint="eastAsia" w:eastAsia="宋体"/>
          <w:sz w:val="21"/>
          <w:szCs w:val="21"/>
        </w:rPr>
        <w:t>一、</w:t>
      </w:r>
      <w:r>
        <w:rPr>
          <w:sz w:val="21"/>
          <w:szCs w:val="21"/>
        </w:rPr>
        <w:t>本单位与采购人之间</w:t>
      </w:r>
      <w:r>
        <w:rPr>
          <w:sz w:val="21"/>
          <w:szCs w:val="21"/>
        </w:rPr>
        <w:sym w:font="Wingdings" w:char="00A8"/>
      </w:r>
      <w:r>
        <w:rPr>
          <w:sz w:val="21"/>
          <w:szCs w:val="21"/>
        </w:rPr>
        <w:t>不存在利害关系</w:t>
      </w:r>
      <w:r>
        <w:rPr>
          <w:rFonts w:cs="宋体"/>
          <w:sz w:val="21"/>
          <w:szCs w:val="21"/>
        </w:rPr>
        <w:t>□</w:t>
      </w:r>
      <w:r>
        <w:rPr>
          <w:sz w:val="21"/>
          <w:szCs w:val="21"/>
        </w:rPr>
        <w:t>存在下列利害关系：</w:t>
      </w:r>
    </w:p>
    <w:p w14:paraId="0D4DCFD8">
      <w:pPr>
        <w:pStyle w:val="45"/>
        <w:widowControl/>
        <w:snapToGrid w:val="0"/>
        <w:spacing w:line="420" w:lineRule="exact"/>
        <w:ind w:firstLine="420"/>
        <w:rPr>
          <w:sz w:val="21"/>
          <w:szCs w:val="21"/>
        </w:rPr>
      </w:pPr>
      <w:r>
        <w:rPr>
          <w:sz w:val="21"/>
          <w:szCs w:val="21"/>
        </w:rPr>
        <w:t xml:space="preserve">  A.投资关系    B.行政隶属关系    C.业务指导关系</w:t>
      </w:r>
    </w:p>
    <w:p w14:paraId="18EB9C82">
      <w:pPr>
        <w:pStyle w:val="45"/>
        <w:widowControl/>
        <w:snapToGrid w:val="0"/>
        <w:spacing w:line="420" w:lineRule="exact"/>
        <w:ind w:firstLine="420"/>
        <w:rPr>
          <w:sz w:val="21"/>
          <w:szCs w:val="21"/>
        </w:rPr>
      </w:pPr>
      <w:r>
        <w:rPr>
          <w:sz w:val="21"/>
          <w:szCs w:val="21"/>
        </w:rPr>
        <w:t xml:space="preserve">  D.其他可能影响采购公正的利害关系</w:t>
      </w:r>
      <w:r>
        <w:rPr>
          <w:sz w:val="21"/>
          <w:szCs w:val="21"/>
          <w:u w:val="single"/>
        </w:rPr>
        <w:t>（如有，请如实说明）</w:t>
      </w:r>
      <w:r>
        <w:rPr>
          <w:sz w:val="21"/>
          <w:szCs w:val="21"/>
        </w:rPr>
        <w:t>。</w:t>
      </w:r>
    </w:p>
    <w:p w14:paraId="66E2600A">
      <w:pPr>
        <w:pStyle w:val="45"/>
        <w:widowControl/>
        <w:snapToGrid w:val="0"/>
        <w:spacing w:line="420" w:lineRule="exact"/>
        <w:ind w:firstLine="0" w:firstLineChars="0"/>
        <w:rPr>
          <w:sz w:val="21"/>
          <w:szCs w:val="21"/>
        </w:rPr>
      </w:pPr>
      <w:r>
        <w:rPr>
          <w:spacing w:val="6"/>
          <w:sz w:val="21"/>
          <w:szCs w:val="21"/>
        </w:rPr>
        <w:t>二、</w:t>
      </w:r>
      <w:r>
        <w:rPr>
          <w:sz w:val="21"/>
          <w:szCs w:val="21"/>
        </w:rPr>
        <w:t>现已清楚知道参加本项目采购活动的其他所有</w:t>
      </w:r>
      <w:r>
        <w:rPr>
          <w:rFonts w:hint="eastAsia"/>
          <w:sz w:val="21"/>
          <w:szCs w:val="21"/>
        </w:rPr>
        <w:t>投标人</w:t>
      </w:r>
      <w:r>
        <w:rPr>
          <w:sz w:val="21"/>
          <w:szCs w:val="21"/>
        </w:rPr>
        <w:t>名称，本单位</w:t>
      </w:r>
      <w:r>
        <w:rPr>
          <w:sz w:val="21"/>
          <w:szCs w:val="21"/>
        </w:rPr>
        <w:sym w:font="Wingdings" w:char="00A8"/>
      </w:r>
      <w:r>
        <w:rPr>
          <w:rFonts w:cs="宋体"/>
          <w:sz w:val="21"/>
          <w:szCs w:val="21"/>
        </w:rPr>
        <w:t>与其他所有</w:t>
      </w:r>
      <w:r>
        <w:rPr>
          <w:rFonts w:hint="eastAsia" w:cs="宋体"/>
          <w:sz w:val="21"/>
          <w:szCs w:val="21"/>
        </w:rPr>
        <w:t>投标人</w:t>
      </w:r>
      <w:r>
        <w:rPr>
          <w:rFonts w:cs="宋体"/>
          <w:sz w:val="21"/>
          <w:szCs w:val="21"/>
        </w:rPr>
        <w:t>之间均</w:t>
      </w:r>
      <w:r>
        <w:rPr>
          <w:sz w:val="21"/>
          <w:szCs w:val="21"/>
        </w:rPr>
        <w:t>不存在利害关系</w:t>
      </w:r>
      <w:r>
        <w:rPr>
          <w:rFonts w:cs="宋体"/>
          <w:sz w:val="21"/>
          <w:szCs w:val="21"/>
        </w:rPr>
        <w:t>□与</w:t>
      </w:r>
      <w:r>
        <w:rPr>
          <w:rFonts w:cs="宋体"/>
          <w:sz w:val="21"/>
          <w:szCs w:val="21"/>
          <w:u w:val="single"/>
        </w:rPr>
        <w:t>（</w:t>
      </w:r>
      <w:r>
        <w:rPr>
          <w:rFonts w:hint="eastAsia" w:cs="宋体"/>
          <w:sz w:val="21"/>
          <w:szCs w:val="21"/>
          <w:u w:val="single"/>
        </w:rPr>
        <w:t>投标人</w:t>
      </w:r>
      <w:r>
        <w:rPr>
          <w:rFonts w:cs="宋体"/>
          <w:sz w:val="21"/>
          <w:szCs w:val="21"/>
          <w:u w:val="single"/>
        </w:rPr>
        <w:t>名称）</w:t>
      </w:r>
      <w:r>
        <w:rPr>
          <w:rFonts w:cs="宋体"/>
          <w:sz w:val="21"/>
          <w:szCs w:val="21"/>
        </w:rPr>
        <w:t>之间</w:t>
      </w:r>
      <w:r>
        <w:rPr>
          <w:sz w:val="21"/>
          <w:szCs w:val="21"/>
        </w:rPr>
        <w:t>存在下列利害关系：</w:t>
      </w:r>
    </w:p>
    <w:p w14:paraId="52773A9C">
      <w:pPr>
        <w:pStyle w:val="63"/>
        <w:widowControl w:val="0"/>
        <w:snapToGrid w:val="0"/>
        <w:spacing w:line="420" w:lineRule="exact"/>
        <w:ind w:firstLine="420"/>
        <w:jc w:val="both"/>
        <w:rPr>
          <w:rFonts w:hAnsi="宋体"/>
          <w:sz w:val="21"/>
          <w:szCs w:val="21"/>
        </w:rPr>
      </w:pPr>
      <w:r>
        <w:rPr>
          <w:rFonts w:hAnsi="宋体"/>
          <w:sz w:val="21"/>
          <w:szCs w:val="21"/>
        </w:rPr>
        <w:t xml:space="preserve">  A.法定代表人或负责人或实际控制人是同一人</w:t>
      </w:r>
    </w:p>
    <w:p w14:paraId="35F9932D">
      <w:pPr>
        <w:pStyle w:val="63"/>
        <w:widowControl w:val="0"/>
        <w:snapToGrid w:val="0"/>
        <w:spacing w:line="420" w:lineRule="exact"/>
        <w:ind w:firstLine="420"/>
        <w:jc w:val="both"/>
        <w:rPr>
          <w:rFonts w:hAnsi="宋体"/>
          <w:spacing w:val="6"/>
          <w:sz w:val="21"/>
          <w:szCs w:val="21"/>
        </w:rPr>
      </w:pPr>
      <w:r>
        <w:rPr>
          <w:rFonts w:hAnsi="宋体"/>
          <w:sz w:val="21"/>
          <w:szCs w:val="21"/>
        </w:rPr>
        <w:t xml:space="preserve">  B.法定代表人或负责人或实际控制人是夫妻关系</w:t>
      </w:r>
    </w:p>
    <w:p w14:paraId="1CCC19A0">
      <w:pPr>
        <w:pStyle w:val="63"/>
        <w:widowControl w:val="0"/>
        <w:snapToGrid w:val="0"/>
        <w:spacing w:line="420" w:lineRule="exact"/>
        <w:ind w:firstLine="420"/>
        <w:jc w:val="both"/>
        <w:rPr>
          <w:rFonts w:hAnsi="宋体"/>
          <w:spacing w:val="6"/>
          <w:sz w:val="21"/>
          <w:szCs w:val="21"/>
        </w:rPr>
      </w:pPr>
      <w:r>
        <w:rPr>
          <w:rFonts w:hAnsi="宋体"/>
          <w:sz w:val="21"/>
          <w:szCs w:val="21"/>
        </w:rPr>
        <w:t xml:space="preserve">  C.法定代表人或负责人或实际控制人是直系血亲关系</w:t>
      </w:r>
    </w:p>
    <w:p w14:paraId="7CF6FD67">
      <w:pPr>
        <w:pStyle w:val="63"/>
        <w:widowControl w:val="0"/>
        <w:snapToGrid w:val="0"/>
        <w:spacing w:line="420" w:lineRule="exact"/>
        <w:ind w:firstLine="420"/>
        <w:jc w:val="both"/>
        <w:rPr>
          <w:rFonts w:hAnsi="宋体"/>
          <w:spacing w:val="6"/>
          <w:sz w:val="21"/>
          <w:szCs w:val="21"/>
        </w:rPr>
      </w:pPr>
      <w:r>
        <w:rPr>
          <w:rFonts w:hAnsi="宋体"/>
          <w:sz w:val="21"/>
          <w:szCs w:val="21"/>
        </w:rPr>
        <w:t xml:space="preserve">  D.法定代表人或负责人或实际控制人存在三代以内旁系血亲关系</w:t>
      </w:r>
    </w:p>
    <w:p w14:paraId="05F0C897">
      <w:pPr>
        <w:pStyle w:val="63"/>
        <w:widowControl w:val="0"/>
        <w:snapToGrid w:val="0"/>
        <w:spacing w:line="420" w:lineRule="exact"/>
        <w:ind w:firstLine="420"/>
        <w:jc w:val="both"/>
        <w:rPr>
          <w:rFonts w:hAnsi="宋体"/>
          <w:sz w:val="21"/>
          <w:szCs w:val="21"/>
        </w:rPr>
      </w:pPr>
      <w:r>
        <w:rPr>
          <w:rFonts w:hAnsi="宋体"/>
          <w:sz w:val="21"/>
          <w:szCs w:val="21"/>
        </w:rPr>
        <w:t xml:space="preserve">  E.法定代表人或负责人或实际控制人存在近姻亲关系</w:t>
      </w:r>
    </w:p>
    <w:p w14:paraId="65048D0B">
      <w:pPr>
        <w:pStyle w:val="63"/>
        <w:widowControl w:val="0"/>
        <w:snapToGrid w:val="0"/>
        <w:spacing w:line="420" w:lineRule="exact"/>
        <w:ind w:firstLine="420"/>
        <w:jc w:val="both"/>
        <w:rPr>
          <w:rFonts w:hAnsi="宋体"/>
          <w:sz w:val="21"/>
          <w:szCs w:val="21"/>
        </w:rPr>
      </w:pPr>
      <w:r>
        <w:rPr>
          <w:rFonts w:hAnsi="宋体"/>
          <w:sz w:val="21"/>
          <w:szCs w:val="21"/>
        </w:rPr>
        <w:t xml:space="preserve">  F.法定代表人或负责人或实际控制人存在股份控制或实际控制关系</w:t>
      </w:r>
    </w:p>
    <w:p w14:paraId="12BF6D32">
      <w:pPr>
        <w:pStyle w:val="63"/>
        <w:widowControl w:val="0"/>
        <w:snapToGrid w:val="0"/>
        <w:spacing w:line="420" w:lineRule="exact"/>
        <w:ind w:firstLine="420"/>
        <w:jc w:val="both"/>
        <w:outlineLvl w:val="0"/>
        <w:rPr>
          <w:rFonts w:hAnsi="宋体"/>
          <w:sz w:val="21"/>
          <w:szCs w:val="21"/>
        </w:rPr>
      </w:pPr>
      <w:r>
        <w:rPr>
          <w:rFonts w:hAnsi="宋体"/>
          <w:sz w:val="21"/>
          <w:szCs w:val="21"/>
        </w:rPr>
        <w:t xml:space="preserve">  G.存在共同直接或间接投资设立子公司、联营企业和合营企业情况</w:t>
      </w:r>
    </w:p>
    <w:p w14:paraId="154771DA">
      <w:pPr>
        <w:pStyle w:val="63"/>
        <w:widowControl w:val="0"/>
        <w:snapToGrid w:val="0"/>
        <w:spacing w:line="420" w:lineRule="exact"/>
        <w:ind w:firstLine="420"/>
        <w:jc w:val="both"/>
        <w:rPr>
          <w:rFonts w:hAnsi="宋体"/>
          <w:sz w:val="21"/>
          <w:szCs w:val="21"/>
        </w:rPr>
      </w:pPr>
      <w:r>
        <w:rPr>
          <w:rFonts w:hAnsi="宋体"/>
          <w:sz w:val="21"/>
          <w:szCs w:val="21"/>
        </w:rPr>
        <w:t xml:space="preserve">  H.存在分级代理或代销关系、同一生产制造商关系、管理关系、重要业务（占主营业务收入50%以上）或重要财务往来关系（如融资）等其他实质性控制关系</w:t>
      </w:r>
    </w:p>
    <w:p w14:paraId="7905FD5B">
      <w:pPr>
        <w:pStyle w:val="63"/>
        <w:widowControl w:val="0"/>
        <w:snapToGrid w:val="0"/>
        <w:spacing w:line="420" w:lineRule="exact"/>
        <w:ind w:firstLine="420"/>
        <w:jc w:val="both"/>
        <w:rPr>
          <w:rFonts w:hAnsi="宋体"/>
          <w:spacing w:val="6"/>
          <w:sz w:val="21"/>
          <w:szCs w:val="21"/>
        </w:rPr>
      </w:pPr>
      <w:r>
        <w:rPr>
          <w:rFonts w:hAnsi="宋体"/>
          <w:sz w:val="21"/>
          <w:szCs w:val="21"/>
        </w:rPr>
        <w:t xml:space="preserve">    I.其他利害关系情况。</w:t>
      </w:r>
    </w:p>
    <w:p w14:paraId="12C6E6CE">
      <w:pPr>
        <w:pStyle w:val="45"/>
        <w:widowControl/>
        <w:numPr>
          <w:ilvl w:val="0"/>
          <w:numId w:val="5"/>
        </w:numPr>
        <w:snapToGrid w:val="0"/>
        <w:spacing w:line="420" w:lineRule="exact"/>
        <w:ind w:firstLine="396" w:firstLineChars="189"/>
        <w:rPr>
          <w:sz w:val="21"/>
          <w:szCs w:val="21"/>
        </w:rPr>
      </w:pPr>
      <w:r>
        <w:rPr>
          <w:sz w:val="21"/>
          <w:szCs w:val="21"/>
        </w:rPr>
        <w:t>现已清楚知道并严格遵守政府采购法律法规和现场纪律。</w:t>
      </w:r>
    </w:p>
    <w:p w14:paraId="698959C1">
      <w:pPr>
        <w:pStyle w:val="45"/>
        <w:widowControl/>
        <w:numPr>
          <w:ilvl w:val="0"/>
          <w:numId w:val="5"/>
        </w:numPr>
        <w:snapToGrid w:val="0"/>
        <w:spacing w:line="420" w:lineRule="exact"/>
        <w:ind w:firstLine="396" w:firstLineChars="189"/>
        <w:rPr>
          <w:sz w:val="21"/>
          <w:szCs w:val="21"/>
        </w:rPr>
      </w:pPr>
      <w:r>
        <w:rPr>
          <w:sz w:val="21"/>
          <w:szCs w:val="21"/>
        </w:rPr>
        <w:t>我发现</w:t>
      </w:r>
      <w:r>
        <w:rPr>
          <w:b/>
          <w:bCs/>
          <w:sz w:val="21"/>
          <w:szCs w:val="21"/>
          <w:u w:val="single"/>
        </w:rPr>
        <w:t xml:space="preserve"> / </w:t>
      </w:r>
      <w:r>
        <w:rPr>
          <w:rFonts w:hint="eastAsia"/>
          <w:sz w:val="21"/>
          <w:szCs w:val="21"/>
        </w:rPr>
        <w:t>投标人</w:t>
      </w:r>
      <w:r>
        <w:rPr>
          <w:sz w:val="21"/>
          <w:szCs w:val="21"/>
        </w:rPr>
        <w:t>之间存在或可能存在上述第二条第</w:t>
      </w:r>
      <w:r>
        <w:rPr>
          <w:b/>
          <w:bCs/>
          <w:sz w:val="21"/>
          <w:szCs w:val="21"/>
          <w:u w:val="single"/>
        </w:rPr>
        <w:t xml:space="preserve"> / </w:t>
      </w:r>
      <w:r>
        <w:rPr>
          <w:sz w:val="21"/>
          <w:szCs w:val="21"/>
        </w:rPr>
        <w:t>项利害关系。</w:t>
      </w:r>
    </w:p>
    <w:p w14:paraId="26920EF1">
      <w:pPr>
        <w:pStyle w:val="45"/>
        <w:widowControl/>
        <w:numPr>
          <w:ilvl w:val="0"/>
          <w:numId w:val="5"/>
        </w:numPr>
        <w:snapToGrid w:val="0"/>
        <w:spacing w:line="420" w:lineRule="exact"/>
        <w:ind w:firstLine="396" w:firstLineChars="189"/>
        <w:rPr>
          <w:sz w:val="21"/>
          <w:szCs w:val="21"/>
        </w:rPr>
      </w:pPr>
      <w:r>
        <w:rPr>
          <w:sz w:val="21"/>
          <w:szCs w:val="21"/>
        </w:rPr>
        <w:t>本单位若有违反诚信投标、采购法律法规等行为，愿意按照招标文件规定接受投标担保的处理。如已</w:t>
      </w:r>
      <w:r>
        <w:rPr>
          <w:rFonts w:hint="eastAsia"/>
          <w:sz w:val="21"/>
          <w:szCs w:val="21"/>
        </w:rPr>
        <w:t>成交</w:t>
      </w:r>
      <w:r>
        <w:rPr>
          <w:sz w:val="21"/>
          <w:szCs w:val="21"/>
        </w:rPr>
        <w:t>，自动放弃</w:t>
      </w:r>
      <w:r>
        <w:rPr>
          <w:rFonts w:hint="eastAsia"/>
          <w:sz w:val="21"/>
          <w:szCs w:val="21"/>
        </w:rPr>
        <w:t>成交</w:t>
      </w:r>
      <w:r>
        <w:rPr>
          <w:sz w:val="21"/>
          <w:szCs w:val="21"/>
        </w:rPr>
        <w:t>资格；给招标人造成损失的，依法承担赔偿责任。</w:t>
      </w:r>
    </w:p>
    <w:p w14:paraId="6C191CB7">
      <w:pPr>
        <w:pStyle w:val="45"/>
        <w:widowControl/>
        <w:snapToGrid w:val="0"/>
        <w:spacing w:line="500" w:lineRule="exact"/>
        <w:ind w:left="0" w:leftChars="0" w:firstLine="0" w:firstLineChars="0"/>
        <w:rPr>
          <w:sz w:val="21"/>
          <w:szCs w:val="21"/>
        </w:rPr>
      </w:pPr>
    </w:p>
    <w:p w14:paraId="44EB90BC">
      <w:pPr>
        <w:pStyle w:val="63"/>
        <w:widowControl w:val="0"/>
        <w:snapToGrid w:val="0"/>
        <w:spacing w:line="500" w:lineRule="exact"/>
        <w:ind w:firstLine="420"/>
        <w:jc w:val="both"/>
        <w:rPr>
          <w:rFonts w:hAnsi="宋体"/>
          <w:sz w:val="21"/>
          <w:szCs w:val="21"/>
        </w:rPr>
      </w:pPr>
      <w:r>
        <w:rPr>
          <w:rFonts w:hAnsi="宋体"/>
          <w:sz w:val="21"/>
          <w:szCs w:val="21"/>
        </w:rPr>
        <w:t>（</w:t>
      </w:r>
      <w:r>
        <w:rPr>
          <w:rFonts w:hint="eastAsia" w:hAnsi="宋体"/>
          <w:sz w:val="21"/>
          <w:szCs w:val="21"/>
        </w:rPr>
        <w:t>投标人</w:t>
      </w:r>
      <w:r>
        <w:rPr>
          <w:rFonts w:hAnsi="宋体"/>
          <w:sz w:val="21"/>
          <w:szCs w:val="21"/>
        </w:rPr>
        <w:t>代表签名）</w:t>
      </w:r>
    </w:p>
    <w:p w14:paraId="096572EF">
      <w:pPr>
        <w:pStyle w:val="7"/>
        <w:spacing w:line="360" w:lineRule="auto"/>
        <w:ind w:firstLine="0"/>
        <w:jc w:val="center"/>
        <w:rPr>
          <w:rFonts w:ascii="宋体" w:hAnsi="宋体"/>
          <w:color w:val="000000"/>
          <w:kern w:val="0"/>
          <w:sz w:val="21"/>
          <w:szCs w:val="21"/>
        </w:rPr>
      </w:pPr>
      <w:r>
        <w:rPr>
          <w:rFonts w:hint="eastAsia" w:ascii="宋体" w:hAnsi="宋体"/>
          <w:color w:val="000000"/>
          <w:kern w:val="0"/>
          <w:sz w:val="21"/>
          <w:szCs w:val="21"/>
        </w:rPr>
        <w:t>年</w:t>
      </w:r>
      <w:r>
        <w:rPr>
          <w:rFonts w:hint="eastAsia" w:ascii="宋体" w:hAnsi="宋体" w:eastAsiaTheme="minorEastAsia"/>
          <w:color w:val="000000"/>
          <w:kern w:val="0"/>
          <w:sz w:val="21"/>
          <w:szCs w:val="21"/>
        </w:rPr>
        <w:t xml:space="preserve">  </w:t>
      </w:r>
      <w:r>
        <w:rPr>
          <w:rFonts w:hint="eastAsia" w:ascii="宋体" w:hAnsi="宋体"/>
          <w:color w:val="000000"/>
          <w:kern w:val="0"/>
          <w:sz w:val="21"/>
          <w:szCs w:val="21"/>
        </w:rPr>
        <w:t>月</w:t>
      </w:r>
      <w:r>
        <w:rPr>
          <w:rFonts w:hint="eastAsia" w:ascii="宋体" w:hAnsi="宋体" w:eastAsiaTheme="minorEastAsia"/>
          <w:color w:val="000000"/>
          <w:kern w:val="0"/>
          <w:sz w:val="21"/>
          <w:szCs w:val="21"/>
        </w:rPr>
        <w:t xml:space="preserve">  </w:t>
      </w:r>
      <w:r>
        <w:rPr>
          <w:rFonts w:hint="eastAsia" w:ascii="宋体" w:hAnsi="宋体"/>
          <w:color w:val="000000"/>
          <w:kern w:val="0"/>
          <w:sz w:val="21"/>
          <w:szCs w:val="21"/>
        </w:rPr>
        <w:t>日</w:t>
      </w:r>
    </w:p>
    <w:p w14:paraId="51CF784A">
      <w:pPr>
        <w:pStyle w:val="7"/>
        <w:spacing w:line="360" w:lineRule="auto"/>
        <w:ind w:firstLine="0"/>
        <w:jc w:val="left"/>
        <w:rPr>
          <w:rFonts w:ascii="宋体" w:hAnsi="宋体" w:eastAsia="宋体" w:cs="宋体"/>
          <w:b/>
          <w:bCs/>
          <w:sz w:val="21"/>
          <w:szCs w:val="21"/>
        </w:rPr>
      </w:pPr>
      <w:r>
        <w:rPr>
          <w:rFonts w:hint="eastAsia" w:ascii="宋体" w:hAnsi="宋体" w:cs="宋体"/>
          <w:sz w:val="22"/>
          <w:szCs w:val="22"/>
        </w:rPr>
        <w:t>说明：商务技术文件开启后30分钟内供应商通过邮件形式将经授权代表签署的《</w:t>
      </w:r>
      <w:r>
        <w:rPr>
          <w:rFonts w:hint="eastAsia" w:ascii="宋体" w:hAnsi="宋体" w:cs="宋体"/>
          <w:sz w:val="22"/>
          <w:szCs w:val="22"/>
          <w:lang w:val="en-GB"/>
        </w:rPr>
        <w:t>政府采购活动确认声明书</w:t>
      </w:r>
      <w:r>
        <w:rPr>
          <w:rFonts w:hint="eastAsia" w:ascii="宋体" w:hAnsi="宋体" w:cs="宋体"/>
          <w:sz w:val="22"/>
          <w:szCs w:val="22"/>
        </w:rPr>
        <w:t>》扫描件发至代理机构经办人邮箱（邮箱地址：</w:t>
      </w:r>
      <w:r>
        <w:fldChar w:fldCharType="begin"/>
      </w:r>
      <w:r>
        <w:instrText xml:space="preserve"> HYPERLINK "mailto:303054329@qq.com）；" </w:instrText>
      </w:r>
      <w:r>
        <w:fldChar w:fldCharType="separate"/>
      </w:r>
      <w:r>
        <w:rPr>
          <w:rFonts w:hint="eastAsia" w:eastAsia="宋体"/>
          <w:lang w:val="en-US" w:eastAsia="zh-CN"/>
        </w:rPr>
        <w:t>631122035</w:t>
      </w:r>
      <w:r>
        <w:rPr>
          <w:rFonts w:hint="eastAsia" w:ascii="宋体" w:hAnsi="宋体" w:cs="宋体"/>
          <w:kern w:val="0"/>
          <w:sz w:val="22"/>
          <w:szCs w:val="22"/>
        </w:rPr>
        <w:t>@qq.com</w:t>
      </w:r>
      <w:r>
        <w:rPr>
          <w:rFonts w:hint="eastAsia" w:ascii="宋体" w:hAnsi="宋体" w:cs="宋体"/>
          <w:sz w:val="22"/>
          <w:szCs w:val="22"/>
        </w:rPr>
        <w:t>）；</w:t>
      </w:r>
      <w:r>
        <w:rPr>
          <w:rFonts w:hint="eastAsia" w:ascii="宋体" w:hAnsi="宋体" w:cs="宋体"/>
          <w:sz w:val="22"/>
          <w:szCs w:val="22"/>
        </w:rPr>
        <w:fldChar w:fldCharType="end"/>
      </w:r>
      <w:r>
        <w:rPr>
          <w:rFonts w:hint="eastAsia" w:ascii="宋体" w:hAnsi="宋体" w:cs="宋体"/>
          <w:sz w:val="22"/>
          <w:szCs w:val="22"/>
        </w:rPr>
        <w:t>不填写或未按规定发出邮件的，视同默认不存在此声明书中的相关违规情形。</w:t>
      </w:r>
    </w:p>
    <w:p w14:paraId="64B666D5">
      <w:pPr>
        <w:pStyle w:val="7"/>
        <w:spacing w:line="360" w:lineRule="auto"/>
        <w:ind w:firstLine="0"/>
        <w:jc w:val="center"/>
        <w:rPr>
          <w:rFonts w:ascii="宋体" w:hAnsi="宋体" w:eastAsia="宋体" w:cs="宋体"/>
          <w:b/>
          <w:bCs/>
          <w:sz w:val="21"/>
          <w:szCs w:val="21"/>
        </w:rPr>
      </w:pPr>
    </w:p>
    <w:p w14:paraId="491C8430">
      <w:pPr>
        <w:pStyle w:val="7"/>
        <w:spacing w:line="360" w:lineRule="auto"/>
        <w:ind w:firstLine="0"/>
        <w:jc w:val="left"/>
        <w:rPr>
          <w:rFonts w:ascii="宋体" w:hAnsi="宋体" w:eastAsia="宋体" w:cs="宋体"/>
          <w:b/>
          <w:sz w:val="32"/>
          <w:szCs w:val="32"/>
        </w:rPr>
      </w:pPr>
      <w:r>
        <w:rPr>
          <w:rFonts w:hint="eastAsia" w:ascii="宋体" w:hAnsi="宋体" w:eastAsia="宋体" w:cs="宋体"/>
          <w:b/>
          <w:bCs/>
          <w:sz w:val="24"/>
          <w:szCs w:val="24"/>
        </w:rPr>
        <w:t>附件四：</w:t>
      </w:r>
    </w:p>
    <w:p w14:paraId="3BA7511F">
      <w:pPr>
        <w:pStyle w:val="7"/>
        <w:spacing w:line="360" w:lineRule="auto"/>
        <w:ind w:firstLine="0"/>
        <w:jc w:val="center"/>
        <w:rPr>
          <w:rFonts w:ascii="宋体" w:hAnsi="宋体" w:eastAsia="宋体" w:cs="宋体"/>
          <w:b/>
          <w:sz w:val="32"/>
          <w:szCs w:val="32"/>
        </w:rPr>
      </w:pPr>
      <w:r>
        <w:rPr>
          <w:rFonts w:hint="eastAsia" w:ascii="宋体" w:hAnsi="宋体" w:eastAsia="宋体" w:cs="宋体"/>
          <w:b/>
          <w:sz w:val="32"/>
          <w:szCs w:val="32"/>
        </w:rPr>
        <w:t>具有履行合同所必需设备和专业技术能力的承诺函</w:t>
      </w:r>
    </w:p>
    <w:p w14:paraId="54EF8CB7">
      <w:pPr>
        <w:pStyle w:val="14"/>
        <w:spacing w:line="360" w:lineRule="auto"/>
        <w:rPr>
          <w:rFonts w:hAnsi="宋体" w:eastAsia="宋体" w:cs="宋体"/>
          <w:b/>
          <w:bCs/>
          <w:u w:val="single"/>
        </w:rPr>
      </w:pPr>
      <w:r>
        <w:rPr>
          <w:rFonts w:hint="eastAsia" w:hAnsi="宋体" w:eastAsia="宋体" w:cs="宋体"/>
          <w:szCs w:val="21"/>
          <w:u w:val="single"/>
          <w:lang w:eastAsia="zh-CN"/>
        </w:rPr>
        <w:t>台州市投资促进中心</w:t>
      </w:r>
      <w:r>
        <w:rPr>
          <w:rFonts w:hint="eastAsia" w:hAnsi="宋体" w:eastAsia="宋体" w:cs="宋体"/>
          <w:b/>
          <w:bCs/>
          <w:u w:val="single"/>
        </w:rPr>
        <w:t>：</w:t>
      </w:r>
    </w:p>
    <w:p w14:paraId="39E7ED67">
      <w:pPr>
        <w:pStyle w:val="14"/>
        <w:spacing w:line="360" w:lineRule="auto"/>
        <w:ind w:firstLine="420" w:firstLineChars="200"/>
        <w:rPr>
          <w:rFonts w:hAnsi="宋体" w:eastAsia="宋体" w:cs="宋体"/>
        </w:rPr>
      </w:pPr>
      <w:r>
        <w:rPr>
          <w:rFonts w:hint="eastAsia" w:hAnsi="宋体" w:eastAsia="宋体" w:cs="宋体"/>
        </w:rPr>
        <w:t>我方参与的</w:t>
      </w:r>
      <w:r>
        <w:rPr>
          <w:rFonts w:hint="eastAsia" w:hAnsi="宋体" w:eastAsia="宋体" w:cs="宋体"/>
          <w:u w:val="single"/>
          <w:lang w:eastAsia="zh-CN"/>
        </w:rPr>
        <w:t>台州市投资促进中心招商引资服务采购项目（第二次）CS-LY2024-057-2</w:t>
      </w:r>
      <w:r>
        <w:rPr>
          <w:rFonts w:hint="eastAsia" w:hAnsi="宋体" w:eastAsia="宋体" w:cs="宋体"/>
          <w:u w:val="single"/>
        </w:rPr>
        <w:t>号</w:t>
      </w:r>
      <w:r>
        <w:rPr>
          <w:rFonts w:hint="eastAsia" w:hAnsi="宋体" w:eastAsia="宋体" w:cs="宋体"/>
        </w:rPr>
        <w:t xml:space="preserve"> 的磋商活动，我方郑重承诺，我方承诺具有履行合同所必需设备和专业技术能力。如有虚假，采购组织机构可取消我方任何资格（磋商/中标/签订合同），我方对此无任何异议。</w:t>
      </w:r>
    </w:p>
    <w:p w14:paraId="19D6EA6D">
      <w:pPr>
        <w:pStyle w:val="14"/>
        <w:spacing w:line="360" w:lineRule="auto"/>
        <w:ind w:firstLine="420" w:firstLineChars="200"/>
        <w:rPr>
          <w:rFonts w:hAnsi="宋体" w:eastAsia="宋体" w:cs="宋体"/>
        </w:rPr>
      </w:pPr>
      <w:r>
        <w:rPr>
          <w:rFonts w:hint="eastAsia" w:hAnsi="宋体" w:eastAsia="宋体" w:cs="宋体"/>
        </w:rPr>
        <w:t>特此承诺！</w:t>
      </w:r>
    </w:p>
    <w:p w14:paraId="71F03AA3">
      <w:pPr>
        <w:pStyle w:val="14"/>
        <w:spacing w:before="60" w:after="60" w:line="500" w:lineRule="exact"/>
        <w:ind w:firstLine="420" w:firstLineChars="200"/>
        <w:rPr>
          <w:rFonts w:hAnsi="宋体" w:eastAsia="宋体" w:cs="宋体"/>
        </w:rPr>
      </w:pPr>
    </w:p>
    <w:p w14:paraId="734C86E0">
      <w:pPr>
        <w:wordWrap w:val="0"/>
        <w:spacing w:line="360" w:lineRule="auto"/>
        <w:jc w:val="right"/>
        <w:rPr>
          <w:rFonts w:ascii="宋体" w:hAnsi="宋体" w:eastAsia="宋体" w:cs="宋体"/>
          <w:sz w:val="21"/>
          <w:szCs w:val="21"/>
        </w:rPr>
      </w:pPr>
    </w:p>
    <w:p w14:paraId="2E65CE9F">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7425BC9C">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D82B44F">
      <w:pPr>
        <w:pStyle w:val="14"/>
        <w:adjustRightInd w:val="0"/>
        <w:snapToGrid w:val="0"/>
        <w:spacing w:before="120" w:after="120"/>
        <w:jc w:val="both"/>
        <w:rPr>
          <w:rFonts w:hAnsi="宋体" w:eastAsia="宋体" w:cs="宋体"/>
          <w:sz w:val="24"/>
        </w:rPr>
      </w:pPr>
      <w:r>
        <w:rPr>
          <w:rFonts w:hint="eastAsia" w:ascii="宋体" w:hAnsi="宋体" w:cs="宋体"/>
          <w:color w:val="auto"/>
          <w:sz w:val="24"/>
          <w:highlight w:val="none"/>
        </w:rPr>
        <w:t>日期：</w:t>
      </w:r>
    </w:p>
    <w:p w14:paraId="637725C1">
      <w:pPr>
        <w:pStyle w:val="14"/>
        <w:adjustRightInd w:val="0"/>
        <w:snapToGrid w:val="0"/>
        <w:spacing w:before="120" w:after="120"/>
        <w:jc w:val="center"/>
        <w:rPr>
          <w:rFonts w:hAnsi="宋体" w:eastAsia="宋体" w:cs="宋体"/>
          <w:sz w:val="24"/>
        </w:rPr>
      </w:pPr>
    </w:p>
    <w:p w14:paraId="5FADB36D">
      <w:pPr>
        <w:pStyle w:val="14"/>
        <w:adjustRightInd w:val="0"/>
        <w:snapToGrid w:val="0"/>
        <w:spacing w:before="120" w:after="120"/>
        <w:jc w:val="center"/>
        <w:rPr>
          <w:rFonts w:hAnsi="宋体" w:eastAsia="宋体" w:cs="宋体"/>
          <w:sz w:val="24"/>
        </w:rPr>
      </w:pPr>
    </w:p>
    <w:p w14:paraId="31FA478E">
      <w:pPr>
        <w:pStyle w:val="14"/>
        <w:adjustRightInd w:val="0"/>
        <w:snapToGrid w:val="0"/>
        <w:spacing w:before="120" w:after="120"/>
        <w:jc w:val="center"/>
        <w:rPr>
          <w:rFonts w:hAnsi="宋体" w:eastAsia="宋体" w:cs="宋体"/>
          <w:sz w:val="24"/>
        </w:rPr>
      </w:pPr>
    </w:p>
    <w:p w14:paraId="6FAA3B64">
      <w:pPr>
        <w:pStyle w:val="14"/>
        <w:adjustRightInd w:val="0"/>
        <w:snapToGrid w:val="0"/>
        <w:spacing w:before="120" w:after="120"/>
        <w:jc w:val="center"/>
        <w:rPr>
          <w:rFonts w:hAnsi="宋体" w:eastAsia="宋体" w:cs="宋体"/>
          <w:sz w:val="24"/>
        </w:rPr>
      </w:pPr>
    </w:p>
    <w:p w14:paraId="7CD32628">
      <w:pPr>
        <w:pStyle w:val="14"/>
        <w:adjustRightInd w:val="0"/>
        <w:snapToGrid w:val="0"/>
        <w:spacing w:before="120" w:after="120"/>
        <w:jc w:val="center"/>
        <w:rPr>
          <w:rFonts w:hAnsi="宋体" w:eastAsia="宋体" w:cs="宋体"/>
          <w:sz w:val="24"/>
        </w:rPr>
      </w:pPr>
    </w:p>
    <w:p w14:paraId="4E802C42">
      <w:pPr>
        <w:pStyle w:val="14"/>
        <w:adjustRightInd w:val="0"/>
        <w:snapToGrid w:val="0"/>
        <w:spacing w:before="120" w:after="120"/>
        <w:jc w:val="center"/>
        <w:rPr>
          <w:rFonts w:hAnsi="宋体" w:eastAsia="宋体" w:cs="宋体"/>
          <w:sz w:val="24"/>
        </w:rPr>
      </w:pPr>
    </w:p>
    <w:p w14:paraId="5BC44EEC">
      <w:pPr>
        <w:pStyle w:val="14"/>
        <w:adjustRightInd w:val="0"/>
        <w:snapToGrid w:val="0"/>
        <w:spacing w:before="120" w:after="120"/>
        <w:jc w:val="center"/>
        <w:rPr>
          <w:rFonts w:hAnsi="宋体" w:eastAsia="宋体" w:cs="宋体"/>
          <w:sz w:val="24"/>
        </w:rPr>
      </w:pPr>
    </w:p>
    <w:p w14:paraId="4CBBE66E">
      <w:pPr>
        <w:pStyle w:val="14"/>
        <w:adjustRightInd w:val="0"/>
        <w:snapToGrid w:val="0"/>
        <w:spacing w:before="120" w:after="120"/>
        <w:jc w:val="center"/>
        <w:rPr>
          <w:rFonts w:hAnsi="宋体" w:eastAsia="宋体" w:cs="宋体"/>
          <w:sz w:val="24"/>
        </w:rPr>
      </w:pPr>
    </w:p>
    <w:p w14:paraId="0AD7EDEA">
      <w:pPr>
        <w:pStyle w:val="14"/>
        <w:adjustRightInd w:val="0"/>
        <w:snapToGrid w:val="0"/>
        <w:spacing w:before="120" w:after="120"/>
        <w:jc w:val="center"/>
        <w:rPr>
          <w:rFonts w:hAnsi="宋体" w:eastAsia="宋体" w:cs="宋体"/>
          <w:sz w:val="24"/>
        </w:rPr>
      </w:pPr>
    </w:p>
    <w:p w14:paraId="58A14209">
      <w:pPr>
        <w:pStyle w:val="14"/>
        <w:adjustRightInd w:val="0"/>
        <w:snapToGrid w:val="0"/>
        <w:spacing w:before="120" w:after="120"/>
        <w:jc w:val="center"/>
        <w:rPr>
          <w:rFonts w:hAnsi="宋体" w:eastAsia="宋体" w:cs="宋体"/>
          <w:sz w:val="24"/>
        </w:rPr>
      </w:pPr>
    </w:p>
    <w:p w14:paraId="5DFFDB39">
      <w:pPr>
        <w:pStyle w:val="14"/>
        <w:adjustRightInd w:val="0"/>
        <w:snapToGrid w:val="0"/>
        <w:spacing w:before="120" w:after="120"/>
        <w:jc w:val="center"/>
        <w:rPr>
          <w:rFonts w:hAnsi="宋体" w:eastAsia="宋体" w:cs="宋体"/>
          <w:b/>
          <w:bCs/>
          <w:sz w:val="24"/>
          <w:szCs w:val="24"/>
        </w:rPr>
      </w:pPr>
    </w:p>
    <w:p w14:paraId="68C0BC16">
      <w:pPr>
        <w:pStyle w:val="14"/>
        <w:adjustRightInd w:val="0"/>
        <w:snapToGrid w:val="0"/>
        <w:spacing w:before="120" w:after="120"/>
        <w:jc w:val="center"/>
        <w:rPr>
          <w:rFonts w:hAnsi="宋体" w:eastAsia="宋体" w:cs="宋体"/>
          <w:b/>
          <w:bCs/>
          <w:sz w:val="24"/>
          <w:szCs w:val="24"/>
        </w:rPr>
      </w:pPr>
    </w:p>
    <w:p w14:paraId="0651DEAA">
      <w:pPr>
        <w:pStyle w:val="14"/>
        <w:adjustRightInd w:val="0"/>
        <w:snapToGrid w:val="0"/>
        <w:spacing w:before="120" w:after="120"/>
        <w:jc w:val="center"/>
        <w:rPr>
          <w:rFonts w:hAnsi="宋体" w:eastAsia="宋体" w:cs="宋体"/>
          <w:b/>
          <w:bCs/>
          <w:sz w:val="24"/>
          <w:szCs w:val="24"/>
        </w:rPr>
      </w:pPr>
    </w:p>
    <w:p w14:paraId="045E5A70">
      <w:pPr>
        <w:pStyle w:val="14"/>
        <w:adjustRightInd w:val="0"/>
        <w:snapToGrid w:val="0"/>
        <w:spacing w:before="120" w:after="120"/>
        <w:rPr>
          <w:rFonts w:hAnsi="宋体" w:eastAsia="宋体" w:cs="宋体"/>
          <w:b/>
          <w:bCs/>
          <w:sz w:val="24"/>
          <w:szCs w:val="24"/>
        </w:rPr>
      </w:pPr>
      <w:r>
        <w:rPr>
          <w:rFonts w:hint="eastAsia" w:hAnsi="宋体" w:eastAsia="宋体" w:cs="宋体"/>
          <w:b/>
          <w:bCs/>
          <w:sz w:val="24"/>
          <w:szCs w:val="24"/>
          <w:lang w:val="zh-CN"/>
        </w:rPr>
        <w:t>附件五</w:t>
      </w:r>
      <w:r>
        <w:rPr>
          <w:rFonts w:hint="eastAsia" w:hAnsi="宋体" w:eastAsia="宋体" w:cs="宋体"/>
          <w:b/>
          <w:bCs/>
          <w:sz w:val="24"/>
          <w:szCs w:val="24"/>
        </w:rPr>
        <w:t>：</w:t>
      </w:r>
    </w:p>
    <w:p w14:paraId="3C746A1C">
      <w:pPr>
        <w:pStyle w:val="14"/>
        <w:adjustRightInd w:val="0"/>
        <w:snapToGrid w:val="0"/>
        <w:spacing w:line="360" w:lineRule="auto"/>
        <w:jc w:val="center"/>
        <w:rPr>
          <w:rFonts w:hAnsi="宋体" w:eastAsia="宋体" w:cs="宋体"/>
          <w:b/>
          <w:bCs/>
          <w:sz w:val="32"/>
          <w:szCs w:val="32"/>
        </w:rPr>
      </w:pPr>
      <w:r>
        <w:rPr>
          <w:rFonts w:hint="eastAsia" w:hAnsi="宋体" w:eastAsia="宋体" w:cs="宋体"/>
          <w:b/>
          <w:bCs/>
          <w:sz w:val="32"/>
          <w:szCs w:val="32"/>
          <w:lang w:val="zh-CN"/>
        </w:rPr>
        <w:t>无重大违法记录声明书</w:t>
      </w:r>
    </w:p>
    <w:p w14:paraId="06E30B99">
      <w:pPr>
        <w:spacing w:line="360" w:lineRule="auto"/>
        <w:jc w:val="left"/>
        <w:rPr>
          <w:rFonts w:ascii="宋体" w:hAnsi="宋体" w:eastAsia="宋体" w:cs="宋体"/>
          <w:sz w:val="21"/>
          <w:szCs w:val="21"/>
        </w:rPr>
      </w:pPr>
      <w:r>
        <w:rPr>
          <w:rFonts w:hint="eastAsia" w:ascii="宋体" w:hAnsi="宋体" w:eastAsia="宋体" w:cs="宋体"/>
          <w:sz w:val="21"/>
          <w:szCs w:val="21"/>
          <w:lang w:eastAsia="zh-CN"/>
        </w:rPr>
        <w:t>台州市投资促进中心</w:t>
      </w:r>
      <w:r>
        <w:rPr>
          <w:rFonts w:hint="eastAsia" w:ascii="宋体" w:hAnsi="宋体" w:eastAsia="宋体" w:cs="宋体"/>
          <w:sz w:val="21"/>
          <w:szCs w:val="21"/>
        </w:rPr>
        <w:t>：</w:t>
      </w:r>
    </w:p>
    <w:p w14:paraId="5C352E3C">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5DC9F4BE">
      <w:pPr>
        <w:spacing w:line="360" w:lineRule="auto"/>
        <w:ind w:firstLine="420" w:firstLineChars="200"/>
        <w:jc w:val="left"/>
        <w:rPr>
          <w:rFonts w:ascii="宋体" w:hAnsi="宋体" w:eastAsia="宋体" w:cs="宋体"/>
          <w:spacing w:val="6"/>
          <w:sz w:val="21"/>
          <w:szCs w:val="21"/>
        </w:rPr>
      </w:pPr>
      <w:r>
        <w:rPr>
          <w:rFonts w:hint="eastAsia" w:ascii="宋体" w:hAnsi="宋体" w:eastAsia="宋体" w:cs="宋体"/>
          <w:sz w:val="21"/>
          <w:szCs w:val="21"/>
        </w:rPr>
        <w:t>特此声明。</w:t>
      </w:r>
    </w:p>
    <w:p w14:paraId="6BBBAAF6">
      <w:pPr>
        <w:pStyle w:val="14"/>
        <w:spacing w:line="360" w:lineRule="auto"/>
        <w:ind w:firstLine="420" w:firstLineChars="200"/>
        <w:jc w:val="center"/>
        <w:rPr>
          <w:rFonts w:hAnsi="宋体" w:eastAsia="宋体" w:cs="宋体"/>
          <w:szCs w:val="21"/>
        </w:rPr>
      </w:pPr>
    </w:p>
    <w:p w14:paraId="738307C5">
      <w:pPr>
        <w:wordWrap w:val="0"/>
        <w:spacing w:line="360" w:lineRule="auto"/>
        <w:jc w:val="right"/>
        <w:rPr>
          <w:rFonts w:ascii="宋体" w:hAnsi="宋体" w:eastAsia="宋体" w:cs="宋体"/>
          <w:sz w:val="21"/>
          <w:szCs w:val="21"/>
        </w:rPr>
      </w:pPr>
    </w:p>
    <w:p w14:paraId="0ABAEB01">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57D21845">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B3B37C5">
      <w:pPr>
        <w:pStyle w:val="14"/>
        <w:spacing w:line="360" w:lineRule="auto"/>
        <w:outlineLvl w:val="1"/>
        <w:rPr>
          <w:rFonts w:hint="eastAsia" w:ascii="宋体" w:hAnsi="宋体" w:cs="宋体"/>
          <w:color w:val="auto"/>
          <w:sz w:val="24"/>
          <w:highlight w:val="none"/>
        </w:rPr>
      </w:pPr>
      <w:r>
        <w:rPr>
          <w:rFonts w:hint="eastAsia" w:ascii="宋体" w:hAnsi="宋体" w:cs="宋体"/>
          <w:color w:val="auto"/>
          <w:sz w:val="24"/>
          <w:highlight w:val="none"/>
        </w:rPr>
        <w:t>日期：</w:t>
      </w:r>
    </w:p>
    <w:p w14:paraId="69753402">
      <w:pPr>
        <w:rPr>
          <w:rFonts w:hint="eastAsia" w:ascii="宋体" w:hAnsi="宋体" w:cs="宋体"/>
          <w:color w:val="auto"/>
          <w:sz w:val="24"/>
          <w:highlight w:val="none"/>
        </w:rPr>
      </w:pPr>
      <w:r>
        <w:rPr>
          <w:rFonts w:hint="eastAsia" w:ascii="宋体" w:hAnsi="宋体" w:cs="宋体"/>
          <w:color w:val="auto"/>
          <w:sz w:val="24"/>
          <w:highlight w:val="none"/>
        </w:rPr>
        <w:br w:type="page"/>
      </w:r>
    </w:p>
    <w:p w14:paraId="34E31988">
      <w:pPr>
        <w:spacing w:line="360" w:lineRule="auto"/>
        <w:jc w:val="both"/>
        <w:rPr>
          <w:rFonts w:hint="eastAsia" w:ascii="宋体" w:hAnsi="宋体" w:cs="宋体"/>
          <w:b/>
          <w:bCs/>
          <w:sz w:val="28"/>
          <w:szCs w:val="36"/>
        </w:rPr>
      </w:pPr>
      <w:r>
        <w:rPr>
          <w:rFonts w:hint="eastAsia" w:hAnsi="宋体" w:eastAsia="宋体" w:cs="宋体"/>
          <w:b/>
          <w:bCs/>
          <w:sz w:val="24"/>
          <w:szCs w:val="24"/>
          <w:lang w:val="zh-CN"/>
        </w:rPr>
        <w:t>附件</w:t>
      </w:r>
      <w:r>
        <w:rPr>
          <w:rFonts w:hint="eastAsia" w:hAnsi="宋体" w:eastAsia="宋体" w:cs="宋体"/>
          <w:b/>
          <w:bCs/>
          <w:sz w:val="24"/>
          <w:szCs w:val="24"/>
          <w:lang w:val="en-US" w:eastAsia="zh-CN"/>
        </w:rPr>
        <w:t>六</w:t>
      </w:r>
      <w:r>
        <w:rPr>
          <w:rFonts w:hint="eastAsia" w:hAnsi="宋体" w:eastAsia="宋体" w:cs="宋体"/>
          <w:b/>
          <w:bCs/>
          <w:sz w:val="24"/>
          <w:szCs w:val="24"/>
        </w:rPr>
        <w:t>：</w:t>
      </w:r>
    </w:p>
    <w:p w14:paraId="77C47F03">
      <w:pPr>
        <w:spacing w:line="360" w:lineRule="auto"/>
        <w:jc w:val="center"/>
        <w:rPr>
          <w:rFonts w:ascii="宋体" w:hAnsi="宋体" w:cs="宋体"/>
          <w:b/>
          <w:bCs/>
          <w:sz w:val="28"/>
          <w:szCs w:val="36"/>
        </w:rPr>
      </w:pPr>
      <w:r>
        <w:rPr>
          <w:rFonts w:hint="eastAsia" w:ascii="宋体" w:hAnsi="宋体" w:cs="宋体"/>
          <w:b/>
          <w:bCs/>
          <w:sz w:val="28"/>
          <w:szCs w:val="36"/>
        </w:rPr>
        <w:t>中小企业声明函</w:t>
      </w:r>
    </w:p>
    <w:p w14:paraId="43490AE4">
      <w:pPr>
        <w:spacing w:line="360" w:lineRule="auto"/>
        <w:ind w:firstLine="480" w:firstLineChars="200"/>
        <w:jc w:val="left"/>
        <w:rPr>
          <w:rFonts w:ascii="宋体" w:hAnsi="宋体" w:cs="宋体"/>
          <w:bCs/>
          <w:sz w:val="24"/>
        </w:rPr>
      </w:pPr>
      <w:r>
        <w:rPr>
          <w:rFonts w:hint="eastAsia" w:ascii="宋体" w:hAnsi="宋体" w:cs="宋体"/>
          <w:bCs/>
          <w:sz w:val="24"/>
        </w:rPr>
        <w:t>a.中小企业声明函；</w:t>
      </w:r>
    </w:p>
    <w:p w14:paraId="2772382C">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中小企业应当按照《政府采购促进中小企业发展管理办法》规定和《中小企业划型标准规定》（工信部联企业〔2011〕300 号），如实填写并提交《中小企业声明函》。 </w:t>
      </w:r>
    </w:p>
    <w:p w14:paraId="71CF8BDC">
      <w:pPr>
        <w:spacing w:line="360" w:lineRule="auto"/>
        <w:ind w:firstLine="480" w:firstLineChars="200"/>
        <w:jc w:val="left"/>
        <w:rPr>
          <w:rFonts w:ascii="宋体" w:hAnsi="宋体" w:cs="宋体"/>
          <w:bCs/>
          <w:sz w:val="24"/>
        </w:rPr>
      </w:pPr>
      <w:r>
        <w:rPr>
          <w:rFonts w:hint="eastAsia" w:ascii="宋体" w:hAnsi="宋体" w:cs="宋体"/>
          <w:bCs/>
          <w:sz w:val="24"/>
        </w:rPr>
        <w:t xml:space="preserve">中小企业对其声明内容的真实性负责，声明函内容不实的，属于提供虚假材料谋取中标、成交，依照《中华人民共和国政府采购法》等国家有关规定追究相应责任。 </w:t>
      </w:r>
    </w:p>
    <w:p w14:paraId="23001073">
      <w:pPr>
        <w:spacing w:line="360" w:lineRule="auto"/>
        <w:ind w:firstLine="480" w:firstLineChars="200"/>
        <w:jc w:val="left"/>
        <w:rPr>
          <w:rFonts w:ascii="宋体" w:hAnsi="宋体" w:cs="宋体"/>
          <w:bCs/>
          <w:sz w:val="24"/>
          <w:lang w:val="zh-CN"/>
        </w:rPr>
      </w:pPr>
      <w:r>
        <w:rPr>
          <w:rFonts w:hint="eastAsia" w:ascii="宋体" w:hAnsi="宋体" w:cs="宋体"/>
          <w:bCs/>
          <w:sz w:val="24"/>
        </w:rPr>
        <w:t>b.投标人为监狱企业的证明文件：省级以上监狱管理局、戒毒管理局（含新疆生产建设兵团）出具。（如是）</w:t>
      </w:r>
      <w:r>
        <w:rPr>
          <w:rFonts w:hint="eastAsia" w:ascii="宋体" w:hAnsi="宋体" w:cs="宋体"/>
          <w:bCs/>
          <w:sz w:val="24"/>
          <w:lang w:val="zh-CN"/>
        </w:rPr>
        <w:t>。</w:t>
      </w:r>
    </w:p>
    <w:p w14:paraId="1BA9D385">
      <w:pPr>
        <w:spacing w:line="360" w:lineRule="auto"/>
        <w:ind w:firstLine="480" w:firstLineChars="200"/>
        <w:jc w:val="left"/>
        <w:rPr>
          <w:rFonts w:ascii="宋体" w:hAnsi="宋体" w:cs="宋体"/>
          <w:bCs/>
          <w:sz w:val="24"/>
        </w:rPr>
      </w:pPr>
      <w:r>
        <w:rPr>
          <w:rFonts w:hint="eastAsia" w:ascii="宋体" w:hAnsi="宋体" w:cs="宋体"/>
          <w:bCs/>
          <w:sz w:val="24"/>
        </w:rPr>
        <w:t>c.投标人如符合《财政部、民政部、中国残疾人联合会关于促进残疾人就业政府采购政策的通知》 （财库〔2017〕141 号）政策规定的，须提供《残疾人福利性单位声明函》；（如是）</w:t>
      </w:r>
    </w:p>
    <w:p w14:paraId="4F0347E7">
      <w:pPr>
        <w:pStyle w:val="11"/>
        <w:ind w:firstLine="304"/>
        <w:rPr>
          <w:rFonts w:ascii="宋体" w:hAnsi="宋体" w:cs="宋体"/>
          <w:szCs w:val="36"/>
        </w:rPr>
      </w:pPr>
    </w:p>
    <w:p w14:paraId="0A28C874">
      <w:pPr>
        <w:pStyle w:val="23"/>
        <w:rPr>
          <w:sz w:val="28"/>
          <w:szCs w:val="36"/>
        </w:rPr>
      </w:pPr>
    </w:p>
    <w:p w14:paraId="282E868C">
      <w:pPr>
        <w:rPr>
          <w:rFonts w:ascii="宋体" w:hAnsi="宋体" w:cs="宋体"/>
          <w:sz w:val="28"/>
          <w:szCs w:val="36"/>
        </w:rPr>
      </w:pPr>
    </w:p>
    <w:p w14:paraId="649D9367">
      <w:pPr>
        <w:pStyle w:val="11"/>
        <w:ind w:firstLine="304"/>
        <w:rPr>
          <w:rFonts w:ascii="宋体" w:hAnsi="宋体" w:cs="宋体"/>
          <w:szCs w:val="36"/>
        </w:rPr>
      </w:pPr>
    </w:p>
    <w:p w14:paraId="681A2647">
      <w:pPr>
        <w:pStyle w:val="23"/>
        <w:rPr>
          <w:sz w:val="28"/>
          <w:szCs w:val="36"/>
        </w:rPr>
      </w:pPr>
    </w:p>
    <w:p w14:paraId="5D9065C8">
      <w:pPr>
        <w:rPr>
          <w:rFonts w:ascii="宋体" w:hAnsi="宋体" w:cs="宋体"/>
          <w:sz w:val="28"/>
          <w:szCs w:val="36"/>
        </w:rPr>
      </w:pPr>
    </w:p>
    <w:p w14:paraId="64AD0EFA">
      <w:pPr>
        <w:pStyle w:val="11"/>
        <w:ind w:firstLine="304"/>
        <w:rPr>
          <w:rFonts w:ascii="宋体" w:hAnsi="宋体" w:cs="宋体"/>
          <w:szCs w:val="36"/>
        </w:rPr>
      </w:pPr>
    </w:p>
    <w:p w14:paraId="550A8477">
      <w:pPr>
        <w:pStyle w:val="23"/>
        <w:rPr>
          <w:sz w:val="28"/>
          <w:szCs w:val="36"/>
        </w:rPr>
      </w:pPr>
    </w:p>
    <w:p w14:paraId="3F0AE50F">
      <w:pPr>
        <w:rPr>
          <w:rFonts w:ascii="宋体" w:hAnsi="宋体" w:cs="宋体"/>
          <w:sz w:val="28"/>
          <w:szCs w:val="36"/>
        </w:rPr>
      </w:pPr>
    </w:p>
    <w:p w14:paraId="38044107">
      <w:pPr>
        <w:pStyle w:val="10"/>
      </w:pPr>
    </w:p>
    <w:p w14:paraId="592C5E08">
      <w:pPr>
        <w:rPr>
          <w:rFonts w:ascii="宋体" w:hAnsi="宋体" w:cs="宋体"/>
          <w:sz w:val="28"/>
          <w:szCs w:val="36"/>
        </w:rPr>
      </w:pPr>
    </w:p>
    <w:p w14:paraId="7BDC50C5">
      <w:pPr>
        <w:pStyle w:val="10"/>
        <w:rPr>
          <w:rFonts w:ascii="宋体" w:hAnsi="宋体" w:cs="宋体"/>
          <w:sz w:val="28"/>
          <w:szCs w:val="36"/>
        </w:rPr>
      </w:pPr>
    </w:p>
    <w:p w14:paraId="72016D9C">
      <w:pPr>
        <w:pStyle w:val="11"/>
        <w:ind w:firstLine="304"/>
        <w:rPr>
          <w:rFonts w:ascii="宋体" w:hAnsi="宋体" w:cs="宋体"/>
          <w:szCs w:val="36"/>
        </w:rPr>
      </w:pPr>
    </w:p>
    <w:p w14:paraId="6305E9CE">
      <w:pPr>
        <w:rPr>
          <w:rFonts w:hint="eastAsia" w:ascii="宋体" w:hAnsi="宋体"/>
          <w:b/>
          <w:sz w:val="32"/>
          <w:szCs w:val="32"/>
        </w:rPr>
      </w:pPr>
      <w:r>
        <w:rPr>
          <w:rFonts w:hint="eastAsia" w:ascii="宋体" w:hAnsi="宋体"/>
          <w:b/>
          <w:sz w:val="32"/>
          <w:szCs w:val="32"/>
        </w:rPr>
        <w:br w:type="page"/>
      </w:r>
    </w:p>
    <w:p w14:paraId="64628DDA">
      <w:pPr>
        <w:spacing w:line="360" w:lineRule="auto"/>
        <w:jc w:val="center"/>
        <w:rPr>
          <w:rFonts w:ascii="宋体" w:hAnsi="宋体"/>
          <w:b/>
          <w:sz w:val="32"/>
          <w:szCs w:val="32"/>
        </w:rPr>
      </w:pPr>
      <w:r>
        <w:rPr>
          <w:rFonts w:hint="eastAsia" w:ascii="宋体" w:hAnsi="宋体"/>
          <w:b/>
          <w:sz w:val="32"/>
          <w:szCs w:val="32"/>
        </w:rPr>
        <w:t>中小企业声明函（货物）</w:t>
      </w:r>
    </w:p>
    <w:p w14:paraId="04E58ED8">
      <w:pPr>
        <w:spacing w:line="360" w:lineRule="auto"/>
        <w:ind w:firstLine="480" w:firstLineChars="200"/>
        <w:jc w:val="left"/>
        <w:rPr>
          <w:rFonts w:ascii="宋体" w:hAnsi="宋体"/>
          <w:bCs/>
          <w:sz w:val="24"/>
        </w:rPr>
      </w:pPr>
      <w:r>
        <w:rPr>
          <w:rFonts w:hint="eastAsia" w:ascii="宋体" w:hAnsi="宋体"/>
          <w:bCs/>
          <w:sz w:val="24"/>
        </w:rPr>
        <w:t>本公司郑重声明，根据《政府采购促进中小企业发展管理办法》（财库﹝2020﹞46 号）的规定，本公司参加</w:t>
      </w:r>
      <w:r>
        <w:rPr>
          <w:rFonts w:hint="eastAsia" w:ascii="宋体" w:hAnsi="宋体"/>
          <w:bCs/>
          <w:sz w:val="24"/>
          <w:u w:val="single"/>
        </w:rPr>
        <w:t>（单位名称）</w:t>
      </w:r>
      <w:r>
        <w:rPr>
          <w:rFonts w:hint="eastAsia" w:ascii="宋体" w:hAnsi="宋体"/>
          <w:bCs/>
          <w:sz w:val="24"/>
        </w:rPr>
        <w:t>的</w:t>
      </w:r>
      <w:r>
        <w:rPr>
          <w:rFonts w:hint="eastAsia" w:ascii="宋体" w:hAnsi="宋体"/>
          <w:bCs/>
          <w:sz w:val="24"/>
          <w:u w:val="single"/>
        </w:rPr>
        <w:t>（项目名称）</w:t>
      </w:r>
      <w:r>
        <w:rPr>
          <w:rFonts w:hint="eastAsia" w:ascii="宋体" w:hAnsi="宋体"/>
          <w:bCs/>
          <w:sz w:val="24"/>
        </w:rPr>
        <w:t xml:space="preserve">采购活动，提供的货物全部由符合政策要求的中小企业制造。相关企业的具体情况如下： </w:t>
      </w:r>
    </w:p>
    <w:p w14:paraId="3AD890E9">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行业；制造商为</w:t>
      </w:r>
      <w:r>
        <w:rPr>
          <w:rFonts w:hint="eastAsia" w:ascii="宋体" w:hAnsi="宋体"/>
          <w:bCs/>
          <w:sz w:val="24"/>
          <w:u w:val="single"/>
        </w:rPr>
        <w:t>（企业名称）</w:t>
      </w:r>
      <w:r>
        <w:rPr>
          <w:rFonts w:hint="eastAsia" w:ascii="宋体" w:hAnsi="宋体"/>
          <w:bCs/>
          <w:sz w:val="24"/>
        </w:rPr>
        <w:t>，从业人员人，营业收入为万元，资产总额为万元</w:t>
      </w:r>
      <w:r>
        <w:rPr>
          <w:rStyle w:val="36"/>
          <w:rFonts w:hint="eastAsia" w:ascii="宋体" w:hAnsi="宋体"/>
          <w:bCs/>
          <w:sz w:val="24"/>
        </w:rPr>
        <w:footnoteReference w:id="0"/>
      </w:r>
      <w:r>
        <w:rPr>
          <w:rFonts w:hint="eastAsia" w:ascii="宋体" w:hAnsi="宋体"/>
          <w:bCs/>
          <w:sz w:val="24"/>
        </w:rPr>
        <w:t>，属于</w:t>
      </w:r>
      <w:r>
        <w:rPr>
          <w:rFonts w:hint="eastAsia" w:ascii="宋体" w:hAnsi="宋体"/>
          <w:bCs/>
          <w:sz w:val="24"/>
          <w:u w:val="single"/>
        </w:rPr>
        <w:t>（中型企业、小型企业、微型企业）</w:t>
      </w:r>
      <w:r>
        <w:rPr>
          <w:rFonts w:hint="eastAsia" w:ascii="宋体" w:hAnsi="宋体"/>
          <w:bCs/>
          <w:sz w:val="24"/>
        </w:rPr>
        <w:t>；</w:t>
      </w:r>
    </w:p>
    <w:p w14:paraId="41E9A3DD">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行业；制造商为</w:t>
      </w:r>
      <w:r>
        <w:rPr>
          <w:rFonts w:hint="eastAsia" w:ascii="宋体" w:hAnsi="宋体"/>
          <w:bCs/>
          <w:sz w:val="24"/>
          <w:u w:val="single"/>
        </w:rPr>
        <w:t>（企业名称）</w:t>
      </w:r>
      <w:r>
        <w:rPr>
          <w:rFonts w:hint="eastAsia" w:ascii="宋体" w:hAnsi="宋体"/>
          <w:bCs/>
          <w:sz w:val="24"/>
        </w:rPr>
        <w:t>，从业人员人，营业收入为万元，资产总额为万元，属于</w:t>
      </w:r>
      <w:r>
        <w:rPr>
          <w:rFonts w:hint="eastAsia" w:ascii="宋体" w:hAnsi="宋体"/>
          <w:bCs/>
          <w:sz w:val="24"/>
          <w:u w:val="single"/>
        </w:rPr>
        <w:t>（中型企业、小型企业、微型企业）</w:t>
      </w:r>
      <w:r>
        <w:rPr>
          <w:rFonts w:hint="eastAsia" w:ascii="宋体" w:hAnsi="宋体"/>
          <w:bCs/>
          <w:sz w:val="24"/>
        </w:rPr>
        <w:t>；</w:t>
      </w:r>
    </w:p>
    <w:p w14:paraId="44CE6BB3">
      <w:pPr>
        <w:spacing w:line="360" w:lineRule="auto"/>
        <w:ind w:firstLine="480" w:firstLineChars="200"/>
        <w:jc w:val="left"/>
        <w:rPr>
          <w:rFonts w:ascii="宋体" w:hAnsi="宋体"/>
          <w:bCs/>
          <w:sz w:val="24"/>
        </w:rPr>
      </w:pPr>
      <w:r>
        <w:rPr>
          <w:rFonts w:hint="eastAsia" w:ascii="宋体" w:hAnsi="宋体"/>
          <w:bCs/>
          <w:sz w:val="24"/>
        </w:rPr>
        <w:t>……</w:t>
      </w:r>
    </w:p>
    <w:p w14:paraId="548DBEEB">
      <w:pPr>
        <w:spacing w:line="360" w:lineRule="auto"/>
        <w:ind w:firstLine="480" w:firstLineChars="200"/>
        <w:jc w:val="left"/>
        <w:rPr>
          <w:rFonts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14:paraId="75F3D25B">
      <w:pPr>
        <w:spacing w:line="360" w:lineRule="auto"/>
        <w:ind w:firstLine="480" w:firstLineChars="200"/>
        <w:jc w:val="left"/>
        <w:rPr>
          <w:rFonts w:ascii="宋体" w:hAnsi="宋体"/>
          <w:bCs/>
          <w:sz w:val="24"/>
        </w:rPr>
      </w:pPr>
      <w:r>
        <w:rPr>
          <w:rFonts w:hint="eastAsia" w:ascii="宋体" w:hAnsi="宋体"/>
          <w:bCs/>
          <w:sz w:val="24"/>
        </w:rPr>
        <w:t xml:space="preserve">本企业对上述声明内容的真实性负责。如有虚假，将依法承担相应责任。 </w:t>
      </w:r>
    </w:p>
    <w:p w14:paraId="0CF6F699">
      <w:pPr>
        <w:spacing w:line="360" w:lineRule="auto"/>
        <w:jc w:val="left"/>
        <w:rPr>
          <w:rFonts w:ascii="宋体" w:hAnsi="宋体"/>
          <w:bCs/>
          <w:sz w:val="24"/>
        </w:rPr>
      </w:pPr>
    </w:p>
    <w:p w14:paraId="5DE6011A">
      <w:pPr>
        <w:spacing w:line="360" w:lineRule="auto"/>
        <w:ind w:firstLine="4800" w:firstLineChars="2000"/>
        <w:jc w:val="left"/>
        <w:rPr>
          <w:rFonts w:ascii="宋体" w:hAnsi="宋体"/>
          <w:bCs/>
          <w:sz w:val="24"/>
        </w:rPr>
      </w:pPr>
      <w:r>
        <w:rPr>
          <w:rFonts w:hint="eastAsia" w:ascii="宋体" w:hAnsi="宋体"/>
          <w:bCs/>
          <w:sz w:val="24"/>
        </w:rPr>
        <w:t>企业名称（盖章）：</w:t>
      </w:r>
    </w:p>
    <w:p w14:paraId="4DCAF62D">
      <w:pPr>
        <w:spacing w:line="360" w:lineRule="auto"/>
        <w:ind w:firstLine="4800" w:firstLineChars="2000"/>
        <w:jc w:val="left"/>
        <w:rPr>
          <w:rFonts w:ascii="宋体" w:hAnsi="宋体"/>
          <w:bCs/>
          <w:sz w:val="24"/>
        </w:rPr>
      </w:pPr>
      <w:r>
        <w:rPr>
          <w:rFonts w:hint="eastAsia" w:ascii="宋体" w:hAnsi="宋体"/>
          <w:bCs/>
          <w:sz w:val="24"/>
        </w:rPr>
        <w:t>日    期：</w:t>
      </w:r>
    </w:p>
    <w:p w14:paraId="573EC4B9">
      <w:pPr>
        <w:spacing w:line="360" w:lineRule="auto"/>
        <w:jc w:val="left"/>
        <w:rPr>
          <w:rFonts w:ascii="宋体" w:hAnsi="宋体"/>
          <w:bCs/>
          <w:sz w:val="24"/>
        </w:rPr>
      </w:pPr>
    </w:p>
    <w:p w14:paraId="49F26EB3">
      <w:pPr>
        <w:spacing w:line="360" w:lineRule="auto"/>
        <w:jc w:val="left"/>
        <w:rPr>
          <w:rFonts w:ascii="宋体" w:hAnsi="宋体"/>
          <w:bCs/>
          <w:sz w:val="24"/>
        </w:rPr>
      </w:pPr>
    </w:p>
    <w:p w14:paraId="65AC0361">
      <w:pPr>
        <w:spacing w:line="360" w:lineRule="auto"/>
        <w:jc w:val="left"/>
        <w:rPr>
          <w:rFonts w:ascii="宋体" w:hAnsi="宋体"/>
          <w:bCs/>
          <w:sz w:val="24"/>
        </w:rPr>
      </w:pPr>
    </w:p>
    <w:p w14:paraId="560948C2">
      <w:pPr>
        <w:spacing w:line="360" w:lineRule="auto"/>
        <w:jc w:val="left"/>
        <w:rPr>
          <w:rFonts w:ascii="宋体" w:hAnsi="宋体"/>
          <w:bCs/>
          <w:sz w:val="24"/>
        </w:rPr>
      </w:pPr>
    </w:p>
    <w:p w14:paraId="467A1962">
      <w:pPr>
        <w:spacing w:line="360" w:lineRule="auto"/>
        <w:jc w:val="left"/>
        <w:rPr>
          <w:rFonts w:ascii="宋体" w:hAnsi="宋体"/>
          <w:bCs/>
          <w:sz w:val="24"/>
        </w:rPr>
      </w:pPr>
    </w:p>
    <w:p w14:paraId="52F51F85">
      <w:pPr>
        <w:spacing w:line="360" w:lineRule="auto"/>
        <w:jc w:val="left"/>
        <w:rPr>
          <w:rFonts w:ascii="宋体" w:hAnsi="宋体"/>
          <w:bCs/>
          <w:sz w:val="24"/>
        </w:rPr>
      </w:pPr>
    </w:p>
    <w:p w14:paraId="4C30925D">
      <w:pPr>
        <w:rPr>
          <w:rFonts w:hint="eastAsia" w:ascii="宋体" w:hAnsi="宋体"/>
          <w:b/>
          <w:sz w:val="32"/>
          <w:szCs w:val="32"/>
        </w:rPr>
      </w:pPr>
      <w:r>
        <w:rPr>
          <w:rFonts w:hint="eastAsia" w:ascii="宋体" w:hAnsi="宋体"/>
          <w:b/>
          <w:sz w:val="32"/>
          <w:szCs w:val="32"/>
        </w:rPr>
        <w:br w:type="page"/>
      </w:r>
    </w:p>
    <w:p w14:paraId="2F8174CE">
      <w:pPr>
        <w:spacing w:line="360" w:lineRule="auto"/>
        <w:jc w:val="center"/>
        <w:rPr>
          <w:rFonts w:ascii="宋体" w:hAnsi="宋体"/>
          <w:b/>
          <w:sz w:val="32"/>
          <w:szCs w:val="32"/>
        </w:rPr>
      </w:pPr>
      <w:r>
        <w:rPr>
          <w:rFonts w:hint="eastAsia" w:ascii="宋体" w:hAnsi="宋体"/>
          <w:b/>
          <w:sz w:val="32"/>
          <w:szCs w:val="32"/>
        </w:rPr>
        <w:t>中小企业声明函（工程、服务）</w:t>
      </w:r>
    </w:p>
    <w:p w14:paraId="76262FBC">
      <w:pPr>
        <w:spacing w:line="360" w:lineRule="auto"/>
        <w:ind w:firstLine="480" w:firstLineChars="200"/>
        <w:jc w:val="left"/>
        <w:rPr>
          <w:rFonts w:ascii="宋体" w:hAnsi="宋体"/>
          <w:bCs/>
          <w:sz w:val="24"/>
        </w:rPr>
      </w:pPr>
      <w:r>
        <w:rPr>
          <w:rFonts w:hint="eastAsia" w:ascii="宋体" w:hAnsi="宋体"/>
          <w:bCs/>
          <w:sz w:val="24"/>
        </w:rPr>
        <w:t>本公司郑重声明，根据《政府采购促进中小企业发展管理办法》（财库﹝2020﹞46 号）的规定，本公司参加</w:t>
      </w:r>
      <w:r>
        <w:rPr>
          <w:rFonts w:hint="eastAsia" w:ascii="宋体" w:hAnsi="宋体"/>
          <w:bCs/>
          <w:sz w:val="24"/>
          <w:u w:val="single"/>
        </w:rPr>
        <w:t>（单位名称）</w:t>
      </w:r>
      <w:r>
        <w:rPr>
          <w:rFonts w:hint="eastAsia" w:ascii="宋体" w:hAnsi="宋体"/>
          <w:bCs/>
          <w:sz w:val="24"/>
        </w:rPr>
        <w:t>的</w:t>
      </w:r>
      <w:r>
        <w:rPr>
          <w:rFonts w:hint="eastAsia" w:ascii="宋体" w:hAnsi="宋体"/>
          <w:bCs/>
          <w:sz w:val="24"/>
          <w:u w:val="single"/>
        </w:rPr>
        <w:t>（项目名称）</w:t>
      </w:r>
      <w:r>
        <w:rPr>
          <w:rFonts w:hint="eastAsia" w:ascii="宋体" w:hAnsi="宋体"/>
          <w:bCs/>
          <w:sz w:val="24"/>
        </w:rPr>
        <w:t>采购活动，工程的施工单位全部为符合政策要求的中小企业（或者：服务全部由符合政策要求的中小企业承接）。相关企业的具体情况如下：</w:t>
      </w:r>
    </w:p>
    <w:p w14:paraId="156138B1">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；承建（承接）企业为</w:t>
      </w:r>
      <w:r>
        <w:rPr>
          <w:rFonts w:hint="eastAsia" w:ascii="宋体" w:hAnsi="宋体"/>
          <w:bCs/>
          <w:sz w:val="24"/>
          <w:u w:val="single"/>
        </w:rPr>
        <w:t>（企业名称）</w:t>
      </w:r>
      <w:r>
        <w:rPr>
          <w:rFonts w:hint="eastAsia" w:ascii="宋体" w:hAnsi="宋体"/>
          <w:bCs/>
          <w:sz w:val="24"/>
        </w:rPr>
        <w:t>，从业人员人，营业收入为万元，资产总额为万元</w:t>
      </w:r>
      <w:r>
        <w:rPr>
          <w:rStyle w:val="36"/>
          <w:rFonts w:hint="eastAsia" w:ascii="宋体" w:hAnsi="宋体"/>
          <w:bCs/>
          <w:sz w:val="24"/>
        </w:rPr>
        <w:footnoteReference w:id="1"/>
      </w:r>
      <w:r>
        <w:rPr>
          <w:rFonts w:hint="eastAsia" w:ascii="宋体" w:hAnsi="宋体"/>
          <w:bCs/>
          <w:sz w:val="24"/>
        </w:rPr>
        <w:t>，属于</w:t>
      </w:r>
      <w:r>
        <w:rPr>
          <w:rFonts w:hint="eastAsia" w:ascii="宋体" w:hAnsi="宋体"/>
          <w:bCs/>
          <w:sz w:val="24"/>
          <w:u w:val="single"/>
        </w:rPr>
        <w:t>（中型企业、小型企业、微型企业）</w:t>
      </w:r>
      <w:r>
        <w:rPr>
          <w:rFonts w:hint="eastAsia" w:ascii="宋体" w:hAnsi="宋体"/>
          <w:bCs/>
          <w:sz w:val="24"/>
        </w:rPr>
        <w:t>；</w:t>
      </w:r>
    </w:p>
    <w:p w14:paraId="74C01DA6">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；承建（承接）企业为</w:t>
      </w:r>
      <w:r>
        <w:rPr>
          <w:rFonts w:hint="eastAsia" w:ascii="宋体" w:hAnsi="宋体"/>
          <w:bCs/>
          <w:sz w:val="24"/>
          <w:u w:val="single"/>
        </w:rPr>
        <w:t>（企业名称）</w:t>
      </w:r>
      <w:r>
        <w:rPr>
          <w:rFonts w:hint="eastAsia" w:ascii="宋体" w:hAnsi="宋体"/>
          <w:bCs/>
          <w:sz w:val="24"/>
        </w:rPr>
        <w:t>，从业人员人，营业收入为万元，资产总额为万元，属于</w:t>
      </w:r>
      <w:r>
        <w:rPr>
          <w:rFonts w:hint="eastAsia" w:ascii="宋体" w:hAnsi="宋体"/>
          <w:bCs/>
          <w:sz w:val="24"/>
          <w:u w:val="single"/>
        </w:rPr>
        <w:t>（中型企业、小型企业、微型企业）</w:t>
      </w:r>
      <w:r>
        <w:rPr>
          <w:rFonts w:hint="eastAsia" w:ascii="宋体" w:hAnsi="宋体"/>
          <w:bCs/>
          <w:sz w:val="24"/>
        </w:rPr>
        <w:t>；</w:t>
      </w:r>
    </w:p>
    <w:p w14:paraId="54848149">
      <w:pPr>
        <w:spacing w:line="360" w:lineRule="auto"/>
        <w:ind w:firstLine="480" w:firstLineChars="200"/>
        <w:jc w:val="left"/>
        <w:rPr>
          <w:rFonts w:ascii="宋体" w:hAnsi="宋体"/>
          <w:bCs/>
          <w:sz w:val="24"/>
        </w:rPr>
      </w:pPr>
      <w:r>
        <w:rPr>
          <w:rFonts w:hint="eastAsia" w:ascii="宋体" w:hAnsi="宋体"/>
          <w:bCs/>
          <w:sz w:val="24"/>
        </w:rPr>
        <w:t>……</w:t>
      </w:r>
    </w:p>
    <w:p w14:paraId="4426DBDA">
      <w:pPr>
        <w:spacing w:line="360" w:lineRule="auto"/>
        <w:ind w:firstLine="480" w:firstLineChars="200"/>
        <w:jc w:val="left"/>
        <w:rPr>
          <w:rFonts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14:paraId="234C8F32">
      <w:pPr>
        <w:spacing w:line="360" w:lineRule="auto"/>
        <w:ind w:firstLine="480" w:firstLineChars="200"/>
        <w:jc w:val="left"/>
        <w:rPr>
          <w:rFonts w:ascii="宋体" w:hAnsi="宋体"/>
          <w:bCs/>
          <w:sz w:val="24"/>
        </w:rPr>
      </w:pPr>
      <w:r>
        <w:rPr>
          <w:rFonts w:hint="eastAsia" w:ascii="宋体" w:hAnsi="宋体"/>
          <w:bCs/>
          <w:sz w:val="24"/>
        </w:rPr>
        <w:t xml:space="preserve">本企业对上述声明内容的真实性负责。如有虚假，将依法承担相应责任。 </w:t>
      </w:r>
    </w:p>
    <w:p w14:paraId="0CBF1EAD">
      <w:pPr>
        <w:spacing w:line="360" w:lineRule="auto"/>
        <w:jc w:val="left"/>
        <w:rPr>
          <w:rFonts w:ascii="宋体" w:hAnsi="宋体"/>
          <w:bCs/>
          <w:sz w:val="24"/>
        </w:rPr>
      </w:pPr>
    </w:p>
    <w:p w14:paraId="608A19F1">
      <w:pPr>
        <w:spacing w:line="360" w:lineRule="auto"/>
        <w:ind w:firstLine="4800" w:firstLineChars="2000"/>
        <w:jc w:val="left"/>
        <w:rPr>
          <w:rFonts w:ascii="宋体" w:hAnsi="宋体"/>
          <w:bCs/>
          <w:sz w:val="24"/>
        </w:rPr>
      </w:pPr>
      <w:r>
        <w:rPr>
          <w:rFonts w:hint="eastAsia" w:ascii="宋体" w:hAnsi="宋体"/>
          <w:bCs/>
          <w:sz w:val="24"/>
        </w:rPr>
        <w:t>企业名称（盖章）：</w:t>
      </w:r>
    </w:p>
    <w:p w14:paraId="75ED3147">
      <w:pPr>
        <w:spacing w:line="360" w:lineRule="auto"/>
        <w:ind w:firstLine="4800" w:firstLineChars="2000"/>
        <w:jc w:val="left"/>
        <w:rPr>
          <w:rFonts w:ascii="宋体" w:hAnsi="宋体"/>
          <w:bCs/>
          <w:sz w:val="24"/>
        </w:rPr>
      </w:pPr>
      <w:r>
        <w:rPr>
          <w:rFonts w:hint="eastAsia" w:ascii="宋体" w:hAnsi="宋体"/>
          <w:bCs/>
          <w:sz w:val="24"/>
        </w:rPr>
        <w:t>日    期：</w:t>
      </w:r>
    </w:p>
    <w:p w14:paraId="5385849A">
      <w:pPr>
        <w:spacing w:line="360" w:lineRule="auto"/>
        <w:jc w:val="left"/>
        <w:rPr>
          <w:rFonts w:ascii="宋体" w:hAnsi="宋体"/>
          <w:bCs/>
          <w:sz w:val="24"/>
        </w:rPr>
      </w:pPr>
    </w:p>
    <w:p w14:paraId="08687292">
      <w:pPr>
        <w:spacing w:line="360" w:lineRule="auto"/>
        <w:jc w:val="left"/>
        <w:rPr>
          <w:rFonts w:ascii="宋体" w:hAnsi="宋体"/>
          <w:bCs/>
          <w:sz w:val="24"/>
        </w:rPr>
      </w:pPr>
    </w:p>
    <w:p w14:paraId="0791759B">
      <w:pPr>
        <w:spacing w:line="360" w:lineRule="auto"/>
        <w:jc w:val="left"/>
        <w:rPr>
          <w:rFonts w:ascii="宋体" w:hAnsi="宋体"/>
          <w:bCs/>
          <w:sz w:val="24"/>
        </w:rPr>
      </w:pPr>
    </w:p>
    <w:p w14:paraId="686231F4">
      <w:pPr>
        <w:spacing w:line="360" w:lineRule="auto"/>
        <w:jc w:val="left"/>
        <w:rPr>
          <w:rFonts w:ascii="宋体" w:hAnsi="宋体"/>
          <w:bCs/>
          <w:sz w:val="24"/>
        </w:rPr>
      </w:pPr>
    </w:p>
    <w:p w14:paraId="773050ED">
      <w:pPr>
        <w:spacing w:line="360" w:lineRule="auto"/>
        <w:jc w:val="left"/>
        <w:rPr>
          <w:rFonts w:ascii="宋体" w:hAnsi="宋体"/>
          <w:bCs/>
          <w:sz w:val="24"/>
        </w:rPr>
      </w:pPr>
    </w:p>
    <w:p w14:paraId="1138D06E">
      <w:pPr>
        <w:spacing w:line="360" w:lineRule="auto"/>
        <w:jc w:val="left"/>
        <w:rPr>
          <w:rFonts w:ascii="宋体" w:hAnsi="宋体"/>
          <w:bCs/>
          <w:sz w:val="24"/>
        </w:rPr>
      </w:pPr>
    </w:p>
    <w:p w14:paraId="3965FA7B">
      <w:pPr>
        <w:spacing w:line="360" w:lineRule="auto"/>
        <w:jc w:val="left"/>
        <w:rPr>
          <w:rFonts w:ascii="宋体" w:hAnsi="宋体"/>
          <w:bCs/>
          <w:sz w:val="24"/>
        </w:rPr>
      </w:pPr>
    </w:p>
    <w:p w14:paraId="55A458F1">
      <w:pPr>
        <w:spacing w:line="360" w:lineRule="auto"/>
        <w:jc w:val="left"/>
        <w:rPr>
          <w:rFonts w:ascii="宋体" w:hAnsi="宋体"/>
          <w:bCs/>
          <w:sz w:val="24"/>
        </w:rPr>
      </w:pPr>
    </w:p>
    <w:p w14:paraId="0B300B4E">
      <w:pPr>
        <w:spacing w:line="360" w:lineRule="auto"/>
        <w:jc w:val="left"/>
        <w:rPr>
          <w:rFonts w:ascii="宋体" w:hAnsi="宋体"/>
          <w:bCs/>
          <w:sz w:val="24"/>
        </w:rPr>
      </w:pPr>
    </w:p>
    <w:p w14:paraId="74C87902">
      <w:pPr>
        <w:spacing w:line="360" w:lineRule="auto"/>
        <w:ind w:left="-2" w:hanging="2"/>
        <w:jc w:val="center"/>
        <w:rPr>
          <w:rFonts w:ascii="宋体" w:hAnsi="宋体"/>
          <w:b/>
          <w:sz w:val="32"/>
          <w:szCs w:val="32"/>
          <w:lang w:val="en-GB"/>
        </w:rPr>
      </w:pPr>
      <w:r>
        <w:rPr>
          <w:rFonts w:hint="eastAsia" w:ascii="宋体" w:hAnsi="宋体"/>
          <w:b/>
          <w:sz w:val="32"/>
          <w:szCs w:val="32"/>
          <w:lang w:val="en-GB"/>
        </w:rPr>
        <w:t>残疾人福利性单位声明函</w:t>
      </w:r>
    </w:p>
    <w:p w14:paraId="07E396EF">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D0690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47C2674">
      <w:pPr>
        <w:spacing w:line="360" w:lineRule="auto"/>
        <w:ind w:firstLine="480" w:firstLineChars="200"/>
        <w:rPr>
          <w:rFonts w:ascii="宋体" w:hAnsi="宋体" w:cs="宋体"/>
          <w:sz w:val="24"/>
        </w:rPr>
      </w:pPr>
    </w:p>
    <w:p w14:paraId="623A32D7">
      <w:pPr>
        <w:spacing w:line="360" w:lineRule="auto"/>
        <w:ind w:firstLine="3120" w:firstLineChars="1300"/>
        <w:jc w:val="left"/>
        <w:rPr>
          <w:rFonts w:ascii="宋体" w:hAnsi="宋体"/>
          <w:bCs/>
          <w:sz w:val="24"/>
        </w:rPr>
      </w:pPr>
      <w:r>
        <w:rPr>
          <w:rFonts w:hint="eastAsia" w:ascii="宋体" w:hAnsi="宋体"/>
          <w:bCs/>
          <w:sz w:val="24"/>
        </w:rPr>
        <w:t>单位名称（单位公章）：</w:t>
      </w:r>
    </w:p>
    <w:p w14:paraId="2AF9BA1B">
      <w:pPr>
        <w:spacing w:line="360" w:lineRule="auto"/>
        <w:ind w:firstLine="5040" w:firstLineChars="2100"/>
      </w:pPr>
      <w:r>
        <w:rPr>
          <w:rFonts w:hint="eastAsia" w:ascii="宋体" w:hAnsi="宋体"/>
          <w:bCs/>
          <w:sz w:val="24"/>
        </w:rPr>
        <w:t>日期：年月日</w:t>
      </w:r>
    </w:p>
    <w:p w14:paraId="5F08BDCD">
      <w:pPr>
        <w:spacing w:line="360" w:lineRule="auto"/>
        <w:rPr>
          <w:rFonts w:ascii="宋体" w:hAnsi="宋体" w:cs="宋体"/>
          <w:b/>
          <w:bCs/>
          <w:sz w:val="24"/>
        </w:rPr>
      </w:pPr>
      <w:r>
        <w:rPr>
          <w:rFonts w:hint="eastAsia" w:ascii="宋体" w:hAnsi="宋体" w:cs="宋体"/>
          <w:b/>
          <w:bCs/>
          <w:sz w:val="24"/>
        </w:rPr>
        <w:t>填表说明：</w:t>
      </w:r>
    </w:p>
    <w:p w14:paraId="041D9F16">
      <w:pPr>
        <w:spacing w:line="360" w:lineRule="auto"/>
        <w:rPr>
          <w:rFonts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14:paraId="53452E92">
      <w:pPr>
        <w:spacing w:line="360" w:lineRule="auto"/>
        <w:rPr>
          <w:rFonts w:ascii="宋体" w:hAnsi="宋体" w:cs="宋体"/>
          <w:b/>
          <w:bCs/>
          <w:sz w:val="24"/>
        </w:rPr>
      </w:pPr>
      <w:r>
        <w:rPr>
          <w:rFonts w:hint="eastAsia" w:ascii="宋体" w:hAnsi="宋体" w:cs="宋体"/>
          <w:b/>
          <w:bCs/>
          <w:sz w:val="24"/>
        </w:rPr>
        <w:t>2、为了更加准确判定投标人是否为小微企业，请供应商根据工业和信息化部官方网站---中小企业规模类型自测小程序来辨别制造商企业规模类型，中小企业规模类型自测小程序链接网址为</w:t>
      </w:r>
    </w:p>
    <w:p w14:paraId="4A1A485E">
      <w:pPr>
        <w:spacing w:line="360" w:lineRule="auto"/>
        <w:rPr>
          <w:rFonts w:ascii="宋体" w:hAnsi="宋体" w:cs="宋体"/>
          <w:b/>
          <w:bCs/>
          <w:sz w:val="24"/>
        </w:rPr>
      </w:pPr>
      <w:r>
        <w:rPr>
          <w:rFonts w:hint="eastAsia" w:ascii="宋体" w:hAnsi="宋体" w:cs="宋体"/>
          <w:b/>
          <w:bCs/>
          <w:sz w:val="24"/>
        </w:rPr>
        <w:t>http://202.106.120.146/baosong/appweb/orgScale.html</w:t>
      </w:r>
    </w:p>
    <w:p w14:paraId="113642B8">
      <w:pPr>
        <w:spacing w:line="360" w:lineRule="auto"/>
        <w:rPr>
          <w:rFonts w:ascii="宋体" w:hAnsi="宋体" w:cs="宋体"/>
          <w:b/>
          <w:bCs/>
          <w:sz w:val="24"/>
        </w:rPr>
      </w:pPr>
      <w:r>
        <w:rPr>
          <w:rFonts w:hint="eastAsia" w:ascii="宋体" w:hAnsi="宋体" w:cs="宋体"/>
          <w:b/>
          <w:bCs/>
          <w:sz w:val="24"/>
        </w:rPr>
        <w:t>3、供应商未提供《中小企业声明函》的、《中小企业声明函》中内容应填写而未进行填写或未如实填写的，自行承担相应责任。</w:t>
      </w:r>
    </w:p>
    <w:p w14:paraId="2C13FADA">
      <w:pPr>
        <w:pStyle w:val="15"/>
        <w:ind w:left="0" w:leftChars="0" w:firstLine="0" w:firstLineChars="0"/>
        <w:rPr>
          <w:sz w:val="24"/>
          <w:szCs w:val="24"/>
        </w:rPr>
      </w:pPr>
      <w:r>
        <w:rPr>
          <w:rFonts w:hint="eastAsia"/>
          <w:b/>
          <w:bCs/>
          <w:sz w:val="24"/>
          <w:szCs w:val="24"/>
        </w:rPr>
        <w:t>如国家对中小企业划型标准有新的规定的，从其规定。</w:t>
      </w:r>
    </w:p>
    <w:p w14:paraId="27F1C3D1">
      <w:pPr>
        <w:pStyle w:val="14"/>
        <w:spacing w:line="360" w:lineRule="auto"/>
        <w:outlineLvl w:val="1"/>
        <w:rPr>
          <w:rFonts w:hAnsi="宋体" w:eastAsia="宋体" w:cs="宋体"/>
          <w:b/>
          <w:szCs w:val="21"/>
        </w:rPr>
      </w:pPr>
    </w:p>
    <w:p w14:paraId="50F14E87">
      <w:pPr>
        <w:pStyle w:val="14"/>
        <w:spacing w:line="360" w:lineRule="auto"/>
        <w:outlineLvl w:val="1"/>
        <w:rPr>
          <w:rFonts w:hAnsi="宋体" w:eastAsia="宋体" w:cs="宋体"/>
          <w:b/>
          <w:szCs w:val="21"/>
        </w:rPr>
      </w:pPr>
    </w:p>
    <w:p w14:paraId="6FD94199">
      <w:pPr>
        <w:pStyle w:val="14"/>
        <w:spacing w:line="360" w:lineRule="auto"/>
        <w:outlineLvl w:val="1"/>
        <w:rPr>
          <w:rFonts w:hAnsi="宋体" w:eastAsia="宋体" w:cs="宋体"/>
          <w:b/>
          <w:szCs w:val="21"/>
        </w:rPr>
      </w:pPr>
    </w:p>
    <w:p w14:paraId="2BC79489">
      <w:pPr>
        <w:pStyle w:val="14"/>
        <w:spacing w:line="360" w:lineRule="auto"/>
        <w:outlineLvl w:val="1"/>
        <w:rPr>
          <w:rFonts w:hAnsi="宋体" w:eastAsia="宋体" w:cs="宋体"/>
          <w:b/>
          <w:szCs w:val="21"/>
        </w:rPr>
      </w:pPr>
    </w:p>
    <w:p w14:paraId="7CFAD718">
      <w:pPr>
        <w:pStyle w:val="14"/>
        <w:spacing w:line="360" w:lineRule="auto"/>
        <w:outlineLvl w:val="1"/>
        <w:rPr>
          <w:rFonts w:hAnsi="宋体" w:eastAsia="宋体" w:cs="宋体"/>
          <w:b/>
          <w:szCs w:val="21"/>
        </w:rPr>
      </w:pPr>
    </w:p>
    <w:p w14:paraId="06A4449C">
      <w:pPr>
        <w:pStyle w:val="15"/>
        <w:ind w:left="9000"/>
        <w:rPr>
          <w:rFonts w:ascii="宋体" w:hAnsi="宋体" w:eastAsia="宋体" w:cs="宋体"/>
          <w:b/>
          <w:sz w:val="21"/>
          <w:szCs w:val="21"/>
        </w:rPr>
      </w:pPr>
    </w:p>
    <w:p w14:paraId="25988EA9">
      <w:pPr>
        <w:pStyle w:val="14"/>
        <w:adjustRightInd w:val="0"/>
        <w:snapToGrid w:val="0"/>
        <w:spacing w:before="120" w:after="120"/>
        <w:rPr>
          <w:rFonts w:hAnsi="宋体" w:eastAsia="宋体" w:cs="宋体"/>
          <w:b/>
          <w:bCs/>
          <w:szCs w:val="21"/>
        </w:rPr>
      </w:pPr>
    </w:p>
    <w:p w14:paraId="17699834">
      <w:pPr>
        <w:pStyle w:val="4"/>
        <w:spacing w:line="360" w:lineRule="auto"/>
        <w:jc w:val="center"/>
        <w:rPr>
          <w:rFonts w:ascii="宋体" w:hAnsi="宋体" w:eastAsia="宋体" w:cs="宋体"/>
          <w:bCs w:val="0"/>
          <w:lang w:val="zh-CN"/>
        </w:rPr>
      </w:pPr>
      <w:r>
        <w:rPr>
          <w:rFonts w:hint="eastAsia" w:ascii="宋体" w:hAnsi="宋体" w:eastAsia="宋体" w:cs="宋体"/>
          <w:bCs w:val="0"/>
        </w:rPr>
        <w:t>2、</w:t>
      </w:r>
      <w:r>
        <w:rPr>
          <w:rFonts w:hint="eastAsia" w:ascii="宋体" w:hAnsi="宋体" w:eastAsia="宋体" w:cs="宋体"/>
          <w:bCs w:val="0"/>
          <w:lang w:val="zh-CN"/>
        </w:rPr>
        <w:t>商务与技术文件格式</w:t>
      </w:r>
    </w:p>
    <w:p w14:paraId="4F0831AA">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  录</w:t>
      </w:r>
    </w:p>
    <w:p w14:paraId="307C50CE">
      <w:pPr>
        <w:pStyle w:val="7"/>
        <w:spacing w:line="360" w:lineRule="auto"/>
        <w:ind w:firstLine="0"/>
        <w:jc w:val="center"/>
        <w:rPr>
          <w:rFonts w:ascii="宋体" w:hAnsi="宋体" w:eastAsia="宋体" w:cs="宋体"/>
          <w:b/>
          <w:bCs/>
          <w:szCs w:val="21"/>
        </w:rPr>
      </w:pPr>
      <w:r>
        <w:rPr>
          <w:rFonts w:hint="eastAsia" w:ascii="宋体" w:hAnsi="宋体" w:eastAsia="宋体" w:cs="宋体"/>
          <w:szCs w:val="21"/>
        </w:rPr>
        <w:t>（按照“第三部分 磋商须知”有关</w:t>
      </w:r>
      <w:r>
        <w:rPr>
          <w:rFonts w:hint="eastAsia" w:ascii="宋体" w:hAnsi="宋体" w:eastAsia="宋体" w:cs="宋体"/>
          <w:szCs w:val="21"/>
          <w:lang w:val="zh-CN"/>
        </w:rPr>
        <w:t>商务与技术文件组成</w:t>
      </w:r>
      <w:r>
        <w:rPr>
          <w:rFonts w:hint="eastAsia" w:ascii="宋体" w:hAnsi="宋体" w:eastAsia="宋体" w:cs="宋体"/>
          <w:szCs w:val="21"/>
        </w:rPr>
        <w:t>要求编排）</w:t>
      </w:r>
    </w:p>
    <w:p w14:paraId="1C3ED76E">
      <w:pPr>
        <w:spacing w:line="360" w:lineRule="auto"/>
        <w:ind w:firstLine="5760" w:firstLineChars="2400"/>
        <w:jc w:val="left"/>
        <w:rPr>
          <w:rFonts w:ascii="宋体" w:hAnsi="宋体" w:eastAsia="宋体" w:cs="宋体"/>
          <w:sz w:val="24"/>
        </w:rPr>
      </w:pPr>
    </w:p>
    <w:p w14:paraId="519BF4C0">
      <w:pPr>
        <w:pStyle w:val="14"/>
        <w:adjustRightInd w:val="0"/>
        <w:snapToGrid w:val="0"/>
        <w:spacing w:before="120" w:after="120"/>
        <w:rPr>
          <w:rFonts w:hAnsi="宋体" w:eastAsia="宋体" w:cs="宋体"/>
          <w:b/>
          <w:bCs/>
          <w:sz w:val="24"/>
          <w:szCs w:val="24"/>
        </w:rPr>
      </w:pPr>
    </w:p>
    <w:p w14:paraId="790DA3F2">
      <w:pPr>
        <w:pStyle w:val="14"/>
        <w:adjustRightInd w:val="0"/>
        <w:snapToGrid w:val="0"/>
        <w:spacing w:before="120" w:after="120"/>
        <w:jc w:val="center"/>
        <w:rPr>
          <w:rFonts w:hAnsi="宋体" w:eastAsia="宋体" w:cs="宋体"/>
          <w:b/>
          <w:bCs/>
          <w:sz w:val="24"/>
          <w:szCs w:val="24"/>
        </w:rPr>
      </w:pPr>
    </w:p>
    <w:p w14:paraId="701FA558">
      <w:pPr>
        <w:pStyle w:val="14"/>
        <w:adjustRightInd w:val="0"/>
        <w:snapToGrid w:val="0"/>
        <w:spacing w:before="120" w:after="120"/>
        <w:jc w:val="center"/>
        <w:rPr>
          <w:rFonts w:hAnsi="宋体" w:eastAsia="宋体" w:cs="宋体"/>
          <w:b/>
          <w:bCs/>
          <w:sz w:val="24"/>
          <w:szCs w:val="24"/>
        </w:rPr>
      </w:pPr>
    </w:p>
    <w:p w14:paraId="0972D864">
      <w:pPr>
        <w:pStyle w:val="14"/>
        <w:adjustRightInd w:val="0"/>
        <w:snapToGrid w:val="0"/>
        <w:spacing w:before="120" w:after="120"/>
        <w:jc w:val="center"/>
        <w:rPr>
          <w:rFonts w:hAnsi="宋体" w:eastAsia="宋体" w:cs="宋体"/>
          <w:b/>
          <w:bCs/>
          <w:sz w:val="24"/>
          <w:szCs w:val="24"/>
        </w:rPr>
      </w:pPr>
    </w:p>
    <w:p w14:paraId="22D4C53C">
      <w:pPr>
        <w:pStyle w:val="14"/>
        <w:adjustRightInd w:val="0"/>
        <w:snapToGrid w:val="0"/>
        <w:spacing w:before="120" w:after="120"/>
        <w:jc w:val="center"/>
        <w:rPr>
          <w:rFonts w:hAnsi="宋体" w:eastAsia="宋体" w:cs="宋体"/>
          <w:b/>
          <w:bCs/>
          <w:sz w:val="24"/>
          <w:szCs w:val="24"/>
        </w:rPr>
      </w:pPr>
    </w:p>
    <w:p w14:paraId="77BA3028">
      <w:pPr>
        <w:pStyle w:val="14"/>
        <w:adjustRightInd w:val="0"/>
        <w:snapToGrid w:val="0"/>
        <w:spacing w:before="120" w:after="120"/>
        <w:jc w:val="center"/>
        <w:rPr>
          <w:rFonts w:hAnsi="宋体" w:eastAsia="宋体" w:cs="宋体"/>
          <w:b/>
          <w:bCs/>
          <w:sz w:val="24"/>
          <w:szCs w:val="24"/>
        </w:rPr>
      </w:pPr>
    </w:p>
    <w:p w14:paraId="02E7D1B2">
      <w:pPr>
        <w:pStyle w:val="14"/>
        <w:adjustRightInd w:val="0"/>
        <w:snapToGrid w:val="0"/>
        <w:spacing w:before="120" w:after="120"/>
        <w:jc w:val="center"/>
        <w:rPr>
          <w:rFonts w:hAnsi="宋体" w:eastAsia="宋体" w:cs="宋体"/>
          <w:b/>
          <w:bCs/>
          <w:sz w:val="24"/>
          <w:szCs w:val="24"/>
        </w:rPr>
      </w:pPr>
    </w:p>
    <w:p w14:paraId="44E8D2BA">
      <w:pPr>
        <w:pStyle w:val="14"/>
        <w:adjustRightInd w:val="0"/>
        <w:snapToGrid w:val="0"/>
        <w:spacing w:before="120" w:after="120"/>
        <w:jc w:val="center"/>
        <w:rPr>
          <w:rFonts w:hAnsi="宋体" w:eastAsia="宋体" w:cs="宋体"/>
          <w:b/>
          <w:bCs/>
          <w:sz w:val="24"/>
          <w:szCs w:val="24"/>
        </w:rPr>
      </w:pPr>
    </w:p>
    <w:p w14:paraId="7A90981E">
      <w:pPr>
        <w:pStyle w:val="14"/>
        <w:adjustRightInd w:val="0"/>
        <w:snapToGrid w:val="0"/>
        <w:spacing w:before="120" w:after="120"/>
        <w:jc w:val="center"/>
        <w:rPr>
          <w:rFonts w:hAnsi="宋体" w:eastAsia="宋体" w:cs="宋体"/>
          <w:b/>
          <w:bCs/>
          <w:sz w:val="24"/>
          <w:szCs w:val="24"/>
        </w:rPr>
      </w:pPr>
    </w:p>
    <w:p w14:paraId="0DEB3D8F">
      <w:pPr>
        <w:pStyle w:val="14"/>
        <w:adjustRightInd w:val="0"/>
        <w:snapToGrid w:val="0"/>
        <w:spacing w:before="120" w:after="120"/>
        <w:jc w:val="center"/>
        <w:rPr>
          <w:rFonts w:hAnsi="宋体" w:eastAsia="宋体" w:cs="宋体"/>
          <w:b/>
          <w:bCs/>
          <w:sz w:val="24"/>
          <w:szCs w:val="24"/>
        </w:rPr>
      </w:pPr>
    </w:p>
    <w:p w14:paraId="65976172">
      <w:pPr>
        <w:pStyle w:val="14"/>
        <w:adjustRightInd w:val="0"/>
        <w:snapToGrid w:val="0"/>
        <w:spacing w:before="120" w:after="120"/>
        <w:jc w:val="center"/>
        <w:rPr>
          <w:rFonts w:hAnsi="宋体" w:eastAsia="宋体" w:cs="宋体"/>
          <w:b/>
          <w:bCs/>
          <w:sz w:val="24"/>
          <w:szCs w:val="24"/>
        </w:rPr>
      </w:pPr>
    </w:p>
    <w:p w14:paraId="636034F5">
      <w:pPr>
        <w:pStyle w:val="14"/>
        <w:adjustRightInd w:val="0"/>
        <w:snapToGrid w:val="0"/>
        <w:spacing w:before="120" w:after="120"/>
        <w:jc w:val="center"/>
        <w:rPr>
          <w:rFonts w:hAnsi="宋体" w:eastAsia="宋体" w:cs="宋体"/>
          <w:b/>
          <w:bCs/>
          <w:sz w:val="24"/>
          <w:szCs w:val="24"/>
        </w:rPr>
      </w:pPr>
    </w:p>
    <w:p w14:paraId="4529C377">
      <w:pPr>
        <w:pStyle w:val="14"/>
        <w:adjustRightInd w:val="0"/>
        <w:snapToGrid w:val="0"/>
        <w:spacing w:before="120" w:after="120"/>
        <w:jc w:val="center"/>
        <w:rPr>
          <w:rFonts w:hAnsi="宋体" w:eastAsia="宋体" w:cs="宋体"/>
          <w:b/>
          <w:bCs/>
          <w:sz w:val="24"/>
          <w:szCs w:val="24"/>
        </w:rPr>
      </w:pPr>
    </w:p>
    <w:p w14:paraId="75D9970E">
      <w:pPr>
        <w:pStyle w:val="14"/>
        <w:adjustRightInd w:val="0"/>
        <w:snapToGrid w:val="0"/>
        <w:spacing w:before="120" w:after="120"/>
        <w:jc w:val="center"/>
        <w:rPr>
          <w:rFonts w:hAnsi="宋体" w:eastAsia="宋体" w:cs="宋体"/>
          <w:b/>
          <w:bCs/>
          <w:sz w:val="24"/>
          <w:szCs w:val="24"/>
        </w:rPr>
      </w:pPr>
    </w:p>
    <w:p w14:paraId="48ED7B53">
      <w:pPr>
        <w:pStyle w:val="14"/>
        <w:adjustRightInd w:val="0"/>
        <w:snapToGrid w:val="0"/>
        <w:spacing w:before="120" w:after="120"/>
        <w:jc w:val="center"/>
        <w:rPr>
          <w:rFonts w:hAnsi="宋体" w:eastAsia="宋体" w:cs="宋体"/>
          <w:b/>
          <w:bCs/>
          <w:sz w:val="24"/>
          <w:szCs w:val="24"/>
        </w:rPr>
      </w:pPr>
    </w:p>
    <w:p w14:paraId="67E03688">
      <w:pPr>
        <w:pStyle w:val="14"/>
        <w:adjustRightInd w:val="0"/>
        <w:snapToGrid w:val="0"/>
        <w:spacing w:before="120" w:after="120"/>
        <w:jc w:val="center"/>
        <w:rPr>
          <w:rFonts w:hAnsi="宋体" w:eastAsia="宋体" w:cs="宋体"/>
          <w:b/>
          <w:bCs/>
          <w:sz w:val="24"/>
          <w:szCs w:val="24"/>
        </w:rPr>
      </w:pPr>
    </w:p>
    <w:p w14:paraId="46069164">
      <w:pPr>
        <w:pStyle w:val="14"/>
        <w:adjustRightInd w:val="0"/>
        <w:snapToGrid w:val="0"/>
        <w:spacing w:before="120" w:after="120"/>
        <w:jc w:val="left"/>
        <w:rPr>
          <w:rFonts w:hAnsi="宋体" w:eastAsia="宋体" w:cs="宋体"/>
          <w:b/>
          <w:bCs/>
          <w:sz w:val="24"/>
          <w:szCs w:val="24"/>
        </w:rPr>
      </w:pPr>
    </w:p>
    <w:p w14:paraId="558A035E">
      <w:pPr>
        <w:snapToGrid w:val="0"/>
        <w:jc w:val="left"/>
        <w:rPr>
          <w:rFonts w:ascii="宋体" w:hAnsi="宋体" w:eastAsia="宋体" w:cs="宋体"/>
          <w:sz w:val="24"/>
        </w:rPr>
      </w:pPr>
    </w:p>
    <w:p w14:paraId="5420F21D">
      <w:pPr>
        <w:pStyle w:val="15"/>
        <w:ind w:left="0" w:leftChars="0"/>
        <w:rPr>
          <w:rFonts w:ascii="宋体" w:hAnsi="宋体" w:eastAsia="宋体" w:cs="宋体"/>
        </w:rPr>
      </w:pPr>
    </w:p>
    <w:p w14:paraId="36631599">
      <w:pPr>
        <w:rPr>
          <w:rFonts w:ascii="宋体" w:hAnsi="宋体" w:eastAsia="宋体" w:cs="宋体"/>
          <w:b/>
          <w:bCs/>
          <w:sz w:val="24"/>
        </w:rPr>
      </w:pPr>
    </w:p>
    <w:p w14:paraId="02945DFE">
      <w:pPr>
        <w:pStyle w:val="10"/>
        <w:rPr>
          <w:rFonts w:ascii="宋体" w:hAnsi="宋体" w:eastAsia="宋体" w:cs="宋体"/>
        </w:rPr>
      </w:pPr>
    </w:p>
    <w:p w14:paraId="57149B8B">
      <w:pPr>
        <w:rPr>
          <w:rFonts w:ascii="宋体" w:hAnsi="宋体" w:eastAsia="宋体" w:cs="宋体"/>
          <w:b/>
          <w:bCs/>
          <w:sz w:val="24"/>
        </w:rPr>
      </w:pPr>
      <w:r>
        <w:rPr>
          <w:rFonts w:hint="eastAsia" w:ascii="宋体" w:hAnsi="宋体" w:eastAsia="宋体" w:cs="宋体"/>
          <w:b/>
          <w:bCs/>
          <w:sz w:val="24"/>
        </w:rPr>
        <w:br w:type="page"/>
      </w:r>
    </w:p>
    <w:p w14:paraId="77DD6223">
      <w:pPr>
        <w:widowControl/>
        <w:spacing w:line="340" w:lineRule="exact"/>
        <w:rPr>
          <w:rFonts w:ascii="宋体" w:hAnsi="宋体" w:eastAsia="宋体" w:cs="宋体"/>
          <w:b/>
          <w:bCs/>
          <w:kern w:val="0"/>
          <w:sz w:val="44"/>
          <w:szCs w:val="44"/>
        </w:rPr>
      </w:pPr>
      <w:r>
        <w:rPr>
          <w:rFonts w:hint="eastAsia" w:ascii="宋体" w:hAnsi="宋体" w:eastAsia="宋体" w:cs="宋体"/>
          <w:b/>
          <w:bCs/>
          <w:sz w:val="24"/>
        </w:rPr>
        <w:t>附件</w:t>
      </w:r>
      <w:r>
        <w:rPr>
          <w:rFonts w:hint="eastAsia" w:ascii="宋体" w:hAnsi="宋体" w:eastAsia="宋体" w:cs="宋体"/>
          <w:b/>
          <w:bCs/>
          <w:sz w:val="24"/>
          <w:lang w:val="en-US" w:eastAsia="zh-CN"/>
        </w:rPr>
        <w:t>七</w:t>
      </w:r>
      <w:r>
        <w:rPr>
          <w:rFonts w:hint="eastAsia" w:ascii="宋体" w:hAnsi="宋体" w:eastAsia="宋体" w:cs="宋体"/>
          <w:b/>
          <w:bCs/>
          <w:sz w:val="24"/>
        </w:rPr>
        <w:t>：</w:t>
      </w:r>
    </w:p>
    <w:p w14:paraId="2F2E5286">
      <w:pPr>
        <w:shd w:val="clear"/>
        <w:tabs>
          <w:tab w:val="left" w:pos="3360"/>
        </w:tabs>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供应商基本情况表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07DC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shd w:val="clear" w:color="auto" w:fill="auto"/>
            <w:vAlign w:val="center"/>
          </w:tcPr>
          <w:p w14:paraId="72252C8C">
            <w:pPr>
              <w:pStyle w:val="103"/>
              <w:shd w:val="clear"/>
              <w:tabs>
                <w:tab w:val="left" w:pos="3360"/>
              </w:tabs>
              <w:spacing w:line="360" w:lineRule="auto"/>
              <w:jc w:val="both"/>
              <w:rPr>
                <w:bCs/>
                <w:color w:val="auto"/>
                <w:highlight w:val="none"/>
              </w:rPr>
            </w:pPr>
            <w:r>
              <w:rPr>
                <w:rFonts w:hint="eastAsia"/>
                <w:bCs/>
                <w:color w:val="auto"/>
                <w:spacing w:val="27"/>
                <w:highlight w:val="none"/>
              </w:rPr>
              <w:t>企业名称</w:t>
            </w:r>
          </w:p>
        </w:tc>
        <w:tc>
          <w:tcPr>
            <w:tcW w:w="3765" w:type="dxa"/>
            <w:gridSpan w:val="6"/>
            <w:shd w:val="clear" w:color="auto" w:fill="auto"/>
            <w:vAlign w:val="center"/>
          </w:tcPr>
          <w:p w14:paraId="3DEBA5DF">
            <w:pPr>
              <w:pStyle w:val="103"/>
              <w:shd w:val="clear"/>
              <w:tabs>
                <w:tab w:val="left" w:pos="3360"/>
              </w:tabs>
              <w:spacing w:line="360" w:lineRule="auto"/>
              <w:jc w:val="both"/>
              <w:rPr>
                <w:bCs/>
                <w:color w:val="auto"/>
                <w:highlight w:val="none"/>
              </w:rPr>
            </w:pPr>
          </w:p>
        </w:tc>
        <w:tc>
          <w:tcPr>
            <w:tcW w:w="1560" w:type="dxa"/>
            <w:shd w:val="clear" w:color="auto" w:fill="auto"/>
            <w:vAlign w:val="center"/>
          </w:tcPr>
          <w:p w14:paraId="76E91AEC">
            <w:pPr>
              <w:pStyle w:val="103"/>
              <w:shd w:val="clear"/>
              <w:tabs>
                <w:tab w:val="left" w:pos="3360"/>
              </w:tabs>
              <w:spacing w:line="360" w:lineRule="auto"/>
              <w:jc w:val="center"/>
              <w:rPr>
                <w:bCs/>
                <w:color w:val="auto"/>
                <w:highlight w:val="none"/>
              </w:rPr>
            </w:pPr>
            <w:r>
              <w:rPr>
                <w:rFonts w:hint="eastAsia"/>
                <w:bCs/>
                <w:color w:val="auto"/>
                <w:spacing w:val="16"/>
                <w:highlight w:val="none"/>
              </w:rPr>
              <w:t>法人代表</w:t>
            </w:r>
          </w:p>
        </w:tc>
        <w:tc>
          <w:tcPr>
            <w:tcW w:w="2608" w:type="dxa"/>
            <w:gridSpan w:val="3"/>
            <w:shd w:val="clear" w:color="auto" w:fill="auto"/>
            <w:vAlign w:val="center"/>
          </w:tcPr>
          <w:p w14:paraId="26164A8E">
            <w:pPr>
              <w:pStyle w:val="103"/>
              <w:shd w:val="clear"/>
              <w:tabs>
                <w:tab w:val="left" w:pos="3360"/>
              </w:tabs>
              <w:spacing w:line="360" w:lineRule="auto"/>
              <w:jc w:val="both"/>
              <w:rPr>
                <w:bCs/>
                <w:color w:val="auto"/>
                <w:highlight w:val="none"/>
              </w:rPr>
            </w:pPr>
          </w:p>
        </w:tc>
      </w:tr>
      <w:tr w14:paraId="2C4C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shd w:val="clear" w:color="auto" w:fill="auto"/>
            <w:vAlign w:val="center"/>
          </w:tcPr>
          <w:p w14:paraId="7EABB594">
            <w:pPr>
              <w:pStyle w:val="103"/>
              <w:shd w:val="clear"/>
              <w:tabs>
                <w:tab w:val="left" w:pos="3360"/>
              </w:tabs>
              <w:spacing w:line="360" w:lineRule="auto"/>
              <w:jc w:val="both"/>
              <w:rPr>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shd w:val="clear" w:color="auto" w:fill="auto"/>
            <w:vAlign w:val="center"/>
          </w:tcPr>
          <w:p w14:paraId="7505F9F4">
            <w:pPr>
              <w:pStyle w:val="103"/>
              <w:shd w:val="clear"/>
              <w:tabs>
                <w:tab w:val="left" w:pos="3360"/>
              </w:tabs>
              <w:spacing w:line="360" w:lineRule="auto"/>
              <w:jc w:val="both"/>
              <w:rPr>
                <w:bCs/>
                <w:color w:val="auto"/>
                <w:spacing w:val="16"/>
                <w:highlight w:val="none"/>
              </w:rPr>
            </w:pPr>
          </w:p>
        </w:tc>
        <w:tc>
          <w:tcPr>
            <w:tcW w:w="1560" w:type="dxa"/>
            <w:shd w:val="clear" w:color="auto" w:fill="auto"/>
            <w:vAlign w:val="center"/>
          </w:tcPr>
          <w:p w14:paraId="3F75B7C4">
            <w:pPr>
              <w:pStyle w:val="103"/>
              <w:shd w:val="clear"/>
              <w:tabs>
                <w:tab w:val="left" w:pos="3360"/>
              </w:tabs>
              <w:spacing w:line="360" w:lineRule="auto"/>
              <w:jc w:val="center"/>
              <w:rPr>
                <w:bCs/>
                <w:color w:val="auto"/>
                <w:spacing w:val="16"/>
                <w:highlight w:val="none"/>
              </w:rPr>
            </w:pPr>
            <w:r>
              <w:rPr>
                <w:rFonts w:hint="eastAsia"/>
                <w:bCs/>
                <w:color w:val="auto"/>
                <w:spacing w:val="16"/>
                <w:highlight w:val="none"/>
              </w:rPr>
              <w:t>企业性质</w:t>
            </w:r>
          </w:p>
        </w:tc>
        <w:tc>
          <w:tcPr>
            <w:tcW w:w="2608" w:type="dxa"/>
            <w:gridSpan w:val="3"/>
            <w:shd w:val="clear" w:color="auto" w:fill="auto"/>
            <w:vAlign w:val="center"/>
          </w:tcPr>
          <w:p w14:paraId="1A08A161">
            <w:pPr>
              <w:pStyle w:val="103"/>
              <w:shd w:val="clear"/>
              <w:tabs>
                <w:tab w:val="left" w:pos="3360"/>
              </w:tabs>
              <w:spacing w:line="360" w:lineRule="auto"/>
              <w:jc w:val="both"/>
              <w:rPr>
                <w:bCs/>
                <w:color w:val="auto"/>
                <w:spacing w:val="16"/>
                <w:highlight w:val="none"/>
              </w:rPr>
            </w:pPr>
          </w:p>
        </w:tc>
      </w:tr>
      <w:tr w14:paraId="678A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14:paraId="78E88D3F">
            <w:pPr>
              <w:pStyle w:val="103"/>
              <w:shd w:val="clear"/>
              <w:tabs>
                <w:tab w:val="left" w:pos="3360"/>
              </w:tabs>
              <w:spacing w:line="360" w:lineRule="auto"/>
              <w:jc w:val="both"/>
              <w:rPr>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shd w:val="clear" w:color="auto" w:fill="auto"/>
            <w:vAlign w:val="center"/>
          </w:tcPr>
          <w:p w14:paraId="3018EAA1">
            <w:pPr>
              <w:pStyle w:val="103"/>
              <w:shd w:val="clear"/>
              <w:tabs>
                <w:tab w:val="left" w:pos="3360"/>
              </w:tabs>
              <w:spacing w:before="0" w:beforeAutospacing="0" w:after="0" w:afterAutospacing="0" w:line="360" w:lineRule="auto"/>
              <w:jc w:val="both"/>
              <w:rPr>
                <w:bCs/>
                <w:color w:val="auto"/>
                <w:spacing w:val="16"/>
                <w:highlight w:val="none"/>
              </w:rPr>
            </w:pPr>
          </w:p>
        </w:tc>
        <w:tc>
          <w:tcPr>
            <w:tcW w:w="960" w:type="dxa"/>
            <w:gridSpan w:val="2"/>
            <w:tcBorders>
              <w:bottom w:val="single" w:color="auto" w:sz="4" w:space="0"/>
            </w:tcBorders>
            <w:shd w:val="clear" w:color="auto" w:fill="auto"/>
            <w:vAlign w:val="center"/>
          </w:tcPr>
          <w:p w14:paraId="69A7C4E7">
            <w:pPr>
              <w:pStyle w:val="103"/>
              <w:shd w:val="clear"/>
              <w:tabs>
                <w:tab w:val="left" w:pos="3360"/>
              </w:tabs>
              <w:spacing w:line="360" w:lineRule="auto"/>
              <w:jc w:val="both"/>
              <w:rPr>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shd w:val="clear" w:color="auto" w:fill="auto"/>
            <w:vAlign w:val="center"/>
          </w:tcPr>
          <w:p w14:paraId="0C87F9C2">
            <w:pPr>
              <w:widowControl/>
              <w:shd w:val="clear"/>
              <w:tabs>
                <w:tab w:val="left" w:pos="3360"/>
              </w:tabs>
              <w:spacing w:line="360" w:lineRule="auto"/>
              <w:rPr>
                <w:rFonts w:ascii="宋体" w:hAnsi="宋体" w:cs="宋体"/>
                <w:bCs/>
                <w:color w:val="auto"/>
                <w:spacing w:val="16"/>
                <w:kern w:val="0"/>
                <w:sz w:val="24"/>
                <w:highlight w:val="none"/>
              </w:rPr>
            </w:pPr>
          </w:p>
          <w:p w14:paraId="545A47B8">
            <w:pPr>
              <w:pStyle w:val="103"/>
              <w:shd w:val="clear"/>
              <w:tabs>
                <w:tab w:val="left" w:pos="3360"/>
              </w:tabs>
              <w:spacing w:line="360" w:lineRule="auto"/>
              <w:jc w:val="both"/>
              <w:rPr>
                <w:bCs/>
                <w:color w:val="auto"/>
                <w:spacing w:val="16"/>
                <w:highlight w:val="none"/>
              </w:rPr>
            </w:pPr>
          </w:p>
        </w:tc>
        <w:tc>
          <w:tcPr>
            <w:tcW w:w="1560" w:type="dxa"/>
            <w:shd w:val="clear" w:color="auto" w:fill="auto"/>
            <w:vAlign w:val="center"/>
          </w:tcPr>
          <w:p w14:paraId="07CB76C2">
            <w:pPr>
              <w:pStyle w:val="103"/>
              <w:shd w:val="clear"/>
              <w:tabs>
                <w:tab w:val="left" w:pos="3360"/>
              </w:tabs>
              <w:spacing w:line="360" w:lineRule="auto"/>
              <w:ind w:left="107"/>
              <w:jc w:val="center"/>
              <w:rPr>
                <w:bCs/>
                <w:color w:val="auto"/>
                <w:spacing w:val="16"/>
                <w:highlight w:val="none"/>
              </w:rPr>
            </w:pPr>
            <w:r>
              <w:rPr>
                <w:rFonts w:hint="eastAsia"/>
                <w:bCs/>
                <w:color w:val="auto"/>
                <w:spacing w:val="16"/>
                <w:highlight w:val="none"/>
              </w:rPr>
              <w:t>股东关系</w:t>
            </w:r>
          </w:p>
        </w:tc>
        <w:tc>
          <w:tcPr>
            <w:tcW w:w="2608" w:type="dxa"/>
            <w:gridSpan w:val="3"/>
            <w:shd w:val="clear" w:color="auto" w:fill="auto"/>
            <w:vAlign w:val="center"/>
          </w:tcPr>
          <w:p w14:paraId="5AC0CF13">
            <w:pPr>
              <w:pStyle w:val="103"/>
              <w:shd w:val="clear"/>
              <w:tabs>
                <w:tab w:val="left" w:pos="3360"/>
              </w:tabs>
              <w:spacing w:line="360" w:lineRule="auto"/>
              <w:ind w:left="107"/>
              <w:jc w:val="both"/>
              <w:rPr>
                <w:bCs/>
                <w:color w:val="auto"/>
                <w:spacing w:val="16"/>
                <w:highlight w:val="none"/>
              </w:rPr>
            </w:pPr>
          </w:p>
        </w:tc>
      </w:tr>
      <w:tr w14:paraId="54C3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shd w:val="clear" w:color="auto" w:fill="auto"/>
            <w:vAlign w:val="center"/>
          </w:tcPr>
          <w:p w14:paraId="0AD02FB4">
            <w:pPr>
              <w:pStyle w:val="103"/>
              <w:shd w:val="clear"/>
              <w:tabs>
                <w:tab w:val="left" w:pos="3360"/>
              </w:tabs>
              <w:spacing w:line="360" w:lineRule="auto"/>
              <w:jc w:val="both"/>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shd w:val="clear" w:color="auto" w:fill="auto"/>
            <w:vAlign w:val="center"/>
          </w:tcPr>
          <w:p w14:paraId="02A16C82">
            <w:pPr>
              <w:pStyle w:val="103"/>
              <w:shd w:val="clear"/>
              <w:tabs>
                <w:tab w:val="left" w:pos="3360"/>
              </w:tabs>
              <w:spacing w:line="360" w:lineRule="auto"/>
              <w:jc w:val="both"/>
              <w:rPr>
                <w:bCs/>
                <w:color w:val="auto"/>
                <w:spacing w:val="16"/>
                <w:highlight w:val="none"/>
              </w:rPr>
            </w:pPr>
          </w:p>
        </w:tc>
        <w:tc>
          <w:tcPr>
            <w:tcW w:w="960" w:type="dxa"/>
            <w:gridSpan w:val="2"/>
            <w:tcBorders>
              <w:top w:val="nil"/>
              <w:bottom w:val="single" w:color="auto" w:sz="4" w:space="0"/>
            </w:tcBorders>
            <w:shd w:val="clear" w:color="auto" w:fill="auto"/>
            <w:vAlign w:val="center"/>
          </w:tcPr>
          <w:p w14:paraId="03DD3D7F">
            <w:pPr>
              <w:pStyle w:val="103"/>
              <w:shd w:val="clear"/>
              <w:tabs>
                <w:tab w:val="left" w:pos="3360"/>
              </w:tabs>
              <w:spacing w:line="360" w:lineRule="auto"/>
              <w:jc w:val="both"/>
              <w:rPr>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shd w:val="clear" w:color="auto" w:fill="auto"/>
            <w:vAlign w:val="center"/>
          </w:tcPr>
          <w:p w14:paraId="319F038B">
            <w:pPr>
              <w:widowControl/>
              <w:shd w:val="clear"/>
              <w:tabs>
                <w:tab w:val="left" w:pos="3360"/>
              </w:tabs>
              <w:spacing w:line="360" w:lineRule="auto"/>
              <w:rPr>
                <w:rFonts w:ascii="宋体" w:hAnsi="宋体" w:cs="宋体"/>
                <w:bCs/>
                <w:color w:val="auto"/>
                <w:spacing w:val="16"/>
                <w:kern w:val="0"/>
                <w:sz w:val="24"/>
                <w:highlight w:val="none"/>
              </w:rPr>
            </w:pPr>
          </w:p>
          <w:p w14:paraId="304382EE">
            <w:pPr>
              <w:pStyle w:val="103"/>
              <w:shd w:val="clear"/>
              <w:tabs>
                <w:tab w:val="left" w:pos="3360"/>
              </w:tabs>
              <w:spacing w:line="360" w:lineRule="auto"/>
              <w:jc w:val="both"/>
              <w:rPr>
                <w:bCs/>
                <w:color w:val="auto"/>
                <w:spacing w:val="16"/>
                <w:highlight w:val="none"/>
              </w:rPr>
            </w:pPr>
          </w:p>
        </w:tc>
        <w:tc>
          <w:tcPr>
            <w:tcW w:w="1560" w:type="dxa"/>
            <w:vMerge w:val="restart"/>
            <w:shd w:val="clear" w:color="auto" w:fill="auto"/>
            <w:vAlign w:val="center"/>
          </w:tcPr>
          <w:p w14:paraId="021C6F94">
            <w:pPr>
              <w:pStyle w:val="103"/>
              <w:shd w:val="clear"/>
              <w:tabs>
                <w:tab w:val="left" w:pos="3360"/>
              </w:tabs>
              <w:spacing w:before="0" w:beforeAutospacing="0" w:after="0" w:afterAutospacing="0" w:line="360" w:lineRule="auto"/>
              <w:jc w:val="center"/>
              <w:rPr>
                <w:bCs/>
                <w:color w:val="auto"/>
                <w:spacing w:val="16"/>
                <w:highlight w:val="none"/>
              </w:rPr>
            </w:pPr>
            <w:r>
              <w:rPr>
                <w:rFonts w:hint="eastAsia"/>
                <w:bCs/>
                <w:color w:val="auto"/>
                <w:spacing w:val="16"/>
                <w:highlight w:val="none"/>
              </w:rPr>
              <w:t>传真</w:t>
            </w:r>
          </w:p>
        </w:tc>
        <w:tc>
          <w:tcPr>
            <w:tcW w:w="2608" w:type="dxa"/>
            <w:gridSpan w:val="3"/>
            <w:vMerge w:val="restart"/>
            <w:shd w:val="clear" w:color="auto" w:fill="auto"/>
            <w:vAlign w:val="center"/>
          </w:tcPr>
          <w:p w14:paraId="64B6B331">
            <w:pPr>
              <w:pStyle w:val="103"/>
              <w:shd w:val="clear"/>
              <w:tabs>
                <w:tab w:val="left" w:pos="3360"/>
              </w:tabs>
              <w:spacing w:line="360" w:lineRule="auto"/>
              <w:jc w:val="both"/>
              <w:rPr>
                <w:bCs/>
                <w:color w:val="auto"/>
                <w:spacing w:val="16"/>
                <w:highlight w:val="none"/>
              </w:rPr>
            </w:pPr>
          </w:p>
        </w:tc>
      </w:tr>
      <w:tr w14:paraId="3E96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14:paraId="55FBE03A">
            <w:pPr>
              <w:pStyle w:val="103"/>
              <w:shd w:val="clear"/>
              <w:tabs>
                <w:tab w:val="left" w:pos="3360"/>
              </w:tabs>
              <w:spacing w:line="360" w:lineRule="auto"/>
              <w:ind w:left="107"/>
              <w:jc w:val="both"/>
              <w:rPr>
                <w:bCs/>
                <w:color w:val="auto"/>
                <w:highlight w:val="none"/>
              </w:rPr>
            </w:pPr>
          </w:p>
        </w:tc>
        <w:tc>
          <w:tcPr>
            <w:tcW w:w="690" w:type="dxa"/>
            <w:vMerge w:val="continue"/>
            <w:tcBorders>
              <w:bottom w:val="single" w:color="auto" w:sz="4" w:space="0"/>
            </w:tcBorders>
            <w:shd w:val="clear" w:color="auto" w:fill="auto"/>
            <w:vAlign w:val="center"/>
          </w:tcPr>
          <w:p w14:paraId="472F54EC">
            <w:pPr>
              <w:pStyle w:val="103"/>
              <w:shd w:val="clear"/>
              <w:tabs>
                <w:tab w:val="left" w:pos="3360"/>
              </w:tabs>
              <w:spacing w:line="360" w:lineRule="auto"/>
              <w:jc w:val="both"/>
              <w:rPr>
                <w:bCs/>
                <w:color w:val="auto"/>
                <w:spacing w:val="16"/>
                <w:highlight w:val="none"/>
              </w:rPr>
            </w:pPr>
          </w:p>
        </w:tc>
        <w:tc>
          <w:tcPr>
            <w:tcW w:w="960" w:type="dxa"/>
            <w:gridSpan w:val="2"/>
            <w:tcBorders>
              <w:bottom w:val="single" w:color="auto" w:sz="4" w:space="0"/>
            </w:tcBorders>
            <w:shd w:val="clear" w:color="auto" w:fill="auto"/>
            <w:vAlign w:val="center"/>
          </w:tcPr>
          <w:p w14:paraId="7927E77B">
            <w:pPr>
              <w:pStyle w:val="103"/>
              <w:shd w:val="clear"/>
              <w:tabs>
                <w:tab w:val="left" w:pos="3360"/>
              </w:tabs>
              <w:spacing w:line="360" w:lineRule="auto"/>
              <w:jc w:val="both"/>
              <w:rPr>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shd w:val="clear" w:color="auto" w:fill="auto"/>
            <w:vAlign w:val="center"/>
          </w:tcPr>
          <w:p w14:paraId="1C7B784A">
            <w:pPr>
              <w:pStyle w:val="103"/>
              <w:shd w:val="clear"/>
              <w:tabs>
                <w:tab w:val="left" w:pos="3360"/>
              </w:tabs>
              <w:spacing w:line="360" w:lineRule="auto"/>
              <w:jc w:val="both"/>
              <w:rPr>
                <w:bCs/>
                <w:color w:val="auto"/>
                <w:spacing w:val="16"/>
                <w:highlight w:val="none"/>
              </w:rPr>
            </w:pPr>
          </w:p>
        </w:tc>
        <w:tc>
          <w:tcPr>
            <w:tcW w:w="1560" w:type="dxa"/>
            <w:vMerge w:val="continue"/>
            <w:shd w:val="clear" w:color="auto" w:fill="auto"/>
            <w:vAlign w:val="center"/>
          </w:tcPr>
          <w:p w14:paraId="7087BF8C">
            <w:pPr>
              <w:pStyle w:val="103"/>
              <w:shd w:val="clear"/>
              <w:tabs>
                <w:tab w:val="left" w:pos="3360"/>
              </w:tabs>
              <w:spacing w:line="360" w:lineRule="auto"/>
              <w:jc w:val="center"/>
              <w:rPr>
                <w:bCs/>
                <w:color w:val="auto"/>
                <w:spacing w:val="16"/>
                <w:highlight w:val="none"/>
              </w:rPr>
            </w:pPr>
          </w:p>
        </w:tc>
        <w:tc>
          <w:tcPr>
            <w:tcW w:w="2608" w:type="dxa"/>
            <w:gridSpan w:val="3"/>
            <w:vMerge w:val="continue"/>
            <w:shd w:val="clear" w:color="auto" w:fill="auto"/>
            <w:vAlign w:val="center"/>
          </w:tcPr>
          <w:p w14:paraId="6AB8A371">
            <w:pPr>
              <w:pStyle w:val="103"/>
              <w:shd w:val="clear"/>
              <w:tabs>
                <w:tab w:val="left" w:pos="3360"/>
              </w:tabs>
              <w:spacing w:line="360" w:lineRule="auto"/>
              <w:jc w:val="both"/>
              <w:rPr>
                <w:bCs/>
                <w:color w:val="auto"/>
                <w:spacing w:val="16"/>
                <w:highlight w:val="none"/>
              </w:rPr>
            </w:pPr>
          </w:p>
        </w:tc>
      </w:tr>
      <w:tr w14:paraId="0BCA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shd w:val="clear" w:color="auto" w:fill="auto"/>
            <w:vAlign w:val="center"/>
          </w:tcPr>
          <w:p w14:paraId="6B134F35">
            <w:pPr>
              <w:pStyle w:val="103"/>
              <w:shd w:val="clear"/>
              <w:tabs>
                <w:tab w:val="left" w:pos="3360"/>
              </w:tabs>
              <w:spacing w:line="360" w:lineRule="auto"/>
              <w:ind w:left="107"/>
              <w:jc w:val="both"/>
              <w:rPr>
                <w:bCs/>
                <w:color w:val="auto"/>
                <w:highlight w:val="none"/>
              </w:rPr>
            </w:pPr>
            <w:r>
              <w:rPr>
                <w:rFonts w:hint="eastAsia"/>
                <w:bCs/>
                <w:color w:val="auto"/>
                <w:highlight w:val="none"/>
              </w:rPr>
              <w:t>1.</w:t>
            </w:r>
          </w:p>
          <w:p w14:paraId="5A495DFF">
            <w:pPr>
              <w:pStyle w:val="103"/>
              <w:shd w:val="clear"/>
              <w:tabs>
                <w:tab w:val="left" w:pos="3360"/>
              </w:tabs>
              <w:spacing w:line="360" w:lineRule="auto"/>
              <w:ind w:left="107"/>
              <w:jc w:val="both"/>
              <w:rPr>
                <w:bCs/>
                <w:color w:val="auto"/>
                <w:highlight w:val="none"/>
              </w:rPr>
            </w:pPr>
            <w:r>
              <w:rPr>
                <w:rFonts w:hint="eastAsia"/>
                <w:bCs/>
                <w:color w:val="auto"/>
                <w:highlight w:val="none"/>
              </w:rPr>
              <w:t>企</w:t>
            </w:r>
          </w:p>
          <w:p w14:paraId="5536BF7C">
            <w:pPr>
              <w:pStyle w:val="103"/>
              <w:shd w:val="clear"/>
              <w:tabs>
                <w:tab w:val="left" w:pos="3360"/>
              </w:tabs>
              <w:spacing w:line="360" w:lineRule="auto"/>
              <w:ind w:left="107"/>
              <w:jc w:val="both"/>
              <w:rPr>
                <w:bCs/>
                <w:color w:val="auto"/>
                <w:highlight w:val="none"/>
              </w:rPr>
            </w:pPr>
            <w:r>
              <w:rPr>
                <w:rFonts w:hint="eastAsia"/>
                <w:bCs/>
                <w:color w:val="auto"/>
                <w:highlight w:val="none"/>
              </w:rPr>
              <w:t>业</w:t>
            </w:r>
          </w:p>
          <w:p w14:paraId="0BB76270">
            <w:pPr>
              <w:pStyle w:val="103"/>
              <w:shd w:val="clear"/>
              <w:tabs>
                <w:tab w:val="left" w:pos="3360"/>
              </w:tabs>
              <w:spacing w:line="360" w:lineRule="auto"/>
              <w:ind w:left="107"/>
              <w:jc w:val="both"/>
              <w:rPr>
                <w:bCs/>
                <w:color w:val="auto"/>
                <w:spacing w:val="27"/>
                <w:highlight w:val="none"/>
              </w:rPr>
            </w:pPr>
            <w:r>
              <w:rPr>
                <w:rFonts w:hint="eastAsia"/>
                <w:bCs/>
                <w:color w:val="auto"/>
                <w:spacing w:val="27"/>
                <w:highlight w:val="none"/>
              </w:rPr>
              <w:t>概</w:t>
            </w:r>
          </w:p>
          <w:p w14:paraId="0F2400AC">
            <w:pPr>
              <w:pStyle w:val="103"/>
              <w:shd w:val="clear"/>
              <w:tabs>
                <w:tab w:val="left" w:pos="3360"/>
              </w:tabs>
              <w:spacing w:line="360" w:lineRule="auto"/>
              <w:ind w:left="107"/>
              <w:jc w:val="both"/>
              <w:rPr>
                <w:bCs/>
                <w:color w:val="auto"/>
                <w:highlight w:val="none"/>
              </w:rPr>
            </w:pPr>
            <w:r>
              <w:rPr>
                <w:rFonts w:hint="eastAsia"/>
                <w:bCs/>
                <w:color w:val="auto"/>
                <w:spacing w:val="27"/>
                <w:highlight w:val="none"/>
              </w:rPr>
              <w:t>况</w:t>
            </w:r>
          </w:p>
        </w:tc>
        <w:tc>
          <w:tcPr>
            <w:tcW w:w="690" w:type="dxa"/>
            <w:tcBorders>
              <w:top w:val="nil"/>
            </w:tcBorders>
            <w:shd w:val="clear" w:color="auto" w:fill="auto"/>
            <w:vAlign w:val="center"/>
          </w:tcPr>
          <w:p w14:paraId="26E480A6">
            <w:pPr>
              <w:pStyle w:val="103"/>
              <w:shd w:val="clear"/>
              <w:tabs>
                <w:tab w:val="left" w:pos="3360"/>
              </w:tabs>
              <w:spacing w:line="360" w:lineRule="auto"/>
              <w:jc w:val="both"/>
              <w:rPr>
                <w:bCs/>
                <w:color w:val="auto"/>
                <w:spacing w:val="16"/>
                <w:highlight w:val="none"/>
              </w:rPr>
            </w:pPr>
            <w:r>
              <w:rPr>
                <w:rFonts w:hint="eastAsia"/>
                <w:bCs/>
                <w:color w:val="auto"/>
                <w:spacing w:val="16"/>
                <w:highlight w:val="none"/>
              </w:rPr>
              <w:t>职工人数</w:t>
            </w:r>
          </w:p>
        </w:tc>
        <w:tc>
          <w:tcPr>
            <w:tcW w:w="960" w:type="dxa"/>
            <w:gridSpan w:val="2"/>
            <w:tcBorders>
              <w:top w:val="nil"/>
            </w:tcBorders>
            <w:shd w:val="clear" w:color="auto" w:fill="auto"/>
            <w:vAlign w:val="center"/>
          </w:tcPr>
          <w:p w14:paraId="50820EAD">
            <w:pPr>
              <w:pStyle w:val="103"/>
              <w:shd w:val="clear"/>
              <w:tabs>
                <w:tab w:val="left" w:pos="3360"/>
              </w:tabs>
              <w:spacing w:line="360" w:lineRule="auto"/>
              <w:jc w:val="both"/>
              <w:rPr>
                <w:bCs/>
                <w:color w:val="auto"/>
                <w:spacing w:val="16"/>
                <w:highlight w:val="none"/>
              </w:rPr>
            </w:pPr>
          </w:p>
        </w:tc>
        <w:tc>
          <w:tcPr>
            <w:tcW w:w="926" w:type="dxa"/>
            <w:tcBorders>
              <w:top w:val="nil"/>
            </w:tcBorders>
            <w:shd w:val="clear" w:color="auto" w:fill="auto"/>
            <w:vAlign w:val="center"/>
          </w:tcPr>
          <w:p w14:paraId="5772A7FC">
            <w:pPr>
              <w:pStyle w:val="103"/>
              <w:shd w:val="clear"/>
              <w:tabs>
                <w:tab w:val="left" w:pos="3360"/>
              </w:tabs>
              <w:spacing w:before="0" w:beforeAutospacing="0" w:after="0" w:afterAutospacing="0" w:line="360" w:lineRule="auto"/>
              <w:jc w:val="both"/>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shd w:val="clear" w:color="auto" w:fill="auto"/>
            <w:vAlign w:val="center"/>
          </w:tcPr>
          <w:p w14:paraId="127D8ED5">
            <w:pPr>
              <w:widowControl/>
              <w:shd w:val="clear"/>
              <w:tabs>
                <w:tab w:val="left" w:pos="3360"/>
              </w:tabs>
              <w:spacing w:line="360" w:lineRule="auto"/>
              <w:rPr>
                <w:rFonts w:ascii="宋体" w:hAnsi="宋体" w:cs="宋体"/>
                <w:bCs/>
                <w:color w:val="auto"/>
                <w:spacing w:val="16"/>
                <w:kern w:val="0"/>
                <w:sz w:val="24"/>
                <w:highlight w:val="none"/>
              </w:rPr>
            </w:pPr>
          </w:p>
          <w:p w14:paraId="3B6F56F7">
            <w:pPr>
              <w:widowControl/>
              <w:shd w:val="clear"/>
              <w:tabs>
                <w:tab w:val="left" w:pos="3360"/>
              </w:tabs>
              <w:spacing w:line="360" w:lineRule="auto"/>
              <w:rPr>
                <w:rFonts w:ascii="宋体" w:hAnsi="宋体" w:cs="宋体"/>
                <w:bCs/>
                <w:color w:val="auto"/>
                <w:spacing w:val="16"/>
                <w:kern w:val="0"/>
                <w:sz w:val="24"/>
                <w:highlight w:val="none"/>
              </w:rPr>
            </w:pPr>
          </w:p>
          <w:p w14:paraId="3F6BA114">
            <w:pPr>
              <w:pStyle w:val="103"/>
              <w:shd w:val="clear"/>
              <w:tabs>
                <w:tab w:val="left" w:pos="3360"/>
              </w:tabs>
              <w:spacing w:line="360" w:lineRule="auto"/>
              <w:jc w:val="both"/>
              <w:rPr>
                <w:bCs/>
                <w:color w:val="auto"/>
                <w:spacing w:val="16"/>
                <w:highlight w:val="none"/>
              </w:rPr>
            </w:pPr>
          </w:p>
        </w:tc>
        <w:tc>
          <w:tcPr>
            <w:tcW w:w="1560" w:type="dxa"/>
            <w:shd w:val="clear" w:color="auto" w:fill="auto"/>
            <w:vAlign w:val="center"/>
          </w:tcPr>
          <w:p w14:paraId="204CF53D">
            <w:pPr>
              <w:pStyle w:val="103"/>
              <w:shd w:val="clear"/>
              <w:tabs>
                <w:tab w:val="left" w:pos="3360"/>
              </w:tabs>
              <w:spacing w:line="360" w:lineRule="auto"/>
              <w:jc w:val="center"/>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shd w:val="clear" w:color="auto" w:fill="auto"/>
            <w:vAlign w:val="center"/>
          </w:tcPr>
          <w:p w14:paraId="31740DBF">
            <w:pPr>
              <w:widowControl/>
              <w:shd w:val="clear"/>
              <w:tabs>
                <w:tab w:val="left" w:pos="3360"/>
              </w:tabs>
              <w:spacing w:line="360" w:lineRule="auto"/>
              <w:rPr>
                <w:rFonts w:ascii="宋体" w:hAnsi="宋体" w:cs="宋体"/>
                <w:bCs/>
                <w:color w:val="auto"/>
                <w:spacing w:val="16"/>
                <w:kern w:val="0"/>
                <w:sz w:val="24"/>
                <w:highlight w:val="none"/>
              </w:rPr>
            </w:pPr>
          </w:p>
          <w:p w14:paraId="20C2BE90">
            <w:pPr>
              <w:pStyle w:val="103"/>
              <w:shd w:val="clear"/>
              <w:tabs>
                <w:tab w:val="left" w:pos="3360"/>
              </w:tabs>
              <w:spacing w:line="360" w:lineRule="auto"/>
              <w:jc w:val="both"/>
              <w:rPr>
                <w:bCs/>
                <w:color w:val="auto"/>
                <w:spacing w:val="16"/>
                <w:highlight w:val="none"/>
              </w:rPr>
            </w:pPr>
          </w:p>
        </w:tc>
      </w:tr>
      <w:tr w14:paraId="36F6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shd w:val="clear" w:color="auto" w:fill="auto"/>
            <w:vAlign w:val="center"/>
          </w:tcPr>
          <w:p w14:paraId="69CC4426">
            <w:pPr>
              <w:pStyle w:val="103"/>
              <w:shd w:val="clear"/>
              <w:tabs>
                <w:tab w:val="left" w:pos="3360"/>
              </w:tabs>
              <w:spacing w:line="360" w:lineRule="auto"/>
              <w:ind w:left="107"/>
              <w:jc w:val="both"/>
              <w:rPr>
                <w:bCs/>
                <w:color w:val="auto"/>
                <w:highlight w:val="none"/>
              </w:rPr>
            </w:pPr>
          </w:p>
        </w:tc>
        <w:tc>
          <w:tcPr>
            <w:tcW w:w="690" w:type="dxa"/>
            <w:shd w:val="clear" w:color="auto" w:fill="auto"/>
            <w:vAlign w:val="center"/>
          </w:tcPr>
          <w:p w14:paraId="1C7DF135">
            <w:pPr>
              <w:pStyle w:val="103"/>
              <w:shd w:val="clear"/>
              <w:tabs>
                <w:tab w:val="left" w:pos="3360"/>
              </w:tabs>
              <w:spacing w:line="360" w:lineRule="auto"/>
              <w:jc w:val="both"/>
              <w:rPr>
                <w:bCs/>
                <w:color w:val="auto"/>
                <w:highlight w:val="none"/>
              </w:rPr>
            </w:pPr>
            <w:r>
              <w:rPr>
                <w:rFonts w:hint="eastAsia"/>
                <w:bCs/>
                <w:color w:val="auto"/>
                <w:spacing w:val="16"/>
                <w:highlight w:val="none"/>
              </w:rPr>
              <w:t>占地面积</w:t>
            </w:r>
          </w:p>
        </w:tc>
        <w:tc>
          <w:tcPr>
            <w:tcW w:w="960" w:type="dxa"/>
            <w:gridSpan w:val="2"/>
            <w:shd w:val="clear" w:color="auto" w:fill="auto"/>
            <w:vAlign w:val="center"/>
          </w:tcPr>
          <w:p w14:paraId="433807F8">
            <w:pPr>
              <w:pStyle w:val="103"/>
              <w:shd w:val="clear"/>
              <w:tabs>
                <w:tab w:val="left" w:pos="3360"/>
              </w:tabs>
              <w:spacing w:line="360" w:lineRule="auto"/>
              <w:jc w:val="both"/>
              <w:rPr>
                <w:bCs/>
                <w:color w:val="auto"/>
                <w:highlight w:val="none"/>
              </w:rPr>
            </w:pPr>
          </w:p>
        </w:tc>
        <w:tc>
          <w:tcPr>
            <w:tcW w:w="926" w:type="dxa"/>
            <w:shd w:val="clear" w:color="auto" w:fill="auto"/>
            <w:vAlign w:val="center"/>
          </w:tcPr>
          <w:p w14:paraId="1B6D60A2">
            <w:pPr>
              <w:pStyle w:val="103"/>
              <w:shd w:val="clear"/>
              <w:tabs>
                <w:tab w:val="left" w:pos="3360"/>
              </w:tabs>
              <w:spacing w:line="360" w:lineRule="auto"/>
              <w:jc w:val="both"/>
              <w:rPr>
                <w:bCs/>
                <w:color w:val="auto"/>
                <w:highlight w:val="none"/>
              </w:rPr>
            </w:pPr>
            <w:r>
              <w:rPr>
                <w:rFonts w:hint="eastAsia"/>
                <w:bCs/>
                <w:color w:val="auto"/>
                <w:spacing w:val="16"/>
                <w:highlight w:val="none"/>
              </w:rPr>
              <w:t>建筑面积</w:t>
            </w:r>
          </w:p>
        </w:tc>
        <w:tc>
          <w:tcPr>
            <w:tcW w:w="1189" w:type="dxa"/>
            <w:gridSpan w:val="2"/>
            <w:shd w:val="clear" w:color="auto" w:fill="auto"/>
            <w:vAlign w:val="center"/>
          </w:tcPr>
          <w:p w14:paraId="5FA8792F">
            <w:pPr>
              <w:pStyle w:val="103"/>
              <w:shd w:val="clear"/>
              <w:tabs>
                <w:tab w:val="left" w:pos="3360"/>
              </w:tabs>
              <w:spacing w:line="360" w:lineRule="auto"/>
              <w:jc w:val="both"/>
              <w:rPr>
                <w:bCs/>
                <w:color w:val="auto"/>
                <w:highlight w:val="none"/>
              </w:rPr>
            </w:pPr>
            <w:r>
              <w:rPr>
                <w:rFonts w:hint="eastAsia"/>
                <w:bCs/>
                <w:color w:val="auto"/>
                <w:highlight w:val="none"/>
              </w:rPr>
              <w:t>平方米</w:t>
            </w:r>
          </w:p>
          <w:p w14:paraId="009B6AB0">
            <w:pPr>
              <w:pStyle w:val="103"/>
              <w:shd w:val="clear"/>
              <w:tabs>
                <w:tab w:val="left" w:pos="3360"/>
              </w:tabs>
              <w:spacing w:line="360" w:lineRule="auto"/>
              <w:jc w:val="both"/>
              <w:rPr>
                <w:bCs/>
                <w:color w:val="auto"/>
                <w:highlight w:val="none"/>
              </w:rPr>
            </w:pPr>
            <w:r>
              <w:rPr>
                <w:rFonts w:hint="eastAsia"/>
                <w:bCs/>
                <w:color w:val="auto"/>
                <w:spacing w:val="16"/>
                <w:highlight w:val="none"/>
              </w:rPr>
              <w:t>□自有□租赁</w:t>
            </w:r>
          </w:p>
        </w:tc>
        <w:tc>
          <w:tcPr>
            <w:tcW w:w="1560" w:type="dxa"/>
            <w:shd w:val="clear" w:color="auto" w:fill="auto"/>
            <w:vAlign w:val="center"/>
          </w:tcPr>
          <w:p w14:paraId="7F54000D">
            <w:pPr>
              <w:pStyle w:val="103"/>
              <w:shd w:val="clear"/>
              <w:tabs>
                <w:tab w:val="left" w:pos="3360"/>
              </w:tabs>
              <w:spacing w:line="360" w:lineRule="auto"/>
              <w:jc w:val="center"/>
              <w:rPr>
                <w:bCs/>
                <w:color w:val="auto"/>
                <w:highlight w:val="none"/>
              </w:rPr>
            </w:pPr>
            <w:r>
              <w:rPr>
                <w:rFonts w:hint="eastAsia"/>
                <w:bCs/>
                <w:color w:val="auto"/>
                <w:spacing w:val="16"/>
                <w:highlight w:val="none"/>
              </w:rPr>
              <w:t>生产经营场所及场所的设施与设备</w:t>
            </w:r>
          </w:p>
        </w:tc>
        <w:tc>
          <w:tcPr>
            <w:tcW w:w="2608" w:type="dxa"/>
            <w:gridSpan w:val="3"/>
            <w:shd w:val="clear" w:color="auto" w:fill="auto"/>
            <w:vAlign w:val="center"/>
          </w:tcPr>
          <w:p w14:paraId="041EF0B7">
            <w:pPr>
              <w:pStyle w:val="103"/>
              <w:shd w:val="clear"/>
              <w:tabs>
                <w:tab w:val="left" w:pos="3360"/>
              </w:tabs>
              <w:spacing w:before="0" w:beforeAutospacing="0" w:after="0" w:afterAutospacing="0" w:line="360" w:lineRule="auto"/>
              <w:jc w:val="both"/>
              <w:rPr>
                <w:bCs/>
                <w:color w:val="auto"/>
                <w:spacing w:val="16"/>
                <w:highlight w:val="none"/>
              </w:rPr>
            </w:pPr>
          </w:p>
        </w:tc>
      </w:tr>
      <w:tr w14:paraId="4E4B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shd w:val="clear" w:color="auto" w:fill="auto"/>
            <w:vAlign w:val="center"/>
          </w:tcPr>
          <w:p w14:paraId="24E41E94">
            <w:pPr>
              <w:pStyle w:val="103"/>
              <w:shd w:val="clear"/>
              <w:tabs>
                <w:tab w:val="left" w:pos="3360"/>
              </w:tabs>
              <w:spacing w:line="360" w:lineRule="auto"/>
              <w:ind w:left="107"/>
              <w:jc w:val="both"/>
              <w:rPr>
                <w:bCs/>
                <w:color w:val="auto"/>
                <w:highlight w:val="none"/>
              </w:rPr>
            </w:pPr>
          </w:p>
        </w:tc>
        <w:tc>
          <w:tcPr>
            <w:tcW w:w="690" w:type="dxa"/>
            <w:shd w:val="clear" w:color="auto" w:fill="auto"/>
            <w:vAlign w:val="center"/>
          </w:tcPr>
          <w:p w14:paraId="7D0A47D3">
            <w:pPr>
              <w:pStyle w:val="103"/>
              <w:shd w:val="clear"/>
              <w:tabs>
                <w:tab w:val="left" w:pos="3360"/>
              </w:tabs>
              <w:spacing w:line="360" w:lineRule="auto"/>
              <w:ind w:left="2"/>
              <w:jc w:val="both"/>
              <w:rPr>
                <w:bCs/>
                <w:color w:val="auto"/>
                <w:spacing w:val="16"/>
                <w:highlight w:val="none"/>
              </w:rPr>
            </w:pPr>
            <w:r>
              <w:rPr>
                <w:rFonts w:hint="eastAsia"/>
                <w:bCs/>
                <w:color w:val="auto"/>
                <w:spacing w:val="16"/>
                <w:highlight w:val="none"/>
              </w:rPr>
              <w:t>注册资金</w:t>
            </w:r>
          </w:p>
        </w:tc>
        <w:tc>
          <w:tcPr>
            <w:tcW w:w="960" w:type="dxa"/>
            <w:gridSpan w:val="2"/>
            <w:shd w:val="clear" w:color="auto" w:fill="auto"/>
            <w:vAlign w:val="center"/>
          </w:tcPr>
          <w:p w14:paraId="358B666D">
            <w:pPr>
              <w:pStyle w:val="103"/>
              <w:shd w:val="clear"/>
              <w:tabs>
                <w:tab w:val="left" w:pos="3360"/>
              </w:tabs>
              <w:spacing w:line="360" w:lineRule="auto"/>
              <w:ind w:left="2"/>
              <w:jc w:val="both"/>
              <w:rPr>
                <w:bCs/>
                <w:color w:val="auto"/>
                <w:highlight w:val="none"/>
              </w:rPr>
            </w:pPr>
          </w:p>
        </w:tc>
        <w:tc>
          <w:tcPr>
            <w:tcW w:w="926" w:type="dxa"/>
            <w:shd w:val="clear" w:color="auto" w:fill="auto"/>
            <w:vAlign w:val="center"/>
          </w:tcPr>
          <w:p w14:paraId="21BB9548">
            <w:pPr>
              <w:pStyle w:val="103"/>
              <w:shd w:val="clear"/>
              <w:tabs>
                <w:tab w:val="left" w:pos="3360"/>
              </w:tabs>
              <w:spacing w:line="360" w:lineRule="auto"/>
              <w:ind w:left="107"/>
              <w:jc w:val="both"/>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shd w:val="clear" w:color="auto" w:fill="auto"/>
            <w:vAlign w:val="center"/>
          </w:tcPr>
          <w:p w14:paraId="29E7417B">
            <w:pPr>
              <w:widowControl/>
              <w:shd w:val="clear"/>
              <w:tabs>
                <w:tab w:val="left" w:pos="3360"/>
              </w:tabs>
              <w:spacing w:line="360" w:lineRule="auto"/>
              <w:rPr>
                <w:rFonts w:ascii="宋体" w:hAnsi="宋体" w:cs="宋体"/>
                <w:bCs/>
                <w:color w:val="auto"/>
                <w:kern w:val="0"/>
                <w:sz w:val="24"/>
                <w:highlight w:val="none"/>
              </w:rPr>
            </w:pPr>
          </w:p>
          <w:p w14:paraId="5A419D6F">
            <w:pPr>
              <w:pStyle w:val="103"/>
              <w:shd w:val="clear"/>
              <w:tabs>
                <w:tab w:val="left" w:pos="3360"/>
              </w:tabs>
              <w:spacing w:line="360" w:lineRule="auto"/>
              <w:ind w:left="107"/>
              <w:jc w:val="both"/>
              <w:rPr>
                <w:bCs/>
                <w:color w:val="auto"/>
                <w:highlight w:val="none"/>
              </w:rPr>
            </w:pPr>
          </w:p>
        </w:tc>
        <w:tc>
          <w:tcPr>
            <w:tcW w:w="1675" w:type="dxa"/>
            <w:gridSpan w:val="2"/>
            <w:shd w:val="clear" w:color="auto" w:fill="auto"/>
            <w:vAlign w:val="center"/>
          </w:tcPr>
          <w:p w14:paraId="125A0DEE">
            <w:pPr>
              <w:pStyle w:val="103"/>
              <w:shd w:val="clear"/>
              <w:tabs>
                <w:tab w:val="left" w:pos="3360"/>
              </w:tabs>
              <w:spacing w:line="360" w:lineRule="auto"/>
              <w:ind w:left="107"/>
              <w:jc w:val="both"/>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shd w:val="clear" w:color="auto" w:fill="auto"/>
            <w:vAlign w:val="center"/>
          </w:tcPr>
          <w:p w14:paraId="1B1084EF">
            <w:pPr>
              <w:pStyle w:val="103"/>
              <w:shd w:val="clear"/>
              <w:tabs>
                <w:tab w:val="left" w:pos="3360"/>
              </w:tabs>
              <w:spacing w:line="360" w:lineRule="auto"/>
              <w:ind w:left="107"/>
              <w:jc w:val="both"/>
              <w:rPr>
                <w:bCs/>
                <w:color w:val="auto"/>
                <w:highlight w:val="none"/>
              </w:rPr>
            </w:pPr>
          </w:p>
        </w:tc>
      </w:tr>
      <w:tr w14:paraId="23A9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shd w:val="clear" w:color="auto" w:fill="auto"/>
            <w:vAlign w:val="center"/>
          </w:tcPr>
          <w:p w14:paraId="108842B6">
            <w:pPr>
              <w:pStyle w:val="103"/>
              <w:shd w:val="clear"/>
              <w:tabs>
                <w:tab w:val="left" w:pos="3360"/>
              </w:tabs>
              <w:spacing w:line="360" w:lineRule="auto"/>
              <w:ind w:left="107"/>
              <w:jc w:val="both"/>
              <w:rPr>
                <w:bCs/>
                <w:color w:val="auto"/>
                <w:highlight w:val="none"/>
              </w:rPr>
            </w:pPr>
          </w:p>
        </w:tc>
        <w:tc>
          <w:tcPr>
            <w:tcW w:w="690" w:type="dxa"/>
            <w:shd w:val="clear" w:color="auto" w:fill="auto"/>
            <w:vAlign w:val="center"/>
          </w:tcPr>
          <w:p w14:paraId="37A65644">
            <w:pPr>
              <w:pStyle w:val="103"/>
              <w:shd w:val="clear"/>
              <w:tabs>
                <w:tab w:val="left" w:pos="3360"/>
              </w:tabs>
              <w:spacing w:line="360" w:lineRule="auto"/>
              <w:ind w:left="2"/>
              <w:jc w:val="both"/>
              <w:rPr>
                <w:bCs/>
                <w:color w:val="auto"/>
                <w:highlight w:val="none"/>
              </w:rPr>
            </w:pPr>
            <w:r>
              <w:rPr>
                <w:rFonts w:hint="eastAsia"/>
                <w:bCs/>
                <w:color w:val="auto"/>
                <w:highlight w:val="none"/>
              </w:rPr>
              <w:t>核准经营范围</w:t>
            </w:r>
          </w:p>
        </w:tc>
        <w:tc>
          <w:tcPr>
            <w:tcW w:w="7243" w:type="dxa"/>
            <w:gridSpan w:val="9"/>
            <w:shd w:val="clear" w:color="auto" w:fill="auto"/>
            <w:vAlign w:val="center"/>
          </w:tcPr>
          <w:p w14:paraId="2AEBF6AA">
            <w:pPr>
              <w:pStyle w:val="103"/>
              <w:shd w:val="clear"/>
              <w:tabs>
                <w:tab w:val="left" w:pos="3360"/>
              </w:tabs>
              <w:spacing w:line="360" w:lineRule="auto"/>
              <w:ind w:left="107"/>
              <w:jc w:val="both"/>
              <w:rPr>
                <w:bCs/>
                <w:color w:val="auto"/>
                <w:highlight w:val="none"/>
              </w:rPr>
            </w:pPr>
          </w:p>
        </w:tc>
      </w:tr>
      <w:tr w14:paraId="3F07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shd w:val="clear" w:color="auto" w:fill="auto"/>
            <w:vAlign w:val="center"/>
          </w:tcPr>
          <w:p w14:paraId="67A009C9">
            <w:pPr>
              <w:pStyle w:val="103"/>
              <w:shd w:val="clear"/>
              <w:tabs>
                <w:tab w:val="left" w:pos="3360"/>
              </w:tabs>
              <w:spacing w:line="360" w:lineRule="auto"/>
              <w:ind w:left="107"/>
              <w:jc w:val="both"/>
              <w:rPr>
                <w:bCs/>
                <w:color w:val="auto"/>
                <w:highlight w:val="none"/>
              </w:rPr>
            </w:pPr>
          </w:p>
        </w:tc>
        <w:tc>
          <w:tcPr>
            <w:tcW w:w="7933" w:type="dxa"/>
            <w:gridSpan w:val="10"/>
            <w:shd w:val="clear" w:color="auto" w:fill="auto"/>
            <w:vAlign w:val="center"/>
          </w:tcPr>
          <w:p w14:paraId="1DF6577F">
            <w:pPr>
              <w:pStyle w:val="103"/>
              <w:shd w:val="clear"/>
              <w:tabs>
                <w:tab w:val="left" w:pos="3360"/>
              </w:tabs>
              <w:spacing w:line="360" w:lineRule="auto"/>
              <w:jc w:val="both"/>
              <w:rPr>
                <w:bCs/>
                <w:color w:val="auto"/>
                <w:spacing w:val="13"/>
                <w:highlight w:val="none"/>
              </w:rPr>
            </w:pPr>
            <w:r>
              <w:rPr>
                <w:rFonts w:hint="eastAsia"/>
                <w:bCs/>
                <w:color w:val="auto"/>
                <w:spacing w:val="13"/>
                <w:highlight w:val="none"/>
              </w:rPr>
              <w:t>发展历程及主要荣誉：</w:t>
            </w:r>
          </w:p>
        </w:tc>
      </w:tr>
      <w:tr w14:paraId="3D6C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shd w:val="clear" w:color="auto" w:fill="auto"/>
            <w:vAlign w:val="center"/>
          </w:tcPr>
          <w:p w14:paraId="4F219759">
            <w:pPr>
              <w:pStyle w:val="103"/>
              <w:shd w:val="clear"/>
              <w:tabs>
                <w:tab w:val="left" w:pos="3360"/>
              </w:tabs>
              <w:spacing w:line="360" w:lineRule="auto"/>
              <w:ind w:left="107"/>
              <w:jc w:val="both"/>
              <w:rPr>
                <w:bCs/>
                <w:color w:val="auto"/>
                <w:highlight w:val="none"/>
              </w:rPr>
            </w:pPr>
            <w:r>
              <w:rPr>
                <w:rFonts w:hint="eastAsia"/>
                <w:bCs/>
                <w:color w:val="auto"/>
                <w:highlight w:val="none"/>
              </w:rPr>
              <w:t>2.</w:t>
            </w:r>
          </w:p>
          <w:p w14:paraId="69BC5B73">
            <w:pPr>
              <w:pStyle w:val="103"/>
              <w:shd w:val="clear"/>
              <w:tabs>
                <w:tab w:val="left" w:pos="3360"/>
              </w:tabs>
              <w:spacing w:line="360" w:lineRule="auto"/>
              <w:ind w:left="107"/>
              <w:jc w:val="both"/>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shd w:val="clear" w:color="auto" w:fill="auto"/>
            <w:vAlign w:val="center"/>
          </w:tcPr>
          <w:p w14:paraId="67E4DC58">
            <w:pPr>
              <w:pStyle w:val="103"/>
              <w:shd w:val="clear"/>
              <w:tabs>
                <w:tab w:val="left" w:pos="3360"/>
              </w:tabs>
              <w:spacing w:before="0" w:beforeAutospacing="0" w:after="0" w:afterAutospacing="0" w:line="360" w:lineRule="auto"/>
              <w:jc w:val="both"/>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shd w:val="clear" w:color="auto" w:fill="auto"/>
            <w:vAlign w:val="center"/>
          </w:tcPr>
          <w:p w14:paraId="4E909D30">
            <w:pPr>
              <w:pStyle w:val="103"/>
              <w:shd w:val="clear"/>
              <w:tabs>
                <w:tab w:val="left" w:pos="3360"/>
              </w:tabs>
              <w:spacing w:line="360" w:lineRule="auto"/>
              <w:ind w:right="-133" w:rightChars="-37"/>
              <w:jc w:val="both"/>
              <w:rPr>
                <w:bCs/>
                <w:color w:val="auto"/>
                <w:spacing w:val="16"/>
                <w:highlight w:val="none"/>
              </w:rPr>
            </w:pPr>
            <w:r>
              <w:rPr>
                <w:rFonts w:hint="eastAsia"/>
                <w:bCs/>
                <w:color w:val="auto"/>
                <w:spacing w:val="16"/>
                <w:highlight w:val="none"/>
              </w:rPr>
              <w:t>产品名称</w:t>
            </w:r>
          </w:p>
        </w:tc>
        <w:tc>
          <w:tcPr>
            <w:tcW w:w="1077" w:type="dxa"/>
            <w:shd w:val="clear" w:color="auto" w:fill="auto"/>
            <w:vAlign w:val="center"/>
          </w:tcPr>
          <w:p w14:paraId="1F59F53A">
            <w:pPr>
              <w:pStyle w:val="103"/>
              <w:shd w:val="clear"/>
              <w:tabs>
                <w:tab w:val="left" w:pos="3360"/>
              </w:tabs>
              <w:spacing w:before="0" w:beforeAutospacing="0" w:after="0" w:afterAutospacing="0" w:line="360" w:lineRule="auto"/>
              <w:jc w:val="both"/>
              <w:rPr>
                <w:bCs/>
                <w:color w:val="auto"/>
                <w:highlight w:val="none"/>
              </w:rPr>
            </w:pPr>
            <w:r>
              <w:rPr>
                <w:rFonts w:hint="eastAsia"/>
                <w:bCs/>
                <w:color w:val="auto"/>
                <w:spacing w:val="16"/>
                <w:highlight w:val="none"/>
              </w:rPr>
              <w:t>发证机关</w:t>
            </w:r>
          </w:p>
        </w:tc>
        <w:tc>
          <w:tcPr>
            <w:tcW w:w="1617" w:type="dxa"/>
            <w:gridSpan w:val="2"/>
            <w:shd w:val="clear" w:color="auto" w:fill="auto"/>
            <w:vAlign w:val="center"/>
          </w:tcPr>
          <w:p w14:paraId="5435B21D">
            <w:pPr>
              <w:pStyle w:val="103"/>
              <w:shd w:val="clear"/>
              <w:tabs>
                <w:tab w:val="left" w:pos="3360"/>
              </w:tabs>
              <w:spacing w:line="360" w:lineRule="auto"/>
              <w:jc w:val="both"/>
              <w:rPr>
                <w:bCs/>
                <w:color w:val="auto"/>
                <w:highlight w:val="none"/>
              </w:rPr>
            </w:pPr>
            <w:r>
              <w:rPr>
                <w:rFonts w:hint="eastAsia"/>
                <w:bCs/>
                <w:color w:val="auto"/>
                <w:spacing w:val="27"/>
                <w:highlight w:val="none"/>
              </w:rPr>
              <w:t>编号</w:t>
            </w:r>
          </w:p>
        </w:tc>
        <w:tc>
          <w:tcPr>
            <w:tcW w:w="1618" w:type="dxa"/>
            <w:shd w:val="clear" w:color="auto" w:fill="auto"/>
            <w:vAlign w:val="center"/>
          </w:tcPr>
          <w:p w14:paraId="7CFE48B5">
            <w:pPr>
              <w:pStyle w:val="103"/>
              <w:shd w:val="clear"/>
              <w:tabs>
                <w:tab w:val="left" w:pos="3360"/>
              </w:tabs>
              <w:spacing w:line="360" w:lineRule="auto"/>
              <w:jc w:val="both"/>
              <w:rPr>
                <w:bCs/>
                <w:color w:val="auto"/>
                <w:highlight w:val="none"/>
              </w:rPr>
            </w:pPr>
            <w:r>
              <w:rPr>
                <w:rFonts w:hint="eastAsia"/>
                <w:bCs/>
                <w:color w:val="auto"/>
                <w:spacing w:val="16"/>
                <w:highlight w:val="none"/>
              </w:rPr>
              <w:t>发证时间</w:t>
            </w:r>
          </w:p>
        </w:tc>
        <w:tc>
          <w:tcPr>
            <w:tcW w:w="933" w:type="dxa"/>
            <w:shd w:val="clear" w:color="auto" w:fill="auto"/>
            <w:vAlign w:val="center"/>
          </w:tcPr>
          <w:p w14:paraId="7BD6036D">
            <w:pPr>
              <w:pStyle w:val="103"/>
              <w:shd w:val="clear"/>
              <w:tabs>
                <w:tab w:val="left" w:pos="3360"/>
              </w:tabs>
              <w:spacing w:before="0" w:beforeAutospacing="0" w:after="0" w:afterAutospacing="0" w:line="360" w:lineRule="auto"/>
              <w:jc w:val="both"/>
              <w:rPr>
                <w:bCs/>
                <w:color w:val="auto"/>
                <w:highlight w:val="none"/>
              </w:rPr>
            </w:pPr>
            <w:r>
              <w:rPr>
                <w:rFonts w:hint="eastAsia"/>
                <w:bCs/>
                <w:color w:val="auto"/>
                <w:spacing w:val="27"/>
                <w:highlight w:val="none"/>
              </w:rPr>
              <w:t>期限</w:t>
            </w:r>
          </w:p>
        </w:tc>
      </w:tr>
      <w:tr w14:paraId="0C29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shd w:val="clear" w:color="auto" w:fill="auto"/>
            <w:vAlign w:val="center"/>
          </w:tcPr>
          <w:p w14:paraId="4D2498A8">
            <w:pPr>
              <w:pStyle w:val="103"/>
              <w:shd w:val="clear"/>
              <w:tabs>
                <w:tab w:val="left" w:pos="3360"/>
              </w:tabs>
              <w:spacing w:line="360" w:lineRule="auto"/>
              <w:ind w:left="107"/>
              <w:jc w:val="both"/>
              <w:rPr>
                <w:bCs/>
                <w:color w:val="auto"/>
                <w:highlight w:val="none"/>
              </w:rPr>
            </w:pPr>
          </w:p>
        </w:tc>
        <w:tc>
          <w:tcPr>
            <w:tcW w:w="1355" w:type="dxa"/>
            <w:gridSpan w:val="2"/>
            <w:vMerge w:val="continue"/>
            <w:shd w:val="clear" w:color="auto" w:fill="auto"/>
            <w:vAlign w:val="center"/>
          </w:tcPr>
          <w:p w14:paraId="0AE3653C">
            <w:pPr>
              <w:pStyle w:val="103"/>
              <w:shd w:val="clear"/>
              <w:tabs>
                <w:tab w:val="left" w:pos="3360"/>
              </w:tabs>
              <w:spacing w:line="360" w:lineRule="auto"/>
              <w:jc w:val="both"/>
              <w:rPr>
                <w:bCs/>
                <w:color w:val="auto"/>
                <w:highlight w:val="none"/>
              </w:rPr>
            </w:pPr>
          </w:p>
        </w:tc>
        <w:tc>
          <w:tcPr>
            <w:tcW w:w="1333" w:type="dxa"/>
            <w:gridSpan w:val="3"/>
            <w:shd w:val="clear" w:color="auto" w:fill="auto"/>
            <w:vAlign w:val="center"/>
          </w:tcPr>
          <w:p w14:paraId="3B255EBF">
            <w:pPr>
              <w:pStyle w:val="103"/>
              <w:shd w:val="clear"/>
              <w:tabs>
                <w:tab w:val="left" w:pos="3360"/>
              </w:tabs>
              <w:spacing w:line="360" w:lineRule="auto"/>
              <w:jc w:val="both"/>
              <w:rPr>
                <w:bCs/>
                <w:color w:val="auto"/>
                <w:highlight w:val="none"/>
              </w:rPr>
            </w:pPr>
          </w:p>
        </w:tc>
        <w:tc>
          <w:tcPr>
            <w:tcW w:w="1077" w:type="dxa"/>
            <w:shd w:val="clear" w:color="auto" w:fill="auto"/>
            <w:vAlign w:val="center"/>
          </w:tcPr>
          <w:p w14:paraId="55B530F5">
            <w:pPr>
              <w:pStyle w:val="103"/>
              <w:shd w:val="clear"/>
              <w:tabs>
                <w:tab w:val="left" w:pos="3360"/>
              </w:tabs>
              <w:spacing w:line="360" w:lineRule="auto"/>
              <w:jc w:val="both"/>
              <w:rPr>
                <w:bCs/>
                <w:color w:val="auto"/>
                <w:highlight w:val="none"/>
              </w:rPr>
            </w:pPr>
          </w:p>
        </w:tc>
        <w:tc>
          <w:tcPr>
            <w:tcW w:w="1617" w:type="dxa"/>
            <w:gridSpan w:val="2"/>
            <w:shd w:val="clear" w:color="auto" w:fill="auto"/>
            <w:vAlign w:val="center"/>
          </w:tcPr>
          <w:p w14:paraId="0E2C8C12">
            <w:pPr>
              <w:pStyle w:val="103"/>
              <w:shd w:val="clear"/>
              <w:tabs>
                <w:tab w:val="left" w:pos="3360"/>
              </w:tabs>
              <w:spacing w:line="360" w:lineRule="auto"/>
              <w:jc w:val="both"/>
              <w:rPr>
                <w:bCs/>
                <w:color w:val="auto"/>
                <w:highlight w:val="none"/>
              </w:rPr>
            </w:pPr>
          </w:p>
        </w:tc>
        <w:tc>
          <w:tcPr>
            <w:tcW w:w="2551" w:type="dxa"/>
            <w:gridSpan w:val="2"/>
            <w:shd w:val="clear" w:color="auto" w:fill="auto"/>
            <w:vAlign w:val="center"/>
          </w:tcPr>
          <w:p w14:paraId="115F04D3">
            <w:pPr>
              <w:pStyle w:val="103"/>
              <w:shd w:val="clear"/>
              <w:tabs>
                <w:tab w:val="left" w:pos="3360"/>
              </w:tabs>
              <w:spacing w:line="360" w:lineRule="auto"/>
              <w:jc w:val="both"/>
              <w:rPr>
                <w:bCs/>
                <w:color w:val="auto"/>
                <w:highlight w:val="none"/>
              </w:rPr>
            </w:pPr>
          </w:p>
        </w:tc>
      </w:tr>
      <w:tr w14:paraId="7D92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shd w:val="clear" w:color="auto" w:fill="auto"/>
            <w:vAlign w:val="center"/>
          </w:tcPr>
          <w:p w14:paraId="59A2CD96">
            <w:pPr>
              <w:pStyle w:val="103"/>
              <w:shd w:val="clear"/>
              <w:tabs>
                <w:tab w:val="left" w:pos="3360"/>
              </w:tabs>
              <w:spacing w:line="360" w:lineRule="auto"/>
              <w:ind w:left="107"/>
              <w:jc w:val="both"/>
              <w:rPr>
                <w:bCs/>
                <w:color w:val="auto"/>
                <w:spacing w:val="16"/>
                <w:highlight w:val="none"/>
              </w:rPr>
            </w:pPr>
          </w:p>
        </w:tc>
        <w:tc>
          <w:tcPr>
            <w:tcW w:w="1355" w:type="dxa"/>
            <w:gridSpan w:val="2"/>
            <w:shd w:val="clear" w:color="auto" w:fill="auto"/>
            <w:vAlign w:val="center"/>
          </w:tcPr>
          <w:p w14:paraId="37CE35C6">
            <w:pPr>
              <w:pStyle w:val="103"/>
              <w:shd w:val="clear"/>
              <w:tabs>
                <w:tab w:val="left" w:pos="3360"/>
              </w:tabs>
              <w:spacing w:before="0" w:beforeAutospacing="0" w:after="0" w:afterAutospacing="0" w:line="360" w:lineRule="auto"/>
              <w:ind w:right="-184" w:rightChars="-51"/>
              <w:jc w:val="both"/>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shd w:val="clear" w:color="auto" w:fill="auto"/>
            <w:vAlign w:val="center"/>
          </w:tcPr>
          <w:p w14:paraId="63155529">
            <w:pPr>
              <w:pStyle w:val="103"/>
              <w:shd w:val="clear"/>
              <w:tabs>
                <w:tab w:val="left" w:pos="3360"/>
              </w:tabs>
              <w:spacing w:line="360" w:lineRule="auto"/>
              <w:jc w:val="both"/>
              <w:rPr>
                <w:bCs/>
                <w:color w:val="auto"/>
                <w:spacing w:val="16"/>
                <w:highlight w:val="none"/>
              </w:rPr>
            </w:pPr>
          </w:p>
        </w:tc>
      </w:tr>
      <w:tr w14:paraId="1754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shd w:val="clear" w:color="auto" w:fill="auto"/>
            <w:vAlign w:val="center"/>
          </w:tcPr>
          <w:p w14:paraId="70DFDE44">
            <w:pPr>
              <w:pStyle w:val="103"/>
              <w:shd w:val="clear"/>
              <w:tabs>
                <w:tab w:val="left" w:pos="3360"/>
              </w:tabs>
              <w:spacing w:line="360" w:lineRule="auto"/>
              <w:ind w:left="107"/>
              <w:jc w:val="both"/>
              <w:rPr>
                <w:bCs/>
                <w:color w:val="auto"/>
                <w:spacing w:val="27"/>
                <w:highlight w:val="none"/>
              </w:rPr>
            </w:pPr>
          </w:p>
        </w:tc>
        <w:tc>
          <w:tcPr>
            <w:tcW w:w="1355" w:type="dxa"/>
            <w:gridSpan w:val="2"/>
            <w:shd w:val="clear" w:color="auto" w:fill="auto"/>
            <w:vAlign w:val="center"/>
          </w:tcPr>
          <w:p w14:paraId="144F1439">
            <w:pPr>
              <w:pStyle w:val="103"/>
              <w:shd w:val="clear"/>
              <w:tabs>
                <w:tab w:val="left" w:pos="3360"/>
              </w:tabs>
              <w:spacing w:line="360" w:lineRule="auto"/>
              <w:jc w:val="both"/>
              <w:rPr>
                <w:bCs/>
                <w:color w:val="auto"/>
                <w:spacing w:val="16"/>
                <w:highlight w:val="none"/>
              </w:rPr>
            </w:pPr>
            <w:r>
              <w:rPr>
                <w:rFonts w:hint="eastAsia"/>
                <w:bCs/>
                <w:color w:val="auto"/>
                <w:spacing w:val="10"/>
                <w:highlight w:val="none"/>
              </w:rPr>
              <w:t>企业获得专利情况</w:t>
            </w:r>
          </w:p>
        </w:tc>
        <w:tc>
          <w:tcPr>
            <w:tcW w:w="6578" w:type="dxa"/>
            <w:gridSpan w:val="8"/>
            <w:shd w:val="clear" w:color="auto" w:fill="auto"/>
            <w:vAlign w:val="center"/>
          </w:tcPr>
          <w:p w14:paraId="2B672E66">
            <w:pPr>
              <w:pStyle w:val="103"/>
              <w:shd w:val="clear"/>
              <w:tabs>
                <w:tab w:val="left" w:pos="3360"/>
              </w:tabs>
              <w:spacing w:line="360" w:lineRule="auto"/>
              <w:jc w:val="both"/>
              <w:rPr>
                <w:bCs/>
                <w:color w:val="auto"/>
                <w:spacing w:val="16"/>
                <w:highlight w:val="none"/>
              </w:rPr>
            </w:pPr>
          </w:p>
        </w:tc>
      </w:tr>
    </w:tbl>
    <w:p w14:paraId="6941BFEF">
      <w:pPr>
        <w:shd w:val="clear"/>
        <w:tabs>
          <w:tab w:val="left" w:pos="3360"/>
        </w:tabs>
        <w:spacing w:line="360" w:lineRule="auto"/>
        <w:rPr>
          <w:rFonts w:ascii="宋体" w:hAnsi="宋体" w:cs="宋体"/>
          <w:color w:val="auto"/>
          <w:sz w:val="24"/>
          <w:szCs w:val="32"/>
          <w:highlight w:val="none"/>
        </w:rPr>
      </w:pPr>
    </w:p>
    <w:p w14:paraId="07F66C57">
      <w:pPr>
        <w:shd w:val="clear"/>
        <w:tabs>
          <w:tab w:val="left" w:pos="3360"/>
        </w:tabs>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324F3AA0">
      <w:pPr>
        <w:shd w:val="clear"/>
        <w:tabs>
          <w:tab w:val="left" w:pos="3360"/>
        </w:tabs>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2BF2AF45">
      <w:pPr>
        <w:shd w:val="clear"/>
        <w:tabs>
          <w:tab w:val="left" w:pos="3360"/>
        </w:tabs>
        <w:spacing w:line="360" w:lineRule="auto"/>
        <w:rPr>
          <w:rFonts w:ascii="宋体" w:hAnsi="宋体" w:cs="宋体"/>
          <w:color w:val="auto"/>
          <w:sz w:val="24"/>
          <w:szCs w:val="32"/>
          <w:highlight w:val="none"/>
        </w:rPr>
      </w:pPr>
    </w:p>
    <w:p w14:paraId="54CA1F3A">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71B3C02E">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42C83F8">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23E61B72">
      <w:pPr>
        <w:rPr>
          <w:rFonts w:hint="eastAsia" w:hAnsi="宋体" w:eastAsia="宋体" w:cs="宋体"/>
          <w:b/>
          <w:bCs/>
          <w:sz w:val="24"/>
          <w:szCs w:val="24"/>
        </w:rPr>
      </w:pPr>
      <w:r>
        <w:rPr>
          <w:rFonts w:hint="eastAsia" w:hAnsi="宋体" w:eastAsia="宋体" w:cs="宋体"/>
          <w:b/>
          <w:bCs/>
          <w:sz w:val="24"/>
          <w:szCs w:val="24"/>
        </w:rPr>
        <w:br w:type="page"/>
      </w:r>
    </w:p>
    <w:p w14:paraId="762C2800">
      <w:pPr>
        <w:pStyle w:val="14"/>
        <w:adjustRightInd w:val="0"/>
        <w:snapToGrid w:val="0"/>
        <w:spacing w:before="156" w:after="156"/>
        <w:rPr>
          <w:rFonts w:hAnsi="宋体" w:eastAsia="宋体" w:cs="宋体"/>
          <w:b/>
          <w:sz w:val="24"/>
          <w:szCs w:val="24"/>
        </w:rPr>
      </w:pPr>
      <w:r>
        <w:rPr>
          <w:rFonts w:hint="eastAsia" w:hAnsi="宋体" w:eastAsia="宋体" w:cs="宋体"/>
          <w:b/>
          <w:bCs/>
          <w:sz w:val="24"/>
          <w:szCs w:val="24"/>
        </w:rPr>
        <w:t>附件</w:t>
      </w:r>
      <w:r>
        <w:rPr>
          <w:rFonts w:hint="eastAsia" w:hAnsi="宋体" w:eastAsia="宋体" w:cs="宋体"/>
          <w:b/>
          <w:bCs/>
          <w:sz w:val="24"/>
          <w:szCs w:val="24"/>
          <w:lang w:val="en-US" w:eastAsia="zh-CN"/>
        </w:rPr>
        <w:t>八</w:t>
      </w:r>
      <w:r>
        <w:rPr>
          <w:rFonts w:hint="eastAsia" w:hAnsi="宋体" w:eastAsia="宋体" w:cs="宋体"/>
          <w:b/>
          <w:bCs/>
          <w:sz w:val="24"/>
          <w:szCs w:val="24"/>
        </w:rPr>
        <w:t>：</w:t>
      </w:r>
    </w:p>
    <w:p w14:paraId="3C305C98">
      <w:pPr>
        <w:shd w:val="clear"/>
        <w:tabs>
          <w:tab w:val="left" w:pos="3360"/>
        </w:tabs>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14:paraId="597507A8">
      <w:pPr>
        <w:shd w:val="clear"/>
        <w:tabs>
          <w:tab w:val="left" w:pos="3360"/>
        </w:tabs>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50EA1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449D2E74">
            <w:pPr>
              <w:shd w:val="clear"/>
              <w:tabs>
                <w:tab w:val="left" w:pos="3360"/>
              </w:tabs>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0A420C93">
            <w:pPr>
              <w:shd w:val="clear"/>
              <w:tabs>
                <w:tab w:val="left" w:pos="3360"/>
              </w:tabs>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7124AC4">
            <w:pPr>
              <w:shd w:val="clear"/>
              <w:tabs>
                <w:tab w:val="left" w:pos="3360"/>
              </w:tabs>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2D5B90C7">
            <w:pPr>
              <w:shd w:val="clear"/>
              <w:tabs>
                <w:tab w:val="left" w:pos="3360"/>
              </w:tabs>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1BEA6023">
            <w:pPr>
              <w:shd w:val="clear"/>
              <w:tabs>
                <w:tab w:val="left" w:pos="3360"/>
              </w:tabs>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5CB69AAD">
            <w:pPr>
              <w:shd w:val="clear"/>
              <w:tabs>
                <w:tab w:val="left" w:pos="3360"/>
              </w:tabs>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7B00E845">
            <w:pPr>
              <w:shd w:val="clear"/>
              <w:tabs>
                <w:tab w:val="left" w:pos="3360"/>
              </w:tabs>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16CD6997">
            <w:pPr>
              <w:shd w:val="clear"/>
              <w:tabs>
                <w:tab w:val="left" w:pos="3360"/>
              </w:tabs>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02CCD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DCB3E34">
            <w:pPr>
              <w:shd w:val="clear"/>
              <w:tabs>
                <w:tab w:val="left" w:pos="3360"/>
              </w:tabs>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65E5F05">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A17B0A6">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6414672">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2CD3D40">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39F95BC">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ACBF316">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B14C688">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r>
      <w:tr w14:paraId="54AF8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6589204">
            <w:pPr>
              <w:shd w:val="clear"/>
              <w:tabs>
                <w:tab w:val="left" w:pos="3360"/>
              </w:tabs>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91EFE41">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575E450">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E6155EB">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59EC7953">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A3050EA">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C287E33">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C40B67D">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r>
      <w:tr w14:paraId="5E432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FA9ABE8">
            <w:pPr>
              <w:shd w:val="clear"/>
              <w:tabs>
                <w:tab w:val="left" w:pos="3360"/>
              </w:tabs>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837E921">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CCAD0FA">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9B1CDD6">
            <w:pPr>
              <w:pStyle w:val="15"/>
              <w:shd w:val="clear"/>
              <w:tabs>
                <w:tab w:val="left" w:pos="3360"/>
              </w:tabs>
              <w:snapToGrid w:val="0"/>
              <w:spacing w:before="158"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B3669DC">
            <w:pPr>
              <w:pStyle w:val="15"/>
              <w:shd w:val="clear"/>
              <w:tabs>
                <w:tab w:val="left" w:pos="3360"/>
              </w:tabs>
              <w:snapToGrid w:val="0"/>
              <w:spacing w:before="158"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C55C011">
            <w:pPr>
              <w:pStyle w:val="15"/>
              <w:shd w:val="clear"/>
              <w:tabs>
                <w:tab w:val="left" w:pos="3360"/>
              </w:tabs>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17801C62">
            <w:pPr>
              <w:shd w:val="clear"/>
              <w:tabs>
                <w:tab w:val="left" w:pos="3360"/>
              </w:tabs>
              <w:snapToGrid w:val="0"/>
              <w:spacing w:before="158"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9124BC7">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r>
      <w:tr w14:paraId="54EB8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2B2A105">
            <w:pPr>
              <w:shd w:val="clear"/>
              <w:tabs>
                <w:tab w:val="left" w:pos="3360"/>
              </w:tabs>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8B8AC61">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207DE8E">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C8F8DFB">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0477694">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0FE25A5">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8484920">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B56F9CB">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r>
      <w:tr w14:paraId="3BB3A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2EBB03B">
            <w:pPr>
              <w:shd w:val="clear"/>
              <w:tabs>
                <w:tab w:val="left" w:pos="3360"/>
              </w:tabs>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6CB9067">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4A847C1">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9A5DC2D">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88E8436">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F655DE8">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A1AF817">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440C691">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r>
      <w:tr w14:paraId="7444F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89428F1">
            <w:pPr>
              <w:shd w:val="clear"/>
              <w:tabs>
                <w:tab w:val="left" w:pos="3360"/>
              </w:tabs>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B4F1F9E">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E511934">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635BC96">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C7414EA">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324FA41">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55C3F61">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B67E92A">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r>
      <w:tr w14:paraId="512EF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AB59242">
            <w:pPr>
              <w:shd w:val="clear"/>
              <w:tabs>
                <w:tab w:val="left" w:pos="3360"/>
              </w:tabs>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076FEEE">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BD27BF0">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F002D85">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024DFBC">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7FD39C0">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8EF5AED">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CF8D6C1">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r>
      <w:tr w14:paraId="014A6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EF5C008">
            <w:pPr>
              <w:shd w:val="clear"/>
              <w:tabs>
                <w:tab w:val="left" w:pos="3360"/>
              </w:tabs>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74F1209">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6024DB8">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9B55E64">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53A77D7C">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038DBFF">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AF82C9E">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297E079">
            <w:pPr>
              <w:shd w:val="clear"/>
              <w:tabs>
                <w:tab w:val="left" w:pos="3360"/>
              </w:tabs>
              <w:snapToGrid w:val="0"/>
              <w:spacing w:before="158" w:beforeLines="50" w:after="50" w:line="360" w:lineRule="auto"/>
              <w:rPr>
                <w:rFonts w:ascii="宋体" w:hAnsi="宋体" w:cs="宋体"/>
                <w:b/>
                <w:color w:val="auto"/>
                <w:kern w:val="44"/>
                <w:sz w:val="24"/>
                <w:szCs w:val="20"/>
                <w:highlight w:val="none"/>
              </w:rPr>
            </w:pPr>
          </w:p>
        </w:tc>
      </w:tr>
    </w:tbl>
    <w:p w14:paraId="4EBB3B4B">
      <w:pPr>
        <w:shd w:val="clear"/>
        <w:tabs>
          <w:tab w:val="left" w:pos="3360"/>
        </w:tabs>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30EC5F4D">
      <w:pPr>
        <w:shd w:val="clear"/>
        <w:tabs>
          <w:tab w:val="left" w:pos="3360"/>
        </w:tabs>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1.在填写时，如本表格不适合供应商的实际情况，可根据本表格式自行划表填写。</w:t>
      </w:r>
    </w:p>
    <w:p w14:paraId="3D892F8E">
      <w:pPr>
        <w:shd w:val="clear"/>
        <w:tabs>
          <w:tab w:val="left" w:pos="3360"/>
        </w:tabs>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7805E00D">
      <w:pPr>
        <w:shd w:val="clear"/>
        <w:tabs>
          <w:tab w:val="left" w:pos="3360"/>
        </w:tabs>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3.出具上述人员在本单位服务的外部证明，如：投标截止日之前的代缴个税税单、参加社会保险的《投保单》或《社会保险参保人员证明》等。</w:t>
      </w:r>
    </w:p>
    <w:p w14:paraId="08A0444C">
      <w:pPr>
        <w:shd w:val="clear"/>
        <w:tabs>
          <w:tab w:val="left" w:pos="3360"/>
        </w:tabs>
        <w:spacing w:line="360" w:lineRule="auto"/>
        <w:rPr>
          <w:rFonts w:ascii="宋体" w:hAnsi="宋体" w:cs="宋体"/>
          <w:color w:val="auto"/>
          <w:sz w:val="24"/>
          <w:szCs w:val="32"/>
          <w:highlight w:val="none"/>
        </w:rPr>
      </w:pPr>
    </w:p>
    <w:p w14:paraId="6241F135">
      <w:pPr>
        <w:shd w:val="clear"/>
        <w:tabs>
          <w:tab w:val="left" w:pos="3360"/>
        </w:tabs>
        <w:spacing w:line="36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426B5C56">
      <w:pPr>
        <w:shd w:val="clear"/>
        <w:tabs>
          <w:tab w:val="left" w:pos="3360"/>
        </w:tabs>
        <w:spacing w:line="36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2E9A7E5">
      <w:pPr>
        <w:shd w:val="clear"/>
        <w:tabs>
          <w:tab w:val="left" w:pos="3360"/>
        </w:tabs>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BD1C5CA">
      <w:pPr>
        <w:pStyle w:val="55"/>
        <w:spacing w:line="360" w:lineRule="auto"/>
        <w:rPr>
          <w:rFonts w:ascii="宋体" w:hAnsi="宋体" w:cs="宋体"/>
          <w:b/>
          <w:sz w:val="24"/>
        </w:rPr>
      </w:pPr>
      <w:r>
        <w:rPr>
          <w:rFonts w:hint="eastAsia" w:ascii="宋体" w:hAnsi="宋体" w:cs="宋体"/>
          <w:b/>
          <w:bCs/>
          <w:sz w:val="24"/>
        </w:rPr>
        <w:t>附件</w:t>
      </w:r>
      <w:r>
        <w:rPr>
          <w:rFonts w:hint="eastAsia" w:ascii="宋体" w:hAnsi="宋体" w:cs="宋体"/>
          <w:b/>
          <w:bCs/>
          <w:sz w:val="24"/>
          <w:lang w:val="en-US" w:eastAsia="zh-CN"/>
        </w:rPr>
        <w:t>九</w:t>
      </w:r>
      <w:r>
        <w:rPr>
          <w:rFonts w:hint="eastAsia" w:ascii="宋体" w:hAnsi="宋体" w:cs="宋体"/>
          <w:b/>
          <w:bCs/>
          <w:sz w:val="24"/>
        </w:rPr>
        <w:t>：</w:t>
      </w:r>
    </w:p>
    <w:p w14:paraId="510F49E5">
      <w:pPr>
        <w:shd w:val="clear"/>
        <w:tabs>
          <w:tab w:val="left" w:pos="3360"/>
        </w:tabs>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14:paraId="7C549CC8">
      <w:pPr>
        <w:shd w:val="clear"/>
        <w:tabs>
          <w:tab w:val="left" w:pos="3360"/>
        </w:tabs>
        <w:spacing w:line="360" w:lineRule="auto"/>
        <w:jc w:val="left"/>
        <w:rPr>
          <w:rFonts w:ascii="宋体" w:hAnsi="宋体" w:cs="宋体"/>
          <w:b/>
          <w:bCs/>
          <w:color w:val="auto"/>
          <w:sz w:val="24"/>
          <w:szCs w:val="32"/>
          <w:highlight w:val="none"/>
          <w:lang w:val="zh-CN"/>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218D1D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04A5CB14">
            <w:pPr>
              <w:pStyle w:val="104"/>
              <w:shd w:val="clear"/>
              <w:tabs>
                <w:tab w:val="left" w:pos="3360"/>
              </w:tabs>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23B3E62B">
            <w:pPr>
              <w:pStyle w:val="104"/>
              <w:shd w:val="clear"/>
              <w:tabs>
                <w:tab w:val="left" w:pos="3360"/>
              </w:tabs>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5FED2B05">
            <w:pPr>
              <w:pStyle w:val="104"/>
              <w:shd w:val="clear"/>
              <w:tabs>
                <w:tab w:val="left" w:pos="3360"/>
              </w:tabs>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3610F91F">
            <w:pPr>
              <w:pStyle w:val="104"/>
              <w:shd w:val="clear"/>
              <w:tabs>
                <w:tab w:val="left" w:pos="3360"/>
              </w:tabs>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14:paraId="6F341D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59A87D9">
            <w:pPr>
              <w:pStyle w:val="104"/>
              <w:shd w:val="clear"/>
              <w:tabs>
                <w:tab w:val="left" w:pos="3360"/>
              </w:tabs>
              <w:spacing w:line="360" w:lineRule="auto"/>
              <w:jc w:val="center"/>
              <w:rPr>
                <w:rFonts w:ascii="宋体" w:hAnsi="宋体" w:cs="宋体"/>
                <w:color w:val="auto"/>
                <w:szCs w:val="21"/>
                <w:highlight w:val="none"/>
              </w:rPr>
            </w:pPr>
          </w:p>
        </w:tc>
        <w:tc>
          <w:tcPr>
            <w:tcW w:w="2258" w:type="dxa"/>
          </w:tcPr>
          <w:p w14:paraId="2FF6DD06">
            <w:pPr>
              <w:pStyle w:val="104"/>
              <w:shd w:val="clear"/>
              <w:tabs>
                <w:tab w:val="left" w:pos="3360"/>
              </w:tabs>
              <w:spacing w:line="360" w:lineRule="auto"/>
              <w:jc w:val="center"/>
              <w:rPr>
                <w:rFonts w:ascii="宋体" w:hAnsi="宋体" w:cs="宋体"/>
                <w:color w:val="auto"/>
                <w:szCs w:val="21"/>
                <w:highlight w:val="none"/>
              </w:rPr>
            </w:pPr>
          </w:p>
        </w:tc>
        <w:tc>
          <w:tcPr>
            <w:tcW w:w="2260" w:type="dxa"/>
          </w:tcPr>
          <w:p w14:paraId="5124EA91">
            <w:pPr>
              <w:pStyle w:val="104"/>
              <w:shd w:val="clear"/>
              <w:tabs>
                <w:tab w:val="left" w:pos="3360"/>
              </w:tabs>
              <w:spacing w:line="360" w:lineRule="auto"/>
              <w:jc w:val="center"/>
              <w:rPr>
                <w:rFonts w:ascii="宋体" w:hAnsi="宋体" w:cs="宋体"/>
                <w:color w:val="auto"/>
                <w:szCs w:val="21"/>
                <w:highlight w:val="none"/>
              </w:rPr>
            </w:pPr>
          </w:p>
        </w:tc>
        <w:tc>
          <w:tcPr>
            <w:tcW w:w="2047" w:type="dxa"/>
            <w:tcBorders>
              <w:right w:val="single" w:color="auto" w:sz="4" w:space="0"/>
            </w:tcBorders>
          </w:tcPr>
          <w:p w14:paraId="7D114FBD">
            <w:pPr>
              <w:pStyle w:val="104"/>
              <w:shd w:val="clear"/>
              <w:tabs>
                <w:tab w:val="left" w:pos="3360"/>
              </w:tabs>
              <w:spacing w:line="360" w:lineRule="auto"/>
              <w:jc w:val="center"/>
              <w:rPr>
                <w:rFonts w:ascii="宋体" w:hAnsi="宋体" w:cs="宋体"/>
                <w:color w:val="auto"/>
                <w:szCs w:val="21"/>
                <w:highlight w:val="none"/>
              </w:rPr>
            </w:pPr>
          </w:p>
        </w:tc>
      </w:tr>
      <w:tr w14:paraId="0F8A84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435CDF7">
            <w:pPr>
              <w:pStyle w:val="104"/>
              <w:shd w:val="clear"/>
              <w:tabs>
                <w:tab w:val="left" w:pos="3360"/>
              </w:tabs>
              <w:spacing w:line="360" w:lineRule="auto"/>
              <w:jc w:val="center"/>
              <w:rPr>
                <w:rFonts w:ascii="宋体" w:hAnsi="宋体" w:cs="宋体"/>
                <w:color w:val="auto"/>
                <w:szCs w:val="21"/>
                <w:highlight w:val="none"/>
              </w:rPr>
            </w:pPr>
          </w:p>
        </w:tc>
        <w:tc>
          <w:tcPr>
            <w:tcW w:w="2258" w:type="dxa"/>
          </w:tcPr>
          <w:p w14:paraId="3FEF4935">
            <w:pPr>
              <w:pStyle w:val="104"/>
              <w:shd w:val="clear"/>
              <w:tabs>
                <w:tab w:val="left" w:pos="3360"/>
              </w:tabs>
              <w:spacing w:line="360" w:lineRule="auto"/>
              <w:jc w:val="center"/>
              <w:rPr>
                <w:rFonts w:ascii="宋体" w:hAnsi="宋体" w:cs="宋体"/>
                <w:color w:val="auto"/>
                <w:szCs w:val="21"/>
                <w:highlight w:val="none"/>
              </w:rPr>
            </w:pPr>
          </w:p>
        </w:tc>
        <w:tc>
          <w:tcPr>
            <w:tcW w:w="2260" w:type="dxa"/>
          </w:tcPr>
          <w:p w14:paraId="134A20B5">
            <w:pPr>
              <w:pStyle w:val="104"/>
              <w:shd w:val="clear"/>
              <w:tabs>
                <w:tab w:val="left" w:pos="3360"/>
              </w:tabs>
              <w:spacing w:line="360" w:lineRule="auto"/>
              <w:jc w:val="center"/>
              <w:rPr>
                <w:rFonts w:ascii="宋体" w:hAnsi="宋体" w:cs="宋体"/>
                <w:color w:val="auto"/>
                <w:szCs w:val="21"/>
                <w:highlight w:val="none"/>
              </w:rPr>
            </w:pPr>
          </w:p>
        </w:tc>
        <w:tc>
          <w:tcPr>
            <w:tcW w:w="2047" w:type="dxa"/>
            <w:tcBorders>
              <w:right w:val="single" w:color="auto" w:sz="4" w:space="0"/>
            </w:tcBorders>
          </w:tcPr>
          <w:p w14:paraId="53A6A41A">
            <w:pPr>
              <w:pStyle w:val="104"/>
              <w:shd w:val="clear"/>
              <w:tabs>
                <w:tab w:val="left" w:pos="3360"/>
              </w:tabs>
              <w:spacing w:line="360" w:lineRule="auto"/>
              <w:jc w:val="center"/>
              <w:rPr>
                <w:rFonts w:ascii="宋体" w:hAnsi="宋体" w:cs="宋体"/>
                <w:color w:val="auto"/>
                <w:szCs w:val="21"/>
                <w:highlight w:val="none"/>
              </w:rPr>
            </w:pPr>
          </w:p>
        </w:tc>
      </w:tr>
      <w:tr w14:paraId="6E771D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434DC34">
            <w:pPr>
              <w:pStyle w:val="104"/>
              <w:shd w:val="clear"/>
              <w:tabs>
                <w:tab w:val="left" w:pos="3360"/>
              </w:tabs>
              <w:spacing w:line="360" w:lineRule="auto"/>
              <w:jc w:val="center"/>
              <w:rPr>
                <w:rFonts w:ascii="宋体" w:hAnsi="宋体" w:cs="宋体"/>
                <w:color w:val="auto"/>
                <w:szCs w:val="21"/>
                <w:highlight w:val="none"/>
              </w:rPr>
            </w:pPr>
          </w:p>
        </w:tc>
        <w:tc>
          <w:tcPr>
            <w:tcW w:w="2258" w:type="dxa"/>
          </w:tcPr>
          <w:p w14:paraId="0B9AB14E">
            <w:pPr>
              <w:pStyle w:val="104"/>
              <w:shd w:val="clear"/>
              <w:tabs>
                <w:tab w:val="left" w:pos="3360"/>
              </w:tabs>
              <w:spacing w:line="360" w:lineRule="auto"/>
              <w:jc w:val="center"/>
              <w:rPr>
                <w:rFonts w:ascii="宋体" w:hAnsi="宋体" w:cs="宋体"/>
                <w:color w:val="auto"/>
                <w:szCs w:val="21"/>
                <w:highlight w:val="none"/>
              </w:rPr>
            </w:pPr>
          </w:p>
        </w:tc>
        <w:tc>
          <w:tcPr>
            <w:tcW w:w="2260" w:type="dxa"/>
          </w:tcPr>
          <w:p w14:paraId="1C5FCD16">
            <w:pPr>
              <w:pStyle w:val="104"/>
              <w:shd w:val="clear"/>
              <w:tabs>
                <w:tab w:val="left" w:pos="3360"/>
              </w:tabs>
              <w:spacing w:line="360" w:lineRule="auto"/>
              <w:jc w:val="center"/>
              <w:rPr>
                <w:rFonts w:ascii="宋体" w:hAnsi="宋体" w:cs="宋体"/>
                <w:color w:val="auto"/>
                <w:szCs w:val="21"/>
                <w:highlight w:val="none"/>
              </w:rPr>
            </w:pPr>
          </w:p>
        </w:tc>
        <w:tc>
          <w:tcPr>
            <w:tcW w:w="2047" w:type="dxa"/>
            <w:tcBorders>
              <w:right w:val="single" w:color="auto" w:sz="4" w:space="0"/>
            </w:tcBorders>
          </w:tcPr>
          <w:p w14:paraId="27026B5D">
            <w:pPr>
              <w:pStyle w:val="104"/>
              <w:shd w:val="clear"/>
              <w:tabs>
                <w:tab w:val="left" w:pos="3360"/>
              </w:tabs>
              <w:spacing w:line="360" w:lineRule="auto"/>
              <w:jc w:val="center"/>
              <w:rPr>
                <w:rFonts w:ascii="宋体" w:hAnsi="宋体" w:cs="宋体"/>
                <w:color w:val="auto"/>
                <w:szCs w:val="21"/>
                <w:highlight w:val="none"/>
              </w:rPr>
            </w:pPr>
          </w:p>
        </w:tc>
      </w:tr>
      <w:tr w14:paraId="032C4A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EFBE9AF">
            <w:pPr>
              <w:pStyle w:val="104"/>
              <w:shd w:val="clear"/>
              <w:tabs>
                <w:tab w:val="left" w:pos="3360"/>
              </w:tabs>
              <w:spacing w:line="360" w:lineRule="auto"/>
              <w:jc w:val="center"/>
              <w:rPr>
                <w:rFonts w:ascii="宋体" w:hAnsi="宋体" w:cs="宋体"/>
                <w:color w:val="auto"/>
                <w:szCs w:val="21"/>
                <w:highlight w:val="none"/>
              </w:rPr>
            </w:pPr>
          </w:p>
        </w:tc>
        <w:tc>
          <w:tcPr>
            <w:tcW w:w="2258" w:type="dxa"/>
          </w:tcPr>
          <w:p w14:paraId="2E6D2BBC">
            <w:pPr>
              <w:pStyle w:val="104"/>
              <w:shd w:val="clear"/>
              <w:tabs>
                <w:tab w:val="left" w:pos="3360"/>
              </w:tabs>
              <w:spacing w:line="360" w:lineRule="auto"/>
              <w:jc w:val="center"/>
              <w:rPr>
                <w:rFonts w:ascii="宋体" w:hAnsi="宋体" w:cs="宋体"/>
                <w:color w:val="auto"/>
                <w:szCs w:val="21"/>
                <w:highlight w:val="none"/>
              </w:rPr>
            </w:pPr>
          </w:p>
        </w:tc>
        <w:tc>
          <w:tcPr>
            <w:tcW w:w="2260" w:type="dxa"/>
          </w:tcPr>
          <w:p w14:paraId="5CE9791C">
            <w:pPr>
              <w:pStyle w:val="104"/>
              <w:shd w:val="clear"/>
              <w:tabs>
                <w:tab w:val="left" w:pos="3360"/>
              </w:tabs>
              <w:spacing w:line="360" w:lineRule="auto"/>
              <w:jc w:val="center"/>
              <w:rPr>
                <w:rFonts w:ascii="宋体" w:hAnsi="宋体" w:cs="宋体"/>
                <w:color w:val="auto"/>
                <w:szCs w:val="21"/>
                <w:highlight w:val="none"/>
              </w:rPr>
            </w:pPr>
          </w:p>
        </w:tc>
        <w:tc>
          <w:tcPr>
            <w:tcW w:w="2047" w:type="dxa"/>
            <w:tcBorders>
              <w:right w:val="single" w:color="auto" w:sz="4" w:space="0"/>
            </w:tcBorders>
          </w:tcPr>
          <w:p w14:paraId="25B39C27">
            <w:pPr>
              <w:pStyle w:val="104"/>
              <w:shd w:val="clear"/>
              <w:tabs>
                <w:tab w:val="left" w:pos="3360"/>
              </w:tabs>
              <w:spacing w:line="360" w:lineRule="auto"/>
              <w:jc w:val="center"/>
              <w:rPr>
                <w:rFonts w:ascii="宋体" w:hAnsi="宋体" w:cs="宋体"/>
                <w:color w:val="auto"/>
                <w:szCs w:val="21"/>
                <w:highlight w:val="none"/>
              </w:rPr>
            </w:pPr>
          </w:p>
        </w:tc>
      </w:tr>
      <w:tr w14:paraId="774168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89C7C00">
            <w:pPr>
              <w:pStyle w:val="104"/>
              <w:shd w:val="clear"/>
              <w:tabs>
                <w:tab w:val="left" w:pos="3360"/>
              </w:tabs>
              <w:spacing w:line="360" w:lineRule="auto"/>
              <w:jc w:val="center"/>
              <w:rPr>
                <w:rFonts w:ascii="宋体" w:hAnsi="宋体" w:cs="宋体"/>
                <w:color w:val="auto"/>
                <w:szCs w:val="21"/>
                <w:highlight w:val="none"/>
              </w:rPr>
            </w:pPr>
          </w:p>
        </w:tc>
        <w:tc>
          <w:tcPr>
            <w:tcW w:w="2258" w:type="dxa"/>
          </w:tcPr>
          <w:p w14:paraId="323FC0C3">
            <w:pPr>
              <w:pStyle w:val="104"/>
              <w:shd w:val="clear"/>
              <w:tabs>
                <w:tab w:val="left" w:pos="3360"/>
              </w:tabs>
              <w:spacing w:line="360" w:lineRule="auto"/>
              <w:jc w:val="center"/>
              <w:rPr>
                <w:rFonts w:ascii="宋体" w:hAnsi="宋体" w:cs="宋体"/>
                <w:color w:val="auto"/>
                <w:szCs w:val="21"/>
                <w:highlight w:val="none"/>
              </w:rPr>
            </w:pPr>
          </w:p>
        </w:tc>
        <w:tc>
          <w:tcPr>
            <w:tcW w:w="2260" w:type="dxa"/>
          </w:tcPr>
          <w:p w14:paraId="1A419986">
            <w:pPr>
              <w:pStyle w:val="104"/>
              <w:shd w:val="clear"/>
              <w:tabs>
                <w:tab w:val="left" w:pos="3360"/>
              </w:tabs>
              <w:spacing w:line="360" w:lineRule="auto"/>
              <w:jc w:val="center"/>
              <w:rPr>
                <w:rFonts w:ascii="宋体" w:hAnsi="宋体" w:cs="宋体"/>
                <w:color w:val="auto"/>
                <w:szCs w:val="21"/>
                <w:highlight w:val="none"/>
              </w:rPr>
            </w:pPr>
          </w:p>
        </w:tc>
        <w:tc>
          <w:tcPr>
            <w:tcW w:w="2047" w:type="dxa"/>
            <w:tcBorders>
              <w:right w:val="single" w:color="auto" w:sz="4" w:space="0"/>
            </w:tcBorders>
          </w:tcPr>
          <w:p w14:paraId="74DB081C">
            <w:pPr>
              <w:pStyle w:val="104"/>
              <w:shd w:val="clear"/>
              <w:tabs>
                <w:tab w:val="left" w:pos="3360"/>
              </w:tabs>
              <w:spacing w:line="360" w:lineRule="auto"/>
              <w:jc w:val="center"/>
              <w:rPr>
                <w:rFonts w:ascii="宋体" w:hAnsi="宋体" w:cs="宋体"/>
                <w:color w:val="auto"/>
                <w:szCs w:val="21"/>
                <w:highlight w:val="none"/>
              </w:rPr>
            </w:pPr>
          </w:p>
        </w:tc>
      </w:tr>
      <w:tr w14:paraId="1F8412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22246DE">
            <w:pPr>
              <w:pStyle w:val="104"/>
              <w:shd w:val="clear"/>
              <w:tabs>
                <w:tab w:val="left" w:pos="3360"/>
              </w:tabs>
              <w:spacing w:line="360" w:lineRule="auto"/>
              <w:jc w:val="center"/>
              <w:rPr>
                <w:rFonts w:ascii="宋体" w:hAnsi="宋体" w:cs="宋体"/>
                <w:color w:val="auto"/>
                <w:szCs w:val="21"/>
                <w:highlight w:val="none"/>
              </w:rPr>
            </w:pPr>
          </w:p>
        </w:tc>
        <w:tc>
          <w:tcPr>
            <w:tcW w:w="2258" w:type="dxa"/>
          </w:tcPr>
          <w:p w14:paraId="50ADA6F9">
            <w:pPr>
              <w:pStyle w:val="104"/>
              <w:shd w:val="clear"/>
              <w:tabs>
                <w:tab w:val="left" w:pos="3360"/>
              </w:tabs>
              <w:spacing w:line="360" w:lineRule="auto"/>
              <w:jc w:val="center"/>
              <w:rPr>
                <w:rFonts w:ascii="宋体" w:hAnsi="宋体" w:cs="宋体"/>
                <w:color w:val="auto"/>
                <w:szCs w:val="21"/>
                <w:highlight w:val="none"/>
              </w:rPr>
            </w:pPr>
          </w:p>
        </w:tc>
        <w:tc>
          <w:tcPr>
            <w:tcW w:w="2260" w:type="dxa"/>
          </w:tcPr>
          <w:p w14:paraId="7F02E7B6">
            <w:pPr>
              <w:pStyle w:val="104"/>
              <w:shd w:val="clear"/>
              <w:tabs>
                <w:tab w:val="left" w:pos="3360"/>
              </w:tabs>
              <w:spacing w:line="360" w:lineRule="auto"/>
              <w:jc w:val="center"/>
              <w:rPr>
                <w:rFonts w:ascii="宋体" w:hAnsi="宋体" w:cs="宋体"/>
                <w:color w:val="auto"/>
                <w:szCs w:val="21"/>
                <w:highlight w:val="none"/>
              </w:rPr>
            </w:pPr>
          </w:p>
        </w:tc>
        <w:tc>
          <w:tcPr>
            <w:tcW w:w="2047" w:type="dxa"/>
            <w:tcBorders>
              <w:right w:val="single" w:color="auto" w:sz="4" w:space="0"/>
            </w:tcBorders>
          </w:tcPr>
          <w:p w14:paraId="6F149349">
            <w:pPr>
              <w:pStyle w:val="104"/>
              <w:shd w:val="clear"/>
              <w:tabs>
                <w:tab w:val="left" w:pos="3360"/>
              </w:tabs>
              <w:spacing w:line="360" w:lineRule="auto"/>
              <w:jc w:val="center"/>
              <w:rPr>
                <w:rFonts w:ascii="宋体" w:hAnsi="宋体" w:cs="宋体"/>
                <w:color w:val="auto"/>
                <w:szCs w:val="21"/>
                <w:highlight w:val="none"/>
              </w:rPr>
            </w:pPr>
          </w:p>
        </w:tc>
      </w:tr>
      <w:tr w14:paraId="7517F3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69605739">
            <w:pPr>
              <w:pStyle w:val="104"/>
              <w:shd w:val="clear"/>
              <w:tabs>
                <w:tab w:val="left" w:pos="3360"/>
              </w:tabs>
              <w:spacing w:line="360" w:lineRule="auto"/>
              <w:jc w:val="center"/>
              <w:rPr>
                <w:rFonts w:ascii="宋体" w:hAnsi="宋体" w:cs="宋体"/>
                <w:color w:val="auto"/>
                <w:szCs w:val="21"/>
                <w:highlight w:val="none"/>
              </w:rPr>
            </w:pPr>
          </w:p>
        </w:tc>
        <w:tc>
          <w:tcPr>
            <w:tcW w:w="2258" w:type="dxa"/>
            <w:tcBorders>
              <w:bottom w:val="double" w:color="auto" w:sz="4" w:space="0"/>
            </w:tcBorders>
          </w:tcPr>
          <w:p w14:paraId="649DFA54">
            <w:pPr>
              <w:pStyle w:val="104"/>
              <w:shd w:val="clear"/>
              <w:tabs>
                <w:tab w:val="left" w:pos="3360"/>
              </w:tabs>
              <w:spacing w:line="360" w:lineRule="auto"/>
              <w:jc w:val="center"/>
              <w:rPr>
                <w:rFonts w:ascii="宋体" w:hAnsi="宋体" w:cs="宋体"/>
                <w:color w:val="auto"/>
                <w:szCs w:val="21"/>
                <w:highlight w:val="none"/>
              </w:rPr>
            </w:pPr>
          </w:p>
        </w:tc>
        <w:tc>
          <w:tcPr>
            <w:tcW w:w="2260" w:type="dxa"/>
            <w:tcBorders>
              <w:bottom w:val="double" w:color="auto" w:sz="4" w:space="0"/>
            </w:tcBorders>
          </w:tcPr>
          <w:p w14:paraId="4D73845B">
            <w:pPr>
              <w:pStyle w:val="104"/>
              <w:shd w:val="clear"/>
              <w:tabs>
                <w:tab w:val="left" w:pos="3360"/>
              </w:tabs>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14:paraId="6B51EFBE">
            <w:pPr>
              <w:pStyle w:val="104"/>
              <w:shd w:val="clear"/>
              <w:tabs>
                <w:tab w:val="left" w:pos="3360"/>
              </w:tabs>
              <w:spacing w:line="360" w:lineRule="auto"/>
              <w:jc w:val="center"/>
              <w:rPr>
                <w:rFonts w:ascii="宋体" w:hAnsi="宋体" w:cs="宋体"/>
                <w:color w:val="auto"/>
                <w:szCs w:val="21"/>
                <w:highlight w:val="none"/>
              </w:rPr>
            </w:pPr>
          </w:p>
        </w:tc>
      </w:tr>
    </w:tbl>
    <w:p w14:paraId="106E1350">
      <w:pPr>
        <w:shd w:val="clear"/>
        <w:tabs>
          <w:tab w:val="left" w:pos="3360"/>
        </w:tabs>
        <w:spacing w:line="360" w:lineRule="auto"/>
        <w:jc w:val="left"/>
        <w:rPr>
          <w:rFonts w:ascii="宋体" w:hAnsi="宋体" w:cs="宋体"/>
          <w:b/>
          <w:bCs/>
          <w:color w:val="auto"/>
          <w:sz w:val="24"/>
          <w:szCs w:val="32"/>
          <w:highlight w:val="none"/>
          <w:lang w:val="zh-CN"/>
        </w:rPr>
      </w:pPr>
    </w:p>
    <w:p w14:paraId="6C724345">
      <w:pPr>
        <w:shd w:val="clear"/>
        <w:tabs>
          <w:tab w:val="left" w:pos="3360"/>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333458FA">
      <w:pPr>
        <w:shd w:val="clear"/>
        <w:tabs>
          <w:tab w:val="left" w:pos="336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1.填写供应商获得资质、认证或企业信誉证书；</w:t>
      </w:r>
    </w:p>
    <w:p w14:paraId="52B475C0">
      <w:pPr>
        <w:shd w:val="clear"/>
        <w:tabs>
          <w:tab w:val="left" w:pos="336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5052C8A4">
      <w:pPr>
        <w:shd w:val="clear"/>
        <w:tabs>
          <w:tab w:val="left" w:pos="3360"/>
        </w:tabs>
        <w:spacing w:line="360" w:lineRule="auto"/>
        <w:jc w:val="left"/>
        <w:rPr>
          <w:rFonts w:ascii="宋体" w:hAnsi="宋体" w:cs="宋体"/>
          <w:b/>
          <w:bCs/>
          <w:color w:val="auto"/>
          <w:sz w:val="24"/>
          <w:szCs w:val="32"/>
          <w:highlight w:val="none"/>
          <w:lang w:val="zh-CN"/>
        </w:rPr>
      </w:pPr>
    </w:p>
    <w:p w14:paraId="778615B2">
      <w:pPr>
        <w:shd w:val="clear"/>
        <w:tabs>
          <w:tab w:val="left" w:pos="3360"/>
        </w:tabs>
        <w:spacing w:line="360" w:lineRule="auto"/>
        <w:jc w:val="left"/>
        <w:rPr>
          <w:rFonts w:ascii="宋体" w:hAnsi="宋体" w:cs="宋体"/>
          <w:b/>
          <w:bCs/>
          <w:color w:val="auto"/>
          <w:sz w:val="24"/>
          <w:szCs w:val="32"/>
          <w:highlight w:val="none"/>
          <w:lang w:val="zh-CN"/>
        </w:rPr>
      </w:pPr>
    </w:p>
    <w:p w14:paraId="3F29E646">
      <w:pPr>
        <w:shd w:val="clear"/>
        <w:tabs>
          <w:tab w:val="left" w:pos="3360"/>
        </w:tabs>
        <w:spacing w:line="360" w:lineRule="auto"/>
        <w:jc w:val="left"/>
        <w:rPr>
          <w:rFonts w:ascii="宋体" w:hAnsi="宋体" w:cs="宋体"/>
          <w:b/>
          <w:bCs/>
          <w:color w:val="auto"/>
          <w:sz w:val="24"/>
          <w:szCs w:val="32"/>
          <w:highlight w:val="none"/>
          <w:lang w:val="zh-CN"/>
        </w:rPr>
      </w:pPr>
    </w:p>
    <w:p w14:paraId="05DABE44">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77B4B23B">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399701B">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606F7273">
      <w:pPr>
        <w:rPr>
          <w:rFonts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附件</w:t>
      </w:r>
      <w:r>
        <w:rPr>
          <w:rFonts w:hint="eastAsia" w:ascii="宋体" w:hAnsi="宋体" w:eastAsia="宋体" w:cs="宋体"/>
          <w:b/>
          <w:bCs/>
          <w:sz w:val="24"/>
          <w:lang w:val="en-US" w:eastAsia="zh-CN"/>
        </w:rPr>
        <w:t>十</w:t>
      </w:r>
      <w:r>
        <w:rPr>
          <w:rFonts w:hint="eastAsia" w:ascii="宋体" w:hAnsi="宋体" w:eastAsia="宋体" w:cs="宋体"/>
          <w:b/>
          <w:bCs/>
          <w:sz w:val="24"/>
        </w:rPr>
        <w:t>：</w:t>
      </w:r>
    </w:p>
    <w:p w14:paraId="1D3CD775">
      <w:pPr>
        <w:shd w:val="clear"/>
        <w:tabs>
          <w:tab w:val="left" w:pos="3360"/>
        </w:tabs>
        <w:spacing w:before="158" w:beforeLines="50" w:after="158" w:afterLines="50" w:line="360" w:lineRule="auto"/>
        <w:ind w:right="-10"/>
        <w:jc w:val="center"/>
        <w:rPr>
          <w:rFonts w:ascii="宋体" w:hAnsi="宋体" w:cs="宋体"/>
          <w:b/>
          <w:bCs/>
          <w:color w:val="auto"/>
          <w:sz w:val="32"/>
          <w:szCs w:val="32"/>
          <w:highlight w:val="none"/>
        </w:rPr>
      </w:pPr>
      <w:bookmarkStart w:id="26" w:name="_Toc2242_WPSOffice_Level2"/>
      <w:bookmarkStart w:id="27" w:name="_Toc28183_WPSOffice_Level2"/>
      <w:bookmarkStart w:id="28" w:name="_Toc11913"/>
      <w:bookmarkStart w:id="29" w:name="_Toc18370_WPSOffice_Level2"/>
      <w:r>
        <w:rPr>
          <w:rFonts w:hint="eastAsia" w:ascii="宋体" w:hAnsi="宋体" w:cs="宋体"/>
          <w:b/>
          <w:bCs/>
          <w:color w:val="auto"/>
          <w:sz w:val="32"/>
          <w:szCs w:val="32"/>
          <w:highlight w:val="none"/>
        </w:rPr>
        <w:t>项目负责人资格情况表</w:t>
      </w:r>
    </w:p>
    <w:p w14:paraId="45F62BE7">
      <w:pPr>
        <w:shd w:val="clear"/>
        <w:tabs>
          <w:tab w:val="left" w:pos="3360"/>
        </w:tabs>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B0A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25ABE638">
            <w:pPr>
              <w:shd w:val="clear"/>
              <w:tabs>
                <w:tab w:val="left" w:pos="3360"/>
              </w:tabs>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4CA8D73">
            <w:pPr>
              <w:shd w:val="clear"/>
              <w:tabs>
                <w:tab w:val="left" w:pos="3360"/>
              </w:tabs>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32ECB727">
            <w:pPr>
              <w:shd w:val="clear"/>
              <w:tabs>
                <w:tab w:val="left" w:pos="3360"/>
              </w:tabs>
              <w:jc w:val="center"/>
              <w:rPr>
                <w:rFonts w:ascii="宋体" w:hAnsi="宋体" w:cs="宋体"/>
                <w:b/>
                <w:bCs/>
                <w:color w:val="auto"/>
                <w:sz w:val="24"/>
                <w:highlight w:val="none"/>
              </w:rPr>
            </w:pPr>
            <w:r>
              <w:rPr>
                <w:rFonts w:hint="eastAsia" w:ascii="宋体" w:hAnsi="宋体" w:cs="宋体"/>
                <w:b/>
                <w:bCs/>
                <w:color w:val="auto"/>
                <w:sz w:val="24"/>
                <w:highlight w:val="none"/>
                <w:lang w:val="zh-CN"/>
              </w:rPr>
              <w:t>近年来主要工作</w:t>
            </w:r>
            <w:r>
              <w:rPr>
                <w:rFonts w:hint="eastAsia" w:ascii="宋体" w:hAnsi="宋体" w:cs="宋体"/>
                <w:b/>
                <w:bCs/>
                <w:color w:val="auto"/>
                <w:sz w:val="24"/>
                <w:highlight w:val="none"/>
              </w:rPr>
              <w:t>经验</w:t>
            </w:r>
          </w:p>
        </w:tc>
      </w:tr>
      <w:tr w14:paraId="64C9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E134956">
            <w:pPr>
              <w:shd w:val="clear"/>
              <w:tabs>
                <w:tab w:val="left" w:pos="3360"/>
              </w:tabs>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31885C39">
            <w:pPr>
              <w:shd w:val="clear"/>
              <w:tabs>
                <w:tab w:val="left" w:pos="3360"/>
              </w:tabs>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3390FD97">
            <w:pPr>
              <w:shd w:val="clear"/>
              <w:tabs>
                <w:tab w:val="left" w:pos="3360"/>
              </w:tabs>
              <w:jc w:val="center"/>
              <w:rPr>
                <w:rFonts w:ascii="宋体" w:hAnsi="宋体" w:cs="宋体"/>
                <w:b/>
                <w:bCs/>
                <w:color w:val="auto"/>
                <w:sz w:val="24"/>
                <w:highlight w:val="none"/>
                <w:lang w:val="zh-CN"/>
              </w:rPr>
            </w:pPr>
          </w:p>
        </w:tc>
      </w:tr>
      <w:tr w14:paraId="2D08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72E656C">
            <w:pPr>
              <w:shd w:val="clear"/>
              <w:tabs>
                <w:tab w:val="left" w:pos="3360"/>
              </w:tabs>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18771558">
            <w:pPr>
              <w:shd w:val="clear"/>
              <w:tabs>
                <w:tab w:val="left" w:pos="3360"/>
              </w:tabs>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1E4B3B2">
            <w:pPr>
              <w:shd w:val="clear"/>
              <w:tabs>
                <w:tab w:val="left" w:pos="3360"/>
              </w:tabs>
              <w:jc w:val="center"/>
              <w:rPr>
                <w:rFonts w:ascii="宋体" w:hAnsi="宋体" w:cs="宋体"/>
                <w:b/>
                <w:bCs/>
                <w:color w:val="auto"/>
                <w:sz w:val="24"/>
                <w:highlight w:val="none"/>
                <w:lang w:val="zh-CN"/>
              </w:rPr>
            </w:pPr>
          </w:p>
        </w:tc>
      </w:tr>
      <w:tr w14:paraId="2874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D85ED47">
            <w:pPr>
              <w:shd w:val="clear"/>
              <w:tabs>
                <w:tab w:val="left" w:pos="3360"/>
              </w:tabs>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50FD55C6">
            <w:pPr>
              <w:shd w:val="clear"/>
              <w:tabs>
                <w:tab w:val="left" w:pos="3360"/>
              </w:tabs>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7B393E1">
            <w:pPr>
              <w:shd w:val="clear"/>
              <w:tabs>
                <w:tab w:val="left" w:pos="3360"/>
              </w:tabs>
              <w:jc w:val="center"/>
              <w:rPr>
                <w:rFonts w:ascii="宋体" w:hAnsi="宋体" w:cs="宋体"/>
                <w:b/>
                <w:bCs/>
                <w:color w:val="auto"/>
                <w:sz w:val="24"/>
                <w:highlight w:val="none"/>
                <w:lang w:val="zh-CN"/>
              </w:rPr>
            </w:pPr>
          </w:p>
        </w:tc>
      </w:tr>
      <w:tr w14:paraId="7E57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D415005">
            <w:pPr>
              <w:shd w:val="clear"/>
              <w:tabs>
                <w:tab w:val="left" w:pos="3360"/>
              </w:tabs>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2AB512DB">
            <w:pPr>
              <w:shd w:val="clear"/>
              <w:tabs>
                <w:tab w:val="left" w:pos="3360"/>
              </w:tabs>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02A5A10">
            <w:pPr>
              <w:shd w:val="clear"/>
              <w:tabs>
                <w:tab w:val="left" w:pos="3360"/>
              </w:tabs>
              <w:jc w:val="center"/>
              <w:rPr>
                <w:rFonts w:ascii="宋体" w:hAnsi="宋体" w:cs="宋体"/>
                <w:b/>
                <w:bCs/>
                <w:color w:val="auto"/>
                <w:sz w:val="24"/>
                <w:highlight w:val="none"/>
                <w:lang w:val="zh-CN"/>
              </w:rPr>
            </w:pPr>
          </w:p>
        </w:tc>
      </w:tr>
      <w:tr w14:paraId="6743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9749F03">
            <w:pPr>
              <w:shd w:val="clear"/>
              <w:tabs>
                <w:tab w:val="left" w:pos="3360"/>
              </w:tabs>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2367AD6E">
            <w:pPr>
              <w:shd w:val="clear"/>
              <w:tabs>
                <w:tab w:val="left" w:pos="3360"/>
              </w:tabs>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C0B8A94">
            <w:pPr>
              <w:shd w:val="clear"/>
              <w:tabs>
                <w:tab w:val="left" w:pos="3360"/>
              </w:tabs>
              <w:jc w:val="center"/>
              <w:rPr>
                <w:rFonts w:ascii="宋体" w:hAnsi="宋体" w:cs="宋体"/>
                <w:b/>
                <w:bCs/>
                <w:color w:val="auto"/>
                <w:sz w:val="24"/>
                <w:highlight w:val="none"/>
                <w:lang w:val="zh-CN"/>
              </w:rPr>
            </w:pPr>
          </w:p>
        </w:tc>
      </w:tr>
      <w:tr w14:paraId="00B7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DC043AC">
            <w:pPr>
              <w:shd w:val="clear"/>
              <w:tabs>
                <w:tab w:val="left" w:pos="3360"/>
              </w:tabs>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318A9293">
            <w:pPr>
              <w:shd w:val="clear"/>
              <w:tabs>
                <w:tab w:val="left" w:pos="3360"/>
              </w:tabs>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7E9AC80">
            <w:pPr>
              <w:shd w:val="clear"/>
              <w:tabs>
                <w:tab w:val="left" w:pos="3360"/>
              </w:tabs>
              <w:jc w:val="center"/>
              <w:rPr>
                <w:rFonts w:ascii="宋体" w:hAnsi="宋体" w:cs="宋体"/>
                <w:b/>
                <w:bCs/>
                <w:color w:val="auto"/>
                <w:sz w:val="24"/>
                <w:highlight w:val="none"/>
                <w:lang w:val="zh-CN"/>
              </w:rPr>
            </w:pPr>
          </w:p>
        </w:tc>
      </w:tr>
      <w:tr w14:paraId="7089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46B2123">
            <w:pPr>
              <w:shd w:val="clear"/>
              <w:tabs>
                <w:tab w:val="left" w:pos="3360"/>
              </w:tabs>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08A3DC93">
            <w:pPr>
              <w:shd w:val="clear"/>
              <w:tabs>
                <w:tab w:val="left" w:pos="3360"/>
              </w:tabs>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EC10433">
            <w:pPr>
              <w:shd w:val="clear"/>
              <w:tabs>
                <w:tab w:val="left" w:pos="3360"/>
              </w:tabs>
              <w:jc w:val="center"/>
              <w:rPr>
                <w:rFonts w:ascii="宋体" w:hAnsi="宋体" w:cs="宋体"/>
                <w:b/>
                <w:bCs/>
                <w:color w:val="auto"/>
                <w:sz w:val="24"/>
                <w:highlight w:val="none"/>
                <w:lang w:val="zh-CN"/>
              </w:rPr>
            </w:pPr>
          </w:p>
        </w:tc>
      </w:tr>
      <w:tr w14:paraId="48D7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7D73EB91">
            <w:pPr>
              <w:shd w:val="clear"/>
              <w:tabs>
                <w:tab w:val="left" w:pos="3360"/>
              </w:tabs>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052954BA">
            <w:pPr>
              <w:shd w:val="clear"/>
              <w:tabs>
                <w:tab w:val="left" w:pos="3360"/>
              </w:tabs>
              <w:jc w:val="center"/>
              <w:rPr>
                <w:rFonts w:ascii="宋体" w:hAnsi="宋体" w:cs="宋体"/>
                <w:b/>
                <w:bCs/>
                <w:color w:val="auto"/>
                <w:sz w:val="24"/>
                <w:highlight w:val="none"/>
                <w:lang w:val="zh-CN"/>
              </w:rPr>
            </w:pPr>
          </w:p>
        </w:tc>
      </w:tr>
    </w:tbl>
    <w:p w14:paraId="7D55E9AF">
      <w:pPr>
        <w:shd w:val="clear"/>
        <w:tabs>
          <w:tab w:val="left" w:pos="3360"/>
        </w:tabs>
        <w:spacing w:line="360" w:lineRule="auto"/>
        <w:rPr>
          <w:rFonts w:ascii="宋体" w:hAnsi="宋体" w:cs="宋体"/>
          <w:color w:val="auto"/>
          <w:sz w:val="24"/>
          <w:highlight w:val="none"/>
        </w:rPr>
      </w:pPr>
    </w:p>
    <w:p w14:paraId="00358AA6">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6C8EAE18">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9924DD0">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AE7ECF9">
      <w:pPr>
        <w:tabs>
          <w:tab w:val="left" w:pos="720"/>
        </w:tabs>
        <w:spacing w:line="360" w:lineRule="auto"/>
        <w:outlineLvl w:val="0"/>
        <w:rPr>
          <w:rFonts w:ascii="宋体" w:hAnsi="宋体" w:eastAsia="宋体" w:cs="宋体"/>
          <w:b/>
          <w:sz w:val="24"/>
        </w:rPr>
      </w:pPr>
    </w:p>
    <w:p w14:paraId="187EB0DB">
      <w:pPr>
        <w:rPr>
          <w:rFonts w:ascii="宋体" w:hAnsi="宋体" w:eastAsia="宋体" w:cs="宋体"/>
          <w:b/>
          <w:bCs/>
          <w:sz w:val="24"/>
        </w:rPr>
      </w:pPr>
    </w:p>
    <w:p w14:paraId="17C395C0">
      <w:pPr>
        <w:rPr>
          <w:rFonts w:ascii="宋体" w:hAnsi="宋体" w:eastAsia="宋体" w:cs="宋体"/>
          <w:b/>
          <w:bCs/>
          <w:sz w:val="24"/>
        </w:rPr>
      </w:pPr>
      <w:r>
        <w:rPr>
          <w:rFonts w:hint="eastAsia" w:ascii="宋体" w:hAnsi="宋体" w:eastAsia="宋体" w:cs="宋体"/>
          <w:b/>
          <w:bCs/>
          <w:sz w:val="24"/>
        </w:rPr>
        <w:t>附件十</w:t>
      </w:r>
      <w:r>
        <w:rPr>
          <w:rFonts w:hint="eastAsia" w:ascii="宋体" w:hAnsi="宋体" w:eastAsia="宋体" w:cs="宋体"/>
          <w:b/>
          <w:bCs/>
          <w:sz w:val="24"/>
          <w:lang w:val="en-US" w:eastAsia="zh-CN"/>
        </w:rPr>
        <w:t>一</w:t>
      </w:r>
      <w:r>
        <w:rPr>
          <w:rFonts w:hint="eastAsia" w:ascii="宋体" w:hAnsi="宋体" w:eastAsia="宋体" w:cs="宋体"/>
          <w:b/>
          <w:bCs/>
          <w:sz w:val="24"/>
        </w:rPr>
        <w:t>：</w:t>
      </w:r>
    </w:p>
    <w:p w14:paraId="7A707AB8">
      <w:pPr>
        <w:pStyle w:val="14"/>
        <w:adjustRightInd w:val="0"/>
        <w:snapToGrid w:val="0"/>
        <w:spacing w:before="156" w:after="156"/>
        <w:jc w:val="center"/>
        <w:rPr>
          <w:rFonts w:hAnsi="宋体" w:eastAsia="宋体" w:cs="宋体"/>
          <w:b/>
          <w:bCs/>
          <w:sz w:val="28"/>
          <w:szCs w:val="28"/>
        </w:rPr>
      </w:pPr>
      <w:r>
        <w:rPr>
          <w:rFonts w:hint="eastAsia" w:hAnsi="宋体" w:eastAsia="宋体" w:cs="宋体"/>
          <w:b/>
          <w:bCs/>
          <w:sz w:val="28"/>
          <w:szCs w:val="28"/>
        </w:rPr>
        <w:t>常用联系人员简历表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785C4DBC">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358BD">
            <w:pPr>
              <w:widowControl/>
              <w:jc w:val="center"/>
              <w:rPr>
                <w:rFonts w:ascii="宋体" w:hAnsi="宋体" w:eastAsia="宋体" w:cs="宋体"/>
                <w:kern w:val="0"/>
                <w:sz w:val="21"/>
                <w:szCs w:val="21"/>
              </w:rPr>
            </w:pPr>
            <w:r>
              <w:rPr>
                <w:rFonts w:hint="eastAsia" w:ascii="宋体" w:hAnsi="宋体" w:eastAsia="宋体" w:cs="宋体"/>
                <w:kern w:val="0"/>
                <w:sz w:val="21"/>
                <w:szCs w:val="21"/>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084B8739">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2C91098D">
            <w:pPr>
              <w:widowControl/>
              <w:jc w:val="center"/>
              <w:rPr>
                <w:rFonts w:ascii="宋体" w:hAnsi="宋体" w:eastAsia="宋体" w:cs="宋体"/>
                <w:kern w:val="0"/>
                <w:sz w:val="21"/>
                <w:szCs w:val="21"/>
              </w:rPr>
            </w:pPr>
            <w:r>
              <w:rPr>
                <w:rFonts w:hint="eastAsia" w:ascii="宋体" w:hAnsi="宋体" w:eastAsia="宋体" w:cs="宋体"/>
                <w:kern w:val="0"/>
                <w:sz w:val="21"/>
                <w:szCs w:val="21"/>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10DA6684">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65688F58">
            <w:pPr>
              <w:widowControl/>
              <w:jc w:val="center"/>
              <w:rPr>
                <w:rFonts w:ascii="宋体" w:hAnsi="宋体" w:eastAsia="宋体" w:cs="宋体"/>
                <w:kern w:val="0"/>
                <w:sz w:val="21"/>
                <w:szCs w:val="21"/>
              </w:rPr>
            </w:pPr>
            <w:r>
              <w:rPr>
                <w:rFonts w:hint="eastAsia" w:ascii="宋体" w:hAnsi="宋体" w:eastAsia="宋体" w:cs="宋体"/>
                <w:kern w:val="0"/>
                <w:sz w:val="21"/>
                <w:szCs w:val="21"/>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63A3161A">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07D5010C">
            <w:pPr>
              <w:widowControl/>
              <w:jc w:val="center"/>
              <w:rPr>
                <w:rFonts w:ascii="宋体" w:hAnsi="宋体" w:eastAsia="宋体" w:cs="宋体"/>
                <w:kern w:val="0"/>
                <w:sz w:val="21"/>
                <w:szCs w:val="21"/>
              </w:rPr>
            </w:pPr>
            <w:r>
              <w:rPr>
                <w:rFonts w:hint="eastAsia" w:ascii="宋体" w:hAnsi="宋体" w:eastAsia="宋体" w:cs="宋体"/>
                <w:kern w:val="0"/>
                <w:sz w:val="21"/>
                <w:szCs w:val="21"/>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13B984CF">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14:paraId="33601E3B">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3F7AE">
            <w:pPr>
              <w:widowControl/>
              <w:jc w:val="center"/>
              <w:rPr>
                <w:rFonts w:ascii="宋体" w:hAnsi="宋体" w:eastAsia="宋体" w:cs="宋体"/>
                <w:kern w:val="0"/>
                <w:sz w:val="21"/>
                <w:szCs w:val="21"/>
              </w:rPr>
            </w:pPr>
            <w:r>
              <w:rPr>
                <w:rFonts w:hint="eastAsia" w:ascii="宋体" w:hAnsi="宋体" w:eastAsia="宋体" w:cs="宋体"/>
                <w:kern w:val="0"/>
                <w:sz w:val="21"/>
                <w:szCs w:val="21"/>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7B835D39">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1089" w:type="dxa"/>
            <w:tcBorders>
              <w:top w:val="nil"/>
              <w:left w:val="nil"/>
              <w:bottom w:val="single" w:color="000000" w:sz="4" w:space="0"/>
              <w:right w:val="single" w:color="000000" w:sz="4" w:space="0"/>
            </w:tcBorders>
            <w:shd w:val="clear" w:color="auto" w:fill="FFFFFF"/>
            <w:noWrap/>
            <w:vAlign w:val="center"/>
          </w:tcPr>
          <w:p w14:paraId="3D27230A">
            <w:pPr>
              <w:widowControl/>
              <w:jc w:val="center"/>
              <w:rPr>
                <w:rFonts w:ascii="宋体" w:hAnsi="宋体" w:eastAsia="宋体" w:cs="宋体"/>
                <w:kern w:val="0"/>
                <w:sz w:val="21"/>
                <w:szCs w:val="21"/>
              </w:rPr>
            </w:pPr>
            <w:r>
              <w:rPr>
                <w:rFonts w:hint="eastAsia" w:ascii="宋体" w:hAnsi="宋体" w:eastAsia="宋体" w:cs="宋体"/>
                <w:kern w:val="0"/>
                <w:sz w:val="21"/>
                <w:szCs w:val="21"/>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54BFDF0C">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972" w:type="dxa"/>
            <w:tcBorders>
              <w:top w:val="nil"/>
              <w:left w:val="nil"/>
              <w:bottom w:val="single" w:color="000000" w:sz="4" w:space="0"/>
              <w:right w:val="single" w:color="000000" w:sz="4" w:space="0"/>
            </w:tcBorders>
            <w:shd w:val="clear" w:color="auto" w:fill="FFFFFF"/>
            <w:noWrap/>
            <w:vAlign w:val="center"/>
          </w:tcPr>
          <w:p w14:paraId="7F6C062B">
            <w:pPr>
              <w:widowControl/>
              <w:jc w:val="center"/>
              <w:rPr>
                <w:rFonts w:ascii="宋体" w:hAnsi="宋体" w:eastAsia="宋体" w:cs="宋体"/>
                <w:kern w:val="0"/>
                <w:sz w:val="21"/>
                <w:szCs w:val="21"/>
              </w:rPr>
            </w:pPr>
            <w:r>
              <w:rPr>
                <w:rFonts w:hint="eastAsia" w:ascii="宋体" w:hAnsi="宋体" w:eastAsia="宋体" w:cs="宋体"/>
                <w:kern w:val="0"/>
                <w:sz w:val="21"/>
                <w:szCs w:val="21"/>
              </w:rPr>
              <w:t>学历</w:t>
            </w:r>
          </w:p>
        </w:tc>
        <w:tc>
          <w:tcPr>
            <w:tcW w:w="1867" w:type="dxa"/>
            <w:tcBorders>
              <w:top w:val="nil"/>
              <w:left w:val="nil"/>
              <w:bottom w:val="single" w:color="000000" w:sz="4" w:space="0"/>
              <w:right w:val="single" w:color="000000" w:sz="4" w:space="0"/>
            </w:tcBorders>
            <w:shd w:val="clear" w:color="auto" w:fill="FFFFFF"/>
            <w:noWrap/>
            <w:vAlign w:val="center"/>
          </w:tcPr>
          <w:p w14:paraId="32203778">
            <w:pPr>
              <w:widowControl/>
              <w:jc w:val="center"/>
              <w:rPr>
                <w:rFonts w:ascii="宋体" w:hAnsi="宋体" w:eastAsia="宋体" w:cs="宋体"/>
                <w:kern w:val="0"/>
                <w:sz w:val="21"/>
                <w:szCs w:val="21"/>
              </w:rPr>
            </w:pPr>
            <w:r>
              <w:rPr>
                <w:rFonts w:hint="eastAsia" w:ascii="宋体" w:hAnsi="宋体" w:eastAsia="宋体" w:cs="宋体"/>
                <w:kern w:val="0"/>
                <w:sz w:val="21"/>
                <w:szCs w:val="21"/>
              </w:rPr>
              <w:t>　</w:t>
            </w:r>
          </w:p>
        </w:tc>
      </w:tr>
      <w:tr w14:paraId="553E10FB">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709A9">
            <w:pPr>
              <w:widowControl/>
              <w:jc w:val="center"/>
              <w:rPr>
                <w:rFonts w:ascii="宋体" w:hAnsi="宋体" w:eastAsia="宋体" w:cs="宋体"/>
                <w:kern w:val="0"/>
                <w:sz w:val="21"/>
                <w:szCs w:val="21"/>
              </w:rPr>
            </w:pPr>
            <w:r>
              <w:rPr>
                <w:rFonts w:hint="eastAsia" w:ascii="宋体" w:hAnsi="宋体" w:eastAsia="宋体" w:cs="宋体"/>
                <w:kern w:val="0"/>
                <w:sz w:val="21"/>
                <w:szCs w:val="21"/>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6E0AAB84">
            <w:pPr>
              <w:widowControl/>
              <w:ind w:left="-241" w:leftChars="-137" w:hanging="252" w:hangingChars="120"/>
              <w:jc w:val="left"/>
              <w:rPr>
                <w:rFonts w:ascii="宋体" w:hAnsi="宋体" w:eastAsia="宋体" w:cs="宋体"/>
                <w:kern w:val="0"/>
                <w:sz w:val="21"/>
                <w:szCs w:val="21"/>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38D40575">
            <w:pPr>
              <w:widowControl/>
              <w:jc w:val="center"/>
              <w:rPr>
                <w:rFonts w:ascii="宋体" w:hAnsi="宋体" w:eastAsia="宋体" w:cs="宋体"/>
                <w:kern w:val="0"/>
                <w:sz w:val="21"/>
                <w:szCs w:val="21"/>
              </w:rPr>
            </w:pPr>
            <w:r>
              <w:rPr>
                <w:rFonts w:hint="eastAsia" w:ascii="宋体" w:hAnsi="宋体" w:eastAsia="宋体" w:cs="宋体"/>
                <w:kern w:val="0"/>
                <w:sz w:val="21"/>
                <w:szCs w:val="21"/>
              </w:rPr>
              <w:t>身份证</w:t>
            </w:r>
          </w:p>
        </w:tc>
        <w:tc>
          <w:tcPr>
            <w:tcW w:w="1867" w:type="dxa"/>
            <w:tcBorders>
              <w:top w:val="nil"/>
              <w:left w:val="nil"/>
              <w:bottom w:val="single" w:color="000000" w:sz="4" w:space="0"/>
              <w:right w:val="single" w:color="000000" w:sz="4" w:space="0"/>
            </w:tcBorders>
            <w:shd w:val="clear" w:color="auto" w:fill="FFFFFF"/>
            <w:noWrap/>
            <w:vAlign w:val="center"/>
          </w:tcPr>
          <w:p w14:paraId="1A96D1B7">
            <w:pPr>
              <w:widowControl/>
              <w:jc w:val="left"/>
              <w:rPr>
                <w:rFonts w:ascii="宋体" w:hAnsi="宋体" w:eastAsia="宋体" w:cs="宋体"/>
                <w:kern w:val="0"/>
                <w:sz w:val="21"/>
                <w:szCs w:val="21"/>
              </w:rPr>
            </w:pPr>
            <w:r>
              <w:rPr>
                <w:rFonts w:hint="eastAsia" w:ascii="宋体" w:hAnsi="宋体" w:eastAsia="宋体" w:cs="宋体"/>
                <w:kern w:val="0"/>
                <w:sz w:val="21"/>
                <w:szCs w:val="21"/>
              </w:rPr>
              <w:t>　</w:t>
            </w:r>
          </w:p>
        </w:tc>
      </w:tr>
      <w:tr w14:paraId="7BDD04BF">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4435FD29">
            <w:pPr>
              <w:widowControl/>
              <w:jc w:val="center"/>
              <w:rPr>
                <w:rFonts w:ascii="宋体" w:hAnsi="宋体" w:eastAsia="宋体" w:cs="宋体"/>
                <w:kern w:val="0"/>
                <w:sz w:val="21"/>
                <w:szCs w:val="21"/>
              </w:rPr>
            </w:pPr>
            <w:r>
              <w:rPr>
                <w:rFonts w:hint="eastAsia" w:ascii="宋体" w:hAnsi="宋体" w:eastAsia="宋体" w:cs="宋体"/>
                <w:kern w:val="0"/>
                <w:sz w:val="21"/>
                <w:szCs w:val="21"/>
              </w:rPr>
              <w:t>简</w:t>
            </w:r>
          </w:p>
          <w:p w14:paraId="4E57BBAC">
            <w:pPr>
              <w:widowControl/>
              <w:jc w:val="center"/>
              <w:rPr>
                <w:rFonts w:ascii="宋体" w:hAnsi="宋体" w:eastAsia="宋体" w:cs="宋体"/>
                <w:kern w:val="0"/>
                <w:sz w:val="21"/>
                <w:szCs w:val="21"/>
              </w:rPr>
            </w:pPr>
          </w:p>
          <w:p w14:paraId="348BE308">
            <w:pPr>
              <w:widowControl/>
              <w:jc w:val="center"/>
              <w:rPr>
                <w:rFonts w:ascii="宋体" w:hAnsi="宋体" w:eastAsia="宋体" w:cs="宋体"/>
                <w:kern w:val="0"/>
                <w:sz w:val="21"/>
                <w:szCs w:val="21"/>
              </w:rPr>
            </w:pPr>
          </w:p>
          <w:p w14:paraId="60BF5636">
            <w:pPr>
              <w:widowControl/>
              <w:jc w:val="center"/>
              <w:rPr>
                <w:rFonts w:ascii="宋体" w:hAnsi="宋体" w:eastAsia="宋体" w:cs="宋体"/>
                <w:kern w:val="0"/>
                <w:sz w:val="21"/>
                <w:szCs w:val="21"/>
              </w:rPr>
            </w:pPr>
          </w:p>
          <w:p w14:paraId="05363C32">
            <w:pPr>
              <w:widowControl/>
              <w:jc w:val="center"/>
              <w:rPr>
                <w:rFonts w:ascii="宋体" w:hAnsi="宋体" w:eastAsia="宋体" w:cs="宋体"/>
                <w:kern w:val="0"/>
                <w:sz w:val="21"/>
                <w:szCs w:val="21"/>
              </w:rPr>
            </w:pPr>
          </w:p>
          <w:p w14:paraId="514C8369">
            <w:pPr>
              <w:widowControl/>
              <w:jc w:val="center"/>
              <w:rPr>
                <w:rFonts w:ascii="宋体" w:hAnsi="宋体" w:eastAsia="宋体" w:cs="宋体"/>
                <w:kern w:val="0"/>
                <w:sz w:val="21"/>
                <w:szCs w:val="21"/>
              </w:rPr>
            </w:pPr>
          </w:p>
          <w:p w14:paraId="0F8E5674">
            <w:pPr>
              <w:widowControl/>
              <w:jc w:val="center"/>
              <w:rPr>
                <w:rFonts w:ascii="宋体" w:hAnsi="宋体" w:eastAsia="宋体" w:cs="宋体"/>
                <w:kern w:val="0"/>
                <w:sz w:val="21"/>
                <w:szCs w:val="21"/>
              </w:rPr>
            </w:pPr>
            <w:r>
              <w:rPr>
                <w:rFonts w:hint="eastAsia" w:ascii="宋体" w:hAnsi="宋体" w:eastAsia="宋体" w:cs="宋体"/>
                <w:kern w:val="0"/>
                <w:sz w:val="21"/>
                <w:szCs w:val="21"/>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347AED5B">
            <w:pPr>
              <w:widowControl/>
              <w:jc w:val="left"/>
              <w:rPr>
                <w:rFonts w:ascii="宋体" w:hAnsi="宋体" w:eastAsia="宋体" w:cs="宋体"/>
                <w:kern w:val="0"/>
                <w:sz w:val="21"/>
                <w:szCs w:val="21"/>
              </w:rPr>
            </w:pPr>
          </w:p>
        </w:tc>
      </w:tr>
      <w:tr w14:paraId="4A427758">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39917744">
            <w:pPr>
              <w:widowControl/>
              <w:jc w:val="left"/>
              <w:rPr>
                <w:rFonts w:ascii="宋体" w:hAnsi="宋体" w:eastAsia="宋体" w:cs="宋体"/>
                <w:kern w:val="0"/>
                <w:sz w:val="21"/>
                <w:szCs w:val="21"/>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31085DD5">
            <w:pPr>
              <w:widowControl/>
              <w:jc w:val="left"/>
              <w:rPr>
                <w:rFonts w:ascii="宋体" w:hAnsi="宋体" w:eastAsia="宋体" w:cs="宋体"/>
                <w:kern w:val="0"/>
                <w:sz w:val="21"/>
                <w:szCs w:val="21"/>
              </w:rPr>
            </w:pPr>
          </w:p>
        </w:tc>
      </w:tr>
    </w:tbl>
    <w:p w14:paraId="7B8B8992">
      <w:pPr>
        <w:spacing w:line="360" w:lineRule="auto"/>
        <w:rPr>
          <w:rFonts w:hAnsi="宋体" w:eastAsia="宋体" w:cs="宋体"/>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1、表格后面按评分办法要求附上</w:t>
      </w:r>
      <w:r>
        <w:rPr>
          <w:rFonts w:hint="eastAsia" w:ascii="宋体" w:hAnsi="宋体" w:eastAsia="宋体" w:cs="宋体"/>
          <w:b/>
          <w:bCs/>
          <w:kern w:val="0"/>
          <w:sz w:val="21"/>
          <w:szCs w:val="21"/>
          <w:lang w:val="en-US" w:eastAsia="zh-CN"/>
        </w:rPr>
        <w:t>人员</w:t>
      </w:r>
      <w:r>
        <w:rPr>
          <w:rFonts w:hint="eastAsia" w:ascii="宋体" w:hAnsi="宋体" w:eastAsia="宋体" w:cs="宋体"/>
          <w:b/>
          <w:bCs/>
          <w:kern w:val="0"/>
          <w:sz w:val="21"/>
          <w:szCs w:val="21"/>
        </w:rPr>
        <w:t>相关证书和证明材料。</w:t>
      </w:r>
    </w:p>
    <w:p w14:paraId="2ADF0418">
      <w:pPr>
        <w:shd w:val="clear"/>
        <w:tabs>
          <w:tab w:val="left" w:pos="3360"/>
        </w:tabs>
        <w:spacing w:line="480" w:lineRule="auto"/>
        <w:rPr>
          <w:rFonts w:hint="eastAsia" w:ascii="宋体" w:hAnsi="宋体" w:cs="宋体"/>
          <w:color w:val="auto"/>
          <w:sz w:val="24"/>
          <w:highlight w:val="none"/>
        </w:rPr>
      </w:pPr>
    </w:p>
    <w:p w14:paraId="0803364C">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1CB10F4E">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27C0D758">
      <w:pPr>
        <w:rPr>
          <w:rFonts w:ascii="宋体" w:hAnsi="宋体" w:eastAsia="宋体" w:cs="宋体"/>
          <w:b/>
          <w:sz w:val="24"/>
        </w:rPr>
      </w:pPr>
      <w:r>
        <w:rPr>
          <w:rFonts w:hint="eastAsia" w:ascii="宋体" w:hAnsi="宋体" w:cs="宋体"/>
          <w:color w:val="auto"/>
          <w:sz w:val="24"/>
          <w:highlight w:val="none"/>
        </w:rPr>
        <w:t>日期：</w:t>
      </w:r>
    </w:p>
    <w:p w14:paraId="3A617938">
      <w:pPr>
        <w:rPr>
          <w:rFonts w:ascii="宋体" w:hAnsi="宋体" w:eastAsia="宋体" w:cs="宋体"/>
          <w:b/>
          <w:sz w:val="24"/>
        </w:rPr>
      </w:pPr>
      <w:r>
        <w:rPr>
          <w:rFonts w:hint="eastAsia" w:ascii="宋体" w:hAnsi="宋体" w:eastAsia="宋体" w:cs="宋体"/>
          <w:b/>
          <w:sz w:val="24"/>
        </w:rPr>
        <w:br w:type="page"/>
      </w:r>
    </w:p>
    <w:p w14:paraId="225C7812">
      <w:pPr>
        <w:rPr>
          <w:rFonts w:ascii="宋体" w:hAnsi="宋体" w:eastAsia="宋体" w:cs="宋体"/>
          <w:b/>
          <w:sz w:val="24"/>
        </w:rPr>
      </w:pPr>
      <w:r>
        <w:rPr>
          <w:rFonts w:hint="eastAsia" w:ascii="宋体" w:hAnsi="宋体" w:eastAsia="宋体" w:cs="宋体"/>
          <w:b/>
          <w:sz w:val="24"/>
        </w:rPr>
        <w:t>附表十</w:t>
      </w:r>
      <w:r>
        <w:rPr>
          <w:rFonts w:hint="eastAsia" w:ascii="宋体" w:hAnsi="宋体" w:eastAsia="宋体" w:cs="宋体"/>
          <w:b/>
          <w:sz w:val="24"/>
          <w:lang w:val="en-US" w:eastAsia="zh-CN"/>
        </w:rPr>
        <w:t>二</w:t>
      </w:r>
      <w:r>
        <w:rPr>
          <w:rFonts w:hint="eastAsia" w:ascii="宋体" w:hAnsi="宋体" w:eastAsia="宋体" w:cs="宋体"/>
          <w:b/>
          <w:sz w:val="24"/>
        </w:rPr>
        <w:t>：</w:t>
      </w:r>
      <w:bookmarkEnd w:id="26"/>
      <w:bookmarkEnd w:id="27"/>
      <w:bookmarkEnd w:id="28"/>
      <w:bookmarkEnd w:id="29"/>
    </w:p>
    <w:p w14:paraId="60D517A4">
      <w:pPr>
        <w:shd w:val="clear"/>
        <w:tabs>
          <w:tab w:val="left" w:pos="3360"/>
        </w:tabs>
        <w:spacing w:line="36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商务及技术响应表</w:t>
      </w:r>
    </w:p>
    <w:p w14:paraId="18AB3B99">
      <w:pPr>
        <w:shd w:val="clear"/>
        <w:tabs>
          <w:tab w:val="left" w:pos="3360"/>
        </w:tabs>
        <w:spacing w:line="360" w:lineRule="auto"/>
        <w:rPr>
          <w:rFonts w:ascii="宋体" w:hAnsi="宋体" w:cs="宋体"/>
          <w:color w:val="auto"/>
          <w:sz w:val="24"/>
          <w:highlight w:val="none"/>
        </w:rPr>
      </w:pPr>
    </w:p>
    <w:tbl>
      <w:tblPr>
        <w:tblStyle w:val="29"/>
        <w:tblW w:w="8792" w:type="dxa"/>
        <w:jc w:val="center"/>
        <w:tblLayout w:type="fixed"/>
        <w:tblCellMar>
          <w:top w:w="0" w:type="dxa"/>
          <w:left w:w="108" w:type="dxa"/>
          <w:bottom w:w="0" w:type="dxa"/>
          <w:right w:w="108" w:type="dxa"/>
        </w:tblCellMar>
      </w:tblPr>
      <w:tblGrid>
        <w:gridCol w:w="1202"/>
        <w:gridCol w:w="1831"/>
        <w:gridCol w:w="2160"/>
        <w:gridCol w:w="2127"/>
        <w:gridCol w:w="1472"/>
      </w:tblGrid>
      <w:tr w14:paraId="7091DE1A">
        <w:tblPrEx>
          <w:tblCellMar>
            <w:top w:w="0" w:type="dxa"/>
            <w:left w:w="108" w:type="dxa"/>
            <w:bottom w:w="0" w:type="dxa"/>
            <w:right w:w="108" w:type="dxa"/>
          </w:tblCellMar>
        </w:tblPrEx>
        <w:trPr>
          <w:jc w:val="center"/>
        </w:trPr>
        <w:tc>
          <w:tcPr>
            <w:tcW w:w="1202" w:type="dxa"/>
            <w:tcBorders>
              <w:top w:val="single" w:color="auto" w:sz="4" w:space="0"/>
              <w:left w:val="single" w:color="auto" w:sz="4" w:space="0"/>
              <w:bottom w:val="single" w:color="auto" w:sz="4" w:space="0"/>
              <w:right w:val="single" w:color="auto" w:sz="4" w:space="0"/>
            </w:tcBorders>
            <w:vAlign w:val="center"/>
          </w:tcPr>
          <w:p w14:paraId="09C737B0">
            <w:pPr>
              <w:shd w:val="clear"/>
              <w:tabs>
                <w:tab w:val="left" w:pos="336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2A421ECD">
            <w:pPr>
              <w:shd w:val="clear"/>
              <w:tabs>
                <w:tab w:val="left" w:pos="336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14B9A8CC">
            <w:pPr>
              <w:shd w:val="clear"/>
              <w:tabs>
                <w:tab w:val="left" w:pos="336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磋商文件要求</w:t>
            </w:r>
          </w:p>
        </w:tc>
        <w:tc>
          <w:tcPr>
            <w:tcW w:w="2127" w:type="dxa"/>
            <w:tcBorders>
              <w:top w:val="single" w:color="auto" w:sz="4" w:space="0"/>
              <w:left w:val="single" w:color="auto" w:sz="4" w:space="0"/>
              <w:bottom w:val="single" w:color="auto" w:sz="4" w:space="0"/>
              <w:right w:val="single" w:color="auto" w:sz="4" w:space="0"/>
            </w:tcBorders>
            <w:vAlign w:val="center"/>
          </w:tcPr>
          <w:p w14:paraId="75943EE8">
            <w:pPr>
              <w:shd w:val="clear"/>
              <w:tabs>
                <w:tab w:val="left" w:pos="336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磋商响应文件响应</w:t>
            </w:r>
          </w:p>
        </w:tc>
        <w:tc>
          <w:tcPr>
            <w:tcW w:w="1472" w:type="dxa"/>
            <w:tcBorders>
              <w:top w:val="single" w:color="auto" w:sz="4" w:space="0"/>
              <w:left w:val="single" w:color="auto" w:sz="4" w:space="0"/>
              <w:bottom w:val="single" w:color="auto" w:sz="4" w:space="0"/>
              <w:right w:val="single" w:color="auto" w:sz="4" w:space="0"/>
            </w:tcBorders>
            <w:vAlign w:val="center"/>
          </w:tcPr>
          <w:p w14:paraId="3B9585B9">
            <w:pPr>
              <w:shd w:val="clear"/>
              <w:tabs>
                <w:tab w:val="left" w:pos="336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偏离情况</w:t>
            </w:r>
          </w:p>
        </w:tc>
      </w:tr>
      <w:tr w14:paraId="013C2776">
        <w:tblPrEx>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right w:val="single" w:color="auto" w:sz="4" w:space="0"/>
            </w:tcBorders>
            <w:vAlign w:val="center"/>
          </w:tcPr>
          <w:p w14:paraId="5C04AE90">
            <w:pPr>
              <w:shd w:val="clear"/>
              <w:tabs>
                <w:tab w:val="left" w:pos="336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33374228">
            <w:pPr>
              <w:shd w:val="clear"/>
              <w:tabs>
                <w:tab w:val="left" w:pos="3360"/>
              </w:tabs>
              <w:spacing w:line="360" w:lineRule="auto"/>
              <w:jc w:val="center"/>
              <w:rPr>
                <w:rFonts w:ascii="宋体" w:hAnsi="宋体" w:cs="宋体"/>
                <w:color w:val="auto"/>
                <w:sz w:val="24"/>
                <w:highlight w:val="none"/>
              </w:rPr>
            </w:pPr>
            <w:r>
              <w:rPr>
                <w:rFonts w:hint="eastAsia" w:ascii="宋体" w:hAnsi="宋体" w:eastAsia="宋体" w:cs="宋体"/>
                <w:color w:val="auto"/>
                <w:sz w:val="24"/>
                <w:highlight w:val="none"/>
                <w:lang w:val="en-US" w:eastAsia="zh-CN"/>
              </w:rPr>
              <w:t>服务</w:t>
            </w:r>
            <w:r>
              <w:rPr>
                <w:rFonts w:hint="eastAsia" w:ascii="宋体" w:hAnsi="宋体" w:cs="宋体"/>
                <w:color w:val="auto"/>
                <w:sz w:val="24"/>
                <w:highlight w:val="none"/>
              </w:rPr>
              <w:t>期</w:t>
            </w:r>
          </w:p>
        </w:tc>
        <w:tc>
          <w:tcPr>
            <w:tcW w:w="2160" w:type="dxa"/>
            <w:tcBorders>
              <w:top w:val="single" w:color="auto" w:sz="4" w:space="0"/>
              <w:left w:val="single" w:color="auto" w:sz="4" w:space="0"/>
              <w:bottom w:val="single" w:color="auto" w:sz="4" w:space="0"/>
              <w:right w:val="single" w:color="auto" w:sz="4" w:space="0"/>
            </w:tcBorders>
            <w:vAlign w:val="center"/>
          </w:tcPr>
          <w:p w14:paraId="5553F39C">
            <w:pPr>
              <w:shd w:val="clear"/>
              <w:tabs>
                <w:tab w:val="left" w:pos="3360"/>
              </w:tabs>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693FD24">
            <w:pPr>
              <w:shd w:val="clear"/>
              <w:tabs>
                <w:tab w:val="left" w:pos="3360"/>
              </w:tabs>
              <w:spacing w:line="360" w:lineRule="auto"/>
              <w:jc w:val="center"/>
              <w:rPr>
                <w:rFonts w:hint="eastAsia" w:ascii="宋体" w:hAnsi="宋体" w:eastAsia="宋体" w:cs="宋体"/>
                <w:color w:val="auto"/>
                <w:sz w:val="24"/>
                <w:highlight w:val="none"/>
                <w:lang w:val="en-US" w:eastAsia="zh-CN"/>
              </w:rPr>
            </w:pPr>
          </w:p>
        </w:tc>
        <w:tc>
          <w:tcPr>
            <w:tcW w:w="1472" w:type="dxa"/>
            <w:tcBorders>
              <w:top w:val="single" w:color="auto" w:sz="4" w:space="0"/>
              <w:left w:val="single" w:color="auto" w:sz="4" w:space="0"/>
              <w:bottom w:val="single" w:color="auto" w:sz="4" w:space="0"/>
              <w:right w:val="single" w:color="auto" w:sz="4" w:space="0"/>
            </w:tcBorders>
            <w:vAlign w:val="center"/>
          </w:tcPr>
          <w:p w14:paraId="2361B985">
            <w:pPr>
              <w:shd w:val="clear"/>
              <w:tabs>
                <w:tab w:val="left" w:pos="3360"/>
              </w:tabs>
              <w:spacing w:line="360" w:lineRule="auto"/>
              <w:jc w:val="center"/>
              <w:rPr>
                <w:rFonts w:hint="eastAsia" w:ascii="宋体" w:hAnsi="宋体" w:eastAsia="宋体" w:cs="宋体"/>
                <w:color w:val="auto"/>
                <w:sz w:val="24"/>
                <w:highlight w:val="none"/>
                <w:lang w:val="en-US" w:eastAsia="zh-CN"/>
              </w:rPr>
            </w:pPr>
          </w:p>
        </w:tc>
      </w:tr>
      <w:tr w14:paraId="2E2F61E8">
        <w:tblPrEx>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14:paraId="11C01590">
            <w:pPr>
              <w:shd w:val="clear"/>
              <w:tabs>
                <w:tab w:val="left" w:pos="3360"/>
              </w:tabs>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28E597A2">
            <w:pPr>
              <w:shd w:val="clear"/>
              <w:tabs>
                <w:tab w:val="left" w:pos="3360"/>
              </w:tabs>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付款方式</w:t>
            </w:r>
          </w:p>
        </w:tc>
        <w:tc>
          <w:tcPr>
            <w:tcW w:w="2160" w:type="dxa"/>
            <w:tcBorders>
              <w:top w:val="single" w:color="auto" w:sz="4" w:space="0"/>
              <w:left w:val="single" w:color="auto" w:sz="4" w:space="0"/>
              <w:bottom w:val="single" w:color="auto" w:sz="4" w:space="0"/>
              <w:right w:val="single" w:color="auto" w:sz="4" w:space="0"/>
            </w:tcBorders>
            <w:vAlign w:val="center"/>
          </w:tcPr>
          <w:p w14:paraId="0F4D9311">
            <w:pPr>
              <w:shd w:val="clear"/>
              <w:tabs>
                <w:tab w:val="left" w:pos="3360"/>
              </w:tabs>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3FE5ACD">
            <w:pPr>
              <w:shd w:val="clear"/>
              <w:tabs>
                <w:tab w:val="left" w:pos="3360"/>
              </w:tabs>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AF9EA7C">
            <w:pPr>
              <w:shd w:val="clear"/>
              <w:tabs>
                <w:tab w:val="left" w:pos="3360"/>
              </w:tabs>
              <w:spacing w:line="360" w:lineRule="auto"/>
              <w:jc w:val="center"/>
              <w:rPr>
                <w:rFonts w:ascii="宋体" w:hAnsi="宋体" w:cs="宋体"/>
                <w:color w:val="auto"/>
                <w:sz w:val="24"/>
                <w:highlight w:val="none"/>
              </w:rPr>
            </w:pPr>
          </w:p>
        </w:tc>
      </w:tr>
      <w:tr w14:paraId="10F257A2">
        <w:tblPrEx>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14:paraId="6A67D1EE">
            <w:pPr>
              <w:shd w:val="clear"/>
              <w:tabs>
                <w:tab w:val="left" w:pos="3360"/>
              </w:tabs>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AEF2109">
            <w:pPr>
              <w:shd w:val="clear"/>
              <w:tabs>
                <w:tab w:val="left" w:pos="3360"/>
              </w:tabs>
              <w:spacing w:line="360" w:lineRule="auto"/>
              <w:jc w:val="center"/>
              <w:rPr>
                <w:rFonts w:hint="default" w:ascii="宋体" w:hAnsi="宋体" w:eastAsia="宋体" w:cs="宋体"/>
                <w:color w:val="auto"/>
                <w:sz w:val="24"/>
                <w:highlight w:val="none"/>
                <w:lang w:val="en-US" w:eastAsia="zh-CN"/>
              </w:rPr>
            </w:pPr>
          </w:p>
        </w:tc>
        <w:tc>
          <w:tcPr>
            <w:tcW w:w="2160" w:type="dxa"/>
            <w:tcBorders>
              <w:top w:val="single" w:color="auto" w:sz="4" w:space="0"/>
              <w:left w:val="single" w:color="auto" w:sz="4" w:space="0"/>
              <w:bottom w:val="single" w:color="auto" w:sz="4" w:space="0"/>
              <w:right w:val="single" w:color="auto" w:sz="4" w:space="0"/>
            </w:tcBorders>
            <w:vAlign w:val="center"/>
          </w:tcPr>
          <w:p w14:paraId="00775501">
            <w:pPr>
              <w:shd w:val="clear"/>
              <w:tabs>
                <w:tab w:val="left" w:pos="3360"/>
              </w:tabs>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F230C6D">
            <w:pPr>
              <w:shd w:val="clear"/>
              <w:tabs>
                <w:tab w:val="left" w:pos="3360"/>
              </w:tabs>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6275D36">
            <w:pPr>
              <w:shd w:val="clear"/>
              <w:tabs>
                <w:tab w:val="left" w:pos="3360"/>
              </w:tabs>
              <w:spacing w:line="360" w:lineRule="auto"/>
              <w:jc w:val="center"/>
              <w:rPr>
                <w:rFonts w:ascii="宋体" w:hAnsi="宋体" w:cs="宋体"/>
                <w:color w:val="auto"/>
                <w:sz w:val="24"/>
                <w:highlight w:val="none"/>
              </w:rPr>
            </w:pPr>
          </w:p>
        </w:tc>
      </w:tr>
      <w:tr w14:paraId="29501C4F">
        <w:tblPrEx>
          <w:tblCellMar>
            <w:top w:w="0" w:type="dxa"/>
            <w:left w:w="108" w:type="dxa"/>
            <w:bottom w:w="0" w:type="dxa"/>
            <w:right w:w="108" w:type="dxa"/>
          </w:tblCellMar>
        </w:tblPrEx>
        <w:trPr>
          <w:jc w:val="center"/>
        </w:trPr>
        <w:tc>
          <w:tcPr>
            <w:tcW w:w="1202" w:type="dxa"/>
            <w:vMerge w:val="continue"/>
            <w:tcBorders>
              <w:left w:val="single" w:color="auto" w:sz="4" w:space="0"/>
              <w:bottom w:val="single" w:color="auto" w:sz="4" w:space="0"/>
              <w:right w:val="single" w:color="auto" w:sz="4" w:space="0"/>
            </w:tcBorders>
            <w:vAlign w:val="center"/>
          </w:tcPr>
          <w:p w14:paraId="4DB71950">
            <w:pPr>
              <w:shd w:val="clear"/>
              <w:tabs>
                <w:tab w:val="left" w:pos="3360"/>
              </w:tabs>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798898B">
            <w:pPr>
              <w:shd w:val="clear"/>
              <w:tabs>
                <w:tab w:val="left" w:pos="3360"/>
              </w:tabs>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2160" w:type="dxa"/>
            <w:tcBorders>
              <w:top w:val="single" w:color="auto" w:sz="4" w:space="0"/>
              <w:left w:val="single" w:color="auto" w:sz="4" w:space="0"/>
              <w:bottom w:val="single" w:color="auto" w:sz="4" w:space="0"/>
              <w:right w:val="single" w:color="auto" w:sz="4" w:space="0"/>
            </w:tcBorders>
            <w:vAlign w:val="center"/>
          </w:tcPr>
          <w:p w14:paraId="197C83B6">
            <w:pPr>
              <w:shd w:val="clear"/>
              <w:tabs>
                <w:tab w:val="left" w:pos="3360"/>
              </w:tabs>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F93E032">
            <w:pPr>
              <w:shd w:val="clear"/>
              <w:tabs>
                <w:tab w:val="left" w:pos="3360"/>
              </w:tabs>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29982B8">
            <w:pPr>
              <w:shd w:val="clear"/>
              <w:tabs>
                <w:tab w:val="left" w:pos="3360"/>
              </w:tabs>
              <w:spacing w:line="360" w:lineRule="auto"/>
              <w:jc w:val="center"/>
              <w:rPr>
                <w:rFonts w:ascii="宋体" w:hAnsi="宋体" w:cs="宋体"/>
                <w:color w:val="auto"/>
                <w:sz w:val="24"/>
                <w:highlight w:val="none"/>
              </w:rPr>
            </w:pPr>
          </w:p>
        </w:tc>
      </w:tr>
      <w:tr w14:paraId="69AEE4A8">
        <w:tblPrEx>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7394B2FB">
            <w:pPr>
              <w:shd w:val="clear"/>
              <w:tabs>
                <w:tab w:val="left" w:pos="336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43C965FA">
            <w:pPr>
              <w:shd w:val="clear"/>
              <w:tabs>
                <w:tab w:val="left" w:pos="3360"/>
              </w:tabs>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9484984">
            <w:pPr>
              <w:shd w:val="clear"/>
              <w:tabs>
                <w:tab w:val="left" w:pos="3360"/>
              </w:tabs>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AFE052C">
            <w:pPr>
              <w:shd w:val="clear"/>
              <w:tabs>
                <w:tab w:val="left" w:pos="3360"/>
              </w:tabs>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00BE1FA1">
            <w:pPr>
              <w:shd w:val="clear"/>
              <w:tabs>
                <w:tab w:val="left" w:pos="3360"/>
              </w:tabs>
              <w:spacing w:line="360" w:lineRule="auto"/>
              <w:jc w:val="center"/>
              <w:rPr>
                <w:rFonts w:hint="eastAsia" w:ascii="宋体" w:hAnsi="宋体" w:eastAsia="宋体" w:cs="宋体"/>
                <w:color w:val="auto"/>
                <w:sz w:val="24"/>
                <w:highlight w:val="none"/>
                <w:lang w:val="en-US" w:eastAsia="zh-CN"/>
              </w:rPr>
            </w:pPr>
          </w:p>
        </w:tc>
      </w:tr>
      <w:tr w14:paraId="2035AF19">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9E2FCE6">
            <w:pPr>
              <w:shd w:val="clear"/>
              <w:tabs>
                <w:tab w:val="left" w:pos="3360"/>
              </w:tabs>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87B85FC">
            <w:pPr>
              <w:shd w:val="clear"/>
              <w:tabs>
                <w:tab w:val="left" w:pos="3360"/>
              </w:tabs>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34885B7E">
            <w:pPr>
              <w:shd w:val="clear"/>
              <w:tabs>
                <w:tab w:val="left" w:pos="3360"/>
              </w:tabs>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D3FC325">
            <w:pPr>
              <w:shd w:val="clear"/>
              <w:tabs>
                <w:tab w:val="left" w:pos="3360"/>
              </w:tabs>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EA5ED27">
            <w:pPr>
              <w:shd w:val="clear"/>
              <w:tabs>
                <w:tab w:val="left" w:pos="3360"/>
              </w:tabs>
              <w:spacing w:line="360" w:lineRule="auto"/>
              <w:jc w:val="center"/>
              <w:rPr>
                <w:rFonts w:ascii="宋体" w:hAnsi="宋体" w:cs="宋体"/>
                <w:color w:val="auto"/>
                <w:sz w:val="24"/>
                <w:highlight w:val="none"/>
              </w:rPr>
            </w:pPr>
          </w:p>
        </w:tc>
      </w:tr>
      <w:tr w14:paraId="25037FDB">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8A4E4DB">
            <w:pPr>
              <w:shd w:val="clear"/>
              <w:tabs>
                <w:tab w:val="left" w:pos="3360"/>
              </w:tabs>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2109E418">
            <w:pPr>
              <w:shd w:val="clear"/>
              <w:tabs>
                <w:tab w:val="left" w:pos="3360"/>
              </w:tabs>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3A051C1B">
            <w:pPr>
              <w:shd w:val="clear"/>
              <w:tabs>
                <w:tab w:val="left" w:pos="3360"/>
              </w:tabs>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F19ED35">
            <w:pPr>
              <w:shd w:val="clear"/>
              <w:tabs>
                <w:tab w:val="left" w:pos="3360"/>
              </w:tabs>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0A5AE2E8">
            <w:pPr>
              <w:shd w:val="clear"/>
              <w:tabs>
                <w:tab w:val="left" w:pos="3360"/>
              </w:tabs>
              <w:spacing w:line="360" w:lineRule="auto"/>
              <w:jc w:val="center"/>
              <w:rPr>
                <w:rFonts w:ascii="宋体" w:hAnsi="宋体" w:cs="宋体"/>
                <w:color w:val="auto"/>
                <w:sz w:val="24"/>
                <w:highlight w:val="none"/>
              </w:rPr>
            </w:pPr>
          </w:p>
        </w:tc>
      </w:tr>
      <w:tr w14:paraId="799F7212">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A4606A1">
            <w:pPr>
              <w:shd w:val="clear"/>
              <w:tabs>
                <w:tab w:val="left" w:pos="3360"/>
              </w:tabs>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7CB7F14">
            <w:pPr>
              <w:shd w:val="clear"/>
              <w:tabs>
                <w:tab w:val="left" w:pos="3360"/>
              </w:tabs>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2893CC87">
            <w:pPr>
              <w:shd w:val="clear"/>
              <w:tabs>
                <w:tab w:val="left" w:pos="3360"/>
              </w:tabs>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D49E7E6">
            <w:pPr>
              <w:shd w:val="clear"/>
              <w:tabs>
                <w:tab w:val="left" w:pos="3360"/>
              </w:tabs>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00FD7DBA">
            <w:pPr>
              <w:shd w:val="clear"/>
              <w:tabs>
                <w:tab w:val="left" w:pos="3360"/>
              </w:tabs>
              <w:spacing w:line="360" w:lineRule="auto"/>
              <w:jc w:val="center"/>
              <w:rPr>
                <w:rFonts w:ascii="宋体" w:hAnsi="宋体" w:cs="宋体"/>
                <w:color w:val="auto"/>
                <w:sz w:val="24"/>
                <w:highlight w:val="none"/>
              </w:rPr>
            </w:pPr>
          </w:p>
        </w:tc>
      </w:tr>
      <w:tr w14:paraId="224D7E4B">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AFF89EC">
            <w:pPr>
              <w:shd w:val="clear"/>
              <w:tabs>
                <w:tab w:val="left" w:pos="3360"/>
              </w:tabs>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D7DD39C">
            <w:pPr>
              <w:shd w:val="clear"/>
              <w:tabs>
                <w:tab w:val="left" w:pos="3360"/>
              </w:tabs>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049469F">
            <w:pPr>
              <w:shd w:val="clear"/>
              <w:tabs>
                <w:tab w:val="left" w:pos="3360"/>
              </w:tabs>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C7B5D58">
            <w:pPr>
              <w:shd w:val="clear"/>
              <w:tabs>
                <w:tab w:val="left" w:pos="3360"/>
              </w:tabs>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0D004782">
            <w:pPr>
              <w:shd w:val="clear"/>
              <w:tabs>
                <w:tab w:val="left" w:pos="3360"/>
              </w:tabs>
              <w:spacing w:line="360" w:lineRule="auto"/>
              <w:jc w:val="center"/>
              <w:rPr>
                <w:rFonts w:ascii="宋体" w:hAnsi="宋体" w:cs="宋体"/>
                <w:color w:val="auto"/>
                <w:sz w:val="24"/>
                <w:highlight w:val="none"/>
              </w:rPr>
            </w:pPr>
          </w:p>
        </w:tc>
      </w:tr>
      <w:tr w14:paraId="69FF7E5D">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0A1C1D2">
            <w:pPr>
              <w:shd w:val="clear"/>
              <w:tabs>
                <w:tab w:val="left" w:pos="3360"/>
              </w:tabs>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B9D340C">
            <w:pPr>
              <w:shd w:val="clear"/>
              <w:tabs>
                <w:tab w:val="left" w:pos="3360"/>
              </w:tabs>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3B5DC8D6">
            <w:pPr>
              <w:shd w:val="clear"/>
              <w:tabs>
                <w:tab w:val="left" w:pos="3360"/>
              </w:tabs>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4FA4AE8">
            <w:pPr>
              <w:shd w:val="clear"/>
              <w:tabs>
                <w:tab w:val="left" w:pos="3360"/>
              </w:tabs>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AA4C0EA">
            <w:pPr>
              <w:shd w:val="clear"/>
              <w:tabs>
                <w:tab w:val="left" w:pos="3360"/>
              </w:tabs>
              <w:spacing w:line="360" w:lineRule="auto"/>
              <w:jc w:val="center"/>
              <w:rPr>
                <w:rFonts w:ascii="宋体" w:hAnsi="宋体" w:cs="宋体"/>
                <w:color w:val="auto"/>
                <w:sz w:val="24"/>
                <w:highlight w:val="none"/>
              </w:rPr>
            </w:pPr>
          </w:p>
        </w:tc>
      </w:tr>
      <w:tr w14:paraId="0406C8E6">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FAD155C">
            <w:pPr>
              <w:shd w:val="clear"/>
              <w:tabs>
                <w:tab w:val="left" w:pos="3360"/>
              </w:tabs>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1733E31">
            <w:pPr>
              <w:shd w:val="clear"/>
              <w:tabs>
                <w:tab w:val="left" w:pos="3360"/>
              </w:tabs>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BAA2475">
            <w:pPr>
              <w:shd w:val="clear"/>
              <w:tabs>
                <w:tab w:val="left" w:pos="3360"/>
              </w:tabs>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AE86AE7">
            <w:pPr>
              <w:shd w:val="clear"/>
              <w:tabs>
                <w:tab w:val="left" w:pos="3360"/>
              </w:tabs>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7EEDC47">
            <w:pPr>
              <w:shd w:val="clear"/>
              <w:tabs>
                <w:tab w:val="left" w:pos="3360"/>
              </w:tabs>
              <w:spacing w:line="360" w:lineRule="auto"/>
              <w:jc w:val="center"/>
              <w:rPr>
                <w:rFonts w:ascii="宋体" w:hAnsi="宋体" w:cs="宋体"/>
                <w:color w:val="auto"/>
                <w:sz w:val="24"/>
                <w:highlight w:val="none"/>
              </w:rPr>
            </w:pPr>
          </w:p>
        </w:tc>
      </w:tr>
    </w:tbl>
    <w:p w14:paraId="2937ED7E">
      <w:pPr>
        <w:shd w:val="clear"/>
        <w:tabs>
          <w:tab w:val="left" w:pos="3360"/>
        </w:tabs>
        <w:spacing w:line="360" w:lineRule="auto"/>
        <w:rPr>
          <w:rFonts w:ascii="宋体" w:hAnsi="宋体" w:cs="宋体"/>
          <w:color w:val="auto"/>
          <w:sz w:val="24"/>
          <w:highlight w:val="none"/>
        </w:rPr>
      </w:pPr>
    </w:p>
    <w:p w14:paraId="53BAF365">
      <w:pPr>
        <w:shd w:val="clear"/>
        <w:tabs>
          <w:tab w:val="left" w:pos="3360"/>
        </w:tabs>
        <w:spacing w:line="360" w:lineRule="auto"/>
        <w:rPr>
          <w:rFonts w:ascii="宋体" w:hAnsi="宋体" w:cs="宋体"/>
          <w:color w:val="auto"/>
          <w:sz w:val="24"/>
          <w:highlight w:val="none"/>
        </w:rPr>
      </w:pPr>
    </w:p>
    <w:p w14:paraId="0887C7C7">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4167640E">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3B76825">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6361C238">
      <w:pPr>
        <w:shd w:val="clear"/>
        <w:tabs>
          <w:tab w:val="left" w:pos="3360"/>
        </w:tabs>
        <w:spacing w:line="360" w:lineRule="auto"/>
        <w:rPr>
          <w:rFonts w:ascii="宋体" w:hAnsi="宋体" w:cs="宋体"/>
          <w:color w:val="auto"/>
          <w:sz w:val="24"/>
          <w:highlight w:val="none"/>
        </w:rPr>
      </w:pPr>
    </w:p>
    <w:p w14:paraId="15C02E8D">
      <w:pPr>
        <w:shd w:val="clear"/>
        <w:tabs>
          <w:tab w:val="left" w:pos="3360"/>
        </w:tabs>
        <w:spacing w:line="360" w:lineRule="auto"/>
        <w:rPr>
          <w:rFonts w:ascii="宋体" w:hAnsi="宋体" w:cs="宋体"/>
          <w:color w:val="auto"/>
          <w:sz w:val="24"/>
          <w:highlight w:val="none"/>
        </w:rPr>
      </w:pPr>
    </w:p>
    <w:p w14:paraId="234D32A7">
      <w:pPr>
        <w:shd w:val="clear"/>
        <w:tabs>
          <w:tab w:val="left" w:pos="3360"/>
        </w:tabs>
        <w:spacing w:line="360" w:lineRule="auto"/>
        <w:rPr>
          <w:rFonts w:ascii="宋体" w:hAnsi="宋体" w:cs="宋体"/>
          <w:color w:val="auto"/>
          <w:sz w:val="24"/>
          <w:highlight w:val="none"/>
        </w:rPr>
      </w:pPr>
    </w:p>
    <w:p w14:paraId="00970D7C">
      <w:pPr>
        <w:shd w:val="clear"/>
        <w:tabs>
          <w:tab w:val="left" w:pos="3360"/>
        </w:tabs>
        <w:spacing w:line="360" w:lineRule="auto"/>
        <w:rPr>
          <w:rFonts w:ascii="宋体" w:hAnsi="宋体" w:cs="宋体"/>
          <w:color w:val="auto"/>
          <w:sz w:val="24"/>
          <w:highlight w:val="none"/>
        </w:rPr>
      </w:pPr>
    </w:p>
    <w:p w14:paraId="4BDC0F24">
      <w:pPr>
        <w:shd w:val="clear"/>
        <w:tabs>
          <w:tab w:val="left" w:pos="3360"/>
        </w:tabs>
        <w:spacing w:line="360" w:lineRule="auto"/>
        <w:rPr>
          <w:rFonts w:ascii="宋体" w:hAnsi="宋体" w:cs="宋体"/>
          <w:color w:val="auto"/>
          <w:sz w:val="24"/>
          <w:highlight w:val="none"/>
        </w:rPr>
      </w:pPr>
    </w:p>
    <w:p w14:paraId="43745D95">
      <w:pPr>
        <w:jc w:val="right"/>
        <w:rPr>
          <w:rFonts w:ascii="宋体" w:hAnsi="宋体" w:eastAsia="宋体" w:cs="宋体"/>
          <w:b/>
          <w:sz w:val="24"/>
        </w:rPr>
      </w:pPr>
      <w:r>
        <w:rPr>
          <w:rFonts w:hint="eastAsia" w:ascii="宋体" w:hAnsi="宋体" w:eastAsia="宋体" w:cs="宋体"/>
          <w:b/>
          <w:sz w:val="24"/>
        </w:rPr>
        <w:br w:type="page"/>
      </w:r>
    </w:p>
    <w:p w14:paraId="04C94B6D">
      <w:pPr>
        <w:tabs>
          <w:tab w:val="left" w:pos="720"/>
        </w:tabs>
        <w:spacing w:line="360" w:lineRule="auto"/>
        <w:outlineLvl w:val="0"/>
        <w:rPr>
          <w:rFonts w:ascii="宋体" w:hAnsi="宋体" w:eastAsia="宋体" w:cs="宋体"/>
          <w:b/>
          <w:sz w:val="24"/>
        </w:rPr>
      </w:pPr>
      <w:r>
        <w:rPr>
          <w:rFonts w:hint="eastAsia" w:ascii="宋体" w:hAnsi="宋体" w:eastAsia="宋体" w:cs="宋体"/>
          <w:b/>
          <w:sz w:val="24"/>
        </w:rPr>
        <w:t>附表十</w:t>
      </w:r>
      <w:r>
        <w:rPr>
          <w:rFonts w:hint="eastAsia" w:ascii="宋体" w:hAnsi="宋体" w:eastAsia="宋体" w:cs="宋体"/>
          <w:b/>
          <w:sz w:val="24"/>
          <w:lang w:val="en-US" w:eastAsia="zh-CN"/>
        </w:rPr>
        <w:t>三</w:t>
      </w:r>
      <w:r>
        <w:rPr>
          <w:rFonts w:hint="eastAsia" w:ascii="宋体" w:hAnsi="宋体" w:eastAsia="宋体" w:cs="宋体"/>
          <w:b/>
          <w:sz w:val="24"/>
        </w:rPr>
        <w:t>：</w:t>
      </w:r>
    </w:p>
    <w:p w14:paraId="489F5F3C">
      <w:pPr>
        <w:shd w:val="clear"/>
        <w:tabs>
          <w:tab w:val="left" w:pos="3360"/>
        </w:tabs>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售后服务情况表</w:t>
      </w:r>
    </w:p>
    <w:p w14:paraId="58A8F8F8">
      <w:pPr>
        <w:shd w:val="clear"/>
        <w:tabs>
          <w:tab w:val="left" w:pos="3360"/>
        </w:tabs>
        <w:spacing w:line="360" w:lineRule="auto"/>
        <w:rPr>
          <w:rFonts w:ascii="宋体" w:hAnsi="宋体" w:cs="宋体"/>
          <w:b/>
          <w:color w:val="auto"/>
          <w:sz w:val="24"/>
          <w:highlight w:val="none"/>
        </w:rPr>
      </w:pP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64B444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54428386">
            <w:pPr>
              <w:shd w:val="clear"/>
              <w:tabs>
                <w:tab w:val="left" w:pos="3360"/>
              </w:tabs>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355" w:type="dxa"/>
            <w:vAlign w:val="center"/>
          </w:tcPr>
          <w:p w14:paraId="0585E747">
            <w:pPr>
              <w:shd w:val="clear"/>
              <w:tabs>
                <w:tab w:val="left" w:pos="3360"/>
              </w:tabs>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w:t>
            </w:r>
          </w:p>
        </w:tc>
        <w:tc>
          <w:tcPr>
            <w:tcW w:w="4061" w:type="dxa"/>
            <w:vAlign w:val="center"/>
          </w:tcPr>
          <w:p w14:paraId="060DF8F4">
            <w:pPr>
              <w:shd w:val="clear"/>
              <w:tabs>
                <w:tab w:val="left" w:pos="3360"/>
              </w:tabs>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磋商供应商承诺</w:t>
            </w:r>
          </w:p>
        </w:tc>
        <w:tc>
          <w:tcPr>
            <w:tcW w:w="1373" w:type="dxa"/>
            <w:vAlign w:val="center"/>
          </w:tcPr>
          <w:p w14:paraId="57733FFC">
            <w:pPr>
              <w:shd w:val="clear"/>
              <w:tabs>
                <w:tab w:val="left" w:pos="3360"/>
              </w:tabs>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22D00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32" w:hRule="atLeast"/>
          <w:jc w:val="center"/>
        </w:trPr>
        <w:tc>
          <w:tcPr>
            <w:tcW w:w="739" w:type="dxa"/>
            <w:vAlign w:val="center"/>
          </w:tcPr>
          <w:p w14:paraId="27A2B66C">
            <w:pPr>
              <w:shd w:val="clear"/>
              <w:tabs>
                <w:tab w:val="left" w:pos="336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355" w:type="dxa"/>
            <w:vAlign w:val="center"/>
          </w:tcPr>
          <w:p w14:paraId="7DF755E4">
            <w:pPr>
              <w:shd w:val="clear"/>
              <w:tabs>
                <w:tab w:val="left" w:pos="336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售后服务情况（服务方式、服务网点、售后服务的内容和措施等等，可用附页和宣传材料）</w:t>
            </w:r>
          </w:p>
        </w:tc>
        <w:tc>
          <w:tcPr>
            <w:tcW w:w="4061" w:type="dxa"/>
            <w:vAlign w:val="center"/>
          </w:tcPr>
          <w:p w14:paraId="7B19F125">
            <w:pPr>
              <w:shd w:val="clear"/>
              <w:tabs>
                <w:tab w:val="left" w:pos="3360"/>
              </w:tabs>
              <w:spacing w:line="360" w:lineRule="auto"/>
              <w:jc w:val="center"/>
              <w:rPr>
                <w:rFonts w:ascii="宋体" w:hAnsi="宋体" w:cs="宋体"/>
                <w:color w:val="auto"/>
                <w:sz w:val="24"/>
                <w:highlight w:val="none"/>
              </w:rPr>
            </w:pPr>
          </w:p>
        </w:tc>
        <w:tc>
          <w:tcPr>
            <w:tcW w:w="1373" w:type="dxa"/>
            <w:vAlign w:val="center"/>
          </w:tcPr>
          <w:p w14:paraId="40806D89">
            <w:pPr>
              <w:shd w:val="clear"/>
              <w:tabs>
                <w:tab w:val="left" w:pos="3360"/>
              </w:tabs>
              <w:spacing w:line="360" w:lineRule="auto"/>
              <w:jc w:val="center"/>
              <w:rPr>
                <w:rFonts w:ascii="宋体" w:hAnsi="宋体" w:cs="宋体"/>
                <w:color w:val="auto"/>
                <w:sz w:val="24"/>
                <w:highlight w:val="none"/>
              </w:rPr>
            </w:pPr>
          </w:p>
        </w:tc>
      </w:tr>
      <w:tr w14:paraId="62B566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473C61B4">
            <w:pPr>
              <w:shd w:val="clear"/>
              <w:tabs>
                <w:tab w:val="left" w:pos="336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355" w:type="dxa"/>
            <w:vAlign w:val="center"/>
          </w:tcPr>
          <w:p w14:paraId="6F59A07D">
            <w:pPr>
              <w:shd w:val="clear"/>
              <w:tabs>
                <w:tab w:val="left" w:pos="3360"/>
              </w:tabs>
              <w:spacing w:line="360" w:lineRule="auto"/>
              <w:jc w:val="center"/>
              <w:rPr>
                <w:rFonts w:ascii="宋体" w:hAnsi="宋体" w:cs="宋体"/>
                <w:color w:val="auto"/>
                <w:sz w:val="24"/>
                <w:highlight w:val="none"/>
              </w:rPr>
            </w:pPr>
          </w:p>
        </w:tc>
        <w:tc>
          <w:tcPr>
            <w:tcW w:w="4061" w:type="dxa"/>
            <w:vAlign w:val="center"/>
          </w:tcPr>
          <w:p w14:paraId="3FEBB3E7">
            <w:pPr>
              <w:shd w:val="clear"/>
              <w:tabs>
                <w:tab w:val="left" w:pos="3360"/>
              </w:tabs>
              <w:spacing w:line="360" w:lineRule="auto"/>
              <w:jc w:val="center"/>
              <w:rPr>
                <w:rFonts w:ascii="宋体" w:hAnsi="宋体" w:cs="宋体"/>
                <w:color w:val="auto"/>
                <w:sz w:val="24"/>
                <w:highlight w:val="none"/>
              </w:rPr>
            </w:pPr>
          </w:p>
          <w:p w14:paraId="335AAB62">
            <w:pPr>
              <w:shd w:val="clear"/>
              <w:tabs>
                <w:tab w:val="left" w:pos="3360"/>
              </w:tabs>
              <w:spacing w:line="360" w:lineRule="auto"/>
              <w:jc w:val="center"/>
              <w:rPr>
                <w:rFonts w:ascii="宋体" w:hAnsi="宋体" w:cs="宋体"/>
                <w:color w:val="auto"/>
                <w:sz w:val="24"/>
                <w:highlight w:val="none"/>
              </w:rPr>
            </w:pPr>
          </w:p>
          <w:p w14:paraId="44B729A9">
            <w:pPr>
              <w:shd w:val="clear"/>
              <w:tabs>
                <w:tab w:val="left" w:pos="3360"/>
              </w:tabs>
              <w:spacing w:line="360" w:lineRule="auto"/>
              <w:jc w:val="center"/>
              <w:rPr>
                <w:rFonts w:ascii="宋体" w:hAnsi="宋体" w:cs="宋体"/>
                <w:color w:val="auto"/>
                <w:sz w:val="24"/>
                <w:highlight w:val="none"/>
              </w:rPr>
            </w:pPr>
          </w:p>
        </w:tc>
        <w:tc>
          <w:tcPr>
            <w:tcW w:w="1373" w:type="dxa"/>
            <w:vAlign w:val="center"/>
          </w:tcPr>
          <w:p w14:paraId="623717A1">
            <w:pPr>
              <w:shd w:val="clear"/>
              <w:tabs>
                <w:tab w:val="left" w:pos="3360"/>
              </w:tabs>
              <w:spacing w:line="360" w:lineRule="auto"/>
              <w:jc w:val="center"/>
              <w:rPr>
                <w:rFonts w:ascii="宋体" w:hAnsi="宋体" w:cs="宋体"/>
                <w:color w:val="auto"/>
                <w:sz w:val="24"/>
                <w:highlight w:val="none"/>
              </w:rPr>
            </w:pPr>
          </w:p>
          <w:p w14:paraId="19C5B965">
            <w:pPr>
              <w:shd w:val="clear"/>
              <w:tabs>
                <w:tab w:val="left" w:pos="3360"/>
              </w:tabs>
              <w:spacing w:line="360" w:lineRule="auto"/>
              <w:jc w:val="center"/>
              <w:rPr>
                <w:rFonts w:ascii="宋体" w:hAnsi="宋体" w:cs="宋体"/>
                <w:color w:val="auto"/>
                <w:sz w:val="24"/>
                <w:highlight w:val="none"/>
              </w:rPr>
            </w:pPr>
          </w:p>
          <w:p w14:paraId="54E45506">
            <w:pPr>
              <w:shd w:val="clear"/>
              <w:tabs>
                <w:tab w:val="left" w:pos="3360"/>
              </w:tabs>
              <w:spacing w:line="360" w:lineRule="auto"/>
              <w:jc w:val="center"/>
              <w:rPr>
                <w:rFonts w:ascii="宋体" w:hAnsi="宋体" w:cs="宋体"/>
                <w:color w:val="auto"/>
                <w:sz w:val="24"/>
                <w:highlight w:val="none"/>
              </w:rPr>
            </w:pPr>
          </w:p>
        </w:tc>
      </w:tr>
      <w:tr w14:paraId="2A270F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1D43DD89">
            <w:pPr>
              <w:shd w:val="clear"/>
              <w:tabs>
                <w:tab w:val="left" w:pos="336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355" w:type="dxa"/>
            <w:vAlign w:val="center"/>
          </w:tcPr>
          <w:p w14:paraId="66D00931">
            <w:pPr>
              <w:shd w:val="clear"/>
              <w:tabs>
                <w:tab w:val="left" w:pos="3360"/>
              </w:tabs>
              <w:spacing w:line="360" w:lineRule="auto"/>
              <w:jc w:val="center"/>
              <w:rPr>
                <w:rFonts w:ascii="宋体" w:hAnsi="宋体" w:cs="宋体"/>
                <w:color w:val="auto"/>
                <w:sz w:val="24"/>
                <w:highlight w:val="none"/>
              </w:rPr>
            </w:pPr>
          </w:p>
        </w:tc>
        <w:tc>
          <w:tcPr>
            <w:tcW w:w="4061" w:type="dxa"/>
            <w:vAlign w:val="center"/>
          </w:tcPr>
          <w:p w14:paraId="266AF52F">
            <w:pPr>
              <w:shd w:val="clear"/>
              <w:tabs>
                <w:tab w:val="left" w:pos="3360"/>
              </w:tabs>
              <w:spacing w:line="360" w:lineRule="auto"/>
              <w:jc w:val="center"/>
              <w:rPr>
                <w:rFonts w:ascii="宋体" w:hAnsi="宋体" w:cs="宋体"/>
                <w:color w:val="auto"/>
                <w:sz w:val="24"/>
                <w:highlight w:val="none"/>
              </w:rPr>
            </w:pPr>
          </w:p>
          <w:p w14:paraId="550A822F">
            <w:pPr>
              <w:shd w:val="clear"/>
              <w:tabs>
                <w:tab w:val="left" w:pos="3360"/>
              </w:tabs>
              <w:spacing w:line="360" w:lineRule="auto"/>
              <w:jc w:val="center"/>
              <w:rPr>
                <w:rFonts w:ascii="宋体" w:hAnsi="宋体" w:cs="宋体"/>
                <w:color w:val="auto"/>
                <w:sz w:val="24"/>
                <w:highlight w:val="none"/>
              </w:rPr>
            </w:pPr>
          </w:p>
        </w:tc>
        <w:tc>
          <w:tcPr>
            <w:tcW w:w="1373" w:type="dxa"/>
            <w:vAlign w:val="center"/>
          </w:tcPr>
          <w:p w14:paraId="28A7FAF9">
            <w:pPr>
              <w:shd w:val="clear"/>
              <w:tabs>
                <w:tab w:val="left" w:pos="3360"/>
              </w:tabs>
              <w:spacing w:line="360" w:lineRule="auto"/>
              <w:jc w:val="center"/>
              <w:rPr>
                <w:rFonts w:ascii="宋体" w:hAnsi="宋体" w:cs="宋体"/>
                <w:color w:val="auto"/>
                <w:sz w:val="24"/>
                <w:highlight w:val="none"/>
              </w:rPr>
            </w:pPr>
          </w:p>
          <w:p w14:paraId="1F092E81">
            <w:pPr>
              <w:shd w:val="clear"/>
              <w:tabs>
                <w:tab w:val="left" w:pos="3360"/>
              </w:tabs>
              <w:spacing w:line="360" w:lineRule="auto"/>
              <w:jc w:val="center"/>
              <w:rPr>
                <w:rFonts w:ascii="宋体" w:hAnsi="宋体" w:cs="宋体"/>
                <w:color w:val="auto"/>
                <w:sz w:val="24"/>
                <w:highlight w:val="none"/>
              </w:rPr>
            </w:pPr>
          </w:p>
          <w:p w14:paraId="4EAC4A14">
            <w:pPr>
              <w:shd w:val="clear"/>
              <w:tabs>
                <w:tab w:val="left" w:pos="3360"/>
              </w:tabs>
              <w:spacing w:line="360" w:lineRule="auto"/>
              <w:jc w:val="center"/>
              <w:rPr>
                <w:rFonts w:ascii="宋体" w:hAnsi="宋体" w:cs="宋体"/>
                <w:color w:val="auto"/>
                <w:sz w:val="24"/>
                <w:highlight w:val="none"/>
              </w:rPr>
            </w:pPr>
          </w:p>
        </w:tc>
      </w:tr>
      <w:tr w14:paraId="00271D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3E9C00A1">
            <w:pPr>
              <w:shd w:val="clear"/>
              <w:tabs>
                <w:tab w:val="left" w:pos="336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355" w:type="dxa"/>
            <w:vAlign w:val="center"/>
          </w:tcPr>
          <w:p w14:paraId="3917F50A">
            <w:pPr>
              <w:shd w:val="clear"/>
              <w:tabs>
                <w:tab w:val="left" w:pos="336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4061" w:type="dxa"/>
            <w:vAlign w:val="center"/>
          </w:tcPr>
          <w:p w14:paraId="7655C89C">
            <w:pPr>
              <w:shd w:val="clear"/>
              <w:tabs>
                <w:tab w:val="left" w:pos="3360"/>
              </w:tabs>
              <w:spacing w:line="360" w:lineRule="auto"/>
              <w:jc w:val="center"/>
              <w:rPr>
                <w:rFonts w:ascii="宋体" w:hAnsi="宋体" w:cs="宋体"/>
                <w:color w:val="auto"/>
                <w:sz w:val="24"/>
                <w:highlight w:val="none"/>
              </w:rPr>
            </w:pPr>
          </w:p>
        </w:tc>
        <w:tc>
          <w:tcPr>
            <w:tcW w:w="1373" w:type="dxa"/>
            <w:vAlign w:val="center"/>
          </w:tcPr>
          <w:p w14:paraId="559A56B8">
            <w:pPr>
              <w:shd w:val="clear"/>
              <w:tabs>
                <w:tab w:val="left" w:pos="3360"/>
              </w:tabs>
              <w:spacing w:line="360" w:lineRule="auto"/>
              <w:jc w:val="center"/>
              <w:rPr>
                <w:rFonts w:ascii="宋体" w:hAnsi="宋体" w:cs="宋体"/>
                <w:color w:val="auto"/>
                <w:sz w:val="24"/>
                <w:highlight w:val="none"/>
              </w:rPr>
            </w:pPr>
          </w:p>
        </w:tc>
      </w:tr>
    </w:tbl>
    <w:p w14:paraId="463F95C2">
      <w:pPr>
        <w:shd w:val="clear"/>
        <w:tabs>
          <w:tab w:val="left" w:pos="3360"/>
        </w:tabs>
        <w:spacing w:line="360" w:lineRule="auto"/>
        <w:rPr>
          <w:rFonts w:ascii="宋体" w:hAnsi="宋体" w:cs="宋体"/>
          <w:b/>
          <w:color w:val="auto"/>
          <w:sz w:val="24"/>
          <w:highlight w:val="none"/>
        </w:rPr>
      </w:pPr>
    </w:p>
    <w:p w14:paraId="0496284E">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3B23494C">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16D0C8A">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6E87C796">
      <w:pPr>
        <w:shd w:val="clear"/>
        <w:tabs>
          <w:tab w:val="left" w:pos="3360"/>
        </w:tabs>
        <w:spacing w:line="360" w:lineRule="auto"/>
        <w:rPr>
          <w:rFonts w:ascii="宋体" w:hAnsi="宋体" w:cs="宋体"/>
          <w:b/>
          <w:color w:val="auto"/>
          <w:sz w:val="24"/>
          <w:highlight w:val="none"/>
        </w:rPr>
      </w:pPr>
    </w:p>
    <w:p w14:paraId="6D75EA74">
      <w:pPr>
        <w:shd w:val="clear"/>
        <w:tabs>
          <w:tab w:val="left" w:pos="3360"/>
        </w:tabs>
        <w:spacing w:line="360" w:lineRule="auto"/>
        <w:rPr>
          <w:rFonts w:ascii="宋体" w:hAnsi="宋体" w:cs="宋体"/>
          <w:b/>
          <w:color w:val="auto"/>
          <w:sz w:val="24"/>
          <w:highlight w:val="none"/>
        </w:rPr>
      </w:pPr>
    </w:p>
    <w:p w14:paraId="0BAC19D3">
      <w:pPr>
        <w:shd w:val="clear"/>
        <w:tabs>
          <w:tab w:val="left" w:pos="3360"/>
        </w:tabs>
        <w:spacing w:line="360" w:lineRule="auto"/>
        <w:rPr>
          <w:rFonts w:ascii="宋体" w:hAnsi="宋体" w:cs="宋体"/>
          <w:b/>
          <w:color w:val="auto"/>
          <w:sz w:val="24"/>
          <w:highlight w:val="none"/>
        </w:rPr>
      </w:pPr>
    </w:p>
    <w:p w14:paraId="3E61240C">
      <w:pPr>
        <w:rPr>
          <w:rFonts w:ascii="宋体" w:hAnsi="宋体" w:eastAsia="宋体" w:cs="宋体"/>
          <w:lang w:val="zh-CN"/>
        </w:rPr>
      </w:pPr>
      <w:r>
        <w:rPr>
          <w:rFonts w:hint="eastAsia" w:ascii="宋体" w:hAnsi="宋体" w:eastAsia="宋体" w:cs="宋体"/>
          <w:lang w:val="zh-CN"/>
        </w:rPr>
        <w:br w:type="page"/>
      </w:r>
    </w:p>
    <w:p w14:paraId="05E6FBDD">
      <w:pPr>
        <w:pStyle w:val="4"/>
        <w:spacing w:line="360" w:lineRule="auto"/>
        <w:jc w:val="center"/>
        <w:rPr>
          <w:rFonts w:ascii="宋体" w:hAnsi="宋体" w:eastAsia="宋体" w:cs="宋体"/>
          <w:bCs w:val="0"/>
          <w:lang w:val="zh-CN"/>
        </w:rPr>
      </w:pPr>
      <w:r>
        <w:rPr>
          <w:rFonts w:hint="eastAsia" w:ascii="宋体" w:hAnsi="宋体" w:eastAsia="宋体" w:cs="宋体"/>
          <w:bCs w:val="0"/>
          <w:lang w:val="zh-CN"/>
        </w:rPr>
        <w:t>3、报价文件格式</w:t>
      </w:r>
    </w:p>
    <w:p w14:paraId="08377993">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目   录</w:t>
      </w:r>
    </w:p>
    <w:p w14:paraId="2AA532A3">
      <w:pPr>
        <w:spacing w:line="360" w:lineRule="auto"/>
        <w:jc w:val="center"/>
        <w:rPr>
          <w:rFonts w:ascii="宋体" w:hAnsi="宋体" w:eastAsia="宋体" w:cs="宋体"/>
          <w:sz w:val="21"/>
          <w:szCs w:val="21"/>
        </w:rPr>
      </w:pPr>
      <w:r>
        <w:rPr>
          <w:rFonts w:hint="eastAsia" w:ascii="宋体" w:hAnsi="宋体" w:eastAsia="宋体" w:cs="宋体"/>
          <w:sz w:val="21"/>
          <w:szCs w:val="21"/>
        </w:rPr>
        <w:t>（供应商可参考采购文件“第三部分 磋商须知”报价文件组成要求编排）</w:t>
      </w:r>
    </w:p>
    <w:p w14:paraId="55A17D01">
      <w:pPr>
        <w:snapToGrid w:val="0"/>
        <w:spacing w:before="50" w:after="50"/>
        <w:jc w:val="center"/>
        <w:rPr>
          <w:rFonts w:ascii="宋体" w:hAnsi="宋体" w:eastAsia="宋体" w:cs="宋体"/>
          <w:b/>
          <w:sz w:val="24"/>
        </w:rPr>
      </w:pPr>
    </w:p>
    <w:p w14:paraId="48A0F6C2">
      <w:pPr>
        <w:snapToGrid w:val="0"/>
        <w:spacing w:before="120" w:beforeLines="50" w:after="50" w:line="360" w:lineRule="auto"/>
        <w:rPr>
          <w:rFonts w:ascii="宋体" w:hAnsi="宋体" w:eastAsia="宋体" w:cs="宋体"/>
          <w:b/>
          <w:sz w:val="28"/>
        </w:rPr>
      </w:pPr>
    </w:p>
    <w:p w14:paraId="4C927191">
      <w:pPr>
        <w:pStyle w:val="11"/>
        <w:ind w:firstLine="241"/>
        <w:rPr>
          <w:rFonts w:ascii="宋体" w:hAnsi="宋体" w:eastAsia="宋体" w:cs="宋体"/>
          <w:b/>
          <w:sz w:val="24"/>
          <w:szCs w:val="24"/>
        </w:rPr>
      </w:pPr>
    </w:p>
    <w:p w14:paraId="76F172C1">
      <w:pPr>
        <w:pStyle w:val="11"/>
        <w:ind w:firstLine="241"/>
        <w:rPr>
          <w:rFonts w:ascii="宋体" w:hAnsi="宋体" w:eastAsia="宋体" w:cs="宋体"/>
          <w:b/>
          <w:sz w:val="24"/>
          <w:szCs w:val="24"/>
        </w:rPr>
      </w:pPr>
    </w:p>
    <w:p w14:paraId="007943BC">
      <w:pPr>
        <w:pStyle w:val="11"/>
        <w:ind w:firstLine="241"/>
        <w:rPr>
          <w:rFonts w:ascii="宋体" w:hAnsi="宋体" w:eastAsia="宋体" w:cs="宋体"/>
          <w:b/>
          <w:sz w:val="24"/>
          <w:szCs w:val="24"/>
        </w:rPr>
      </w:pPr>
    </w:p>
    <w:p w14:paraId="38457F19">
      <w:pPr>
        <w:pStyle w:val="11"/>
        <w:ind w:firstLine="241"/>
        <w:rPr>
          <w:rFonts w:ascii="宋体" w:hAnsi="宋体" w:eastAsia="宋体" w:cs="宋体"/>
          <w:b/>
          <w:sz w:val="24"/>
          <w:szCs w:val="24"/>
        </w:rPr>
      </w:pPr>
    </w:p>
    <w:p w14:paraId="4A1FC345">
      <w:pPr>
        <w:pStyle w:val="11"/>
        <w:ind w:firstLine="241"/>
        <w:rPr>
          <w:rFonts w:ascii="宋体" w:hAnsi="宋体" w:eastAsia="宋体" w:cs="宋体"/>
          <w:b/>
          <w:sz w:val="24"/>
          <w:szCs w:val="24"/>
        </w:rPr>
      </w:pPr>
    </w:p>
    <w:p w14:paraId="7C8F08C0">
      <w:pPr>
        <w:pStyle w:val="11"/>
        <w:ind w:firstLine="241"/>
        <w:rPr>
          <w:rFonts w:ascii="宋体" w:hAnsi="宋体" w:eastAsia="宋体" w:cs="宋体"/>
          <w:b/>
          <w:sz w:val="24"/>
          <w:szCs w:val="24"/>
        </w:rPr>
      </w:pPr>
    </w:p>
    <w:p w14:paraId="3D4D8221">
      <w:pPr>
        <w:pStyle w:val="11"/>
        <w:ind w:firstLine="241"/>
        <w:rPr>
          <w:rFonts w:ascii="宋体" w:hAnsi="宋体" w:eastAsia="宋体" w:cs="宋体"/>
          <w:b/>
          <w:sz w:val="24"/>
          <w:szCs w:val="24"/>
        </w:rPr>
      </w:pPr>
    </w:p>
    <w:p w14:paraId="40D509EC">
      <w:pPr>
        <w:pStyle w:val="11"/>
        <w:ind w:firstLine="241"/>
        <w:rPr>
          <w:rFonts w:ascii="宋体" w:hAnsi="宋体" w:eastAsia="宋体" w:cs="宋体"/>
          <w:b/>
          <w:sz w:val="24"/>
          <w:szCs w:val="24"/>
        </w:rPr>
      </w:pPr>
    </w:p>
    <w:p w14:paraId="7FEC8D3F">
      <w:pPr>
        <w:pStyle w:val="11"/>
        <w:ind w:firstLine="241"/>
        <w:rPr>
          <w:rFonts w:ascii="宋体" w:hAnsi="宋体" w:eastAsia="宋体" w:cs="宋体"/>
          <w:b/>
          <w:sz w:val="24"/>
          <w:szCs w:val="24"/>
        </w:rPr>
      </w:pPr>
    </w:p>
    <w:p w14:paraId="59213CE8">
      <w:pPr>
        <w:pStyle w:val="11"/>
        <w:ind w:firstLine="241"/>
        <w:rPr>
          <w:rFonts w:ascii="宋体" w:hAnsi="宋体" w:eastAsia="宋体" w:cs="宋体"/>
          <w:b/>
          <w:sz w:val="24"/>
          <w:szCs w:val="24"/>
        </w:rPr>
      </w:pPr>
    </w:p>
    <w:p w14:paraId="5D32CD91">
      <w:pPr>
        <w:pStyle w:val="11"/>
        <w:ind w:firstLine="241"/>
        <w:rPr>
          <w:rFonts w:ascii="宋体" w:hAnsi="宋体" w:eastAsia="宋体" w:cs="宋体"/>
          <w:b/>
          <w:sz w:val="24"/>
          <w:szCs w:val="24"/>
        </w:rPr>
      </w:pPr>
    </w:p>
    <w:p w14:paraId="7301DF2C">
      <w:pPr>
        <w:pStyle w:val="11"/>
        <w:ind w:firstLine="241"/>
        <w:rPr>
          <w:rFonts w:ascii="宋体" w:hAnsi="宋体" w:eastAsia="宋体" w:cs="宋体"/>
          <w:b/>
          <w:sz w:val="24"/>
          <w:szCs w:val="24"/>
        </w:rPr>
      </w:pPr>
    </w:p>
    <w:p w14:paraId="6890C0A6">
      <w:pPr>
        <w:pStyle w:val="11"/>
        <w:ind w:firstLine="241"/>
        <w:rPr>
          <w:rFonts w:ascii="宋体" w:hAnsi="宋体" w:eastAsia="宋体" w:cs="宋体"/>
          <w:b/>
          <w:sz w:val="24"/>
          <w:szCs w:val="24"/>
        </w:rPr>
      </w:pPr>
    </w:p>
    <w:p w14:paraId="1A7B9D2E">
      <w:pPr>
        <w:pStyle w:val="11"/>
        <w:ind w:firstLine="241"/>
        <w:rPr>
          <w:rFonts w:ascii="宋体" w:hAnsi="宋体" w:eastAsia="宋体" w:cs="宋体"/>
          <w:b/>
          <w:sz w:val="24"/>
          <w:szCs w:val="24"/>
        </w:rPr>
      </w:pPr>
    </w:p>
    <w:p w14:paraId="172D1CDD">
      <w:pPr>
        <w:pStyle w:val="11"/>
        <w:ind w:firstLine="241"/>
        <w:rPr>
          <w:rFonts w:ascii="宋体" w:hAnsi="宋体" w:eastAsia="宋体" w:cs="宋体"/>
          <w:b/>
          <w:sz w:val="24"/>
          <w:szCs w:val="24"/>
        </w:rPr>
      </w:pPr>
    </w:p>
    <w:p w14:paraId="60A848A1">
      <w:pPr>
        <w:pStyle w:val="11"/>
        <w:ind w:firstLine="241"/>
        <w:rPr>
          <w:rFonts w:ascii="宋体" w:hAnsi="宋体" w:eastAsia="宋体" w:cs="宋体"/>
          <w:b/>
          <w:sz w:val="24"/>
          <w:szCs w:val="24"/>
        </w:rPr>
      </w:pPr>
    </w:p>
    <w:p w14:paraId="00546A1E">
      <w:pPr>
        <w:pStyle w:val="11"/>
        <w:ind w:firstLine="241"/>
        <w:rPr>
          <w:rFonts w:ascii="宋体" w:hAnsi="宋体" w:eastAsia="宋体" w:cs="宋体"/>
          <w:b/>
          <w:sz w:val="24"/>
          <w:szCs w:val="24"/>
        </w:rPr>
      </w:pPr>
    </w:p>
    <w:p w14:paraId="33EE69C7">
      <w:pPr>
        <w:pStyle w:val="11"/>
        <w:ind w:firstLine="241"/>
        <w:rPr>
          <w:rFonts w:ascii="宋体" w:hAnsi="宋体" w:eastAsia="宋体" w:cs="宋体"/>
          <w:b/>
          <w:sz w:val="24"/>
          <w:szCs w:val="24"/>
        </w:rPr>
      </w:pPr>
    </w:p>
    <w:p w14:paraId="5D040E33">
      <w:pPr>
        <w:pStyle w:val="11"/>
        <w:ind w:firstLine="241"/>
        <w:rPr>
          <w:rFonts w:ascii="宋体" w:hAnsi="宋体" w:eastAsia="宋体" w:cs="宋体"/>
          <w:b/>
          <w:sz w:val="24"/>
          <w:szCs w:val="24"/>
        </w:rPr>
      </w:pPr>
    </w:p>
    <w:p w14:paraId="0F47CD58">
      <w:pPr>
        <w:pStyle w:val="11"/>
        <w:ind w:firstLine="241"/>
        <w:rPr>
          <w:rFonts w:ascii="宋体" w:hAnsi="宋体" w:eastAsia="宋体" w:cs="宋体"/>
          <w:b/>
          <w:sz w:val="24"/>
          <w:szCs w:val="24"/>
        </w:rPr>
      </w:pPr>
    </w:p>
    <w:p w14:paraId="6665D1B1">
      <w:pPr>
        <w:pStyle w:val="11"/>
        <w:ind w:firstLine="241"/>
        <w:rPr>
          <w:rFonts w:ascii="宋体" w:hAnsi="宋体" w:eastAsia="宋体" w:cs="宋体"/>
          <w:b/>
          <w:sz w:val="24"/>
          <w:szCs w:val="24"/>
        </w:rPr>
      </w:pPr>
    </w:p>
    <w:p w14:paraId="6F4C7398">
      <w:pPr>
        <w:pStyle w:val="11"/>
        <w:ind w:firstLine="241"/>
        <w:rPr>
          <w:rFonts w:ascii="宋体" w:hAnsi="宋体" w:eastAsia="宋体" w:cs="宋体"/>
          <w:b/>
          <w:sz w:val="24"/>
          <w:szCs w:val="24"/>
        </w:rPr>
      </w:pPr>
    </w:p>
    <w:p w14:paraId="23F33FE8">
      <w:pPr>
        <w:pStyle w:val="11"/>
        <w:ind w:firstLine="241"/>
        <w:rPr>
          <w:rFonts w:ascii="宋体" w:hAnsi="宋体" w:eastAsia="宋体" w:cs="宋体"/>
          <w:b/>
          <w:sz w:val="24"/>
          <w:szCs w:val="24"/>
        </w:rPr>
      </w:pPr>
    </w:p>
    <w:p w14:paraId="7F0E8190">
      <w:pPr>
        <w:pStyle w:val="11"/>
        <w:ind w:firstLine="241"/>
        <w:rPr>
          <w:rFonts w:ascii="宋体" w:hAnsi="宋体" w:eastAsia="宋体" w:cs="宋体"/>
          <w:b/>
          <w:sz w:val="24"/>
          <w:szCs w:val="24"/>
        </w:rPr>
      </w:pPr>
    </w:p>
    <w:p w14:paraId="6FC43ECE">
      <w:pPr>
        <w:rPr>
          <w:rFonts w:hint="eastAsia" w:ascii="宋体" w:hAnsi="宋体" w:eastAsia="宋体" w:cs="宋体"/>
          <w:b/>
          <w:sz w:val="24"/>
        </w:rPr>
      </w:pPr>
      <w:r>
        <w:rPr>
          <w:rFonts w:hint="eastAsia" w:ascii="宋体" w:hAnsi="宋体" w:eastAsia="宋体" w:cs="宋体"/>
          <w:b/>
          <w:sz w:val="24"/>
        </w:rPr>
        <w:br w:type="page"/>
      </w:r>
    </w:p>
    <w:p w14:paraId="419ECB5D">
      <w:pPr>
        <w:rPr>
          <w:rFonts w:ascii="宋体" w:hAnsi="宋体" w:eastAsia="宋体" w:cs="宋体"/>
          <w:b/>
          <w:sz w:val="24"/>
        </w:rPr>
      </w:pPr>
      <w:r>
        <w:rPr>
          <w:rFonts w:hint="eastAsia" w:ascii="宋体" w:hAnsi="宋体" w:eastAsia="宋体" w:cs="宋体"/>
          <w:b/>
          <w:sz w:val="24"/>
        </w:rPr>
        <w:t>附件十</w:t>
      </w:r>
      <w:r>
        <w:rPr>
          <w:rFonts w:hint="eastAsia" w:ascii="宋体" w:hAnsi="宋体" w:eastAsia="宋体" w:cs="宋体"/>
          <w:b/>
          <w:sz w:val="24"/>
          <w:lang w:val="en-US" w:eastAsia="zh-CN"/>
        </w:rPr>
        <w:t>四</w:t>
      </w:r>
      <w:r>
        <w:rPr>
          <w:rFonts w:hint="eastAsia" w:ascii="宋体" w:hAnsi="宋体" w:eastAsia="宋体" w:cs="宋体"/>
          <w:b/>
          <w:sz w:val="24"/>
        </w:rPr>
        <w:t>：</w:t>
      </w:r>
    </w:p>
    <w:p w14:paraId="4F20995F">
      <w:pPr>
        <w:snapToGrid w:val="0"/>
        <w:spacing w:line="360" w:lineRule="auto"/>
        <w:jc w:val="center"/>
        <w:rPr>
          <w:rFonts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（首次报价）</w:t>
      </w:r>
    </w:p>
    <w:p w14:paraId="594D2EA7">
      <w:pPr>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台州市投资促进中心招商引资服务采购项目（第二次）</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0C23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3ADAC11C">
            <w:pPr>
              <w:snapToGrid w:val="0"/>
              <w:jc w:val="center"/>
              <w:rPr>
                <w:rFonts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542B048E">
            <w:pPr>
              <w:snapToGrid w:val="0"/>
              <w:jc w:val="center"/>
              <w:rPr>
                <w:rFonts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4E6C5A4F">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w:t>
            </w:r>
          </w:p>
        </w:tc>
      </w:tr>
      <w:tr w14:paraId="1DAC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29CDAF30">
            <w:pPr>
              <w:snapToGrid w:val="0"/>
              <w:jc w:val="center"/>
              <w:rPr>
                <w:rFonts w:ascii="宋体" w:hAnsi="宋体" w:eastAsia="宋体" w:cs="宋体"/>
                <w:b/>
                <w:bCs/>
                <w:sz w:val="21"/>
                <w:szCs w:val="21"/>
              </w:rPr>
            </w:pPr>
          </w:p>
        </w:tc>
        <w:tc>
          <w:tcPr>
            <w:tcW w:w="1085" w:type="dxa"/>
            <w:noWrap/>
            <w:vAlign w:val="center"/>
          </w:tcPr>
          <w:p w14:paraId="32DEBA2F">
            <w:pPr>
              <w:snapToGrid w:val="0"/>
              <w:jc w:val="center"/>
              <w:rPr>
                <w:rFonts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0678F1F2">
            <w:pPr>
              <w:snapToGrid w:val="0"/>
              <w:ind w:firstLine="211" w:firstLineChars="100"/>
              <w:jc w:val="left"/>
              <w:rPr>
                <w:rFonts w:ascii="宋体" w:hAnsi="宋体" w:eastAsia="宋体" w:cs="宋体"/>
                <w:b/>
                <w:bCs/>
                <w:sz w:val="21"/>
                <w:szCs w:val="21"/>
              </w:rPr>
            </w:pPr>
            <w:r>
              <w:rPr>
                <w:rFonts w:hint="eastAsia" w:ascii="宋体" w:hAnsi="宋体" w:eastAsia="宋体" w:cs="宋体"/>
                <w:b/>
                <w:bCs/>
                <w:sz w:val="21"/>
                <w:szCs w:val="21"/>
              </w:rPr>
              <w:t>人民币：</w:t>
            </w:r>
          </w:p>
        </w:tc>
      </w:tr>
    </w:tbl>
    <w:p w14:paraId="44F814E5">
      <w:pPr>
        <w:snapToGrid w:val="0"/>
        <w:spacing w:line="120" w:lineRule="exact"/>
        <w:jc w:val="left"/>
        <w:rPr>
          <w:rFonts w:ascii="宋体" w:hAnsi="宋体" w:eastAsia="宋体" w:cs="宋体"/>
          <w:sz w:val="21"/>
          <w:szCs w:val="21"/>
        </w:rPr>
      </w:pPr>
    </w:p>
    <w:p w14:paraId="0D0CF9D3">
      <w:pPr>
        <w:snapToGrid w:val="0"/>
        <w:spacing w:before="50" w:after="50" w:line="360" w:lineRule="auto"/>
        <w:jc w:val="left"/>
        <w:rPr>
          <w:rFonts w:ascii="宋体" w:hAnsi="宋体" w:eastAsia="宋体" w:cs="宋体"/>
          <w:color w:val="000000"/>
          <w:sz w:val="21"/>
          <w:szCs w:val="21"/>
        </w:rPr>
      </w:pPr>
      <w:r>
        <w:rPr>
          <w:rFonts w:hint="eastAsia" w:ascii="宋体" w:hAnsi="宋体" w:eastAsia="宋体" w:cs="宋体"/>
          <w:b/>
          <w:sz w:val="21"/>
          <w:szCs w:val="21"/>
        </w:rPr>
        <w:t>注：</w:t>
      </w:r>
      <w:r>
        <w:rPr>
          <w:rFonts w:hint="eastAsia" w:ascii="宋体" w:hAnsi="宋体" w:eastAsia="宋体" w:cs="宋体"/>
          <w:color w:val="000000"/>
          <w:sz w:val="21"/>
          <w:szCs w:val="21"/>
        </w:rPr>
        <w:t>投标总报价是完全履行招标内容及要求的价格体现，报价中须包含所有一切人员工资、各种加班费、节假日补贴、各种社会保险、安全保险、食宿与交通、材料费、人工费、辅助材料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4334DF59">
      <w:pPr>
        <w:snapToGrid w:val="0"/>
        <w:spacing w:before="50" w:after="50" w:line="360" w:lineRule="auto"/>
        <w:jc w:val="left"/>
        <w:rPr>
          <w:rFonts w:ascii="宋体" w:hAnsi="宋体" w:eastAsia="宋体" w:cs="宋体"/>
          <w:sz w:val="21"/>
          <w:szCs w:val="21"/>
        </w:rPr>
      </w:pPr>
    </w:p>
    <w:p w14:paraId="4795B004">
      <w:pPr>
        <w:snapToGrid w:val="0"/>
        <w:spacing w:before="50" w:after="50" w:line="360" w:lineRule="auto"/>
        <w:jc w:val="left"/>
        <w:rPr>
          <w:rFonts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12E7FC74">
      <w:pPr>
        <w:snapToGrid w:val="0"/>
        <w:spacing w:line="360" w:lineRule="auto"/>
        <w:ind w:firstLine="420" w:firstLineChars="200"/>
        <w:jc w:val="left"/>
        <w:rPr>
          <w:rFonts w:ascii="宋体" w:hAnsi="宋体" w:eastAsia="宋体" w:cs="宋体"/>
          <w:sz w:val="21"/>
          <w:szCs w:val="21"/>
        </w:rPr>
      </w:pPr>
    </w:p>
    <w:p w14:paraId="2E07F9EB">
      <w:pPr>
        <w:snapToGrid w:val="0"/>
        <w:spacing w:line="360" w:lineRule="auto"/>
        <w:jc w:val="right"/>
        <w:rPr>
          <w:rFonts w:ascii="宋体" w:hAnsi="宋体" w:eastAsia="宋体" w:cs="宋体"/>
          <w:sz w:val="21"/>
          <w:szCs w:val="21"/>
        </w:rPr>
      </w:pPr>
    </w:p>
    <w:p w14:paraId="0C631CA1">
      <w:pPr>
        <w:snapToGrid w:val="0"/>
        <w:spacing w:line="360" w:lineRule="auto"/>
        <w:jc w:val="right"/>
        <w:rPr>
          <w:rFonts w:ascii="宋体" w:hAnsi="宋体" w:eastAsia="宋体" w:cs="宋体"/>
          <w:sz w:val="21"/>
          <w:szCs w:val="21"/>
        </w:rPr>
      </w:pPr>
      <w:r>
        <w:rPr>
          <w:rFonts w:hint="eastAsia" w:ascii="宋体" w:hAnsi="宋体" w:eastAsia="宋体" w:cs="宋体"/>
          <w:sz w:val="21"/>
          <w:szCs w:val="21"/>
        </w:rPr>
        <w:t>法定代表人(或全权代表)签字或盖章：</w:t>
      </w:r>
    </w:p>
    <w:p w14:paraId="799F51C6">
      <w:pPr>
        <w:pStyle w:val="11"/>
        <w:ind w:firstLine="210"/>
      </w:pPr>
    </w:p>
    <w:p w14:paraId="56186B14">
      <w:pPr>
        <w:pStyle w:val="14"/>
        <w:wordWrap w:val="0"/>
        <w:spacing w:line="360" w:lineRule="auto"/>
        <w:jc w:val="right"/>
        <w:rPr>
          <w:rFonts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7B2F5481">
      <w:pPr>
        <w:snapToGrid w:val="0"/>
        <w:spacing w:line="360" w:lineRule="auto"/>
        <w:jc w:val="right"/>
        <w:rPr>
          <w:rFonts w:ascii="宋体" w:hAnsi="宋体" w:eastAsia="宋体" w:cs="宋体"/>
          <w:sz w:val="21"/>
          <w:szCs w:val="21"/>
        </w:rPr>
      </w:pPr>
    </w:p>
    <w:p w14:paraId="322489DC">
      <w:pPr>
        <w:wordWrap w:val="0"/>
        <w:snapToGrid w:val="0"/>
        <w:spacing w:line="360" w:lineRule="auto"/>
        <w:jc w:val="right"/>
        <w:rPr>
          <w:rFonts w:ascii="宋体" w:hAnsi="宋体" w:eastAsia="宋体" w:cs="宋体"/>
          <w:sz w:val="21"/>
          <w:szCs w:val="21"/>
        </w:rPr>
      </w:pPr>
      <w:r>
        <w:rPr>
          <w:rFonts w:hint="eastAsia" w:ascii="宋体" w:hAnsi="宋体" w:eastAsia="宋体" w:cs="宋体"/>
          <w:sz w:val="21"/>
          <w:szCs w:val="21"/>
        </w:rPr>
        <w:t>日期：   年    月    日</w:t>
      </w:r>
    </w:p>
    <w:p w14:paraId="41FD967C">
      <w:pPr>
        <w:snapToGrid w:val="0"/>
        <w:spacing w:before="120" w:beforeLines="50"/>
        <w:rPr>
          <w:rFonts w:ascii="宋体" w:hAnsi="宋体" w:eastAsia="宋体" w:cs="宋体"/>
          <w:sz w:val="21"/>
          <w:szCs w:val="21"/>
        </w:rPr>
      </w:pPr>
    </w:p>
    <w:p w14:paraId="690667D2">
      <w:pPr>
        <w:snapToGrid w:val="0"/>
        <w:spacing w:before="50" w:after="50"/>
        <w:rPr>
          <w:rFonts w:ascii="宋体" w:hAnsi="宋体" w:eastAsia="宋体" w:cs="宋体"/>
          <w:b/>
          <w:sz w:val="21"/>
          <w:szCs w:val="21"/>
        </w:rPr>
      </w:pPr>
    </w:p>
    <w:p w14:paraId="48291B49">
      <w:pPr>
        <w:pStyle w:val="11"/>
        <w:ind w:firstLine="210"/>
        <w:rPr>
          <w:rFonts w:eastAsiaTheme="minorEastAsia"/>
        </w:rPr>
      </w:pPr>
    </w:p>
    <w:p w14:paraId="486E986A">
      <w:pPr>
        <w:pStyle w:val="23"/>
        <w:rPr>
          <w:rFonts w:eastAsiaTheme="minorEastAsia"/>
        </w:rPr>
      </w:pPr>
    </w:p>
    <w:p w14:paraId="430C2314">
      <w:pPr>
        <w:rPr>
          <w:rFonts w:eastAsiaTheme="minorEastAsia"/>
        </w:rPr>
      </w:pPr>
    </w:p>
    <w:p w14:paraId="6F1DB77E">
      <w:pPr>
        <w:pStyle w:val="11"/>
        <w:ind w:firstLine="210"/>
        <w:rPr>
          <w:rFonts w:eastAsiaTheme="minorEastAsia"/>
        </w:rPr>
      </w:pPr>
    </w:p>
    <w:p w14:paraId="6C3381E1">
      <w:pPr>
        <w:pStyle w:val="23"/>
        <w:rPr>
          <w:rFonts w:eastAsiaTheme="minorEastAsia"/>
        </w:rPr>
      </w:pPr>
    </w:p>
    <w:p w14:paraId="1D74C10C">
      <w:pPr>
        <w:rPr>
          <w:rFonts w:eastAsiaTheme="minorEastAsia"/>
        </w:rPr>
      </w:pPr>
    </w:p>
    <w:p w14:paraId="3C6AD80B">
      <w:pPr>
        <w:pStyle w:val="11"/>
        <w:ind w:firstLine="210"/>
        <w:rPr>
          <w:rFonts w:eastAsiaTheme="minorEastAsia"/>
        </w:rPr>
      </w:pPr>
    </w:p>
    <w:p w14:paraId="22F16675">
      <w:pPr>
        <w:pStyle w:val="23"/>
        <w:rPr>
          <w:rFonts w:eastAsiaTheme="minorEastAsia"/>
        </w:rPr>
      </w:pPr>
    </w:p>
    <w:bookmarkEnd w:id="23"/>
    <w:p w14:paraId="26E13D66">
      <w:pPr>
        <w:jc w:val="both"/>
        <w:rPr>
          <w:rFonts w:hint="eastAsia" w:ascii="宋体" w:hAnsi="宋体" w:eastAsia="宋体" w:cs="宋体"/>
          <w:b/>
          <w:sz w:val="24"/>
          <w:lang w:val="en-US" w:eastAsia="zh-CN"/>
        </w:rPr>
      </w:pPr>
      <w:r>
        <w:rPr>
          <w:rFonts w:hint="eastAsia" w:ascii="宋体" w:hAnsi="宋体" w:eastAsia="宋体" w:cs="宋体"/>
          <w:b/>
          <w:sz w:val="24"/>
        </w:rPr>
        <w:t>附件十</w:t>
      </w:r>
      <w:r>
        <w:rPr>
          <w:rFonts w:hint="eastAsia" w:ascii="宋体" w:hAnsi="宋体" w:eastAsia="宋体" w:cs="宋体"/>
          <w:b/>
          <w:sz w:val="24"/>
          <w:lang w:val="en-US" w:eastAsia="zh-CN"/>
        </w:rPr>
        <w:t>五：</w:t>
      </w:r>
    </w:p>
    <w:p w14:paraId="0D2236D1">
      <w:pPr>
        <w:shd w:val="clear"/>
        <w:tabs>
          <w:tab w:val="left" w:pos="3360"/>
        </w:tabs>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14:paraId="4135DAD3">
      <w:pPr>
        <w:shd w:val="clear"/>
        <w:tabs>
          <w:tab w:val="left" w:pos="3360"/>
        </w:tabs>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1FFD3681">
      <w:pPr>
        <w:shd w:val="clear"/>
        <w:tabs>
          <w:tab w:val="left" w:pos="3360"/>
        </w:tabs>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9"/>
        <w:tblW w:w="821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00"/>
        <w:gridCol w:w="2564"/>
        <w:gridCol w:w="2299"/>
        <w:gridCol w:w="1290"/>
        <w:gridCol w:w="1260"/>
      </w:tblGrid>
      <w:tr w14:paraId="6E6645E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504D42F5">
            <w:pPr>
              <w:shd w:val="clear"/>
              <w:tabs>
                <w:tab w:val="left" w:pos="3360"/>
              </w:tabs>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64" w:type="dxa"/>
            <w:tcBorders>
              <w:top w:val="single" w:color="auto" w:sz="4" w:space="0"/>
              <w:left w:val="single" w:color="auto" w:sz="4" w:space="0"/>
              <w:bottom w:val="single" w:color="auto" w:sz="4" w:space="0"/>
              <w:right w:val="single" w:color="auto" w:sz="4" w:space="0"/>
            </w:tcBorders>
            <w:vAlign w:val="center"/>
          </w:tcPr>
          <w:p w14:paraId="42C3F569">
            <w:pPr>
              <w:shd w:val="clear"/>
              <w:tabs>
                <w:tab w:val="left" w:pos="3360"/>
              </w:tabs>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2299" w:type="dxa"/>
            <w:tcBorders>
              <w:top w:val="single" w:color="auto" w:sz="4" w:space="0"/>
              <w:left w:val="single" w:color="auto" w:sz="4" w:space="0"/>
              <w:bottom w:val="single" w:color="auto" w:sz="4" w:space="0"/>
              <w:right w:val="single" w:color="auto" w:sz="4" w:space="0"/>
            </w:tcBorders>
            <w:vAlign w:val="center"/>
          </w:tcPr>
          <w:p w14:paraId="3485995D">
            <w:pPr>
              <w:shd w:val="clear"/>
              <w:tabs>
                <w:tab w:val="left" w:pos="3360"/>
              </w:tabs>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1290" w:type="dxa"/>
            <w:tcBorders>
              <w:top w:val="single" w:color="auto" w:sz="4" w:space="0"/>
              <w:left w:val="single" w:color="auto" w:sz="4" w:space="0"/>
              <w:bottom w:val="single" w:color="auto" w:sz="4" w:space="0"/>
              <w:right w:val="single" w:color="auto" w:sz="4" w:space="0"/>
            </w:tcBorders>
            <w:vAlign w:val="center"/>
          </w:tcPr>
          <w:p w14:paraId="4680A993">
            <w:pPr>
              <w:shd w:val="clear"/>
              <w:tabs>
                <w:tab w:val="left" w:pos="3360"/>
              </w:tabs>
              <w:jc w:val="center"/>
              <w:rPr>
                <w:rFonts w:ascii="宋体" w:hAnsi="宋体" w:cs="宋体"/>
                <w:b/>
                <w:bCs/>
                <w:color w:val="auto"/>
                <w:sz w:val="24"/>
                <w:highlight w:val="none"/>
              </w:rPr>
            </w:pPr>
            <w:r>
              <w:rPr>
                <w:rFonts w:hint="eastAsia" w:ascii="宋体" w:hAnsi="宋体" w:cs="宋体"/>
                <w:b/>
                <w:bCs/>
                <w:color w:val="auto"/>
                <w:sz w:val="24"/>
                <w:highlight w:val="none"/>
              </w:rPr>
              <w:t>单价</w:t>
            </w:r>
          </w:p>
        </w:tc>
        <w:tc>
          <w:tcPr>
            <w:tcW w:w="1260" w:type="dxa"/>
            <w:tcBorders>
              <w:top w:val="single" w:color="auto" w:sz="4" w:space="0"/>
              <w:left w:val="single" w:color="auto" w:sz="4" w:space="0"/>
              <w:bottom w:val="single" w:color="auto" w:sz="4" w:space="0"/>
              <w:right w:val="single" w:color="auto" w:sz="4" w:space="0"/>
            </w:tcBorders>
            <w:vAlign w:val="center"/>
          </w:tcPr>
          <w:p w14:paraId="5F4A6439">
            <w:pPr>
              <w:shd w:val="clear"/>
              <w:tabs>
                <w:tab w:val="left" w:pos="3360"/>
              </w:tabs>
              <w:jc w:val="center"/>
              <w:rPr>
                <w:rFonts w:ascii="宋体" w:hAnsi="宋体" w:cs="宋体"/>
                <w:b/>
                <w:bCs/>
                <w:color w:val="auto"/>
                <w:sz w:val="24"/>
                <w:highlight w:val="none"/>
              </w:rPr>
            </w:pPr>
            <w:r>
              <w:rPr>
                <w:rFonts w:hint="eastAsia" w:ascii="宋体" w:hAnsi="宋体" w:cs="宋体"/>
                <w:b/>
                <w:bCs/>
                <w:color w:val="auto"/>
                <w:sz w:val="24"/>
                <w:highlight w:val="none"/>
              </w:rPr>
              <w:t>小计</w:t>
            </w:r>
          </w:p>
        </w:tc>
      </w:tr>
      <w:tr w14:paraId="289E12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800" w:type="dxa"/>
            <w:tcBorders>
              <w:top w:val="single" w:color="auto" w:sz="4" w:space="0"/>
              <w:left w:val="single" w:color="auto" w:sz="4" w:space="0"/>
              <w:right w:val="single" w:color="auto" w:sz="4" w:space="0"/>
            </w:tcBorders>
            <w:vAlign w:val="center"/>
          </w:tcPr>
          <w:p w14:paraId="1EADFAA2">
            <w:pPr>
              <w:pStyle w:val="26"/>
              <w:shd w:val="clear"/>
              <w:tabs>
                <w:tab w:val="left" w:pos="3360"/>
              </w:tabs>
              <w:snapToGrid w:val="0"/>
              <w:spacing w:beforeAutospacing="0" w:afterAutospacing="0"/>
              <w:jc w:val="center"/>
              <w:rPr>
                <w:rFonts w:cs="宋体"/>
                <w:color w:val="auto"/>
                <w:highlight w:val="none"/>
              </w:rPr>
            </w:pPr>
            <w:r>
              <w:rPr>
                <w:rFonts w:hint="eastAsia" w:cs="宋体"/>
                <w:color w:val="auto"/>
                <w:highlight w:val="none"/>
                <w:shd w:val="clear" w:color="auto" w:fill="FFFFFF"/>
              </w:rPr>
              <w:t>1</w:t>
            </w:r>
          </w:p>
        </w:tc>
        <w:tc>
          <w:tcPr>
            <w:tcW w:w="2564" w:type="dxa"/>
            <w:tcBorders>
              <w:top w:val="single" w:color="auto" w:sz="4" w:space="0"/>
              <w:left w:val="single" w:color="auto" w:sz="4" w:space="0"/>
              <w:right w:val="single" w:color="auto" w:sz="4" w:space="0"/>
            </w:tcBorders>
            <w:vAlign w:val="center"/>
          </w:tcPr>
          <w:p w14:paraId="501BF25C">
            <w:pPr>
              <w:pStyle w:val="26"/>
              <w:shd w:val="clear"/>
              <w:tabs>
                <w:tab w:val="left" w:pos="3360"/>
              </w:tabs>
              <w:snapToGrid w:val="0"/>
              <w:spacing w:beforeAutospacing="0" w:afterAutospacing="0"/>
              <w:jc w:val="center"/>
              <w:rPr>
                <w:rFonts w:cs="宋体"/>
                <w:color w:val="auto"/>
                <w:highlight w:val="none"/>
              </w:rPr>
            </w:pPr>
            <w:r>
              <w:rPr>
                <w:rFonts w:hint="eastAsia" w:ascii="宋体" w:hAnsi="宋体"/>
                <w:color w:val="000000" w:themeColor="text1"/>
                <w:sz w:val="24"/>
                <w14:textFill>
                  <w14:solidFill>
                    <w14:schemeClr w14:val="tx1"/>
                  </w14:solidFill>
                </w14:textFill>
              </w:rPr>
              <w:t>提供有效招商信息</w:t>
            </w:r>
          </w:p>
        </w:tc>
        <w:tc>
          <w:tcPr>
            <w:tcW w:w="2299" w:type="dxa"/>
            <w:tcBorders>
              <w:top w:val="single" w:color="auto" w:sz="4" w:space="0"/>
              <w:left w:val="single" w:color="auto" w:sz="4" w:space="0"/>
              <w:right w:val="single" w:color="auto" w:sz="4" w:space="0"/>
            </w:tcBorders>
            <w:vAlign w:val="center"/>
          </w:tcPr>
          <w:p w14:paraId="15111686">
            <w:pPr>
              <w:pStyle w:val="26"/>
              <w:shd w:val="clear"/>
              <w:tabs>
                <w:tab w:val="left" w:pos="3360"/>
              </w:tabs>
              <w:snapToGrid w:val="0"/>
              <w:spacing w:beforeAutospacing="0" w:afterAutospacing="0"/>
              <w:jc w:val="center"/>
              <w:rPr>
                <w:rFonts w:hint="default" w:eastAsia="宋体" w:cs="宋体"/>
                <w:color w:val="auto"/>
                <w:highlight w:val="none"/>
                <w:lang w:val="en-US" w:eastAsia="zh-CN"/>
              </w:rPr>
            </w:pPr>
            <w:r>
              <w:rPr>
                <w:rFonts w:hint="eastAsia" w:eastAsia="宋体" w:cs="宋体"/>
                <w:color w:val="auto"/>
                <w:highlight w:val="none"/>
                <w:lang w:val="en-US" w:eastAsia="zh-CN"/>
              </w:rPr>
              <w:t>1项</w:t>
            </w:r>
          </w:p>
        </w:tc>
        <w:tc>
          <w:tcPr>
            <w:tcW w:w="1290" w:type="dxa"/>
            <w:tcBorders>
              <w:top w:val="single" w:color="auto" w:sz="4" w:space="0"/>
              <w:left w:val="single" w:color="auto" w:sz="4" w:space="0"/>
              <w:right w:val="single" w:color="auto" w:sz="4" w:space="0"/>
            </w:tcBorders>
            <w:vAlign w:val="center"/>
          </w:tcPr>
          <w:p w14:paraId="3C1ACBBE">
            <w:pPr>
              <w:pStyle w:val="26"/>
              <w:shd w:val="clear"/>
              <w:tabs>
                <w:tab w:val="left" w:pos="3360"/>
              </w:tabs>
              <w:snapToGrid w:val="0"/>
              <w:spacing w:beforeAutospacing="0" w:afterAutospacing="0"/>
              <w:rPr>
                <w:rFonts w:cs="宋体"/>
                <w:color w:val="auto"/>
                <w:highlight w:val="none"/>
              </w:rPr>
            </w:pPr>
          </w:p>
        </w:tc>
        <w:tc>
          <w:tcPr>
            <w:tcW w:w="1260" w:type="dxa"/>
            <w:tcBorders>
              <w:top w:val="single" w:color="auto" w:sz="4" w:space="0"/>
              <w:left w:val="single" w:color="auto" w:sz="4" w:space="0"/>
              <w:right w:val="single" w:color="auto" w:sz="4" w:space="0"/>
            </w:tcBorders>
            <w:vAlign w:val="center"/>
          </w:tcPr>
          <w:p w14:paraId="5A67C18B">
            <w:pPr>
              <w:pStyle w:val="26"/>
              <w:shd w:val="clear"/>
              <w:tabs>
                <w:tab w:val="left" w:pos="3360"/>
              </w:tabs>
              <w:snapToGrid w:val="0"/>
              <w:spacing w:beforeAutospacing="0" w:afterAutospacing="0"/>
              <w:rPr>
                <w:rFonts w:cs="宋体"/>
                <w:color w:val="auto"/>
                <w:highlight w:val="none"/>
              </w:rPr>
            </w:pPr>
          </w:p>
        </w:tc>
      </w:tr>
      <w:tr w14:paraId="1E7FC6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800" w:type="dxa"/>
            <w:tcBorders>
              <w:top w:val="single" w:color="auto" w:sz="4" w:space="0"/>
              <w:left w:val="single" w:color="auto" w:sz="4" w:space="0"/>
              <w:right w:val="single" w:color="auto" w:sz="4" w:space="0"/>
            </w:tcBorders>
            <w:vAlign w:val="center"/>
          </w:tcPr>
          <w:p w14:paraId="6B30A9B5">
            <w:pPr>
              <w:pStyle w:val="26"/>
              <w:shd w:val="clear"/>
              <w:tabs>
                <w:tab w:val="left" w:pos="3360"/>
              </w:tabs>
              <w:snapToGrid w:val="0"/>
              <w:spacing w:beforeAutospacing="0" w:afterAutospacing="0"/>
              <w:jc w:val="center"/>
              <w:rPr>
                <w:rFonts w:cs="宋体"/>
                <w:color w:val="auto"/>
                <w:highlight w:val="none"/>
              </w:rPr>
            </w:pPr>
            <w:r>
              <w:rPr>
                <w:rFonts w:hint="eastAsia" w:cs="宋体"/>
                <w:color w:val="auto"/>
                <w:highlight w:val="none"/>
                <w:shd w:val="clear" w:color="auto" w:fill="FFFFFF"/>
              </w:rPr>
              <w:t>2</w:t>
            </w:r>
          </w:p>
        </w:tc>
        <w:tc>
          <w:tcPr>
            <w:tcW w:w="2564" w:type="dxa"/>
            <w:tcBorders>
              <w:top w:val="single" w:color="auto" w:sz="4" w:space="0"/>
              <w:left w:val="single" w:color="auto" w:sz="4" w:space="0"/>
              <w:right w:val="single" w:color="auto" w:sz="4" w:space="0"/>
            </w:tcBorders>
            <w:vAlign w:val="center"/>
          </w:tcPr>
          <w:p w14:paraId="1EA86498">
            <w:pPr>
              <w:pStyle w:val="26"/>
              <w:shd w:val="clear"/>
              <w:tabs>
                <w:tab w:val="left" w:pos="3360"/>
              </w:tabs>
              <w:snapToGrid w:val="0"/>
              <w:spacing w:beforeAutospacing="0" w:afterAutospacing="0"/>
              <w:jc w:val="center"/>
              <w:rPr>
                <w:rFonts w:cs="宋体"/>
                <w:color w:val="auto"/>
                <w:highlight w:val="none"/>
              </w:rPr>
            </w:pPr>
            <w:r>
              <w:rPr>
                <w:rFonts w:hint="eastAsia" w:ascii="宋体" w:hAnsi="宋体"/>
                <w:color w:val="000000" w:themeColor="text1"/>
                <w:sz w:val="24"/>
                <w14:textFill>
                  <w14:solidFill>
                    <w14:schemeClr w14:val="tx1"/>
                  </w14:solidFill>
                </w14:textFill>
              </w:rPr>
              <w:t>上门招商</w:t>
            </w:r>
          </w:p>
        </w:tc>
        <w:tc>
          <w:tcPr>
            <w:tcW w:w="2299" w:type="dxa"/>
            <w:tcBorders>
              <w:top w:val="single" w:color="auto" w:sz="4" w:space="0"/>
              <w:left w:val="single" w:color="auto" w:sz="4" w:space="0"/>
              <w:right w:val="single" w:color="auto" w:sz="4" w:space="0"/>
            </w:tcBorders>
            <w:vAlign w:val="center"/>
          </w:tcPr>
          <w:p w14:paraId="23B8DFB5">
            <w:pPr>
              <w:shd w:val="clear"/>
              <w:snapToGrid w:val="0"/>
              <w:spacing w:beforeAutospacing="0" w:afterAutospacing="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1项</w:t>
            </w:r>
          </w:p>
        </w:tc>
        <w:tc>
          <w:tcPr>
            <w:tcW w:w="1290" w:type="dxa"/>
            <w:tcBorders>
              <w:top w:val="single" w:color="auto" w:sz="4" w:space="0"/>
              <w:left w:val="single" w:color="auto" w:sz="4" w:space="0"/>
              <w:bottom w:val="single" w:color="auto" w:sz="4" w:space="0"/>
              <w:right w:val="single" w:color="auto" w:sz="4" w:space="0"/>
            </w:tcBorders>
            <w:vAlign w:val="center"/>
          </w:tcPr>
          <w:p w14:paraId="4BAA4220">
            <w:pPr>
              <w:pStyle w:val="26"/>
              <w:shd w:val="clear"/>
              <w:tabs>
                <w:tab w:val="left" w:pos="3360"/>
              </w:tabs>
              <w:snapToGrid w:val="0"/>
              <w:spacing w:beforeAutospacing="0" w:afterAutospacing="0"/>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5BD804">
            <w:pPr>
              <w:pStyle w:val="26"/>
              <w:shd w:val="clear"/>
              <w:tabs>
                <w:tab w:val="left" w:pos="3360"/>
              </w:tabs>
              <w:snapToGrid w:val="0"/>
              <w:spacing w:beforeAutospacing="0" w:afterAutospacing="0"/>
              <w:rPr>
                <w:rFonts w:cs="宋体"/>
                <w:color w:val="auto"/>
                <w:highlight w:val="none"/>
              </w:rPr>
            </w:pPr>
          </w:p>
        </w:tc>
      </w:tr>
      <w:tr w14:paraId="661288E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800" w:type="dxa"/>
            <w:tcBorders>
              <w:top w:val="single" w:color="auto" w:sz="4" w:space="0"/>
              <w:left w:val="single" w:color="auto" w:sz="4" w:space="0"/>
              <w:right w:val="single" w:color="auto" w:sz="4" w:space="0"/>
            </w:tcBorders>
            <w:vAlign w:val="center"/>
          </w:tcPr>
          <w:p w14:paraId="02089577">
            <w:pPr>
              <w:pStyle w:val="26"/>
              <w:shd w:val="clear"/>
              <w:tabs>
                <w:tab w:val="left" w:pos="3360"/>
              </w:tabs>
              <w:snapToGrid w:val="0"/>
              <w:spacing w:beforeAutospacing="0" w:afterAutospacing="0"/>
              <w:jc w:val="center"/>
              <w:rPr>
                <w:rFonts w:cs="宋体"/>
                <w:color w:val="auto"/>
                <w:highlight w:val="none"/>
              </w:rPr>
            </w:pPr>
            <w:r>
              <w:rPr>
                <w:rFonts w:hint="eastAsia" w:cs="宋体"/>
                <w:color w:val="auto"/>
                <w:highlight w:val="none"/>
                <w:shd w:val="clear" w:color="auto" w:fill="FFFFFF"/>
              </w:rPr>
              <w:t>3</w:t>
            </w:r>
          </w:p>
        </w:tc>
        <w:tc>
          <w:tcPr>
            <w:tcW w:w="2564" w:type="dxa"/>
            <w:tcBorders>
              <w:top w:val="single" w:color="auto" w:sz="4" w:space="0"/>
              <w:left w:val="single" w:color="auto" w:sz="4" w:space="0"/>
              <w:right w:val="single" w:color="auto" w:sz="4" w:space="0"/>
            </w:tcBorders>
            <w:vAlign w:val="center"/>
          </w:tcPr>
          <w:p w14:paraId="0C747B08">
            <w:pPr>
              <w:pStyle w:val="26"/>
              <w:shd w:val="clear"/>
              <w:tabs>
                <w:tab w:val="left" w:pos="3360"/>
              </w:tabs>
              <w:snapToGrid w:val="0"/>
              <w:spacing w:beforeAutospacing="0" w:afterAutospacing="0"/>
              <w:jc w:val="center"/>
              <w:rPr>
                <w:rFonts w:cs="宋体"/>
                <w:color w:val="auto"/>
                <w:highlight w:val="none"/>
              </w:rPr>
            </w:pPr>
            <w:r>
              <w:rPr>
                <w:rFonts w:hint="eastAsia" w:ascii="宋体" w:hAnsi="宋体"/>
                <w:color w:val="000000" w:themeColor="text1"/>
                <w:sz w:val="24"/>
                <w14:textFill>
                  <w14:solidFill>
                    <w14:schemeClr w14:val="tx1"/>
                  </w14:solidFill>
                </w14:textFill>
              </w:rPr>
              <w:t>小型招商活动</w:t>
            </w:r>
          </w:p>
        </w:tc>
        <w:tc>
          <w:tcPr>
            <w:tcW w:w="2299" w:type="dxa"/>
            <w:tcBorders>
              <w:top w:val="single" w:color="auto" w:sz="4" w:space="0"/>
              <w:left w:val="single" w:color="auto" w:sz="4" w:space="0"/>
              <w:right w:val="single" w:color="auto" w:sz="4" w:space="0"/>
            </w:tcBorders>
            <w:vAlign w:val="center"/>
          </w:tcPr>
          <w:p w14:paraId="75299B46">
            <w:pPr>
              <w:shd w:val="clear"/>
              <w:snapToGrid w:val="0"/>
              <w:spacing w:beforeAutospacing="0" w:afterAutospacing="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1项</w:t>
            </w:r>
          </w:p>
        </w:tc>
        <w:tc>
          <w:tcPr>
            <w:tcW w:w="1290" w:type="dxa"/>
            <w:tcBorders>
              <w:top w:val="single" w:color="auto" w:sz="4" w:space="0"/>
              <w:left w:val="single" w:color="auto" w:sz="4" w:space="0"/>
              <w:bottom w:val="single" w:color="auto" w:sz="4" w:space="0"/>
              <w:right w:val="single" w:color="auto" w:sz="4" w:space="0"/>
            </w:tcBorders>
            <w:vAlign w:val="center"/>
          </w:tcPr>
          <w:p w14:paraId="03161D39">
            <w:pPr>
              <w:pStyle w:val="26"/>
              <w:shd w:val="clear"/>
              <w:tabs>
                <w:tab w:val="left" w:pos="3360"/>
              </w:tabs>
              <w:snapToGrid w:val="0"/>
              <w:spacing w:beforeAutospacing="0" w:afterAutospacing="0"/>
              <w:rPr>
                <w:rFonts w:cs="宋体"/>
                <w:color w:val="auto"/>
                <w:highlight w:val="none"/>
                <w:shd w:val="clear" w:color="auto" w:fill="FFFFFF"/>
              </w:rPr>
            </w:pPr>
          </w:p>
        </w:tc>
        <w:tc>
          <w:tcPr>
            <w:tcW w:w="1260" w:type="dxa"/>
            <w:tcBorders>
              <w:top w:val="single" w:color="auto" w:sz="4" w:space="0"/>
              <w:left w:val="single" w:color="auto" w:sz="4" w:space="0"/>
              <w:bottom w:val="single" w:color="auto" w:sz="4" w:space="0"/>
              <w:right w:val="single" w:color="auto" w:sz="4" w:space="0"/>
            </w:tcBorders>
            <w:vAlign w:val="center"/>
          </w:tcPr>
          <w:p w14:paraId="4F72BB7C">
            <w:pPr>
              <w:pStyle w:val="26"/>
              <w:shd w:val="clear"/>
              <w:tabs>
                <w:tab w:val="left" w:pos="3360"/>
              </w:tabs>
              <w:snapToGrid w:val="0"/>
              <w:spacing w:beforeAutospacing="0" w:afterAutospacing="0"/>
              <w:rPr>
                <w:rFonts w:cs="宋体"/>
                <w:color w:val="auto"/>
                <w:highlight w:val="none"/>
                <w:shd w:val="clear" w:color="auto" w:fill="FFFFFF"/>
              </w:rPr>
            </w:pPr>
          </w:p>
        </w:tc>
      </w:tr>
      <w:tr w14:paraId="00D17E8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1A3E430B">
            <w:pPr>
              <w:pStyle w:val="26"/>
              <w:shd w:val="clear"/>
              <w:tabs>
                <w:tab w:val="left" w:pos="3360"/>
              </w:tabs>
              <w:snapToGrid w:val="0"/>
              <w:spacing w:beforeAutospacing="0" w:afterAutospacing="0"/>
              <w:jc w:val="center"/>
              <w:rPr>
                <w:rFonts w:cs="宋体"/>
                <w:color w:val="auto"/>
                <w:highlight w:val="none"/>
              </w:rPr>
            </w:pPr>
            <w:r>
              <w:rPr>
                <w:rFonts w:hint="eastAsia" w:cs="宋体"/>
                <w:color w:val="auto"/>
                <w:highlight w:val="none"/>
                <w:shd w:val="clear" w:color="auto" w:fill="FFFFFF"/>
              </w:rPr>
              <w:t>4</w:t>
            </w:r>
          </w:p>
        </w:tc>
        <w:tc>
          <w:tcPr>
            <w:tcW w:w="2564" w:type="dxa"/>
            <w:tcBorders>
              <w:top w:val="single" w:color="auto" w:sz="4" w:space="0"/>
              <w:left w:val="single" w:color="auto" w:sz="4" w:space="0"/>
              <w:bottom w:val="single" w:color="auto" w:sz="4" w:space="0"/>
              <w:right w:val="single" w:color="auto" w:sz="4" w:space="0"/>
            </w:tcBorders>
            <w:vAlign w:val="center"/>
          </w:tcPr>
          <w:p w14:paraId="3319147B">
            <w:pPr>
              <w:pStyle w:val="26"/>
              <w:shd w:val="clear"/>
              <w:tabs>
                <w:tab w:val="left" w:pos="3360"/>
              </w:tabs>
              <w:snapToGrid w:val="0"/>
              <w:spacing w:beforeAutospacing="0" w:afterAutospacing="0"/>
              <w:jc w:val="center"/>
              <w:rPr>
                <w:rFonts w:cs="宋体"/>
                <w:color w:val="auto"/>
                <w:highlight w:val="none"/>
              </w:rPr>
            </w:pPr>
            <w:r>
              <w:rPr>
                <w:rFonts w:hint="eastAsia" w:ascii="宋体" w:hAnsi="宋体"/>
                <w:color w:val="000000" w:themeColor="text1"/>
                <w:sz w:val="24"/>
                <w14:textFill>
                  <w14:solidFill>
                    <w14:schemeClr w14:val="tx1"/>
                  </w14:solidFill>
                </w14:textFill>
              </w:rPr>
              <w:t>业务培训</w:t>
            </w:r>
          </w:p>
        </w:tc>
        <w:tc>
          <w:tcPr>
            <w:tcW w:w="2299" w:type="dxa"/>
            <w:tcBorders>
              <w:top w:val="single" w:color="auto" w:sz="4" w:space="0"/>
              <w:left w:val="single" w:color="auto" w:sz="4" w:space="0"/>
              <w:bottom w:val="single" w:color="auto" w:sz="4" w:space="0"/>
              <w:right w:val="single" w:color="auto" w:sz="4" w:space="0"/>
            </w:tcBorders>
            <w:vAlign w:val="center"/>
          </w:tcPr>
          <w:p w14:paraId="753441A7">
            <w:pPr>
              <w:shd w:val="clear"/>
              <w:snapToGrid w:val="0"/>
              <w:spacing w:beforeAutospacing="0" w:afterAutospacing="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1项</w:t>
            </w:r>
          </w:p>
        </w:tc>
        <w:tc>
          <w:tcPr>
            <w:tcW w:w="1290" w:type="dxa"/>
            <w:tcBorders>
              <w:top w:val="single" w:color="auto" w:sz="4" w:space="0"/>
              <w:left w:val="single" w:color="auto" w:sz="4" w:space="0"/>
              <w:bottom w:val="single" w:color="auto" w:sz="4" w:space="0"/>
              <w:right w:val="single" w:color="auto" w:sz="4" w:space="0"/>
            </w:tcBorders>
            <w:vAlign w:val="center"/>
          </w:tcPr>
          <w:p w14:paraId="499433A8">
            <w:pPr>
              <w:pStyle w:val="26"/>
              <w:shd w:val="clear"/>
              <w:tabs>
                <w:tab w:val="left" w:pos="3360"/>
              </w:tabs>
              <w:snapToGrid w:val="0"/>
              <w:spacing w:beforeAutospacing="0" w:afterAutospacing="0"/>
              <w:rPr>
                <w:rFonts w:cs="宋体"/>
                <w:color w:val="auto"/>
                <w:highlight w:val="none"/>
                <w:shd w:val="clear" w:color="auto" w:fill="FFFFFF"/>
              </w:rPr>
            </w:pPr>
          </w:p>
        </w:tc>
        <w:tc>
          <w:tcPr>
            <w:tcW w:w="1260" w:type="dxa"/>
            <w:tcBorders>
              <w:top w:val="single" w:color="auto" w:sz="4" w:space="0"/>
              <w:left w:val="single" w:color="auto" w:sz="4" w:space="0"/>
              <w:bottom w:val="single" w:color="auto" w:sz="4" w:space="0"/>
              <w:right w:val="single" w:color="auto" w:sz="4" w:space="0"/>
            </w:tcBorders>
            <w:vAlign w:val="center"/>
          </w:tcPr>
          <w:p w14:paraId="06F98442">
            <w:pPr>
              <w:pStyle w:val="26"/>
              <w:shd w:val="clear"/>
              <w:tabs>
                <w:tab w:val="left" w:pos="3360"/>
              </w:tabs>
              <w:snapToGrid w:val="0"/>
              <w:spacing w:beforeAutospacing="0" w:afterAutospacing="0"/>
              <w:rPr>
                <w:rFonts w:cs="宋体"/>
                <w:color w:val="auto"/>
                <w:highlight w:val="none"/>
                <w:shd w:val="clear" w:color="auto" w:fill="FFFFFF"/>
              </w:rPr>
            </w:pPr>
          </w:p>
        </w:tc>
      </w:tr>
      <w:tr w14:paraId="6BD412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009A6DF0">
            <w:pPr>
              <w:pStyle w:val="26"/>
              <w:shd w:val="clear"/>
              <w:tabs>
                <w:tab w:val="left" w:pos="3360"/>
              </w:tabs>
              <w:snapToGrid w:val="0"/>
              <w:spacing w:beforeAutospacing="0" w:afterAutospacing="0"/>
              <w:jc w:val="center"/>
              <w:rPr>
                <w:rFonts w:cs="宋体"/>
                <w:color w:val="auto"/>
                <w:highlight w:val="none"/>
              </w:rPr>
            </w:pPr>
            <w:r>
              <w:rPr>
                <w:rFonts w:hint="eastAsia" w:cs="宋体"/>
                <w:color w:val="auto"/>
                <w:highlight w:val="none"/>
                <w:shd w:val="clear" w:color="auto" w:fill="FFFFFF"/>
              </w:rPr>
              <w:t>5</w:t>
            </w:r>
          </w:p>
        </w:tc>
        <w:tc>
          <w:tcPr>
            <w:tcW w:w="2564" w:type="dxa"/>
            <w:tcBorders>
              <w:top w:val="single" w:color="auto" w:sz="4" w:space="0"/>
              <w:left w:val="single" w:color="auto" w:sz="4" w:space="0"/>
              <w:bottom w:val="single" w:color="auto" w:sz="4" w:space="0"/>
              <w:right w:val="single" w:color="auto" w:sz="4" w:space="0"/>
            </w:tcBorders>
            <w:vAlign w:val="center"/>
          </w:tcPr>
          <w:p w14:paraId="04DC0BFE">
            <w:pPr>
              <w:pStyle w:val="26"/>
              <w:shd w:val="clear"/>
              <w:tabs>
                <w:tab w:val="left" w:pos="3360"/>
              </w:tabs>
              <w:snapToGrid w:val="0"/>
              <w:spacing w:beforeAutospacing="0" w:afterAutospacing="0"/>
              <w:jc w:val="center"/>
              <w:rPr>
                <w:rFonts w:hint="eastAsia" w:eastAsia="宋体" w:cs="宋体"/>
                <w:color w:val="auto"/>
                <w:highlight w:val="none"/>
                <w:lang w:val="en-US" w:eastAsia="zh-CN"/>
              </w:rPr>
            </w:pPr>
            <w:r>
              <w:rPr>
                <w:rFonts w:hint="eastAsia" w:eastAsia="宋体" w:cs="宋体"/>
                <w:color w:val="auto"/>
                <w:highlight w:val="none"/>
                <w:lang w:val="en-US" w:eastAsia="zh-CN"/>
              </w:rPr>
              <w:t>合计</w:t>
            </w:r>
          </w:p>
        </w:tc>
        <w:tc>
          <w:tcPr>
            <w:tcW w:w="4849" w:type="dxa"/>
            <w:gridSpan w:val="3"/>
            <w:tcBorders>
              <w:top w:val="single" w:color="auto" w:sz="4" w:space="0"/>
              <w:left w:val="single" w:color="auto" w:sz="4" w:space="0"/>
              <w:bottom w:val="single" w:color="auto" w:sz="4" w:space="0"/>
              <w:right w:val="single" w:color="auto" w:sz="4" w:space="0"/>
            </w:tcBorders>
            <w:vAlign w:val="center"/>
          </w:tcPr>
          <w:p w14:paraId="1A215821">
            <w:pPr>
              <w:pStyle w:val="26"/>
              <w:shd w:val="clear"/>
              <w:tabs>
                <w:tab w:val="left" w:pos="3360"/>
              </w:tabs>
              <w:snapToGrid w:val="0"/>
              <w:spacing w:beforeAutospacing="0" w:afterAutospacing="0"/>
              <w:rPr>
                <w:rFonts w:hint="default" w:eastAsia="宋体" w:cs="宋体"/>
                <w:color w:val="auto"/>
                <w:highlight w:val="none"/>
                <w:shd w:val="clear" w:color="auto" w:fill="FFFFFF"/>
                <w:lang w:val="en-US" w:eastAsia="zh-CN"/>
              </w:rPr>
            </w:pPr>
            <w:r>
              <w:rPr>
                <w:rFonts w:hint="eastAsia" w:eastAsia="宋体" w:cs="宋体"/>
                <w:color w:val="auto"/>
                <w:highlight w:val="none"/>
                <w:shd w:val="clear" w:color="auto" w:fill="FFFFFF"/>
                <w:lang w:val="en-US" w:eastAsia="zh-CN"/>
              </w:rPr>
              <w:t>大写：          小写：</w:t>
            </w:r>
          </w:p>
        </w:tc>
      </w:tr>
    </w:tbl>
    <w:p w14:paraId="51DB9608">
      <w:pPr>
        <w:shd w:val="clear"/>
        <w:tabs>
          <w:tab w:val="left" w:pos="3360"/>
        </w:tabs>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217C8C4D">
      <w:pPr>
        <w:shd w:val="clear"/>
        <w:tabs>
          <w:tab w:val="left" w:pos="3360"/>
        </w:tabs>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1.本表为《开标一览表》的报价明细表，如有缺项、漏项，视为投标报价中已包含相关费用，采购单位无需另外支付任何费用。</w:t>
      </w:r>
    </w:p>
    <w:p w14:paraId="61825B72">
      <w:pPr>
        <w:shd w:val="clear"/>
        <w:tabs>
          <w:tab w:val="left" w:pos="3360"/>
        </w:tabs>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“报价明细表”中的报价合计应与“开标一览表”中的投标总报价相一致，不一致时，以开标一览表为准。</w:t>
      </w:r>
    </w:p>
    <w:p w14:paraId="2D5B6607">
      <w:pPr>
        <w:shd w:val="clear"/>
        <w:tabs>
          <w:tab w:val="left" w:pos="3360"/>
        </w:tabs>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投标报价明细表所填内容按</w:t>
      </w:r>
      <w:r>
        <w:rPr>
          <w:rFonts w:hint="eastAsia" w:ascii="宋体" w:hAnsi="宋体" w:cs="宋体"/>
          <w:color w:val="auto"/>
          <w:sz w:val="24"/>
          <w:szCs w:val="32"/>
          <w:highlight w:val="none"/>
        </w:rPr>
        <w:t>磋商</w:t>
      </w:r>
      <w:r>
        <w:rPr>
          <w:rFonts w:hint="eastAsia" w:ascii="宋体" w:hAnsi="宋体" w:cs="宋体"/>
          <w:color w:val="auto"/>
          <w:sz w:val="24"/>
          <w:szCs w:val="32"/>
          <w:highlight w:val="none"/>
          <w:lang w:val="zh-CN"/>
        </w:rPr>
        <w:t>文件采购要求为准。如有漏报的，视同已包含在投标总价内或已作优惠处理。有重大缺项的将作无效标处理。</w:t>
      </w:r>
    </w:p>
    <w:p w14:paraId="20E33AD2">
      <w:pPr>
        <w:shd w:val="clear"/>
        <w:tabs>
          <w:tab w:val="left" w:pos="3360"/>
        </w:tabs>
        <w:spacing w:line="480" w:lineRule="auto"/>
        <w:rPr>
          <w:rFonts w:ascii="宋体" w:hAnsi="宋体" w:cs="宋体"/>
          <w:color w:val="auto"/>
          <w:sz w:val="24"/>
          <w:highlight w:val="none"/>
        </w:rPr>
      </w:pPr>
    </w:p>
    <w:p w14:paraId="73FB4F39">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3A8D8986">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F131FCC">
      <w:pPr>
        <w:shd w:val="clear"/>
        <w:tabs>
          <w:tab w:val="left" w:pos="3360"/>
        </w:tabs>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8AA0E70">
      <w:pPr>
        <w:shd w:val="clear"/>
        <w:tabs>
          <w:tab w:val="left" w:pos="3360"/>
        </w:tabs>
        <w:spacing w:line="480" w:lineRule="auto"/>
        <w:rPr>
          <w:rFonts w:ascii="宋体" w:hAnsi="宋体" w:cs="宋体"/>
          <w:color w:val="auto"/>
          <w:sz w:val="24"/>
          <w:highlight w:val="none"/>
        </w:rPr>
      </w:pPr>
    </w:p>
    <w:p w14:paraId="57682945">
      <w:pPr>
        <w:pStyle w:val="10"/>
        <w:rPr>
          <w:rFonts w:hint="eastAsia"/>
          <w:lang w:val="en-US" w:eastAsia="zh-CN"/>
        </w:rPr>
      </w:pPr>
    </w:p>
    <w:sectPr>
      <w:headerReference r:id="rId10" w:type="default"/>
      <w:footerReference r:id="rId11" w:type="default"/>
      <w:pgSz w:w="12240" w:h="15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AF022">
    <w:pPr>
      <w:pStyle w:val="17"/>
      <w:jc w:val="center"/>
      <w:rPr>
        <w:rFonts w:eastAsia="宋体"/>
      </w:rPr>
    </w:pPr>
    <w:r>
      <w:rPr>
        <w:rFonts w:hint="eastAsia" w:eastAsia="宋体"/>
      </w:rPr>
      <w:t>浙江之信工程项目管理有限公司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5F1A7">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88732">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18901">
    <w:pPr>
      <w:pStyle w:val="17"/>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73990" cy="139700"/>
              <wp:effectExtent l="0" t="0" r="0" b="0"/>
              <wp:wrapNone/>
              <wp:docPr id="13" name="文本框 4"/>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15A3A9A8">
                          <w:pPr>
                            <w:pStyle w:val="1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101</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pt;width:13.7pt;mso-position-horizontal:right;mso-position-horizontal-relative:margin;mso-wrap-style:none;z-index:251660288;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DSfGhBNwIAAGIEAAAOAAAAZHJzL2Uyb0RvYy54bWytVM2O0zAQviPx&#10;DpbvNO0WdmnVdFW2KkJasSsVxNl1nCaS/2S7TcoDwBtw2gt3nqvPwWen6aKFwx64OGPP+Jv5Ps9k&#10;dt0qSfbC+dronI4GQ0qE5qao9Tannz+tXr2lxAemCyaNFjk9CE+v5y9fzBo7FRemMrIQjgBE+2lj&#10;c1qFYKdZ5nklFPMDY4WGszROsYCt22aFYw3QlcwuhsPLrDGusM5w4T1Ol52TnhDdcwBNWdZcLA3f&#10;KaFDh+qEZAGUfFVbT+ep2rIUPNyVpReByJyCaUgrksDexDWbz9h065itan4qgT2nhCecFKs1kp6h&#10;liwwsnP1X1Cq5s54U4YBNyrriCRFwGI0fKLNumJWJC6Q2tuz6P7/wfKP+3tH6gKdMKZEM4UXP/74&#10;fnz4dfz5jbyO+jTWTxG2tggM7TvTIrY/9ziMtNvSqfgFIQI/1D2c1RVtIDxeuhpPJvBwuEbjydUw&#10;qZ89XrbOh/fCKBKNnDo8XtKU7W99QCEI7UNiLm1WtZTpAaUmTU4vx2+G6cLZgxtSx1iRWuEEEwl1&#10;hUcrtJv2xHJjigNIOtO1ibd8VaOUW+bDPXPoC1SPyQl3WEppkNKcLEoq477+6zzG47ngpaRBn+VU&#10;Y6wokR80nhGAoTdcb2x6Q+/UjUHjjjCRlicTF1yQvVk6o75gnBYxB1xMc2TKaejNm9D1OsaRi8Ui&#10;BaHxLAu3em15hI7yeLvYBciZVI6idEpA8rhB6yXxT2MSe/vPfYp6/DX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0nxoQTcCAABiBAAADgAAAAAAAAABACAAAAAgAQAAZHJzL2Uyb0RvYy54&#10;bWxQSwUGAAAAAAYABgBZAQAAyQUAAAAA&#10;">
              <v:fill on="f" focussize="0,0"/>
              <v:stroke on="f" weight="0.5pt"/>
              <v:imagedata o:title=""/>
              <o:lock v:ext="edit" aspectratio="f"/>
              <v:textbox inset="0mm,0mm,0mm,0mm" style="mso-fit-shape-to-text:t;">
                <w:txbxContent>
                  <w:p w14:paraId="15A3A9A8">
                    <w:pPr>
                      <w:pStyle w:val="1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101</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075F55A">
      <w:pPr>
        <w:pStyle w:val="22"/>
      </w:pPr>
      <w:r>
        <w:rPr>
          <w:rStyle w:val="36"/>
        </w:rPr>
        <w:footnoteRef/>
      </w:r>
      <w:r>
        <w:rPr>
          <w:rFonts w:hint="eastAsia"/>
          <w:bCs/>
          <w:sz w:val="24"/>
        </w:rPr>
        <w:t>从业人员、营业收入、资产总额填报上一年度数据，无上一年度数据的新成立企业可不填报。</w:t>
      </w:r>
    </w:p>
  </w:footnote>
  <w:footnote w:id="1">
    <w:p w14:paraId="1893A90A">
      <w:pPr>
        <w:pStyle w:val="22"/>
      </w:pPr>
      <w:r>
        <w:rPr>
          <w:rStyle w:val="36"/>
        </w:rPr>
        <w:footnoteRef/>
      </w:r>
      <w:r>
        <w:rPr>
          <w:rFonts w:hint="eastAsia"/>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16EBC">
    <w:pPr>
      <w:pStyle w:val="19"/>
      <w:jc w:val="right"/>
      <w:rPr>
        <w:rFonts w:hint="eastAsia" w:ascii="宋体" w:hAnsi="宋体" w:eastAsia="宋体"/>
        <w:lang w:eastAsia="zh-CN"/>
      </w:rPr>
    </w:pPr>
    <w:r>
      <w:rPr>
        <w:rFonts w:hint="eastAsia" w:ascii="宋体" w:hAnsi="宋体" w:eastAsia="宋体" w:cs="宋体"/>
        <w:kern w:val="0"/>
        <w:lang w:eastAsia="zh-CN"/>
      </w:rPr>
      <w:t>台州市投资促进中心招商引资服务采购项目（第二次）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4D87D">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7084">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E6D2F">
    <w:pPr>
      <w:pStyle w:val="19"/>
      <w:jc w:val="right"/>
      <w:rPr>
        <w:rFonts w:hint="eastAsia" w:eastAsia="宋体"/>
        <w:lang w:eastAsia="zh-CN"/>
      </w:rPr>
    </w:pPr>
    <w:r>
      <w:rPr>
        <w:rFonts w:hint="eastAsia" w:ascii="宋体" w:hAnsi="宋体" w:eastAsia="宋体" w:cs="宋体"/>
        <w:kern w:val="0"/>
        <w:lang w:eastAsia="zh-CN"/>
      </w:rPr>
      <w:t>台州市投资促进中心招商引资服务采购项目（第二次）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B7B4B"/>
    <w:multiLevelType w:val="singleLevel"/>
    <w:tmpl w:val="C14B7B4B"/>
    <w:lvl w:ilvl="0" w:tentative="0">
      <w:start w:val="2"/>
      <w:numFmt w:val="chineseCounting"/>
      <w:suff w:val="nothing"/>
      <w:lvlText w:val="%1、"/>
      <w:lvlJc w:val="left"/>
      <w:rPr>
        <w:rFonts w:hint="eastAsia"/>
      </w:rPr>
    </w:lvl>
  </w:abstractNum>
  <w:abstractNum w:abstractNumId="1">
    <w:nsid w:val="E749FA51"/>
    <w:multiLevelType w:val="singleLevel"/>
    <w:tmpl w:val="E749FA51"/>
    <w:lvl w:ilvl="0" w:tentative="0">
      <w:start w:val="7"/>
      <w:numFmt w:val="decimal"/>
      <w:lvlText w:val="%1."/>
      <w:lvlJc w:val="left"/>
      <w:pPr>
        <w:tabs>
          <w:tab w:val="left" w:pos="312"/>
        </w:tabs>
      </w:pPr>
    </w:lvl>
  </w:abstractNum>
  <w:abstractNum w:abstractNumId="2">
    <w:nsid w:val="F6FA1CC4"/>
    <w:multiLevelType w:val="singleLevel"/>
    <w:tmpl w:val="F6FA1CC4"/>
    <w:lvl w:ilvl="0" w:tentative="0">
      <w:start w:val="5"/>
      <w:numFmt w:val="chineseCounting"/>
      <w:suff w:val="space"/>
      <w:lvlText w:val="第%1部分"/>
      <w:lvlJc w:val="left"/>
      <w:rPr>
        <w:rFonts w:hint="eastAsia"/>
      </w:rPr>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4"/>
    <w:lvlOverride w:ilvl="0">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6"/>
    </o:shapelayout>
  </w:hdrShapeDefaults>
  <w:footnotePr>
    <w:footnote w:id="4"/>
    <w:footnote w:id="5"/>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2JhN2JiN2E3MDFhMzRjZDU0MWQwZGY0MWQwYjYifQ=="/>
  </w:docVars>
  <w:rsids>
    <w:rsidRoot w:val="642377E2"/>
    <w:rsid w:val="00006323"/>
    <w:rsid w:val="000147FF"/>
    <w:rsid w:val="00041625"/>
    <w:rsid w:val="00053087"/>
    <w:rsid w:val="00073B57"/>
    <w:rsid w:val="000766F4"/>
    <w:rsid w:val="0007691F"/>
    <w:rsid w:val="00082844"/>
    <w:rsid w:val="00094F21"/>
    <w:rsid w:val="000A2A2A"/>
    <w:rsid w:val="000B052F"/>
    <w:rsid w:val="000B2075"/>
    <w:rsid w:val="000D2425"/>
    <w:rsid w:val="000D2656"/>
    <w:rsid w:val="000D439F"/>
    <w:rsid w:val="000E7551"/>
    <w:rsid w:val="000E7C88"/>
    <w:rsid w:val="00103249"/>
    <w:rsid w:val="00105D9E"/>
    <w:rsid w:val="00106BD3"/>
    <w:rsid w:val="00107761"/>
    <w:rsid w:val="001103AD"/>
    <w:rsid w:val="00114C8D"/>
    <w:rsid w:val="00130444"/>
    <w:rsid w:val="00133066"/>
    <w:rsid w:val="00141A57"/>
    <w:rsid w:val="00143121"/>
    <w:rsid w:val="00154EB2"/>
    <w:rsid w:val="00156FA3"/>
    <w:rsid w:val="001613AA"/>
    <w:rsid w:val="001650D4"/>
    <w:rsid w:val="00167F8D"/>
    <w:rsid w:val="001753E9"/>
    <w:rsid w:val="0018576F"/>
    <w:rsid w:val="00187AFD"/>
    <w:rsid w:val="00192220"/>
    <w:rsid w:val="00196C0A"/>
    <w:rsid w:val="001A3982"/>
    <w:rsid w:val="001B52E7"/>
    <w:rsid w:val="001B53C3"/>
    <w:rsid w:val="001C75C4"/>
    <w:rsid w:val="001D519E"/>
    <w:rsid w:val="001F061A"/>
    <w:rsid w:val="001F3D76"/>
    <w:rsid w:val="001F4C7F"/>
    <w:rsid w:val="001F5CEA"/>
    <w:rsid w:val="00206C8D"/>
    <w:rsid w:val="00216FE8"/>
    <w:rsid w:val="002200C3"/>
    <w:rsid w:val="002302C4"/>
    <w:rsid w:val="00233BBB"/>
    <w:rsid w:val="00244F66"/>
    <w:rsid w:val="00247275"/>
    <w:rsid w:val="00250B87"/>
    <w:rsid w:val="00253F76"/>
    <w:rsid w:val="0025459A"/>
    <w:rsid w:val="00261C5A"/>
    <w:rsid w:val="002642C2"/>
    <w:rsid w:val="0027434E"/>
    <w:rsid w:val="0027772B"/>
    <w:rsid w:val="002B78AA"/>
    <w:rsid w:val="002C24B2"/>
    <w:rsid w:val="002C3155"/>
    <w:rsid w:val="002C37B6"/>
    <w:rsid w:val="002C7822"/>
    <w:rsid w:val="002D1335"/>
    <w:rsid w:val="002D40AB"/>
    <w:rsid w:val="002D4B1F"/>
    <w:rsid w:val="002D7C65"/>
    <w:rsid w:val="002E063D"/>
    <w:rsid w:val="002E41F6"/>
    <w:rsid w:val="002E4770"/>
    <w:rsid w:val="002F17C6"/>
    <w:rsid w:val="00303E8A"/>
    <w:rsid w:val="003108C9"/>
    <w:rsid w:val="00322BC5"/>
    <w:rsid w:val="00324EF0"/>
    <w:rsid w:val="00325335"/>
    <w:rsid w:val="00333F1F"/>
    <w:rsid w:val="003417BE"/>
    <w:rsid w:val="00345BDF"/>
    <w:rsid w:val="00345FD9"/>
    <w:rsid w:val="00347B6F"/>
    <w:rsid w:val="00347E8E"/>
    <w:rsid w:val="00354581"/>
    <w:rsid w:val="00355420"/>
    <w:rsid w:val="00362D36"/>
    <w:rsid w:val="0037086A"/>
    <w:rsid w:val="00375E29"/>
    <w:rsid w:val="00375F3B"/>
    <w:rsid w:val="00381968"/>
    <w:rsid w:val="003854AF"/>
    <w:rsid w:val="003919CB"/>
    <w:rsid w:val="00393DF4"/>
    <w:rsid w:val="00397EBF"/>
    <w:rsid w:val="003A2736"/>
    <w:rsid w:val="003A5464"/>
    <w:rsid w:val="003A6501"/>
    <w:rsid w:val="003C2EAB"/>
    <w:rsid w:val="003C3FE4"/>
    <w:rsid w:val="003C723E"/>
    <w:rsid w:val="003E19FC"/>
    <w:rsid w:val="003E5836"/>
    <w:rsid w:val="003F5290"/>
    <w:rsid w:val="003F726E"/>
    <w:rsid w:val="0040305A"/>
    <w:rsid w:val="00413E2F"/>
    <w:rsid w:val="00422853"/>
    <w:rsid w:val="0042584A"/>
    <w:rsid w:val="004365F4"/>
    <w:rsid w:val="00445654"/>
    <w:rsid w:val="00451FFE"/>
    <w:rsid w:val="004664B7"/>
    <w:rsid w:val="00486190"/>
    <w:rsid w:val="00495AA8"/>
    <w:rsid w:val="004A244C"/>
    <w:rsid w:val="004A2820"/>
    <w:rsid w:val="004A350B"/>
    <w:rsid w:val="004B2A13"/>
    <w:rsid w:val="004B7DD0"/>
    <w:rsid w:val="004C6895"/>
    <w:rsid w:val="004D21FF"/>
    <w:rsid w:val="004E08A2"/>
    <w:rsid w:val="004E0C3C"/>
    <w:rsid w:val="004E3091"/>
    <w:rsid w:val="004E724C"/>
    <w:rsid w:val="004F0472"/>
    <w:rsid w:val="004F5B46"/>
    <w:rsid w:val="005016A5"/>
    <w:rsid w:val="0050326C"/>
    <w:rsid w:val="00510C95"/>
    <w:rsid w:val="005121A3"/>
    <w:rsid w:val="00517E81"/>
    <w:rsid w:val="00536BA8"/>
    <w:rsid w:val="00537821"/>
    <w:rsid w:val="00542895"/>
    <w:rsid w:val="00551BCF"/>
    <w:rsid w:val="00555DF8"/>
    <w:rsid w:val="00556CD0"/>
    <w:rsid w:val="00560458"/>
    <w:rsid w:val="005706EB"/>
    <w:rsid w:val="005707DF"/>
    <w:rsid w:val="00570FBE"/>
    <w:rsid w:val="00576502"/>
    <w:rsid w:val="00576ED0"/>
    <w:rsid w:val="00586BD7"/>
    <w:rsid w:val="00592EC1"/>
    <w:rsid w:val="005A2D54"/>
    <w:rsid w:val="005A4FB1"/>
    <w:rsid w:val="005B0667"/>
    <w:rsid w:val="005B07D2"/>
    <w:rsid w:val="005B3A16"/>
    <w:rsid w:val="005B5185"/>
    <w:rsid w:val="005C6677"/>
    <w:rsid w:val="005D56C5"/>
    <w:rsid w:val="005E4399"/>
    <w:rsid w:val="005E66E0"/>
    <w:rsid w:val="005F3B39"/>
    <w:rsid w:val="00602836"/>
    <w:rsid w:val="006200BF"/>
    <w:rsid w:val="00621C18"/>
    <w:rsid w:val="00637D96"/>
    <w:rsid w:val="006447C8"/>
    <w:rsid w:val="00644F14"/>
    <w:rsid w:val="006650BD"/>
    <w:rsid w:val="00672C03"/>
    <w:rsid w:val="00673B03"/>
    <w:rsid w:val="00681F67"/>
    <w:rsid w:val="006837D3"/>
    <w:rsid w:val="006858E0"/>
    <w:rsid w:val="0069228A"/>
    <w:rsid w:val="00692290"/>
    <w:rsid w:val="006A48A9"/>
    <w:rsid w:val="006B2AAD"/>
    <w:rsid w:val="006B387C"/>
    <w:rsid w:val="006B768A"/>
    <w:rsid w:val="006D1155"/>
    <w:rsid w:val="006D13A8"/>
    <w:rsid w:val="006D3E64"/>
    <w:rsid w:val="006D445C"/>
    <w:rsid w:val="006D6E10"/>
    <w:rsid w:val="006E0D81"/>
    <w:rsid w:val="006E239D"/>
    <w:rsid w:val="006E472E"/>
    <w:rsid w:val="006F0AD2"/>
    <w:rsid w:val="006F223E"/>
    <w:rsid w:val="006F30C7"/>
    <w:rsid w:val="006F30F3"/>
    <w:rsid w:val="006F7B9C"/>
    <w:rsid w:val="007003D7"/>
    <w:rsid w:val="0070488D"/>
    <w:rsid w:val="0070614A"/>
    <w:rsid w:val="00711702"/>
    <w:rsid w:val="0071326E"/>
    <w:rsid w:val="00726119"/>
    <w:rsid w:val="00726240"/>
    <w:rsid w:val="00730445"/>
    <w:rsid w:val="007305FF"/>
    <w:rsid w:val="00731DF1"/>
    <w:rsid w:val="00743EC6"/>
    <w:rsid w:val="00745455"/>
    <w:rsid w:val="00755922"/>
    <w:rsid w:val="00756156"/>
    <w:rsid w:val="0075698B"/>
    <w:rsid w:val="00763E89"/>
    <w:rsid w:val="00770826"/>
    <w:rsid w:val="0077346A"/>
    <w:rsid w:val="00775AEA"/>
    <w:rsid w:val="007816BB"/>
    <w:rsid w:val="00791B09"/>
    <w:rsid w:val="00793533"/>
    <w:rsid w:val="007A11DA"/>
    <w:rsid w:val="007A3E56"/>
    <w:rsid w:val="007B52FE"/>
    <w:rsid w:val="007B61EA"/>
    <w:rsid w:val="007C6F89"/>
    <w:rsid w:val="007D2E06"/>
    <w:rsid w:val="007D35CC"/>
    <w:rsid w:val="007F7542"/>
    <w:rsid w:val="00802D63"/>
    <w:rsid w:val="00805BE2"/>
    <w:rsid w:val="00814A28"/>
    <w:rsid w:val="00820569"/>
    <w:rsid w:val="008211C0"/>
    <w:rsid w:val="00823244"/>
    <w:rsid w:val="00824A92"/>
    <w:rsid w:val="00827B3A"/>
    <w:rsid w:val="00831479"/>
    <w:rsid w:val="00834845"/>
    <w:rsid w:val="00836FED"/>
    <w:rsid w:val="00842277"/>
    <w:rsid w:val="0085196D"/>
    <w:rsid w:val="00860990"/>
    <w:rsid w:val="00862920"/>
    <w:rsid w:val="00862A3D"/>
    <w:rsid w:val="008657F1"/>
    <w:rsid w:val="00867466"/>
    <w:rsid w:val="00867FD8"/>
    <w:rsid w:val="00875DEA"/>
    <w:rsid w:val="00887F10"/>
    <w:rsid w:val="008964DC"/>
    <w:rsid w:val="008B0285"/>
    <w:rsid w:val="008C046D"/>
    <w:rsid w:val="008C56AC"/>
    <w:rsid w:val="008C584A"/>
    <w:rsid w:val="008D093F"/>
    <w:rsid w:val="008D696C"/>
    <w:rsid w:val="008E0D8E"/>
    <w:rsid w:val="008F0323"/>
    <w:rsid w:val="008F300B"/>
    <w:rsid w:val="00904993"/>
    <w:rsid w:val="00906267"/>
    <w:rsid w:val="009068C4"/>
    <w:rsid w:val="00914332"/>
    <w:rsid w:val="0091617F"/>
    <w:rsid w:val="009211EB"/>
    <w:rsid w:val="00926E79"/>
    <w:rsid w:val="00943A5E"/>
    <w:rsid w:val="00946928"/>
    <w:rsid w:val="00947FCA"/>
    <w:rsid w:val="00953D11"/>
    <w:rsid w:val="0096083F"/>
    <w:rsid w:val="00962FFB"/>
    <w:rsid w:val="009704A8"/>
    <w:rsid w:val="0098039C"/>
    <w:rsid w:val="00982972"/>
    <w:rsid w:val="00982EA5"/>
    <w:rsid w:val="00995A07"/>
    <w:rsid w:val="00996DC1"/>
    <w:rsid w:val="009A5AC2"/>
    <w:rsid w:val="009A6B6C"/>
    <w:rsid w:val="009B2FCA"/>
    <w:rsid w:val="009B692B"/>
    <w:rsid w:val="009C7C93"/>
    <w:rsid w:val="009D4D95"/>
    <w:rsid w:val="009E463E"/>
    <w:rsid w:val="00A05B13"/>
    <w:rsid w:val="00A152C1"/>
    <w:rsid w:val="00A15690"/>
    <w:rsid w:val="00A17EA3"/>
    <w:rsid w:val="00A24DEA"/>
    <w:rsid w:val="00A26E50"/>
    <w:rsid w:val="00A271FF"/>
    <w:rsid w:val="00A467D7"/>
    <w:rsid w:val="00A47B5C"/>
    <w:rsid w:val="00A52DDC"/>
    <w:rsid w:val="00A5398D"/>
    <w:rsid w:val="00A612AE"/>
    <w:rsid w:val="00A656C2"/>
    <w:rsid w:val="00A67C43"/>
    <w:rsid w:val="00A67E5E"/>
    <w:rsid w:val="00A721F4"/>
    <w:rsid w:val="00A7230F"/>
    <w:rsid w:val="00A76184"/>
    <w:rsid w:val="00A905DA"/>
    <w:rsid w:val="00A95250"/>
    <w:rsid w:val="00A95399"/>
    <w:rsid w:val="00A95F35"/>
    <w:rsid w:val="00AA2730"/>
    <w:rsid w:val="00AA7563"/>
    <w:rsid w:val="00AB5720"/>
    <w:rsid w:val="00AC0FE4"/>
    <w:rsid w:val="00AC639D"/>
    <w:rsid w:val="00AD4609"/>
    <w:rsid w:val="00AD48AC"/>
    <w:rsid w:val="00AD799E"/>
    <w:rsid w:val="00AE125D"/>
    <w:rsid w:val="00AE6028"/>
    <w:rsid w:val="00AE7188"/>
    <w:rsid w:val="00AF3899"/>
    <w:rsid w:val="00B03BB2"/>
    <w:rsid w:val="00B04022"/>
    <w:rsid w:val="00B106E5"/>
    <w:rsid w:val="00B32931"/>
    <w:rsid w:val="00B412C6"/>
    <w:rsid w:val="00B50DEA"/>
    <w:rsid w:val="00B513E9"/>
    <w:rsid w:val="00B5313B"/>
    <w:rsid w:val="00B544E0"/>
    <w:rsid w:val="00B5657D"/>
    <w:rsid w:val="00B57D26"/>
    <w:rsid w:val="00B66F8E"/>
    <w:rsid w:val="00B676AE"/>
    <w:rsid w:val="00B7421C"/>
    <w:rsid w:val="00B777CB"/>
    <w:rsid w:val="00B77BE1"/>
    <w:rsid w:val="00B80E8C"/>
    <w:rsid w:val="00B84831"/>
    <w:rsid w:val="00B90CBC"/>
    <w:rsid w:val="00BA5125"/>
    <w:rsid w:val="00BB16BC"/>
    <w:rsid w:val="00BC2DBB"/>
    <w:rsid w:val="00BC6AA3"/>
    <w:rsid w:val="00BD1618"/>
    <w:rsid w:val="00BD4EAF"/>
    <w:rsid w:val="00BE7BD6"/>
    <w:rsid w:val="00BF5A94"/>
    <w:rsid w:val="00C01B45"/>
    <w:rsid w:val="00C0237F"/>
    <w:rsid w:val="00C03C90"/>
    <w:rsid w:val="00C04178"/>
    <w:rsid w:val="00C05C88"/>
    <w:rsid w:val="00C16993"/>
    <w:rsid w:val="00C256F6"/>
    <w:rsid w:val="00C34D74"/>
    <w:rsid w:val="00C34E6E"/>
    <w:rsid w:val="00C41528"/>
    <w:rsid w:val="00C42E95"/>
    <w:rsid w:val="00C54A32"/>
    <w:rsid w:val="00C55776"/>
    <w:rsid w:val="00C62BCF"/>
    <w:rsid w:val="00C66E24"/>
    <w:rsid w:val="00C6706F"/>
    <w:rsid w:val="00C675A3"/>
    <w:rsid w:val="00C67EAC"/>
    <w:rsid w:val="00C718D4"/>
    <w:rsid w:val="00C82215"/>
    <w:rsid w:val="00CA577D"/>
    <w:rsid w:val="00CA7B0A"/>
    <w:rsid w:val="00CB1150"/>
    <w:rsid w:val="00CB12DC"/>
    <w:rsid w:val="00CB3DAE"/>
    <w:rsid w:val="00CB6B95"/>
    <w:rsid w:val="00CC19B4"/>
    <w:rsid w:val="00CC670B"/>
    <w:rsid w:val="00CF77E2"/>
    <w:rsid w:val="00D02FB8"/>
    <w:rsid w:val="00D03F57"/>
    <w:rsid w:val="00D05CC0"/>
    <w:rsid w:val="00D12406"/>
    <w:rsid w:val="00D12CDC"/>
    <w:rsid w:val="00D15538"/>
    <w:rsid w:val="00D2193D"/>
    <w:rsid w:val="00D2246E"/>
    <w:rsid w:val="00D33008"/>
    <w:rsid w:val="00D40C19"/>
    <w:rsid w:val="00D460EA"/>
    <w:rsid w:val="00D5400A"/>
    <w:rsid w:val="00D56E8B"/>
    <w:rsid w:val="00D60335"/>
    <w:rsid w:val="00D610EA"/>
    <w:rsid w:val="00D656BE"/>
    <w:rsid w:val="00D674B9"/>
    <w:rsid w:val="00D7095B"/>
    <w:rsid w:val="00D71E55"/>
    <w:rsid w:val="00D72165"/>
    <w:rsid w:val="00D814F0"/>
    <w:rsid w:val="00D82DAC"/>
    <w:rsid w:val="00DA105B"/>
    <w:rsid w:val="00DA55AD"/>
    <w:rsid w:val="00DB1FA8"/>
    <w:rsid w:val="00DB2BF6"/>
    <w:rsid w:val="00DB3657"/>
    <w:rsid w:val="00DB411D"/>
    <w:rsid w:val="00DC2043"/>
    <w:rsid w:val="00DE2CD0"/>
    <w:rsid w:val="00DF1591"/>
    <w:rsid w:val="00DF321E"/>
    <w:rsid w:val="00DF7734"/>
    <w:rsid w:val="00E03D22"/>
    <w:rsid w:val="00E1319C"/>
    <w:rsid w:val="00E16D5E"/>
    <w:rsid w:val="00E17088"/>
    <w:rsid w:val="00E20462"/>
    <w:rsid w:val="00E20735"/>
    <w:rsid w:val="00E214E7"/>
    <w:rsid w:val="00E331D7"/>
    <w:rsid w:val="00E429B2"/>
    <w:rsid w:val="00E42F80"/>
    <w:rsid w:val="00E439DC"/>
    <w:rsid w:val="00E46E06"/>
    <w:rsid w:val="00E47AB1"/>
    <w:rsid w:val="00E50E68"/>
    <w:rsid w:val="00E50F8E"/>
    <w:rsid w:val="00E57724"/>
    <w:rsid w:val="00E60AAB"/>
    <w:rsid w:val="00E60E75"/>
    <w:rsid w:val="00E61EFD"/>
    <w:rsid w:val="00E676F3"/>
    <w:rsid w:val="00E7057D"/>
    <w:rsid w:val="00E71CC4"/>
    <w:rsid w:val="00E71EB7"/>
    <w:rsid w:val="00E90229"/>
    <w:rsid w:val="00E91CE8"/>
    <w:rsid w:val="00E95E7B"/>
    <w:rsid w:val="00EA7E0D"/>
    <w:rsid w:val="00EB0747"/>
    <w:rsid w:val="00EC2B77"/>
    <w:rsid w:val="00EC46C0"/>
    <w:rsid w:val="00ED0BC6"/>
    <w:rsid w:val="00ED0E4D"/>
    <w:rsid w:val="00ED3E96"/>
    <w:rsid w:val="00ED43D7"/>
    <w:rsid w:val="00EE3294"/>
    <w:rsid w:val="00EE3EB8"/>
    <w:rsid w:val="00EE66DB"/>
    <w:rsid w:val="00EF4488"/>
    <w:rsid w:val="00F0120D"/>
    <w:rsid w:val="00F12ED7"/>
    <w:rsid w:val="00F36CB0"/>
    <w:rsid w:val="00F477BB"/>
    <w:rsid w:val="00F61A7E"/>
    <w:rsid w:val="00F61AE5"/>
    <w:rsid w:val="00F75DAA"/>
    <w:rsid w:val="00F90901"/>
    <w:rsid w:val="00F939E1"/>
    <w:rsid w:val="00F97448"/>
    <w:rsid w:val="00FA0893"/>
    <w:rsid w:val="00FA4F77"/>
    <w:rsid w:val="00FB5B9C"/>
    <w:rsid w:val="00FB6837"/>
    <w:rsid w:val="00FC078C"/>
    <w:rsid w:val="00FC1B0B"/>
    <w:rsid w:val="00FD4893"/>
    <w:rsid w:val="00FE5E0F"/>
    <w:rsid w:val="00FF2110"/>
    <w:rsid w:val="00FF3C74"/>
    <w:rsid w:val="01042CD0"/>
    <w:rsid w:val="01833572"/>
    <w:rsid w:val="01B13F44"/>
    <w:rsid w:val="01FB0149"/>
    <w:rsid w:val="02071C2B"/>
    <w:rsid w:val="02870BEF"/>
    <w:rsid w:val="02A24F70"/>
    <w:rsid w:val="02C37FA4"/>
    <w:rsid w:val="031F0975"/>
    <w:rsid w:val="03442AED"/>
    <w:rsid w:val="047F5600"/>
    <w:rsid w:val="054E2E40"/>
    <w:rsid w:val="05E231BC"/>
    <w:rsid w:val="06047D48"/>
    <w:rsid w:val="06063FB4"/>
    <w:rsid w:val="06123490"/>
    <w:rsid w:val="062C165A"/>
    <w:rsid w:val="06781E28"/>
    <w:rsid w:val="06835935"/>
    <w:rsid w:val="06C168E9"/>
    <w:rsid w:val="075C6603"/>
    <w:rsid w:val="07652747"/>
    <w:rsid w:val="07AD0F33"/>
    <w:rsid w:val="07AD1777"/>
    <w:rsid w:val="07B45E98"/>
    <w:rsid w:val="07DA2FB4"/>
    <w:rsid w:val="07EF2D5E"/>
    <w:rsid w:val="0801185D"/>
    <w:rsid w:val="087D1D0C"/>
    <w:rsid w:val="08AD35B1"/>
    <w:rsid w:val="08C948EB"/>
    <w:rsid w:val="08DB2EDC"/>
    <w:rsid w:val="08E21F8A"/>
    <w:rsid w:val="092E4509"/>
    <w:rsid w:val="093B7514"/>
    <w:rsid w:val="09772C97"/>
    <w:rsid w:val="09795489"/>
    <w:rsid w:val="09E13B53"/>
    <w:rsid w:val="0A713B43"/>
    <w:rsid w:val="0ABC65F8"/>
    <w:rsid w:val="0B231062"/>
    <w:rsid w:val="0B2E20DF"/>
    <w:rsid w:val="0B304245"/>
    <w:rsid w:val="0B583635"/>
    <w:rsid w:val="0C16522A"/>
    <w:rsid w:val="0C3C4113"/>
    <w:rsid w:val="0E7B4794"/>
    <w:rsid w:val="0EFD219F"/>
    <w:rsid w:val="0F88614D"/>
    <w:rsid w:val="0F962797"/>
    <w:rsid w:val="0FCE087C"/>
    <w:rsid w:val="0FF52FB0"/>
    <w:rsid w:val="0FFB5583"/>
    <w:rsid w:val="10377E0E"/>
    <w:rsid w:val="105070ED"/>
    <w:rsid w:val="10674BC7"/>
    <w:rsid w:val="116D3144"/>
    <w:rsid w:val="117C3153"/>
    <w:rsid w:val="11A03257"/>
    <w:rsid w:val="11AF4D48"/>
    <w:rsid w:val="11C72557"/>
    <w:rsid w:val="11E85CA9"/>
    <w:rsid w:val="12241417"/>
    <w:rsid w:val="126C3F42"/>
    <w:rsid w:val="12C42276"/>
    <w:rsid w:val="12D23E0C"/>
    <w:rsid w:val="134347E7"/>
    <w:rsid w:val="13655A43"/>
    <w:rsid w:val="139A3AEE"/>
    <w:rsid w:val="13A053BE"/>
    <w:rsid w:val="142E4A09"/>
    <w:rsid w:val="14334706"/>
    <w:rsid w:val="143E77CB"/>
    <w:rsid w:val="14692E3C"/>
    <w:rsid w:val="1498525D"/>
    <w:rsid w:val="14EF3277"/>
    <w:rsid w:val="15101DDC"/>
    <w:rsid w:val="155B65CD"/>
    <w:rsid w:val="15C86766"/>
    <w:rsid w:val="15E72CC4"/>
    <w:rsid w:val="16137D3A"/>
    <w:rsid w:val="161C3E0C"/>
    <w:rsid w:val="163B4A6C"/>
    <w:rsid w:val="16652EC3"/>
    <w:rsid w:val="16C04CC9"/>
    <w:rsid w:val="16C666C0"/>
    <w:rsid w:val="16D72400"/>
    <w:rsid w:val="16EA1266"/>
    <w:rsid w:val="17955DEB"/>
    <w:rsid w:val="191775ED"/>
    <w:rsid w:val="191A4C27"/>
    <w:rsid w:val="19504369"/>
    <w:rsid w:val="19B114A1"/>
    <w:rsid w:val="1A075C15"/>
    <w:rsid w:val="1A4835B7"/>
    <w:rsid w:val="1A796C4B"/>
    <w:rsid w:val="1A897EEE"/>
    <w:rsid w:val="1ADB4120"/>
    <w:rsid w:val="1AFB0B5A"/>
    <w:rsid w:val="1B727831"/>
    <w:rsid w:val="1B8D003A"/>
    <w:rsid w:val="1B910B6D"/>
    <w:rsid w:val="1C0A4C3D"/>
    <w:rsid w:val="1C15737C"/>
    <w:rsid w:val="1CB07765"/>
    <w:rsid w:val="1D325A88"/>
    <w:rsid w:val="1D850ACF"/>
    <w:rsid w:val="1DB565E7"/>
    <w:rsid w:val="1DB800E6"/>
    <w:rsid w:val="1DCC4B9C"/>
    <w:rsid w:val="1E2E76AC"/>
    <w:rsid w:val="1E40440D"/>
    <w:rsid w:val="1ECC40A2"/>
    <w:rsid w:val="1EFF2CA0"/>
    <w:rsid w:val="1F6C5F0D"/>
    <w:rsid w:val="1FF04C75"/>
    <w:rsid w:val="20637EC7"/>
    <w:rsid w:val="206F2417"/>
    <w:rsid w:val="20B330AB"/>
    <w:rsid w:val="20E147AA"/>
    <w:rsid w:val="213275C3"/>
    <w:rsid w:val="214103AE"/>
    <w:rsid w:val="21522873"/>
    <w:rsid w:val="21A00EC3"/>
    <w:rsid w:val="21CD182F"/>
    <w:rsid w:val="21D57BF4"/>
    <w:rsid w:val="22447024"/>
    <w:rsid w:val="224716B5"/>
    <w:rsid w:val="22552AF3"/>
    <w:rsid w:val="22A0780B"/>
    <w:rsid w:val="238E3F12"/>
    <w:rsid w:val="23931BA5"/>
    <w:rsid w:val="239C0D04"/>
    <w:rsid w:val="23D86980"/>
    <w:rsid w:val="23FB1245"/>
    <w:rsid w:val="24672932"/>
    <w:rsid w:val="25506F3B"/>
    <w:rsid w:val="257126BA"/>
    <w:rsid w:val="25C61274"/>
    <w:rsid w:val="26614F45"/>
    <w:rsid w:val="26672A31"/>
    <w:rsid w:val="26982EC5"/>
    <w:rsid w:val="26B56283"/>
    <w:rsid w:val="27490C70"/>
    <w:rsid w:val="2771485E"/>
    <w:rsid w:val="2774085F"/>
    <w:rsid w:val="28206C0D"/>
    <w:rsid w:val="287412F0"/>
    <w:rsid w:val="28AB4E28"/>
    <w:rsid w:val="28CE78B4"/>
    <w:rsid w:val="28F33E66"/>
    <w:rsid w:val="293A48C5"/>
    <w:rsid w:val="29A23F11"/>
    <w:rsid w:val="29C65B51"/>
    <w:rsid w:val="2A91741B"/>
    <w:rsid w:val="2A932D23"/>
    <w:rsid w:val="2AD969CD"/>
    <w:rsid w:val="2B2F575E"/>
    <w:rsid w:val="2B4D4512"/>
    <w:rsid w:val="2B666C19"/>
    <w:rsid w:val="2B9C3D77"/>
    <w:rsid w:val="2BDC3649"/>
    <w:rsid w:val="2BDF10CD"/>
    <w:rsid w:val="2C027583"/>
    <w:rsid w:val="2C3462DF"/>
    <w:rsid w:val="2C9B3341"/>
    <w:rsid w:val="2CB4112A"/>
    <w:rsid w:val="2CB70A4F"/>
    <w:rsid w:val="2CBC12A6"/>
    <w:rsid w:val="2CDB46C4"/>
    <w:rsid w:val="2DC53653"/>
    <w:rsid w:val="2DED3EDA"/>
    <w:rsid w:val="2E0939B4"/>
    <w:rsid w:val="2E391BCB"/>
    <w:rsid w:val="2E4C207C"/>
    <w:rsid w:val="2EDF5C44"/>
    <w:rsid w:val="2F1E4245"/>
    <w:rsid w:val="2FBA0E3A"/>
    <w:rsid w:val="2FBC0CDA"/>
    <w:rsid w:val="2FE84025"/>
    <w:rsid w:val="2FF879CE"/>
    <w:rsid w:val="307C1BD3"/>
    <w:rsid w:val="30AD2B34"/>
    <w:rsid w:val="30DD132C"/>
    <w:rsid w:val="30DE26BD"/>
    <w:rsid w:val="32354601"/>
    <w:rsid w:val="328F1747"/>
    <w:rsid w:val="32A36C20"/>
    <w:rsid w:val="33332A4E"/>
    <w:rsid w:val="33793511"/>
    <w:rsid w:val="337B46BC"/>
    <w:rsid w:val="338B7ECF"/>
    <w:rsid w:val="3393705C"/>
    <w:rsid w:val="343F77A1"/>
    <w:rsid w:val="34445506"/>
    <w:rsid w:val="3450391F"/>
    <w:rsid w:val="347E1FFD"/>
    <w:rsid w:val="347E6211"/>
    <w:rsid w:val="3482418F"/>
    <w:rsid w:val="34C14C6E"/>
    <w:rsid w:val="357A78B5"/>
    <w:rsid w:val="357C62FA"/>
    <w:rsid w:val="35B30705"/>
    <w:rsid w:val="35E21767"/>
    <w:rsid w:val="35E5726E"/>
    <w:rsid w:val="362D7AA7"/>
    <w:rsid w:val="369029E5"/>
    <w:rsid w:val="36B84E60"/>
    <w:rsid w:val="36D72BB5"/>
    <w:rsid w:val="37031BBD"/>
    <w:rsid w:val="370C44CB"/>
    <w:rsid w:val="37550F57"/>
    <w:rsid w:val="37AB65EB"/>
    <w:rsid w:val="37B74865"/>
    <w:rsid w:val="37B84CF6"/>
    <w:rsid w:val="37E564D4"/>
    <w:rsid w:val="38063740"/>
    <w:rsid w:val="3813788B"/>
    <w:rsid w:val="3860200D"/>
    <w:rsid w:val="389678A9"/>
    <w:rsid w:val="38AB5A75"/>
    <w:rsid w:val="39033E4D"/>
    <w:rsid w:val="392423A5"/>
    <w:rsid w:val="394E06A6"/>
    <w:rsid w:val="39527AD9"/>
    <w:rsid w:val="396F3C7E"/>
    <w:rsid w:val="398805DD"/>
    <w:rsid w:val="39A9504D"/>
    <w:rsid w:val="39ED0A25"/>
    <w:rsid w:val="3A364539"/>
    <w:rsid w:val="3A3A7964"/>
    <w:rsid w:val="3A3B2F00"/>
    <w:rsid w:val="3A5C6502"/>
    <w:rsid w:val="3AAA1D5D"/>
    <w:rsid w:val="3ADF3E50"/>
    <w:rsid w:val="3AE67BF5"/>
    <w:rsid w:val="3B117604"/>
    <w:rsid w:val="3B545324"/>
    <w:rsid w:val="3BAB7B8E"/>
    <w:rsid w:val="3BBE7B2D"/>
    <w:rsid w:val="3BEE4862"/>
    <w:rsid w:val="3C106331"/>
    <w:rsid w:val="3C6B5786"/>
    <w:rsid w:val="3D1C130D"/>
    <w:rsid w:val="3D8539D9"/>
    <w:rsid w:val="3D8A75F2"/>
    <w:rsid w:val="3DC2102F"/>
    <w:rsid w:val="3DD11929"/>
    <w:rsid w:val="3DE2592A"/>
    <w:rsid w:val="3DE30792"/>
    <w:rsid w:val="3E3A585E"/>
    <w:rsid w:val="3E79182A"/>
    <w:rsid w:val="3E831F9A"/>
    <w:rsid w:val="3F58770E"/>
    <w:rsid w:val="3F6B653E"/>
    <w:rsid w:val="3F766840"/>
    <w:rsid w:val="3F7A7956"/>
    <w:rsid w:val="40FC1638"/>
    <w:rsid w:val="41006760"/>
    <w:rsid w:val="41514AB8"/>
    <w:rsid w:val="41905434"/>
    <w:rsid w:val="41A00A5C"/>
    <w:rsid w:val="41AA4BF2"/>
    <w:rsid w:val="41C74D8C"/>
    <w:rsid w:val="41E359E6"/>
    <w:rsid w:val="4234016A"/>
    <w:rsid w:val="4247284E"/>
    <w:rsid w:val="42C85540"/>
    <w:rsid w:val="43087288"/>
    <w:rsid w:val="436D6865"/>
    <w:rsid w:val="437C3569"/>
    <w:rsid w:val="438065C8"/>
    <w:rsid w:val="43C04913"/>
    <w:rsid w:val="43CE64FB"/>
    <w:rsid w:val="446C773E"/>
    <w:rsid w:val="446E6091"/>
    <w:rsid w:val="44B6296D"/>
    <w:rsid w:val="44D53400"/>
    <w:rsid w:val="44ED3F8B"/>
    <w:rsid w:val="45753CF7"/>
    <w:rsid w:val="45DC2B00"/>
    <w:rsid w:val="46C3483E"/>
    <w:rsid w:val="4745161F"/>
    <w:rsid w:val="474656AD"/>
    <w:rsid w:val="476252DD"/>
    <w:rsid w:val="47744404"/>
    <w:rsid w:val="47AB5F46"/>
    <w:rsid w:val="48010421"/>
    <w:rsid w:val="481D4AC2"/>
    <w:rsid w:val="48CA6E4E"/>
    <w:rsid w:val="48EC793F"/>
    <w:rsid w:val="48F73FBC"/>
    <w:rsid w:val="495402EC"/>
    <w:rsid w:val="49682BA3"/>
    <w:rsid w:val="49F00448"/>
    <w:rsid w:val="4A4C14F5"/>
    <w:rsid w:val="4A653E2D"/>
    <w:rsid w:val="4A9D16CE"/>
    <w:rsid w:val="4A9D471C"/>
    <w:rsid w:val="4AB51EEF"/>
    <w:rsid w:val="4ABE5042"/>
    <w:rsid w:val="4ACE7AE2"/>
    <w:rsid w:val="4AF61082"/>
    <w:rsid w:val="4B403B29"/>
    <w:rsid w:val="4B760988"/>
    <w:rsid w:val="4C085537"/>
    <w:rsid w:val="4C9E3E82"/>
    <w:rsid w:val="4CAC2C25"/>
    <w:rsid w:val="4CD21630"/>
    <w:rsid w:val="4CE07687"/>
    <w:rsid w:val="4D3763C0"/>
    <w:rsid w:val="4D6B0E93"/>
    <w:rsid w:val="4D6E5A1F"/>
    <w:rsid w:val="4DBA50C1"/>
    <w:rsid w:val="4DCA2788"/>
    <w:rsid w:val="4DEE715F"/>
    <w:rsid w:val="4E6558EE"/>
    <w:rsid w:val="4F2F4364"/>
    <w:rsid w:val="4F822D0B"/>
    <w:rsid w:val="4FD15ADF"/>
    <w:rsid w:val="4FE463EB"/>
    <w:rsid w:val="501662B2"/>
    <w:rsid w:val="50DA1229"/>
    <w:rsid w:val="50EB47C6"/>
    <w:rsid w:val="50F33A6E"/>
    <w:rsid w:val="5155776B"/>
    <w:rsid w:val="515809B0"/>
    <w:rsid w:val="516E2B8D"/>
    <w:rsid w:val="52605193"/>
    <w:rsid w:val="52EF3872"/>
    <w:rsid w:val="535122A0"/>
    <w:rsid w:val="535C2FE6"/>
    <w:rsid w:val="53884282"/>
    <w:rsid w:val="539D280D"/>
    <w:rsid w:val="53FF2A29"/>
    <w:rsid w:val="543507F2"/>
    <w:rsid w:val="54556FA0"/>
    <w:rsid w:val="54C479D3"/>
    <w:rsid w:val="55362B94"/>
    <w:rsid w:val="555203A5"/>
    <w:rsid w:val="555C3493"/>
    <w:rsid w:val="55850194"/>
    <w:rsid w:val="55D54B09"/>
    <w:rsid w:val="55DD6989"/>
    <w:rsid w:val="56062190"/>
    <w:rsid w:val="5639439B"/>
    <w:rsid w:val="56396747"/>
    <w:rsid w:val="5641109C"/>
    <w:rsid w:val="56965119"/>
    <w:rsid w:val="56AB0D99"/>
    <w:rsid w:val="56D100C6"/>
    <w:rsid w:val="56F546FF"/>
    <w:rsid w:val="57003E35"/>
    <w:rsid w:val="571D0914"/>
    <w:rsid w:val="57676FD4"/>
    <w:rsid w:val="576C30D0"/>
    <w:rsid w:val="57BF75FC"/>
    <w:rsid w:val="57DE77D6"/>
    <w:rsid w:val="588C469F"/>
    <w:rsid w:val="58D33CDC"/>
    <w:rsid w:val="58E56E89"/>
    <w:rsid w:val="59D5095F"/>
    <w:rsid w:val="5A057B46"/>
    <w:rsid w:val="5AD6188F"/>
    <w:rsid w:val="5AF3365C"/>
    <w:rsid w:val="5B1C6C17"/>
    <w:rsid w:val="5B2914F9"/>
    <w:rsid w:val="5B303F63"/>
    <w:rsid w:val="5B410423"/>
    <w:rsid w:val="5B7D2D1C"/>
    <w:rsid w:val="5BBC1D53"/>
    <w:rsid w:val="5C415738"/>
    <w:rsid w:val="5C632349"/>
    <w:rsid w:val="5C9F483D"/>
    <w:rsid w:val="5CC62510"/>
    <w:rsid w:val="5D060327"/>
    <w:rsid w:val="5D2E42E0"/>
    <w:rsid w:val="5DDA2782"/>
    <w:rsid w:val="5E053A39"/>
    <w:rsid w:val="5E943C01"/>
    <w:rsid w:val="5EB629D1"/>
    <w:rsid w:val="5EF81245"/>
    <w:rsid w:val="5F065929"/>
    <w:rsid w:val="5F225601"/>
    <w:rsid w:val="5F317755"/>
    <w:rsid w:val="5F8E3006"/>
    <w:rsid w:val="5FBD3A38"/>
    <w:rsid w:val="60121D44"/>
    <w:rsid w:val="60D263B9"/>
    <w:rsid w:val="60FD688E"/>
    <w:rsid w:val="63132977"/>
    <w:rsid w:val="6317394C"/>
    <w:rsid w:val="6357783B"/>
    <w:rsid w:val="63D00B3E"/>
    <w:rsid w:val="63DE343C"/>
    <w:rsid w:val="64091BB5"/>
    <w:rsid w:val="642377E2"/>
    <w:rsid w:val="6457430E"/>
    <w:rsid w:val="647473B9"/>
    <w:rsid w:val="649522CA"/>
    <w:rsid w:val="653C2A1A"/>
    <w:rsid w:val="65471DFE"/>
    <w:rsid w:val="655A58A0"/>
    <w:rsid w:val="65711400"/>
    <w:rsid w:val="658A4DAA"/>
    <w:rsid w:val="65AC1B8A"/>
    <w:rsid w:val="65DE3B6B"/>
    <w:rsid w:val="65E01AD1"/>
    <w:rsid w:val="65EF254D"/>
    <w:rsid w:val="65F45BA2"/>
    <w:rsid w:val="664B19B8"/>
    <w:rsid w:val="665C664F"/>
    <w:rsid w:val="66603996"/>
    <w:rsid w:val="669F6DCE"/>
    <w:rsid w:val="6731630F"/>
    <w:rsid w:val="675B374A"/>
    <w:rsid w:val="67DA14DE"/>
    <w:rsid w:val="68210EBB"/>
    <w:rsid w:val="683C1A5E"/>
    <w:rsid w:val="684D64AB"/>
    <w:rsid w:val="694314E4"/>
    <w:rsid w:val="695C22B9"/>
    <w:rsid w:val="696D2152"/>
    <w:rsid w:val="697F358D"/>
    <w:rsid w:val="69887C31"/>
    <w:rsid w:val="69E974C0"/>
    <w:rsid w:val="69F43372"/>
    <w:rsid w:val="6AE7210A"/>
    <w:rsid w:val="6B040CD5"/>
    <w:rsid w:val="6B275BCB"/>
    <w:rsid w:val="6B601BD5"/>
    <w:rsid w:val="6B6E41E6"/>
    <w:rsid w:val="6BF63042"/>
    <w:rsid w:val="6C3F7732"/>
    <w:rsid w:val="6C4A40A0"/>
    <w:rsid w:val="6C996A2C"/>
    <w:rsid w:val="6CEF7F24"/>
    <w:rsid w:val="6D0A1917"/>
    <w:rsid w:val="6DB6670B"/>
    <w:rsid w:val="6E326098"/>
    <w:rsid w:val="6E6B74F4"/>
    <w:rsid w:val="6E812E85"/>
    <w:rsid w:val="6EC10996"/>
    <w:rsid w:val="6F1E7738"/>
    <w:rsid w:val="6FDB6BF8"/>
    <w:rsid w:val="70506D0C"/>
    <w:rsid w:val="712E309E"/>
    <w:rsid w:val="714617F4"/>
    <w:rsid w:val="716E18A8"/>
    <w:rsid w:val="717D79A1"/>
    <w:rsid w:val="71DB7E8B"/>
    <w:rsid w:val="72143894"/>
    <w:rsid w:val="72A36844"/>
    <w:rsid w:val="72BE6450"/>
    <w:rsid w:val="72BF1536"/>
    <w:rsid w:val="72D55508"/>
    <w:rsid w:val="72F40E8B"/>
    <w:rsid w:val="73134B97"/>
    <w:rsid w:val="731D72FE"/>
    <w:rsid w:val="732D6CD9"/>
    <w:rsid w:val="7355777E"/>
    <w:rsid w:val="735F508B"/>
    <w:rsid w:val="7368497B"/>
    <w:rsid w:val="73E61E94"/>
    <w:rsid w:val="742721BB"/>
    <w:rsid w:val="743C5116"/>
    <w:rsid w:val="747F1797"/>
    <w:rsid w:val="7480340D"/>
    <w:rsid w:val="75513F5C"/>
    <w:rsid w:val="755646CD"/>
    <w:rsid w:val="75584D8B"/>
    <w:rsid w:val="75A538D4"/>
    <w:rsid w:val="76224E84"/>
    <w:rsid w:val="762475EC"/>
    <w:rsid w:val="771C10D4"/>
    <w:rsid w:val="77234719"/>
    <w:rsid w:val="77254E2D"/>
    <w:rsid w:val="77540657"/>
    <w:rsid w:val="77A505F0"/>
    <w:rsid w:val="77E71D50"/>
    <w:rsid w:val="77E96525"/>
    <w:rsid w:val="785F0A74"/>
    <w:rsid w:val="794D1164"/>
    <w:rsid w:val="799C3311"/>
    <w:rsid w:val="79A656C4"/>
    <w:rsid w:val="79CE2823"/>
    <w:rsid w:val="7A0E4311"/>
    <w:rsid w:val="7A192557"/>
    <w:rsid w:val="7A4847EF"/>
    <w:rsid w:val="7B3B35FF"/>
    <w:rsid w:val="7BC52343"/>
    <w:rsid w:val="7BCD2762"/>
    <w:rsid w:val="7BDC045E"/>
    <w:rsid w:val="7BE11610"/>
    <w:rsid w:val="7CA00A65"/>
    <w:rsid w:val="7D7307B1"/>
    <w:rsid w:val="7DD6561D"/>
    <w:rsid w:val="7EA2350B"/>
    <w:rsid w:val="7EB27DEF"/>
    <w:rsid w:val="7EEE4C3C"/>
    <w:rsid w:val="7EFF2B2D"/>
    <w:rsid w:val="7F1A59CF"/>
    <w:rsid w:val="7F45182A"/>
    <w:rsid w:val="7F927F55"/>
    <w:rsid w:val="7FD2342D"/>
    <w:rsid w:val="7FEF25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36"/>
      <w:szCs w:val="24"/>
      <w:lang w:val="en-US" w:eastAsia="zh-CN" w:bidi="ar-SA"/>
    </w:rPr>
  </w:style>
  <w:style w:type="paragraph" w:styleId="3">
    <w:name w:val="heading 1"/>
    <w:basedOn w:val="1"/>
    <w:next w:val="1"/>
    <w:link w:val="96"/>
    <w:qFormat/>
    <w:uiPriority w:val="0"/>
    <w:pPr>
      <w:keepNext/>
      <w:keepLines/>
      <w:spacing w:line="576" w:lineRule="auto"/>
      <w:outlineLvl w:val="0"/>
    </w:pPr>
    <w:rPr>
      <w:b/>
      <w:bCs/>
      <w:kern w:val="44"/>
      <w:sz w:val="44"/>
      <w:szCs w:val="44"/>
    </w:rPr>
  </w:style>
  <w:style w:type="paragraph" w:styleId="4">
    <w:name w:val="heading 2"/>
    <w:basedOn w:val="1"/>
    <w:next w:val="1"/>
    <w:link w:val="94"/>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link w:val="97"/>
    <w:qFormat/>
    <w:uiPriority w:val="0"/>
    <w:pPr>
      <w:keepNext/>
      <w:keepLines/>
      <w:spacing w:line="416" w:lineRule="auto"/>
      <w:outlineLvl w:val="2"/>
    </w:pPr>
    <w:rPr>
      <w:b/>
      <w:bCs/>
      <w:sz w:val="32"/>
      <w:szCs w:val="32"/>
    </w:rPr>
  </w:style>
  <w:style w:type="paragraph" w:styleId="6">
    <w:name w:val="heading 4"/>
    <w:basedOn w:val="1"/>
    <w:next w:val="1"/>
    <w:link w:val="98"/>
    <w:qFormat/>
    <w:uiPriority w:val="0"/>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7">
    <w:name w:val="Normal Indent"/>
    <w:basedOn w:val="1"/>
    <w:qFormat/>
    <w:uiPriority w:val="0"/>
    <w:pPr>
      <w:ind w:firstLine="420"/>
    </w:pPr>
    <w:rPr>
      <w:sz w:val="21"/>
      <w:szCs w:val="20"/>
    </w:rPr>
  </w:style>
  <w:style w:type="paragraph" w:styleId="8">
    <w:name w:val="toa heading"/>
    <w:basedOn w:val="1"/>
    <w:next w:val="1"/>
    <w:semiHidden/>
    <w:unhideWhenUsed/>
    <w:qFormat/>
    <w:uiPriority w:val="99"/>
    <w:pPr>
      <w:spacing w:before="120"/>
    </w:pPr>
    <w:rPr>
      <w:rFonts w:eastAsia="宋体" w:asciiTheme="majorHAnsi" w:hAnsiTheme="majorHAnsi" w:cstheme="majorBidi"/>
      <w:sz w:val="24"/>
    </w:rPr>
  </w:style>
  <w:style w:type="paragraph" w:styleId="9">
    <w:name w:val="Salutation"/>
    <w:basedOn w:val="1"/>
    <w:next w:val="1"/>
    <w:link w:val="100"/>
    <w:qFormat/>
    <w:uiPriority w:val="0"/>
    <w:rPr>
      <w:rFonts w:asciiTheme="minorHAnsi" w:hAnsiTheme="minorHAnsi" w:eastAsiaTheme="minorEastAsia" w:cstheme="minorBidi"/>
      <w:sz w:val="24"/>
    </w:rPr>
  </w:style>
  <w:style w:type="paragraph" w:styleId="10">
    <w:name w:val="Body Text"/>
    <w:basedOn w:val="1"/>
    <w:next w:val="11"/>
    <w:link w:val="37"/>
    <w:qFormat/>
    <w:uiPriority w:val="99"/>
    <w:rPr>
      <w:sz w:val="21"/>
      <w:szCs w:val="22"/>
    </w:rPr>
  </w:style>
  <w:style w:type="paragraph" w:styleId="11">
    <w:name w:val="Body Text First Indent"/>
    <w:basedOn w:val="10"/>
    <w:next w:val="1"/>
    <w:link w:val="38"/>
    <w:qFormat/>
    <w:uiPriority w:val="99"/>
    <w:pPr>
      <w:ind w:firstLine="420" w:firstLineChars="100"/>
    </w:pPr>
  </w:style>
  <w:style w:type="paragraph" w:styleId="12">
    <w:name w:val="Body Text Indent"/>
    <w:basedOn w:val="1"/>
    <w:next w:val="1"/>
    <w:link w:val="99"/>
    <w:qFormat/>
    <w:uiPriority w:val="0"/>
    <w:pPr>
      <w:adjustRightInd w:val="0"/>
      <w:spacing w:line="500" w:lineRule="atLeast"/>
      <w:ind w:firstLine="210"/>
      <w:textAlignment w:val="baseline"/>
    </w:pPr>
    <w:rPr>
      <w:rFonts w:ascii="仿宋_GB2312" w:eastAsia="仿宋_GB2312"/>
      <w:kern w:val="0"/>
      <w:sz w:val="24"/>
      <w:szCs w:val="20"/>
    </w:rPr>
  </w:style>
  <w:style w:type="paragraph" w:styleId="1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4">
    <w:name w:val="Plain Text"/>
    <w:basedOn w:val="1"/>
    <w:next w:val="15"/>
    <w:link w:val="39"/>
    <w:qFormat/>
    <w:uiPriority w:val="99"/>
    <w:rPr>
      <w:rFonts w:ascii="宋体" w:hAnsi="Courier New"/>
      <w:sz w:val="21"/>
      <w:szCs w:val="20"/>
    </w:rPr>
  </w:style>
  <w:style w:type="paragraph" w:styleId="15">
    <w:name w:val="Date"/>
    <w:basedOn w:val="1"/>
    <w:next w:val="1"/>
    <w:link w:val="95"/>
    <w:qFormat/>
    <w:uiPriority w:val="0"/>
    <w:pPr>
      <w:ind w:left="100" w:leftChars="2500"/>
    </w:pPr>
  </w:style>
  <w:style w:type="paragraph" w:styleId="16">
    <w:name w:val="toc 8"/>
    <w:basedOn w:val="1"/>
    <w:next w:val="1"/>
    <w:qFormat/>
    <w:uiPriority w:val="0"/>
    <w:pPr>
      <w:ind w:left="2940" w:leftChars="1400"/>
    </w:pPr>
    <w:rPr>
      <w:szCs w:val="22"/>
    </w:rPr>
  </w:style>
  <w:style w:type="paragraph" w:styleId="17">
    <w:name w:val="footer"/>
    <w:basedOn w:val="1"/>
    <w:link w:val="40"/>
    <w:qFormat/>
    <w:uiPriority w:val="99"/>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tabs>
        <w:tab w:val="right" w:leader="dot" w:pos="9628"/>
      </w:tabs>
      <w:jc w:val="center"/>
    </w:pPr>
    <w:rPr>
      <w:b/>
      <w:sz w:val="52"/>
      <w:szCs w:val="52"/>
    </w:rPr>
  </w:style>
  <w:style w:type="paragraph" w:styleId="21">
    <w:name w:val="toc 4"/>
    <w:basedOn w:val="1"/>
    <w:next w:val="1"/>
    <w:qFormat/>
    <w:uiPriority w:val="0"/>
    <w:pPr>
      <w:ind w:left="630"/>
      <w:jc w:val="left"/>
    </w:pPr>
    <w:rPr>
      <w:sz w:val="18"/>
      <w:szCs w:val="18"/>
    </w:rPr>
  </w:style>
  <w:style w:type="paragraph" w:styleId="22">
    <w:name w:val="footnote text"/>
    <w:basedOn w:val="1"/>
    <w:link w:val="42"/>
    <w:unhideWhenUsed/>
    <w:qFormat/>
    <w:uiPriority w:val="99"/>
    <w:pPr>
      <w:snapToGrid w:val="0"/>
      <w:jc w:val="left"/>
    </w:pPr>
    <w:rPr>
      <w:sz w:val="18"/>
    </w:rPr>
  </w:style>
  <w:style w:type="paragraph" w:styleId="23">
    <w:name w:val="toc 6"/>
    <w:basedOn w:val="1"/>
    <w:next w:val="1"/>
    <w:qFormat/>
    <w:uiPriority w:val="0"/>
    <w:pPr>
      <w:ind w:left="840"/>
      <w:jc w:val="left"/>
    </w:pPr>
    <w:rPr>
      <w:rFonts w:ascii="Cambria" w:hAnsi="Cambria" w:cs="Cambria"/>
      <w:sz w:val="20"/>
    </w:rPr>
  </w:style>
  <w:style w:type="paragraph" w:styleId="24">
    <w:name w:val="Body Text Indent 3"/>
    <w:basedOn w:val="1"/>
    <w:link w:val="43"/>
    <w:qFormat/>
    <w:uiPriority w:val="0"/>
    <w:pPr>
      <w:ind w:left="420" w:leftChars="200"/>
    </w:pPr>
    <w:rPr>
      <w:sz w:val="16"/>
      <w:szCs w:val="16"/>
    </w:rPr>
  </w:style>
  <w:style w:type="paragraph" w:styleId="25">
    <w:name w:val="toc 2"/>
    <w:basedOn w:val="1"/>
    <w:next w:val="1"/>
    <w:qFormat/>
    <w:uiPriority w:val="0"/>
    <w:pPr>
      <w:spacing w:line="480" w:lineRule="auto"/>
      <w:ind w:left="200" w:leftChars="200"/>
    </w:pPr>
  </w:style>
  <w:style w:type="paragraph" w:styleId="26">
    <w:name w:val="Normal (Web)"/>
    <w:basedOn w:val="1"/>
    <w:qFormat/>
    <w:uiPriority w:val="0"/>
    <w:pPr>
      <w:widowControl/>
      <w:spacing w:beforeAutospacing="1" w:afterAutospacing="1"/>
      <w:jc w:val="left"/>
    </w:pPr>
    <w:rPr>
      <w:rFonts w:hint="eastAsia" w:ascii="宋体" w:hAnsi="宋体"/>
      <w:kern w:val="0"/>
      <w:sz w:val="24"/>
    </w:rPr>
  </w:style>
  <w:style w:type="paragraph" w:styleId="27">
    <w:name w:val="Title"/>
    <w:basedOn w:val="1"/>
    <w:next w:val="1"/>
    <w:link w:val="10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12"/>
    <w:next w:val="1"/>
    <w:link w:val="102"/>
    <w:semiHidden/>
    <w:qFormat/>
    <w:uiPriority w:val="99"/>
    <w:pPr>
      <w:ind w:firstLine="420"/>
    </w:p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style>
  <w:style w:type="character" w:styleId="33">
    <w:name w:val="page number"/>
    <w:basedOn w:val="31"/>
    <w:qFormat/>
    <w:uiPriority w:val="0"/>
  </w:style>
  <w:style w:type="character" w:styleId="34">
    <w:name w:val="FollowedHyperlink"/>
    <w:basedOn w:val="31"/>
    <w:semiHidden/>
    <w:unhideWhenUsed/>
    <w:qFormat/>
    <w:uiPriority w:val="99"/>
    <w:rPr>
      <w:color w:val="954F72"/>
      <w:u w:val="single"/>
    </w:rPr>
  </w:style>
  <w:style w:type="character" w:styleId="35">
    <w:name w:val="Hyperlink"/>
    <w:basedOn w:val="31"/>
    <w:qFormat/>
    <w:uiPriority w:val="99"/>
    <w:rPr>
      <w:color w:val="0000FF"/>
      <w:u w:val="single"/>
    </w:rPr>
  </w:style>
  <w:style w:type="character" w:styleId="36">
    <w:name w:val="footnote reference"/>
    <w:basedOn w:val="31"/>
    <w:unhideWhenUsed/>
    <w:qFormat/>
    <w:uiPriority w:val="99"/>
    <w:rPr>
      <w:vertAlign w:val="superscript"/>
    </w:rPr>
  </w:style>
  <w:style w:type="character" w:customStyle="1" w:styleId="37">
    <w:name w:val="正文文本 字符"/>
    <w:basedOn w:val="31"/>
    <w:link w:val="10"/>
    <w:qFormat/>
    <w:uiPriority w:val="99"/>
    <w:rPr>
      <w:rFonts w:ascii="Calibri" w:hAnsi="Calibri" w:eastAsia="Calibri"/>
      <w:kern w:val="2"/>
      <w:sz w:val="21"/>
      <w:szCs w:val="22"/>
    </w:rPr>
  </w:style>
  <w:style w:type="character" w:customStyle="1" w:styleId="38">
    <w:name w:val="正文文本首行缩进 字符"/>
    <w:basedOn w:val="37"/>
    <w:link w:val="11"/>
    <w:qFormat/>
    <w:uiPriority w:val="99"/>
    <w:rPr>
      <w:rFonts w:ascii="Calibri" w:hAnsi="Calibri" w:eastAsia="Calibri"/>
      <w:kern w:val="2"/>
      <w:sz w:val="21"/>
      <w:szCs w:val="22"/>
    </w:rPr>
  </w:style>
  <w:style w:type="character" w:customStyle="1" w:styleId="39">
    <w:name w:val="纯文本 字符"/>
    <w:basedOn w:val="31"/>
    <w:link w:val="14"/>
    <w:qFormat/>
    <w:uiPriority w:val="99"/>
    <w:rPr>
      <w:rFonts w:ascii="宋体" w:hAnsi="Courier New" w:eastAsia="Calibri"/>
      <w:kern w:val="2"/>
      <w:sz w:val="21"/>
    </w:rPr>
  </w:style>
  <w:style w:type="character" w:customStyle="1" w:styleId="40">
    <w:name w:val="页脚 字符"/>
    <w:basedOn w:val="31"/>
    <w:link w:val="17"/>
    <w:qFormat/>
    <w:uiPriority w:val="99"/>
    <w:rPr>
      <w:rFonts w:ascii="Calibri" w:hAnsi="Calibri" w:eastAsia="Calibri"/>
      <w:kern w:val="2"/>
      <w:sz w:val="18"/>
      <w:szCs w:val="18"/>
    </w:rPr>
  </w:style>
  <w:style w:type="character" w:customStyle="1" w:styleId="41">
    <w:name w:val="页眉 字符"/>
    <w:basedOn w:val="31"/>
    <w:link w:val="19"/>
    <w:qFormat/>
    <w:uiPriority w:val="99"/>
    <w:rPr>
      <w:rFonts w:ascii="Calibri" w:hAnsi="Calibri" w:eastAsia="Calibri"/>
      <w:kern w:val="2"/>
      <w:sz w:val="18"/>
      <w:szCs w:val="18"/>
    </w:rPr>
  </w:style>
  <w:style w:type="character" w:customStyle="1" w:styleId="42">
    <w:name w:val="脚注文本 字符"/>
    <w:basedOn w:val="31"/>
    <w:link w:val="22"/>
    <w:qFormat/>
    <w:uiPriority w:val="99"/>
    <w:rPr>
      <w:rFonts w:ascii="Calibri" w:hAnsi="Calibri" w:eastAsia="Calibri"/>
      <w:kern w:val="2"/>
      <w:sz w:val="18"/>
      <w:szCs w:val="24"/>
    </w:rPr>
  </w:style>
  <w:style w:type="character" w:customStyle="1" w:styleId="43">
    <w:name w:val="正文文本缩进 3 字符"/>
    <w:basedOn w:val="31"/>
    <w:link w:val="24"/>
    <w:qFormat/>
    <w:uiPriority w:val="0"/>
    <w:rPr>
      <w:rFonts w:ascii="Calibri" w:hAnsi="Calibri" w:eastAsia="Calibri"/>
      <w:kern w:val="2"/>
      <w:sz w:val="16"/>
      <w:szCs w:val="16"/>
    </w:rPr>
  </w:style>
  <w:style w:type="paragraph" w:customStyle="1" w:styleId="44">
    <w:name w:val="首行缩进"/>
    <w:basedOn w:val="1"/>
    <w:qFormat/>
    <w:uiPriority w:val="0"/>
    <w:rPr>
      <w:lang w:val="zh-CN"/>
    </w:rPr>
  </w:style>
  <w:style w:type="paragraph" w:customStyle="1" w:styleId="45">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46">
    <w:name w:val="表格文字"/>
    <w:basedOn w:val="1"/>
    <w:next w:val="10"/>
    <w:qFormat/>
    <w:uiPriority w:val="0"/>
    <w:pPr>
      <w:adjustRightInd w:val="0"/>
      <w:spacing w:line="420" w:lineRule="atLeast"/>
      <w:jc w:val="left"/>
      <w:textAlignment w:val="baseline"/>
    </w:pPr>
    <w:rPr>
      <w:kern w:val="0"/>
    </w:rPr>
  </w:style>
  <w:style w:type="paragraph" w:customStyle="1" w:styleId="47">
    <w:name w:val="Char"/>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48">
    <w:name w:val="表格内容"/>
    <w:basedOn w:val="1"/>
    <w:qFormat/>
    <w:uiPriority w:val="2"/>
    <w:pPr>
      <w:widowControl/>
      <w:jc w:val="center"/>
    </w:pPr>
    <w:rPr>
      <w:kern w:val="0"/>
      <w:sz w:val="24"/>
      <w:szCs w:val="28"/>
    </w:rPr>
  </w:style>
  <w:style w:type="paragraph" w:customStyle="1" w:styleId="49">
    <w:name w:val="标题4"/>
    <w:basedOn w:val="1"/>
    <w:qFormat/>
    <w:uiPriority w:val="0"/>
    <w:rPr>
      <w:rFonts w:eastAsia="仿宋_GB2312"/>
      <w:sz w:val="32"/>
      <w:szCs w:val="20"/>
    </w:rPr>
  </w:style>
  <w:style w:type="paragraph" w:customStyle="1" w:styleId="50">
    <w:name w:val="_Style 3"/>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Plain Text1"/>
    <w:basedOn w:val="52"/>
    <w:qFormat/>
    <w:uiPriority w:val="99"/>
    <w:pPr>
      <w:widowControl/>
      <w:jc w:val="left"/>
    </w:pPr>
    <w:rPr>
      <w:rFonts w:ascii="宋体" w:hAnsi="Courier New"/>
    </w:rPr>
  </w:style>
  <w:style w:type="paragraph" w:customStyle="1" w:styleId="52">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4">
    <w:name w:val="列出段落1"/>
    <w:basedOn w:val="1"/>
    <w:qFormat/>
    <w:uiPriority w:val="0"/>
    <w:pPr>
      <w:ind w:firstLine="420" w:firstLineChars="200"/>
    </w:pPr>
    <w:rPr>
      <w:sz w:val="21"/>
      <w:szCs w:val="22"/>
    </w:rPr>
  </w:style>
  <w:style w:type="paragraph" w:customStyle="1" w:styleId="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内文正文"/>
    <w:basedOn w:val="14"/>
    <w:qFormat/>
    <w:uiPriority w:val="99"/>
    <w:pPr>
      <w:adjustRightInd w:val="0"/>
      <w:snapToGrid w:val="0"/>
      <w:spacing w:line="400" w:lineRule="exact"/>
      <w:ind w:firstLine="200" w:firstLineChars="200"/>
    </w:pPr>
    <w:rPr>
      <w:rFonts w:ascii="Arial" w:hAnsi="Arial"/>
      <w:color w:val="000000"/>
      <w:szCs w:val="21"/>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样式 纯文本 + 首行缩进:  2 字符 Char Char Char Char Char Char Char Char Char Char Char Char Char Char Char Char Char Char Char Char Char Char Char Char"/>
    <w:basedOn w:val="14"/>
    <w:qFormat/>
    <w:uiPriority w:val="0"/>
    <w:pPr>
      <w:spacing w:line="360" w:lineRule="auto"/>
    </w:pPr>
    <w:rPr>
      <w:rFonts w:eastAsia="仿宋_GB2312" w:cs="Arial"/>
      <w:sz w:val="28"/>
    </w:rPr>
  </w:style>
  <w:style w:type="character" w:customStyle="1" w:styleId="60">
    <w:name w:val="font31"/>
    <w:basedOn w:val="31"/>
    <w:qFormat/>
    <w:uiPriority w:val="0"/>
    <w:rPr>
      <w:rFonts w:ascii="Arial" w:hAnsi="Arial" w:cs="Arial"/>
      <w:color w:val="000000"/>
      <w:sz w:val="20"/>
      <w:szCs w:val="20"/>
      <w:u w:val="none"/>
    </w:rPr>
  </w:style>
  <w:style w:type="character" w:customStyle="1" w:styleId="61">
    <w:name w:val="font51"/>
    <w:basedOn w:val="31"/>
    <w:qFormat/>
    <w:uiPriority w:val="0"/>
    <w:rPr>
      <w:rFonts w:hint="eastAsia" w:ascii="宋体" w:hAnsi="宋体" w:eastAsia="宋体" w:cs="宋体"/>
      <w:color w:val="000000"/>
      <w:sz w:val="18"/>
      <w:szCs w:val="18"/>
      <w:u w:val="none"/>
    </w:rPr>
  </w:style>
  <w:style w:type="character" w:customStyle="1" w:styleId="62">
    <w:name w:val="font01"/>
    <w:basedOn w:val="31"/>
    <w:qFormat/>
    <w:uiPriority w:val="0"/>
    <w:rPr>
      <w:rFonts w:hint="eastAsia" w:ascii="宋体" w:hAnsi="宋体" w:eastAsia="宋体" w:cs="宋体"/>
      <w:color w:val="000000"/>
      <w:sz w:val="20"/>
      <w:szCs w:val="20"/>
      <w:u w:val="none"/>
    </w:rPr>
  </w:style>
  <w:style w:type="paragraph" w:customStyle="1" w:styleId="63">
    <w:name w:val="纯文本1"/>
    <w:basedOn w:val="45"/>
    <w:qFormat/>
    <w:uiPriority w:val="0"/>
    <w:pPr>
      <w:widowControl/>
    </w:pPr>
    <w:rPr>
      <w:rFonts w:hAnsi="Courier New"/>
      <w:szCs w:val="24"/>
    </w:rPr>
  </w:style>
  <w:style w:type="paragraph" w:customStyle="1" w:styleId="64">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 w:val="28"/>
      <w:szCs w:val="20"/>
    </w:rPr>
  </w:style>
  <w:style w:type="paragraph" w:customStyle="1" w:styleId="6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6">
    <w:name w:val="样式 标题 3 + Arial"/>
    <w:basedOn w:val="5"/>
    <w:qFormat/>
    <w:uiPriority w:val="0"/>
    <w:pPr>
      <w:spacing w:beforeLines="100" w:line="360" w:lineRule="auto"/>
    </w:pPr>
    <w:rPr>
      <w:rFonts w:ascii="Arial" w:hAnsi="Arial"/>
      <w:sz w:val="24"/>
    </w:rPr>
  </w:style>
  <w:style w:type="paragraph" w:customStyle="1" w:styleId="67">
    <w:name w:val="此正文"/>
    <w:basedOn w:val="1"/>
    <w:qFormat/>
    <w:uiPriority w:val="99"/>
    <w:pPr>
      <w:spacing w:line="360" w:lineRule="auto"/>
      <w:ind w:firstLine="200" w:firstLineChars="200"/>
    </w:pPr>
    <w:rPr>
      <w:rFonts w:eastAsia="宋体"/>
      <w:sz w:val="24"/>
    </w:rPr>
  </w:style>
  <w:style w:type="paragraph" w:customStyle="1" w:styleId="68">
    <w:name w:val="Table Paragraph"/>
    <w:basedOn w:val="1"/>
    <w:qFormat/>
    <w:uiPriority w:val="1"/>
    <w:rPr>
      <w:rFonts w:ascii="宋体" w:hAnsi="宋体" w:eastAsia="宋体" w:cs="宋体"/>
      <w:sz w:val="21"/>
      <w:lang w:val="zh-CN" w:bidi="zh-CN"/>
    </w:rPr>
  </w:style>
  <w:style w:type="paragraph" w:customStyle="1" w:styleId="6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1">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2">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3">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4">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75">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6">
    <w:name w:val="xl70"/>
    <w:basedOn w:val="1"/>
    <w:qFormat/>
    <w:uiPriority w:val="0"/>
    <w:pPr>
      <w:widowControl/>
      <w:shd w:val="clear" w:color="000000" w:fill="FFFFFF"/>
      <w:spacing w:before="100" w:beforeAutospacing="1" w:after="100" w:afterAutospacing="1"/>
      <w:jc w:val="center"/>
    </w:pPr>
    <w:rPr>
      <w:rFonts w:ascii="黑体" w:hAnsi="黑体" w:eastAsia="黑体" w:cs="宋体"/>
      <w:b/>
      <w:bCs/>
      <w:kern w:val="0"/>
      <w:szCs w:val="36"/>
    </w:rPr>
  </w:style>
  <w:style w:type="paragraph" w:customStyle="1" w:styleId="77">
    <w:name w:val="xl71"/>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kern w:val="0"/>
      <w:sz w:val="20"/>
      <w:szCs w:val="20"/>
    </w:rPr>
  </w:style>
  <w:style w:type="paragraph" w:customStyle="1" w:styleId="78">
    <w:name w:val="xl72"/>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kern w:val="0"/>
      <w:sz w:val="20"/>
      <w:szCs w:val="20"/>
    </w:rPr>
  </w:style>
  <w:style w:type="paragraph" w:customStyle="1" w:styleId="79">
    <w:name w:val="xl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0">
    <w:name w:val="xl7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1">
    <w:name w:val="xl7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2">
    <w:name w:val="xl76"/>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3">
    <w:name w:val="xl77"/>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4">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kern w:val="0"/>
      <w:sz w:val="18"/>
      <w:szCs w:val="18"/>
    </w:rPr>
  </w:style>
  <w:style w:type="paragraph" w:customStyle="1" w:styleId="85">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86">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7">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88">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89">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0">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1">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2">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styleId="93">
    <w:name w:val="List Paragraph"/>
    <w:basedOn w:val="1"/>
    <w:qFormat/>
    <w:uiPriority w:val="34"/>
    <w:pPr>
      <w:ind w:firstLine="420" w:firstLineChars="200"/>
    </w:pPr>
    <w:rPr>
      <w:rFonts w:asciiTheme="minorHAnsi" w:hAnsiTheme="minorHAnsi" w:eastAsiaTheme="minorEastAsia" w:cstheme="minorBidi"/>
      <w:sz w:val="21"/>
      <w:szCs w:val="22"/>
    </w:rPr>
  </w:style>
  <w:style w:type="character" w:customStyle="1" w:styleId="94">
    <w:name w:val="标题 2 字符"/>
    <w:basedOn w:val="31"/>
    <w:link w:val="4"/>
    <w:qFormat/>
    <w:uiPriority w:val="0"/>
    <w:rPr>
      <w:rFonts w:ascii="Arial" w:hAnsi="Arial" w:eastAsia="黑体"/>
      <w:b/>
      <w:bCs/>
      <w:kern w:val="2"/>
      <w:sz w:val="32"/>
      <w:szCs w:val="32"/>
    </w:rPr>
  </w:style>
  <w:style w:type="character" w:customStyle="1" w:styleId="95">
    <w:name w:val="日期 字符"/>
    <w:basedOn w:val="31"/>
    <w:link w:val="15"/>
    <w:qFormat/>
    <w:uiPriority w:val="0"/>
    <w:rPr>
      <w:rFonts w:ascii="Calibri" w:hAnsi="Calibri" w:eastAsia="Calibri"/>
      <w:kern w:val="2"/>
      <w:sz w:val="36"/>
      <w:szCs w:val="24"/>
    </w:rPr>
  </w:style>
  <w:style w:type="character" w:customStyle="1" w:styleId="96">
    <w:name w:val="标题 1 字符"/>
    <w:basedOn w:val="31"/>
    <w:link w:val="3"/>
    <w:qFormat/>
    <w:uiPriority w:val="0"/>
    <w:rPr>
      <w:rFonts w:ascii="Calibri" w:hAnsi="Calibri" w:eastAsia="Calibri"/>
      <w:b/>
      <w:bCs/>
      <w:kern w:val="44"/>
      <w:sz w:val="44"/>
      <w:szCs w:val="44"/>
    </w:rPr>
  </w:style>
  <w:style w:type="character" w:customStyle="1" w:styleId="97">
    <w:name w:val="标题 3 字符"/>
    <w:basedOn w:val="31"/>
    <w:link w:val="5"/>
    <w:qFormat/>
    <w:uiPriority w:val="0"/>
    <w:rPr>
      <w:rFonts w:ascii="Calibri" w:hAnsi="Calibri" w:eastAsia="Calibri"/>
      <w:b/>
      <w:bCs/>
      <w:kern w:val="2"/>
      <w:sz w:val="32"/>
      <w:szCs w:val="32"/>
    </w:rPr>
  </w:style>
  <w:style w:type="character" w:customStyle="1" w:styleId="98">
    <w:name w:val="标题 4 字符"/>
    <w:basedOn w:val="31"/>
    <w:link w:val="6"/>
    <w:qFormat/>
    <w:uiPriority w:val="0"/>
    <w:rPr>
      <w:rFonts w:ascii="Arial" w:hAnsi="Arial" w:eastAsia="黑体"/>
      <w:b/>
      <w:bCs/>
      <w:kern w:val="2"/>
      <w:sz w:val="28"/>
      <w:szCs w:val="28"/>
    </w:rPr>
  </w:style>
  <w:style w:type="character" w:customStyle="1" w:styleId="99">
    <w:name w:val="正文文本缩进 字符"/>
    <w:basedOn w:val="31"/>
    <w:link w:val="12"/>
    <w:qFormat/>
    <w:uiPriority w:val="0"/>
    <w:rPr>
      <w:rFonts w:ascii="仿宋_GB2312" w:hAnsi="Calibri" w:eastAsia="仿宋_GB2312"/>
      <w:sz w:val="24"/>
    </w:rPr>
  </w:style>
  <w:style w:type="character" w:customStyle="1" w:styleId="100">
    <w:name w:val="称呼 字符"/>
    <w:basedOn w:val="31"/>
    <w:link w:val="9"/>
    <w:qFormat/>
    <w:uiPriority w:val="0"/>
    <w:rPr>
      <w:rFonts w:asciiTheme="minorHAnsi" w:hAnsiTheme="minorHAnsi" w:eastAsiaTheme="minorEastAsia" w:cstheme="minorBidi"/>
      <w:kern w:val="2"/>
      <w:sz w:val="24"/>
      <w:szCs w:val="24"/>
    </w:rPr>
  </w:style>
  <w:style w:type="character" w:customStyle="1" w:styleId="101">
    <w:name w:val="标题 字符"/>
    <w:basedOn w:val="31"/>
    <w:link w:val="27"/>
    <w:qFormat/>
    <w:uiPriority w:val="0"/>
    <w:rPr>
      <w:rFonts w:ascii="Calibri" w:hAnsi="Calibri" w:eastAsia="Calibri"/>
      <w:b/>
      <w:sz w:val="24"/>
      <w:lang w:val="en-GB"/>
    </w:rPr>
  </w:style>
  <w:style w:type="character" w:customStyle="1" w:styleId="102">
    <w:name w:val="正文文本首行缩进 2 字符"/>
    <w:basedOn w:val="99"/>
    <w:link w:val="28"/>
    <w:semiHidden/>
    <w:qFormat/>
    <w:uiPriority w:val="99"/>
    <w:rPr>
      <w:rFonts w:ascii="仿宋_GB2312" w:hAnsi="Calibri" w:eastAsia="仿宋_GB2312"/>
      <w:sz w:val="24"/>
    </w:rPr>
  </w:style>
  <w:style w:type="paragraph" w:customStyle="1" w:styleId="10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4">
    <w:name w:val="正文_5"/>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92945-020D-493C-9BB0-65AC74B8C3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24514</Words>
  <Characters>26316</Characters>
  <Lines>539</Lines>
  <Paragraphs>151</Paragraphs>
  <TotalTime>47</TotalTime>
  <ScaleCrop>false</ScaleCrop>
  <LinksUpToDate>false</LinksUpToDate>
  <CharactersWithSpaces>27678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2022-06-14T07:01:00Z</dcterms:created>
  <dc:creator>Administrator</dc:creator>
  <cp:lastModifiedBy>LUCKYQAQ</cp:lastModifiedBy>
  <cp:lastPrinted>2021-02-18T06:32:00Z</cp:lastPrinted>
  <dcterms:modified xsi:type="dcterms:W3CDTF">2024-09-14T08:39:51Z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8FAB91374EF74B2DAFBBAA4C380F7C86_13</vt:lpwstr>
  </property>
</Properties>
</file>