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865B1E">
      <w:pPr>
        <w:widowControl/>
        <w:jc w:val="left"/>
        <w:rPr>
          <w:color w:val="auto"/>
          <w:highlight w:val="none"/>
        </w:rPr>
      </w:pPr>
    </w:p>
    <w:p w14:paraId="4D9F89A8">
      <w:pPr>
        <w:spacing w:line="360" w:lineRule="auto"/>
        <w:ind w:left="170" w:firstLine="1446"/>
        <w:rPr>
          <w:rFonts w:ascii="宋体" w:hAnsi="宋体"/>
          <w:b/>
          <w:color w:val="auto"/>
          <w:sz w:val="72"/>
          <w:szCs w:val="22"/>
          <w:highlight w:val="none"/>
        </w:rPr>
      </w:pPr>
    </w:p>
    <w:p w14:paraId="3A186D24">
      <w:pPr>
        <w:ind w:firstLine="1687"/>
        <w:jc w:val="center"/>
        <w:rPr>
          <w:rFonts w:ascii="隶书" w:hAnsi="宋体" w:eastAsia="隶书"/>
          <w:b/>
          <w:color w:val="auto"/>
          <w:sz w:val="84"/>
          <w:szCs w:val="84"/>
          <w:highlight w:val="none"/>
        </w:rPr>
      </w:pPr>
    </w:p>
    <w:p w14:paraId="3A7AE71F">
      <w:pPr>
        <w:jc w:val="center"/>
        <w:rPr>
          <w:rFonts w:ascii="宋体" w:hAnsi="宋体"/>
          <w:b/>
          <w:color w:val="auto"/>
          <w:sz w:val="96"/>
          <w:szCs w:val="96"/>
          <w:highlight w:val="none"/>
        </w:rPr>
      </w:pPr>
      <w:r>
        <w:rPr>
          <w:rFonts w:hint="eastAsia" w:ascii="宋体" w:hAnsi="宋体"/>
          <w:b/>
          <w:color w:val="auto"/>
          <w:sz w:val="96"/>
          <w:szCs w:val="96"/>
          <w:highlight w:val="none"/>
        </w:rPr>
        <w:t>招标文件</w:t>
      </w:r>
    </w:p>
    <w:p w14:paraId="13EB04EC">
      <w:pPr>
        <w:ind w:firstLine="1446"/>
        <w:jc w:val="center"/>
        <w:rPr>
          <w:rFonts w:ascii="宋体" w:hAnsi="宋体"/>
          <w:b/>
          <w:color w:val="auto"/>
          <w:sz w:val="72"/>
          <w:szCs w:val="72"/>
          <w:highlight w:val="none"/>
        </w:rPr>
      </w:pPr>
    </w:p>
    <w:p w14:paraId="036B69DF">
      <w:pPr>
        <w:jc w:val="center"/>
        <w:rPr>
          <w:rFonts w:ascii="宋体" w:hAnsi="宋体"/>
          <w:b/>
          <w:color w:val="auto"/>
          <w:sz w:val="96"/>
          <w:szCs w:val="96"/>
          <w:highlight w:val="none"/>
        </w:rPr>
      </w:pPr>
      <w:r>
        <w:rPr>
          <w:rFonts w:hint="eastAsia" w:ascii="宋体" w:hAnsi="宋体"/>
          <w:b/>
          <w:color w:val="auto"/>
          <w:sz w:val="72"/>
          <w:szCs w:val="72"/>
          <w:highlight w:val="none"/>
        </w:rPr>
        <w:t>政府采购</w:t>
      </w:r>
    </w:p>
    <w:p w14:paraId="379CFAEA">
      <w:pPr>
        <w:ind w:firstLine="1687"/>
        <w:jc w:val="center"/>
        <w:rPr>
          <w:rFonts w:ascii="宋体" w:hAnsi="宋体"/>
          <w:b/>
          <w:color w:val="auto"/>
          <w:sz w:val="84"/>
          <w:szCs w:val="84"/>
          <w:highlight w:val="none"/>
        </w:rPr>
      </w:pPr>
    </w:p>
    <w:p w14:paraId="05135407">
      <w:pPr>
        <w:ind w:firstLine="723"/>
        <w:rPr>
          <w:rFonts w:ascii="宋体" w:hAnsi="宋体"/>
          <w:b/>
          <w:color w:val="auto"/>
          <w:sz w:val="36"/>
          <w:szCs w:val="36"/>
          <w:highlight w:val="none"/>
        </w:rPr>
      </w:pPr>
    </w:p>
    <w:p w14:paraId="3B6CBD51">
      <w:pPr>
        <w:ind w:firstLine="723"/>
        <w:rPr>
          <w:rFonts w:ascii="宋体" w:hAnsi="宋体"/>
          <w:b/>
          <w:color w:val="auto"/>
          <w:sz w:val="36"/>
          <w:szCs w:val="36"/>
          <w:highlight w:val="none"/>
        </w:rPr>
      </w:pPr>
    </w:p>
    <w:p w14:paraId="3F54A68E">
      <w:pPr>
        <w:spacing w:line="640" w:lineRule="exact"/>
        <w:ind w:firstLine="723"/>
        <w:rPr>
          <w:rFonts w:ascii="宋体" w:hAnsi="宋体"/>
          <w:b/>
          <w:color w:val="auto"/>
          <w:sz w:val="36"/>
          <w:szCs w:val="36"/>
          <w:highlight w:val="none"/>
        </w:rPr>
      </w:pPr>
    </w:p>
    <w:p w14:paraId="091F51AB">
      <w:pPr>
        <w:spacing w:line="640" w:lineRule="exact"/>
        <w:ind w:firstLine="723"/>
        <w:rPr>
          <w:rFonts w:ascii="宋体" w:hAnsi="宋体"/>
          <w:b/>
          <w:color w:val="auto"/>
          <w:sz w:val="36"/>
          <w:szCs w:val="36"/>
          <w:highlight w:val="none"/>
        </w:rPr>
      </w:pPr>
    </w:p>
    <w:p w14:paraId="211E3E19">
      <w:pPr>
        <w:spacing w:line="640" w:lineRule="exact"/>
        <w:ind w:firstLine="723"/>
        <w:rPr>
          <w:rFonts w:ascii="宋体" w:hAnsi="宋体"/>
          <w:b/>
          <w:color w:val="auto"/>
          <w:sz w:val="36"/>
          <w:szCs w:val="36"/>
          <w:highlight w:val="none"/>
        </w:rPr>
      </w:pPr>
    </w:p>
    <w:p w14:paraId="2097E6F0">
      <w:pPr>
        <w:widowControl/>
        <w:autoSpaceDE w:val="0"/>
        <w:autoSpaceDN w:val="0"/>
        <w:adjustRightInd w:val="0"/>
        <w:spacing w:line="360" w:lineRule="auto"/>
        <w:ind w:right="-28"/>
        <w:jc w:val="left"/>
        <w:textAlignment w:val="bottom"/>
        <w:rPr>
          <w:rFonts w:hint="eastAsia" w:ascii="宋体" w:hAnsi="宋体" w:eastAsia="宋体"/>
          <w:b/>
          <w:color w:val="auto"/>
          <w:kern w:val="0"/>
          <w:sz w:val="28"/>
          <w:szCs w:val="28"/>
          <w:highlight w:val="none"/>
          <w:lang w:eastAsia="zh-CN"/>
        </w:rPr>
      </w:pPr>
      <w:bookmarkStart w:id="0" w:name="OLE_LINK4"/>
      <w:r>
        <w:rPr>
          <w:rFonts w:hint="eastAsia" w:ascii="宋体" w:hAnsi="宋体"/>
          <w:b/>
          <w:color w:val="auto"/>
          <w:kern w:val="0"/>
          <w:sz w:val="28"/>
          <w:szCs w:val="28"/>
          <w:highlight w:val="none"/>
        </w:rPr>
        <w:t>项目名称：</w:t>
      </w:r>
      <w:r>
        <w:rPr>
          <w:rFonts w:hint="eastAsia" w:ascii="宋体" w:hAnsi="宋体"/>
          <w:b/>
          <w:color w:val="auto"/>
          <w:kern w:val="0"/>
          <w:sz w:val="28"/>
          <w:szCs w:val="28"/>
          <w:highlight w:val="none"/>
          <w:lang w:eastAsia="zh-CN"/>
        </w:rPr>
        <w:t xml:space="preserve">吉林西部（大安）清洁能源化工产业园消防车采购项目  </w:t>
      </w:r>
    </w:p>
    <w:p w14:paraId="7530129E">
      <w:pPr>
        <w:widowControl/>
        <w:spacing w:line="360" w:lineRule="auto"/>
        <w:jc w:val="left"/>
        <w:rPr>
          <w:rFonts w:hint="eastAsia" w:ascii="宋体" w:hAnsi="宋体" w:eastAsia="宋体"/>
          <w:b/>
          <w:color w:val="auto"/>
          <w:kern w:val="0"/>
          <w:sz w:val="28"/>
          <w:szCs w:val="28"/>
          <w:highlight w:val="none"/>
          <w:lang w:eastAsia="zh-CN"/>
        </w:rPr>
      </w:pPr>
      <w:r>
        <w:rPr>
          <w:rFonts w:hint="eastAsia" w:ascii="宋体" w:hAnsi="宋体"/>
          <w:b/>
          <w:color w:val="auto"/>
          <w:kern w:val="0"/>
          <w:sz w:val="28"/>
          <w:szCs w:val="28"/>
          <w:highlight w:val="none"/>
        </w:rPr>
        <w:t>项目编号：</w:t>
      </w:r>
      <w:r>
        <w:rPr>
          <w:rFonts w:hint="eastAsia" w:ascii="宋体" w:hAnsi="宋体"/>
          <w:b/>
          <w:color w:val="auto"/>
          <w:kern w:val="0"/>
          <w:sz w:val="28"/>
          <w:szCs w:val="28"/>
          <w:highlight w:val="none"/>
          <w:lang w:eastAsia="zh-CN"/>
        </w:rPr>
        <w:t>0773-2541GNJLHWGK0353</w:t>
      </w:r>
    </w:p>
    <w:p w14:paraId="47847E04">
      <w:pPr>
        <w:widowControl/>
        <w:autoSpaceDE w:val="0"/>
        <w:autoSpaceDN w:val="0"/>
        <w:adjustRightInd w:val="0"/>
        <w:spacing w:line="360" w:lineRule="auto"/>
        <w:ind w:right="-28"/>
        <w:jc w:val="left"/>
        <w:textAlignment w:val="bottom"/>
        <w:rPr>
          <w:rFonts w:ascii="宋体" w:hAnsi="宋体"/>
          <w:b/>
          <w:color w:val="auto"/>
          <w:kern w:val="0"/>
          <w:sz w:val="28"/>
          <w:szCs w:val="28"/>
          <w:highlight w:val="none"/>
        </w:rPr>
      </w:pPr>
      <w:r>
        <w:rPr>
          <w:rFonts w:hint="eastAsia" w:ascii="宋体" w:hAnsi="宋体"/>
          <w:b/>
          <w:color w:val="auto"/>
          <w:kern w:val="0"/>
          <w:sz w:val="28"/>
          <w:szCs w:val="28"/>
          <w:highlight w:val="none"/>
        </w:rPr>
        <w:t>采购方式：公开招标</w:t>
      </w:r>
    </w:p>
    <w:p w14:paraId="5EC35B92">
      <w:pPr>
        <w:widowControl/>
        <w:spacing w:line="360" w:lineRule="auto"/>
        <w:jc w:val="left"/>
        <w:rPr>
          <w:rFonts w:hint="eastAsia" w:ascii="宋体" w:hAnsi="宋体" w:eastAsia="宋体"/>
          <w:b/>
          <w:color w:val="auto"/>
          <w:kern w:val="0"/>
          <w:sz w:val="28"/>
          <w:szCs w:val="28"/>
          <w:highlight w:val="none"/>
          <w:lang w:eastAsia="zh-CN"/>
        </w:rPr>
      </w:pPr>
      <w:r>
        <w:rPr>
          <w:rFonts w:hint="eastAsia" w:ascii="宋体" w:hAnsi="宋体"/>
          <w:b/>
          <w:color w:val="auto"/>
          <w:kern w:val="0"/>
          <w:sz w:val="28"/>
          <w:szCs w:val="28"/>
          <w:highlight w:val="none"/>
        </w:rPr>
        <w:t>采</w:t>
      </w:r>
      <w:r>
        <w:rPr>
          <w:rFonts w:hint="eastAsia" w:ascii="宋体" w:hAnsi="宋体"/>
          <w:b/>
          <w:color w:val="auto"/>
          <w:kern w:val="0"/>
          <w:sz w:val="28"/>
          <w:szCs w:val="28"/>
          <w:highlight w:val="none"/>
          <w:lang w:val="en-US" w:eastAsia="zh-CN"/>
        </w:rPr>
        <w:t xml:space="preserve"> </w:t>
      </w:r>
      <w:r>
        <w:rPr>
          <w:rFonts w:hint="eastAsia" w:ascii="宋体" w:hAnsi="宋体"/>
          <w:b/>
          <w:color w:val="auto"/>
          <w:kern w:val="0"/>
          <w:sz w:val="28"/>
          <w:szCs w:val="28"/>
          <w:highlight w:val="none"/>
        </w:rPr>
        <w:t>购</w:t>
      </w:r>
      <w:r>
        <w:rPr>
          <w:rFonts w:hint="eastAsia" w:ascii="宋体" w:hAnsi="宋体"/>
          <w:b/>
          <w:color w:val="auto"/>
          <w:kern w:val="0"/>
          <w:sz w:val="28"/>
          <w:szCs w:val="28"/>
          <w:highlight w:val="none"/>
          <w:lang w:val="en-US" w:eastAsia="zh-CN"/>
        </w:rPr>
        <w:t xml:space="preserve"> </w:t>
      </w:r>
      <w:r>
        <w:rPr>
          <w:rFonts w:hint="eastAsia" w:ascii="宋体" w:hAnsi="宋体"/>
          <w:b/>
          <w:color w:val="auto"/>
          <w:kern w:val="0"/>
          <w:sz w:val="28"/>
          <w:szCs w:val="28"/>
          <w:highlight w:val="none"/>
        </w:rPr>
        <w:t>人：</w:t>
      </w:r>
      <w:r>
        <w:rPr>
          <w:rFonts w:hint="eastAsia" w:ascii="宋体" w:hAnsi="宋体"/>
          <w:b/>
          <w:color w:val="auto"/>
          <w:kern w:val="0"/>
          <w:sz w:val="28"/>
          <w:szCs w:val="28"/>
          <w:highlight w:val="none"/>
          <w:lang w:eastAsia="zh-CN"/>
        </w:rPr>
        <w:t>吉林大安经济开发区管理委员会</w:t>
      </w:r>
    </w:p>
    <w:p w14:paraId="181276EA">
      <w:pPr>
        <w:spacing w:line="360" w:lineRule="auto"/>
        <w:ind w:firstLine="562"/>
        <w:rPr>
          <w:rFonts w:ascii="宋体" w:hAnsi="宋体"/>
          <w:b/>
          <w:color w:val="auto"/>
          <w:kern w:val="0"/>
          <w:sz w:val="28"/>
          <w:szCs w:val="28"/>
          <w:highlight w:val="none"/>
        </w:rPr>
      </w:pPr>
    </w:p>
    <w:p w14:paraId="0D5BDFB7">
      <w:pPr>
        <w:spacing w:line="360" w:lineRule="auto"/>
        <w:ind w:firstLine="562"/>
        <w:rPr>
          <w:rFonts w:ascii="宋体" w:hAnsi="宋体"/>
          <w:b/>
          <w:color w:val="auto"/>
          <w:kern w:val="0"/>
          <w:sz w:val="28"/>
          <w:szCs w:val="28"/>
          <w:highlight w:val="none"/>
        </w:rPr>
      </w:pPr>
    </w:p>
    <w:p w14:paraId="2CD82C9B">
      <w:pPr>
        <w:spacing w:line="360" w:lineRule="auto"/>
        <w:ind w:firstLine="562"/>
        <w:rPr>
          <w:rFonts w:ascii="宋体" w:hAnsi="宋体"/>
          <w:b/>
          <w:color w:val="auto"/>
          <w:kern w:val="0"/>
          <w:sz w:val="28"/>
          <w:szCs w:val="28"/>
          <w:highlight w:val="none"/>
        </w:rPr>
      </w:pPr>
    </w:p>
    <w:p w14:paraId="36AA03D8">
      <w:pPr>
        <w:pStyle w:val="48"/>
        <w:rPr>
          <w:color w:val="auto"/>
          <w:highlight w:val="none"/>
        </w:rPr>
      </w:pPr>
    </w:p>
    <w:p w14:paraId="5B6BCA6A">
      <w:pPr>
        <w:spacing w:line="360" w:lineRule="auto"/>
        <w:ind w:firstLine="562"/>
        <w:rPr>
          <w:rFonts w:ascii="宋体" w:hAnsi="宋体"/>
          <w:b/>
          <w:color w:val="auto"/>
          <w:kern w:val="0"/>
          <w:sz w:val="28"/>
          <w:szCs w:val="28"/>
          <w:highlight w:val="none"/>
        </w:rPr>
      </w:pPr>
    </w:p>
    <w:p w14:paraId="447CCA96">
      <w:pPr>
        <w:spacing w:line="360" w:lineRule="auto"/>
        <w:ind w:firstLine="883"/>
        <w:jc w:val="center"/>
        <w:rPr>
          <w:rFonts w:ascii="宋体" w:hAnsi="宋体"/>
          <w:b/>
          <w:color w:val="auto"/>
          <w:kern w:val="0"/>
          <w:sz w:val="44"/>
          <w:szCs w:val="44"/>
          <w:highlight w:val="none"/>
        </w:rPr>
      </w:pPr>
      <w:r>
        <w:rPr>
          <w:rFonts w:hint="eastAsia" w:ascii="宋体" w:hAnsi="宋体"/>
          <w:b/>
          <w:color w:val="auto"/>
          <w:kern w:val="0"/>
          <w:sz w:val="44"/>
          <w:szCs w:val="44"/>
          <w:highlight w:val="none"/>
        </w:rPr>
        <w:t>目录</w:t>
      </w:r>
    </w:p>
    <w:p w14:paraId="1A2DF4AF">
      <w:pPr>
        <w:pStyle w:val="7"/>
        <w:spacing w:line="480" w:lineRule="auto"/>
        <w:ind w:firstLine="0" w:firstLineChars="0"/>
        <w:rPr>
          <w:rFonts w:ascii="宋体" w:hAnsi="宋体" w:cs="宋体"/>
          <w:b/>
          <w:bCs/>
          <w:color w:val="auto"/>
          <w:sz w:val="28"/>
          <w:szCs w:val="28"/>
          <w:highlight w:val="none"/>
        </w:rPr>
      </w:pPr>
      <w:r>
        <w:rPr>
          <w:rFonts w:hint="eastAsia" w:ascii="宋体" w:hAnsi="宋体" w:cs="宋体"/>
          <w:b/>
          <w:bCs/>
          <w:color w:val="auto"/>
          <w:sz w:val="28"/>
          <w:szCs w:val="28"/>
          <w:highlight w:val="none"/>
        </w:rPr>
        <w:t>第一章 投标邀请</w:t>
      </w:r>
    </w:p>
    <w:p w14:paraId="0340ADCC">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第二章 投标人须知</w:t>
      </w:r>
    </w:p>
    <w:p w14:paraId="2FE204C8">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第三章 评标办法</w:t>
      </w:r>
    </w:p>
    <w:p w14:paraId="1A1EB102">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第四章 合同条款</w:t>
      </w:r>
    </w:p>
    <w:p w14:paraId="29AE3754">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第五章 采购需求</w:t>
      </w:r>
    </w:p>
    <w:p w14:paraId="79E952F6">
      <w:pPr>
        <w:spacing w:line="480" w:lineRule="auto"/>
        <w:rPr>
          <w:rFonts w:ascii="宋体" w:hAnsi="宋体" w:cs="宋体"/>
          <w:b/>
          <w:bCs/>
          <w:color w:val="auto"/>
          <w:sz w:val="28"/>
          <w:szCs w:val="28"/>
          <w:highlight w:val="none"/>
        </w:rPr>
      </w:pPr>
      <w:r>
        <w:rPr>
          <w:rFonts w:hint="eastAsia" w:ascii="宋体" w:hAnsi="宋体" w:cs="宋体"/>
          <w:b/>
          <w:bCs/>
          <w:color w:val="auto"/>
          <w:sz w:val="28"/>
          <w:szCs w:val="28"/>
          <w:highlight w:val="none"/>
        </w:rPr>
        <w:t>第六章 投标文件构成及格式</w:t>
      </w:r>
    </w:p>
    <w:p w14:paraId="5C8711FA">
      <w:pPr>
        <w:spacing w:line="360" w:lineRule="auto"/>
        <w:ind w:firstLine="883"/>
        <w:jc w:val="center"/>
        <w:rPr>
          <w:rFonts w:ascii="宋体" w:hAnsi="宋体"/>
          <w:b/>
          <w:color w:val="auto"/>
          <w:kern w:val="0"/>
          <w:sz w:val="44"/>
          <w:szCs w:val="44"/>
          <w:highlight w:val="none"/>
        </w:rPr>
      </w:pPr>
    </w:p>
    <w:bookmarkEnd w:id="0"/>
    <w:p w14:paraId="6CC44084">
      <w:pPr>
        <w:spacing w:line="360" w:lineRule="auto"/>
        <w:ind w:firstLine="622" w:firstLineChars="295"/>
        <w:rPr>
          <w:rFonts w:ascii="宋体" w:hAnsi="宋体"/>
          <w:b/>
          <w:color w:val="auto"/>
          <w:highlight w:val="none"/>
        </w:rPr>
      </w:pPr>
    </w:p>
    <w:p w14:paraId="22CB74A9">
      <w:pPr>
        <w:spacing w:line="640" w:lineRule="exact"/>
        <w:ind w:firstLine="883"/>
        <w:rPr>
          <w:rFonts w:ascii="隶书" w:eastAsia="隶书"/>
          <w:b/>
          <w:color w:val="auto"/>
          <w:sz w:val="44"/>
          <w:szCs w:val="44"/>
          <w:highlight w:val="none"/>
        </w:rPr>
      </w:pPr>
    </w:p>
    <w:p w14:paraId="16D202AB">
      <w:pPr>
        <w:spacing w:line="360" w:lineRule="auto"/>
        <w:ind w:firstLine="2667" w:firstLineChars="738"/>
        <w:rPr>
          <w:rFonts w:ascii="黑体" w:eastAsia="黑体"/>
          <w:b/>
          <w:color w:val="auto"/>
          <w:sz w:val="36"/>
          <w:szCs w:val="36"/>
          <w:highlight w:val="none"/>
        </w:rPr>
        <w:sectPr>
          <w:footerReference r:id="rId3" w:type="default"/>
          <w:footerReference r:id="rId4" w:type="even"/>
          <w:pgSz w:w="11906" w:h="16838"/>
          <w:pgMar w:top="1361" w:right="1133" w:bottom="1247" w:left="1304" w:header="680" w:footer="680" w:gutter="0"/>
          <w:pgBorders>
            <w:top w:val="none" w:sz="0" w:space="0"/>
            <w:left w:val="none" w:sz="0" w:space="0"/>
            <w:bottom w:val="none" w:sz="0" w:space="0"/>
            <w:right w:val="none" w:sz="0" w:space="0"/>
          </w:pgBorders>
          <w:cols w:space="720" w:num="1"/>
          <w:docGrid w:linePitch="312" w:charSpace="0"/>
        </w:sectPr>
      </w:pPr>
    </w:p>
    <w:p w14:paraId="3D5E4DB6">
      <w:pPr>
        <w:spacing w:line="360" w:lineRule="auto"/>
        <w:ind w:firstLine="723"/>
        <w:jc w:val="center"/>
        <w:rPr>
          <w:rFonts w:ascii="黑体" w:eastAsia="黑体"/>
          <w:b/>
          <w:color w:val="auto"/>
          <w:sz w:val="36"/>
          <w:szCs w:val="36"/>
          <w:highlight w:val="none"/>
        </w:rPr>
      </w:pPr>
      <w:r>
        <w:rPr>
          <w:rFonts w:hint="eastAsia" w:ascii="黑体" w:eastAsia="黑体"/>
          <w:b/>
          <w:color w:val="auto"/>
          <w:sz w:val="36"/>
          <w:szCs w:val="36"/>
          <w:highlight w:val="none"/>
        </w:rPr>
        <w:t>第一章 投标邀请</w:t>
      </w:r>
    </w:p>
    <w:p w14:paraId="0B588575">
      <w:pPr>
        <w:pBdr>
          <w:top w:val="single" w:color="auto" w:sz="4" w:space="1"/>
          <w:left w:val="single" w:color="auto" w:sz="4" w:space="4"/>
          <w:bottom w:val="single" w:color="auto" w:sz="4" w:space="1"/>
          <w:right w:val="single" w:color="auto" w:sz="4" w:space="4"/>
        </w:pBdr>
        <w:spacing w:line="360" w:lineRule="auto"/>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项目概况</w:t>
      </w:r>
    </w:p>
    <w:p w14:paraId="393087E8">
      <w:pPr>
        <w:pBdr>
          <w:top w:val="single" w:color="auto" w:sz="4" w:space="1"/>
          <w:left w:val="single" w:color="auto" w:sz="4" w:space="4"/>
          <w:bottom w:val="single" w:color="auto" w:sz="4" w:space="1"/>
          <w:right w:val="single" w:color="auto" w:sz="4" w:space="4"/>
        </w:pBd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lang w:eastAsia="zh-CN"/>
        </w:rPr>
        <w:t>吉林西部（大安）清洁能源化工产业园消防车采购项目的潜在投标人应自行登录政府采购云平台（网址：http://www.zcygov.cn）网上注册（https://middle.zcygov.cn/v-settle-front/registry）并下载招标文件，并于202</w:t>
      </w:r>
      <w:r>
        <w:rPr>
          <w:rFonts w:hint="eastAsia" w:ascii="仿宋" w:hAnsi="仿宋" w:eastAsia="仿宋"/>
          <w:color w:val="auto"/>
          <w:sz w:val="28"/>
          <w:szCs w:val="28"/>
          <w:highlight w:val="none"/>
          <w:lang w:val="en-US" w:eastAsia="zh-CN"/>
        </w:rPr>
        <w:t>5</w:t>
      </w:r>
      <w:r>
        <w:rPr>
          <w:rFonts w:hint="eastAsia" w:ascii="仿宋" w:hAnsi="仿宋" w:eastAsia="仿宋"/>
          <w:color w:val="auto"/>
          <w:sz w:val="28"/>
          <w:szCs w:val="28"/>
          <w:highlight w:val="none"/>
          <w:lang w:eastAsia="zh-CN"/>
        </w:rPr>
        <w:t>年</w:t>
      </w:r>
      <w:r>
        <w:rPr>
          <w:rFonts w:hint="eastAsia" w:ascii="仿宋" w:hAnsi="仿宋" w:eastAsia="仿宋"/>
          <w:color w:val="auto"/>
          <w:sz w:val="28"/>
          <w:szCs w:val="28"/>
          <w:highlight w:val="none"/>
          <w:lang w:val="en-US" w:eastAsia="zh-CN"/>
        </w:rPr>
        <w:t>03</w:t>
      </w:r>
      <w:r>
        <w:rPr>
          <w:rFonts w:hint="eastAsia" w:ascii="仿宋" w:hAnsi="仿宋" w:eastAsia="仿宋"/>
          <w:color w:val="auto"/>
          <w:sz w:val="28"/>
          <w:szCs w:val="28"/>
          <w:highlight w:val="none"/>
          <w:lang w:eastAsia="zh-CN"/>
        </w:rPr>
        <w:t>月</w:t>
      </w:r>
      <w:r>
        <w:rPr>
          <w:rFonts w:hint="eastAsia" w:ascii="仿宋" w:hAnsi="仿宋" w:eastAsia="仿宋"/>
          <w:color w:val="auto"/>
          <w:sz w:val="28"/>
          <w:szCs w:val="28"/>
          <w:highlight w:val="none"/>
          <w:lang w:val="en-US" w:eastAsia="zh-CN"/>
        </w:rPr>
        <w:t>26</w:t>
      </w:r>
      <w:r>
        <w:rPr>
          <w:rFonts w:hint="eastAsia" w:ascii="仿宋" w:hAnsi="仿宋" w:eastAsia="仿宋"/>
          <w:color w:val="auto"/>
          <w:sz w:val="28"/>
          <w:szCs w:val="28"/>
          <w:highlight w:val="none"/>
          <w:lang w:eastAsia="zh-CN"/>
        </w:rPr>
        <w:t>日</w:t>
      </w:r>
      <w:r>
        <w:rPr>
          <w:rFonts w:hint="eastAsia" w:ascii="仿宋" w:hAnsi="仿宋" w:eastAsia="仿宋"/>
          <w:color w:val="auto"/>
          <w:sz w:val="28"/>
          <w:szCs w:val="28"/>
          <w:highlight w:val="none"/>
          <w:lang w:val="en-US" w:eastAsia="zh-CN"/>
        </w:rPr>
        <w:t>13</w:t>
      </w:r>
      <w:r>
        <w:rPr>
          <w:rFonts w:hint="eastAsia" w:ascii="仿宋" w:hAnsi="仿宋" w:eastAsia="仿宋"/>
          <w:color w:val="auto"/>
          <w:sz w:val="28"/>
          <w:szCs w:val="28"/>
          <w:highlight w:val="none"/>
          <w:lang w:eastAsia="zh-CN"/>
        </w:rPr>
        <w:t>时00分</w:t>
      </w:r>
      <w:r>
        <w:rPr>
          <w:rFonts w:hint="eastAsia" w:ascii="仿宋" w:hAnsi="仿宋" w:eastAsia="仿宋"/>
          <w:color w:val="auto"/>
          <w:sz w:val="28"/>
          <w:szCs w:val="28"/>
          <w:highlight w:val="none"/>
          <w:lang w:eastAsia="zh-CN"/>
        </w:rPr>
        <w:t>（北京时间）前递交投标文件。</w:t>
      </w:r>
    </w:p>
    <w:p w14:paraId="1C3C140F">
      <w:pPr>
        <w:pStyle w:val="3"/>
        <w:spacing w:line="360" w:lineRule="auto"/>
        <w:rPr>
          <w:rFonts w:hint="default" w:ascii="黑体" w:hAnsi="黑体" w:cs="宋体"/>
          <w:b w:val="0"/>
          <w:color w:val="auto"/>
          <w:sz w:val="28"/>
          <w:szCs w:val="28"/>
          <w:highlight w:val="none"/>
        </w:rPr>
      </w:pPr>
      <w:r>
        <w:rPr>
          <w:rFonts w:ascii="黑体" w:hAnsi="黑体" w:cs="宋体"/>
          <w:b w:val="0"/>
          <w:color w:val="auto"/>
          <w:sz w:val="28"/>
          <w:szCs w:val="28"/>
          <w:highlight w:val="none"/>
        </w:rPr>
        <w:t>一、项目基本情况</w:t>
      </w:r>
    </w:p>
    <w:p w14:paraId="03314CDF">
      <w:pPr>
        <w:spacing w:line="360" w:lineRule="auto"/>
        <w:ind w:firstLine="560" w:firstLineChars="200"/>
        <w:rPr>
          <w:rFonts w:ascii="仿宋" w:hAnsi="仿宋" w:eastAsia="仿宋"/>
          <w:color w:val="0000FF"/>
          <w:sz w:val="28"/>
          <w:szCs w:val="28"/>
          <w:highlight w:val="yellow"/>
        </w:rPr>
      </w:pPr>
      <w:r>
        <w:rPr>
          <w:rFonts w:hint="eastAsia" w:ascii="仿宋" w:hAnsi="仿宋" w:eastAsia="仿宋"/>
          <w:sz w:val="28"/>
          <w:szCs w:val="28"/>
        </w:rPr>
        <w:t>1.项目编号</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val="en-US" w:eastAsia="zh-CN"/>
        </w:rPr>
        <w:t xml:space="preserve">0773-2541GNJLHWGK0353 </w:t>
      </w:r>
    </w:p>
    <w:p w14:paraId="155EB41F">
      <w:pPr>
        <w:spacing w:line="360" w:lineRule="auto"/>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rPr>
        <w:t>采购编号：</w:t>
      </w:r>
      <w:r>
        <w:rPr>
          <w:rFonts w:hint="eastAsia" w:ascii="仿宋" w:hAnsi="仿宋" w:eastAsia="仿宋"/>
          <w:color w:val="auto"/>
          <w:sz w:val="28"/>
          <w:szCs w:val="28"/>
          <w:lang w:val="en-US" w:eastAsia="zh-CN"/>
        </w:rPr>
        <w:t>采购计划-[2025]-00016号</w:t>
      </w:r>
    </w:p>
    <w:p w14:paraId="6D30CA13">
      <w:pPr>
        <w:spacing w:line="360" w:lineRule="auto"/>
        <w:ind w:firstLine="560" w:firstLineChars="200"/>
        <w:rPr>
          <w:rFonts w:hint="eastAsia" w:ascii="仿宋" w:hAnsi="仿宋" w:eastAsia="仿宋"/>
          <w:color w:val="auto"/>
          <w:sz w:val="28"/>
          <w:szCs w:val="28"/>
          <w:lang w:eastAsia="zh-CN"/>
        </w:rPr>
      </w:pPr>
      <w:r>
        <w:rPr>
          <w:rFonts w:hint="eastAsia" w:ascii="仿宋" w:hAnsi="仿宋" w:eastAsia="仿宋"/>
          <w:sz w:val="28"/>
          <w:szCs w:val="28"/>
        </w:rPr>
        <w:t>2</w:t>
      </w:r>
      <w:r>
        <w:rPr>
          <w:rFonts w:hint="eastAsia" w:ascii="仿宋" w:hAnsi="仿宋" w:eastAsia="仿宋"/>
          <w:sz w:val="28"/>
          <w:szCs w:val="28"/>
          <w:lang w:val="en-US" w:eastAsia="zh-CN"/>
        </w:rPr>
        <w:t>.</w:t>
      </w:r>
      <w:r>
        <w:rPr>
          <w:rFonts w:hint="eastAsia" w:ascii="仿宋" w:hAnsi="仿宋" w:eastAsia="仿宋"/>
          <w:sz w:val="28"/>
          <w:szCs w:val="28"/>
        </w:rPr>
        <w:t>项目名称：</w:t>
      </w:r>
      <w:r>
        <w:rPr>
          <w:rFonts w:hint="eastAsia" w:ascii="仿宋" w:hAnsi="仿宋" w:eastAsia="仿宋"/>
          <w:color w:val="auto"/>
          <w:sz w:val="28"/>
          <w:szCs w:val="28"/>
          <w:lang w:eastAsia="zh-CN"/>
        </w:rPr>
        <w:t>吉林西部（大安）清洁能源化工产业园消防车采购项目</w:t>
      </w:r>
    </w:p>
    <w:p w14:paraId="03C53052">
      <w:pPr>
        <w:spacing w:line="360" w:lineRule="auto"/>
        <w:ind w:firstLine="560" w:firstLineChars="200"/>
        <w:rPr>
          <w:rFonts w:hint="eastAsia" w:ascii="仿宋" w:hAnsi="仿宋" w:eastAsia="仿宋"/>
          <w:sz w:val="28"/>
          <w:szCs w:val="28"/>
          <w:lang w:eastAsia="zh-CN"/>
        </w:rPr>
      </w:pPr>
      <w:r>
        <w:rPr>
          <w:rFonts w:hint="eastAsia" w:ascii="仿宋" w:hAnsi="仿宋" w:eastAsia="仿宋"/>
          <w:sz w:val="28"/>
          <w:szCs w:val="28"/>
        </w:rPr>
        <w:t>3</w:t>
      </w:r>
      <w:r>
        <w:rPr>
          <w:rFonts w:hint="eastAsia" w:ascii="仿宋" w:hAnsi="仿宋" w:eastAsia="仿宋"/>
          <w:sz w:val="28"/>
          <w:szCs w:val="28"/>
          <w:lang w:val="en-US" w:eastAsia="zh-CN"/>
        </w:rPr>
        <w:t>.</w:t>
      </w:r>
      <w:r>
        <w:rPr>
          <w:rFonts w:hint="eastAsia" w:ascii="仿宋" w:hAnsi="仿宋" w:eastAsia="仿宋"/>
          <w:sz w:val="28"/>
          <w:szCs w:val="28"/>
        </w:rPr>
        <w:t>项目预算金额：</w:t>
      </w:r>
      <w:r>
        <w:rPr>
          <w:rFonts w:hint="eastAsia" w:ascii="仿宋" w:hAnsi="仿宋" w:eastAsia="仿宋"/>
          <w:sz w:val="28"/>
          <w:szCs w:val="28"/>
          <w:lang w:eastAsia="zh-CN"/>
        </w:rPr>
        <w:t>人民币269.8万元</w:t>
      </w:r>
    </w:p>
    <w:p w14:paraId="013583C0">
      <w:pPr>
        <w:spacing w:line="360" w:lineRule="auto"/>
        <w:ind w:firstLine="560" w:firstLineChars="200"/>
        <w:rPr>
          <w:rFonts w:hint="eastAsia" w:ascii="仿宋" w:hAnsi="仿宋" w:eastAsia="仿宋"/>
          <w:sz w:val="28"/>
          <w:szCs w:val="28"/>
        </w:rPr>
      </w:pPr>
      <w:r>
        <w:rPr>
          <w:rFonts w:hint="eastAsia" w:ascii="仿宋" w:hAnsi="仿宋" w:eastAsia="仿宋"/>
          <w:sz w:val="28"/>
          <w:szCs w:val="28"/>
        </w:rPr>
        <w:t>4</w:t>
      </w:r>
      <w:r>
        <w:rPr>
          <w:rFonts w:hint="eastAsia" w:ascii="仿宋" w:hAnsi="仿宋" w:eastAsia="仿宋"/>
          <w:sz w:val="28"/>
          <w:szCs w:val="28"/>
          <w:lang w:val="en-US" w:eastAsia="zh-CN"/>
        </w:rPr>
        <w:t>.</w:t>
      </w:r>
      <w:r>
        <w:rPr>
          <w:rFonts w:hint="eastAsia" w:ascii="仿宋" w:hAnsi="仿宋" w:eastAsia="仿宋"/>
          <w:sz w:val="28"/>
          <w:szCs w:val="28"/>
        </w:rPr>
        <w:t>采购需求：</w:t>
      </w:r>
    </w:p>
    <w:tbl>
      <w:tblPr>
        <w:tblStyle w:val="29"/>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70"/>
        <w:gridCol w:w="886"/>
        <w:gridCol w:w="6104"/>
      </w:tblGrid>
      <w:tr w14:paraId="42A6B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70" w:type="dxa"/>
            <w:vAlign w:val="center"/>
          </w:tcPr>
          <w:p w14:paraId="0DACA8F1">
            <w:pPr>
              <w:pStyle w:val="26"/>
              <w:spacing w:line="360" w:lineRule="exact"/>
              <w:ind w:left="0" w:leftChars="0" w:firstLine="0" w:firstLineChars="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标的名称</w:t>
            </w:r>
          </w:p>
        </w:tc>
        <w:tc>
          <w:tcPr>
            <w:tcW w:w="886" w:type="dxa"/>
            <w:vAlign w:val="center"/>
          </w:tcPr>
          <w:p w14:paraId="4EC90631">
            <w:pPr>
              <w:pStyle w:val="26"/>
              <w:spacing w:line="360" w:lineRule="exact"/>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数量</w:t>
            </w:r>
          </w:p>
        </w:tc>
        <w:tc>
          <w:tcPr>
            <w:tcW w:w="6104" w:type="dxa"/>
            <w:vAlign w:val="center"/>
          </w:tcPr>
          <w:p w14:paraId="40A37C77">
            <w:pPr>
              <w:pStyle w:val="26"/>
              <w:spacing w:line="360" w:lineRule="exact"/>
              <w:ind w:firstLine="240" w:firstLineChars="100"/>
              <w:jc w:val="center"/>
              <w:rPr>
                <w:rFonts w:ascii="宋体" w:hAnsi="宋体" w:eastAsia="宋体" w:cs="宋体"/>
                <w:color w:val="auto"/>
                <w:sz w:val="24"/>
                <w:szCs w:val="24"/>
              </w:rPr>
            </w:pPr>
            <w:r>
              <w:rPr>
                <w:rFonts w:hint="eastAsia" w:ascii="宋体" w:hAnsi="宋体" w:eastAsia="宋体" w:cs="宋体"/>
                <w:color w:val="auto"/>
                <w:sz w:val="24"/>
                <w:szCs w:val="24"/>
                <w:lang w:val="en-US" w:eastAsia="zh-CN"/>
              </w:rPr>
              <w:t>简要技术需求</w:t>
            </w:r>
          </w:p>
        </w:tc>
      </w:tr>
      <w:tr w14:paraId="47D33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70" w:type="dxa"/>
            <w:vAlign w:val="center"/>
          </w:tcPr>
          <w:p w14:paraId="56EEA073">
            <w:pPr>
              <w:pStyle w:val="26"/>
              <w:spacing w:line="360" w:lineRule="exact"/>
              <w:ind w:firstLine="24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干粉泡沫联用消防车（核心产品）</w:t>
            </w:r>
          </w:p>
        </w:tc>
        <w:tc>
          <w:tcPr>
            <w:tcW w:w="886" w:type="dxa"/>
            <w:vAlign w:val="center"/>
          </w:tcPr>
          <w:p w14:paraId="5F59FE3E">
            <w:pPr>
              <w:pStyle w:val="26"/>
              <w:spacing w:line="360" w:lineRule="exact"/>
              <w:ind w:left="0" w:leftChars="0" w:firstLine="0" w:firstLineChars="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1辆</w:t>
            </w:r>
          </w:p>
        </w:tc>
        <w:tc>
          <w:tcPr>
            <w:tcW w:w="6104" w:type="dxa"/>
            <w:vAlign w:val="center"/>
          </w:tcPr>
          <w:p w14:paraId="07AA2C83">
            <w:pPr>
              <w:pStyle w:val="26"/>
              <w:spacing w:line="360" w:lineRule="exact"/>
              <w:ind w:left="0" w:leftChars="0" w:firstLine="0" w:firstLineChars="0"/>
              <w:jc w:val="left"/>
              <w:rPr>
                <w:rFonts w:hint="default" w:ascii="宋体" w:hAnsi="宋体" w:eastAsia="宋体" w:cs="宋体"/>
                <w:color w:val="auto"/>
                <w:sz w:val="24"/>
                <w:szCs w:val="24"/>
                <w:lang w:val="en-US"/>
              </w:rPr>
            </w:pPr>
            <w:r>
              <w:rPr>
                <w:rFonts w:hint="eastAsia" w:ascii="仿宋" w:hAnsi="仿宋" w:eastAsia="仿宋" w:cs="仿宋"/>
                <w:sz w:val="24"/>
                <w:szCs w:val="24"/>
                <w:lang w:eastAsia="zh-CN"/>
              </w:rPr>
              <w:t>★</w:t>
            </w:r>
            <w:r>
              <w:rPr>
                <w:rFonts w:hint="default" w:ascii="宋体" w:hAnsi="宋体" w:eastAsia="宋体" w:cs="宋体"/>
                <w:color w:val="auto"/>
                <w:sz w:val="24"/>
                <w:szCs w:val="24"/>
                <w:lang w:val="en-US"/>
              </w:rPr>
              <w:t>外形尺寸（长×宽×高）：≤11000×2550×3900mm；</w:t>
            </w:r>
          </w:p>
          <w:p w14:paraId="4362AE08">
            <w:pPr>
              <w:pStyle w:val="26"/>
              <w:spacing w:line="360" w:lineRule="exact"/>
              <w:ind w:left="0" w:leftChars="0" w:firstLine="0" w:firstLineChars="0"/>
              <w:jc w:val="left"/>
              <w:rPr>
                <w:rFonts w:hint="eastAsia" w:ascii="宋体" w:hAnsi="宋体" w:eastAsia="宋体" w:cs="宋体"/>
                <w:color w:val="auto"/>
                <w:sz w:val="24"/>
                <w:szCs w:val="24"/>
                <w:lang w:val="en-US" w:eastAsia="zh-CN"/>
              </w:rPr>
            </w:pPr>
            <w:r>
              <w:rPr>
                <w:rFonts w:hint="eastAsia" w:ascii="仿宋" w:hAnsi="仿宋" w:eastAsia="仿宋" w:cs="仿宋"/>
                <w:sz w:val="24"/>
                <w:szCs w:val="24"/>
                <w:lang w:eastAsia="zh-CN"/>
              </w:rPr>
              <w:t>★</w:t>
            </w:r>
            <w:r>
              <w:rPr>
                <w:rFonts w:hint="default" w:ascii="宋体" w:hAnsi="宋体" w:eastAsia="宋体" w:cs="宋体"/>
                <w:color w:val="auto"/>
                <w:sz w:val="24"/>
                <w:szCs w:val="24"/>
                <w:lang w:val="en-US"/>
              </w:rPr>
              <w:t>乘员人数：6人</w:t>
            </w:r>
            <w:r>
              <w:rPr>
                <w:rFonts w:hint="eastAsia" w:ascii="宋体" w:hAnsi="宋体" w:eastAsia="宋体" w:cs="宋体"/>
                <w:color w:val="auto"/>
                <w:sz w:val="24"/>
                <w:szCs w:val="24"/>
                <w:lang w:val="en-US" w:eastAsia="zh-CN"/>
              </w:rPr>
              <w:t>等</w:t>
            </w:r>
          </w:p>
        </w:tc>
      </w:tr>
      <w:tr w14:paraId="4E3ED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70" w:type="dxa"/>
            <w:vAlign w:val="center"/>
          </w:tcPr>
          <w:p w14:paraId="1EA439C5">
            <w:pPr>
              <w:pStyle w:val="26"/>
              <w:spacing w:line="360" w:lineRule="exact"/>
              <w:ind w:firstLine="24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25吨水罐消防车</w:t>
            </w:r>
          </w:p>
        </w:tc>
        <w:tc>
          <w:tcPr>
            <w:tcW w:w="886" w:type="dxa"/>
            <w:vAlign w:val="center"/>
          </w:tcPr>
          <w:p w14:paraId="5121F66D">
            <w:pPr>
              <w:spacing w:line="360" w:lineRule="exact"/>
              <w:ind w:left="0" w:leftChars="0" w:firstLine="0" w:firstLineChars="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1辆</w:t>
            </w:r>
          </w:p>
        </w:tc>
        <w:tc>
          <w:tcPr>
            <w:tcW w:w="6104" w:type="dxa"/>
            <w:vAlign w:val="center"/>
          </w:tcPr>
          <w:p w14:paraId="0CE6BB85">
            <w:pPr>
              <w:pStyle w:val="26"/>
              <w:spacing w:line="360" w:lineRule="exact"/>
              <w:ind w:left="0" w:leftChars="0" w:firstLine="0" w:firstLineChars="0"/>
              <w:jc w:val="left"/>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en-US"/>
              </w:rPr>
              <w:t>载液量：≥24.5t；</w:t>
            </w:r>
          </w:p>
          <w:p w14:paraId="7FE00919">
            <w:pPr>
              <w:pStyle w:val="26"/>
              <w:spacing w:line="360" w:lineRule="exact"/>
              <w:ind w:left="0" w:leftChars="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rPr>
              <w:t>国六底盘</w:t>
            </w:r>
            <w:r>
              <w:rPr>
                <w:rFonts w:hint="eastAsia" w:ascii="宋体" w:hAnsi="宋体" w:eastAsia="宋体" w:cs="宋体"/>
                <w:color w:val="auto"/>
                <w:sz w:val="24"/>
                <w:szCs w:val="24"/>
                <w:lang w:val="en-US" w:eastAsia="zh-CN"/>
              </w:rPr>
              <w:t>等</w:t>
            </w:r>
          </w:p>
        </w:tc>
      </w:tr>
      <w:tr w14:paraId="56624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70" w:type="dxa"/>
            <w:vAlign w:val="center"/>
          </w:tcPr>
          <w:p w14:paraId="525DDE31">
            <w:pPr>
              <w:pStyle w:val="26"/>
              <w:spacing w:line="360" w:lineRule="exact"/>
              <w:ind w:firstLine="24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通信指挥消防车</w:t>
            </w:r>
          </w:p>
        </w:tc>
        <w:tc>
          <w:tcPr>
            <w:tcW w:w="886" w:type="dxa"/>
            <w:vAlign w:val="center"/>
          </w:tcPr>
          <w:p w14:paraId="30329DF6">
            <w:pPr>
              <w:spacing w:line="360" w:lineRule="exact"/>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1辆</w:t>
            </w:r>
          </w:p>
        </w:tc>
        <w:tc>
          <w:tcPr>
            <w:tcW w:w="6104" w:type="dxa"/>
            <w:vAlign w:val="center"/>
          </w:tcPr>
          <w:p w14:paraId="4C89E7C6">
            <w:pPr>
              <w:pStyle w:val="26"/>
              <w:spacing w:line="360" w:lineRule="exact"/>
              <w:ind w:left="0" w:leftChars="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外廓尺寸：≥5685mm×</w:t>
            </w:r>
            <w:bookmarkStart w:id="1" w:name="k"/>
            <w:r>
              <w:rPr>
                <w:rFonts w:hint="eastAsia" w:ascii="宋体" w:hAnsi="宋体" w:eastAsia="宋体" w:cs="宋体"/>
                <w:color w:val="auto"/>
                <w:sz w:val="24"/>
                <w:szCs w:val="24"/>
                <w:lang w:val="en-US" w:eastAsia="zh-CN"/>
              </w:rPr>
              <w:t>19</w:t>
            </w:r>
            <w:bookmarkEnd w:id="1"/>
            <w:r>
              <w:rPr>
                <w:rFonts w:hint="eastAsia" w:ascii="宋体" w:hAnsi="宋体" w:eastAsia="宋体" w:cs="宋体"/>
                <w:color w:val="auto"/>
                <w:sz w:val="24"/>
                <w:szCs w:val="24"/>
                <w:lang w:val="en-US" w:eastAsia="zh-CN"/>
              </w:rPr>
              <w:t>80mm×1990mm。</w:t>
            </w:r>
          </w:p>
          <w:p w14:paraId="515902FC">
            <w:pPr>
              <w:pStyle w:val="26"/>
              <w:spacing w:line="360" w:lineRule="exact"/>
              <w:ind w:left="0" w:leftChars="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满载总质量：≥2900kg等</w:t>
            </w:r>
          </w:p>
        </w:tc>
      </w:tr>
      <w:tr w14:paraId="6954B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560" w:type="dxa"/>
            <w:gridSpan w:val="3"/>
            <w:vAlign w:val="center"/>
          </w:tcPr>
          <w:p w14:paraId="0C00D696">
            <w:pPr>
              <w:pStyle w:val="26"/>
              <w:spacing w:line="360" w:lineRule="exact"/>
              <w:ind w:firstLine="24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详见第五章：采购需求</w:t>
            </w:r>
          </w:p>
        </w:tc>
      </w:tr>
    </w:tbl>
    <w:p w14:paraId="08466F54">
      <w:pPr>
        <w:spacing w:line="360" w:lineRule="auto"/>
        <w:ind w:firstLine="560" w:firstLineChars="200"/>
        <w:rPr>
          <w:rFonts w:hint="eastAsia" w:ascii="仿宋" w:hAnsi="仿宋" w:eastAsia="仿宋"/>
          <w:sz w:val="28"/>
          <w:szCs w:val="28"/>
        </w:rPr>
      </w:pPr>
      <w:r>
        <w:rPr>
          <w:rFonts w:hint="eastAsia" w:ascii="仿宋" w:hAnsi="仿宋" w:eastAsia="仿宋"/>
          <w:sz w:val="28"/>
          <w:szCs w:val="28"/>
        </w:rPr>
        <w:t>5</w:t>
      </w:r>
      <w:r>
        <w:rPr>
          <w:rFonts w:hint="eastAsia" w:ascii="仿宋" w:hAnsi="仿宋" w:eastAsia="仿宋"/>
          <w:sz w:val="28"/>
          <w:szCs w:val="28"/>
          <w:lang w:val="en-US" w:eastAsia="zh-CN"/>
        </w:rPr>
        <w:t>.合同履行</w:t>
      </w:r>
      <w:r>
        <w:rPr>
          <w:rFonts w:hint="eastAsia" w:ascii="仿宋" w:hAnsi="仿宋" w:eastAsia="仿宋"/>
          <w:sz w:val="28"/>
          <w:szCs w:val="28"/>
        </w:rPr>
        <w:t>期限</w:t>
      </w:r>
      <w:r>
        <w:rPr>
          <w:rFonts w:hint="eastAsia" w:ascii="仿宋" w:hAnsi="仿宋" w:eastAsia="仿宋"/>
          <w:sz w:val="28"/>
          <w:szCs w:val="28"/>
          <w:lang w:eastAsia="zh-CN"/>
        </w:rPr>
        <w:t>（</w:t>
      </w:r>
      <w:r>
        <w:rPr>
          <w:rFonts w:hint="eastAsia" w:ascii="仿宋" w:hAnsi="仿宋" w:eastAsia="仿宋"/>
          <w:sz w:val="28"/>
          <w:szCs w:val="28"/>
          <w:lang w:val="en-US" w:eastAsia="zh-CN"/>
        </w:rPr>
        <w:t>交货期）</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lang w:eastAsia="zh-CN"/>
        </w:rPr>
        <w:t>签订合同后60日内交车。</w:t>
      </w:r>
    </w:p>
    <w:p w14:paraId="1129A3BD">
      <w:pPr>
        <w:spacing w:line="360" w:lineRule="auto"/>
        <w:ind w:firstLine="560" w:firstLineChars="200"/>
        <w:rPr>
          <w:rFonts w:ascii="仿宋" w:hAnsi="仿宋" w:eastAsia="仿宋"/>
          <w:sz w:val="28"/>
          <w:szCs w:val="28"/>
        </w:rPr>
      </w:pPr>
      <w:r>
        <w:rPr>
          <w:rFonts w:hint="eastAsia" w:ascii="仿宋" w:hAnsi="仿宋" w:eastAsia="仿宋"/>
          <w:sz w:val="28"/>
          <w:szCs w:val="28"/>
        </w:rPr>
        <w:t>6</w:t>
      </w:r>
      <w:r>
        <w:rPr>
          <w:rFonts w:hint="eastAsia" w:ascii="仿宋" w:hAnsi="仿宋" w:eastAsia="仿宋"/>
          <w:sz w:val="28"/>
          <w:szCs w:val="28"/>
          <w:lang w:val="en-US" w:eastAsia="zh-CN"/>
        </w:rPr>
        <w:t>.</w:t>
      </w:r>
      <w:r>
        <w:rPr>
          <w:rFonts w:hint="eastAsia" w:ascii="仿宋" w:hAnsi="仿宋" w:eastAsia="仿宋"/>
          <w:sz w:val="28"/>
          <w:szCs w:val="28"/>
        </w:rPr>
        <w:t>本项目是否接受联合体投标：否。</w:t>
      </w:r>
    </w:p>
    <w:p w14:paraId="72C6B2A2">
      <w:pPr>
        <w:pStyle w:val="3"/>
        <w:spacing w:line="360" w:lineRule="auto"/>
        <w:rPr>
          <w:rFonts w:hint="default" w:ascii="黑体" w:hAnsi="黑体" w:cs="宋体"/>
          <w:b w:val="0"/>
          <w:color w:val="auto"/>
          <w:sz w:val="28"/>
          <w:szCs w:val="28"/>
          <w:highlight w:val="none"/>
        </w:rPr>
      </w:pPr>
      <w:r>
        <w:rPr>
          <w:rFonts w:ascii="黑体" w:hAnsi="黑体" w:cs="宋体"/>
          <w:b w:val="0"/>
          <w:color w:val="auto"/>
          <w:sz w:val="28"/>
          <w:szCs w:val="28"/>
          <w:highlight w:val="none"/>
        </w:rPr>
        <w:t>二、申请人的资格要求：</w:t>
      </w:r>
    </w:p>
    <w:p w14:paraId="64AB9076">
      <w:pPr>
        <w:spacing w:line="360" w:lineRule="auto"/>
        <w:ind w:firstLine="560" w:firstLineChars="200"/>
        <w:rPr>
          <w:rFonts w:ascii="仿宋" w:hAnsi="仿宋" w:eastAsia="仿宋"/>
          <w:sz w:val="28"/>
          <w:szCs w:val="28"/>
        </w:rPr>
      </w:pPr>
      <w:r>
        <w:rPr>
          <w:rFonts w:hint="eastAsia" w:ascii="仿宋" w:hAnsi="仿宋" w:eastAsia="仿宋"/>
          <w:sz w:val="28"/>
          <w:szCs w:val="28"/>
        </w:rPr>
        <w:t>1</w:t>
      </w:r>
      <w:r>
        <w:rPr>
          <w:rFonts w:hint="eastAsia" w:ascii="仿宋" w:hAnsi="仿宋" w:eastAsia="仿宋"/>
          <w:sz w:val="28"/>
          <w:szCs w:val="28"/>
          <w:lang w:val="en-US" w:eastAsia="zh-CN"/>
        </w:rPr>
        <w:t>.</w:t>
      </w:r>
      <w:r>
        <w:rPr>
          <w:rFonts w:hint="eastAsia" w:ascii="仿宋" w:hAnsi="仿宋" w:eastAsia="仿宋"/>
          <w:sz w:val="28"/>
          <w:szCs w:val="28"/>
        </w:rPr>
        <w:t>满足《中华人民共和国政府采购法》第二十二条规定；</w:t>
      </w:r>
    </w:p>
    <w:p w14:paraId="5CF247DF">
      <w:pPr>
        <w:pStyle w:val="27"/>
        <w:spacing w:line="360" w:lineRule="auto"/>
        <w:ind w:firstLine="560"/>
        <w:rPr>
          <w:rFonts w:hint="eastAsia" w:ascii="仿宋" w:hAnsi="仿宋" w:eastAsia="仿宋"/>
          <w:color w:val="auto"/>
          <w:sz w:val="28"/>
          <w:szCs w:val="28"/>
          <w:lang w:val="en-US" w:eastAsia="zh-CN"/>
        </w:rPr>
      </w:pPr>
      <w:r>
        <w:rPr>
          <w:rFonts w:hint="eastAsia" w:ascii="仿宋" w:hAnsi="仿宋" w:eastAsia="仿宋"/>
          <w:sz w:val="28"/>
          <w:szCs w:val="28"/>
        </w:rPr>
        <w:t>2</w:t>
      </w:r>
      <w:r>
        <w:rPr>
          <w:rFonts w:hint="eastAsia" w:ascii="仿宋" w:hAnsi="仿宋" w:eastAsia="仿宋"/>
          <w:sz w:val="28"/>
          <w:szCs w:val="28"/>
          <w:lang w:val="en-US" w:eastAsia="zh-CN"/>
        </w:rPr>
        <w:t>.</w:t>
      </w:r>
      <w:r>
        <w:rPr>
          <w:rFonts w:hint="eastAsia" w:ascii="仿宋" w:hAnsi="仿宋" w:eastAsia="仿宋"/>
          <w:sz w:val="28"/>
          <w:szCs w:val="28"/>
        </w:rPr>
        <w:t>落实政府采购政策需满足的资格要</w:t>
      </w:r>
      <w:r>
        <w:rPr>
          <w:rFonts w:hint="eastAsia" w:ascii="仿宋" w:hAnsi="仿宋" w:eastAsia="仿宋"/>
          <w:color w:val="auto"/>
          <w:sz w:val="28"/>
          <w:szCs w:val="28"/>
        </w:rPr>
        <w:t>求：本项目</w:t>
      </w:r>
      <w:r>
        <w:rPr>
          <w:rFonts w:hint="eastAsia" w:ascii="仿宋" w:hAnsi="仿宋" w:eastAsia="仿宋"/>
          <w:color w:val="auto"/>
          <w:sz w:val="28"/>
          <w:szCs w:val="28"/>
          <w:lang w:val="en-US" w:eastAsia="zh-CN"/>
        </w:rPr>
        <w:t>非专门</w:t>
      </w:r>
      <w:r>
        <w:rPr>
          <w:rFonts w:hint="eastAsia" w:ascii="仿宋" w:hAnsi="仿宋" w:eastAsia="仿宋"/>
          <w:color w:val="auto"/>
          <w:sz w:val="28"/>
          <w:szCs w:val="28"/>
        </w:rPr>
        <w:t>面向中小企业采购；</w:t>
      </w:r>
    </w:p>
    <w:p w14:paraId="0FA45922">
      <w:pPr>
        <w:spacing w:line="360" w:lineRule="auto"/>
        <w:ind w:firstLine="560" w:firstLineChars="200"/>
        <w:rPr>
          <w:rFonts w:hint="eastAsia" w:ascii="仿宋" w:eastAsia="仿宋"/>
          <w:sz w:val="28"/>
          <w:szCs w:val="28"/>
          <w:lang w:val="en-US" w:eastAsia="zh-CN"/>
        </w:rPr>
      </w:pPr>
      <w:r>
        <w:rPr>
          <w:rFonts w:hint="eastAsia" w:ascii="仿宋" w:eastAsia="仿宋"/>
          <w:sz w:val="28"/>
          <w:szCs w:val="28"/>
          <w:lang w:val="en-US" w:eastAsia="zh-CN"/>
        </w:rPr>
        <w:t>3.</w:t>
      </w:r>
      <w:r>
        <w:rPr>
          <w:rFonts w:hint="eastAsia" w:ascii="仿宋" w:hAnsi="仿宋" w:eastAsia="仿宋"/>
          <w:sz w:val="28"/>
          <w:szCs w:val="28"/>
        </w:rPr>
        <w:t>本项目特定的资格要求：无</w:t>
      </w:r>
    </w:p>
    <w:p w14:paraId="24D1EED0">
      <w:pPr>
        <w:spacing w:line="360" w:lineRule="auto"/>
        <w:ind w:firstLine="560" w:firstLineChars="200"/>
        <w:rPr>
          <w:rFonts w:ascii="仿宋" w:eastAsia="仿宋"/>
          <w:sz w:val="28"/>
          <w:szCs w:val="28"/>
        </w:rPr>
      </w:pPr>
      <w:r>
        <w:rPr>
          <w:rFonts w:hint="eastAsia" w:ascii="仿宋" w:eastAsia="仿宋"/>
          <w:sz w:val="28"/>
          <w:szCs w:val="28"/>
          <w:lang w:val="en-US" w:eastAsia="zh-CN"/>
        </w:rPr>
        <w:t>4.</w:t>
      </w:r>
      <w:r>
        <w:rPr>
          <w:rFonts w:hint="eastAsia" w:ascii="仿宋" w:eastAsia="仿宋"/>
          <w:sz w:val="28"/>
          <w:szCs w:val="28"/>
        </w:rPr>
        <w:t>对列入失信被执行人、</w:t>
      </w:r>
      <w:r>
        <w:rPr>
          <w:rFonts w:hint="eastAsia" w:ascii="仿宋" w:eastAsia="仿宋"/>
          <w:sz w:val="28"/>
          <w:szCs w:val="28"/>
          <w:lang w:eastAsia="zh-CN"/>
        </w:rPr>
        <w:t>重大税收违法案件主体</w:t>
      </w:r>
      <w:r>
        <w:rPr>
          <w:rFonts w:hint="eastAsia" w:ascii="仿宋" w:eastAsia="仿宋"/>
          <w:sz w:val="28"/>
          <w:szCs w:val="28"/>
        </w:rPr>
        <w:t>、政府采购严重违法失信行为记录名单的投标人，拒绝其参与政府采购活动。查询通道：“信用中国”网站（www.creditchina.gov.cn）、中国政府采购网（www.ccgp.gov.cn）等。截止时点：本项目招标公告发布之日起到投标截止时间期间；</w:t>
      </w:r>
    </w:p>
    <w:p w14:paraId="65B34AF3">
      <w:pPr>
        <w:pStyle w:val="27"/>
        <w:spacing w:line="360" w:lineRule="auto"/>
        <w:ind w:firstLine="560"/>
        <w:rPr>
          <w:rFonts w:hint="eastAsia" w:ascii="仿宋" w:hAnsi="仿宋" w:eastAsia="仿宋"/>
          <w:sz w:val="28"/>
          <w:szCs w:val="28"/>
          <w:lang w:eastAsia="zh-CN"/>
        </w:rPr>
      </w:pPr>
      <w:r>
        <w:rPr>
          <w:rFonts w:hint="eastAsia" w:ascii="仿宋" w:hAnsi="仿宋" w:eastAsia="仿宋"/>
          <w:sz w:val="28"/>
          <w:szCs w:val="28"/>
          <w:lang w:val="en-US" w:eastAsia="zh-CN"/>
        </w:rPr>
        <w:t>5.</w:t>
      </w:r>
      <w:r>
        <w:rPr>
          <w:rFonts w:hint="eastAsia" w:ascii="仿宋" w:hAnsi="仿宋" w:eastAsia="仿宋"/>
          <w:sz w:val="28"/>
          <w:szCs w:val="28"/>
        </w:rPr>
        <w:t>单位负责人为同一人或存在直接控股、管理关系的不同投标人，不得参加同一合同项下的政府采购活动</w:t>
      </w:r>
      <w:r>
        <w:rPr>
          <w:rFonts w:hint="eastAsia" w:ascii="仿宋" w:hAnsi="仿宋" w:eastAsia="仿宋"/>
          <w:sz w:val="28"/>
          <w:szCs w:val="28"/>
          <w:lang w:eastAsia="zh-CN"/>
        </w:rPr>
        <w:t>。</w:t>
      </w:r>
    </w:p>
    <w:p w14:paraId="45C948E4">
      <w:pPr>
        <w:adjustRightInd w:val="0"/>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三、获取招标文件</w:t>
      </w:r>
    </w:p>
    <w:p w14:paraId="2E5AD07E">
      <w:pPr>
        <w:tabs>
          <w:tab w:val="left" w:pos="-360"/>
        </w:tabs>
        <w:autoSpaceDE w:val="0"/>
        <w:autoSpaceDN w:val="0"/>
        <w:spacing w:line="360" w:lineRule="auto"/>
        <w:ind w:firstLine="560" w:firstLineChars="200"/>
        <w:textAlignment w:val="bottom"/>
        <w:rPr>
          <w:rFonts w:hint="eastAsia" w:ascii="仿宋" w:hAnsi="仿宋" w:eastAsia="仿宋"/>
          <w:sz w:val="28"/>
          <w:szCs w:val="28"/>
          <w:highlight w:val="none"/>
        </w:rPr>
      </w:pPr>
      <w:r>
        <w:rPr>
          <w:rFonts w:hint="eastAsia" w:ascii="仿宋" w:hAnsi="仿宋" w:eastAsia="仿宋"/>
          <w:sz w:val="28"/>
          <w:szCs w:val="28"/>
          <w:highlight w:val="none"/>
        </w:rPr>
        <w:t>1.时间：202</w:t>
      </w:r>
      <w:r>
        <w:rPr>
          <w:rFonts w:hint="eastAsia" w:ascii="仿宋" w:hAnsi="仿宋" w:eastAsia="仿宋"/>
          <w:sz w:val="28"/>
          <w:szCs w:val="28"/>
          <w:highlight w:val="none"/>
          <w:lang w:val="en-US" w:eastAsia="zh-CN"/>
        </w:rPr>
        <w:t>5</w:t>
      </w:r>
      <w:r>
        <w:rPr>
          <w:rFonts w:hint="eastAsia" w:ascii="仿宋" w:hAnsi="仿宋" w:eastAsia="仿宋"/>
          <w:sz w:val="28"/>
          <w:szCs w:val="28"/>
          <w:highlight w:val="none"/>
        </w:rPr>
        <w:t>年</w:t>
      </w:r>
      <w:r>
        <w:rPr>
          <w:rFonts w:hint="eastAsia" w:ascii="仿宋" w:hAnsi="仿宋" w:eastAsia="仿宋"/>
          <w:sz w:val="28"/>
          <w:szCs w:val="28"/>
          <w:highlight w:val="none"/>
          <w:lang w:val="en-US" w:eastAsia="zh-CN"/>
        </w:rPr>
        <w:t>03</w:t>
      </w:r>
      <w:r>
        <w:rPr>
          <w:rFonts w:hint="eastAsia" w:ascii="仿宋" w:hAnsi="仿宋" w:eastAsia="仿宋"/>
          <w:sz w:val="28"/>
          <w:szCs w:val="28"/>
          <w:highlight w:val="none"/>
        </w:rPr>
        <w:t>月</w:t>
      </w:r>
      <w:r>
        <w:rPr>
          <w:rFonts w:hint="eastAsia" w:ascii="仿宋" w:hAnsi="仿宋" w:eastAsia="仿宋"/>
          <w:sz w:val="28"/>
          <w:szCs w:val="28"/>
          <w:highlight w:val="none"/>
          <w:lang w:val="en-US" w:eastAsia="zh-CN"/>
        </w:rPr>
        <w:t>05</w:t>
      </w:r>
      <w:r>
        <w:rPr>
          <w:rFonts w:hint="eastAsia" w:ascii="仿宋" w:hAnsi="仿宋" w:eastAsia="仿宋"/>
          <w:sz w:val="28"/>
          <w:szCs w:val="28"/>
          <w:highlight w:val="none"/>
        </w:rPr>
        <w:t>日至202</w:t>
      </w:r>
      <w:r>
        <w:rPr>
          <w:rFonts w:hint="eastAsia" w:ascii="仿宋" w:hAnsi="仿宋" w:eastAsia="仿宋"/>
          <w:sz w:val="28"/>
          <w:szCs w:val="28"/>
          <w:highlight w:val="none"/>
          <w:lang w:val="en-US" w:eastAsia="zh-CN"/>
        </w:rPr>
        <w:t>5</w:t>
      </w:r>
      <w:r>
        <w:rPr>
          <w:rFonts w:hint="eastAsia" w:ascii="仿宋" w:hAnsi="仿宋" w:eastAsia="仿宋"/>
          <w:sz w:val="28"/>
          <w:szCs w:val="28"/>
          <w:highlight w:val="none"/>
        </w:rPr>
        <w:t>年</w:t>
      </w:r>
      <w:r>
        <w:rPr>
          <w:rFonts w:hint="eastAsia" w:ascii="仿宋" w:hAnsi="仿宋" w:eastAsia="仿宋"/>
          <w:sz w:val="28"/>
          <w:szCs w:val="28"/>
          <w:highlight w:val="none"/>
          <w:lang w:val="en-US" w:eastAsia="zh-CN"/>
        </w:rPr>
        <w:t>03</w:t>
      </w:r>
      <w:r>
        <w:rPr>
          <w:rFonts w:hint="eastAsia" w:ascii="仿宋" w:hAnsi="仿宋" w:eastAsia="仿宋"/>
          <w:sz w:val="28"/>
          <w:szCs w:val="28"/>
          <w:highlight w:val="none"/>
        </w:rPr>
        <w:t>月</w:t>
      </w:r>
      <w:r>
        <w:rPr>
          <w:rFonts w:hint="eastAsia" w:ascii="仿宋" w:hAnsi="仿宋" w:eastAsia="仿宋"/>
          <w:sz w:val="28"/>
          <w:szCs w:val="28"/>
          <w:highlight w:val="none"/>
          <w:lang w:val="en-US" w:eastAsia="zh-CN"/>
        </w:rPr>
        <w:t>12</w:t>
      </w:r>
      <w:r>
        <w:rPr>
          <w:rFonts w:hint="eastAsia" w:ascii="仿宋" w:hAnsi="仿宋" w:eastAsia="仿宋"/>
          <w:sz w:val="28"/>
          <w:szCs w:val="28"/>
          <w:highlight w:val="none"/>
        </w:rPr>
        <w:t>日23:59分</w:t>
      </w:r>
    </w:p>
    <w:p w14:paraId="7D5199D0">
      <w:pPr>
        <w:tabs>
          <w:tab w:val="left" w:pos="-360"/>
        </w:tabs>
        <w:autoSpaceDE w:val="0"/>
        <w:autoSpaceDN w:val="0"/>
        <w:spacing w:line="360" w:lineRule="auto"/>
        <w:ind w:firstLine="560" w:firstLineChars="200"/>
        <w:textAlignment w:val="bottom"/>
        <w:rPr>
          <w:rFonts w:hint="eastAsia" w:ascii="仿宋" w:hAnsi="仿宋" w:eastAsia="仿宋"/>
          <w:sz w:val="28"/>
          <w:szCs w:val="28"/>
        </w:rPr>
      </w:pPr>
      <w:r>
        <w:rPr>
          <w:rFonts w:hint="eastAsia" w:ascii="仿宋" w:hAnsi="仿宋" w:eastAsia="仿宋"/>
          <w:sz w:val="28"/>
          <w:szCs w:val="28"/>
        </w:rPr>
        <w:t>2.地点：政采云平台线上获取</w:t>
      </w:r>
    </w:p>
    <w:p w14:paraId="0D57E8EB">
      <w:pPr>
        <w:tabs>
          <w:tab w:val="left" w:pos="-360"/>
        </w:tabs>
        <w:autoSpaceDE w:val="0"/>
        <w:autoSpaceDN w:val="0"/>
        <w:spacing w:line="360" w:lineRule="auto"/>
        <w:ind w:firstLine="560" w:firstLineChars="200"/>
        <w:jc w:val="left"/>
        <w:textAlignment w:val="bottom"/>
        <w:rPr>
          <w:rFonts w:hint="eastAsia" w:ascii="仿宋" w:hAnsi="仿宋" w:eastAsia="仿宋"/>
          <w:sz w:val="28"/>
          <w:szCs w:val="28"/>
        </w:rPr>
      </w:pPr>
      <w:r>
        <w:rPr>
          <w:rFonts w:hint="eastAsia" w:ascii="仿宋" w:hAnsi="仿宋" w:eastAsia="仿宋"/>
          <w:sz w:val="28"/>
          <w:szCs w:val="28"/>
        </w:rPr>
        <w:t>3.方式：网上免费获取</w:t>
      </w:r>
      <w:r>
        <w:rPr>
          <w:rFonts w:hint="eastAsia" w:ascii="仿宋" w:hAnsi="仿宋" w:eastAsia="仿宋"/>
          <w:sz w:val="28"/>
          <w:szCs w:val="28"/>
          <w:lang w:val="en-US" w:eastAsia="zh-CN"/>
        </w:rPr>
        <w:t>[</w:t>
      </w:r>
      <w:r>
        <w:rPr>
          <w:rFonts w:hint="eastAsia" w:ascii="仿宋" w:hAnsi="仿宋" w:eastAsia="仿宋"/>
          <w:sz w:val="28"/>
          <w:szCs w:val="28"/>
        </w:rPr>
        <w:t>潜在</w:t>
      </w:r>
      <w:r>
        <w:rPr>
          <w:rFonts w:hint="eastAsia" w:ascii="仿宋" w:hAnsi="仿宋" w:eastAsia="仿宋"/>
          <w:sz w:val="28"/>
          <w:szCs w:val="28"/>
          <w:lang w:eastAsia="zh-CN"/>
        </w:rPr>
        <w:t>投标人</w:t>
      </w:r>
      <w:r>
        <w:rPr>
          <w:rFonts w:hint="eastAsia" w:ascii="仿宋" w:hAnsi="仿宋" w:eastAsia="仿宋"/>
          <w:sz w:val="28"/>
          <w:szCs w:val="28"/>
        </w:rPr>
        <w:t>自行登录政府采购云平台（网址：http:// www.zcygov.cn）网上注册（https://middle.zcygov.cn/v-settle-front/registry）并下载招标文件，其他途径获取的招标文件开标时一律按无效投标处理</w:t>
      </w:r>
      <w:r>
        <w:rPr>
          <w:rFonts w:hint="eastAsia" w:ascii="仿宋" w:hAnsi="仿宋" w:eastAsia="仿宋"/>
          <w:sz w:val="28"/>
          <w:szCs w:val="28"/>
          <w:lang w:val="en-US" w:eastAsia="zh-CN"/>
        </w:rPr>
        <w:t>]</w:t>
      </w:r>
      <w:r>
        <w:rPr>
          <w:rFonts w:hint="eastAsia" w:ascii="仿宋" w:hAnsi="仿宋" w:eastAsia="仿宋"/>
          <w:sz w:val="28"/>
          <w:szCs w:val="28"/>
        </w:rPr>
        <w:t>。</w:t>
      </w:r>
    </w:p>
    <w:p w14:paraId="661E6BFE">
      <w:pPr>
        <w:adjustRightInd w:val="0"/>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四、提交投标文件截止时间、开标时间和地点</w:t>
      </w:r>
    </w:p>
    <w:p w14:paraId="23D74FD3">
      <w:pPr>
        <w:tabs>
          <w:tab w:val="left" w:pos="-360"/>
        </w:tabs>
        <w:autoSpaceDE w:val="0"/>
        <w:autoSpaceDN w:val="0"/>
        <w:spacing w:line="360" w:lineRule="auto"/>
        <w:ind w:firstLine="560" w:firstLineChars="200"/>
        <w:textAlignment w:val="bottom"/>
        <w:rPr>
          <w:rFonts w:hint="default" w:ascii="仿宋" w:hAnsi="仿宋" w:eastAsia="仿宋"/>
          <w:sz w:val="28"/>
          <w:szCs w:val="28"/>
          <w:highlight w:val="none"/>
        </w:rPr>
      </w:pPr>
      <w:r>
        <w:rPr>
          <w:rFonts w:hint="eastAsia" w:ascii="仿宋" w:hAnsi="仿宋" w:eastAsia="仿宋"/>
          <w:sz w:val="28"/>
          <w:szCs w:val="28"/>
          <w:highlight w:val="none"/>
        </w:rPr>
        <w:t>1.截止时间</w:t>
      </w:r>
      <w:r>
        <w:rPr>
          <w:rFonts w:hint="eastAsia" w:ascii="仿宋" w:hAnsi="仿宋" w:eastAsia="仿宋"/>
          <w:color w:val="auto"/>
          <w:sz w:val="28"/>
          <w:szCs w:val="28"/>
          <w:highlight w:val="none"/>
        </w:rPr>
        <w:t>：</w:t>
      </w:r>
      <w:r>
        <w:rPr>
          <w:rFonts w:hint="eastAsia" w:ascii="仿宋" w:hAnsi="仿宋" w:eastAsia="仿宋" w:cs="Times New Roman"/>
          <w:color w:val="auto"/>
          <w:sz w:val="28"/>
          <w:szCs w:val="28"/>
          <w:highlight w:val="none"/>
          <w:lang w:val="en-US" w:eastAsia="zh-CN"/>
        </w:rPr>
        <w:t>2025年03月26日13时00分</w:t>
      </w:r>
      <w:r>
        <w:rPr>
          <w:rFonts w:hint="eastAsia" w:ascii="仿宋" w:hAnsi="仿宋" w:eastAsia="仿宋"/>
          <w:color w:val="auto"/>
          <w:sz w:val="28"/>
          <w:szCs w:val="28"/>
          <w:highlight w:val="none"/>
        </w:rPr>
        <w:t>（北京时间）。</w:t>
      </w:r>
    </w:p>
    <w:p w14:paraId="09876047">
      <w:pPr>
        <w:tabs>
          <w:tab w:val="left" w:pos="-360"/>
        </w:tabs>
        <w:autoSpaceDE w:val="0"/>
        <w:autoSpaceDN w:val="0"/>
        <w:spacing w:line="360" w:lineRule="auto"/>
        <w:ind w:firstLine="560" w:firstLineChars="200"/>
        <w:textAlignment w:val="bottom"/>
        <w:rPr>
          <w:rFonts w:hint="eastAsia" w:ascii="仿宋" w:hAnsi="仿宋" w:eastAsia="仿宋" w:cs="Times New Roman"/>
          <w:color w:val="0000FF"/>
          <w:sz w:val="28"/>
          <w:szCs w:val="28"/>
          <w:lang w:val="en-US" w:eastAsia="zh-CN"/>
        </w:rPr>
      </w:pPr>
      <w:r>
        <w:rPr>
          <w:rFonts w:hint="eastAsia" w:ascii="仿宋" w:hAnsi="仿宋" w:eastAsia="仿宋"/>
          <w:sz w:val="28"/>
          <w:szCs w:val="28"/>
        </w:rPr>
        <w:t>2.地点：政采云平台（https://www.zcygov.cn/）。</w:t>
      </w:r>
    </w:p>
    <w:p w14:paraId="5AFC7C3F">
      <w:pPr>
        <w:tabs>
          <w:tab w:val="left" w:pos="-360"/>
        </w:tabs>
        <w:autoSpaceDE w:val="0"/>
        <w:autoSpaceDN w:val="0"/>
        <w:spacing w:line="360" w:lineRule="auto"/>
        <w:ind w:firstLine="560" w:firstLineChars="200"/>
        <w:textAlignment w:val="bottom"/>
        <w:rPr>
          <w:rFonts w:hint="eastAsia" w:ascii="仿宋" w:hAnsi="仿宋" w:eastAsia="仿宋"/>
          <w:sz w:val="28"/>
          <w:szCs w:val="28"/>
        </w:rPr>
      </w:pPr>
      <w:r>
        <w:rPr>
          <w:rFonts w:hint="eastAsia" w:ascii="仿宋" w:hAnsi="仿宋" w:eastAsia="仿宋"/>
          <w:sz w:val="28"/>
          <w:szCs w:val="28"/>
        </w:rPr>
        <w:t>3.投标文件的提交方式：本项目为全流程电子化项目，通过政采云平台（https://www.zcygov.cn/）实行在线电子投标，投标人应先安装“政采云投标客户端”（请自行前往政采云平台进行下载），并按照本项目招标文件和政采云平台的要求编制、加密后在提交投标文件截止时间、开标时间前通过网络上传至政采云平台，投标人在政采云平台提交电子投标文件时，请填写参加开标活动经办人联系方式；在制作投标文件前，投标人需申领CA，领取CA后与政采云平台的账号进行绑定，使用CA对投标文件进行签章，否则，有可能导致无法在线编制投标文件和参与投标，其后果由投标人自行承担。</w:t>
      </w:r>
    </w:p>
    <w:p w14:paraId="07BD0684">
      <w:pPr>
        <w:tabs>
          <w:tab w:val="left" w:pos="-360"/>
        </w:tabs>
        <w:autoSpaceDE w:val="0"/>
        <w:autoSpaceDN w:val="0"/>
        <w:spacing w:line="360" w:lineRule="auto"/>
        <w:ind w:firstLine="560" w:firstLineChars="200"/>
        <w:textAlignment w:val="bottom"/>
        <w:rPr>
          <w:rFonts w:hint="default" w:ascii="仿宋" w:hAnsi="仿宋" w:eastAsia="仿宋"/>
          <w:color w:val="auto"/>
          <w:sz w:val="28"/>
          <w:szCs w:val="28"/>
          <w:highlight w:val="none"/>
        </w:rPr>
      </w:pPr>
      <w:r>
        <w:rPr>
          <w:rFonts w:hint="default" w:ascii="仿宋" w:hAnsi="仿宋" w:eastAsia="仿宋"/>
          <w:sz w:val="28"/>
          <w:szCs w:val="28"/>
          <w:highlight w:val="none"/>
        </w:rPr>
        <w:t>4</w:t>
      </w:r>
      <w:r>
        <w:rPr>
          <w:rFonts w:hint="eastAsia" w:ascii="仿宋" w:hAnsi="仿宋" w:eastAsia="仿宋"/>
          <w:sz w:val="28"/>
          <w:szCs w:val="28"/>
          <w:highlight w:val="none"/>
          <w:lang w:val="en-US" w:eastAsia="zh-CN"/>
        </w:rPr>
        <w:t>.</w:t>
      </w:r>
      <w:r>
        <w:rPr>
          <w:rFonts w:hint="default" w:ascii="仿宋" w:hAnsi="仿宋" w:eastAsia="仿宋"/>
          <w:sz w:val="28"/>
          <w:szCs w:val="28"/>
          <w:highlight w:val="none"/>
        </w:rPr>
        <w:t>开标地点：长春市高新区鸿达街248号吉林日报副楼4楼</w:t>
      </w:r>
      <w:r>
        <w:rPr>
          <w:rFonts w:hint="default" w:ascii="仿宋" w:hAnsi="仿宋" w:eastAsia="仿宋"/>
          <w:sz w:val="28"/>
          <w:szCs w:val="28"/>
          <w:highlight w:val="none"/>
          <w:lang w:eastAsia="zh-CN"/>
        </w:rPr>
        <w:t>吉利招平</w:t>
      </w:r>
      <w:r>
        <w:rPr>
          <w:rFonts w:hint="default" w:ascii="仿宋" w:hAnsi="仿宋" w:eastAsia="仿宋"/>
          <w:color w:val="auto"/>
          <w:sz w:val="28"/>
          <w:szCs w:val="28"/>
          <w:highlight w:val="none"/>
          <w:lang w:eastAsia="zh-CN"/>
        </w:rPr>
        <w:t>台</w:t>
      </w:r>
      <w:r>
        <w:rPr>
          <w:rFonts w:hint="default" w:ascii="仿宋" w:hAnsi="仿宋" w:eastAsia="仿宋" w:cs="Times New Roman"/>
          <w:color w:val="auto"/>
          <w:sz w:val="28"/>
          <w:szCs w:val="28"/>
          <w:highlight w:val="none"/>
          <w:lang w:val="en-US" w:eastAsia="zh-CN"/>
        </w:rPr>
        <w:t>第</w:t>
      </w:r>
      <w:r>
        <w:rPr>
          <w:rFonts w:hint="eastAsia" w:ascii="仿宋" w:hAnsi="仿宋" w:eastAsia="仿宋" w:cs="Times New Roman"/>
          <w:color w:val="auto"/>
          <w:sz w:val="28"/>
          <w:szCs w:val="28"/>
          <w:highlight w:val="none"/>
          <w:lang w:val="en-US" w:eastAsia="zh-CN"/>
        </w:rPr>
        <w:t>三</w:t>
      </w:r>
      <w:r>
        <w:rPr>
          <w:rFonts w:hint="default" w:ascii="仿宋" w:hAnsi="仿宋" w:eastAsia="仿宋" w:cs="Times New Roman"/>
          <w:color w:val="auto"/>
          <w:sz w:val="28"/>
          <w:szCs w:val="28"/>
          <w:highlight w:val="none"/>
          <w:lang w:val="en-US" w:eastAsia="zh-CN"/>
        </w:rPr>
        <w:t>开标室。</w:t>
      </w:r>
      <w:bookmarkStart w:id="10" w:name="_GoBack"/>
      <w:bookmarkEnd w:id="10"/>
    </w:p>
    <w:p w14:paraId="4989B009">
      <w:pPr>
        <w:adjustRightInd w:val="0"/>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五、公告期限</w:t>
      </w:r>
    </w:p>
    <w:p w14:paraId="7FC66C09">
      <w:pPr>
        <w:spacing w:line="360" w:lineRule="auto"/>
        <w:ind w:firstLine="560" w:firstLineChars="200"/>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自本公告发布之日起5个工作日。</w:t>
      </w:r>
    </w:p>
    <w:p w14:paraId="6DA6C403">
      <w:pPr>
        <w:spacing w:line="360" w:lineRule="auto"/>
        <w:rPr>
          <w:rFonts w:ascii="黑体" w:hAnsi="黑体" w:eastAsia="黑体" w:cs="宋体"/>
          <w:bCs/>
          <w:color w:val="auto"/>
          <w:sz w:val="28"/>
          <w:szCs w:val="28"/>
          <w:highlight w:val="none"/>
        </w:rPr>
      </w:pPr>
      <w:r>
        <w:rPr>
          <w:rFonts w:hint="eastAsia" w:ascii="黑体" w:hAnsi="黑体" w:eastAsia="黑体" w:cs="宋体"/>
          <w:bCs/>
          <w:color w:val="auto"/>
          <w:sz w:val="28"/>
          <w:szCs w:val="28"/>
          <w:highlight w:val="none"/>
        </w:rPr>
        <w:t>六、其他补充事宜</w:t>
      </w:r>
    </w:p>
    <w:p w14:paraId="5CEACC9F">
      <w:pPr>
        <w:pStyle w:val="50"/>
        <w:spacing w:line="360" w:lineRule="auto"/>
        <w:ind w:firstLine="560"/>
        <w:rPr>
          <w:rFonts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1</w:t>
      </w:r>
      <w:r>
        <w:rPr>
          <w:rFonts w:hint="eastAsia" w:ascii="仿宋" w:hAnsi="仿宋" w:eastAsia="仿宋" w:cs="宋体"/>
          <w:color w:val="auto"/>
          <w:kern w:val="0"/>
          <w:sz w:val="28"/>
          <w:szCs w:val="28"/>
          <w:highlight w:val="none"/>
          <w:lang w:val="en-US" w:eastAsia="zh-CN"/>
        </w:rPr>
        <w:t>.</w:t>
      </w:r>
      <w:r>
        <w:rPr>
          <w:rFonts w:hint="eastAsia" w:ascii="仿宋" w:hAnsi="仿宋" w:eastAsia="仿宋" w:cs="宋体"/>
          <w:color w:val="auto"/>
          <w:kern w:val="0"/>
          <w:sz w:val="28"/>
          <w:szCs w:val="28"/>
          <w:highlight w:val="none"/>
        </w:rPr>
        <w:t>采购项目需要落实的政府采购政策:《政府采购促进中小企业发展管理办法》（财库[2020]46号）、《关于政府采购支持监狱企业发展有关问题的通知》(财库[2014]68号)、《三部门联合发布关于促进残疾人就业政府采购政策的通知》(财库[2017]141号)、《关于调整优化节能产品、环境标志产品政府采购执行机制的通知》(财库[2019]9号)、《关于运用政府采购政策支持脱贫攻坚的通知》（财库〔2019〕27号）等相关政策文件等。</w:t>
      </w:r>
    </w:p>
    <w:p w14:paraId="639E4D35">
      <w:pPr>
        <w:pStyle w:val="50"/>
        <w:spacing w:line="360" w:lineRule="auto"/>
        <w:ind w:firstLine="560"/>
        <w:rPr>
          <w:rFonts w:hint="eastAsia"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rPr>
        <w:t>2</w:t>
      </w:r>
      <w:r>
        <w:rPr>
          <w:rFonts w:hint="eastAsia" w:ascii="仿宋" w:hAnsi="仿宋" w:eastAsia="仿宋" w:cs="宋体"/>
          <w:color w:val="auto"/>
          <w:kern w:val="0"/>
          <w:sz w:val="28"/>
          <w:szCs w:val="28"/>
          <w:highlight w:val="none"/>
          <w:lang w:val="en-US" w:eastAsia="zh-CN"/>
        </w:rPr>
        <w:t>.</w:t>
      </w:r>
      <w:r>
        <w:rPr>
          <w:rFonts w:hint="eastAsia" w:ascii="仿宋" w:hAnsi="仿宋" w:eastAsia="仿宋" w:cs="宋体"/>
          <w:color w:val="auto"/>
          <w:kern w:val="0"/>
          <w:sz w:val="28"/>
          <w:szCs w:val="28"/>
          <w:highlight w:val="none"/>
        </w:rPr>
        <w:t>投标保证金金额：人民币</w:t>
      </w:r>
      <w:r>
        <w:rPr>
          <w:rFonts w:hint="eastAsia" w:ascii="仿宋" w:hAnsi="仿宋" w:eastAsia="仿宋" w:cs="宋体"/>
          <w:color w:val="auto"/>
          <w:kern w:val="0"/>
          <w:sz w:val="28"/>
          <w:szCs w:val="28"/>
          <w:highlight w:val="none"/>
          <w:lang w:val="en-US" w:eastAsia="zh-CN"/>
        </w:rPr>
        <w:t>26900</w:t>
      </w:r>
      <w:r>
        <w:rPr>
          <w:rFonts w:hint="eastAsia" w:ascii="仿宋" w:hAnsi="仿宋" w:eastAsia="仿宋" w:cs="宋体"/>
          <w:color w:val="auto"/>
          <w:kern w:val="0"/>
          <w:sz w:val="28"/>
          <w:szCs w:val="28"/>
          <w:highlight w:val="none"/>
        </w:rPr>
        <w:t>元。</w:t>
      </w:r>
    </w:p>
    <w:p w14:paraId="02363DFE">
      <w:pPr>
        <w:pStyle w:val="50"/>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3.</w:t>
      </w:r>
      <w:r>
        <w:rPr>
          <w:rFonts w:hint="eastAsia" w:ascii="仿宋" w:hAnsi="仿宋" w:eastAsia="仿宋" w:cs="宋体"/>
          <w:color w:val="auto"/>
          <w:kern w:val="0"/>
          <w:sz w:val="28"/>
          <w:szCs w:val="28"/>
          <w:highlight w:val="none"/>
          <w:lang w:eastAsia="zh-CN"/>
        </w:rPr>
        <w:t>投标人</w:t>
      </w:r>
      <w:r>
        <w:rPr>
          <w:rFonts w:hint="eastAsia" w:ascii="仿宋" w:hAnsi="仿宋" w:eastAsia="仿宋" w:cs="宋体"/>
          <w:color w:val="auto"/>
          <w:kern w:val="0"/>
          <w:sz w:val="28"/>
          <w:szCs w:val="28"/>
          <w:highlight w:val="none"/>
        </w:rPr>
        <w:t>在政府采购云平台网注册入库成为正式</w:t>
      </w:r>
      <w:r>
        <w:rPr>
          <w:rFonts w:hint="eastAsia" w:ascii="仿宋" w:hAnsi="仿宋" w:eastAsia="仿宋" w:cs="宋体"/>
          <w:color w:val="auto"/>
          <w:kern w:val="0"/>
          <w:sz w:val="28"/>
          <w:szCs w:val="28"/>
          <w:highlight w:val="none"/>
          <w:lang w:eastAsia="zh-CN"/>
        </w:rPr>
        <w:t>投标人</w:t>
      </w:r>
      <w:r>
        <w:rPr>
          <w:rFonts w:hint="eastAsia" w:ascii="仿宋" w:hAnsi="仿宋" w:eastAsia="仿宋" w:cs="宋体"/>
          <w:color w:val="auto"/>
          <w:kern w:val="0"/>
          <w:sz w:val="28"/>
          <w:szCs w:val="28"/>
          <w:highlight w:val="none"/>
        </w:rPr>
        <w:t>后，在平台上按《政府采购项目电子交易管理操作指南－</w:t>
      </w:r>
      <w:r>
        <w:rPr>
          <w:rFonts w:hint="eastAsia" w:ascii="仿宋" w:hAnsi="仿宋" w:eastAsia="仿宋" w:cs="宋体"/>
          <w:color w:val="auto"/>
          <w:kern w:val="0"/>
          <w:sz w:val="28"/>
          <w:szCs w:val="28"/>
          <w:highlight w:val="none"/>
          <w:lang w:eastAsia="zh-CN"/>
        </w:rPr>
        <w:t>投标人</w:t>
      </w:r>
      <w:r>
        <w:rPr>
          <w:rFonts w:hint="eastAsia" w:ascii="仿宋" w:hAnsi="仿宋" w:eastAsia="仿宋" w:cs="宋体"/>
          <w:color w:val="auto"/>
          <w:kern w:val="0"/>
          <w:sz w:val="28"/>
          <w:szCs w:val="28"/>
          <w:highlight w:val="none"/>
        </w:rPr>
        <w:t>》进行投标操作。投标人须办理数字证书方可参加投标。</w:t>
      </w:r>
    </w:p>
    <w:p w14:paraId="14C0190B">
      <w:pPr>
        <w:pStyle w:val="50"/>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4.</w:t>
      </w:r>
      <w:r>
        <w:rPr>
          <w:rFonts w:hint="eastAsia" w:ascii="仿宋" w:hAnsi="仿宋" w:eastAsia="仿宋" w:cs="宋体"/>
          <w:color w:val="auto"/>
          <w:kern w:val="0"/>
          <w:sz w:val="28"/>
          <w:szCs w:val="28"/>
          <w:highlight w:val="none"/>
        </w:rPr>
        <w:t>收到CA锁以后在“政采云”登录界面，点击CA登录-CA驱动下载－下载并安装政采云投标客户端和CA驱动，账号绑定CA后才能进行投标文件制作。</w:t>
      </w:r>
    </w:p>
    <w:p w14:paraId="65928C16">
      <w:pPr>
        <w:pStyle w:val="50"/>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5.</w:t>
      </w:r>
      <w:r>
        <w:rPr>
          <w:rFonts w:hint="eastAsia" w:ascii="仿宋" w:hAnsi="仿宋" w:eastAsia="仿宋" w:cs="宋体"/>
          <w:color w:val="auto"/>
          <w:kern w:val="0"/>
          <w:sz w:val="28"/>
          <w:szCs w:val="28"/>
          <w:highlight w:val="none"/>
        </w:rPr>
        <w:t>若对项目采购电子交易系统操作有疑问，可登录“政采云”平台，点击右侧咨询小采，获取采小蜜智能服务管家帮助，或拨打政采云服务热线95763获取帮助。</w:t>
      </w:r>
    </w:p>
    <w:p w14:paraId="039908EA">
      <w:pPr>
        <w:pStyle w:val="50"/>
        <w:spacing w:line="360" w:lineRule="auto"/>
        <w:ind w:firstLine="560"/>
        <w:rPr>
          <w:rFonts w:hint="default" w:ascii="仿宋" w:hAnsi="仿宋" w:eastAsia="仿宋" w:cs="宋体"/>
          <w:color w:val="auto"/>
          <w:kern w:val="0"/>
          <w:sz w:val="28"/>
          <w:szCs w:val="28"/>
          <w:highlight w:val="none"/>
        </w:rPr>
      </w:pPr>
      <w:r>
        <w:rPr>
          <w:rFonts w:hint="eastAsia" w:ascii="仿宋" w:hAnsi="仿宋" w:eastAsia="仿宋" w:cs="宋体"/>
          <w:color w:val="auto"/>
          <w:kern w:val="0"/>
          <w:sz w:val="28"/>
          <w:szCs w:val="28"/>
          <w:highlight w:val="none"/>
          <w:lang w:val="en-US" w:eastAsia="zh-CN"/>
        </w:rPr>
        <w:t>6.</w:t>
      </w:r>
      <w:r>
        <w:rPr>
          <w:rFonts w:hint="eastAsia" w:ascii="仿宋" w:hAnsi="仿宋" w:eastAsia="仿宋" w:cs="宋体"/>
          <w:color w:val="auto"/>
          <w:kern w:val="0"/>
          <w:sz w:val="28"/>
          <w:szCs w:val="28"/>
          <w:highlight w:val="none"/>
        </w:rPr>
        <w:t>有效投标人不足三家时，招标人另行组织招标。</w:t>
      </w:r>
    </w:p>
    <w:p w14:paraId="1D888218">
      <w:pPr>
        <w:spacing w:line="360" w:lineRule="auto"/>
        <w:rPr>
          <w:rFonts w:ascii="黑体" w:hAnsi="黑体" w:eastAsia="黑体" w:cs="宋体"/>
          <w:bCs/>
          <w:sz w:val="28"/>
          <w:szCs w:val="28"/>
        </w:rPr>
      </w:pPr>
      <w:r>
        <w:rPr>
          <w:rFonts w:hint="eastAsia" w:ascii="黑体" w:hAnsi="黑体" w:eastAsia="黑体" w:cs="宋体"/>
          <w:b w:val="0"/>
          <w:bCs/>
          <w:kern w:val="2"/>
          <w:sz w:val="28"/>
          <w:szCs w:val="28"/>
          <w:lang w:val="en-US" w:eastAsia="zh-CN" w:bidi="ar-SA"/>
        </w:rPr>
        <w:t>七、公示媒介</w:t>
      </w:r>
    </w:p>
    <w:p w14:paraId="2ECC6CC9">
      <w:pPr>
        <w:spacing w:line="360" w:lineRule="auto"/>
        <w:ind w:firstLine="560" w:firstLineChars="200"/>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公示媒介：《政采云平台（https://www.zcygov.cn/）》（同步推送到吉林省政府采购网）、</w:t>
      </w:r>
      <w:r>
        <w:rPr>
          <w:rFonts w:hint="eastAsia" w:ascii="仿宋" w:hAnsi="仿宋" w:eastAsia="仿宋" w:cs="宋体"/>
          <w:color w:val="auto"/>
          <w:sz w:val="28"/>
          <w:szCs w:val="28"/>
          <w:highlight w:val="none"/>
          <w:lang w:eastAsia="zh-CN"/>
        </w:rPr>
        <w:t>《中国财经报网》</w:t>
      </w:r>
      <w:r>
        <w:rPr>
          <w:rFonts w:hint="eastAsia" w:ascii="仿宋" w:hAnsi="仿宋" w:eastAsia="仿宋" w:cs="宋体"/>
          <w:color w:val="auto"/>
          <w:sz w:val="28"/>
          <w:szCs w:val="28"/>
          <w:highlight w:val="none"/>
        </w:rPr>
        <w:t>上同时发布。</w:t>
      </w:r>
    </w:p>
    <w:p w14:paraId="2E5FA05A">
      <w:pPr>
        <w:pStyle w:val="3"/>
        <w:spacing w:line="360" w:lineRule="auto"/>
        <w:rPr>
          <w:rFonts w:hint="default" w:ascii="黑体" w:hAnsi="黑体" w:cs="宋体"/>
          <w:b w:val="0"/>
          <w:color w:val="auto"/>
          <w:sz w:val="28"/>
          <w:szCs w:val="28"/>
          <w:highlight w:val="none"/>
        </w:rPr>
      </w:pPr>
      <w:r>
        <w:rPr>
          <w:rFonts w:hint="eastAsia" w:ascii="黑体" w:hAnsi="黑体" w:cs="宋体"/>
          <w:b w:val="0"/>
          <w:color w:val="auto"/>
          <w:sz w:val="28"/>
          <w:szCs w:val="28"/>
          <w:highlight w:val="none"/>
          <w:lang w:eastAsia="zh-CN"/>
        </w:rPr>
        <w:t>八</w:t>
      </w:r>
      <w:r>
        <w:rPr>
          <w:rFonts w:ascii="黑体" w:hAnsi="黑体" w:cs="宋体"/>
          <w:b w:val="0"/>
          <w:color w:val="auto"/>
          <w:sz w:val="28"/>
          <w:szCs w:val="28"/>
          <w:highlight w:val="none"/>
        </w:rPr>
        <w:t>、对本次招标提出询问，请按以下方式联系。</w:t>
      </w:r>
    </w:p>
    <w:p w14:paraId="1F668635">
      <w:pPr>
        <w:spacing w:line="360" w:lineRule="auto"/>
        <w:ind w:firstLine="560" w:firstLineChars="200"/>
        <w:jc w:val="left"/>
        <w:rPr>
          <w:rFonts w:ascii="仿宋" w:hAnsi="仿宋" w:eastAsia="仿宋" w:cs="宋体"/>
          <w:color w:val="auto"/>
          <w:sz w:val="28"/>
          <w:szCs w:val="28"/>
          <w:highlight w:val="none"/>
        </w:rPr>
      </w:pPr>
      <w:r>
        <w:rPr>
          <w:rFonts w:hint="eastAsia" w:ascii="仿宋" w:hAnsi="仿宋" w:eastAsia="仿宋" w:cs="宋体"/>
          <w:color w:val="auto"/>
          <w:sz w:val="28"/>
          <w:szCs w:val="28"/>
          <w:highlight w:val="none"/>
        </w:rPr>
        <w:t>1</w:t>
      </w:r>
      <w:r>
        <w:rPr>
          <w:rFonts w:hint="eastAsia" w:ascii="仿宋" w:hAnsi="仿宋" w:eastAsia="仿宋" w:cs="宋体"/>
          <w:color w:val="auto"/>
          <w:sz w:val="28"/>
          <w:szCs w:val="28"/>
          <w:highlight w:val="none"/>
          <w:lang w:val="en-US" w:eastAsia="zh-CN"/>
        </w:rPr>
        <w:t>.</w:t>
      </w:r>
      <w:r>
        <w:rPr>
          <w:rFonts w:hint="eastAsia" w:ascii="仿宋" w:hAnsi="仿宋" w:eastAsia="仿宋" w:cs="宋体"/>
          <w:color w:val="auto"/>
          <w:sz w:val="28"/>
          <w:szCs w:val="28"/>
          <w:highlight w:val="none"/>
        </w:rPr>
        <w:t>采购人信息</w:t>
      </w:r>
    </w:p>
    <w:p w14:paraId="74926086">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采购人：</w:t>
      </w:r>
      <w:r>
        <w:rPr>
          <w:rFonts w:hint="eastAsia" w:ascii="仿宋" w:hAnsi="仿宋" w:eastAsia="仿宋"/>
          <w:color w:val="auto"/>
          <w:sz w:val="28"/>
          <w:szCs w:val="28"/>
          <w:highlight w:val="none"/>
          <w:lang w:eastAsia="zh-CN"/>
        </w:rPr>
        <w:t>吉林大安经济开发区管理委员会</w:t>
      </w:r>
    </w:p>
    <w:p w14:paraId="5615E938">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地址：</w:t>
      </w:r>
      <w:r>
        <w:rPr>
          <w:rFonts w:hint="eastAsia" w:ascii="仿宋" w:hAnsi="仿宋" w:eastAsia="仿宋" w:cs="宋体"/>
          <w:color w:val="auto"/>
          <w:sz w:val="28"/>
          <w:szCs w:val="28"/>
          <w:highlight w:val="none"/>
          <w:lang w:val="en-US" w:eastAsia="zh-CN"/>
        </w:rPr>
        <w:t>吉林省大安市</w:t>
      </w:r>
    </w:p>
    <w:p w14:paraId="4482EF99">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联系人：</w:t>
      </w:r>
      <w:r>
        <w:rPr>
          <w:rFonts w:hint="eastAsia" w:ascii="仿宋" w:hAnsi="仿宋" w:eastAsia="仿宋" w:cs="宋体"/>
          <w:color w:val="auto"/>
          <w:sz w:val="28"/>
          <w:szCs w:val="28"/>
          <w:highlight w:val="none"/>
          <w:lang w:val="en-US" w:eastAsia="zh-CN"/>
        </w:rPr>
        <w:t>刘好</w:t>
      </w:r>
    </w:p>
    <w:p w14:paraId="60D32F48">
      <w:pPr>
        <w:spacing w:line="360" w:lineRule="auto"/>
        <w:ind w:firstLine="560" w:firstLineChars="200"/>
        <w:jc w:val="left"/>
        <w:rPr>
          <w:rFonts w:hint="default" w:ascii="仿宋" w:hAnsi="仿宋" w:eastAsia="仿宋" w:cs="宋体"/>
          <w:color w:val="auto"/>
          <w:sz w:val="28"/>
          <w:szCs w:val="28"/>
          <w:highlight w:val="none"/>
          <w:lang w:val="en-US" w:eastAsia="zh-CN"/>
        </w:rPr>
      </w:pPr>
      <w:r>
        <w:rPr>
          <w:rFonts w:hint="eastAsia" w:ascii="仿宋" w:hAnsi="仿宋" w:eastAsia="仿宋" w:cs="宋体"/>
          <w:color w:val="auto"/>
          <w:sz w:val="28"/>
          <w:szCs w:val="28"/>
          <w:highlight w:val="none"/>
        </w:rPr>
        <w:t>联系方式：</w:t>
      </w:r>
      <w:r>
        <w:rPr>
          <w:rFonts w:hint="eastAsia" w:ascii="仿宋" w:hAnsi="仿宋" w:eastAsia="仿宋" w:cs="宋体"/>
          <w:color w:val="auto"/>
          <w:sz w:val="28"/>
          <w:szCs w:val="28"/>
          <w:highlight w:val="none"/>
          <w:lang w:val="en-US" w:eastAsia="zh-CN"/>
        </w:rPr>
        <w:t>13596810733</w:t>
      </w:r>
    </w:p>
    <w:p w14:paraId="3B609AD8">
      <w:pPr>
        <w:spacing w:line="360" w:lineRule="auto"/>
        <w:jc w:val="left"/>
        <w:rPr>
          <w:rFonts w:ascii="仿宋" w:hAnsi="仿宋" w:eastAsia="仿宋"/>
          <w:color w:val="auto"/>
          <w:sz w:val="28"/>
          <w:szCs w:val="28"/>
          <w:highlight w:val="none"/>
        </w:rPr>
      </w:pPr>
      <w:r>
        <w:rPr>
          <w:rFonts w:hint="eastAsia" w:ascii="仿宋" w:hAnsi="仿宋" w:eastAsia="仿宋" w:cs="宋体"/>
          <w:color w:val="auto"/>
          <w:sz w:val="28"/>
          <w:szCs w:val="28"/>
          <w:highlight w:val="none"/>
        </w:rPr>
        <w:t xml:space="preserve">    2</w:t>
      </w:r>
      <w:r>
        <w:rPr>
          <w:rFonts w:hint="eastAsia" w:ascii="仿宋" w:hAnsi="仿宋" w:eastAsia="仿宋" w:cs="宋体"/>
          <w:color w:val="auto"/>
          <w:sz w:val="28"/>
          <w:szCs w:val="28"/>
          <w:highlight w:val="none"/>
          <w:lang w:val="en-US" w:eastAsia="zh-CN"/>
        </w:rPr>
        <w:t>.</w:t>
      </w:r>
      <w:r>
        <w:rPr>
          <w:rFonts w:hint="eastAsia" w:ascii="仿宋" w:hAnsi="仿宋" w:eastAsia="仿宋" w:cs="宋体"/>
          <w:color w:val="auto"/>
          <w:sz w:val="28"/>
          <w:szCs w:val="28"/>
          <w:highlight w:val="none"/>
        </w:rPr>
        <w:t>采购代理机构信息</w:t>
      </w:r>
    </w:p>
    <w:p w14:paraId="57D5A89B">
      <w:pPr>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采购代理机构：中金招标有限责任公司</w:t>
      </w:r>
    </w:p>
    <w:p w14:paraId="60C070C9">
      <w:pPr>
        <w:spacing w:line="360" w:lineRule="auto"/>
        <w:ind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地址：长春市净月区生态大街3682号伟峰东樾11号楼2303室</w:t>
      </w:r>
    </w:p>
    <w:p w14:paraId="5D04A4A8">
      <w:pPr>
        <w:spacing w:line="360" w:lineRule="auto"/>
        <w:ind w:firstLine="560" w:firstLineChars="200"/>
        <w:jc w:val="left"/>
        <w:rPr>
          <w:rFonts w:hint="eastAsia" w:ascii="仿宋" w:hAnsi="仿宋" w:eastAsia="仿宋"/>
          <w:color w:val="auto"/>
          <w:sz w:val="28"/>
          <w:szCs w:val="28"/>
          <w:highlight w:val="none"/>
          <w:lang w:val="en-US" w:eastAsia="zh-CN"/>
        </w:rPr>
      </w:pPr>
      <w:r>
        <w:rPr>
          <w:rFonts w:hint="eastAsia" w:ascii="仿宋" w:hAnsi="仿宋" w:eastAsia="仿宋"/>
          <w:color w:val="auto"/>
          <w:sz w:val="28"/>
          <w:szCs w:val="28"/>
          <w:highlight w:val="none"/>
        </w:rPr>
        <w:t>联系人：</w:t>
      </w:r>
      <w:r>
        <w:rPr>
          <w:rFonts w:hint="eastAsia" w:ascii="仿宋" w:hAnsi="仿宋" w:eastAsia="仿宋"/>
          <w:color w:val="auto"/>
          <w:sz w:val="28"/>
          <w:szCs w:val="28"/>
          <w:highlight w:val="none"/>
          <w:lang w:eastAsia="zh-CN"/>
        </w:rPr>
        <w:t>武娜 、高欢</w:t>
      </w:r>
    </w:p>
    <w:p w14:paraId="44B1012E">
      <w:pPr>
        <w:spacing w:line="360" w:lineRule="auto"/>
        <w:ind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电话：0431-81150785</w:t>
      </w:r>
    </w:p>
    <w:p w14:paraId="1077313C">
      <w:pPr>
        <w:spacing w:line="360" w:lineRule="auto"/>
        <w:rPr>
          <w:rFonts w:ascii="仿宋" w:hAnsi="仿宋" w:eastAsia="仿宋"/>
          <w:color w:val="auto"/>
          <w:sz w:val="28"/>
          <w:szCs w:val="28"/>
          <w:highlight w:val="none"/>
          <w:u w:val="single"/>
        </w:rPr>
      </w:pPr>
      <w:r>
        <w:rPr>
          <w:rFonts w:hint="eastAsia" w:ascii="仿宋" w:hAnsi="仿宋" w:eastAsia="仿宋" w:cs="宋体"/>
          <w:color w:val="auto"/>
          <w:sz w:val="28"/>
          <w:szCs w:val="28"/>
          <w:highlight w:val="none"/>
        </w:rPr>
        <w:t xml:space="preserve">    3</w:t>
      </w:r>
      <w:r>
        <w:rPr>
          <w:rFonts w:hint="eastAsia" w:ascii="仿宋" w:hAnsi="仿宋" w:eastAsia="仿宋" w:cs="宋体"/>
          <w:color w:val="auto"/>
          <w:sz w:val="28"/>
          <w:szCs w:val="28"/>
          <w:highlight w:val="none"/>
          <w:lang w:val="en-US" w:eastAsia="zh-CN"/>
        </w:rPr>
        <w:t>.</w:t>
      </w:r>
      <w:r>
        <w:rPr>
          <w:rFonts w:hint="eastAsia" w:ascii="仿宋" w:hAnsi="仿宋" w:eastAsia="仿宋" w:cs="宋体"/>
          <w:color w:val="auto"/>
          <w:sz w:val="28"/>
          <w:szCs w:val="28"/>
          <w:highlight w:val="none"/>
        </w:rPr>
        <w:t>项目</w:t>
      </w:r>
      <w:r>
        <w:rPr>
          <w:rFonts w:ascii="仿宋" w:hAnsi="仿宋" w:eastAsia="仿宋" w:cs="宋体"/>
          <w:color w:val="auto"/>
          <w:sz w:val="28"/>
          <w:szCs w:val="28"/>
          <w:highlight w:val="none"/>
        </w:rPr>
        <w:t>联系方式</w:t>
      </w:r>
    </w:p>
    <w:p w14:paraId="14CEE4DA">
      <w:pPr>
        <w:spacing w:line="360" w:lineRule="auto"/>
        <w:ind w:firstLine="560"/>
        <w:rPr>
          <w:rFonts w:hint="eastAsia" w:ascii="仿宋" w:hAnsi="仿宋" w:eastAsia="仿宋"/>
          <w:color w:val="auto"/>
          <w:sz w:val="28"/>
          <w:szCs w:val="28"/>
          <w:highlight w:val="none"/>
          <w:lang w:eastAsia="zh-CN"/>
        </w:rPr>
      </w:pPr>
      <w:r>
        <w:rPr>
          <w:rFonts w:hint="eastAsia" w:ascii="仿宋" w:hAnsi="仿宋" w:eastAsia="仿宋"/>
          <w:color w:val="auto"/>
          <w:sz w:val="28"/>
          <w:szCs w:val="28"/>
          <w:highlight w:val="none"/>
        </w:rPr>
        <w:t>采购代理机构联系人：</w:t>
      </w:r>
      <w:r>
        <w:rPr>
          <w:rFonts w:hint="eastAsia" w:ascii="仿宋" w:hAnsi="仿宋" w:eastAsia="仿宋"/>
          <w:color w:val="auto"/>
          <w:sz w:val="28"/>
          <w:szCs w:val="28"/>
          <w:highlight w:val="none"/>
          <w:lang w:eastAsia="zh-CN"/>
        </w:rPr>
        <w:t>武娜 、高欢</w:t>
      </w:r>
    </w:p>
    <w:p w14:paraId="4D9ED3C2">
      <w:pPr>
        <w:spacing w:line="360" w:lineRule="auto"/>
        <w:ind w:firstLine="560"/>
        <w:rPr>
          <w:rFonts w:ascii="仿宋" w:hAnsi="仿宋" w:eastAsia="仿宋"/>
          <w:color w:val="auto"/>
          <w:sz w:val="28"/>
          <w:szCs w:val="28"/>
          <w:highlight w:val="none"/>
        </w:rPr>
      </w:pPr>
      <w:r>
        <w:rPr>
          <w:rFonts w:hint="eastAsia" w:ascii="仿宋" w:hAnsi="仿宋" w:eastAsia="仿宋"/>
          <w:color w:val="auto"/>
          <w:sz w:val="28"/>
          <w:szCs w:val="28"/>
          <w:highlight w:val="none"/>
        </w:rPr>
        <w:t>联系电话：0431-81150785</w:t>
      </w:r>
    </w:p>
    <w:p w14:paraId="557E2F45">
      <w:pPr>
        <w:spacing w:line="360" w:lineRule="auto"/>
        <w:ind w:firstLine="560" w:firstLineChars="200"/>
        <w:jc w:val="left"/>
        <w:rPr>
          <w:rFonts w:hint="eastAsia" w:ascii="仿宋" w:hAnsi="仿宋" w:eastAsia="仿宋" w:cs="宋体"/>
          <w:color w:val="auto"/>
          <w:sz w:val="28"/>
          <w:szCs w:val="28"/>
          <w:highlight w:val="none"/>
        </w:rPr>
      </w:pPr>
    </w:p>
    <w:p w14:paraId="192630A5">
      <w:pPr>
        <w:pStyle w:val="26"/>
        <w:rPr>
          <w:color w:val="auto"/>
          <w:highlight w:val="none"/>
        </w:rPr>
      </w:pPr>
    </w:p>
    <w:p w14:paraId="68CA97F0">
      <w:pPr>
        <w:ind w:firstLine="723"/>
        <w:rPr>
          <w:rFonts w:ascii="黑体" w:eastAsia="黑体"/>
          <w:b/>
          <w:color w:val="auto"/>
          <w:sz w:val="36"/>
          <w:szCs w:val="36"/>
          <w:highlight w:val="none"/>
        </w:rPr>
      </w:pPr>
      <w:r>
        <w:rPr>
          <w:rFonts w:hint="eastAsia" w:ascii="黑体" w:eastAsia="黑体"/>
          <w:b/>
          <w:color w:val="auto"/>
          <w:sz w:val="36"/>
          <w:szCs w:val="36"/>
          <w:highlight w:val="none"/>
        </w:rPr>
        <w:br w:type="page"/>
      </w:r>
    </w:p>
    <w:p w14:paraId="40E021D6">
      <w:pPr>
        <w:spacing w:line="360" w:lineRule="auto"/>
        <w:ind w:firstLine="723"/>
        <w:jc w:val="center"/>
        <w:rPr>
          <w:rFonts w:ascii="黑体" w:eastAsia="黑体"/>
          <w:b/>
          <w:color w:val="auto"/>
          <w:sz w:val="36"/>
          <w:szCs w:val="36"/>
          <w:highlight w:val="none"/>
        </w:rPr>
      </w:pPr>
      <w:r>
        <w:rPr>
          <w:rFonts w:hint="eastAsia" w:ascii="黑体" w:eastAsia="黑体"/>
          <w:b/>
          <w:color w:val="auto"/>
          <w:sz w:val="36"/>
          <w:szCs w:val="36"/>
          <w:highlight w:val="none"/>
        </w:rPr>
        <w:t>第二章 投标人须知</w:t>
      </w:r>
    </w:p>
    <w:p w14:paraId="4AAB7A3F">
      <w:pPr>
        <w:pStyle w:val="3"/>
        <w:spacing w:line="360" w:lineRule="auto"/>
        <w:ind w:firstLine="482"/>
        <w:jc w:val="center"/>
        <w:rPr>
          <w:rFonts w:hint="default" w:ascii="宋体" w:hAnsi="宋体" w:eastAsia="宋体" w:cs="宋体"/>
          <w:bCs w:val="0"/>
          <w:color w:val="auto"/>
          <w:sz w:val="24"/>
          <w:highlight w:val="none"/>
        </w:rPr>
      </w:pPr>
      <w:r>
        <w:rPr>
          <w:rFonts w:ascii="宋体" w:hAnsi="宋体" w:eastAsia="宋体" w:cs="宋体"/>
          <w:bCs w:val="0"/>
          <w:color w:val="auto"/>
          <w:sz w:val="24"/>
          <w:highlight w:val="none"/>
        </w:rPr>
        <w:t>一、总则</w:t>
      </w:r>
    </w:p>
    <w:p w14:paraId="7D339E77">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1、资金已落实。</w:t>
      </w:r>
    </w:p>
    <w:p w14:paraId="3AC9741C">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2、采购人、采购代理机构、投标人</w:t>
      </w:r>
    </w:p>
    <w:p w14:paraId="70B6F4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2.1“采购人”是指：项目采购单位，合同的需方。</w:t>
      </w:r>
    </w:p>
    <w:p w14:paraId="6C8D7DB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2.2“采购代理机构”是指：中金招标有限责任公司。</w:t>
      </w:r>
    </w:p>
    <w:p w14:paraId="4CD29510">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2.3“投标人</w:t>
      </w:r>
      <w:r>
        <w:rPr>
          <w:rFonts w:ascii="宋体" w:hAnsi="宋体" w:cs="宋体"/>
          <w:color w:val="auto"/>
          <w:sz w:val="24"/>
          <w:highlight w:val="none"/>
        </w:rPr>
        <w:t>（也称</w:t>
      </w:r>
      <w:r>
        <w:rPr>
          <w:rFonts w:hint="eastAsia" w:ascii="宋体" w:hAnsi="宋体" w:cs="宋体"/>
          <w:color w:val="auto"/>
          <w:sz w:val="24"/>
          <w:highlight w:val="none"/>
        </w:rPr>
        <w:t>“</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w:t>
      </w:r>
      <w:r>
        <w:rPr>
          <w:rFonts w:ascii="宋体" w:hAnsi="宋体" w:cs="宋体"/>
          <w:color w:val="auto"/>
          <w:sz w:val="24"/>
          <w:highlight w:val="none"/>
        </w:rPr>
        <w:t>、</w:t>
      </w:r>
      <w:r>
        <w:rPr>
          <w:rFonts w:hint="eastAsia" w:ascii="宋体" w:hAnsi="宋体" w:cs="宋体"/>
          <w:color w:val="auto"/>
          <w:sz w:val="24"/>
          <w:highlight w:val="none"/>
        </w:rPr>
        <w:t>“</w:t>
      </w:r>
      <w:r>
        <w:rPr>
          <w:rFonts w:ascii="宋体" w:hAnsi="宋体" w:cs="宋体"/>
          <w:color w:val="auto"/>
          <w:sz w:val="24"/>
          <w:highlight w:val="none"/>
        </w:rPr>
        <w:t>申请人</w:t>
      </w:r>
      <w:r>
        <w:rPr>
          <w:rFonts w:hint="eastAsia" w:ascii="宋体" w:hAnsi="宋体" w:cs="宋体"/>
          <w:color w:val="auto"/>
          <w:sz w:val="24"/>
          <w:highlight w:val="none"/>
        </w:rPr>
        <w:t>”</w:t>
      </w:r>
      <w:r>
        <w:rPr>
          <w:rFonts w:ascii="宋体" w:hAnsi="宋体" w:cs="宋体"/>
          <w:color w:val="auto"/>
          <w:sz w:val="24"/>
          <w:highlight w:val="none"/>
        </w:rPr>
        <w:t>）</w:t>
      </w:r>
      <w:r>
        <w:rPr>
          <w:rFonts w:hint="eastAsia" w:ascii="宋体" w:hAnsi="宋体" w:cs="宋体"/>
          <w:color w:val="auto"/>
          <w:sz w:val="24"/>
          <w:highlight w:val="none"/>
        </w:rPr>
        <w:t>”是指响应招标、参加投标竞争的法人、其他组织或者自然人。</w:t>
      </w:r>
    </w:p>
    <w:p w14:paraId="516936FC">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3、合格投标人</w:t>
      </w:r>
    </w:p>
    <w:p w14:paraId="634E2D7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3.1应符合招标公告中申请人资格要求中的全部条件，并同时将</w:t>
      </w:r>
      <w:r>
        <w:rPr>
          <w:rFonts w:hint="eastAsia" w:ascii="宋体" w:hAnsi="宋体" w:cs="宋体"/>
          <w:color w:val="auto"/>
          <w:sz w:val="24"/>
          <w:highlight w:val="none"/>
          <w:lang w:eastAsia="zh-CN"/>
        </w:rPr>
        <w:t>以下资料放入电子版文件中</w:t>
      </w:r>
      <w:r>
        <w:rPr>
          <w:rFonts w:hint="eastAsia" w:ascii="宋体" w:hAnsi="宋体" w:cs="宋体"/>
          <w:color w:val="auto"/>
          <w:sz w:val="24"/>
          <w:highlight w:val="none"/>
        </w:rPr>
        <w:t>：</w:t>
      </w:r>
    </w:p>
    <w:p w14:paraId="1C4A5918">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3.1.1具有独立承担民事责任的能力；</w:t>
      </w:r>
    </w:p>
    <w:p w14:paraId="753E38D0">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3.1.1.1投标人为企业（包括合伙企业）的，应提供有效的“营业执照”；</w:t>
      </w:r>
    </w:p>
    <w:p w14:paraId="70BF220E">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3.1.1.2投标人为事业单位的，应提供有效的“事业单位法人证书”；</w:t>
      </w:r>
    </w:p>
    <w:p w14:paraId="131E6619">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3.1.1.3投标人是非企业机构的，应提供有效的“执业许可证”、“登记证书”等证明文件；</w:t>
      </w:r>
    </w:p>
    <w:p w14:paraId="2E99A1CD">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3.1.1.4投标人是个体工商户的，应提供有效的“个体工商户营业执照”；</w:t>
      </w:r>
    </w:p>
    <w:p w14:paraId="3A66D8C3">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3.1.1.5投标人是自然人的，应提供有效的自然人身份证明。</w:t>
      </w:r>
    </w:p>
    <w:p w14:paraId="20C8004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3.1.2具有良好的商业信誉和健全的财务会计制度（提供2023年度第三方审计机构出具的审计报告</w:t>
      </w:r>
      <w:r>
        <w:rPr>
          <w:rFonts w:hint="eastAsia" w:ascii="宋体" w:hAnsi="宋体" w:cs="宋体"/>
          <w:color w:val="auto"/>
          <w:sz w:val="24"/>
          <w:highlight w:val="none"/>
          <w:lang w:eastAsia="zh-CN"/>
        </w:rPr>
        <w:t>或</w:t>
      </w:r>
      <w:r>
        <w:rPr>
          <w:rFonts w:hint="eastAsia" w:ascii="宋体" w:hAnsi="宋体" w:cs="宋体"/>
          <w:color w:val="auto"/>
          <w:sz w:val="24"/>
          <w:highlight w:val="none"/>
        </w:rPr>
        <w:t>投标人基本户开户银行出具的资信证明）；</w:t>
      </w:r>
    </w:p>
    <w:p w14:paraId="6D4D43F3">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3.1.3具有履行合同所必需的设备和专业技术能力的证明材料（提供承诺书，格式自拟）；</w:t>
      </w:r>
    </w:p>
    <w:p w14:paraId="74C903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3.1.4有依法缴纳税收和社会保障资金的良好记录（提供2024年内任意一个月的依法缴纳税收和社会保障资金的相关材料，依法免税或不需要缴纳社会保障资金的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，应提供文件证明其依法免税或不需要缴纳社会保障资金）；</w:t>
      </w:r>
    </w:p>
    <w:p w14:paraId="3610E397">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3.1.5参加政府采购活动前三年内，在经营活动中没有重大违法记录（提供书面声明，格式自拟）；</w:t>
      </w:r>
    </w:p>
    <w:p w14:paraId="59C8E738">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3.1.6未列入失信被执行人、</w:t>
      </w:r>
      <w:r>
        <w:rPr>
          <w:rFonts w:hint="eastAsia" w:ascii="宋体" w:hAnsi="宋体" w:cs="宋体"/>
          <w:color w:val="auto"/>
          <w:sz w:val="24"/>
          <w:highlight w:val="none"/>
          <w:lang w:eastAsia="zh-CN"/>
        </w:rPr>
        <w:t>重大税收违法案件主体</w:t>
      </w:r>
      <w:r>
        <w:rPr>
          <w:rFonts w:hint="eastAsia" w:ascii="宋体" w:hAnsi="宋体" w:cs="宋体"/>
          <w:color w:val="auto"/>
          <w:sz w:val="24"/>
          <w:highlight w:val="none"/>
        </w:rPr>
        <w:t>、政府采购严重违法失信行为记录名单承诺书（格式自拟）；</w:t>
      </w:r>
    </w:p>
    <w:p w14:paraId="2BFBBF55">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3.1.7单位负责人为同一人或存在直接控股、管理关系的不同投标人，不得参加同一</w:t>
      </w:r>
    </w:p>
    <w:p w14:paraId="2A48C5AB">
      <w:pPr>
        <w:spacing w:line="360" w:lineRule="auto"/>
        <w:ind w:left="720" w:hanging="720" w:hangingChars="300"/>
        <w:outlineLvl w:val="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合同项下的政府采购活动（提供书面声明，格式自拟）</w:t>
      </w:r>
      <w:r>
        <w:rPr>
          <w:rFonts w:hint="eastAsia" w:ascii="宋体" w:hAnsi="宋体" w:cs="宋体"/>
          <w:color w:val="auto"/>
          <w:sz w:val="24"/>
          <w:highlight w:val="none"/>
          <w:lang w:eastAsia="zh-CN"/>
        </w:rPr>
        <w:t>。</w:t>
      </w:r>
    </w:p>
    <w:p w14:paraId="7B06CB2A">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注：分支机构参加投标的，应提供该分支机构及其所属法人/其他组织的相应证明文件；同时还应提供其所属法人/其他组织出具的授权其参与本项目的授权书（格式自拟，须加盖所属法人/其他组织的公章）；属于银行、保险、石油石化、电力、电信等行业的，允许该行业法人的分支机构参加投标（报价），提供分支机构的相关证件。</w:t>
      </w:r>
    </w:p>
    <w:p w14:paraId="55AE8C0A">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4、投标费用</w:t>
      </w:r>
    </w:p>
    <w:p w14:paraId="422AE3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投标人应承担所有与编写和提交投标文件有关的费用，无论投标的结果如何，采购人和采购代理机构在任何情况下均无义务和责任承担这些费用。</w:t>
      </w:r>
    </w:p>
    <w:p w14:paraId="115013A6">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5、政府采购政策（包括但不限于下列具体政策要求）</w:t>
      </w:r>
    </w:p>
    <w:p w14:paraId="25EC7FA3">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bCs/>
          <w:color w:val="auto"/>
          <w:sz w:val="24"/>
          <w:szCs w:val="24"/>
          <w:highlight w:val="none"/>
        </w:rPr>
        <w:t>5.1</w:t>
      </w:r>
      <w:r>
        <w:rPr>
          <w:rFonts w:ascii="宋体" w:hAnsi="宋体" w:eastAsia="宋体" w:cs="宋体"/>
          <w:color w:val="auto"/>
          <w:sz w:val="24"/>
          <w:szCs w:val="24"/>
          <w:highlight w:val="none"/>
        </w:rPr>
        <w:t xml:space="preserve">采购本国货物、工程和服务 </w:t>
      </w:r>
    </w:p>
    <w:p w14:paraId="077B5DBE">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5.1.1</w:t>
      </w:r>
      <w:r>
        <w:rPr>
          <w:rFonts w:ascii="宋体" w:hAnsi="宋体" w:eastAsia="宋体" w:cs="宋体"/>
          <w:color w:val="auto"/>
          <w:sz w:val="24"/>
          <w:szCs w:val="24"/>
          <w:highlight w:val="none"/>
        </w:rPr>
        <w:t xml:space="preserve">政府采购应当采购本国货物、工程和服务。但有《中华人民共和国政府采购法》第十条规定情形的除外。 </w:t>
      </w:r>
    </w:p>
    <w:p w14:paraId="2FC058D3">
      <w:pPr>
        <w:pStyle w:val="10"/>
        <w:spacing w:line="360" w:lineRule="auto"/>
        <w:ind w:firstLine="480" w:firstLineChars="200"/>
        <w:rPr>
          <w:rFonts w:ascii="宋体" w:hAnsi="宋体" w:eastAsia="宋体" w:cs="宋体"/>
          <w:color w:val="auto"/>
          <w:sz w:val="24"/>
          <w:szCs w:val="24"/>
          <w:highlight w:val="none"/>
        </w:rPr>
      </w:pPr>
      <w:r>
        <w:rPr>
          <w:rFonts w:ascii="宋体" w:hAnsi="宋体" w:eastAsia="宋体" w:cs="宋体"/>
          <w:color w:val="auto"/>
          <w:sz w:val="24"/>
          <w:szCs w:val="24"/>
          <w:highlight w:val="none"/>
        </w:rPr>
        <w:t>5.1.2 本项目如接受非本国货物、工程、服务参与投标，则具体要求见</w:t>
      </w:r>
      <w:r>
        <w:rPr>
          <w:rFonts w:hint="eastAsia" w:ascii="宋体" w:hAnsi="宋体" w:eastAsia="宋体" w:cs="宋体"/>
          <w:color w:val="auto"/>
          <w:sz w:val="24"/>
          <w:szCs w:val="24"/>
          <w:highlight w:val="none"/>
        </w:rPr>
        <w:t>第五章</w:t>
      </w:r>
      <w:r>
        <w:rPr>
          <w:rFonts w:ascii="宋体" w:hAnsi="宋体" w:eastAsia="宋体" w:cs="宋体"/>
          <w:color w:val="auto"/>
          <w:sz w:val="24"/>
          <w:szCs w:val="24"/>
          <w:highlight w:val="none"/>
        </w:rPr>
        <w:t>《采购需求》。</w:t>
      </w:r>
      <w:r>
        <w:rPr>
          <w:rFonts w:hint="eastAsia" w:ascii="宋体" w:hAnsi="宋体" w:eastAsia="宋体" w:cs="宋体"/>
          <w:color w:val="auto"/>
          <w:sz w:val="24"/>
          <w:szCs w:val="24"/>
          <w:highlight w:val="none"/>
        </w:rPr>
        <w:t>采购标的中标注“接受进口产品”的已经财政部门审核同意购买进口产品，参加进口产品采购的投标人仅限于国内投标人，国内投标人可以提供进口产品来参加。优先采购向我国企业转让技术、与我国企业签订消化吸收再创新方案的投标人的进口产品。</w:t>
      </w:r>
    </w:p>
    <w:p w14:paraId="21B88F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5.1.3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w:t>
      </w:r>
      <w:r>
        <w:rPr>
          <w:rFonts w:hint="eastAsia" w:ascii="宋体" w:hAnsi="宋体" w:cs="宋体"/>
          <w:b/>
          <w:bCs/>
          <w:color w:val="auto"/>
          <w:sz w:val="24"/>
          <w:highlight w:val="none"/>
        </w:rPr>
        <w:t>投标进口产品的为无效投标</w:t>
      </w:r>
      <w:r>
        <w:rPr>
          <w:rFonts w:hint="eastAsia" w:ascii="宋体" w:hAnsi="宋体" w:cs="宋体"/>
          <w:color w:val="auto"/>
          <w:sz w:val="24"/>
          <w:highlight w:val="none"/>
        </w:rPr>
        <w:t>。在中国境内生产或组装的外国品牌产品须标明该产品在中国国内制造厂商名称。否则，按进口产品对待。</w:t>
      </w:r>
    </w:p>
    <w:p w14:paraId="71B09303">
      <w:pPr>
        <w:spacing w:line="360" w:lineRule="auto"/>
        <w:ind w:firstLine="480" w:firstLineChars="200"/>
        <w:rPr>
          <w:rFonts w:ascii="宋体" w:hAnsi="宋体" w:cs="宋体"/>
          <w:color w:val="auto"/>
          <w:sz w:val="24"/>
          <w:highlight w:val="none"/>
        </w:rPr>
      </w:pPr>
      <w:r>
        <w:rPr>
          <w:rFonts w:hint="eastAsia" w:ascii="宋体" w:hAnsi="宋体" w:cs="宋体"/>
          <w:bCs/>
          <w:color w:val="auto"/>
          <w:sz w:val="24"/>
          <w:highlight w:val="none"/>
        </w:rPr>
        <w:t>5.2</w:t>
      </w:r>
      <w:r>
        <w:rPr>
          <w:rFonts w:ascii="宋体" w:hAnsi="宋体" w:cs="宋体"/>
          <w:color w:val="auto"/>
          <w:sz w:val="24"/>
          <w:highlight w:val="none"/>
        </w:rPr>
        <w:t>政府采购节能产品、环境标志产品</w:t>
      </w:r>
    </w:p>
    <w:p w14:paraId="76EB144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5.2.1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 </w:t>
      </w:r>
    </w:p>
    <w:p w14:paraId="12A876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5.2.2 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 〔2019〕9 号）。 </w:t>
      </w:r>
    </w:p>
    <w:p w14:paraId="6BA149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5.2.3 如本项目采购产品属于实施政府强制采购品目清单范围的节能产品，则投标人所报产品必须获得国家确定的认证机构出具的、处于有效期之内的节能产品认证证书，否则</w:t>
      </w:r>
      <w:r>
        <w:rPr>
          <w:rFonts w:hint="eastAsia" w:ascii="宋体" w:hAnsi="宋体" w:cs="宋体"/>
          <w:b/>
          <w:bCs/>
          <w:color w:val="auto"/>
          <w:sz w:val="24"/>
          <w:highlight w:val="none"/>
        </w:rPr>
        <w:t>投标无效</w:t>
      </w:r>
      <w:r>
        <w:rPr>
          <w:rFonts w:hint="eastAsia" w:ascii="宋体" w:hAnsi="宋体" w:cs="宋体"/>
          <w:color w:val="auto"/>
          <w:sz w:val="24"/>
          <w:highlight w:val="none"/>
        </w:rPr>
        <w:t xml:space="preserve">； </w:t>
      </w:r>
    </w:p>
    <w:p w14:paraId="2748F2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5.2.4 非政府强制采购的节能产品或环境标志产品，依据品目清单和认证证书实施政府优先采购。优先采购的具体规定见第三章《评标办法》。</w:t>
      </w:r>
    </w:p>
    <w:p w14:paraId="057EE755">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3</w:t>
      </w:r>
      <w:r>
        <w:rPr>
          <w:rFonts w:ascii="宋体" w:hAnsi="宋体" w:cs="宋体"/>
          <w:color w:val="auto"/>
          <w:sz w:val="24"/>
          <w:highlight w:val="none"/>
        </w:rPr>
        <w:t xml:space="preserve"> 正版软件 </w:t>
      </w:r>
    </w:p>
    <w:p w14:paraId="47383732">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3</w:t>
      </w:r>
      <w:r>
        <w:rPr>
          <w:rFonts w:ascii="宋体" w:hAnsi="宋体" w:cs="宋体"/>
          <w:color w:val="auto"/>
          <w:sz w:val="24"/>
          <w:highlight w:val="none"/>
        </w:rPr>
        <w:t>.1 依据《财政部国家发展改革委信息产业部关于印发无线局域网产品政府采购实施意见的通知》（财库〔2005〕366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ascii="宋体" w:hAnsi="宋体" w:cs="宋体"/>
          <w:b/>
          <w:bCs/>
          <w:color w:val="auto"/>
          <w:sz w:val="24"/>
          <w:highlight w:val="none"/>
        </w:rPr>
        <w:t>投标无效</w:t>
      </w:r>
      <w:r>
        <w:rPr>
          <w:rFonts w:ascii="宋体" w:hAnsi="宋体" w:cs="宋体"/>
          <w:color w:val="auto"/>
          <w:sz w:val="24"/>
          <w:highlight w:val="none"/>
        </w:rPr>
        <w:t>。财政部、国家发展改革委、信息产业部根据政府采购改革进展和无线局域网产品技术及市场成熟等情况，从国家指定的认证机构认证的生产厂商和产品型号中确定优先采购的产品，并以</w:t>
      </w:r>
      <w:r>
        <w:rPr>
          <w:rFonts w:hint="eastAsia" w:ascii="宋体" w:hAnsi="宋体" w:cs="宋体"/>
          <w:color w:val="auto"/>
          <w:sz w:val="24"/>
          <w:highlight w:val="none"/>
        </w:rPr>
        <w:t>“</w:t>
      </w:r>
      <w:r>
        <w:rPr>
          <w:rFonts w:ascii="宋体" w:hAnsi="宋体" w:cs="宋体"/>
          <w:color w:val="auto"/>
          <w:sz w:val="24"/>
          <w:highlight w:val="none"/>
        </w:rPr>
        <w:t>无线局域网认证产品政府采购清单</w:t>
      </w:r>
      <w:r>
        <w:rPr>
          <w:rFonts w:hint="eastAsia" w:ascii="宋体" w:hAnsi="宋体" w:cs="宋体"/>
          <w:color w:val="auto"/>
          <w:sz w:val="24"/>
          <w:highlight w:val="none"/>
        </w:rPr>
        <w:t>”</w:t>
      </w:r>
      <w:r>
        <w:rPr>
          <w:rFonts w:ascii="宋体" w:hAnsi="宋体" w:cs="宋体"/>
          <w:color w:val="auto"/>
          <w:sz w:val="24"/>
          <w:highlight w:val="none"/>
        </w:rPr>
        <w:t xml:space="preserve">（以下简称清单）的形式公布。清单中新增认证产品厂商和型号，由财政部、国家发展改革委、信息产业部以文件形式确定、公布并适时调整。 </w:t>
      </w:r>
    </w:p>
    <w:p w14:paraId="30294359">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3</w:t>
      </w:r>
      <w:r>
        <w:rPr>
          <w:rFonts w:ascii="宋体" w:hAnsi="宋体" w:cs="宋体"/>
          <w:color w:val="auto"/>
          <w:sz w:val="24"/>
          <w:highlight w:val="none"/>
        </w:rPr>
        <w:t>.2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号）、 《国务院办公厅关于进一步做好政府机关使用正版软件工作的通知》 （国办发〔2010〕47号）、《财政部关于进一步做好政府机关使用正版软件工作的通知》（财预〔2010〕536号）。</w:t>
      </w:r>
    </w:p>
    <w:p w14:paraId="15DCB1FB">
      <w:pPr>
        <w:spacing w:line="360" w:lineRule="auto"/>
        <w:ind w:firstLine="480" w:firstLineChars="200"/>
        <w:rPr>
          <w:rFonts w:ascii="宋体" w:hAnsi="宋体" w:eastAsia="宋体" w:cs="宋体"/>
          <w:color w:val="auto"/>
          <w:sz w:val="24"/>
          <w:szCs w:val="24"/>
          <w:highlight w:val="none"/>
        </w:rPr>
      </w:pPr>
      <w:r>
        <w:rPr>
          <w:rFonts w:hint="eastAsia" w:ascii="宋体" w:hAnsi="宋体" w:cs="宋体"/>
          <w:color w:val="auto"/>
          <w:sz w:val="24"/>
          <w:highlight w:val="none"/>
          <w:lang w:val="en-US" w:eastAsia="zh-CN"/>
        </w:rPr>
        <w:t>5.4</w:t>
      </w:r>
      <w:r>
        <w:rPr>
          <w:rFonts w:ascii="宋体" w:hAnsi="宋体" w:eastAsia="宋体" w:cs="宋体"/>
          <w:color w:val="auto"/>
          <w:sz w:val="24"/>
          <w:szCs w:val="24"/>
          <w:highlight w:val="none"/>
        </w:rPr>
        <w:t xml:space="preserve">网络安全专用产品 </w:t>
      </w:r>
    </w:p>
    <w:p w14:paraId="7C90150F">
      <w:pPr>
        <w:spacing w:line="360" w:lineRule="auto"/>
        <w:ind w:firstLine="480" w:firstLineChars="200"/>
        <w:rPr>
          <w:rFonts w:hint="default" w:ascii="宋体" w:hAnsi="宋体" w:eastAsia="宋体" w:cs="宋体"/>
          <w:color w:val="auto"/>
          <w:sz w:val="24"/>
          <w:highlight w:val="none"/>
          <w:lang w:val="en-US" w:eastAsia="zh-CN"/>
        </w:rPr>
      </w:pPr>
      <w:r>
        <w:rPr>
          <w:rFonts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4</w:t>
      </w:r>
      <w:r>
        <w:rPr>
          <w:rFonts w:ascii="宋体" w:hAnsi="宋体" w:eastAsia="宋体" w:cs="宋体"/>
          <w:color w:val="auto"/>
          <w:sz w:val="24"/>
          <w:szCs w:val="24"/>
          <w:highlight w:val="none"/>
        </w:rPr>
        <w:t>.1 所投产品属于列入《网络关键设备和网络安全专用产品目录》的网络 安全专用产品，应当在国家互联网信息办公室会同工业和信息化部、公安部、国家认证认可监督管理委员会统一公布和更新的符合要求的网络关键设备和网络安全专用产品清单中。</w:t>
      </w:r>
    </w:p>
    <w:p w14:paraId="4ADED6FE">
      <w:pPr>
        <w:spacing w:line="360" w:lineRule="auto"/>
        <w:ind w:firstLine="482"/>
        <w:jc w:val="center"/>
        <w:rPr>
          <w:rFonts w:ascii="宋体" w:hAnsi="宋体" w:cs="宋体"/>
          <w:b/>
          <w:color w:val="auto"/>
          <w:sz w:val="24"/>
          <w:highlight w:val="none"/>
        </w:rPr>
      </w:pPr>
      <w:r>
        <w:rPr>
          <w:rFonts w:hint="eastAsia" w:ascii="宋体" w:hAnsi="宋体" w:cs="宋体"/>
          <w:b/>
          <w:color w:val="auto"/>
          <w:sz w:val="24"/>
          <w:highlight w:val="none"/>
        </w:rPr>
        <w:t>二、招标文件</w:t>
      </w:r>
    </w:p>
    <w:p w14:paraId="01CA1F8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6、招标文件</w:t>
      </w:r>
    </w:p>
    <w:p w14:paraId="052DFB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6.1招标文件的构成</w:t>
      </w:r>
    </w:p>
    <w:p w14:paraId="02615FFE">
      <w:pPr>
        <w:pStyle w:val="7"/>
        <w:spacing w:line="360" w:lineRule="auto"/>
        <w:ind w:firstLine="480"/>
        <w:rPr>
          <w:rFonts w:ascii="宋体" w:hAnsi="宋体" w:cs="宋体"/>
          <w:color w:val="auto"/>
          <w:sz w:val="24"/>
          <w:highlight w:val="none"/>
        </w:rPr>
      </w:pPr>
      <w:r>
        <w:rPr>
          <w:rFonts w:hint="eastAsia" w:ascii="宋体" w:hAnsi="宋体" w:cs="宋体"/>
          <w:color w:val="auto"/>
          <w:sz w:val="24"/>
          <w:highlight w:val="none"/>
        </w:rPr>
        <w:t>第一章  投标邀请</w:t>
      </w:r>
    </w:p>
    <w:p w14:paraId="045174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第二章  投标人须知</w:t>
      </w:r>
    </w:p>
    <w:p w14:paraId="77B7907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第三章  评标办法</w:t>
      </w:r>
    </w:p>
    <w:p w14:paraId="182528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第四章  合同条款</w:t>
      </w:r>
    </w:p>
    <w:p w14:paraId="7ACCE8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第五章  采购需求</w:t>
      </w:r>
    </w:p>
    <w:p w14:paraId="15D6EC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第六章  投标文件构成及格式</w:t>
      </w:r>
    </w:p>
    <w:p w14:paraId="0C84E57A">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6.2</w:t>
      </w:r>
      <w:r>
        <w:rPr>
          <w:rFonts w:ascii="宋体" w:hAnsi="宋体" w:cs="宋体"/>
          <w:color w:val="auto"/>
          <w:sz w:val="24"/>
          <w:highlight w:val="none"/>
        </w:rPr>
        <w:t>投标人应认真阅读招标文件的全部内容。投标人应按照招标文件要求</w:t>
      </w:r>
      <w:r>
        <w:rPr>
          <w:rFonts w:hint="eastAsia" w:ascii="宋体" w:hAnsi="宋体" w:cs="宋体"/>
          <w:color w:val="auto"/>
          <w:sz w:val="24"/>
          <w:highlight w:val="none"/>
        </w:rPr>
        <w:t>提</w:t>
      </w:r>
      <w:r>
        <w:rPr>
          <w:rFonts w:ascii="宋体" w:hAnsi="宋体" w:cs="宋体"/>
          <w:color w:val="auto"/>
          <w:sz w:val="24"/>
          <w:highlight w:val="none"/>
        </w:rPr>
        <w:t>交投标文件并保证所</w:t>
      </w:r>
      <w:r>
        <w:rPr>
          <w:rFonts w:hint="eastAsia" w:ascii="宋体" w:hAnsi="宋体" w:cs="宋体"/>
          <w:color w:val="auto"/>
          <w:sz w:val="24"/>
          <w:highlight w:val="none"/>
        </w:rPr>
        <w:t>提</w:t>
      </w:r>
      <w:r>
        <w:rPr>
          <w:rFonts w:ascii="宋体" w:hAnsi="宋体" w:cs="宋体"/>
          <w:color w:val="auto"/>
          <w:sz w:val="24"/>
          <w:highlight w:val="none"/>
        </w:rPr>
        <w:t>供的全部资料的真实性，并对招标文件做出实质性响应</w:t>
      </w:r>
      <w:r>
        <w:rPr>
          <w:rFonts w:hint="eastAsia" w:ascii="宋体" w:hAnsi="宋体" w:cs="宋体"/>
          <w:color w:val="auto"/>
          <w:sz w:val="24"/>
          <w:highlight w:val="none"/>
        </w:rPr>
        <w:t>，</w:t>
      </w:r>
      <w:r>
        <w:rPr>
          <w:rFonts w:ascii="宋体" w:hAnsi="宋体" w:cs="宋体"/>
          <w:color w:val="auto"/>
          <w:sz w:val="24"/>
          <w:highlight w:val="none"/>
        </w:rPr>
        <w:t>否则</w:t>
      </w:r>
      <w:r>
        <w:rPr>
          <w:rFonts w:ascii="宋体" w:hAnsi="宋体" w:cs="宋体"/>
          <w:b/>
          <w:bCs/>
          <w:color w:val="auto"/>
          <w:sz w:val="24"/>
          <w:highlight w:val="none"/>
        </w:rPr>
        <w:t>投标无效。</w:t>
      </w:r>
    </w:p>
    <w:p w14:paraId="04D2F6F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7、招标文件的澄清和修改</w:t>
      </w:r>
    </w:p>
    <w:p w14:paraId="62DA18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任何要求对招标文件进行澄清或对招标文件质疑的潜在投标人，均应在获取招标文件或者招标文件公告期限届满之日起7个工作日内以书面形式（须加盖公章）通知采购代理机构（如投标人所参与项目须要在网上提交质疑程序，投标人须将纸质版质疑材料与网上提交质疑程序在同一工作日内进行，如出现日期不一致时，以两者中最后日期为准），超过这个规定期限提出的澄清要求或质疑将不予受理。采购代理机构对收到的澄清要求将视所提问题的具体情况以书面形式予以答复，同时传真给每个购买招标文件的潜在投标人或由潜在投标人直接到采购代理机构领取。潜在投标人应在1日内确认已收到该答复，未回复的潜在投标人视为已经收到该答复。答复中包括所提的问题，但不包括问题的来源。</w:t>
      </w:r>
    </w:p>
    <w:p w14:paraId="149370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7.2采购人或者采购代理机构可以对已发出的招标文件、招标公告进行必要的澄清或者修改，但不得改变采购标的和资格条件。澄清或者修改将在原公告发布媒体上发布澄清公告。澄清或者修改的内容为招标文件、招标公告的组成部分。</w:t>
      </w:r>
    </w:p>
    <w:p w14:paraId="2CF1FC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澄清或者修改的内容可能影响投标文件编制的，采购人或者采购代理机构将在投标截止时间15日前，以书面形式通知所有获取招标文件的潜在投标人；不足15日的，采购人或者采购代理机构将顺延提交投标文件的截止时间。在这种情况下，采购人、采购代理机构和投标人受投标截止时间制约的所有权利和义务均相应顺延至新的投标截止时间。</w:t>
      </w:r>
    </w:p>
    <w:p w14:paraId="0BD965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7.3本项目不召开答疑会。</w:t>
      </w:r>
    </w:p>
    <w:p w14:paraId="389CC64E">
      <w:pPr>
        <w:spacing w:line="360" w:lineRule="auto"/>
        <w:ind w:firstLine="482"/>
        <w:jc w:val="center"/>
        <w:rPr>
          <w:rFonts w:ascii="宋体" w:hAnsi="宋体" w:cs="宋体"/>
          <w:b/>
          <w:color w:val="auto"/>
          <w:sz w:val="24"/>
          <w:highlight w:val="none"/>
        </w:rPr>
      </w:pPr>
      <w:r>
        <w:rPr>
          <w:rFonts w:hint="eastAsia" w:ascii="宋体" w:hAnsi="宋体" w:cs="宋体"/>
          <w:b/>
          <w:color w:val="auto"/>
          <w:sz w:val="24"/>
          <w:highlight w:val="none"/>
        </w:rPr>
        <w:t>三、投标文件的编制</w:t>
      </w:r>
    </w:p>
    <w:p w14:paraId="4BE8D12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8、投标范围、投标语言及投标文件中计量单位的使用</w:t>
      </w:r>
    </w:p>
    <w:p w14:paraId="2968DA7F">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8.1</w:t>
      </w:r>
      <w:r>
        <w:rPr>
          <w:rFonts w:ascii="宋体" w:hAnsi="宋体" w:cs="宋体"/>
          <w:color w:val="auto"/>
          <w:sz w:val="24"/>
          <w:highlight w:val="none"/>
        </w:rPr>
        <w:t>本项目如划分采购包，投标人可以对本项目的其中一个采购包进行投标，也可同时对多个采购包进行投标。投标人应当对所投采购包对应第五章《采购需求》所列的全部内容进行投标，不得将一个采购包中的内容拆分投标，</w:t>
      </w:r>
      <w:r>
        <w:rPr>
          <w:rFonts w:ascii="宋体" w:hAnsi="宋体" w:cs="宋体"/>
          <w:b/>
          <w:bCs/>
          <w:color w:val="auto"/>
          <w:sz w:val="24"/>
          <w:highlight w:val="none"/>
        </w:rPr>
        <w:t>否则其对该采购包的投标将被认定为无效投标。</w:t>
      </w:r>
    </w:p>
    <w:p w14:paraId="742AE8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8.2</w:t>
      </w:r>
      <w:r>
        <w:rPr>
          <w:rFonts w:ascii="宋体" w:hAnsi="宋体" w:cs="宋体"/>
          <w:color w:val="auto"/>
          <w:sz w:val="24"/>
          <w:highlight w:val="none"/>
        </w:rPr>
        <w:t>除专用术语外，投标文件及来往函电均应使用中文书写。必要时专用术语应附有中文解释。投标人</w:t>
      </w:r>
      <w:r>
        <w:rPr>
          <w:rFonts w:hint="eastAsia" w:ascii="宋体" w:hAnsi="宋体" w:cs="宋体"/>
          <w:color w:val="auto"/>
          <w:sz w:val="24"/>
          <w:highlight w:val="none"/>
        </w:rPr>
        <w:t>提</w:t>
      </w:r>
      <w:r>
        <w:rPr>
          <w:rFonts w:ascii="宋体" w:hAnsi="宋体" w:cs="宋体"/>
          <w:color w:val="auto"/>
          <w:sz w:val="24"/>
          <w:highlight w:val="none"/>
        </w:rPr>
        <w:t>交的支持资料和已印制的文献可以用外文，但相应内容应附有中文翻译本，在解释投标文件时以中文翻译本为准。未附中文翻译本或翻译本中文内容明显与外文内容不一致的，其不利后果由投标人自行承担。</w:t>
      </w:r>
    </w:p>
    <w:p w14:paraId="4777A5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8.3</w:t>
      </w:r>
      <w:r>
        <w:rPr>
          <w:rFonts w:ascii="宋体" w:hAnsi="宋体" w:cs="宋体"/>
          <w:color w:val="auto"/>
          <w:sz w:val="24"/>
          <w:highlight w:val="none"/>
        </w:rPr>
        <w:t>除招标文件有特殊要求外，本项目投标所使用的计量单位，应采用中华人民共和国法定计量单位。</w:t>
      </w:r>
    </w:p>
    <w:p w14:paraId="27F5FB7A">
      <w:pPr>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9、投标文件构成</w:t>
      </w:r>
    </w:p>
    <w:p w14:paraId="07B8AC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9.1</w:t>
      </w:r>
      <w:r>
        <w:rPr>
          <w:rFonts w:ascii="宋体" w:hAnsi="宋体" w:cs="宋体"/>
          <w:color w:val="auto"/>
          <w:sz w:val="24"/>
          <w:highlight w:val="none"/>
        </w:rPr>
        <w:t>投标人应当按照招标文件的要求编制投标文件。投标文件的部分格式要求，见第</w:t>
      </w:r>
      <w:r>
        <w:rPr>
          <w:rFonts w:hint="eastAsia" w:ascii="宋体" w:hAnsi="宋体" w:cs="宋体"/>
          <w:color w:val="auto"/>
          <w:sz w:val="24"/>
          <w:highlight w:val="none"/>
        </w:rPr>
        <w:t>六</w:t>
      </w:r>
      <w:r>
        <w:rPr>
          <w:rFonts w:ascii="宋体" w:hAnsi="宋体" w:cs="宋体"/>
          <w:color w:val="auto"/>
          <w:sz w:val="24"/>
          <w:highlight w:val="none"/>
        </w:rPr>
        <w:t>章《</w:t>
      </w:r>
      <w:r>
        <w:rPr>
          <w:rFonts w:hint="eastAsia" w:ascii="宋体" w:hAnsi="宋体" w:cs="宋体"/>
          <w:color w:val="auto"/>
          <w:sz w:val="24"/>
          <w:highlight w:val="none"/>
        </w:rPr>
        <w:t>投标文件构成及格式</w:t>
      </w:r>
      <w:r>
        <w:rPr>
          <w:rFonts w:ascii="宋体" w:hAnsi="宋体" w:cs="宋体"/>
          <w:color w:val="auto"/>
          <w:sz w:val="24"/>
          <w:highlight w:val="none"/>
        </w:rPr>
        <w:t>》。</w:t>
      </w:r>
    </w:p>
    <w:p w14:paraId="3682D6A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9.2投标文件应编制文件目录，准确标明文件内容所在位置。投标文件应包含但不限于：</w:t>
      </w:r>
    </w:p>
    <w:p w14:paraId="03074E2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1、投标文件目录及页码</w:t>
      </w:r>
    </w:p>
    <w:p w14:paraId="5A81D7D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2、开标一览表</w:t>
      </w:r>
    </w:p>
    <w:p w14:paraId="2AEF90B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3、投标函</w:t>
      </w:r>
    </w:p>
    <w:p w14:paraId="359958E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4、投标报价明细表</w:t>
      </w:r>
    </w:p>
    <w:p w14:paraId="601CF1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auto"/>
          <w:sz w:val="24"/>
          <w:highlight w:val="none"/>
          <w:lang w:eastAsia="zh-CN"/>
        </w:rPr>
        <w:t>服务</w:t>
      </w:r>
      <w:r>
        <w:rPr>
          <w:rFonts w:hint="eastAsia" w:ascii="宋体" w:hAnsi="宋体" w:cs="宋体"/>
          <w:color w:val="auto"/>
          <w:sz w:val="24"/>
          <w:highlight w:val="none"/>
        </w:rPr>
        <w:t>需求偏离表</w:t>
      </w:r>
    </w:p>
    <w:p w14:paraId="434078F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6、售后服务承诺书</w:t>
      </w:r>
    </w:p>
    <w:p w14:paraId="582B62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7、法定代表人（单位负责人）身份证明</w:t>
      </w:r>
    </w:p>
    <w:p w14:paraId="4E4AB7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8、授权委托书</w:t>
      </w:r>
    </w:p>
    <w:p w14:paraId="29545A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9、中标服务费承诺书</w:t>
      </w:r>
    </w:p>
    <w:p w14:paraId="37F593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10、招标文件要求提供的其他资质证明文件</w:t>
      </w:r>
    </w:p>
    <w:p w14:paraId="13AEEC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11、招标文件要求提供的其他文件资料</w:t>
      </w:r>
    </w:p>
    <w:p w14:paraId="65E016E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12、投标人认为对其投标有利的其他文件资料</w:t>
      </w:r>
    </w:p>
    <w:p w14:paraId="6EC0C2A3">
      <w:pPr>
        <w:pStyle w:val="10"/>
        <w:spacing w:line="360" w:lineRule="auto"/>
        <w:ind w:firstLine="480"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9.3</w:t>
      </w:r>
      <w:r>
        <w:rPr>
          <w:rFonts w:ascii="宋体" w:hAnsi="宋体" w:eastAsia="宋体" w:cs="宋体"/>
          <w:color w:val="auto"/>
          <w:sz w:val="24"/>
          <w:szCs w:val="24"/>
          <w:highlight w:val="none"/>
        </w:rPr>
        <w:t>第</w:t>
      </w:r>
      <w:r>
        <w:rPr>
          <w:rFonts w:hint="eastAsia" w:ascii="宋体" w:hAnsi="宋体" w:eastAsia="宋体" w:cs="宋体"/>
          <w:color w:val="auto"/>
          <w:sz w:val="24"/>
          <w:szCs w:val="24"/>
          <w:highlight w:val="none"/>
        </w:rPr>
        <w:t>三</w:t>
      </w:r>
      <w:r>
        <w:rPr>
          <w:rFonts w:ascii="宋体" w:hAnsi="宋体" w:eastAsia="宋体" w:cs="宋体"/>
          <w:color w:val="auto"/>
          <w:sz w:val="24"/>
          <w:szCs w:val="24"/>
          <w:highlight w:val="none"/>
        </w:rPr>
        <w:t>章《评标</w:t>
      </w:r>
      <w:r>
        <w:rPr>
          <w:rFonts w:hint="eastAsia" w:ascii="宋体" w:hAnsi="宋体" w:eastAsia="宋体" w:cs="宋体"/>
          <w:color w:val="auto"/>
          <w:sz w:val="24"/>
          <w:szCs w:val="24"/>
          <w:highlight w:val="none"/>
        </w:rPr>
        <w:t>办法</w:t>
      </w:r>
      <w:r>
        <w:rPr>
          <w:rFonts w:ascii="宋体" w:hAnsi="宋体" w:eastAsia="宋体" w:cs="宋体"/>
          <w:color w:val="auto"/>
          <w:sz w:val="24"/>
          <w:szCs w:val="24"/>
          <w:highlight w:val="none"/>
        </w:rPr>
        <w:t>》中涉及的证明文件</w:t>
      </w:r>
      <w:r>
        <w:rPr>
          <w:rFonts w:hint="eastAsia" w:ascii="宋体" w:hAnsi="宋体" w:eastAsia="宋体" w:cs="宋体"/>
          <w:color w:val="auto"/>
          <w:sz w:val="24"/>
          <w:szCs w:val="24"/>
          <w:highlight w:val="none"/>
        </w:rPr>
        <w:t>。</w:t>
      </w:r>
    </w:p>
    <w:p w14:paraId="1B8B256C">
      <w:pPr>
        <w:pStyle w:val="14"/>
        <w:spacing w:line="360" w:lineRule="auto"/>
        <w:ind w:firstLine="480" w:firstLineChars="200"/>
        <w:rPr>
          <w:rFonts w:ascii="宋体" w:hAnsi="宋体" w:cs="宋体"/>
          <w:color w:val="auto"/>
          <w:szCs w:val="24"/>
          <w:highlight w:val="none"/>
        </w:rPr>
      </w:pPr>
      <w:r>
        <w:rPr>
          <w:rFonts w:hint="eastAsia" w:ascii="宋体" w:hAnsi="宋体" w:cs="宋体"/>
          <w:color w:val="auto"/>
          <w:szCs w:val="24"/>
          <w:highlight w:val="none"/>
        </w:rPr>
        <w:t>9.4</w:t>
      </w:r>
      <w:r>
        <w:rPr>
          <w:rFonts w:ascii="宋体" w:hAnsi="宋体" w:cs="宋体"/>
          <w:color w:val="auto"/>
          <w:szCs w:val="24"/>
          <w:highlight w:val="none"/>
        </w:rPr>
        <w:t>对照第五章《采购需求》，说明所供货物和服务已对第五章《采购需求》做出了响应，或申明与第五章《采购需求》的偏差和例外。如第五章《采购需求》中要求</w:t>
      </w:r>
      <w:r>
        <w:rPr>
          <w:rFonts w:hint="eastAsia" w:ascii="宋体" w:hAnsi="宋体" w:cs="宋体"/>
          <w:color w:val="auto"/>
          <w:szCs w:val="24"/>
          <w:highlight w:val="none"/>
        </w:rPr>
        <w:t>提</w:t>
      </w:r>
      <w:r>
        <w:rPr>
          <w:rFonts w:ascii="宋体" w:hAnsi="宋体" w:cs="宋体"/>
          <w:color w:val="auto"/>
          <w:szCs w:val="24"/>
          <w:highlight w:val="none"/>
        </w:rPr>
        <w:t>供证明文件的，投标人应当按具体要求</w:t>
      </w:r>
      <w:r>
        <w:rPr>
          <w:rFonts w:hint="eastAsia" w:ascii="宋体" w:hAnsi="宋体" w:cs="宋体"/>
          <w:color w:val="auto"/>
          <w:szCs w:val="24"/>
          <w:highlight w:val="none"/>
        </w:rPr>
        <w:t>提</w:t>
      </w:r>
      <w:r>
        <w:rPr>
          <w:rFonts w:ascii="宋体" w:hAnsi="宋体" w:cs="宋体"/>
          <w:color w:val="auto"/>
          <w:szCs w:val="24"/>
          <w:highlight w:val="none"/>
        </w:rPr>
        <w:t>供证明文件。</w:t>
      </w:r>
    </w:p>
    <w:p w14:paraId="59225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9.5</w:t>
      </w:r>
      <w:r>
        <w:rPr>
          <w:rFonts w:ascii="宋体" w:hAnsi="宋体" w:cs="宋体"/>
          <w:color w:val="auto"/>
          <w:sz w:val="24"/>
          <w:highlight w:val="none"/>
        </w:rPr>
        <w:t>投标人认为应附的其他材料。</w:t>
      </w:r>
    </w:p>
    <w:p w14:paraId="0CB2E17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10、投标报价</w:t>
      </w:r>
    </w:p>
    <w:p w14:paraId="5FC4F17E">
      <w:pPr>
        <w:spacing w:line="360" w:lineRule="auto"/>
        <w:ind w:firstLine="480" w:firstLineChars="200"/>
        <w:rPr>
          <w:rFonts w:ascii="宋体" w:hAnsi="宋体" w:cs="宋体"/>
          <w:sz w:val="24"/>
        </w:rPr>
      </w:pPr>
      <w:r>
        <w:rPr>
          <w:rFonts w:hint="eastAsia" w:ascii="宋体" w:hAnsi="宋体" w:cs="宋体"/>
          <w:sz w:val="24"/>
        </w:rPr>
        <w:t>10.1报价原则：所有投标均以人民币报价。</w:t>
      </w:r>
    </w:p>
    <w:p w14:paraId="21714B16">
      <w:pPr>
        <w:spacing w:line="360" w:lineRule="auto"/>
        <w:ind w:firstLine="480" w:firstLineChars="200"/>
        <w:rPr>
          <w:rFonts w:ascii="宋体" w:hAnsi="宋体" w:cs="宋体"/>
          <w:sz w:val="24"/>
        </w:rPr>
      </w:pPr>
      <w:r>
        <w:rPr>
          <w:rFonts w:hint="eastAsia" w:ascii="宋体" w:hAnsi="宋体" w:cs="宋体"/>
          <w:sz w:val="24"/>
        </w:rPr>
        <w:t>10.2投标人</w:t>
      </w:r>
      <w:r>
        <w:rPr>
          <w:rFonts w:ascii="宋体" w:hAnsi="宋体" w:cs="宋体"/>
          <w:sz w:val="24"/>
        </w:rPr>
        <w:t>的报价应包括为完成本项目所发生的一切费用和税费，采购人将不再支付报价以外的任何费用。</w:t>
      </w:r>
    </w:p>
    <w:p w14:paraId="125A5C71">
      <w:pPr>
        <w:spacing w:line="360" w:lineRule="auto"/>
        <w:ind w:firstLine="480" w:firstLineChars="200"/>
        <w:rPr>
          <w:rFonts w:ascii="宋体" w:hAnsi="宋体" w:cs="宋体"/>
          <w:sz w:val="24"/>
        </w:rPr>
      </w:pPr>
      <w:r>
        <w:rPr>
          <w:rFonts w:hint="eastAsia" w:ascii="宋体" w:hAnsi="宋体" w:cs="宋体"/>
          <w:sz w:val="24"/>
        </w:rPr>
        <w:t>10.2.1投标</w:t>
      </w:r>
      <w:r>
        <w:rPr>
          <w:rFonts w:ascii="宋体" w:hAnsi="宋体" w:cs="宋体"/>
          <w:sz w:val="24"/>
        </w:rPr>
        <w:t>货物</w:t>
      </w:r>
      <w:r>
        <w:rPr>
          <w:rFonts w:hint="eastAsia" w:ascii="宋体" w:hAnsi="宋体" w:cs="宋体"/>
          <w:sz w:val="24"/>
        </w:rPr>
        <w:t xml:space="preserve">及标准附件、备品备件、专用工具等的出厂价（包括已在中国国内的进口货物完税后的仓库交货价、展室交货价或货架交货价）和运至最终目的地的运输费和保险费，安装调试、检验、技术服务、培训、质量保证、售后服务、税费等； </w:t>
      </w:r>
    </w:p>
    <w:p w14:paraId="2F991F89">
      <w:pPr>
        <w:spacing w:line="360" w:lineRule="auto"/>
        <w:ind w:firstLine="480" w:firstLineChars="200"/>
        <w:rPr>
          <w:rFonts w:ascii="宋体" w:hAnsi="宋体" w:cs="宋体"/>
          <w:sz w:val="24"/>
        </w:rPr>
      </w:pPr>
      <w:r>
        <w:rPr>
          <w:rFonts w:hint="eastAsia" w:ascii="宋体" w:hAnsi="宋体" w:cs="宋体"/>
          <w:sz w:val="24"/>
        </w:rPr>
        <w:t>10.2.2 按照招标文件要求完成本项目的全部相关费用。</w:t>
      </w:r>
    </w:p>
    <w:p w14:paraId="205BA55C">
      <w:pPr>
        <w:spacing w:line="360" w:lineRule="auto"/>
        <w:ind w:firstLine="480" w:firstLineChars="200"/>
        <w:rPr>
          <w:rFonts w:ascii="宋体" w:hAnsi="宋体" w:cs="宋体"/>
          <w:sz w:val="24"/>
        </w:rPr>
      </w:pPr>
      <w:r>
        <w:rPr>
          <w:rFonts w:hint="eastAsia" w:ascii="宋体" w:hAnsi="宋体" w:cs="宋体"/>
          <w:sz w:val="24"/>
        </w:rPr>
        <w:t>10.3投标人所报的价格在合同执行过程中是固定不变的，不得以任何理由予以变更。以可调整的价格提交的，</w:t>
      </w:r>
      <w:r>
        <w:rPr>
          <w:rFonts w:ascii="宋体" w:hAnsi="宋体" w:cs="宋体"/>
          <w:sz w:val="24"/>
        </w:rPr>
        <w:t>其</w:t>
      </w:r>
      <w:r>
        <w:rPr>
          <w:rFonts w:ascii="宋体" w:hAnsi="宋体" w:cs="宋体"/>
          <w:b/>
          <w:bCs/>
          <w:sz w:val="24"/>
        </w:rPr>
        <w:t>投标无效</w:t>
      </w:r>
      <w:r>
        <w:rPr>
          <w:rFonts w:ascii="宋体" w:hAnsi="宋体" w:cs="宋体"/>
          <w:sz w:val="24"/>
        </w:rPr>
        <w:t>。</w:t>
      </w:r>
    </w:p>
    <w:p w14:paraId="76E3850C">
      <w:pPr>
        <w:spacing w:line="360" w:lineRule="auto"/>
        <w:ind w:firstLine="480" w:firstLineChars="200"/>
        <w:rPr>
          <w:rFonts w:ascii="宋体" w:hAnsi="宋体" w:cs="宋体"/>
          <w:sz w:val="24"/>
        </w:rPr>
      </w:pPr>
      <w:r>
        <w:rPr>
          <w:rFonts w:hint="eastAsia" w:ascii="宋体" w:hAnsi="宋体" w:cs="宋体"/>
          <w:sz w:val="24"/>
        </w:rPr>
        <w:t>10.4采购人不得向投标人索要或者接受其给予的赠品、回扣或者与采购无关的其他商品、服务。</w:t>
      </w:r>
    </w:p>
    <w:p w14:paraId="4C06A6B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11、投标保证金</w:t>
      </w:r>
    </w:p>
    <w:p w14:paraId="6ED48DC2">
      <w:pPr>
        <w:spacing w:line="360" w:lineRule="auto"/>
        <w:ind w:firstLine="480" w:firstLineChars="200"/>
        <w:rPr>
          <w:rFonts w:hint="eastAsia" w:ascii="宋体" w:hAnsi="宋体" w:cs="宋体"/>
          <w:sz w:val="24"/>
        </w:rPr>
      </w:pPr>
      <w:r>
        <w:rPr>
          <w:rFonts w:hint="eastAsia" w:ascii="宋体" w:hAnsi="宋体" w:cs="宋体"/>
          <w:sz w:val="24"/>
        </w:rPr>
        <w:t>11.1投标保证金：投标人应在投标截止时间前将投标保证金采用电汇、转账、支票、汇票、本票或者金融机构、担保机构出具的保函等非现金形式交纳，投标保证金应当从</w:t>
      </w:r>
      <w:r>
        <w:rPr>
          <w:rFonts w:hint="eastAsia" w:ascii="宋体" w:hAnsi="宋体" w:cs="宋体"/>
          <w:sz w:val="24"/>
          <w:lang w:eastAsia="zh-CN"/>
        </w:rPr>
        <w:t>投标人</w:t>
      </w:r>
      <w:r>
        <w:rPr>
          <w:rFonts w:hint="eastAsia" w:ascii="宋体" w:hAnsi="宋体" w:cs="宋体"/>
          <w:sz w:val="24"/>
        </w:rPr>
        <w:t>的基本账户（并提供基本账户的基本存款账户信息或开户许可证，</w:t>
      </w:r>
      <w:r>
        <w:rPr>
          <w:rFonts w:hint="eastAsia" w:ascii="宋体" w:hAnsi="宋体" w:cs="宋体"/>
          <w:b/>
          <w:bCs/>
          <w:sz w:val="24"/>
        </w:rPr>
        <w:t>否则投标无效</w:t>
      </w:r>
      <w:r>
        <w:rPr>
          <w:rFonts w:hint="eastAsia" w:ascii="宋体" w:hAnsi="宋体" w:cs="宋体"/>
          <w:sz w:val="24"/>
        </w:rPr>
        <w:t>）转出，保证金的交纳时间以到账时间为准。</w:t>
      </w:r>
    </w:p>
    <w:p w14:paraId="046A2FA1">
      <w:pPr>
        <w:spacing w:line="360" w:lineRule="auto"/>
        <w:ind w:firstLine="480" w:firstLineChars="200"/>
        <w:rPr>
          <w:rFonts w:hint="eastAsia" w:ascii="宋体" w:hAnsi="宋体" w:cs="宋体"/>
          <w:color w:val="auto"/>
          <w:sz w:val="24"/>
        </w:rPr>
      </w:pPr>
      <w:r>
        <w:rPr>
          <w:rFonts w:hint="eastAsia" w:ascii="宋体" w:hAnsi="宋体" w:cs="宋体"/>
          <w:color w:val="auto"/>
          <w:sz w:val="24"/>
        </w:rPr>
        <w:t>收款人全称：中金招标有限责任公司吉林省分公司</w:t>
      </w:r>
    </w:p>
    <w:p w14:paraId="4065C6E5">
      <w:pPr>
        <w:spacing w:line="360" w:lineRule="auto"/>
        <w:ind w:firstLine="480" w:firstLineChars="200"/>
        <w:rPr>
          <w:rFonts w:hint="eastAsia" w:ascii="宋体" w:hAnsi="宋体" w:cs="宋体"/>
          <w:color w:val="auto"/>
          <w:sz w:val="24"/>
        </w:rPr>
      </w:pPr>
      <w:r>
        <w:rPr>
          <w:rFonts w:hint="eastAsia" w:ascii="宋体" w:hAnsi="宋体" w:cs="宋体"/>
          <w:color w:val="auto"/>
          <w:sz w:val="24"/>
        </w:rPr>
        <w:t>开户行：招商银行长春分行营业部</w:t>
      </w:r>
    </w:p>
    <w:p w14:paraId="053CBA1A">
      <w:pPr>
        <w:spacing w:line="360" w:lineRule="auto"/>
        <w:ind w:firstLine="480" w:firstLineChars="200"/>
        <w:rPr>
          <w:rFonts w:hint="eastAsia" w:ascii="宋体" w:hAnsi="宋体" w:cs="宋体"/>
          <w:color w:val="auto"/>
          <w:sz w:val="24"/>
          <w:lang w:val="zh-CN"/>
        </w:rPr>
      </w:pPr>
      <w:r>
        <w:rPr>
          <w:rFonts w:hint="eastAsia" w:ascii="宋体" w:hAnsi="宋体" w:cs="宋体"/>
          <w:color w:val="auto"/>
          <w:sz w:val="24"/>
        </w:rPr>
        <w:t>账  号：431901478010801</w:t>
      </w:r>
    </w:p>
    <w:p w14:paraId="74D4277E">
      <w:pPr>
        <w:spacing w:line="360" w:lineRule="auto"/>
        <w:ind w:firstLine="480" w:firstLineChars="200"/>
        <w:rPr>
          <w:rFonts w:ascii="宋体" w:hAnsi="宋体" w:cs="宋体"/>
          <w:sz w:val="24"/>
        </w:rPr>
      </w:pPr>
      <w:r>
        <w:rPr>
          <w:rFonts w:hint="eastAsia" w:ascii="宋体" w:hAnsi="宋体" w:cs="宋体"/>
          <w:sz w:val="24"/>
        </w:rPr>
        <w:t>11.2投标保证金是投标文件的一个组成部分，没有按要求提交投标保证金的，</w:t>
      </w:r>
      <w:r>
        <w:rPr>
          <w:rFonts w:hint="eastAsia" w:ascii="宋体" w:hAnsi="宋体" w:cs="宋体"/>
          <w:b/>
          <w:bCs/>
          <w:sz w:val="24"/>
        </w:rPr>
        <w:t>投标无效</w:t>
      </w:r>
      <w:r>
        <w:rPr>
          <w:rFonts w:hint="eastAsia" w:ascii="宋体" w:hAnsi="宋体" w:cs="宋体"/>
          <w:sz w:val="24"/>
        </w:rPr>
        <w:t>。</w:t>
      </w:r>
    </w:p>
    <w:p w14:paraId="09FBF1A1">
      <w:pPr>
        <w:spacing w:line="360" w:lineRule="auto"/>
        <w:ind w:firstLine="480" w:firstLineChars="200"/>
        <w:rPr>
          <w:rFonts w:ascii="宋体" w:hAnsi="宋体" w:cs="宋体"/>
          <w:sz w:val="24"/>
        </w:rPr>
      </w:pPr>
      <w:r>
        <w:rPr>
          <w:rFonts w:hint="eastAsia" w:ascii="宋体" w:hAnsi="宋体" w:cs="宋体"/>
          <w:sz w:val="24"/>
        </w:rPr>
        <w:t>11.3</w:t>
      </w:r>
      <w:r>
        <w:rPr>
          <w:rFonts w:ascii="宋体" w:hAnsi="宋体" w:cs="宋体"/>
          <w:sz w:val="24"/>
        </w:rPr>
        <w:t xml:space="preserve">采购人、采购代理机构将及时退还投标人的投标保证金，采用银行保函、担保机构担保函等形式递交的投标保证金，经投标人同意后采购人、采购代理机构可以不再退还，但因投标人自身原因导致无法及时退还的除外： </w:t>
      </w:r>
    </w:p>
    <w:p w14:paraId="217173D9">
      <w:pPr>
        <w:spacing w:line="360" w:lineRule="auto"/>
        <w:ind w:firstLine="480" w:firstLineChars="200"/>
        <w:rPr>
          <w:rFonts w:ascii="宋体" w:hAnsi="宋体" w:cs="宋体"/>
          <w:sz w:val="24"/>
        </w:rPr>
      </w:pPr>
      <w:r>
        <w:rPr>
          <w:rFonts w:hint="eastAsia" w:ascii="宋体" w:hAnsi="宋体" w:cs="宋体"/>
          <w:sz w:val="24"/>
        </w:rPr>
        <w:t>11.3</w:t>
      </w:r>
      <w:r>
        <w:rPr>
          <w:rFonts w:ascii="宋体" w:hAnsi="宋体" w:cs="宋体"/>
          <w:sz w:val="24"/>
        </w:rPr>
        <w:t>.1 投标人在投标截止时间前撤回已</w:t>
      </w:r>
      <w:r>
        <w:rPr>
          <w:rFonts w:hint="eastAsia" w:ascii="宋体" w:hAnsi="宋体" w:cs="宋体"/>
          <w:sz w:val="24"/>
        </w:rPr>
        <w:t>提</w:t>
      </w:r>
      <w:r>
        <w:rPr>
          <w:rFonts w:ascii="宋体" w:hAnsi="宋体" w:cs="宋体"/>
          <w:sz w:val="24"/>
        </w:rPr>
        <w:t xml:space="preserve">交的投标文件的，自收到投标人书面撤回通知之日起5个工作日内退还已收取的投标保证金； </w:t>
      </w:r>
    </w:p>
    <w:p w14:paraId="187614D1">
      <w:pPr>
        <w:spacing w:line="360" w:lineRule="auto"/>
        <w:ind w:left="479" w:leftChars="228"/>
        <w:rPr>
          <w:rFonts w:ascii="宋体" w:hAnsi="宋体" w:cs="宋体"/>
          <w:sz w:val="24"/>
        </w:rPr>
      </w:pPr>
      <w:r>
        <w:rPr>
          <w:rFonts w:hint="eastAsia" w:ascii="宋体" w:hAnsi="宋体" w:cs="宋体"/>
          <w:sz w:val="24"/>
        </w:rPr>
        <w:t>11.3</w:t>
      </w:r>
      <w:r>
        <w:rPr>
          <w:rFonts w:ascii="宋体" w:hAnsi="宋体" w:cs="宋体"/>
          <w:sz w:val="24"/>
        </w:rPr>
        <w:t xml:space="preserve">.2 中标人的投标保证金，自采购合同签订之日起5个工作日内退还中标人； </w:t>
      </w:r>
      <w:r>
        <w:rPr>
          <w:rFonts w:hint="eastAsia" w:ascii="宋体" w:hAnsi="宋体" w:cs="宋体"/>
          <w:sz w:val="24"/>
        </w:rPr>
        <w:t>11.3</w:t>
      </w:r>
      <w:r>
        <w:rPr>
          <w:rFonts w:ascii="宋体" w:hAnsi="宋体" w:cs="宋体"/>
          <w:sz w:val="24"/>
        </w:rPr>
        <w:t>.3 未中标投标人的投标保证金，自中标通知书发出之日起5个工作日内退还未</w:t>
      </w:r>
    </w:p>
    <w:p w14:paraId="05094642">
      <w:pPr>
        <w:spacing w:line="360" w:lineRule="auto"/>
        <w:rPr>
          <w:rFonts w:ascii="宋体" w:hAnsi="宋体" w:cs="宋体"/>
          <w:sz w:val="24"/>
        </w:rPr>
      </w:pPr>
      <w:r>
        <w:rPr>
          <w:rFonts w:ascii="宋体" w:hAnsi="宋体" w:cs="宋体"/>
          <w:sz w:val="24"/>
        </w:rPr>
        <w:t xml:space="preserve">中标人； </w:t>
      </w:r>
    </w:p>
    <w:p w14:paraId="4FD90B85">
      <w:pPr>
        <w:spacing w:line="360" w:lineRule="auto"/>
        <w:ind w:left="479" w:leftChars="228"/>
        <w:rPr>
          <w:rFonts w:ascii="宋体" w:hAnsi="宋体" w:cs="宋体"/>
          <w:sz w:val="24"/>
        </w:rPr>
      </w:pPr>
      <w:r>
        <w:rPr>
          <w:rFonts w:hint="eastAsia" w:ascii="宋体" w:hAnsi="宋体" w:cs="宋体"/>
          <w:sz w:val="24"/>
        </w:rPr>
        <w:t>11.3</w:t>
      </w:r>
      <w:r>
        <w:rPr>
          <w:rFonts w:ascii="宋体" w:hAnsi="宋体" w:cs="宋体"/>
          <w:sz w:val="24"/>
        </w:rPr>
        <w:t>.4 终止招标项目已经收取投标保证金的，自终止采购活动后5个工作日内退还</w:t>
      </w:r>
    </w:p>
    <w:p w14:paraId="549BDA56">
      <w:pPr>
        <w:spacing w:line="360" w:lineRule="auto"/>
        <w:rPr>
          <w:rFonts w:ascii="宋体" w:hAnsi="宋体" w:cs="宋体"/>
          <w:sz w:val="24"/>
        </w:rPr>
      </w:pPr>
      <w:r>
        <w:rPr>
          <w:rFonts w:ascii="宋体" w:hAnsi="宋体" w:cs="宋体"/>
          <w:sz w:val="24"/>
        </w:rPr>
        <w:t>已收取的投标保证金。</w:t>
      </w:r>
    </w:p>
    <w:p w14:paraId="7A13FA18">
      <w:pPr>
        <w:spacing w:line="360" w:lineRule="auto"/>
        <w:ind w:firstLine="480" w:firstLineChars="200"/>
        <w:rPr>
          <w:rFonts w:ascii="宋体" w:hAnsi="宋体" w:cs="宋体"/>
          <w:sz w:val="24"/>
        </w:rPr>
      </w:pPr>
      <w:r>
        <w:rPr>
          <w:rFonts w:hint="eastAsia" w:ascii="宋体" w:hAnsi="宋体" w:cs="宋体"/>
          <w:sz w:val="24"/>
        </w:rPr>
        <w:t>11.4中标人有下列情况之一的，采购人和采购代理机构不予退还其交纳的投标保证金：</w:t>
      </w:r>
    </w:p>
    <w:p w14:paraId="6B6E574A">
      <w:pPr>
        <w:spacing w:line="360" w:lineRule="auto"/>
        <w:ind w:firstLine="480" w:firstLineChars="200"/>
        <w:rPr>
          <w:rFonts w:ascii="宋体" w:hAnsi="宋体" w:cs="宋体"/>
          <w:sz w:val="24"/>
        </w:rPr>
      </w:pPr>
      <w:r>
        <w:rPr>
          <w:rFonts w:hint="eastAsia" w:ascii="宋体" w:hAnsi="宋体" w:cs="宋体"/>
          <w:sz w:val="24"/>
        </w:rPr>
        <w:t>（1）投标人在招标文件规定的投标有效期内撤回其投标；</w:t>
      </w:r>
    </w:p>
    <w:p w14:paraId="0317935E">
      <w:pPr>
        <w:spacing w:line="360" w:lineRule="auto"/>
        <w:ind w:firstLine="480" w:firstLineChars="200"/>
        <w:rPr>
          <w:rFonts w:ascii="宋体" w:hAnsi="宋体" w:cs="宋体"/>
          <w:sz w:val="24"/>
        </w:rPr>
      </w:pPr>
      <w:r>
        <w:rPr>
          <w:rFonts w:hint="eastAsia" w:ascii="宋体" w:hAnsi="宋体" w:cs="宋体"/>
          <w:sz w:val="24"/>
        </w:rPr>
        <w:t>（2）中标人未按规定提交履约保证金的；</w:t>
      </w:r>
    </w:p>
    <w:p w14:paraId="3A7D3CC3">
      <w:pPr>
        <w:spacing w:line="360" w:lineRule="auto"/>
        <w:ind w:firstLine="480" w:firstLineChars="200"/>
        <w:rPr>
          <w:rFonts w:ascii="宋体" w:hAnsi="宋体" w:cs="宋体"/>
          <w:sz w:val="24"/>
        </w:rPr>
      </w:pPr>
      <w:r>
        <w:rPr>
          <w:rFonts w:hint="eastAsia" w:ascii="宋体" w:hAnsi="宋体" w:cs="宋体"/>
          <w:sz w:val="24"/>
        </w:rPr>
        <w:t>（3）中标人未按规定时间、地点与采购人签订合同的；</w:t>
      </w:r>
    </w:p>
    <w:p w14:paraId="7190E6D8">
      <w:pPr>
        <w:spacing w:line="360" w:lineRule="auto"/>
        <w:ind w:firstLine="480" w:firstLineChars="200"/>
        <w:rPr>
          <w:rFonts w:ascii="宋体" w:hAnsi="宋体" w:cs="宋体"/>
          <w:sz w:val="24"/>
        </w:rPr>
      </w:pPr>
      <w:r>
        <w:rPr>
          <w:rFonts w:hint="eastAsia" w:ascii="宋体" w:hAnsi="宋体" w:cs="宋体"/>
          <w:sz w:val="24"/>
        </w:rPr>
        <w:t>（4）投标人存在严重违法行为：如提供虚假材料谋取中标，恶意串通，以及行贿或者提供其他不正当利益等；</w:t>
      </w:r>
    </w:p>
    <w:p w14:paraId="5EF4F3CA">
      <w:pPr>
        <w:spacing w:line="360" w:lineRule="auto"/>
        <w:ind w:firstLine="480" w:firstLineChars="200"/>
        <w:rPr>
          <w:rFonts w:ascii="宋体" w:hAnsi="宋体" w:cs="宋体"/>
          <w:sz w:val="24"/>
        </w:rPr>
      </w:pPr>
      <w:r>
        <w:rPr>
          <w:rFonts w:hint="eastAsia" w:ascii="宋体" w:hAnsi="宋体" w:cs="宋体"/>
          <w:sz w:val="24"/>
        </w:rPr>
        <w:t>（5）招标文件规定不予退还投标保证金的其他情形。</w:t>
      </w:r>
    </w:p>
    <w:p w14:paraId="18EAA8B1">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12、投标有效期</w:t>
      </w:r>
    </w:p>
    <w:p w14:paraId="1ECBB77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12.1投标有效期为自开标之时起90天，投标文件在这个规定期限内应保持有效。</w:t>
      </w:r>
      <w:r>
        <w:rPr>
          <w:rFonts w:ascii="宋体" w:hAnsi="宋体" w:cs="宋体"/>
          <w:color w:val="auto"/>
          <w:sz w:val="24"/>
          <w:highlight w:val="none"/>
        </w:rPr>
        <w:t>投标有效期少于招标文件规定期限的，其</w:t>
      </w:r>
      <w:r>
        <w:rPr>
          <w:rFonts w:ascii="宋体" w:hAnsi="宋体" w:cs="宋体"/>
          <w:b/>
          <w:bCs/>
          <w:color w:val="auto"/>
          <w:sz w:val="24"/>
          <w:highlight w:val="none"/>
        </w:rPr>
        <w:t>投标无效</w:t>
      </w:r>
      <w:r>
        <w:rPr>
          <w:rFonts w:ascii="宋体" w:hAnsi="宋体" w:cs="宋体"/>
          <w:color w:val="auto"/>
          <w:sz w:val="24"/>
          <w:highlight w:val="none"/>
        </w:rPr>
        <w:t>。</w:t>
      </w:r>
    </w:p>
    <w:p w14:paraId="753C444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12.2在特殊情况下，招标方可与投标人协商延长投标有效期。这种要求和答复都应以书面形式进行。投标人可以拒绝接受延期要求而不会被没收投标保证金。同意延长投标有效期的投标人除按照招标方要求修改投标文件的有效期外，不能修改投标文件的其他内容。</w:t>
      </w:r>
    </w:p>
    <w:p w14:paraId="00D568A6">
      <w:pPr>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435874E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.1 </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应按照本须知的要求编制投标文件，逐项逐条响应招标文件并使用下载的政采云投标客户端制作并上传。</w:t>
      </w:r>
    </w:p>
    <w:p w14:paraId="527972B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.2电子投标文件中须加盖</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公章部分均采用CA签章，并根据“政府采购项目电子交易管理操作指南-</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（政采云）”及本招标文件响应文件格式规定的格式和顺序编制电子投标文件并进行关联定位，以便评标委员会在评审时，点击评分项可直接定位到该评分项内容。如对招标文件的某项要求，</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的电子投标文件未能关联定位提供相应的内容与其对应，则评标委员会在评审时如做出对</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不利的评审由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自行承担。电子投标文件如内容不完整、编排混乱导致响应文件被误读、漏读，或者在按招标文件规定的部位查找不到相关内容的，由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自行承担。</w:t>
      </w:r>
    </w:p>
    <w:p w14:paraId="6581ED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.3</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 xml:space="preserve">法定代表人或主要负责人或其委托代理人持有政采云个人CA签章的，应在投标文件中涉及到签字的位置使用个人CA签章，没有办理政采云个人CA签章的可在投标文件中涉及到签字的位置手写签字后扫描或者拍照做成PDF的格式上传即可。 </w:t>
      </w:r>
    </w:p>
    <w:p w14:paraId="0FAEE47C">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.4投标文件不得涂改，若有修改错漏处，须法定代表人或主要负责人或其委托代理人签字（或个人CA签章）。文件加盖CA签章时，请勿遮挡文件中关键信息。投标文件因字迹潦草或表达不清所引起的后果由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负责。</w:t>
      </w:r>
    </w:p>
    <w:p w14:paraId="0E09B4C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.5评标前准备 </w:t>
      </w:r>
    </w:p>
    <w:p w14:paraId="225822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.5.1 本项目实行网上评审，采用电子投标文件。 </w:t>
      </w:r>
    </w:p>
    <w:p w14:paraId="3B879CB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.5.2 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在响应文件提交截止时间前应确保成为政采云平台正式注册入库</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，并完成CA数字证书申领。因未注册入库、未办理CA数字证书等原因造成无法投标或投标失败等后果由</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 xml:space="preserve">自行承担。 </w:t>
      </w:r>
    </w:p>
    <w:p w14:paraId="0A3E70F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 xml:space="preserve">.5.3 </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将政采云电子交易客户端下载、安装完成后，可通过登录客户端进行响应文件制作。客户端请至网站下载专区查看，如有问题可拨打政采云客户服务热线95763进行咨询。</w:t>
      </w:r>
    </w:p>
    <w:p w14:paraId="68B59E5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.6其他说明</w:t>
      </w:r>
    </w:p>
    <w:p w14:paraId="327ED34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应先安装“政采云投标客户端”（请自行前往政采云平台进行下载https://customer.zcygov.cn/CA-driver-download?utm=web-login-front.52cebfa2.0.0.04df4040034511edaac705fda12edb43），通过账号密码或CA登录客户端制作投标文件。</w:t>
      </w:r>
    </w:p>
    <w:p w14:paraId="59D91BA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.6.2 投标文件按照招标文件第六章投标文件构成及格式要求在规定位置进行签署、盖章。</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的投标文件未按照招标文件要求签署、盖章的，其响应</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0F6C713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.6.3 为确保网上操作合法、有效和安全，</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应当在投标文件递交截止时间前完成在政采云平台的身份认证，确保在电子投标过程中能够对相关数据电文进行加密和使用电子签名。</w:t>
      </w:r>
    </w:p>
    <w:p w14:paraId="56EE81B7">
      <w:pPr>
        <w:autoSpaceDE w:val="0"/>
        <w:autoSpaceDN w:val="0"/>
        <w:adjustRightInd w:val="0"/>
        <w:spacing w:line="360" w:lineRule="auto"/>
        <w:ind w:firstLine="482"/>
        <w:rPr>
          <w:rFonts w:hint="eastAsia" w:ascii="宋体" w:hAnsi="宋体" w:cs="宋体"/>
          <w:color w:val="auto"/>
          <w:sz w:val="24"/>
          <w:szCs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.6.4 投标文件中标注的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名称应与主体资格证明（如营业执照、事业单位法人证书、执业许可证、个体工商户营业执照、自然人身份证等）和公章/电子签章一致，</w:t>
      </w:r>
      <w:r>
        <w:rPr>
          <w:rFonts w:hint="eastAsia" w:ascii="宋体" w:hAnsi="宋体" w:cs="宋体"/>
          <w:b/>
          <w:bCs/>
          <w:color w:val="auto"/>
          <w:sz w:val="24"/>
          <w:highlight w:val="none"/>
        </w:rPr>
        <w:t>否则作无效投标处理</w:t>
      </w:r>
      <w:r>
        <w:rPr>
          <w:rFonts w:hint="eastAsia" w:ascii="宋体" w:hAnsi="宋体" w:cs="宋体"/>
          <w:color w:val="auto"/>
          <w:sz w:val="24"/>
          <w:szCs w:val="24"/>
          <w:highlight w:val="none"/>
        </w:rPr>
        <w:t>。</w:t>
      </w:r>
    </w:p>
    <w:p w14:paraId="023D2BA7">
      <w:pPr>
        <w:spacing w:line="360" w:lineRule="auto"/>
        <w:ind w:firstLine="472" w:firstLineChars="196"/>
        <w:outlineLvl w:val="0"/>
        <w:rPr>
          <w:rFonts w:ascii="宋体" w:hAnsi="宋体" w:cs="宋体"/>
          <w:b/>
          <w:color w:val="auto"/>
          <w:sz w:val="24"/>
          <w:highlight w:val="none"/>
        </w:rPr>
      </w:pPr>
      <w:r>
        <w:rPr>
          <w:rFonts w:hint="eastAsia" w:ascii="宋体" w:hAnsi="宋体" w:cs="宋体"/>
          <w:b/>
          <w:color w:val="auto"/>
          <w:sz w:val="24"/>
          <w:highlight w:val="none"/>
        </w:rPr>
        <w:t>14、投标文件的修改和撤回</w:t>
      </w:r>
    </w:p>
    <w:p w14:paraId="755308A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14</w:t>
      </w:r>
      <w:r>
        <w:rPr>
          <w:rFonts w:hint="eastAsia" w:ascii="宋体" w:hAnsi="宋体" w:cs="宋体"/>
          <w:color w:val="auto"/>
          <w:sz w:val="24"/>
          <w:highlight w:val="none"/>
        </w:rPr>
        <w:t>.1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在提交投标文件后可对其投标文件进行修改或撤回，补充或者修改投标文件的，应当先行撤回原文件，补充、修改后重新传输递交。投标文件提交截止时间前未完成传输的，视为撤回投标文件。投标文件提交截止时间后递交的投标文件，政采云平台（https://www.zcygov.cn/）将拒收。</w:t>
      </w:r>
    </w:p>
    <w:p w14:paraId="4D72D7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.2在投标文件提交截止时间前，除</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补充、修改或者撤回投标文件外，任何单位和个人不得解密或提取投标文件。</w:t>
      </w:r>
    </w:p>
    <w:p w14:paraId="2C2252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.3在投标截止时间（开标时间）之后，</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不得对其投标文件做任何修改。</w:t>
      </w:r>
    </w:p>
    <w:p w14:paraId="5500FD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.4与其他</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恶意串通而撤回投标的，按照《中华人民共和国政府采购法》第七十七条的规定处理。</w:t>
      </w:r>
    </w:p>
    <w:p w14:paraId="100E3694">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15、投标</w:t>
      </w:r>
    </w:p>
    <w:p w14:paraId="478E593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当在招标文件要求提交投标文件的截止时间前，提交电子版投标文件。电子投标文件应在制作完成后，在投标文件提交截止时间前通过有效数字证书（CA认证锁）进行电子签章、加密，然后通过网络将加密的电子投标文件递交至政采云平台（https://www.zcygov.cn/）。未在规定时间内提交或者未按照招标文件要求签章、加密的电子投标文件，政采云平台（https://www.zcygov.cn/）将拒收。</w:t>
      </w:r>
    </w:p>
    <w:p w14:paraId="14C70244">
      <w:pPr>
        <w:numPr>
          <w:ilvl w:val="0"/>
          <w:numId w:val="2"/>
        </w:numPr>
        <w:spacing w:line="360" w:lineRule="auto"/>
        <w:ind w:firstLine="482" w:firstLineChars="200"/>
        <w:jc w:val="center"/>
        <w:rPr>
          <w:rFonts w:ascii="宋体" w:hAnsi="宋体" w:cs="宋体"/>
          <w:b/>
          <w:bCs/>
          <w:color w:val="auto"/>
          <w:sz w:val="24"/>
          <w:highlight w:val="none"/>
        </w:rPr>
      </w:pPr>
      <w:r>
        <w:rPr>
          <w:rFonts w:hint="eastAsia" w:ascii="宋体" w:hAnsi="宋体" w:cs="宋体"/>
          <w:b/>
          <w:bCs/>
          <w:color w:val="auto"/>
          <w:sz w:val="24"/>
          <w:highlight w:val="none"/>
        </w:rPr>
        <w:t>开标、资格性审查及评标</w:t>
      </w:r>
    </w:p>
    <w:p w14:paraId="207B92A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16、开标</w:t>
      </w:r>
    </w:p>
    <w:p w14:paraId="537A735B">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.1采购代理机构将在招标公告规定的时间和地点组织公开开标，邀请</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线上通过政采云平台参加。</w:t>
      </w:r>
    </w:p>
    <w:p w14:paraId="721BFA9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.2开标会由采购代理机构组织并主持。本项目开标使用</w:t>
      </w:r>
      <w:r>
        <w:rPr>
          <w:rFonts w:hint="eastAsia" w:asciiTheme="minorEastAsia" w:hAnsiTheme="minorEastAsia" w:eastAsiaTheme="minorEastAsia" w:cstheme="minorEastAsia"/>
          <w:color w:val="auto"/>
          <w:sz w:val="24"/>
          <w:highlight w:val="none"/>
        </w:rPr>
        <w:t>政采云平台（https://www.zcygov.cn/）</w:t>
      </w:r>
      <w:r>
        <w:rPr>
          <w:rFonts w:hint="eastAsia" w:ascii="宋体" w:hAnsi="宋体" w:cs="宋体"/>
          <w:color w:val="auto"/>
          <w:sz w:val="24"/>
          <w:highlight w:val="none"/>
        </w:rPr>
        <w:t>。</w:t>
      </w:r>
    </w:p>
    <w:p w14:paraId="215F05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.3</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不足3家的，不开标。</w:t>
      </w:r>
    </w:p>
    <w:p w14:paraId="21F7A62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.4开标过程将宣布</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名称、投标价格和招标文件规定的需要宣布的其他内容并进行记录，并由参加开标的各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确认。</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未在规定时间内确认一览表的，视同认可开标结果。</w:t>
      </w:r>
    </w:p>
    <w:p w14:paraId="78163B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.5开标过程由采购代理机构负责记录，由参加开标的各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代表和相关工作人员签字确认后随采购文件一并存档。</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代表对开标过程和开标记录有疑义，以及认为采购人、采购代理机构相关工作人员有需要回避的情形的，应当场提出询问或者回避申请。采购人、采购代理机构对</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代表提出的询问或者回避申请将及时处理。</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未参加开标的，视同认可开标结果。</w:t>
      </w:r>
    </w:p>
    <w:p w14:paraId="1EDEE9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.6投标文件解密</w:t>
      </w:r>
    </w:p>
    <w:p w14:paraId="43F91A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.6.1</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应当在招标文件规定的投标文件解密时间内对已上传的加密投标文件进行现场解密。如无特殊情况，解密工作须在投标截止时间后30分钟内完成。</w:t>
      </w:r>
    </w:p>
    <w:p w14:paraId="3B0071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.6.2</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授权代表解密时应当使用制作加密电子投标文件的同一把数字证书对已上传的投标文件进行解密。</w:t>
      </w:r>
    </w:p>
    <w:p w14:paraId="444BD2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.6.3因</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自身原因，逾期未能成功解密的，视为逾期未提交投标文件，其</w:t>
      </w:r>
      <w:r>
        <w:rPr>
          <w:rFonts w:hint="eastAsia" w:ascii="宋体" w:hAnsi="宋体" w:cs="宋体"/>
          <w:b/>
          <w:bCs/>
          <w:color w:val="auto"/>
          <w:sz w:val="24"/>
          <w:highlight w:val="none"/>
        </w:rPr>
        <w:t>投标无效</w:t>
      </w:r>
      <w:r>
        <w:rPr>
          <w:rFonts w:hint="eastAsia" w:ascii="宋体" w:hAnsi="宋体" w:cs="宋体"/>
          <w:color w:val="auto"/>
          <w:sz w:val="24"/>
          <w:highlight w:val="none"/>
        </w:rPr>
        <w:t>。</w:t>
      </w:r>
    </w:p>
    <w:p w14:paraId="0F0F19A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.7开标结束后，采购人代表将依法对</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的资格进行审查，并详细填写下表。合格</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不足3家的，不进行评标。</w:t>
      </w:r>
    </w:p>
    <w:p w14:paraId="38FC2F4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17、资格性审查</w:t>
      </w:r>
    </w:p>
    <w:p w14:paraId="6157774E">
      <w:pPr>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17.1开标结束后，采购人或采购代理机构将依法对投标人的资格进行审查，并详细填写下表。</w:t>
      </w:r>
      <w:r>
        <w:rPr>
          <w:rFonts w:ascii="宋体" w:hAnsi="宋体" w:cs="宋体"/>
          <w:b/>
          <w:bCs/>
          <w:color w:val="auto"/>
          <w:sz w:val="24"/>
          <w:highlight w:val="none"/>
        </w:rPr>
        <w:t>资格审查合格的投标人不足3家的，不进行评标。</w:t>
      </w:r>
    </w:p>
    <w:p w14:paraId="2C93FF3E">
      <w:pPr>
        <w:spacing w:line="360" w:lineRule="auto"/>
        <w:ind w:firstLine="480"/>
        <w:jc w:val="center"/>
        <w:rPr>
          <w:rFonts w:ascii="宋体" w:hAnsi="宋体" w:cs="宋体"/>
          <w:color w:val="auto"/>
          <w:sz w:val="24"/>
          <w:highlight w:val="none"/>
        </w:rPr>
      </w:pPr>
      <w:r>
        <w:rPr>
          <w:rFonts w:hint="eastAsia" w:ascii="宋体" w:hAnsi="宋体" w:cs="宋体"/>
          <w:color w:val="auto"/>
          <w:sz w:val="24"/>
          <w:highlight w:val="none"/>
        </w:rPr>
        <w:t>资格性审查表</w:t>
      </w:r>
    </w:p>
    <w:tbl>
      <w:tblPr>
        <w:tblStyle w:val="28"/>
        <w:tblW w:w="9226" w:type="dxa"/>
        <w:tblInd w:w="189" w:type="dxa"/>
        <w:tblLayout w:type="fixed"/>
        <w:tblCellMar>
          <w:top w:w="0" w:type="dxa"/>
          <w:left w:w="108" w:type="dxa"/>
          <w:bottom w:w="0" w:type="dxa"/>
          <w:right w:w="108" w:type="dxa"/>
        </w:tblCellMar>
      </w:tblPr>
      <w:tblGrid>
        <w:gridCol w:w="600"/>
        <w:gridCol w:w="7666"/>
        <w:gridCol w:w="960"/>
      </w:tblGrid>
      <w:tr w14:paraId="59FFE781">
        <w:tblPrEx>
          <w:tblCellMar>
            <w:top w:w="0" w:type="dxa"/>
            <w:left w:w="108" w:type="dxa"/>
            <w:bottom w:w="0" w:type="dxa"/>
            <w:right w:w="108" w:type="dxa"/>
          </w:tblCellMar>
        </w:tblPrEx>
        <w:trPr>
          <w:trHeight w:val="397" w:hRule="atLeast"/>
        </w:trPr>
        <w:tc>
          <w:tcPr>
            <w:tcW w:w="8266" w:type="dxa"/>
            <w:gridSpan w:val="2"/>
            <w:tcBorders>
              <w:top w:val="single" w:color="auto" w:sz="6" w:space="0"/>
              <w:left w:val="single" w:color="auto" w:sz="6" w:space="0"/>
              <w:bottom w:val="single" w:color="auto" w:sz="6" w:space="0"/>
              <w:right w:val="single" w:color="auto" w:sz="6" w:space="0"/>
            </w:tcBorders>
            <w:vAlign w:val="center"/>
          </w:tcPr>
          <w:p w14:paraId="36089F8E">
            <w:pPr>
              <w:widowControl/>
              <w:autoSpaceDE w:val="0"/>
              <w:autoSpaceDN w:val="0"/>
              <w:spacing w:line="360" w:lineRule="exact"/>
              <w:ind w:right="-34" w:firstLine="480"/>
              <w:jc w:val="center"/>
              <w:textAlignment w:val="bottom"/>
              <w:rPr>
                <w:rFonts w:ascii="宋体" w:hAnsi="宋体" w:cs="宋体"/>
                <w:color w:val="auto"/>
                <w:sz w:val="24"/>
                <w:highlight w:val="none"/>
              </w:rPr>
            </w:pPr>
            <w:r>
              <w:rPr>
                <w:rFonts w:hint="eastAsia" w:ascii="宋体" w:hAnsi="宋体" w:cs="宋体"/>
                <w:color w:val="auto"/>
                <w:sz w:val="24"/>
                <w:highlight w:val="none"/>
              </w:rPr>
              <w:t>审查内容</w:t>
            </w:r>
          </w:p>
        </w:tc>
        <w:tc>
          <w:tcPr>
            <w:tcW w:w="960" w:type="dxa"/>
            <w:tcBorders>
              <w:top w:val="single" w:color="auto" w:sz="6" w:space="0"/>
              <w:left w:val="single" w:color="auto" w:sz="6" w:space="0"/>
              <w:bottom w:val="single" w:color="auto" w:sz="6" w:space="0"/>
              <w:right w:val="single" w:color="auto" w:sz="4" w:space="0"/>
            </w:tcBorders>
            <w:vAlign w:val="center"/>
          </w:tcPr>
          <w:p w14:paraId="1C5C650D">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投标人</w:t>
            </w:r>
          </w:p>
        </w:tc>
      </w:tr>
      <w:tr w14:paraId="74BF6D09">
        <w:tblPrEx>
          <w:tblCellMar>
            <w:top w:w="0" w:type="dxa"/>
            <w:left w:w="108" w:type="dxa"/>
            <w:bottom w:w="0" w:type="dxa"/>
            <w:right w:w="108" w:type="dxa"/>
          </w:tblCellMar>
        </w:tblPrEx>
        <w:trPr>
          <w:trHeight w:val="397" w:hRule="atLeast"/>
        </w:trPr>
        <w:tc>
          <w:tcPr>
            <w:tcW w:w="600" w:type="dxa"/>
            <w:vMerge w:val="restart"/>
            <w:tcBorders>
              <w:top w:val="single" w:color="auto" w:sz="6" w:space="0"/>
              <w:left w:val="single" w:color="auto" w:sz="6" w:space="0"/>
              <w:right w:val="single" w:color="auto" w:sz="4" w:space="0"/>
            </w:tcBorders>
            <w:vAlign w:val="center"/>
          </w:tcPr>
          <w:p w14:paraId="3DF22BF9">
            <w:pPr>
              <w:spacing w:line="360" w:lineRule="exact"/>
              <w:ind w:firstLine="480"/>
              <w:jc w:val="center"/>
              <w:rPr>
                <w:rFonts w:ascii="宋体" w:hAnsi="宋体" w:cs="宋体"/>
                <w:color w:val="auto"/>
                <w:sz w:val="24"/>
                <w:highlight w:val="none"/>
              </w:rPr>
            </w:pPr>
            <w:r>
              <w:rPr>
                <w:rFonts w:hint="eastAsia" w:ascii="宋体" w:hAnsi="宋体" w:cs="宋体"/>
                <w:color w:val="auto"/>
                <w:sz w:val="24"/>
                <w:highlight w:val="none"/>
              </w:rPr>
              <w:t>资资格性审查</w:t>
            </w:r>
          </w:p>
        </w:tc>
        <w:tc>
          <w:tcPr>
            <w:tcW w:w="7666" w:type="dxa"/>
            <w:tcBorders>
              <w:top w:val="single" w:color="auto" w:sz="6" w:space="0"/>
              <w:left w:val="single" w:color="auto" w:sz="4" w:space="0"/>
              <w:bottom w:val="single" w:color="auto" w:sz="6" w:space="0"/>
              <w:right w:val="single" w:color="auto" w:sz="6" w:space="0"/>
            </w:tcBorders>
            <w:vAlign w:val="center"/>
          </w:tcPr>
          <w:p w14:paraId="2111DE17">
            <w:pPr>
              <w:spacing w:line="360" w:lineRule="exact"/>
              <w:jc w:val="left"/>
              <w:rPr>
                <w:rFonts w:ascii="宋体" w:hAnsi="宋体" w:cs="宋体"/>
                <w:color w:val="auto"/>
                <w:sz w:val="24"/>
                <w:highlight w:val="none"/>
              </w:rPr>
            </w:pPr>
            <w:r>
              <w:rPr>
                <w:rFonts w:hint="eastAsia" w:ascii="宋体" w:hAnsi="宋体" w:cs="宋体"/>
                <w:color w:val="auto"/>
                <w:sz w:val="24"/>
                <w:highlight w:val="none"/>
              </w:rPr>
              <w:t>1.具有独立承担民事责任的能力</w:t>
            </w:r>
            <w:r>
              <w:rPr>
                <w:rFonts w:hint="eastAsia" w:ascii="宋体" w:hAnsi="宋体" w:cs="宋体"/>
                <w:color w:val="auto"/>
                <w:sz w:val="24"/>
                <w:highlight w:val="none"/>
                <w:lang w:val="en-US" w:eastAsia="zh-CN"/>
              </w:rPr>
              <w:t>[</w:t>
            </w:r>
            <w:r>
              <w:rPr>
                <w:rFonts w:hint="eastAsia" w:asciiTheme="minorEastAsia" w:hAnsiTheme="minorEastAsia" w:eastAsiaTheme="minorEastAsia" w:cstheme="minorEastAsia"/>
                <w:color w:val="auto"/>
                <w:sz w:val="24"/>
                <w:highlight w:val="none"/>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w:t>
            </w:r>
            <w:r>
              <w:rPr>
                <w:rFonts w:hint="eastAsia" w:asciiTheme="minorEastAsia" w:hAnsiTheme="minorEastAsia" w:eastAsiaTheme="minorEastAsia" w:cstheme="minorEastAsia"/>
                <w:color w:val="auto"/>
                <w:sz w:val="24"/>
                <w:highlight w:val="none"/>
                <w:lang w:val="en-US" w:eastAsia="zh-CN"/>
              </w:rPr>
              <w:t>]</w:t>
            </w:r>
            <w:r>
              <w:rPr>
                <w:rFonts w:hint="eastAsia" w:ascii="宋体" w:hAnsi="宋体" w:cs="宋体"/>
                <w:color w:val="auto"/>
                <w:sz w:val="24"/>
                <w:highlight w:val="none"/>
              </w:rPr>
              <w:t>；</w:t>
            </w:r>
          </w:p>
        </w:tc>
        <w:tc>
          <w:tcPr>
            <w:tcW w:w="960" w:type="dxa"/>
            <w:tcBorders>
              <w:top w:val="single" w:color="auto" w:sz="6" w:space="0"/>
              <w:left w:val="single" w:color="auto" w:sz="6" w:space="0"/>
              <w:bottom w:val="single" w:color="auto" w:sz="6" w:space="0"/>
              <w:right w:val="single" w:color="auto" w:sz="4" w:space="0"/>
            </w:tcBorders>
            <w:vAlign w:val="center"/>
          </w:tcPr>
          <w:p w14:paraId="1926F88A">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3BD82A8D">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28F2154F">
            <w:pPr>
              <w:spacing w:line="360" w:lineRule="exact"/>
              <w:ind w:firstLine="480"/>
              <w:jc w:val="center"/>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3DCE6D78">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2.具有良好的商业信誉和健全的财务会计制度（提供2023年度第三方审计机构出具的审计报告</w:t>
            </w:r>
            <w:r>
              <w:rPr>
                <w:rFonts w:hint="eastAsia" w:ascii="宋体" w:hAnsi="宋体" w:cs="宋体"/>
                <w:color w:val="auto"/>
                <w:sz w:val="24"/>
                <w:highlight w:val="none"/>
                <w:lang w:eastAsia="zh-CN"/>
              </w:rPr>
              <w:t>或</w:t>
            </w:r>
            <w:r>
              <w:rPr>
                <w:rFonts w:hint="eastAsia" w:ascii="宋体" w:hAnsi="宋体" w:cs="宋体"/>
                <w:color w:val="auto"/>
                <w:sz w:val="24"/>
                <w:highlight w:val="none"/>
              </w:rPr>
              <w:t>投标人基本户开户银行出具的资信证明）；</w:t>
            </w:r>
          </w:p>
        </w:tc>
        <w:tc>
          <w:tcPr>
            <w:tcW w:w="960" w:type="dxa"/>
            <w:tcBorders>
              <w:top w:val="single" w:color="auto" w:sz="6" w:space="0"/>
              <w:left w:val="single" w:color="auto" w:sz="6" w:space="0"/>
              <w:bottom w:val="single" w:color="auto" w:sz="6" w:space="0"/>
              <w:right w:val="single" w:color="auto" w:sz="4" w:space="0"/>
            </w:tcBorders>
            <w:vAlign w:val="center"/>
          </w:tcPr>
          <w:p w14:paraId="7BC1C9B1">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09972753">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4D18B231">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3B83951C">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3.具有履行合同所必需的设备和专业技术能力的证明材料（提供承诺书，格式自拟）；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7ECCFEC8">
            <w:pPr>
              <w:spacing w:line="360" w:lineRule="exact"/>
              <w:ind w:firstLine="480"/>
              <w:jc w:val="center"/>
              <w:rPr>
                <w:rFonts w:ascii="宋体" w:hAnsi="宋体" w:cs="宋体"/>
                <w:color w:val="auto"/>
                <w:sz w:val="24"/>
                <w:highlight w:val="none"/>
              </w:rPr>
            </w:pPr>
          </w:p>
        </w:tc>
      </w:tr>
      <w:tr w14:paraId="3E90C8E9">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166CB779">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1C38F794">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4.有依法缴纳税收和社会保障资金的良好记录（提供2024年内任意一个月的依法缴纳税收和社会保障资金的相关材料，依法免税或不需要缴纳社会保障资金的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，应提供文件证明其依法免税或不需要缴纳社会保障资金）；</w:t>
            </w:r>
          </w:p>
        </w:tc>
        <w:tc>
          <w:tcPr>
            <w:tcW w:w="960" w:type="dxa"/>
            <w:tcBorders>
              <w:top w:val="single" w:color="auto" w:sz="6" w:space="0"/>
              <w:left w:val="single" w:color="auto" w:sz="6" w:space="0"/>
              <w:bottom w:val="single" w:color="auto" w:sz="6" w:space="0"/>
              <w:right w:val="single" w:color="auto" w:sz="4" w:space="0"/>
            </w:tcBorders>
            <w:vAlign w:val="center"/>
          </w:tcPr>
          <w:p w14:paraId="6D9DF4CA">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6B7DD9F9">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3978981A">
            <w:pPr>
              <w:pStyle w:val="48"/>
              <w:spacing w:line="360" w:lineRule="exact"/>
              <w:rPr>
                <w:rFonts w:ascii="宋体" w:hAnsi="宋体" w:cs="宋体"/>
                <w:color w:val="auto"/>
                <w:sz w:val="24"/>
                <w:szCs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428068E6">
            <w:pPr>
              <w:widowControl/>
              <w:autoSpaceDE w:val="0"/>
              <w:autoSpaceDN w:val="0"/>
              <w:spacing w:line="360" w:lineRule="exact"/>
              <w:ind w:right="-34"/>
              <w:jc w:val="left"/>
              <w:textAlignment w:val="bottom"/>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5.参加政府采购活动前三年内，在经营活动中没有重大违法记录（提供书面声明，格式自拟）；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7358DE59">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15DB5A86">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67D88059">
            <w:pPr>
              <w:pStyle w:val="48"/>
              <w:spacing w:line="360" w:lineRule="exact"/>
              <w:rPr>
                <w:rFonts w:ascii="宋体" w:hAnsi="宋体" w:cs="宋体"/>
                <w:color w:val="auto"/>
                <w:sz w:val="24"/>
                <w:szCs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25B58ED0">
            <w:pPr>
              <w:spacing w:line="360" w:lineRule="exact"/>
              <w:jc w:val="left"/>
              <w:rPr>
                <w:rFonts w:ascii="宋体" w:hAnsi="宋体" w:cs="宋体"/>
                <w:color w:val="auto"/>
                <w:sz w:val="24"/>
                <w:highlight w:val="none"/>
              </w:rPr>
            </w:pPr>
            <w:r>
              <w:rPr>
                <w:rFonts w:hint="eastAsia" w:ascii="宋体" w:hAnsi="宋体" w:cs="宋体"/>
                <w:color w:val="auto"/>
                <w:sz w:val="24"/>
                <w:highlight w:val="none"/>
              </w:rPr>
              <w:t>6.投标人为未被列入失信被执行人、</w:t>
            </w:r>
            <w:r>
              <w:rPr>
                <w:rFonts w:hint="eastAsia" w:ascii="宋体" w:hAnsi="宋体" w:cs="宋体"/>
                <w:color w:val="auto"/>
                <w:sz w:val="24"/>
                <w:highlight w:val="none"/>
                <w:lang w:eastAsia="zh-CN"/>
              </w:rPr>
              <w:t>重大税收违法案件主体</w:t>
            </w:r>
            <w:r>
              <w:rPr>
                <w:rFonts w:hint="eastAsia" w:ascii="宋体" w:hAnsi="宋体" w:cs="宋体"/>
                <w:color w:val="auto"/>
                <w:sz w:val="24"/>
                <w:highlight w:val="none"/>
              </w:rPr>
              <w:t>、政府采购严重违法失信行为记录名单的</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（提供承诺书，格式自拟）；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3AEF3042">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380E9E48">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59EA7930">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5275D01A">
            <w:pPr>
              <w:spacing w:line="360" w:lineRule="exact"/>
              <w:jc w:val="left"/>
              <w:rPr>
                <w:rFonts w:ascii="宋体" w:hAnsi="宋体" w:cs="宋体"/>
                <w:color w:val="auto"/>
                <w:sz w:val="24"/>
                <w:highlight w:val="none"/>
              </w:rPr>
            </w:pPr>
            <w:r>
              <w:rPr>
                <w:rFonts w:hint="eastAsia" w:ascii="宋体" w:hAnsi="宋体" w:cs="宋体"/>
                <w:color w:val="auto"/>
                <w:sz w:val="24"/>
                <w:highlight w:val="none"/>
              </w:rPr>
              <w:t>7.为非联合体投标；</w:t>
            </w:r>
          </w:p>
        </w:tc>
        <w:tc>
          <w:tcPr>
            <w:tcW w:w="960" w:type="dxa"/>
            <w:tcBorders>
              <w:top w:val="single" w:color="auto" w:sz="6" w:space="0"/>
              <w:left w:val="single" w:color="auto" w:sz="6" w:space="0"/>
              <w:bottom w:val="single" w:color="auto" w:sz="6" w:space="0"/>
              <w:right w:val="single" w:color="auto" w:sz="4" w:space="0"/>
            </w:tcBorders>
            <w:vAlign w:val="center"/>
          </w:tcPr>
          <w:p w14:paraId="49D4AFD5">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4E331184">
        <w:tblPrEx>
          <w:tblCellMar>
            <w:top w:w="0" w:type="dxa"/>
            <w:left w:w="108" w:type="dxa"/>
            <w:bottom w:w="0" w:type="dxa"/>
            <w:right w:w="108" w:type="dxa"/>
          </w:tblCellMar>
        </w:tblPrEx>
        <w:trPr>
          <w:trHeight w:val="397" w:hRule="atLeast"/>
        </w:trPr>
        <w:tc>
          <w:tcPr>
            <w:tcW w:w="600" w:type="dxa"/>
            <w:vMerge w:val="continue"/>
            <w:tcBorders>
              <w:left w:val="single" w:color="auto" w:sz="6" w:space="0"/>
              <w:right w:val="single" w:color="auto" w:sz="4" w:space="0"/>
            </w:tcBorders>
            <w:vAlign w:val="center"/>
          </w:tcPr>
          <w:p w14:paraId="0A333D78">
            <w:pPr>
              <w:spacing w:line="360" w:lineRule="exact"/>
              <w:ind w:firstLine="480"/>
              <w:jc w:val="left"/>
              <w:rPr>
                <w:rFonts w:ascii="宋体" w:hAnsi="宋体" w:cs="宋体"/>
                <w:color w:val="auto"/>
                <w:sz w:val="24"/>
                <w:highlight w:val="none"/>
              </w:rPr>
            </w:pPr>
          </w:p>
        </w:tc>
        <w:tc>
          <w:tcPr>
            <w:tcW w:w="7666" w:type="dxa"/>
            <w:tcBorders>
              <w:top w:val="single" w:color="auto" w:sz="6" w:space="0"/>
              <w:left w:val="single" w:color="auto" w:sz="4" w:space="0"/>
              <w:bottom w:val="single" w:color="auto" w:sz="6" w:space="0"/>
              <w:right w:val="single" w:color="auto" w:sz="6" w:space="0"/>
            </w:tcBorders>
            <w:vAlign w:val="center"/>
          </w:tcPr>
          <w:p w14:paraId="78B49F12">
            <w:pPr>
              <w:spacing w:line="360" w:lineRule="exact"/>
              <w:jc w:val="left"/>
              <w:rPr>
                <w:rFonts w:ascii="宋体" w:hAnsi="宋体" w:cs="宋体"/>
                <w:color w:val="auto"/>
                <w:sz w:val="24"/>
                <w:highlight w:val="none"/>
              </w:rPr>
            </w:pPr>
            <w:r>
              <w:rPr>
                <w:rFonts w:hint="eastAsia" w:ascii="宋体" w:hAnsi="宋体" w:cs="宋体"/>
                <w:color w:val="auto"/>
                <w:sz w:val="24"/>
                <w:highlight w:val="none"/>
              </w:rPr>
              <w:t>8.单位负责人为同一人或存在直接控股、管理关系的不同</w:t>
            </w:r>
            <w:r>
              <w:rPr>
                <w:rFonts w:hint="eastAsia" w:ascii="宋体" w:hAnsi="宋体" w:cs="宋体"/>
                <w:color w:val="auto"/>
                <w:sz w:val="24"/>
                <w:highlight w:val="none"/>
                <w:lang w:eastAsia="zh-CN"/>
              </w:rPr>
              <w:t>投标人</w:t>
            </w:r>
            <w:r>
              <w:rPr>
                <w:rFonts w:hint="eastAsia" w:ascii="宋体" w:hAnsi="宋体" w:cs="宋体"/>
                <w:color w:val="auto"/>
                <w:sz w:val="24"/>
                <w:highlight w:val="none"/>
              </w:rPr>
              <w:t>，不得参加同一合同项下的政府采购活动(提供书面声明，格式自拟)；</w:t>
            </w:r>
          </w:p>
        </w:tc>
        <w:tc>
          <w:tcPr>
            <w:tcW w:w="960" w:type="dxa"/>
            <w:tcBorders>
              <w:top w:val="single" w:color="auto" w:sz="6" w:space="0"/>
              <w:left w:val="single" w:color="auto" w:sz="6" w:space="0"/>
              <w:bottom w:val="single" w:color="auto" w:sz="6" w:space="0"/>
              <w:right w:val="single" w:color="auto" w:sz="4" w:space="0"/>
            </w:tcBorders>
            <w:vAlign w:val="center"/>
          </w:tcPr>
          <w:p w14:paraId="31EA17D1">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47262AA0">
        <w:tblPrEx>
          <w:tblCellMar>
            <w:top w:w="0" w:type="dxa"/>
            <w:left w:w="108" w:type="dxa"/>
            <w:bottom w:w="0" w:type="dxa"/>
            <w:right w:w="108" w:type="dxa"/>
          </w:tblCellMar>
        </w:tblPrEx>
        <w:trPr>
          <w:trHeight w:val="397" w:hRule="atLeast"/>
        </w:trPr>
        <w:tc>
          <w:tcPr>
            <w:tcW w:w="8266" w:type="dxa"/>
            <w:gridSpan w:val="2"/>
            <w:tcBorders>
              <w:top w:val="single" w:color="auto" w:sz="6" w:space="0"/>
              <w:left w:val="single" w:color="auto" w:sz="6" w:space="0"/>
              <w:bottom w:val="single" w:color="auto" w:sz="6" w:space="0"/>
              <w:right w:val="single" w:color="auto" w:sz="6" w:space="0"/>
            </w:tcBorders>
            <w:vAlign w:val="center"/>
          </w:tcPr>
          <w:p w14:paraId="0004F643">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结论</w:t>
            </w:r>
          </w:p>
        </w:tc>
        <w:tc>
          <w:tcPr>
            <w:tcW w:w="960" w:type="dxa"/>
            <w:tcBorders>
              <w:top w:val="single" w:color="auto" w:sz="6" w:space="0"/>
              <w:left w:val="single" w:color="auto" w:sz="6" w:space="0"/>
              <w:bottom w:val="single" w:color="auto" w:sz="6" w:space="0"/>
              <w:right w:val="single" w:color="auto" w:sz="4" w:space="0"/>
            </w:tcBorders>
            <w:vAlign w:val="center"/>
          </w:tcPr>
          <w:p w14:paraId="3AA45DFB">
            <w:pPr>
              <w:widowControl/>
              <w:autoSpaceDE w:val="0"/>
              <w:autoSpaceDN w:val="0"/>
              <w:spacing w:line="360" w:lineRule="exact"/>
              <w:ind w:left="600" w:right="-34" w:hanging="600" w:hangingChars="250"/>
              <w:jc w:val="center"/>
              <w:textAlignment w:val="bottom"/>
              <w:rPr>
                <w:rFonts w:ascii="宋体" w:hAnsi="宋体" w:cs="宋体"/>
                <w:color w:val="auto"/>
                <w:sz w:val="24"/>
                <w:highlight w:val="none"/>
              </w:rPr>
            </w:pPr>
          </w:p>
        </w:tc>
      </w:tr>
      <w:tr w14:paraId="27B33D90">
        <w:tblPrEx>
          <w:tblCellMar>
            <w:top w:w="0" w:type="dxa"/>
            <w:left w:w="108" w:type="dxa"/>
            <w:bottom w:w="0" w:type="dxa"/>
            <w:right w:w="108" w:type="dxa"/>
          </w:tblCellMar>
        </w:tblPrEx>
        <w:trPr>
          <w:trHeight w:val="397" w:hRule="atLeast"/>
        </w:trPr>
        <w:tc>
          <w:tcPr>
            <w:tcW w:w="9226" w:type="dxa"/>
            <w:gridSpan w:val="3"/>
            <w:tcBorders>
              <w:top w:val="single" w:color="auto" w:sz="6" w:space="0"/>
              <w:left w:val="single" w:color="auto" w:sz="6" w:space="0"/>
              <w:bottom w:val="single" w:color="auto" w:sz="6" w:space="0"/>
              <w:right w:val="single" w:color="auto" w:sz="4" w:space="0"/>
            </w:tcBorders>
            <w:vAlign w:val="center"/>
          </w:tcPr>
          <w:p w14:paraId="2B7F3C2E">
            <w:pPr>
              <w:widowControl/>
              <w:autoSpaceDE w:val="0"/>
              <w:autoSpaceDN w:val="0"/>
              <w:spacing w:line="360" w:lineRule="exact"/>
              <w:ind w:left="600" w:right="-34" w:hanging="600" w:hangingChars="250"/>
              <w:jc w:val="left"/>
              <w:textAlignment w:val="bottom"/>
              <w:rPr>
                <w:rFonts w:ascii="宋体" w:hAnsi="宋体" w:cs="宋体"/>
                <w:color w:val="auto"/>
                <w:sz w:val="24"/>
                <w:highlight w:val="none"/>
              </w:rPr>
            </w:pPr>
            <w:r>
              <w:rPr>
                <w:rFonts w:hint="eastAsia" w:ascii="宋体" w:hAnsi="宋体" w:cs="宋体"/>
                <w:color w:val="auto"/>
                <w:sz w:val="24"/>
                <w:highlight w:val="none"/>
              </w:rPr>
              <w:t>审查人签字：</w:t>
            </w:r>
          </w:p>
        </w:tc>
      </w:tr>
    </w:tbl>
    <w:p w14:paraId="058666A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注：本表中符合评审内容要求的写“√”，不符合评审内容要求的写“×”。结论为“合格”或“不合格”。</w:t>
      </w:r>
    </w:p>
    <w:p w14:paraId="61C10713">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18、评标过程的保密性</w:t>
      </w:r>
    </w:p>
    <w:p w14:paraId="54FC7A4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18.1公开开标后，直至向中标人授予合同时止，除按招标文件规定予以公开的评标结果外，凡与审查、澄清、评价和比较投标有关的资料以及授标意见等，均不得向投标人及与评标无关的其他人透露。</w:t>
      </w:r>
    </w:p>
    <w:p w14:paraId="4BC76F4B">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19、评标</w:t>
      </w:r>
    </w:p>
    <w:p w14:paraId="4E8084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19.1采购代理机构负责组织评标工作，并履行下列职责：</w:t>
      </w:r>
    </w:p>
    <w:p w14:paraId="2385CDF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（一）核对评审专家身份和采购人代表授权函，对评审专家在政府采购活动中的职责履行情况予以记录，并及时将有关违法违规行为向财政部门报告；</w:t>
      </w:r>
    </w:p>
    <w:p w14:paraId="77801C6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（二）宣布评标纪律；</w:t>
      </w:r>
    </w:p>
    <w:p w14:paraId="2024AFC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（三）公布投标人名单，告知评审专家应当回避的情形；</w:t>
      </w:r>
    </w:p>
    <w:p w14:paraId="1AB3F078">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（四）组织评标委员会推选评标组长，采购人代表不得担任组长；</w:t>
      </w:r>
    </w:p>
    <w:p w14:paraId="2CF54C7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（五）在评标期间采取必要的通讯管理措施，保证评标活动不受外界干扰；</w:t>
      </w:r>
    </w:p>
    <w:p w14:paraId="624335BA">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（六）根据评标委员会的要求介绍政府采购相关政策法规、招标文件；</w:t>
      </w:r>
    </w:p>
    <w:p w14:paraId="79D9953C">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（七）维护评标秩序，监督评标委员会依照招标文件规定的评标程序、方法和标准进行独立评审，及时制止和纠正采购人代表、评审专家的倾向性言论或者违法违规行为；</w:t>
      </w:r>
    </w:p>
    <w:p w14:paraId="00DEDD2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（八）评标委员会根据有关法律法规和招标文件规定的方法和标准独立评标，负责完成评标的全过程直至评定预中标人。采购代理机构只负责评标组织工作，不参加评标；</w:t>
      </w:r>
    </w:p>
    <w:p w14:paraId="65B4F73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九）核对评标结果，有《政府采购货物和服务招标投标管理办法》（中华人民共和国财政部令第87号）规定情形的，要求评标委员会复核或者书面说明理由，评标委员会拒绝的，应予记录并向本级财政部门报告；</w:t>
      </w:r>
    </w:p>
    <w:p w14:paraId="57F198B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（十）评审工作完成后，按照规定向评审专家支付劳务报酬和异地评审差旅费，不得向评审专家以外的其他人员支付评审劳务报酬；</w:t>
      </w:r>
    </w:p>
    <w:p w14:paraId="00968391">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（十一）处理与评标有关的其他事项。</w:t>
      </w:r>
    </w:p>
    <w:p w14:paraId="45F037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19.2采购人可以在评标前说明项目背景和采购需求，说明内容不得含有歧视性、倾向性意见，不得超出招标文件所述范围。说明应当提交书面材料，并随采购文件一并存档。</w:t>
      </w:r>
    </w:p>
    <w:p w14:paraId="2F00DD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19.3</w:t>
      </w:r>
      <w:r>
        <w:rPr>
          <w:rFonts w:hint="eastAsia" w:ascii="宋体" w:hAnsi="宋体" w:cs="宋体"/>
          <w:color w:val="auto"/>
          <w:sz w:val="24"/>
          <w:highlight w:val="none"/>
          <w:lang w:val="zh-CN"/>
        </w:rPr>
        <w:t>评标委员会由采购人代表和评审专家组成，采购人代表由采购人委派，专家成员从</w:t>
      </w:r>
      <w:r>
        <w:rPr>
          <w:rFonts w:hint="eastAsia" w:ascii="宋体" w:hAnsi="宋体" w:cs="宋体"/>
          <w:color w:val="auto"/>
          <w:sz w:val="24"/>
          <w:highlight w:val="none"/>
        </w:rPr>
        <w:t>省级</w:t>
      </w:r>
      <w:r>
        <w:rPr>
          <w:rFonts w:hint="eastAsia" w:ascii="宋体" w:hAnsi="宋体" w:cs="宋体"/>
          <w:color w:val="auto"/>
          <w:sz w:val="24"/>
          <w:highlight w:val="none"/>
          <w:lang w:val="zh-CN"/>
        </w:rPr>
        <w:t>政府采购监督管理部门建立的专家库中随机抽取产生。</w:t>
      </w:r>
      <w:r>
        <w:rPr>
          <w:rFonts w:hint="eastAsia" w:ascii="宋体" w:hAnsi="宋体" w:cs="宋体"/>
          <w:color w:val="auto"/>
          <w:sz w:val="24"/>
          <w:highlight w:val="none"/>
        </w:rPr>
        <w:t>评标委员会根据有关法律法规和招标文件规定的方法和标准独立评标，负责完成评标的全过程直至评定预中标人，成员人数应当为5人以上单数，其中随机抽取的评审专家不得少于成员总数的三分之二。</w:t>
      </w:r>
    </w:p>
    <w:p w14:paraId="1CB14E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19.4采购项目符合下列情形之一的，评标委员会成员人数应当为7人以上单数：</w:t>
      </w:r>
    </w:p>
    <w:p w14:paraId="2972473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（一）采购预算金额在1000万元以上；</w:t>
      </w:r>
    </w:p>
    <w:p w14:paraId="59CDD11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（二）技术复杂；</w:t>
      </w:r>
    </w:p>
    <w:p w14:paraId="7215B3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（三）社会影响较大。</w:t>
      </w:r>
    </w:p>
    <w:p w14:paraId="7CC2FEF3">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19.5评标委员会负责具体评标事物，并独立履行下列职责：</w:t>
      </w:r>
    </w:p>
    <w:p w14:paraId="69D6FDD8">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（一）审查、评价投标文件是否符合招标文件的商务、技术等实质性要求；</w:t>
      </w:r>
    </w:p>
    <w:p w14:paraId="24866DDD">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（二）要求投标人对投标文件有关事项作出澄清或者说明；</w:t>
      </w:r>
    </w:p>
    <w:p w14:paraId="76075229">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（三）对投标文件进行比较和评价；</w:t>
      </w:r>
    </w:p>
    <w:p w14:paraId="15ABFB95">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（四）确定中标候选人名单；</w:t>
      </w:r>
    </w:p>
    <w:p w14:paraId="668FEFDB">
      <w:pPr>
        <w:widowControl/>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（五）向采购人、采购代理机构或者有关部门报告评标中发现的违法行为。</w:t>
      </w:r>
    </w:p>
    <w:p w14:paraId="50CE0599">
      <w:pPr>
        <w:widowControl/>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1</w:t>
      </w:r>
      <w:r>
        <w:rPr>
          <w:rFonts w:hint="eastAsia" w:ascii="宋体" w:hAnsi="宋体" w:cs="宋体"/>
          <w:color w:val="auto"/>
          <w:sz w:val="24"/>
          <w:highlight w:val="none"/>
        </w:rPr>
        <w:t>9</w:t>
      </w:r>
      <w:r>
        <w:rPr>
          <w:rFonts w:ascii="宋体" w:hAnsi="宋体" w:cs="宋体"/>
          <w:color w:val="auto"/>
          <w:sz w:val="24"/>
          <w:highlight w:val="none"/>
        </w:rPr>
        <w:t>.6评标委员会对投标文件的判定，只依据投标文件内容本身，不依据任何外来证明。</w:t>
      </w:r>
    </w:p>
    <w:p w14:paraId="2A989FD5">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19.7</w:t>
      </w:r>
      <w:r>
        <w:rPr>
          <w:rFonts w:ascii="宋体" w:hAnsi="宋体" w:cs="宋体"/>
          <w:color w:val="auto"/>
          <w:sz w:val="24"/>
          <w:highlight w:val="none"/>
        </w:rPr>
        <w:t>评标程序、评标方法和评标标准</w:t>
      </w:r>
      <w:r>
        <w:rPr>
          <w:rFonts w:hint="eastAsia" w:ascii="宋体" w:hAnsi="宋体" w:cs="宋体"/>
          <w:color w:val="auto"/>
          <w:sz w:val="24"/>
          <w:highlight w:val="none"/>
        </w:rPr>
        <w:t>详见第三章。</w:t>
      </w:r>
    </w:p>
    <w:p w14:paraId="476062D6">
      <w:pPr>
        <w:spacing w:line="360" w:lineRule="auto"/>
        <w:ind w:firstLine="482"/>
        <w:jc w:val="center"/>
        <w:rPr>
          <w:rFonts w:ascii="宋体" w:hAnsi="宋体" w:cs="宋体"/>
          <w:b/>
          <w:color w:val="auto"/>
          <w:sz w:val="24"/>
          <w:highlight w:val="none"/>
        </w:rPr>
      </w:pPr>
      <w:r>
        <w:rPr>
          <w:rFonts w:hint="eastAsia" w:ascii="宋体" w:hAnsi="宋体" w:cs="宋体"/>
          <w:b/>
          <w:color w:val="auto"/>
          <w:sz w:val="24"/>
          <w:highlight w:val="none"/>
        </w:rPr>
        <w:t>五、确定中标</w:t>
      </w:r>
    </w:p>
    <w:p w14:paraId="149EA3FD">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20、</w:t>
      </w:r>
      <w:bookmarkStart w:id="2" w:name="OLE_LINK3"/>
      <w:r>
        <w:rPr>
          <w:rFonts w:hint="eastAsia" w:ascii="宋体" w:hAnsi="宋体" w:cs="宋体"/>
          <w:b/>
          <w:color w:val="auto"/>
          <w:sz w:val="24"/>
          <w:highlight w:val="none"/>
        </w:rPr>
        <w:t>中标</w:t>
      </w:r>
    </w:p>
    <w:p w14:paraId="4D3B4C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20.1采购代理机构将在评标结束后2个工作日内将评标报告送采购人。</w:t>
      </w:r>
    </w:p>
    <w:p w14:paraId="09426E2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20.2采购人将自收到评标报告之日起5个工作日内，在评标报告确定的中标候选人名单中按顺序确定中标人。中标候选人并列的，采购人将采取随机抽取的方式确定。</w:t>
      </w:r>
    </w:p>
    <w:p w14:paraId="5D35C6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20.3采购人在收到评标报告5个工作日内未按评标报告推荐的中标候选人顺序确定中标人，又不能说明合法理由的，视同按评标报告推荐的顺序确定排名第一的中标候选人为中标人。</w:t>
      </w:r>
    </w:p>
    <w:p w14:paraId="64C615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20.4采购代理机构将自中标人确定之日起2个工作日内，在省级以上财政部门指定的媒体上公告中标结果，招标文件应当随中标结果同时公告。中标公告期限为1个工作日。</w:t>
      </w:r>
    </w:p>
    <w:p w14:paraId="05CEDC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20.5在公告中标结果的同时，采购代理机构向中标人发出中标通知书；对未通过资格审查的投标人，将告知其未通过的原因；采用综合评分法评审的，还将告知未中标人本人的评审得分与排序。</w:t>
      </w:r>
    </w:p>
    <w:p w14:paraId="60392B67">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 xml:space="preserve">21、废标 </w:t>
      </w:r>
    </w:p>
    <w:p w14:paraId="2731789F">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 xml:space="preserve">.1 在招标采购中，出现下列情形之一的，应予废标： </w:t>
      </w:r>
    </w:p>
    <w:p w14:paraId="0CCFAF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.1.1 符合专业条件的</w:t>
      </w:r>
      <w:r>
        <w:rPr>
          <w:rFonts w:hint="eastAsia" w:ascii="宋体" w:hAnsi="宋体" w:cs="宋体"/>
          <w:color w:val="auto"/>
          <w:sz w:val="24"/>
          <w:highlight w:val="none"/>
          <w:lang w:eastAsia="zh-CN"/>
        </w:rPr>
        <w:t>投标人</w:t>
      </w:r>
      <w:r>
        <w:rPr>
          <w:rFonts w:ascii="宋体" w:hAnsi="宋体" w:cs="宋体"/>
          <w:color w:val="auto"/>
          <w:sz w:val="24"/>
          <w:highlight w:val="none"/>
        </w:rPr>
        <w:t>或者对招标文件作实质响应的</w:t>
      </w:r>
      <w:r>
        <w:rPr>
          <w:rFonts w:hint="eastAsia" w:ascii="宋体" w:hAnsi="宋体" w:cs="宋体"/>
          <w:color w:val="auto"/>
          <w:sz w:val="24"/>
          <w:highlight w:val="none"/>
          <w:lang w:eastAsia="zh-CN"/>
        </w:rPr>
        <w:t>投标人</w:t>
      </w:r>
      <w:r>
        <w:rPr>
          <w:rFonts w:ascii="宋体" w:hAnsi="宋体" w:cs="宋体"/>
          <w:color w:val="auto"/>
          <w:sz w:val="24"/>
          <w:highlight w:val="none"/>
        </w:rPr>
        <w:t xml:space="preserve">不足三家的； </w:t>
      </w:r>
      <w:r>
        <w:rPr>
          <w:rFonts w:hint="eastAsia" w:ascii="宋体" w:hAnsi="宋体" w:cs="宋体"/>
          <w:color w:val="auto"/>
          <w:sz w:val="24"/>
          <w:highlight w:val="none"/>
        </w:rPr>
        <w:t xml:space="preserve">   </w:t>
      </w:r>
    </w:p>
    <w:p w14:paraId="1A66DB21">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 xml:space="preserve">.1.2 出现影响采购公正的违法、违规行为的； </w:t>
      </w:r>
    </w:p>
    <w:p w14:paraId="4A6CEC7E">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.1.3 投标人的报价均超过了采购预算，采购人不能支付的；</w:t>
      </w:r>
    </w:p>
    <w:p w14:paraId="77331C8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2</w:t>
      </w:r>
      <w:r>
        <w:rPr>
          <w:rFonts w:hint="eastAsia" w:ascii="宋体" w:hAnsi="宋体" w:cs="宋体"/>
          <w:color w:val="auto"/>
          <w:sz w:val="24"/>
          <w:highlight w:val="none"/>
        </w:rPr>
        <w:t>1</w:t>
      </w:r>
      <w:r>
        <w:rPr>
          <w:rFonts w:ascii="宋体" w:hAnsi="宋体" w:cs="宋体"/>
          <w:color w:val="auto"/>
          <w:sz w:val="24"/>
          <w:highlight w:val="none"/>
        </w:rPr>
        <w:t>.1.4 因重大变故，采购任务取消的。</w:t>
      </w:r>
    </w:p>
    <w:bookmarkEnd w:id="2"/>
    <w:p w14:paraId="11F1ED4E">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22、签订合同</w:t>
      </w:r>
    </w:p>
    <w:p w14:paraId="42351BAA">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22.1中标通知书发出后，采购人不得违法改变中标结果，中标人无正当理由不得放弃中标。</w:t>
      </w:r>
    </w:p>
    <w:p w14:paraId="7D6E4924">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22.2采购人应当自中标通知书发出之日起30日内，按照招标文件和中标人投标文件的规定，与中标人签订书面合同。所签订的合同不得对招标文件确定的事项和中标人投标文件作实质性修改。</w:t>
      </w:r>
    </w:p>
    <w:p w14:paraId="084E6EBC">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22.3采购人不得向中标人提出任何不合理的要求作为签订合同的条件。</w:t>
      </w:r>
    </w:p>
    <w:p w14:paraId="5BEC3C81">
      <w:pPr>
        <w:pStyle w:val="10"/>
        <w:spacing w:line="360" w:lineRule="auto"/>
        <w:ind w:firstLine="480" w:firstLineChars="200"/>
        <w:rPr>
          <w:color w:val="auto"/>
          <w:highlight w:val="none"/>
        </w:rPr>
      </w:pPr>
      <w:r>
        <w:rPr>
          <w:rFonts w:hint="eastAsia" w:ascii="宋体" w:hAnsi="宋体" w:eastAsia="宋体" w:cs="宋体"/>
          <w:color w:val="auto"/>
          <w:sz w:val="24"/>
          <w:szCs w:val="24"/>
          <w:highlight w:val="none"/>
        </w:rPr>
        <w:t>22.4</w:t>
      </w:r>
      <w:r>
        <w:rPr>
          <w:rFonts w:ascii="宋体" w:hAnsi="宋体" w:eastAsia="宋体" w:cs="宋体"/>
          <w:color w:val="auto"/>
          <w:sz w:val="24"/>
          <w:szCs w:val="24"/>
          <w:highlight w:val="none"/>
        </w:rPr>
        <w:t>中标人拒绝与采购人签订合同的，采购人可以按照评标报告推荐的中标候选人名单排序，确定下一候选人为中标人，也可以重新开展政府采购活动。</w:t>
      </w:r>
    </w:p>
    <w:p w14:paraId="18F58D16">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22.5根据《中华人民共和国政府采购法实施条例》采购人应当自政府采购合同签订之日起2个工作日内，将政府采购合同在省级以上人民政府财政部门指定的媒体上公告，但政府采购合同中涉及国家秘密、商业秘密的内容除外。</w:t>
      </w:r>
    </w:p>
    <w:p w14:paraId="4C22A268">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22.6按照《中华人民共和国政府采购法》的规定，在合同履行中，采购人需要追加与合同标的物相同的货物、工程或者服务的，在不改变合同其他条款的前提下，可以与中标人签订补充合同，但所有补充合同的采购金额不得超过原合同采购金额的10%。</w:t>
      </w:r>
    </w:p>
    <w:p w14:paraId="205A100A">
      <w:pPr>
        <w:pStyle w:val="10"/>
        <w:spacing w:line="360" w:lineRule="auto"/>
        <w:ind w:firstLine="480" w:firstLineChars="200"/>
        <w:rPr>
          <w:color w:val="auto"/>
          <w:highlight w:val="none"/>
        </w:rPr>
      </w:pPr>
      <w:r>
        <w:rPr>
          <w:rFonts w:hint="eastAsia" w:ascii="宋体" w:hAnsi="宋体" w:eastAsia="宋体" w:cs="宋体"/>
          <w:color w:val="auto"/>
          <w:sz w:val="24"/>
          <w:szCs w:val="24"/>
          <w:highlight w:val="none"/>
        </w:rPr>
        <w:t>22.7</w:t>
      </w:r>
      <w:r>
        <w:rPr>
          <w:rFonts w:ascii="宋体" w:hAnsi="宋体" w:eastAsia="宋体" w:cs="宋体"/>
          <w:color w:val="auto"/>
          <w:sz w:val="24"/>
          <w:szCs w:val="24"/>
          <w:highlight w:val="none"/>
        </w:rPr>
        <w:t>政府采购合同不能转包。</w:t>
      </w:r>
    </w:p>
    <w:p w14:paraId="122AB191">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23、保密和披露</w:t>
      </w:r>
    </w:p>
    <w:p w14:paraId="065DC836">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23.1投标人自购买招标文件之日起，须承诺承担本招标项目下的保密义务，不得将因本次招标获得的信息向第三人外传。</w:t>
      </w:r>
    </w:p>
    <w:p w14:paraId="2D3A7230">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23.2采购人有权将投标人提供的所有资料向其他政府部门或有关的非政府机构负责评审标书的人员或与评标有关的人员披露。</w:t>
      </w:r>
    </w:p>
    <w:p w14:paraId="2BB4E58A">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23.3在下列情形下：当发布中标公告和其它公告时，当国家机关调查、审查、审计时，以及在其他符合法律规定的情形下，采购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5B4AAE76">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24、质疑和投诉</w:t>
      </w:r>
    </w:p>
    <w:p w14:paraId="218618AE">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24.1投标人认为招标文件、招标过程和中标结果使自己的合法权益受到损害的，应当在知道或者应知其权益受到损害之日起七个工作日内以书面形式（须加盖公章）{质疑书的具体内容详见《政府采购质疑和投诉办法》（第94号令）}通知采购代理机构向采购方提出质疑（如投标人所参与项目须要在网上提交质疑程序，须同时将纸质版质疑材料递交至采购代理机构，并附网上投标报名或下载文件截图）。投标人应在法定质疑期内一次性提出针对同一采购程序环节的质疑。（质疑联系人及联系方式：</w:t>
      </w:r>
      <w:r>
        <w:rPr>
          <w:rFonts w:hint="eastAsia" w:ascii="宋体" w:hAnsi="宋体" w:cs="宋体"/>
          <w:color w:val="auto"/>
          <w:sz w:val="24"/>
          <w:highlight w:val="none"/>
          <w:lang w:val="en-US" w:eastAsia="zh-CN"/>
        </w:rPr>
        <w:t>武娜</w:t>
      </w:r>
      <w:r>
        <w:rPr>
          <w:rFonts w:hint="eastAsia" w:ascii="宋体" w:hAnsi="宋体" w:cs="宋体"/>
          <w:color w:val="auto"/>
          <w:sz w:val="24"/>
          <w:highlight w:val="none"/>
        </w:rPr>
        <w:t>0431-81150785）投标人对采购人的质疑答复不满意或者采购人未在规定时间内作出答复的，可以在答复期满后十五个工作日内向同级采购监管部门投诉。</w:t>
      </w:r>
    </w:p>
    <w:p w14:paraId="0726C5C6">
      <w:pPr>
        <w:spacing w:line="360" w:lineRule="auto"/>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24.2质疑书、投诉书均应明确阐述招标文件、招标过程和中标结果中使自己合法权益受到损害的实质性内容，提供相关事实、依据和证据及其来源或线索，便于有关单位调查、答复和处理。</w:t>
      </w:r>
    </w:p>
    <w:p w14:paraId="7DB6830E">
      <w:pPr>
        <w:spacing w:line="360" w:lineRule="auto"/>
        <w:ind w:firstLine="482" w:firstLineChars="200"/>
        <w:outlineLvl w:val="0"/>
        <w:rPr>
          <w:rFonts w:ascii="宋体" w:hAnsi="宋体" w:cs="宋体"/>
          <w:b/>
          <w:bCs/>
          <w:color w:val="auto"/>
          <w:sz w:val="24"/>
          <w:highlight w:val="none"/>
        </w:rPr>
      </w:pPr>
      <w:r>
        <w:rPr>
          <w:rFonts w:hint="eastAsia" w:ascii="宋体" w:hAnsi="宋体" w:cs="宋体"/>
          <w:b/>
          <w:bCs/>
          <w:color w:val="auto"/>
          <w:sz w:val="24"/>
          <w:highlight w:val="none"/>
        </w:rPr>
        <w:t>25、中标服务费</w:t>
      </w:r>
    </w:p>
    <w:p w14:paraId="11561B27">
      <w:pPr>
        <w:spacing w:line="360" w:lineRule="auto"/>
        <w:ind w:firstLine="480" w:firstLineChars="200"/>
        <w:outlineLvl w:val="0"/>
        <w:rPr>
          <w:rFonts w:hint="eastAsia" w:ascii="宋体" w:hAnsi="宋体" w:cs="宋体"/>
          <w:color w:val="auto"/>
          <w:sz w:val="24"/>
          <w:highlight w:val="none"/>
        </w:rPr>
      </w:pPr>
      <w:r>
        <w:rPr>
          <w:rFonts w:hint="eastAsia" w:ascii="宋体" w:hAnsi="宋体" w:cs="宋体"/>
          <w:color w:val="auto"/>
          <w:sz w:val="24"/>
          <w:highlight w:val="none"/>
        </w:rPr>
        <w:t>25.1中标人在接到中标通知书后，应向采购代理机构足额交纳中标服务费，</w:t>
      </w:r>
      <w:r>
        <w:rPr>
          <w:rFonts w:hint="eastAsia" w:ascii="宋体" w:hAnsi="宋体"/>
          <w:color w:val="auto"/>
          <w:sz w:val="24"/>
          <w:highlight w:val="none"/>
        </w:rPr>
        <w:t>采购代理机构参照《国家发展和改革委员会关于进一步放开建设项目专业服务价格的通知》发改价格[2015]299号文件收费标准，向中标人（成交人）收取代理服务费</w:t>
      </w:r>
      <w:r>
        <w:rPr>
          <w:rFonts w:hint="eastAsia" w:ascii="宋体" w:hAnsi="宋体" w:cs="宋体"/>
          <w:color w:val="auto"/>
          <w:sz w:val="24"/>
          <w:highlight w:val="none"/>
        </w:rPr>
        <w:t>收费标准：本项目按采购预算金额的1.5%收取；中标服务费金额不足人民币3,000.00元的，按人民币3,000.00元收取。</w:t>
      </w:r>
    </w:p>
    <w:p w14:paraId="032F8BF5">
      <w:pPr>
        <w:numPr>
          <w:ilvl w:val="0"/>
          <w:numId w:val="3"/>
        </w:numPr>
        <w:spacing w:line="360" w:lineRule="auto"/>
        <w:ind w:firstLine="482" w:firstLineChars="200"/>
        <w:outlineLvl w:val="0"/>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其他要求</w:t>
      </w:r>
    </w:p>
    <w:p w14:paraId="35CBEAE4">
      <w:pPr>
        <w:widowControl/>
        <w:wordWrap w:val="0"/>
        <w:spacing w:line="360" w:lineRule="auto"/>
        <w:ind w:firstLine="480" w:firstLineChars="200"/>
        <w:jc w:val="left"/>
        <w:rPr>
          <w:rFonts w:hint="eastAsia" w:ascii="宋体" w:hAnsi="宋体" w:cs="宋体"/>
          <w:color w:val="auto"/>
          <w:sz w:val="24"/>
          <w:highlight w:val="none"/>
          <w:lang w:eastAsia="zh-CN"/>
        </w:rPr>
      </w:pPr>
      <w:r>
        <w:rPr>
          <w:rFonts w:hint="eastAsia" w:ascii="宋体" w:hAnsi="宋体" w:cs="宋体"/>
          <w:color w:val="auto"/>
          <w:sz w:val="24"/>
          <w:highlight w:val="none"/>
        </w:rPr>
        <w:t>26.1付款方式：</w:t>
      </w:r>
      <w:r>
        <w:rPr>
          <w:rFonts w:hint="eastAsia" w:ascii="宋体" w:hAnsi="宋体" w:cs="宋体"/>
          <w:color w:val="auto"/>
          <w:sz w:val="24"/>
          <w:highlight w:val="none"/>
          <w:lang w:eastAsia="zh-CN"/>
        </w:rPr>
        <w:t>签订合同后付合同价款的50%，车辆验收合格后，落完牌子付合同价款剩余的50%。</w:t>
      </w:r>
    </w:p>
    <w:p w14:paraId="346373A6">
      <w:pPr>
        <w:widowControl/>
        <w:wordWrap w:val="0"/>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26.2质量保证期：</w:t>
      </w:r>
      <w:r>
        <w:rPr>
          <w:rFonts w:hint="eastAsia" w:ascii="宋体" w:hAnsi="宋体" w:cs="宋体"/>
          <w:color w:val="auto"/>
          <w:sz w:val="24"/>
          <w:highlight w:val="none"/>
          <w:lang w:val="en-US" w:eastAsia="zh-CN"/>
        </w:rPr>
        <w:t>三</w:t>
      </w:r>
      <w:r>
        <w:rPr>
          <w:rFonts w:hint="eastAsia" w:ascii="宋体" w:hAnsi="宋体" w:eastAsia="宋体" w:cs="宋体"/>
          <w:color w:val="auto"/>
          <w:sz w:val="24"/>
          <w:highlight w:val="none"/>
          <w:lang w:val="en-US" w:eastAsia="zh-CN"/>
        </w:rPr>
        <w:t>年</w:t>
      </w:r>
    </w:p>
    <w:p w14:paraId="048AD2FE">
      <w:pPr>
        <w:spacing w:line="360" w:lineRule="auto"/>
        <w:jc w:val="center"/>
        <w:outlineLvl w:val="0"/>
        <w:rPr>
          <w:rFonts w:ascii="黑体" w:eastAsia="黑体"/>
          <w:b/>
          <w:color w:val="auto"/>
          <w:sz w:val="36"/>
          <w:szCs w:val="36"/>
          <w:highlight w:val="none"/>
        </w:rPr>
      </w:pPr>
      <w:r>
        <w:rPr>
          <w:rFonts w:hint="eastAsia" w:ascii="黑体" w:eastAsia="黑体"/>
          <w:b/>
          <w:color w:val="auto"/>
          <w:sz w:val="36"/>
          <w:szCs w:val="36"/>
          <w:highlight w:val="none"/>
        </w:rPr>
        <w:t>第三章 评标办法</w:t>
      </w:r>
    </w:p>
    <w:p w14:paraId="7333B568">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评标应当遵循下列工作程序：</w:t>
      </w:r>
    </w:p>
    <w:p w14:paraId="074C76E0">
      <w:pPr>
        <w:spacing w:line="360" w:lineRule="auto"/>
        <w:ind w:firstLine="482"/>
        <w:rPr>
          <w:rFonts w:ascii="宋体" w:hAnsi="宋体" w:cs="宋体"/>
          <w:b/>
          <w:bCs/>
          <w:color w:val="auto"/>
          <w:sz w:val="24"/>
          <w:highlight w:val="none"/>
        </w:rPr>
      </w:pPr>
      <w:r>
        <w:rPr>
          <w:rFonts w:hint="eastAsia" w:ascii="宋体" w:hAnsi="宋体" w:cs="宋体"/>
          <w:b/>
          <w:bCs/>
          <w:color w:val="auto"/>
          <w:sz w:val="24"/>
          <w:highlight w:val="none"/>
        </w:rPr>
        <w:t>3.1符合性审查。</w:t>
      </w:r>
    </w:p>
    <w:p w14:paraId="464DCD34">
      <w:pPr>
        <w:pStyle w:val="24"/>
        <w:spacing w:beforeAutospacing="0" w:afterAutospacing="0" w:line="360" w:lineRule="auto"/>
        <w:ind w:firstLine="480"/>
        <w:jc w:val="both"/>
        <w:rPr>
          <w:color w:val="auto"/>
          <w:kern w:val="2"/>
          <w:highlight w:val="none"/>
        </w:rPr>
      </w:pPr>
      <w:r>
        <w:rPr>
          <w:rFonts w:hint="eastAsia"/>
          <w:color w:val="auto"/>
          <w:kern w:val="2"/>
          <w:highlight w:val="none"/>
        </w:rPr>
        <w:t>3.1.1评标委员会将对符合资格的投标人的投标文件进行符合性审查，以确定其是否满足招标文件的实质性要求。</w:t>
      </w:r>
    </w:p>
    <w:p w14:paraId="4609889D">
      <w:pPr>
        <w:pStyle w:val="24"/>
        <w:spacing w:beforeAutospacing="0" w:afterAutospacing="0" w:line="360" w:lineRule="auto"/>
        <w:ind w:firstLine="480"/>
        <w:jc w:val="center"/>
        <w:rPr>
          <w:color w:val="auto"/>
          <w:highlight w:val="none"/>
        </w:rPr>
      </w:pPr>
      <w:r>
        <w:rPr>
          <w:rFonts w:hint="eastAsia"/>
          <w:color w:val="auto"/>
          <w:kern w:val="2"/>
          <w:highlight w:val="none"/>
        </w:rPr>
        <w:t>符合性审查表</w:t>
      </w:r>
    </w:p>
    <w:tbl>
      <w:tblPr>
        <w:tblStyle w:val="28"/>
        <w:tblW w:w="9085" w:type="dxa"/>
        <w:jc w:val="center"/>
        <w:tblLayout w:type="fixed"/>
        <w:tblCellMar>
          <w:top w:w="0" w:type="dxa"/>
          <w:left w:w="108" w:type="dxa"/>
          <w:bottom w:w="0" w:type="dxa"/>
          <w:right w:w="108" w:type="dxa"/>
        </w:tblCellMar>
      </w:tblPr>
      <w:tblGrid>
        <w:gridCol w:w="546"/>
        <w:gridCol w:w="7545"/>
        <w:gridCol w:w="994"/>
      </w:tblGrid>
      <w:tr w14:paraId="6B69C453">
        <w:tblPrEx>
          <w:tblCellMar>
            <w:top w:w="0" w:type="dxa"/>
            <w:left w:w="108" w:type="dxa"/>
            <w:bottom w:w="0" w:type="dxa"/>
            <w:right w:w="108" w:type="dxa"/>
          </w:tblCellMar>
        </w:tblPrEx>
        <w:trPr>
          <w:trHeight w:val="397" w:hRule="atLeast"/>
          <w:jc w:val="center"/>
        </w:trPr>
        <w:tc>
          <w:tcPr>
            <w:tcW w:w="8091" w:type="dxa"/>
            <w:gridSpan w:val="2"/>
            <w:vMerge w:val="restart"/>
            <w:tcBorders>
              <w:top w:val="single" w:color="auto" w:sz="6" w:space="0"/>
              <w:left w:val="single" w:color="auto" w:sz="6" w:space="0"/>
              <w:bottom w:val="single" w:color="auto" w:sz="6" w:space="0"/>
              <w:right w:val="single" w:color="auto" w:sz="6" w:space="0"/>
            </w:tcBorders>
            <w:vAlign w:val="center"/>
          </w:tcPr>
          <w:p w14:paraId="5175AC28">
            <w:pPr>
              <w:widowControl/>
              <w:autoSpaceDE w:val="0"/>
              <w:autoSpaceDN w:val="0"/>
              <w:spacing w:line="360" w:lineRule="auto"/>
              <w:ind w:right="-34" w:firstLine="480"/>
              <w:jc w:val="center"/>
              <w:textAlignment w:val="bottom"/>
              <w:rPr>
                <w:rFonts w:ascii="宋体" w:hAnsi="宋体" w:cs="宋体"/>
                <w:color w:val="auto"/>
                <w:sz w:val="24"/>
                <w:highlight w:val="none"/>
              </w:rPr>
            </w:pPr>
            <w:r>
              <w:rPr>
                <w:rFonts w:hint="eastAsia" w:ascii="宋体" w:hAnsi="宋体" w:cs="宋体"/>
                <w:color w:val="auto"/>
                <w:sz w:val="24"/>
                <w:highlight w:val="none"/>
              </w:rPr>
              <w:t>审查内容</w:t>
            </w:r>
          </w:p>
        </w:tc>
        <w:tc>
          <w:tcPr>
            <w:tcW w:w="994" w:type="dxa"/>
            <w:tcBorders>
              <w:top w:val="single" w:color="auto" w:sz="6" w:space="0"/>
              <w:left w:val="single" w:color="auto" w:sz="6" w:space="0"/>
              <w:bottom w:val="single" w:color="auto" w:sz="6" w:space="0"/>
              <w:right w:val="single" w:color="auto" w:sz="4" w:space="0"/>
            </w:tcBorders>
            <w:vAlign w:val="center"/>
          </w:tcPr>
          <w:p w14:paraId="7B564A9F">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投标人</w:t>
            </w:r>
          </w:p>
        </w:tc>
      </w:tr>
      <w:tr w14:paraId="368DAE1C">
        <w:tblPrEx>
          <w:tblCellMar>
            <w:top w:w="0" w:type="dxa"/>
            <w:left w:w="108" w:type="dxa"/>
            <w:bottom w:w="0" w:type="dxa"/>
            <w:right w:w="108" w:type="dxa"/>
          </w:tblCellMar>
        </w:tblPrEx>
        <w:trPr>
          <w:trHeight w:val="90" w:hRule="atLeast"/>
          <w:jc w:val="center"/>
        </w:trPr>
        <w:tc>
          <w:tcPr>
            <w:tcW w:w="8091" w:type="dxa"/>
            <w:gridSpan w:val="2"/>
            <w:vMerge w:val="continue"/>
            <w:tcBorders>
              <w:top w:val="single" w:color="auto" w:sz="6" w:space="0"/>
              <w:left w:val="single" w:color="auto" w:sz="6" w:space="0"/>
              <w:bottom w:val="single" w:color="auto" w:sz="6" w:space="0"/>
              <w:right w:val="single" w:color="auto" w:sz="6" w:space="0"/>
            </w:tcBorders>
            <w:vAlign w:val="center"/>
          </w:tcPr>
          <w:p w14:paraId="3C88674E">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c>
          <w:tcPr>
            <w:tcW w:w="994" w:type="dxa"/>
            <w:tcBorders>
              <w:top w:val="single" w:color="auto" w:sz="6" w:space="0"/>
              <w:left w:val="single" w:color="auto" w:sz="6" w:space="0"/>
              <w:bottom w:val="single" w:color="auto" w:sz="6" w:space="0"/>
              <w:right w:val="single" w:color="auto" w:sz="4" w:space="0"/>
            </w:tcBorders>
          </w:tcPr>
          <w:p w14:paraId="5EA57008">
            <w:pPr>
              <w:widowControl/>
              <w:autoSpaceDE w:val="0"/>
              <w:autoSpaceDN w:val="0"/>
              <w:spacing w:line="360" w:lineRule="auto"/>
              <w:ind w:right="-34" w:firstLine="480"/>
              <w:jc w:val="center"/>
              <w:textAlignment w:val="bottom"/>
              <w:rPr>
                <w:rFonts w:ascii="宋体" w:hAnsi="宋体" w:cs="宋体"/>
                <w:color w:val="auto"/>
                <w:sz w:val="24"/>
                <w:highlight w:val="none"/>
              </w:rPr>
            </w:pPr>
          </w:p>
        </w:tc>
      </w:tr>
      <w:tr w14:paraId="665ADF3A">
        <w:tblPrEx>
          <w:tblCellMar>
            <w:top w:w="0" w:type="dxa"/>
            <w:left w:w="108" w:type="dxa"/>
            <w:bottom w:w="0" w:type="dxa"/>
            <w:right w:w="108" w:type="dxa"/>
          </w:tblCellMar>
        </w:tblPrEx>
        <w:trPr>
          <w:trHeight w:val="397" w:hRule="atLeast"/>
          <w:jc w:val="center"/>
        </w:trPr>
        <w:tc>
          <w:tcPr>
            <w:tcW w:w="546" w:type="dxa"/>
            <w:vMerge w:val="restart"/>
            <w:tcBorders>
              <w:top w:val="single" w:color="auto" w:sz="6" w:space="0"/>
              <w:left w:val="single" w:color="auto" w:sz="6" w:space="0"/>
              <w:right w:val="single" w:color="auto" w:sz="4" w:space="0"/>
            </w:tcBorders>
            <w:vAlign w:val="center"/>
          </w:tcPr>
          <w:p w14:paraId="79BF0F60">
            <w:pPr>
              <w:spacing w:line="360" w:lineRule="auto"/>
              <w:ind w:firstLine="480"/>
              <w:jc w:val="center"/>
              <w:rPr>
                <w:rFonts w:ascii="宋体" w:hAnsi="宋体" w:cs="宋体"/>
                <w:color w:val="auto"/>
                <w:sz w:val="24"/>
                <w:highlight w:val="none"/>
              </w:rPr>
            </w:pPr>
            <w:r>
              <w:rPr>
                <w:rFonts w:hint="eastAsia" w:ascii="宋体" w:hAnsi="宋体" w:cs="宋体"/>
                <w:color w:val="auto"/>
                <w:sz w:val="24"/>
                <w:highlight w:val="none"/>
              </w:rPr>
              <w:t>符符合性审查</w:t>
            </w:r>
          </w:p>
        </w:tc>
        <w:tc>
          <w:tcPr>
            <w:tcW w:w="7545" w:type="dxa"/>
            <w:tcBorders>
              <w:top w:val="single" w:color="auto" w:sz="6" w:space="0"/>
              <w:left w:val="single" w:color="auto" w:sz="4" w:space="0"/>
              <w:right w:val="single" w:color="auto" w:sz="6" w:space="0"/>
            </w:tcBorders>
            <w:vAlign w:val="center"/>
          </w:tcPr>
          <w:p w14:paraId="0C87D247">
            <w:pPr>
              <w:spacing w:line="360" w:lineRule="auto"/>
              <w:rPr>
                <w:rFonts w:ascii="宋体" w:hAnsi="宋体" w:cs="宋体"/>
                <w:color w:val="auto"/>
                <w:sz w:val="24"/>
                <w:highlight w:val="none"/>
              </w:rPr>
            </w:pPr>
            <w:r>
              <w:rPr>
                <w:rFonts w:hint="eastAsia" w:ascii="宋体" w:hAnsi="宋体" w:cs="宋体"/>
                <w:color w:val="auto"/>
                <w:sz w:val="24"/>
              </w:rPr>
              <w:t>1.投标报价未超过招标文件中规定的预算金额或者最高限价的；</w:t>
            </w:r>
          </w:p>
        </w:tc>
        <w:tc>
          <w:tcPr>
            <w:tcW w:w="994" w:type="dxa"/>
            <w:tcBorders>
              <w:top w:val="single" w:color="auto" w:sz="6" w:space="0"/>
              <w:left w:val="single" w:color="auto" w:sz="6" w:space="0"/>
              <w:right w:val="single" w:color="auto" w:sz="4" w:space="0"/>
            </w:tcBorders>
            <w:vAlign w:val="center"/>
          </w:tcPr>
          <w:p w14:paraId="09E644E2">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0597C931">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08CC07ED">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26D97A51">
            <w:pPr>
              <w:spacing w:line="360" w:lineRule="auto"/>
              <w:rPr>
                <w:rFonts w:ascii="宋体" w:hAnsi="宋体" w:cs="宋体"/>
                <w:color w:val="auto"/>
                <w:sz w:val="24"/>
                <w:highlight w:val="none"/>
              </w:rPr>
            </w:pPr>
            <w:r>
              <w:rPr>
                <w:rFonts w:hint="eastAsia" w:ascii="宋体" w:hAnsi="宋体" w:cs="宋体"/>
                <w:color w:val="auto"/>
                <w:sz w:val="24"/>
              </w:rPr>
              <w:t>2.投标文件未含有采购人不能接受的附加条件的；</w:t>
            </w:r>
          </w:p>
        </w:tc>
        <w:tc>
          <w:tcPr>
            <w:tcW w:w="994" w:type="dxa"/>
            <w:tcBorders>
              <w:top w:val="single" w:color="auto" w:sz="6" w:space="0"/>
              <w:left w:val="single" w:color="auto" w:sz="6" w:space="0"/>
              <w:bottom w:val="single" w:color="auto" w:sz="6" w:space="0"/>
              <w:right w:val="single" w:color="auto" w:sz="4" w:space="0"/>
            </w:tcBorders>
            <w:vAlign w:val="center"/>
          </w:tcPr>
          <w:p w14:paraId="1956AE7C">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520BEE04">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46CBCE90">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06C6453F">
            <w:pPr>
              <w:spacing w:line="360" w:lineRule="auto"/>
              <w:jc w:val="left"/>
              <w:rPr>
                <w:rFonts w:ascii="宋体" w:hAnsi="宋体" w:cs="宋体"/>
                <w:color w:val="auto"/>
                <w:sz w:val="24"/>
                <w:highlight w:val="none"/>
              </w:rPr>
            </w:pPr>
            <w:r>
              <w:rPr>
                <w:rFonts w:hint="eastAsia" w:ascii="宋体" w:hAnsi="宋体" w:eastAsia="宋体" w:cs="宋体"/>
                <w:color w:val="auto"/>
                <w:sz w:val="24"/>
              </w:rPr>
              <w:t>3.投标文件中包括了招标文件中提供格式的文本，形式上符合招标文件规定；</w:t>
            </w:r>
          </w:p>
        </w:tc>
        <w:tc>
          <w:tcPr>
            <w:tcW w:w="994" w:type="dxa"/>
            <w:tcBorders>
              <w:top w:val="single" w:color="auto" w:sz="6" w:space="0"/>
              <w:left w:val="single" w:color="auto" w:sz="6" w:space="0"/>
              <w:bottom w:val="single" w:color="auto" w:sz="6" w:space="0"/>
              <w:right w:val="single" w:color="auto" w:sz="4" w:space="0"/>
            </w:tcBorders>
            <w:vAlign w:val="center"/>
          </w:tcPr>
          <w:p w14:paraId="49E873A1">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4F70433E">
        <w:tblPrEx>
          <w:tblCellMar>
            <w:top w:w="0" w:type="dxa"/>
            <w:left w:w="108" w:type="dxa"/>
            <w:bottom w:w="0" w:type="dxa"/>
            <w:right w:w="108" w:type="dxa"/>
          </w:tblCellMar>
        </w:tblPrEx>
        <w:trPr>
          <w:trHeight w:val="397" w:hRule="atLeast"/>
          <w:jc w:val="center"/>
        </w:trPr>
        <w:tc>
          <w:tcPr>
            <w:tcW w:w="546" w:type="dxa"/>
            <w:vMerge w:val="continue"/>
            <w:tcBorders>
              <w:left w:val="single" w:color="auto" w:sz="6" w:space="0"/>
              <w:right w:val="single" w:color="auto" w:sz="4" w:space="0"/>
            </w:tcBorders>
            <w:vAlign w:val="center"/>
          </w:tcPr>
          <w:p w14:paraId="51096D49">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bottom w:val="single" w:color="auto" w:sz="6" w:space="0"/>
              <w:right w:val="single" w:color="auto" w:sz="6" w:space="0"/>
            </w:tcBorders>
            <w:vAlign w:val="center"/>
          </w:tcPr>
          <w:p w14:paraId="55A34BCC">
            <w:pPr>
              <w:spacing w:line="360" w:lineRule="auto"/>
              <w:jc w:val="left"/>
              <w:rPr>
                <w:rFonts w:ascii="宋体" w:hAnsi="宋体" w:cs="宋体"/>
                <w:color w:val="auto"/>
                <w:sz w:val="24"/>
                <w:highlight w:val="none"/>
              </w:rPr>
            </w:pPr>
            <w:r>
              <w:rPr>
                <w:rFonts w:hint="eastAsia" w:ascii="宋体" w:hAnsi="宋体" w:eastAsia="宋体" w:cs="宋体"/>
                <w:color w:val="auto"/>
                <w:sz w:val="24"/>
                <w:lang w:val="en-US" w:eastAsia="zh-CN"/>
              </w:rPr>
              <w:t>4.</w:t>
            </w:r>
            <w:r>
              <w:rPr>
                <w:rFonts w:hint="eastAsia" w:ascii="宋体" w:hAnsi="宋体" w:eastAsia="宋体" w:cs="宋体"/>
                <w:color w:val="auto"/>
                <w:sz w:val="24"/>
              </w:rPr>
              <w:t>按照</w:t>
            </w:r>
            <w:r>
              <w:rPr>
                <w:rFonts w:hint="eastAsia" w:ascii="宋体" w:hAnsi="宋体" w:eastAsia="宋体" w:cs="宋体"/>
                <w:color w:val="auto"/>
                <w:sz w:val="24"/>
                <w:lang w:eastAsia="zh-CN"/>
              </w:rPr>
              <w:t>招标文件</w:t>
            </w:r>
            <w:r>
              <w:rPr>
                <w:rFonts w:hint="eastAsia" w:ascii="宋体" w:hAnsi="宋体" w:eastAsia="宋体" w:cs="宋体"/>
                <w:color w:val="auto"/>
                <w:sz w:val="24"/>
              </w:rPr>
              <w:t>的要求对商务和服务需求进行应答，详细填写“服务内容偏离表、商务条款偏离表”</w:t>
            </w:r>
            <w:r>
              <w:rPr>
                <w:rFonts w:hint="eastAsia" w:ascii="宋体" w:hAnsi="宋体" w:eastAsia="宋体" w:cs="宋体"/>
                <w:color w:val="auto"/>
                <w:sz w:val="24"/>
                <w:lang w:eastAsia="zh-CN"/>
              </w:rPr>
              <w:t>；</w:t>
            </w:r>
          </w:p>
        </w:tc>
        <w:tc>
          <w:tcPr>
            <w:tcW w:w="994" w:type="dxa"/>
            <w:tcBorders>
              <w:top w:val="single" w:color="auto" w:sz="6" w:space="0"/>
              <w:left w:val="single" w:color="auto" w:sz="6" w:space="0"/>
              <w:bottom w:val="single" w:color="auto" w:sz="6" w:space="0"/>
              <w:right w:val="single" w:color="auto" w:sz="4" w:space="0"/>
            </w:tcBorders>
            <w:vAlign w:val="center"/>
          </w:tcPr>
          <w:p w14:paraId="22DF2731">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2749FF7C">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209B550E">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BB67B3A">
            <w:pPr>
              <w:spacing w:line="360" w:lineRule="auto"/>
              <w:jc w:val="left"/>
              <w:rPr>
                <w:rFonts w:ascii="宋体" w:hAnsi="宋体" w:cs="宋体"/>
                <w:color w:val="auto"/>
                <w:sz w:val="24"/>
                <w:highlight w:val="none"/>
              </w:rPr>
            </w:pPr>
            <w:r>
              <w:rPr>
                <w:rFonts w:hint="eastAsia" w:ascii="宋体" w:hAnsi="宋体" w:eastAsia="宋体" w:cs="宋体"/>
                <w:color w:val="auto"/>
                <w:sz w:val="24"/>
                <w:lang w:val="en-US" w:eastAsia="zh-CN"/>
              </w:rPr>
              <w:t>5</w:t>
            </w:r>
            <w:r>
              <w:rPr>
                <w:rFonts w:hint="eastAsia" w:ascii="宋体" w:hAnsi="宋体" w:eastAsia="宋体" w:cs="宋体"/>
                <w:color w:val="auto"/>
                <w:sz w:val="24"/>
              </w:rPr>
              <w:t>.投标人按照招标文件规定要求签署、盖章；</w:t>
            </w:r>
          </w:p>
        </w:tc>
        <w:tc>
          <w:tcPr>
            <w:tcW w:w="994" w:type="dxa"/>
            <w:tcBorders>
              <w:top w:val="single" w:color="auto" w:sz="6" w:space="0"/>
              <w:left w:val="single" w:color="auto" w:sz="6" w:space="0"/>
              <w:bottom w:val="single" w:color="auto" w:sz="6" w:space="0"/>
              <w:right w:val="single" w:color="auto" w:sz="4" w:space="0"/>
            </w:tcBorders>
            <w:vAlign w:val="center"/>
          </w:tcPr>
          <w:p w14:paraId="5698E0EA">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3672AFC8">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20AB4CA9">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1D6D37D2">
            <w:pPr>
              <w:spacing w:line="360" w:lineRule="auto"/>
              <w:jc w:val="left"/>
              <w:rPr>
                <w:rFonts w:ascii="宋体" w:hAnsi="宋体" w:cs="宋体"/>
                <w:color w:val="auto"/>
                <w:sz w:val="24"/>
                <w:highlight w:val="none"/>
              </w:rPr>
            </w:pPr>
            <w:r>
              <w:rPr>
                <w:rFonts w:hint="eastAsia" w:ascii="宋体" w:hAnsi="宋体" w:eastAsia="宋体" w:cs="宋体"/>
                <w:color w:val="auto"/>
                <w:sz w:val="24"/>
                <w:lang w:val="en-US" w:eastAsia="zh-CN"/>
              </w:rPr>
              <w:t>6</w:t>
            </w:r>
            <w:r>
              <w:rPr>
                <w:rFonts w:hint="eastAsia" w:ascii="宋体" w:hAnsi="宋体" w:eastAsia="宋体" w:cs="宋体"/>
                <w:color w:val="auto"/>
                <w:sz w:val="24"/>
              </w:rPr>
              <w:t>.提交的投标价格为非可调整的价格；</w:t>
            </w:r>
          </w:p>
        </w:tc>
        <w:tc>
          <w:tcPr>
            <w:tcW w:w="994" w:type="dxa"/>
            <w:tcBorders>
              <w:top w:val="single" w:color="auto" w:sz="6" w:space="0"/>
              <w:left w:val="single" w:color="auto" w:sz="6" w:space="0"/>
              <w:bottom w:val="single" w:color="auto" w:sz="6" w:space="0"/>
              <w:right w:val="single" w:color="auto" w:sz="4" w:space="0"/>
            </w:tcBorders>
            <w:vAlign w:val="center"/>
          </w:tcPr>
          <w:p w14:paraId="0DD6ED2A">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20731C23">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5EDB0477">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05ED6938">
            <w:pPr>
              <w:spacing w:line="360" w:lineRule="auto"/>
              <w:jc w:val="left"/>
              <w:rPr>
                <w:rFonts w:ascii="宋体" w:hAnsi="宋体" w:cs="宋体"/>
                <w:color w:val="auto"/>
                <w:sz w:val="24"/>
                <w:highlight w:val="none"/>
              </w:rPr>
            </w:pPr>
            <w:r>
              <w:rPr>
                <w:rFonts w:hint="eastAsia" w:ascii="宋体" w:hAnsi="宋体" w:eastAsia="宋体" w:cs="宋体"/>
                <w:color w:val="auto"/>
                <w:sz w:val="24"/>
                <w:lang w:val="en-US" w:eastAsia="zh-CN"/>
              </w:rPr>
              <w:t>7</w:t>
            </w:r>
            <w:r>
              <w:rPr>
                <w:rFonts w:hint="eastAsia" w:ascii="宋体" w:hAnsi="宋体" w:eastAsia="宋体" w:cs="宋体"/>
                <w:color w:val="auto"/>
                <w:sz w:val="24"/>
              </w:rPr>
              <w:t>.符合招标文件中服务期限的要求；</w:t>
            </w:r>
          </w:p>
        </w:tc>
        <w:tc>
          <w:tcPr>
            <w:tcW w:w="994" w:type="dxa"/>
            <w:tcBorders>
              <w:top w:val="single" w:color="auto" w:sz="6" w:space="0"/>
              <w:left w:val="single" w:color="auto" w:sz="6" w:space="0"/>
              <w:bottom w:val="single" w:color="auto" w:sz="6" w:space="0"/>
              <w:right w:val="single" w:color="auto" w:sz="4" w:space="0"/>
            </w:tcBorders>
            <w:vAlign w:val="center"/>
          </w:tcPr>
          <w:p w14:paraId="3B707104">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11BA128F">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3B8840BD">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90270DB">
            <w:pPr>
              <w:spacing w:line="360" w:lineRule="auto"/>
              <w:jc w:val="left"/>
              <w:rPr>
                <w:rFonts w:ascii="宋体" w:hAnsi="宋体" w:cs="宋体"/>
                <w:color w:val="auto"/>
                <w:sz w:val="24"/>
                <w:highlight w:val="none"/>
              </w:rPr>
            </w:pPr>
            <w:r>
              <w:rPr>
                <w:rFonts w:hint="eastAsia" w:ascii="宋体" w:hAnsi="宋体" w:eastAsia="宋体" w:cs="宋体"/>
                <w:color w:val="auto"/>
                <w:sz w:val="24"/>
                <w:lang w:val="en-US" w:eastAsia="zh-CN"/>
              </w:rPr>
              <w:t>8</w:t>
            </w:r>
            <w:r>
              <w:rPr>
                <w:rFonts w:hint="eastAsia" w:ascii="宋体" w:hAnsi="宋体" w:eastAsia="宋体" w:cs="宋体"/>
                <w:color w:val="auto"/>
                <w:sz w:val="24"/>
              </w:rPr>
              <w:t>.对招标文件的实质性要求作出响应；</w:t>
            </w:r>
          </w:p>
        </w:tc>
        <w:tc>
          <w:tcPr>
            <w:tcW w:w="994" w:type="dxa"/>
            <w:tcBorders>
              <w:top w:val="single" w:color="auto" w:sz="6" w:space="0"/>
              <w:left w:val="single" w:color="auto" w:sz="6" w:space="0"/>
              <w:bottom w:val="single" w:color="auto" w:sz="6" w:space="0"/>
              <w:right w:val="single" w:color="auto" w:sz="4" w:space="0"/>
            </w:tcBorders>
            <w:vAlign w:val="center"/>
          </w:tcPr>
          <w:p w14:paraId="039E420E">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3EDA703D">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4997793E">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1A829320">
            <w:pPr>
              <w:spacing w:line="360" w:lineRule="auto"/>
              <w:jc w:val="left"/>
              <w:rPr>
                <w:rFonts w:hint="default" w:ascii="宋体" w:hAnsi="宋体" w:eastAsia="宋体" w:cs="宋体"/>
                <w:color w:val="auto"/>
                <w:sz w:val="24"/>
                <w:lang w:val="en-US" w:eastAsia="zh-CN"/>
              </w:rPr>
            </w:pPr>
            <w:r>
              <w:rPr>
                <w:rFonts w:hint="eastAsia" w:ascii="宋体" w:hAnsi="宋体" w:cs="宋体"/>
                <w:color w:val="auto"/>
                <w:sz w:val="24"/>
                <w:lang w:val="en-US" w:eastAsia="zh-CN"/>
              </w:rPr>
              <w:t>9.按招标文件中的要求提交了投标保证金，保证金金额和形式符合招标文件要求。</w:t>
            </w:r>
          </w:p>
        </w:tc>
        <w:tc>
          <w:tcPr>
            <w:tcW w:w="994" w:type="dxa"/>
            <w:tcBorders>
              <w:top w:val="single" w:color="auto" w:sz="6" w:space="0"/>
              <w:left w:val="single" w:color="auto" w:sz="6" w:space="0"/>
              <w:bottom w:val="single" w:color="auto" w:sz="6" w:space="0"/>
              <w:right w:val="single" w:color="auto" w:sz="4" w:space="0"/>
            </w:tcBorders>
            <w:vAlign w:val="center"/>
          </w:tcPr>
          <w:p w14:paraId="2931FED0">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131727DD">
        <w:tblPrEx>
          <w:tblCellMar>
            <w:top w:w="0" w:type="dxa"/>
            <w:left w:w="108" w:type="dxa"/>
            <w:bottom w:w="0" w:type="dxa"/>
            <w:right w:w="108" w:type="dxa"/>
          </w:tblCellMar>
        </w:tblPrEx>
        <w:trPr>
          <w:trHeight w:val="412" w:hRule="atLeast"/>
          <w:jc w:val="center"/>
        </w:trPr>
        <w:tc>
          <w:tcPr>
            <w:tcW w:w="546" w:type="dxa"/>
            <w:vMerge w:val="continue"/>
            <w:tcBorders>
              <w:left w:val="single" w:color="auto" w:sz="6" w:space="0"/>
              <w:right w:val="single" w:color="auto" w:sz="4" w:space="0"/>
            </w:tcBorders>
            <w:vAlign w:val="center"/>
          </w:tcPr>
          <w:p w14:paraId="029CB97F">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756FD87">
            <w:pPr>
              <w:numPr>
                <w:ilvl w:val="0"/>
                <w:numId w:val="4"/>
              </w:numPr>
              <w:spacing w:line="360" w:lineRule="auto"/>
              <w:jc w:val="left"/>
              <w:rPr>
                <w:rFonts w:hint="eastAsia" w:ascii="宋体" w:hAnsi="宋体" w:cs="宋体"/>
                <w:color w:val="auto"/>
                <w:sz w:val="24"/>
                <w:lang w:eastAsia="zh-CN"/>
              </w:rPr>
            </w:pPr>
            <w:r>
              <w:rPr>
                <w:rFonts w:hint="eastAsia" w:ascii="宋体" w:hAnsi="宋体" w:eastAsia="宋体" w:cs="宋体"/>
                <w:color w:val="auto"/>
                <w:sz w:val="24"/>
              </w:rPr>
              <w:t>投标人不存在串通投标行为</w:t>
            </w:r>
            <w:r>
              <w:rPr>
                <w:rFonts w:hint="eastAsia" w:ascii="宋体" w:hAnsi="宋体" w:cs="宋体"/>
                <w:color w:val="auto"/>
                <w:sz w:val="24"/>
                <w:lang w:eastAsia="zh-CN"/>
              </w:rPr>
              <w:t>：</w:t>
            </w:r>
          </w:p>
          <w:p w14:paraId="0DDB7AFD">
            <w:pPr>
              <w:spacing w:line="360" w:lineRule="auto"/>
              <w:rPr>
                <w:rFonts w:ascii="宋体" w:hAnsi="宋体" w:cs="宋体"/>
                <w:bCs/>
                <w:color w:val="auto"/>
                <w:sz w:val="24"/>
                <w:highlight w:val="none"/>
              </w:rPr>
            </w:pPr>
            <w:r>
              <w:rPr>
                <w:rFonts w:hint="eastAsia" w:ascii="宋体" w:hAnsi="宋体" w:cs="宋体"/>
                <w:bCs/>
                <w:color w:val="auto"/>
                <w:sz w:val="24"/>
                <w:highlight w:val="none"/>
              </w:rPr>
              <w:t>（一）不同投标人的投标文件由同一单位或者个人编制；</w:t>
            </w:r>
          </w:p>
          <w:p w14:paraId="34AFB57F">
            <w:pPr>
              <w:spacing w:line="360" w:lineRule="auto"/>
              <w:rPr>
                <w:rFonts w:ascii="宋体" w:hAnsi="宋体" w:cs="宋体"/>
                <w:bCs/>
                <w:color w:val="auto"/>
                <w:sz w:val="24"/>
                <w:highlight w:val="none"/>
              </w:rPr>
            </w:pPr>
            <w:r>
              <w:rPr>
                <w:rFonts w:hint="eastAsia" w:ascii="宋体" w:hAnsi="宋体" w:cs="宋体"/>
                <w:bCs/>
                <w:color w:val="auto"/>
                <w:sz w:val="24"/>
                <w:highlight w:val="none"/>
              </w:rPr>
              <w:t>（二）不同投标人委托同一单位或者个人办理投标事宜；</w:t>
            </w:r>
          </w:p>
          <w:p w14:paraId="68D2E792">
            <w:pPr>
              <w:spacing w:line="360" w:lineRule="auto"/>
              <w:rPr>
                <w:rFonts w:ascii="宋体" w:hAnsi="宋体" w:cs="宋体"/>
                <w:bCs/>
                <w:color w:val="auto"/>
                <w:sz w:val="24"/>
                <w:highlight w:val="none"/>
              </w:rPr>
            </w:pPr>
            <w:r>
              <w:rPr>
                <w:rFonts w:hint="eastAsia" w:ascii="宋体" w:hAnsi="宋体" w:cs="宋体"/>
                <w:bCs/>
                <w:color w:val="auto"/>
                <w:sz w:val="24"/>
                <w:highlight w:val="none"/>
              </w:rPr>
              <w:t>（三）不同投标人的投标文件载明的项目管理成员为同一人；</w:t>
            </w:r>
          </w:p>
          <w:p w14:paraId="3FEA4FAB">
            <w:pPr>
              <w:spacing w:line="360" w:lineRule="auto"/>
              <w:rPr>
                <w:rFonts w:ascii="宋体" w:hAnsi="宋体" w:cs="宋体"/>
                <w:bCs/>
                <w:color w:val="auto"/>
                <w:sz w:val="24"/>
                <w:highlight w:val="none"/>
              </w:rPr>
            </w:pPr>
            <w:r>
              <w:rPr>
                <w:rFonts w:hint="eastAsia" w:ascii="宋体" w:hAnsi="宋体" w:cs="宋体"/>
                <w:bCs/>
                <w:color w:val="auto"/>
                <w:sz w:val="24"/>
                <w:highlight w:val="none"/>
              </w:rPr>
              <w:t>（四）不同投标人的投标文件异常一致或者投标报价呈规律性差异；</w:t>
            </w:r>
          </w:p>
          <w:p w14:paraId="2F9F6866">
            <w:pPr>
              <w:spacing w:line="360" w:lineRule="auto"/>
              <w:rPr>
                <w:rFonts w:ascii="宋体" w:hAnsi="宋体" w:cs="宋体"/>
                <w:bCs/>
                <w:color w:val="auto"/>
                <w:sz w:val="24"/>
                <w:highlight w:val="none"/>
              </w:rPr>
            </w:pPr>
            <w:r>
              <w:rPr>
                <w:rFonts w:hint="eastAsia" w:ascii="宋体" w:hAnsi="宋体" w:cs="宋体"/>
                <w:bCs/>
                <w:color w:val="auto"/>
                <w:sz w:val="24"/>
                <w:highlight w:val="none"/>
              </w:rPr>
              <w:t>（五）不同投标人的投标文件相互混装；</w:t>
            </w:r>
          </w:p>
          <w:p w14:paraId="3DD2C1CC">
            <w:pPr>
              <w:spacing w:line="360" w:lineRule="auto"/>
              <w:rPr>
                <w:rFonts w:hint="default" w:ascii="宋体" w:hAnsi="宋体" w:cs="宋体"/>
                <w:color w:val="auto"/>
                <w:sz w:val="24"/>
                <w:lang w:val="en-US" w:eastAsia="zh-CN"/>
              </w:rPr>
            </w:pPr>
            <w:r>
              <w:rPr>
                <w:rFonts w:hint="eastAsia" w:ascii="宋体" w:hAnsi="宋体" w:cs="宋体"/>
                <w:bCs/>
                <w:color w:val="auto"/>
                <w:sz w:val="24"/>
                <w:highlight w:val="none"/>
              </w:rPr>
              <w:t>（六）不同投标人的投标保证金从同一单位或者个人的账户转出；</w:t>
            </w:r>
          </w:p>
        </w:tc>
        <w:tc>
          <w:tcPr>
            <w:tcW w:w="994" w:type="dxa"/>
            <w:tcBorders>
              <w:top w:val="single" w:color="auto" w:sz="6" w:space="0"/>
              <w:left w:val="single" w:color="auto" w:sz="6" w:space="0"/>
              <w:bottom w:val="single" w:color="auto" w:sz="6" w:space="0"/>
              <w:right w:val="single" w:color="auto" w:sz="4" w:space="0"/>
            </w:tcBorders>
            <w:vAlign w:val="center"/>
          </w:tcPr>
          <w:p w14:paraId="11490982">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1C7F670E">
        <w:tblPrEx>
          <w:tblCellMar>
            <w:top w:w="0" w:type="dxa"/>
            <w:left w:w="108" w:type="dxa"/>
            <w:bottom w:w="0" w:type="dxa"/>
            <w:right w:w="108" w:type="dxa"/>
          </w:tblCellMar>
        </w:tblPrEx>
        <w:trPr>
          <w:trHeight w:val="90" w:hRule="atLeast"/>
          <w:jc w:val="center"/>
        </w:trPr>
        <w:tc>
          <w:tcPr>
            <w:tcW w:w="546" w:type="dxa"/>
            <w:vMerge w:val="continue"/>
            <w:tcBorders>
              <w:left w:val="single" w:color="auto" w:sz="6" w:space="0"/>
              <w:right w:val="single" w:color="auto" w:sz="4" w:space="0"/>
            </w:tcBorders>
            <w:vAlign w:val="center"/>
          </w:tcPr>
          <w:p w14:paraId="2524A9E4">
            <w:pPr>
              <w:spacing w:line="360" w:lineRule="auto"/>
              <w:ind w:firstLine="480"/>
              <w:jc w:val="center"/>
              <w:rPr>
                <w:rFonts w:ascii="宋体" w:hAnsi="宋体" w:cs="宋体"/>
                <w:color w:val="auto"/>
                <w:sz w:val="24"/>
                <w:highlight w:val="none"/>
              </w:rPr>
            </w:pPr>
          </w:p>
        </w:tc>
        <w:tc>
          <w:tcPr>
            <w:tcW w:w="7545" w:type="dxa"/>
            <w:tcBorders>
              <w:top w:val="single" w:color="auto" w:sz="6" w:space="0"/>
              <w:left w:val="single" w:color="auto" w:sz="4" w:space="0"/>
              <w:right w:val="single" w:color="auto" w:sz="6" w:space="0"/>
            </w:tcBorders>
            <w:vAlign w:val="center"/>
          </w:tcPr>
          <w:p w14:paraId="5BA8AAE9">
            <w:pPr>
              <w:spacing w:line="360" w:lineRule="auto"/>
              <w:jc w:val="left"/>
              <w:rPr>
                <w:rFonts w:hint="eastAsia" w:ascii="宋体" w:hAnsi="宋体" w:cs="宋体"/>
                <w:color w:val="auto"/>
                <w:sz w:val="24"/>
                <w:highlight w:val="none"/>
              </w:rPr>
            </w:pPr>
            <w:r>
              <w:rPr>
                <w:rFonts w:hint="eastAsia" w:ascii="宋体" w:hAnsi="宋体" w:eastAsia="宋体" w:cs="宋体"/>
                <w:color w:val="auto"/>
                <w:sz w:val="24"/>
                <w:lang w:val="en-US" w:eastAsia="zh-CN"/>
              </w:rPr>
              <w:t>1</w:t>
            </w:r>
            <w:r>
              <w:rPr>
                <w:rFonts w:hint="eastAsia" w:ascii="宋体" w:hAnsi="宋体" w:cs="宋体"/>
                <w:color w:val="auto"/>
                <w:sz w:val="24"/>
                <w:lang w:val="en-US" w:eastAsia="zh-CN"/>
              </w:rPr>
              <w:t>1</w:t>
            </w:r>
            <w:r>
              <w:rPr>
                <w:rFonts w:hint="eastAsia" w:ascii="宋体" w:hAnsi="宋体" w:eastAsia="宋体" w:cs="宋体"/>
                <w:color w:val="auto"/>
                <w:sz w:val="24"/>
              </w:rPr>
              <w:t>.投标人、投标文件不存在不符合法律、法规和招标文件规定的其他无效情形。</w:t>
            </w:r>
          </w:p>
        </w:tc>
        <w:tc>
          <w:tcPr>
            <w:tcW w:w="994" w:type="dxa"/>
            <w:tcBorders>
              <w:top w:val="single" w:color="auto" w:sz="6" w:space="0"/>
              <w:left w:val="single" w:color="auto" w:sz="6" w:space="0"/>
              <w:bottom w:val="single" w:color="auto" w:sz="6" w:space="0"/>
              <w:right w:val="single" w:color="auto" w:sz="4" w:space="0"/>
            </w:tcBorders>
            <w:vAlign w:val="center"/>
          </w:tcPr>
          <w:p w14:paraId="291ACDC8">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7CC14237">
        <w:tblPrEx>
          <w:tblCellMar>
            <w:top w:w="0" w:type="dxa"/>
            <w:left w:w="108" w:type="dxa"/>
            <w:bottom w:w="0" w:type="dxa"/>
            <w:right w:w="108" w:type="dxa"/>
          </w:tblCellMar>
        </w:tblPrEx>
        <w:trPr>
          <w:trHeight w:val="233" w:hRule="atLeast"/>
          <w:jc w:val="center"/>
        </w:trPr>
        <w:tc>
          <w:tcPr>
            <w:tcW w:w="8091" w:type="dxa"/>
            <w:gridSpan w:val="2"/>
            <w:tcBorders>
              <w:top w:val="single" w:color="auto" w:sz="6" w:space="0"/>
              <w:left w:val="single" w:color="auto" w:sz="6" w:space="0"/>
              <w:bottom w:val="single" w:color="auto" w:sz="6" w:space="0"/>
              <w:right w:val="single" w:color="auto" w:sz="6" w:space="0"/>
            </w:tcBorders>
            <w:vAlign w:val="center"/>
          </w:tcPr>
          <w:p w14:paraId="6A7083DE">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r>
              <w:rPr>
                <w:rFonts w:hint="eastAsia" w:ascii="宋体" w:hAnsi="宋体" w:cs="宋体"/>
                <w:color w:val="auto"/>
                <w:sz w:val="24"/>
                <w:highlight w:val="none"/>
              </w:rPr>
              <w:t>结论</w:t>
            </w:r>
          </w:p>
        </w:tc>
        <w:tc>
          <w:tcPr>
            <w:tcW w:w="994" w:type="dxa"/>
            <w:tcBorders>
              <w:top w:val="single" w:color="auto" w:sz="6" w:space="0"/>
              <w:left w:val="single" w:color="auto" w:sz="6" w:space="0"/>
              <w:bottom w:val="single" w:color="auto" w:sz="6" w:space="0"/>
              <w:right w:val="single" w:color="auto" w:sz="4" w:space="0"/>
            </w:tcBorders>
            <w:vAlign w:val="center"/>
          </w:tcPr>
          <w:p w14:paraId="5B5B730C">
            <w:pPr>
              <w:widowControl/>
              <w:autoSpaceDE w:val="0"/>
              <w:autoSpaceDN w:val="0"/>
              <w:spacing w:line="360" w:lineRule="auto"/>
              <w:ind w:left="600" w:right="-34" w:hanging="600" w:hangingChars="250"/>
              <w:jc w:val="center"/>
              <w:textAlignment w:val="bottom"/>
              <w:rPr>
                <w:rFonts w:ascii="宋体" w:hAnsi="宋体" w:cs="宋体"/>
                <w:color w:val="auto"/>
                <w:sz w:val="24"/>
                <w:highlight w:val="none"/>
              </w:rPr>
            </w:pPr>
          </w:p>
        </w:tc>
      </w:tr>
      <w:tr w14:paraId="270E0F2D">
        <w:tblPrEx>
          <w:tblCellMar>
            <w:top w:w="0" w:type="dxa"/>
            <w:left w:w="108" w:type="dxa"/>
            <w:bottom w:w="0" w:type="dxa"/>
            <w:right w:w="108" w:type="dxa"/>
          </w:tblCellMar>
        </w:tblPrEx>
        <w:trPr>
          <w:trHeight w:val="90" w:hRule="atLeast"/>
          <w:jc w:val="center"/>
        </w:trPr>
        <w:tc>
          <w:tcPr>
            <w:tcW w:w="9085" w:type="dxa"/>
            <w:gridSpan w:val="3"/>
            <w:tcBorders>
              <w:top w:val="single" w:color="auto" w:sz="6" w:space="0"/>
              <w:left w:val="single" w:color="auto" w:sz="6" w:space="0"/>
              <w:bottom w:val="single" w:color="auto" w:sz="6" w:space="0"/>
              <w:right w:val="single" w:color="auto" w:sz="4" w:space="0"/>
            </w:tcBorders>
            <w:vAlign w:val="center"/>
          </w:tcPr>
          <w:p w14:paraId="6A72A690">
            <w:pPr>
              <w:widowControl/>
              <w:autoSpaceDE w:val="0"/>
              <w:autoSpaceDN w:val="0"/>
              <w:spacing w:line="360" w:lineRule="auto"/>
              <w:ind w:left="600" w:right="-34" w:hanging="600" w:hangingChars="250"/>
              <w:jc w:val="left"/>
              <w:textAlignment w:val="bottom"/>
              <w:rPr>
                <w:rFonts w:ascii="宋体" w:hAnsi="宋体" w:cs="宋体"/>
                <w:color w:val="auto"/>
                <w:sz w:val="24"/>
                <w:highlight w:val="none"/>
              </w:rPr>
            </w:pPr>
            <w:r>
              <w:rPr>
                <w:rFonts w:hint="eastAsia" w:ascii="宋体" w:hAnsi="宋体" w:cs="宋体"/>
                <w:color w:val="auto"/>
                <w:sz w:val="24"/>
                <w:highlight w:val="none"/>
              </w:rPr>
              <w:t>主任评委：</w:t>
            </w:r>
          </w:p>
          <w:p w14:paraId="4985FC59">
            <w:pPr>
              <w:widowControl/>
              <w:autoSpaceDE w:val="0"/>
              <w:autoSpaceDN w:val="0"/>
              <w:spacing w:line="360" w:lineRule="auto"/>
              <w:ind w:left="600" w:right="-34" w:hanging="600" w:hangingChars="250"/>
              <w:jc w:val="left"/>
              <w:textAlignment w:val="bottom"/>
              <w:rPr>
                <w:rFonts w:ascii="宋体" w:hAnsi="宋体" w:cs="宋体"/>
                <w:color w:val="auto"/>
                <w:sz w:val="24"/>
                <w:highlight w:val="none"/>
              </w:rPr>
            </w:pPr>
            <w:r>
              <w:rPr>
                <w:rFonts w:hint="eastAsia" w:ascii="宋体" w:hAnsi="宋体" w:cs="宋体"/>
                <w:color w:val="auto"/>
                <w:sz w:val="24"/>
                <w:highlight w:val="none"/>
              </w:rPr>
              <w:t>其他评委：</w:t>
            </w:r>
          </w:p>
        </w:tc>
      </w:tr>
    </w:tbl>
    <w:p w14:paraId="70CD872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注：本表中符合评审内容要求的写“√”，不符合评审内容要求的写“×”。结论为“合格”或“不合格”。结论不合格的不进入综合评审阶段。</w:t>
      </w:r>
    </w:p>
    <w:p w14:paraId="7FDEC8A6">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审查投标人是否存在串通投标行为：评标委员会发现有下列情形之一的，视为投标人串通投标，其投标无效：</w:t>
      </w:r>
    </w:p>
    <w:p w14:paraId="7DA5D280">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一、有下列情形之一的，属于投标人相互串通投标：</w:t>
      </w:r>
    </w:p>
    <w:p w14:paraId="75334557">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（一）投标人之间协商投标报价等投标文件的实质性内容；</w:t>
      </w:r>
    </w:p>
    <w:p w14:paraId="784B4062">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（二）投标人之间约定中标人；</w:t>
      </w:r>
    </w:p>
    <w:p w14:paraId="533D4AE5">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（三）投标人之间约定部分投标人放弃投标或者中标；</w:t>
      </w:r>
    </w:p>
    <w:p w14:paraId="58012962">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（四）属于同一集团、协会、商会等组织成员的投标人按照该组织要求协同投标；</w:t>
      </w:r>
    </w:p>
    <w:p w14:paraId="4B659E2B">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（五）投标人之间为谋取中标或者排斥特定投标人而采取的其他联合行动。</w:t>
      </w:r>
    </w:p>
    <w:p w14:paraId="0BA08976">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二、有下列情形之一的，视为投标人相互串通投标：</w:t>
      </w:r>
    </w:p>
    <w:p w14:paraId="736E31AA">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（一）不同投标人的投标文件由同一单位或者个人编制；</w:t>
      </w:r>
    </w:p>
    <w:p w14:paraId="7DE8C600">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（二）不同投标人委托同一单位或者个人办理投标事宜；</w:t>
      </w:r>
    </w:p>
    <w:p w14:paraId="7E30C7DC">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（三）不同投标人的投标文件载明的项目管理成员为同一人；</w:t>
      </w:r>
    </w:p>
    <w:p w14:paraId="1130562E">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（四）不同投标人的投标文件异常一致或者投标报价呈规律性差异；</w:t>
      </w:r>
    </w:p>
    <w:p w14:paraId="189D4C7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（五）不同投标人的投标文件相互混装；</w:t>
      </w:r>
    </w:p>
    <w:p w14:paraId="083EDC6B">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（六）不同投标人的投标保证金从同一单位或者个人的账户转出；</w:t>
      </w:r>
    </w:p>
    <w:p w14:paraId="76821524">
      <w:pPr>
        <w:spacing w:line="360" w:lineRule="auto"/>
        <w:ind w:firstLine="480"/>
        <w:rPr>
          <w:rFonts w:ascii="宋体" w:hAnsi="宋体" w:cs="宋体"/>
          <w:bCs/>
          <w:color w:val="auto"/>
          <w:sz w:val="24"/>
          <w:highlight w:val="none"/>
          <w:lang w:val="zh-CN"/>
        </w:rPr>
      </w:pPr>
      <w:r>
        <w:rPr>
          <w:rFonts w:hint="eastAsia" w:ascii="宋体" w:hAnsi="宋体" w:cs="宋体"/>
          <w:bCs/>
          <w:color w:val="auto"/>
          <w:sz w:val="24"/>
          <w:highlight w:val="none"/>
          <w:lang w:val="zh-CN"/>
        </w:rPr>
        <w:t>（七）《关于禁止串通招标投标行为的暂行规定》（国家工商行政管理局令第82号）第三条规定的串通投标行为；</w:t>
      </w:r>
    </w:p>
    <w:p w14:paraId="539421F5">
      <w:pPr>
        <w:spacing w:line="360" w:lineRule="auto"/>
        <w:ind w:firstLine="480"/>
        <w:rPr>
          <w:color w:val="auto"/>
          <w:highlight w:val="none"/>
        </w:rPr>
      </w:pPr>
      <w:r>
        <w:rPr>
          <w:rFonts w:hint="eastAsia" w:ascii="宋体" w:hAnsi="宋体" w:cs="宋体"/>
          <w:bCs/>
          <w:color w:val="auto"/>
          <w:sz w:val="24"/>
          <w:highlight w:val="none"/>
          <w:lang w:val="zh-CN"/>
        </w:rPr>
        <w:t>（八）投标人串通投标的其他情形。</w:t>
      </w:r>
    </w:p>
    <w:p w14:paraId="5975D55F">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三、有下列情形之一的，属于采购人与投标人串通投标：</w:t>
      </w:r>
    </w:p>
    <w:p w14:paraId="56B14743">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（一）采购人在开标前开启投标文件并将有关信息泄露给其他投标人;</w:t>
      </w:r>
    </w:p>
    <w:p w14:paraId="389175F6">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（二）采购人直接或者间接向投标人泄露标底、评标委员会成员等信息；</w:t>
      </w:r>
    </w:p>
    <w:p w14:paraId="5D1FCD4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（三）采购人明示或者暗示投标人压低或者抬高投标报价；</w:t>
      </w:r>
    </w:p>
    <w:p w14:paraId="0A70258B">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（四）采购人授意投标人撤换、修改投标文件；</w:t>
      </w:r>
    </w:p>
    <w:p w14:paraId="0849F42E">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（五）采购人明示或者暗示投标人为特定投标人中标提供方便；</w:t>
      </w:r>
    </w:p>
    <w:p w14:paraId="5BA08EF9">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（六）采购人与投标人为谋求特定投标人中标而采取的其他串通行为。</w:t>
      </w:r>
    </w:p>
    <w:p w14:paraId="2F379091">
      <w:pPr>
        <w:spacing w:line="360" w:lineRule="auto"/>
        <w:ind w:firstLine="480"/>
        <w:rPr>
          <w:rFonts w:ascii="宋体" w:hAnsi="宋体" w:cs="宋体"/>
          <w:bCs/>
          <w:color w:val="auto"/>
          <w:sz w:val="24"/>
          <w:highlight w:val="none"/>
        </w:rPr>
      </w:pPr>
      <w:r>
        <w:rPr>
          <w:rFonts w:hint="eastAsia" w:ascii="宋体" w:hAnsi="宋体" w:cs="宋体"/>
          <w:bCs/>
          <w:color w:val="auto"/>
          <w:sz w:val="24"/>
          <w:highlight w:val="none"/>
        </w:rPr>
        <w:t>注：经评标委员会评审合格投标人的家数不足三家，该项目废标，采购人有权委托采购代理机构重新组织招标。</w:t>
      </w:r>
    </w:p>
    <w:p w14:paraId="6C1F82E2">
      <w:pPr>
        <w:spacing w:line="360" w:lineRule="auto"/>
        <w:ind w:firstLine="482"/>
        <w:rPr>
          <w:rFonts w:ascii="宋体" w:hAnsi="宋体" w:cs="宋体"/>
          <w:color w:val="auto"/>
          <w:sz w:val="24"/>
          <w:highlight w:val="none"/>
        </w:rPr>
      </w:pPr>
      <w:r>
        <w:rPr>
          <w:rFonts w:hint="eastAsia" w:ascii="宋体" w:hAnsi="宋体" w:cs="宋体"/>
          <w:b/>
          <w:bCs/>
          <w:color w:val="auto"/>
          <w:sz w:val="24"/>
          <w:highlight w:val="none"/>
        </w:rPr>
        <w:t>3.2澄清有关问题。</w:t>
      </w:r>
      <w:r>
        <w:rPr>
          <w:rFonts w:hint="eastAsia" w:ascii="宋体" w:hAnsi="宋体" w:cs="宋体"/>
          <w:color w:val="auto"/>
          <w:sz w:val="24"/>
          <w:highlight w:val="none"/>
        </w:rPr>
        <w:t>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投标人的澄清、说明或者补正应当采用书面形式，由投标人单位负责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按最不利于投标人的方式处理。</w:t>
      </w:r>
    </w:p>
    <w:p w14:paraId="36C02A5B">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3.2.1评标委员会将允许修正投标文件中不构成重大偏离的细微偏离，但这些修正应不会对实质上响应招标文件要求的投标人的竞争地位（相互排序）产生不公正的影响。</w:t>
      </w:r>
    </w:p>
    <w:p w14:paraId="0B6C720F">
      <w:pPr>
        <w:spacing w:line="360" w:lineRule="auto"/>
        <w:ind w:firstLine="480"/>
        <w:rPr>
          <w:rFonts w:ascii="宋体" w:hAnsi="宋体" w:cs="宋体"/>
          <w:b/>
          <w:bCs/>
          <w:color w:val="auto"/>
          <w:sz w:val="24"/>
          <w:highlight w:val="none"/>
        </w:rPr>
      </w:pPr>
      <w:r>
        <w:rPr>
          <w:rFonts w:hint="eastAsia" w:ascii="宋体" w:hAnsi="宋体" w:cs="宋体"/>
          <w:color w:val="auto"/>
          <w:sz w:val="24"/>
          <w:highlight w:val="none"/>
        </w:rPr>
        <w:t>3.2.2投标文件报价出现前后不一致的，除招标文件另有规定外，按照下列规定修正：（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同时出现两种以上不一致的，按照规定的顺序修正。修正后的报价经投标人确认后产生约束力，投标人不确认的，</w:t>
      </w:r>
      <w:r>
        <w:rPr>
          <w:rFonts w:hint="eastAsia" w:ascii="宋体" w:hAnsi="宋体" w:cs="宋体"/>
          <w:b/>
          <w:bCs/>
          <w:color w:val="auto"/>
          <w:sz w:val="24"/>
          <w:highlight w:val="none"/>
        </w:rPr>
        <w:t>其投标无效。</w:t>
      </w:r>
    </w:p>
    <w:p w14:paraId="3CDC473B">
      <w:pPr>
        <w:spacing w:line="360" w:lineRule="auto"/>
        <w:ind w:firstLine="480"/>
        <w:rPr>
          <w:rFonts w:ascii="宋体" w:hAnsi="宋体" w:cs="宋体"/>
          <w:b/>
          <w:bCs/>
          <w:color w:val="auto"/>
          <w:sz w:val="24"/>
          <w:highlight w:val="none"/>
        </w:rPr>
      </w:pPr>
      <w:r>
        <w:rPr>
          <w:rFonts w:hint="eastAsia" w:ascii="宋体" w:hAnsi="宋体" w:cs="宋体"/>
          <w:color w:val="auto"/>
          <w:sz w:val="24"/>
          <w:highlight w:val="none"/>
        </w:rPr>
        <w:t>3.2.3评标委员会认为投标人的报价明显低于其他通过符合性审查投标人的报价，有可能影响产品质量或者不能诚信履约的，应当要求其在评标现场合理的时间内提供书面说明，必要时提交相关证明材料；</w:t>
      </w:r>
      <w:r>
        <w:rPr>
          <w:rFonts w:hint="eastAsia" w:ascii="宋体" w:hAnsi="宋体" w:cs="宋体"/>
          <w:b/>
          <w:bCs/>
          <w:color w:val="auto"/>
          <w:sz w:val="24"/>
          <w:highlight w:val="none"/>
        </w:rPr>
        <w:t>投标人不能证明其报价合理性的，评标委员会应当将其作为无效投标处理。</w:t>
      </w:r>
    </w:p>
    <w:p w14:paraId="75F2F7E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3.2.4</w:t>
      </w:r>
      <w:r>
        <w:rPr>
          <w:rFonts w:ascii="宋体" w:hAnsi="宋体" w:cs="宋体"/>
          <w:color w:val="auto"/>
          <w:sz w:val="24"/>
          <w:highlight w:val="none"/>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分投标，</w:t>
      </w:r>
      <w:r>
        <w:rPr>
          <w:rFonts w:ascii="宋体" w:hAnsi="宋体" w:cs="宋体"/>
          <w:b/>
          <w:bCs/>
          <w:color w:val="auto"/>
          <w:sz w:val="24"/>
          <w:highlight w:val="none"/>
        </w:rPr>
        <w:t>其投标无效</w:t>
      </w:r>
      <w:r>
        <w:rPr>
          <w:rFonts w:ascii="宋体" w:hAnsi="宋体" w:cs="宋体"/>
          <w:color w:val="auto"/>
          <w:sz w:val="24"/>
          <w:highlight w:val="none"/>
        </w:rPr>
        <w:t>。</w:t>
      </w:r>
    </w:p>
    <w:p w14:paraId="43783C88">
      <w:pPr>
        <w:pStyle w:val="24"/>
        <w:spacing w:beforeAutospacing="0" w:afterAutospacing="0" w:line="360" w:lineRule="auto"/>
        <w:ind w:firstLine="482"/>
        <w:jc w:val="both"/>
        <w:rPr>
          <w:b/>
          <w:bCs/>
          <w:color w:val="auto"/>
          <w:kern w:val="2"/>
          <w:highlight w:val="none"/>
        </w:rPr>
      </w:pPr>
      <w:r>
        <w:rPr>
          <w:rFonts w:hint="eastAsia"/>
          <w:b/>
          <w:bCs/>
          <w:color w:val="auto"/>
          <w:kern w:val="2"/>
          <w:highlight w:val="none"/>
        </w:rPr>
        <w:t>3.3评标委员会应当按照招标文件中规定的评标方法和标准，对符合性审查合格的投标文件进行商务和技术评估，综合比较与评价。</w:t>
      </w:r>
    </w:p>
    <w:p w14:paraId="5134A85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3.3.1本项目采用综合评分法评标，评标委员会将按下述标准评定中标人：独立对每个投标人的投标文件进行评价，并汇总每个投标人的得分。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EE1DE8">
      <w:pPr>
        <w:spacing w:line="360" w:lineRule="auto"/>
        <w:ind w:firstLine="480" w:firstLineChars="200"/>
        <w:rPr>
          <w:rFonts w:hint="eastAsia" w:ascii="宋体" w:hAnsi="宋体" w:cs="宋体"/>
          <w:sz w:val="24"/>
        </w:rPr>
      </w:pPr>
      <w:r>
        <w:rPr>
          <w:rFonts w:hint="eastAsia" w:ascii="宋体" w:hAnsi="宋体" w:cs="宋体"/>
          <w:sz w:val="24"/>
        </w:rPr>
        <w:t>3.3.2综合评分法评分方法（计算结果精确到小数点后两位）：</w:t>
      </w:r>
    </w:p>
    <w:tbl>
      <w:tblPr>
        <w:tblStyle w:val="28"/>
        <w:tblW w:w="9597" w:type="dxa"/>
        <w:tblInd w:w="-103"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5"/>
        <w:gridCol w:w="1333"/>
        <w:gridCol w:w="5089"/>
        <w:gridCol w:w="825"/>
        <w:gridCol w:w="1475"/>
      </w:tblGrid>
      <w:tr w14:paraId="7E031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5" w:type="dxa"/>
            <w:tcBorders>
              <w:top w:val="single" w:color="auto" w:sz="8" w:space="0"/>
              <w:left w:val="single" w:color="auto" w:sz="8" w:space="0"/>
              <w:bottom w:val="single" w:color="auto" w:sz="4" w:space="0"/>
              <w:right w:val="single" w:color="auto" w:sz="4" w:space="0"/>
            </w:tcBorders>
            <w:noWrap w:val="0"/>
            <w:vAlign w:val="center"/>
          </w:tcPr>
          <w:p w14:paraId="36C1B510">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1333" w:type="dxa"/>
            <w:tcBorders>
              <w:top w:val="single" w:color="auto" w:sz="8" w:space="0"/>
              <w:left w:val="single" w:color="auto" w:sz="4" w:space="0"/>
              <w:bottom w:val="single" w:color="auto" w:sz="4" w:space="0"/>
              <w:right w:val="single" w:color="auto" w:sz="4" w:space="0"/>
            </w:tcBorders>
            <w:noWrap w:val="0"/>
            <w:vAlign w:val="center"/>
          </w:tcPr>
          <w:p w14:paraId="1E68E8CF">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评审因素</w:t>
            </w:r>
          </w:p>
        </w:tc>
        <w:tc>
          <w:tcPr>
            <w:tcW w:w="5089" w:type="dxa"/>
            <w:tcBorders>
              <w:top w:val="single" w:color="auto" w:sz="8" w:space="0"/>
              <w:left w:val="single" w:color="auto" w:sz="4" w:space="0"/>
              <w:bottom w:val="single" w:color="auto" w:sz="4" w:space="0"/>
              <w:right w:val="single" w:color="auto" w:sz="4" w:space="0"/>
            </w:tcBorders>
            <w:noWrap w:val="0"/>
            <w:vAlign w:val="center"/>
          </w:tcPr>
          <w:p w14:paraId="542D8028">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评分标准</w:t>
            </w:r>
          </w:p>
        </w:tc>
        <w:tc>
          <w:tcPr>
            <w:tcW w:w="825" w:type="dxa"/>
            <w:tcBorders>
              <w:top w:val="single" w:color="auto" w:sz="8" w:space="0"/>
              <w:left w:val="single" w:color="auto" w:sz="4" w:space="0"/>
              <w:bottom w:val="single" w:color="auto" w:sz="4" w:space="0"/>
              <w:right w:val="single" w:color="auto" w:sz="4" w:space="0"/>
            </w:tcBorders>
            <w:noWrap w:val="0"/>
            <w:vAlign w:val="center"/>
          </w:tcPr>
          <w:p w14:paraId="1A002C79">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分值</w:t>
            </w:r>
          </w:p>
        </w:tc>
        <w:tc>
          <w:tcPr>
            <w:tcW w:w="1475" w:type="dxa"/>
            <w:tcBorders>
              <w:top w:val="single" w:color="auto" w:sz="8" w:space="0"/>
              <w:left w:val="single" w:color="auto" w:sz="4" w:space="0"/>
              <w:bottom w:val="single" w:color="auto" w:sz="4" w:space="0"/>
              <w:right w:val="single" w:color="auto" w:sz="8" w:space="0"/>
            </w:tcBorders>
            <w:noWrap w:val="0"/>
            <w:vAlign w:val="center"/>
          </w:tcPr>
          <w:p w14:paraId="424C5F75">
            <w:pPr>
              <w:autoSpaceDE w:val="0"/>
              <w:autoSpaceDN w:val="0"/>
              <w:adjustRightInd w:val="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主、客观项</w:t>
            </w:r>
          </w:p>
        </w:tc>
      </w:tr>
      <w:tr w14:paraId="4E89F7B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2AEA245">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（一）价格评分（</w:t>
            </w:r>
            <w:r>
              <w:rPr>
                <w:rFonts w:hint="eastAsia" w:ascii="宋体" w:hAnsi="宋体" w:cs="宋体"/>
                <w:b/>
                <w:bCs/>
                <w:color w:val="auto"/>
                <w:sz w:val="24"/>
                <w:szCs w:val="24"/>
                <w:highlight w:val="none"/>
                <w:lang w:val="en-US" w:eastAsia="zh-CN"/>
              </w:rPr>
              <w:t>30</w:t>
            </w:r>
            <w:r>
              <w:rPr>
                <w:rFonts w:hint="eastAsia" w:ascii="宋体" w:hAnsi="宋体" w:eastAsia="宋体" w:cs="宋体"/>
                <w:b/>
                <w:bCs/>
                <w:color w:val="auto"/>
                <w:sz w:val="24"/>
                <w:szCs w:val="24"/>
                <w:highlight w:val="none"/>
                <w:lang w:val="zh-CN"/>
              </w:rPr>
              <w:t>分）</w:t>
            </w:r>
          </w:p>
        </w:tc>
      </w:tr>
      <w:tr w14:paraId="4FD35C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62"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18F65C3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9253F0A">
            <w:pPr>
              <w:spacing w:line="0" w:lineRule="atLeas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价格因素 </w:t>
            </w:r>
          </w:p>
        </w:tc>
        <w:tc>
          <w:tcPr>
            <w:tcW w:w="5089" w:type="dxa"/>
            <w:tcBorders>
              <w:top w:val="single" w:color="auto" w:sz="4" w:space="0"/>
              <w:left w:val="single" w:color="auto" w:sz="4" w:space="0"/>
              <w:bottom w:val="single" w:color="auto" w:sz="4" w:space="0"/>
              <w:right w:val="single" w:color="auto" w:sz="4" w:space="0"/>
            </w:tcBorders>
            <w:noWrap w:val="0"/>
            <w:vAlign w:val="top"/>
          </w:tcPr>
          <w:p w14:paraId="04123D9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rPr>
              <w:t>价格分应当采用低价优先法计算，即满足招标文件要求且投标价格最低的投标报价为评标基准价，其价格分为满分。其他投标人的价格分统一按照下列公式计算：投标报价得分=(评标基准价／投标报价)×</w:t>
            </w:r>
            <w:r>
              <w:rPr>
                <w:rFonts w:hint="eastAsia" w:ascii="宋体" w:hAnsi="宋体" w:cs="宋体"/>
                <w:color w:val="auto"/>
                <w:sz w:val="24"/>
                <w:szCs w:val="24"/>
                <w:lang w:val="en-US" w:eastAsia="zh-CN"/>
              </w:rPr>
              <w:t>30</w:t>
            </w:r>
            <w:r>
              <w:rPr>
                <w:rFonts w:hint="eastAsia" w:ascii="宋体" w:hAnsi="宋体" w:eastAsia="宋体" w:cs="宋体"/>
                <w:color w:val="auto"/>
                <w:sz w:val="24"/>
                <w:szCs w:val="24"/>
              </w:rPr>
              <w:t>%×100（注：因落实政府采购政策进行价格调整的，以调整后的价格计算评标基准价和价格分）</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9D88383">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4BD0AA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r>
      <w:tr w14:paraId="288185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7C9FC98">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（二）技术评分（</w:t>
            </w:r>
            <w:r>
              <w:rPr>
                <w:rFonts w:hint="eastAsia" w:ascii="宋体" w:hAnsi="宋体" w:cs="宋体"/>
                <w:b/>
                <w:bCs/>
                <w:color w:val="auto"/>
                <w:sz w:val="24"/>
                <w:szCs w:val="24"/>
                <w:highlight w:val="none"/>
                <w:lang w:val="en-US" w:eastAsia="zh-CN"/>
              </w:rPr>
              <w:t>43</w:t>
            </w:r>
            <w:r>
              <w:rPr>
                <w:rFonts w:hint="eastAsia" w:ascii="宋体" w:hAnsi="宋体" w:eastAsia="宋体" w:cs="宋体"/>
                <w:b/>
                <w:bCs/>
                <w:color w:val="auto"/>
                <w:sz w:val="24"/>
                <w:szCs w:val="24"/>
                <w:highlight w:val="none"/>
                <w:lang w:val="zh-CN"/>
              </w:rPr>
              <w:t>分）</w:t>
            </w:r>
          </w:p>
        </w:tc>
      </w:tr>
      <w:tr w14:paraId="3E8232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59"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6061BA39">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7FBC9E6E">
            <w:pPr>
              <w:widowControl/>
              <w:spacing w:line="36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cs="宋体"/>
                <w:color w:val="auto"/>
                <w:sz w:val="24"/>
                <w:highlight w:val="none"/>
              </w:rPr>
              <w:t>安装方案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35E4D473">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应包含但不限于以下内容：</w:t>
            </w:r>
          </w:p>
          <w:p w14:paraId="484A1BAC">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1.安装流程；</w:t>
            </w:r>
          </w:p>
          <w:p w14:paraId="098ECF46">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2.安装注意事项等。</w:t>
            </w:r>
          </w:p>
          <w:p w14:paraId="1C7DFCAA">
            <w:pPr>
              <w:spacing w:line="360" w:lineRule="auto"/>
              <w:jc w:val="left"/>
              <w:rPr>
                <w:rFonts w:hint="eastAsia" w:ascii="宋体" w:hAnsi="宋体" w:eastAsia="宋体" w:cs="宋体"/>
                <w:color w:val="auto"/>
                <w:kern w:val="0"/>
                <w:sz w:val="24"/>
                <w:szCs w:val="24"/>
                <w:highlight w:val="none"/>
                <w:lang w:val="zh-CN" w:eastAsia="zh-CN" w:bidi="ar-SA"/>
              </w:rPr>
            </w:pPr>
            <w:r>
              <w:rPr>
                <w:rFonts w:hint="eastAsia" w:ascii="宋体" w:hAnsi="宋体" w:cs="宋体"/>
                <w:color w:val="auto"/>
                <w:kern w:val="0"/>
                <w:sz w:val="24"/>
                <w:szCs w:val="24"/>
                <w:highlight w:val="none"/>
                <w:lang w:val="en-US" w:eastAsia="zh-CN" w:bidi="ar-SA"/>
              </w:rPr>
              <w:t>安装</w:t>
            </w:r>
            <w:r>
              <w:rPr>
                <w:rFonts w:hint="eastAsia" w:ascii="宋体" w:hAnsi="宋体" w:eastAsia="宋体" w:cs="宋体"/>
                <w:color w:val="auto"/>
                <w:kern w:val="0"/>
                <w:sz w:val="24"/>
                <w:szCs w:val="24"/>
                <w:highlight w:val="none"/>
                <w:lang w:val="zh-CN" w:eastAsia="zh-CN" w:bidi="ar-SA"/>
              </w:rPr>
              <w:t>方案每项内容适用于项目且无缺失的内容得</w:t>
            </w:r>
            <w:r>
              <w:rPr>
                <w:rFonts w:hint="eastAsia" w:ascii="宋体" w:hAnsi="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zh-CN" w:eastAsia="zh-CN" w:bidi="ar-SA"/>
              </w:rPr>
              <w:t>分，内容有缺失的得1分，满分</w:t>
            </w:r>
            <w:r>
              <w:rPr>
                <w:rFonts w:hint="eastAsia" w:ascii="宋体" w:hAnsi="宋体" w:cs="宋体"/>
                <w:color w:val="auto"/>
                <w:kern w:val="0"/>
                <w:sz w:val="24"/>
                <w:szCs w:val="24"/>
                <w:highlight w:val="none"/>
                <w:lang w:val="en-US" w:eastAsia="zh-CN" w:bidi="ar-SA"/>
              </w:rPr>
              <w:t>4</w:t>
            </w:r>
            <w:r>
              <w:rPr>
                <w:rFonts w:hint="eastAsia" w:ascii="宋体" w:hAnsi="宋体" w:eastAsia="宋体" w:cs="宋体"/>
                <w:color w:val="auto"/>
                <w:kern w:val="0"/>
                <w:sz w:val="24"/>
                <w:szCs w:val="24"/>
                <w:highlight w:val="none"/>
                <w:lang w:val="zh-CN" w:eastAsia="zh-CN" w:bidi="ar-SA"/>
              </w:rPr>
              <w:t>分，未提供的得0分。（缺失是指：不符合实际，存在偏离内容、内容前后不一致、文不对题、前后逻辑错误、内容缺失有瑕疵、无具体流程细节描述之处）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25FAE716">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7D3BE9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341A34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875" w:type="dxa"/>
            <w:tcBorders>
              <w:top w:val="single" w:color="auto" w:sz="4" w:space="0"/>
              <w:left w:val="single" w:color="auto" w:sz="8" w:space="0"/>
              <w:right w:val="single" w:color="auto" w:sz="4" w:space="0"/>
            </w:tcBorders>
            <w:noWrap w:val="0"/>
            <w:vAlign w:val="center"/>
          </w:tcPr>
          <w:p w14:paraId="33F4294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1333" w:type="dxa"/>
            <w:tcBorders>
              <w:top w:val="single" w:color="auto" w:sz="4" w:space="0"/>
              <w:left w:val="single" w:color="auto" w:sz="4" w:space="0"/>
              <w:right w:val="single" w:color="auto" w:sz="4" w:space="0"/>
            </w:tcBorders>
            <w:noWrap w:val="0"/>
            <w:vAlign w:val="center"/>
          </w:tcPr>
          <w:p w14:paraId="6259E00E">
            <w:pPr>
              <w:bidi w:val="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应急预案</w:t>
            </w:r>
          </w:p>
        </w:tc>
        <w:tc>
          <w:tcPr>
            <w:tcW w:w="5089" w:type="dxa"/>
            <w:tcBorders>
              <w:top w:val="single" w:color="auto" w:sz="4" w:space="0"/>
              <w:left w:val="single" w:color="auto" w:sz="4" w:space="0"/>
              <w:right w:val="single" w:color="auto" w:sz="4" w:space="0"/>
            </w:tcBorders>
            <w:noWrap w:val="0"/>
            <w:vAlign w:val="center"/>
          </w:tcPr>
          <w:p w14:paraId="0A3C0EB3">
            <w:pPr>
              <w:widowControl/>
              <w:numPr>
                <w:ilvl w:val="0"/>
                <w:numId w:val="0"/>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应包含但不限于以下内容：</w:t>
            </w:r>
          </w:p>
          <w:p w14:paraId="6967C196">
            <w:pPr>
              <w:widowControl/>
              <w:numPr>
                <w:ilvl w:val="0"/>
                <w:numId w:val="5"/>
              </w:numPr>
              <w:spacing w:line="360" w:lineRule="exact"/>
              <w:ind w:left="0" w:leftChars="0" w:firstLine="0" w:firstLineChars="0"/>
              <w:jc w:val="left"/>
              <w:rPr>
                <w:rFonts w:hint="eastAsia"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预防措施；</w:t>
            </w:r>
          </w:p>
          <w:p w14:paraId="01A32AA3">
            <w:pPr>
              <w:widowControl/>
              <w:numPr>
                <w:ilvl w:val="0"/>
                <w:numId w:val="5"/>
              </w:numPr>
              <w:spacing w:line="360" w:lineRule="exact"/>
              <w:ind w:left="0" w:leftChars="0" w:firstLine="0" w:firstLineChars="0"/>
              <w:jc w:val="left"/>
              <w:rPr>
                <w:rFonts w:hint="eastAsia" w:ascii="宋体" w:hAnsi="宋体" w:cs="宋体"/>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zh-CN"/>
              </w:rPr>
              <w:t>故障报告与处理；</w:t>
            </w:r>
          </w:p>
          <w:p w14:paraId="1579E306">
            <w:pPr>
              <w:widowControl/>
              <w:numPr>
                <w:ilvl w:val="0"/>
                <w:numId w:val="5"/>
              </w:numPr>
              <w:spacing w:line="360" w:lineRule="exact"/>
              <w:ind w:left="0" w:leftChars="0" w:firstLine="0" w:firstLineChars="0"/>
              <w:jc w:val="left"/>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紧急情况</w:t>
            </w:r>
            <w:r>
              <w:rPr>
                <w:rFonts w:hint="eastAsia" w:ascii="宋体" w:hAnsi="宋体" w:cs="宋体"/>
                <w:color w:val="auto"/>
                <w:kern w:val="2"/>
                <w:sz w:val="24"/>
                <w:szCs w:val="24"/>
                <w:highlight w:val="none"/>
                <w:lang w:val="en-US" w:eastAsia="zh-CN" w:bidi="ar-SA"/>
              </w:rPr>
              <w:t>处理预案；</w:t>
            </w:r>
          </w:p>
          <w:p w14:paraId="0AE0F4FC">
            <w:pPr>
              <w:widowControl/>
              <w:numPr>
                <w:ilvl w:val="0"/>
                <w:numId w:val="5"/>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突发事件时</w:t>
            </w:r>
            <w:r>
              <w:rPr>
                <w:rFonts w:hint="eastAsia" w:ascii="宋体" w:hAnsi="宋体" w:cs="宋体"/>
                <w:color w:val="auto"/>
                <w:kern w:val="2"/>
                <w:sz w:val="24"/>
                <w:szCs w:val="24"/>
                <w:highlight w:val="none"/>
                <w:lang w:val="en-US" w:eastAsia="zh-CN" w:bidi="ar-SA"/>
              </w:rPr>
              <w:t>处理预案；</w:t>
            </w:r>
          </w:p>
          <w:p w14:paraId="49B07D64">
            <w:pPr>
              <w:widowControl/>
              <w:numPr>
                <w:ilvl w:val="0"/>
                <w:numId w:val="0"/>
              </w:numPr>
              <w:spacing w:line="360" w:lineRule="exact"/>
              <w:ind w:left="0" w:leftChars="0"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应急预案案每项内容适用于项目且无缺失的内容得</w:t>
            </w:r>
            <w:r>
              <w:rPr>
                <w:rFonts w:hint="eastAsia" w:ascii="宋体" w:hAnsi="宋体" w:cs="宋体"/>
                <w:color w:val="auto"/>
                <w:kern w:val="0"/>
                <w:sz w:val="24"/>
                <w:szCs w:val="24"/>
                <w:highlight w:val="none"/>
                <w:lang w:val="en-US" w:eastAsia="zh-CN" w:bidi="ar-SA"/>
              </w:rPr>
              <w:t>2</w:t>
            </w:r>
            <w:r>
              <w:rPr>
                <w:rFonts w:hint="eastAsia" w:ascii="宋体" w:hAnsi="宋体" w:eastAsia="宋体" w:cs="宋体"/>
                <w:color w:val="auto"/>
                <w:kern w:val="0"/>
                <w:sz w:val="24"/>
                <w:szCs w:val="24"/>
                <w:highlight w:val="none"/>
                <w:lang w:val="en-US" w:eastAsia="zh-CN" w:bidi="ar-SA"/>
              </w:rPr>
              <w:t>分，内容有缺失的得1分，满分</w:t>
            </w:r>
            <w:r>
              <w:rPr>
                <w:rFonts w:hint="eastAsia" w:ascii="宋体" w:hAnsi="宋体" w:cs="宋体"/>
                <w:color w:val="auto"/>
                <w:kern w:val="0"/>
                <w:sz w:val="24"/>
                <w:szCs w:val="24"/>
                <w:highlight w:val="none"/>
                <w:lang w:val="en-US" w:eastAsia="zh-CN" w:bidi="ar-SA"/>
              </w:rPr>
              <w:t>8</w:t>
            </w:r>
            <w:r>
              <w:rPr>
                <w:rFonts w:hint="eastAsia" w:ascii="宋体" w:hAnsi="宋体" w:eastAsia="宋体" w:cs="宋体"/>
                <w:color w:val="auto"/>
                <w:kern w:val="0"/>
                <w:sz w:val="24"/>
                <w:szCs w:val="24"/>
                <w:highlight w:val="none"/>
                <w:lang w:val="en-US" w:eastAsia="zh-CN" w:bidi="ar-SA"/>
              </w:rPr>
              <w:t>分，未提供的得0分。</w:t>
            </w:r>
            <w:r>
              <w:rPr>
                <w:rFonts w:hint="eastAsia" w:ascii="宋体" w:hAnsi="宋体" w:eastAsia="宋体" w:cs="宋体"/>
                <w:bCs/>
                <w:color w:val="auto"/>
                <w:kern w:val="2"/>
                <w:sz w:val="24"/>
                <w:szCs w:val="24"/>
                <w:highlight w:val="none"/>
                <w:lang w:val="zh-CN" w:eastAsia="zh-CN" w:bidi="zh-CN"/>
              </w:rPr>
              <w:t>（缺失是指：不符合实际，存在偏离内容、内容前后不一致、文不对题、前后逻辑错误、内容缺失有瑕疵、无具体流程细节描述之处）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right w:val="single" w:color="auto" w:sz="4" w:space="0"/>
            </w:tcBorders>
            <w:noWrap w:val="0"/>
            <w:vAlign w:val="center"/>
          </w:tcPr>
          <w:p w14:paraId="5C578301">
            <w:pPr>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40730F99">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2B0FFBA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75" w:type="dxa"/>
            <w:tcBorders>
              <w:top w:val="single" w:color="auto" w:sz="4" w:space="0"/>
              <w:left w:val="single" w:color="auto" w:sz="8" w:space="0"/>
              <w:right w:val="single" w:color="auto" w:sz="4" w:space="0"/>
            </w:tcBorders>
            <w:noWrap w:val="0"/>
            <w:vAlign w:val="center"/>
          </w:tcPr>
          <w:p w14:paraId="1CEB458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333" w:type="dxa"/>
            <w:tcBorders>
              <w:top w:val="single" w:color="auto" w:sz="4" w:space="0"/>
              <w:left w:val="single" w:color="auto" w:sz="4" w:space="0"/>
              <w:right w:val="single" w:color="auto" w:sz="4" w:space="0"/>
            </w:tcBorders>
            <w:noWrap w:val="0"/>
            <w:vAlign w:val="center"/>
          </w:tcPr>
          <w:p w14:paraId="46692F95">
            <w:pPr>
              <w:autoSpaceDE w:val="0"/>
              <w:autoSpaceDN w:val="0"/>
              <w:spacing w:line="360" w:lineRule="exact"/>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质量保障措施及方案</w:t>
            </w:r>
          </w:p>
        </w:tc>
        <w:tc>
          <w:tcPr>
            <w:tcW w:w="5089" w:type="dxa"/>
            <w:tcBorders>
              <w:top w:val="single" w:color="auto" w:sz="4" w:space="0"/>
              <w:left w:val="single" w:color="auto" w:sz="4" w:space="0"/>
              <w:right w:val="single" w:color="auto" w:sz="4" w:space="0"/>
            </w:tcBorders>
            <w:noWrap w:val="0"/>
            <w:vAlign w:val="center"/>
          </w:tcPr>
          <w:p w14:paraId="2B4C91F8">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针对于本项目制定相应的产品质量保证措施方案，从产品的生产、运输、交付、使用、验收等方面为制做方案依据，包含但不限于以下几个方面：</w:t>
            </w:r>
          </w:p>
          <w:p w14:paraId="54402CE2">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质量保障措施；</w:t>
            </w:r>
          </w:p>
          <w:p w14:paraId="0BA93E17">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质量方针；</w:t>
            </w:r>
          </w:p>
          <w:p w14:paraId="50FF6D65">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质量目标；</w:t>
            </w:r>
          </w:p>
          <w:p w14:paraId="3A7203C0">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en-US" w:eastAsia="zh-CN"/>
              </w:rPr>
              <w:t>质量标准及技术响应；</w:t>
            </w:r>
          </w:p>
          <w:p w14:paraId="332A94C5">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en-US" w:eastAsia="zh-CN"/>
              </w:rPr>
              <w:t>质量保证依据；</w:t>
            </w:r>
          </w:p>
          <w:p w14:paraId="61385F48">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lang w:val="en-US" w:eastAsia="zh-CN"/>
              </w:rPr>
              <w:t>质量保证原则，以上六项内容每提供一小项内容全面，详细、科学合理，适用于本项目且无缺失的方案得2分，方案有缺失或内容不够全面，不够详细、科学合理的得1分，满分12分，未提供的得0分。（缺失是指：内容前后不一致、文不对题、前后逻辑错误、内容缺失有瑕疵、无具体流程细节描述之处）</w:t>
            </w:r>
          </w:p>
        </w:tc>
        <w:tc>
          <w:tcPr>
            <w:tcW w:w="825" w:type="dxa"/>
            <w:tcBorders>
              <w:top w:val="single" w:color="auto" w:sz="4" w:space="0"/>
              <w:left w:val="single" w:color="auto" w:sz="4" w:space="0"/>
              <w:right w:val="single" w:color="auto" w:sz="4" w:space="0"/>
            </w:tcBorders>
            <w:noWrap w:val="0"/>
            <w:vAlign w:val="center"/>
          </w:tcPr>
          <w:p w14:paraId="18EC4432">
            <w:pPr>
              <w:widowControl/>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12</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64F4A48">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r>
      <w:tr w14:paraId="76A475D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75" w:type="dxa"/>
            <w:tcBorders>
              <w:top w:val="single" w:color="auto" w:sz="4" w:space="0"/>
              <w:left w:val="single" w:color="auto" w:sz="8" w:space="0"/>
              <w:right w:val="single" w:color="auto" w:sz="4" w:space="0"/>
            </w:tcBorders>
            <w:noWrap w:val="0"/>
            <w:vAlign w:val="center"/>
          </w:tcPr>
          <w:p w14:paraId="27114743">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333" w:type="dxa"/>
            <w:tcBorders>
              <w:top w:val="single" w:color="auto" w:sz="4" w:space="0"/>
              <w:left w:val="single" w:color="auto" w:sz="4" w:space="0"/>
              <w:right w:val="single" w:color="auto" w:sz="4" w:space="0"/>
            </w:tcBorders>
            <w:noWrap w:val="0"/>
            <w:vAlign w:val="center"/>
          </w:tcPr>
          <w:p w14:paraId="1E26D081">
            <w:pPr>
              <w:autoSpaceDE w:val="0"/>
              <w:autoSpaceDN w:val="0"/>
              <w:spacing w:line="36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技术参数</w:t>
            </w:r>
          </w:p>
        </w:tc>
        <w:tc>
          <w:tcPr>
            <w:tcW w:w="5089" w:type="dxa"/>
            <w:tcBorders>
              <w:top w:val="single" w:color="auto" w:sz="4" w:space="0"/>
              <w:left w:val="single" w:color="auto" w:sz="4" w:space="0"/>
              <w:right w:val="single" w:color="auto" w:sz="4" w:space="0"/>
            </w:tcBorders>
            <w:noWrap w:val="0"/>
            <w:vAlign w:val="center"/>
          </w:tcPr>
          <w:p w14:paraId="5C35C0F1">
            <w:pPr>
              <w:widowControl/>
              <w:spacing w:line="360" w:lineRule="exac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招标</w:t>
            </w:r>
            <w:r>
              <w:rPr>
                <w:rFonts w:hint="eastAsia" w:ascii="宋体" w:hAnsi="宋体" w:eastAsia="宋体" w:cs="宋体"/>
                <w:color w:val="auto"/>
                <w:kern w:val="0"/>
                <w:sz w:val="24"/>
                <w:szCs w:val="24"/>
                <w:highlight w:val="none"/>
                <w:lang w:val="en-US" w:eastAsia="zh-CN"/>
              </w:rPr>
              <w:t>文件的技术需求中</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en-US" w:eastAsia="zh-CN"/>
              </w:rPr>
              <w:t>技术参数有★</w:t>
            </w:r>
            <w:r>
              <w:rPr>
                <w:rFonts w:hint="eastAsia" w:ascii="宋体" w:hAnsi="宋体" w:cs="宋体"/>
                <w:color w:val="auto"/>
                <w:kern w:val="0"/>
                <w:sz w:val="24"/>
                <w:szCs w:val="24"/>
                <w:highlight w:val="none"/>
                <w:lang w:val="en-US" w:eastAsia="zh-CN"/>
              </w:rPr>
              <w:t>号条款和非</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号条款，</w:t>
            </w:r>
            <w:r>
              <w:rPr>
                <w:rFonts w:hint="eastAsia" w:ascii="宋体" w:hAnsi="宋体" w:eastAsia="宋体" w:cs="宋体"/>
                <w:color w:val="auto"/>
                <w:kern w:val="0"/>
                <w:sz w:val="24"/>
                <w:szCs w:val="24"/>
                <w:highlight w:val="none"/>
                <w:lang w:val="en-US" w:eastAsia="zh-CN"/>
              </w:rPr>
              <w:t>★号条款有一项负偏离扣2分，共12分；非★条款有一项</w:t>
            </w:r>
            <w:r>
              <w:rPr>
                <w:rFonts w:hint="eastAsia" w:ascii="宋体" w:hAnsi="宋体" w:cs="宋体"/>
                <w:color w:val="auto"/>
                <w:kern w:val="0"/>
                <w:sz w:val="24"/>
                <w:szCs w:val="24"/>
                <w:highlight w:val="none"/>
                <w:lang w:val="en-US" w:eastAsia="zh-CN"/>
              </w:rPr>
              <w:t>负</w:t>
            </w:r>
            <w:r>
              <w:rPr>
                <w:rFonts w:hint="eastAsia" w:ascii="宋体" w:hAnsi="宋体" w:eastAsia="宋体" w:cs="宋体"/>
                <w:color w:val="auto"/>
                <w:kern w:val="0"/>
                <w:sz w:val="24"/>
                <w:szCs w:val="24"/>
                <w:highlight w:val="none"/>
                <w:lang w:val="en-US" w:eastAsia="zh-CN"/>
              </w:rPr>
              <w:t>偏离</w:t>
            </w:r>
            <w:r>
              <w:rPr>
                <w:rFonts w:hint="eastAsia" w:ascii="宋体" w:hAnsi="宋体" w:cs="宋体"/>
                <w:color w:val="auto"/>
                <w:kern w:val="0"/>
                <w:sz w:val="24"/>
                <w:szCs w:val="24"/>
                <w:highlight w:val="none"/>
                <w:lang w:val="en-US" w:eastAsia="zh-CN"/>
              </w:rPr>
              <w:t>扣1</w:t>
            </w:r>
            <w:r>
              <w:rPr>
                <w:rFonts w:hint="eastAsia" w:ascii="宋体" w:hAnsi="宋体" w:eastAsia="宋体" w:cs="宋体"/>
                <w:color w:val="auto"/>
                <w:kern w:val="0"/>
                <w:sz w:val="24"/>
                <w:szCs w:val="24"/>
                <w:highlight w:val="none"/>
                <w:lang w:val="en-US" w:eastAsia="zh-CN"/>
              </w:rPr>
              <w:t>分，</w:t>
            </w:r>
            <w:r>
              <w:rPr>
                <w:rFonts w:hint="eastAsia" w:ascii="宋体" w:hAnsi="宋体" w:cs="宋体"/>
                <w:color w:val="auto"/>
                <w:kern w:val="0"/>
                <w:sz w:val="24"/>
                <w:szCs w:val="24"/>
                <w:highlight w:val="none"/>
                <w:lang w:val="en-US" w:eastAsia="zh-CN"/>
              </w:rPr>
              <w:t>共7分。超过12项技术参数负偏离的为无效投标。</w:t>
            </w:r>
            <w:r>
              <w:rPr>
                <w:rFonts w:hint="eastAsia" w:ascii="宋体" w:hAnsi="宋体" w:eastAsia="宋体" w:cs="宋体"/>
                <w:color w:val="auto"/>
                <w:kern w:val="0"/>
                <w:sz w:val="24"/>
                <w:szCs w:val="24"/>
                <w:highlight w:val="none"/>
                <w:lang w:val="en-US" w:eastAsia="zh-CN"/>
              </w:rPr>
              <w:t>(评分依据：技术偏离表，如虚假响应或提供虚假证明材料，采购人及</w:t>
            </w:r>
            <w:r>
              <w:rPr>
                <w:rFonts w:hint="eastAsia" w:ascii="宋体" w:hAnsi="宋体" w:cs="宋体"/>
                <w:color w:val="auto"/>
                <w:kern w:val="0"/>
                <w:sz w:val="24"/>
                <w:szCs w:val="24"/>
                <w:highlight w:val="none"/>
                <w:lang w:val="en-US" w:eastAsia="zh-CN"/>
              </w:rPr>
              <w:t>评标委员会</w:t>
            </w:r>
            <w:r>
              <w:rPr>
                <w:rFonts w:hint="eastAsia" w:ascii="宋体" w:hAnsi="宋体" w:eastAsia="宋体" w:cs="宋体"/>
                <w:color w:val="auto"/>
                <w:kern w:val="0"/>
                <w:sz w:val="24"/>
                <w:szCs w:val="24"/>
                <w:highlight w:val="none"/>
                <w:lang w:val="en-US" w:eastAsia="zh-CN"/>
              </w:rPr>
              <w:t>有权追究其法律责任，并将违法情况上报主管部门，申请将其行为公示于信用中国网站（www.creditchina.gov.cn）和中国政府采购网（www.ccgp.gov.cn）)）。</w:t>
            </w:r>
          </w:p>
        </w:tc>
        <w:tc>
          <w:tcPr>
            <w:tcW w:w="825" w:type="dxa"/>
            <w:tcBorders>
              <w:top w:val="single" w:color="auto" w:sz="4" w:space="0"/>
              <w:left w:val="single" w:color="auto" w:sz="4" w:space="0"/>
              <w:right w:val="single" w:color="auto" w:sz="4" w:space="0"/>
            </w:tcBorders>
            <w:noWrap w:val="0"/>
            <w:vAlign w:val="center"/>
          </w:tcPr>
          <w:p w14:paraId="7376A3A4">
            <w:pPr>
              <w:widowControl/>
              <w:spacing w:line="360" w:lineRule="exact"/>
              <w:jc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19</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058AF78F">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客观</w:t>
            </w:r>
          </w:p>
        </w:tc>
      </w:tr>
      <w:tr w14:paraId="24AB81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97" w:type="dxa"/>
            <w:gridSpan w:val="5"/>
            <w:tcBorders>
              <w:top w:val="single" w:color="auto" w:sz="4" w:space="0"/>
              <w:left w:val="single" w:color="auto" w:sz="8" w:space="0"/>
              <w:bottom w:val="single" w:color="auto" w:sz="4" w:space="0"/>
              <w:right w:val="single" w:color="auto" w:sz="8" w:space="0"/>
            </w:tcBorders>
            <w:noWrap w:val="0"/>
            <w:vAlign w:val="center"/>
          </w:tcPr>
          <w:p w14:paraId="743BB545">
            <w:pPr>
              <w:autoSpaceDE w:val="0"/>
              <w:autoSpaceDN w:val="0"/>
              <w:adjustRightInd w:val="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zh-CN"/>
              </w:rPr>
              <w:t>（三）商务评分（</w:t>
            </w:r>
            <w:r>
              <w:rPr>
                <w:rFonts w:hint="eastAsia" w:ascii="宋体" w:hAnsi="宋体" w:cs="宋体"/>
                <w:b/>
                <w:bCs/>
                <w:color w:val="auto"/>
                <w:sz w:val="24"/>
                <w:szCs w:val="24"/>
                <w:highlight w:val="none"/>
                <w:lang w:val="en-US" w:eastAsia="zh-CN"/>
              </w:rPr>
              <w:t>27</w:t>
            </w:r>
            <w:r>
              <w:rPr>
                <w:rFonts w:hint="eastAsia" w:ascii="宋体" w:hAnsi="宋体" w:eastAsia="宋体" w:cs="宋体"/>
                <w:b/>
                <w:bCs/>
                <w:color w:val="auto"/>
                <w:sz w:val="24"/>
                <w:szCs w:val="24"/>
                <w:highlight w:val="none"/>
                <w:lang w:val="zh-CN"/>
              </w:rPr>
              <w:t>分）</w:t>
            </w:r>
          </w:p>
        </w:tc>
      </w:tr>
      <w:tr w14:paraId="0E701F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875" w:type="dxa"/>
            <w:tcBorders>
              <w:top w:val="single" w:color="auto" w:sz="4" w:space="0"/>
              <w:left w:val="single" w:color="auto" w:sz="8" w:space="0"/>
              <w:right w:val="single" w:color="auto" w:sz="4" w:space="0"/>
            </w:tcBorders>
            <w:noWrap w:val="0"/>
            <w:vAlign w:val="center"/>
          </w:tcPr>
          <w:p w14:paraId="7990981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3" w:type="dxa"/>
            <w:tcBorders>
              <w:top w:val="single" w:color="auto" w:sz="4" w:space="0"/>
              <w:left w:val="single" w:color="auto" w:sz="4" w:space="0"/>
              <w:right w:val="single" w:color="auto" w:sz="4" w:space="0"/>
            </w:tcBorders>
            <w:noWrap w:val="0"/>
            <w:vAlign w:val="center"/>
          </w:tcPr>
          <w:p w14:paraId="6E5CFEC7">
            <w:pPr>
              <w:autoSpaceDE w:val="0"/>
              <w:autoSpaceDN w:val="0"/>
              <w:spacing w:line="36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业绩</w:t>
            </w:r>
          </w:p>
        </w:tc>
        <w:tc>
          <w:tcPr>
            <w:tcW w:w="5089" w:type="dxa"/>
            <w:tcBorders>
              <w:top w:val="single" w:color="auto" w:sz="4" w:space="0"/>
              <w:left w:val="single" w:color="auto" w:sz="4" w:space="0"/>
              <w:right w:val="single" w:color="auto" w:sz="4" w:space="0"/>
            </w:tcBorders>
            <w:noWrap w:val="0"/>
            <w:vAlign w:val="center"/>
          </w:tcPr>
          <w:p w14:paraId="736B74BA">
            <w:pPr>
              <w:autoSpaceDE w:val="0"/>
              <w:autoSpaceDN w:val="0"/>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bCs/>
                <w:color w:val="auto"/>
                <w:kern w:val="2"/>
                <w:sz w:val="24"/>
                <w:szCs w:val="24"/>
                <w:highlight w:val="none"/>
                <w:lang w:val="en-US" w:eastAsia="zh-CN" w:bidi="zh-CN"/>
              </w:rPr>
              <w:t>2021年01月01日至今</w:t>
            </w:r>
            <w:r>
              <w:rPr>
                <w:rFonts w:hint="eastAsia" w:ascii="宋体" w:hAnsi="宋体" w:cs="宋体"/>
                <w:bCs/>
                <w:color w:val="auto"/>
                <w:kern w:val="2"/>
                <w:sz w:val="24"/>
                <w:szCs w:val="24"/>
                <w:highlight w:val="none"/>
                <w:lang w:val="en-US" w:eastAsia="zh-CN" w:bidi="zh-CN"/>
              </w:rPr>
              <w:t>投标人</w:t>
            </w:r>
            <w:r>
              <w:rPr>
                <w:rFonts w:hint="eastAsia" w:ascii="宋体" w:hAnsi="宋体" w:eastAsia="宋体" w:cs="宋体"/>
                <w:bCs/>
                <w:color w:val="auto"/>
                <w:kern w:val="2"/>
                <w:sz w:val="24"/>
                <w:szCs w:val="24"/>
                <w:highlight w:val="none"/>
                <w:lang w:val="en-US" w:eastAsia="zh-CN" w:bidi="zh-CN"/>
              </w:rPr>
              <w:t>具有</w:t>
            </w:r>
            <w:r>
              <w:rPr>
                <w:rFonts w:hint="eastAsia" w:ascii="宋体" w:hAnsi="宋体" w:cs="宋体"/>
                <w:bCs/>
                <w:color w:val="auto"/>
                <w:kern w:val="2"/>
                <w:sz w:val="24"/>
                <w:szCs w:val="24"/>
                <w:highlight w:val="none"/>
                <w:lang w:val="en-US" w:eastAsia="zh-CN" w:bidi="zh-CN"/>
              </w:rPr>
              <w:t>同类项目</w:t>
            </w:r>
            <w:r>
              <w:rPr>
                <w:rFonts w:hint="eastAsia" w:ascii="宋体" w:hAnsi="宋体" w:eastAsia="宋体" w:cs="宋体"/>
                <w:bCs/>
                <w:color w:val="auto"/>
                <w:kern w:val="2"/>
                <w:sz w:val="24"/>
                <w:szCs w:val="24"/>
                <w:highlight w:val="none"/>
                <w:lang w:val="en-US" w:eastAsia="zh-CN" w:bidi="zh-CN"/>
              </w:rPr>
              <w:t>业绩，每提供一项的得</w:t>
            </w:r>
            <w:r>
              <w:rPr>
                <w:rFonts w:hint="eastAsia" w:ascii="宋体" w:hAnsi="宋体" w:cs="宋体"/>
                <w:bCs/>
                <w:color w:val="auto"/>
                <w:kern w:val="2"/>
                <w:sz w:val="24"/>
                <w:szCs w:val="24"/>
                <w:highlight w:val="none"/>
                <w:lang w:val="en-US" w:eastAsia="zh-CN" w:bidi="zh-CN"/>
              </w:rPr>
              <w:t>2</w:t>
            </w:r>
            <w:r>
              <w:rPr>
                <w:rFonts w:hint="eastAsia" w:ascii="宋体" w:hAnsi="宋体" w:eastAsia="宋体" w:cs="宋体"/>
                <w:bCs/>
                <w:color w:val="auto"/>
                <w:kern w:val="2"/>
                <w:sz w:val="24"/>
                <w:szCs w:val="24"/>
                <w:highlight w:val="none"/>
                <w:lang w:val="en-US" w:eastAsia="zh-CN" w:bidi="zh-CN"/>
              </w:rPr>
              <w:t>分，满分</w:t>
            </w:r>
            <w:r>
              <w:rPr>
                <w:rFonts w:hint="eastAsia" w:ascii="宋体" w:hAnsi="宋体" w:cs="宋体"/>
                <w:bCs/>
                <w:color w:val="auto"/>
                <w:kern w:val="2"/>
                <w:sz w:val="24"/>
                <w:szCs w:val="24"/>
                <w:highlight w:val="none"/>
                <w:lang w:val="en-US" w:eastAsia="zh-CN" w:bidi="zh-CN"/>
              </w:rPr>
              <w:t>6</w:t>
            </w:r>
            <w:r>
              <w:rPr>
                <w:rFonts w:hint="eastAsia" w:ascii="宋体" w:hAnsi="宋体" w:eastAsia="宋体" w:cs="宋体"/>
                <w:bCs/>
                <w:color w:val="auto"/>
                <w:kern w:val="2"/>
                <w:sz w:val="24"/>
                <w:szCs w:val="24"/>
                <w:highlight w:val="none"/>
                <w:lang w:val="en-US" w:eastAsia="zh-CN" w:bidi="zh-CN"/>
              </w:rPr>
              <w:t>分</w:t>
            </w:r>
            <w:r>
              <w:rPr>
                <w:rFonts w:hint="eastAsia" w:ascii="宋体" w:hAnsi="宋体" w:eastAsia="宋体" w:cs="宋体"/>
                <w:bCs/>
                <w:color w:val="auto"/>
                <w:kern w:val="2"/>
                <w:sz w:val="24"/>
                <w:szCs w:val="24"/>
                <w:highlight w:val="none"/>
                <w:lang w:val="zh-CN" w:eastAsia="zh-CN" w:bidi="zh-CN"/>
              </w:rPr>
              <w:t>。（须提供合同文件或中标</w:t>
            </w:r>
            <w:r>
              <w:rPr>
                <w:rFonts w:hint="eastAsia" w:ascii="宋体" w:hAnsi="宋体" w:eastAsia="宋体" w:cs="宋体"/>
                <w:bCs/>
                <w:color w:val="auto"/>
                <w:kern w:val="2"/>
                <w:sz w:val="24"/>
                <w:szCs w:val="24"/>
                <w:highlight w:val="none"/>
                <w:lang w:val="en-US" w:eastAsia="zh-CN" w:bidi="zh-CN"/>
              </w:rPr>
              <w:t>[</w:t>
            </w:r>
            <w:r>
              <w:rPr>
                <w:rFonts w:hint="eastAsia" w:ascii="宋体" w:hAnsi="宋体" w:eastAsia="宋体" w:cs="宋体"/>
                <w:bCs/>
                <w:color w:val="auto"/>
                <w:kern w:val="2"/>
                <w:sz w:val="24"/>
                <w:szCs w:val="24"/>
                <w:highlight w:val="none"/>
                <w:lang w:val="zh-CN" w:eastAsia="zh-CN" w:bidi="zh-CN"/>
              </w:rPr>
              <w:t>成交</w:t>
            </w:r>
            <w:r>
              <w:rPr>
                <w:rFonts w:hint="eastAsia" w:ascii="宋体" w:hAnsi="宋体" w:eastAsia="宋体" w:cs="宋体"/>
                <w:bCs/>
                <w:color w:val="auto"/>
                <w:kern w:val="2"/>
                <w:sz w:val="24"/>
                <w:szCs w:val="24"/>
                <w:highlight w:val="none"/>
                <w:lang w:val="en-US" w:eastAsia="zh-CN" w:bidi="zh-CN"/>
              </w:rPr>
              <w:t>]</w:t>
            </w:r>
            <w:r>
              <w:rPr>
                <w:rFonts w:hint="eastAsia" w:ascii="宋体" w:hAnsi="宋体" w:eastAsia="宋体" w:cs="宋体"/>
                <w:bCs/>
                <w:color w:val="auto"/>
                <w:kern w:val="2"/>
                <w:sz w:val="24"/>
                <w:szCs w:val="24"/>
                <w:highlight w:val="none"/>
                <w:lang w:val="zh-CN" w:eastAsia="zh-CN" w:bidi="zh-CN"/>
              </w:rPr>
              <w:t>通知书的证明材料）</w:t>
            </w:r>
          </w:p>
        </w:tc>
        <w:tc>
          <w:tcPr>
            <w:tcW w:w="825" w:type="dxa"/>
            <w:tcBorders>
              <w:top w:val="single" w:color="auto" w:sz="4" w:space="0"/>
              <w:left w:val="single" w:color="auto" w:sz="4" w:space="0"/>
              <w:right w:val="single" w:color="auto" w:sz="4" w:space="0"/>
            </w:tcBorders>
            <w:noWrap w:val="0"/>
            <w:vAlign w:val="center"/>
          </w:tcPr>
          <w:p w14:paraId="3E1B945A">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A23A98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r>
      <w:tr w14:paraId="683214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875" w:type="dxa"/>
            <w:tcBorders>
              <w:top w:val="single" w:color="auto" w:sz="4" w:space="0"/>
              <w:left w:val="single" w:color="auto" w:sz="8" w:space="0"/>
              <w:right w:val="single" w:color="auto" w:sz="4" w:space="0"/>
            </w:tcBorders>
            <w:noWrap w:val="0"/>
            <w:vAlign w:val="center"/>
          </w:tcPr>
          <w:p w14:paraId="524E76B2">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333" w:type="dxa"/>
            <w:tcBorders>
              <w:top w:val="single" w:color="auto" w:sz="4" w:space="0"/>
              <w:left w:val="single" w:color="auto" w:sz="4" w:space="0"/>
              <w:right w:val="single" w:color="auto" w:sz="4" w:space="0"/>
            </w:tcBorders>
            <w:noWrap w:val="0"/>
            <w:vAlign w:val="center"/>
          </w:tcPr>
          <w:p w14:paraId="03CC779C">
            <w:pPr>
              <w:spacing w:line="360" w:lineRule="exact"/>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sz w:val="24"/>
                <w:highlight w:val="none"/>
              </w:rPr>
              <w:t>优惠条件</w:t>
            </w:r>
          </w:p>
        </w:tc>
        <w:tc>
          <w:tcPr>
            <w:tcW w:w="5089" w:type="dxa"/>
            <w:tcBorders>
              <w:top w:val="single" w:color="auto" w:sz="4" w:space="0"/>
              <w:left w:val="single" w:color="auto" w:sz="4" w:space="0"/>
              <w:right w:val="single" w:color="auto" w:sz="4" w:space="0"/>
            </w:tcBorders>
            <w:noWrap w:val="0"/>
            <w:vAlign w:val="center"/>
          </w:tcPr>
          <w:p w14:paraId="1D9507FE">
            <w:pPr>
              <w:spacing w:line="360" w:lineRule="exact"/>
              <w:jc w:val="lef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sz w:val="24"/>
                <w:highlight w:val="none"/>
                <w:lang w:val="en-US" w:eastAsia="zh-CN"/>
              </w:rPr>
              <w:t>提供实质性的</w:t>
            </w:r>
            <w:r>
              <w:rPr>
                <w:rFonts w:hint="eastAsia" w:ascii="宋体" w:hAnsi="宋体" w:eastAsia="宋体" w:cs="宋体"/>
                <w:color w:val="auto"/>
                <w:sz w:val="24"/>
                <w:highlight w:val="none"/>
              </w:rPr>
              <w:t>优惠条件每有一项得1分，满分</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分，无不得分。</w:t>
            </w:r>
          </w:p>
        </w:tc>
        <w:tc>
          <w:tcPr>
            <w:tcW w:w="825" w:type="dxa"/>
            <w:tcBorders>
              <w:top w:val="single" w:color="auto" w:sz="4" w:space="0"/>
              <w:left w:val="single" w:color="auto" w:sz="4" w:space="0"/>
              <w:right w:val="single" w:color="auto" w:sz="4" w:space="0"/>
            </w:tcBorders>
            <w:noWrap w:val="0"/>
            <w:vAlign w:val="center"/>
          </w:tcPr>
          <w:p w14:paraId="1596E211">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3D73469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主观</w:t>
            </w:r>
          </w:p>
        </w:tc>
      </w:tr>
      <w:tr w14:paraId="282F34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 w:hRule="atLeast"/>
        </w:trPr>
        <w:tc>
          <w:tcPr>
            <w:tcW w:w="875" w:type="dxa"/>
            <w:tcBorders>
              <w:top w:val="single" w:color="auto" w:sz="4" w:space="0"/>
              <w:left w:val="single" w:color="auto" w:sz="8" w:space="0"/>
              <w:right w:val="single" w:color="auto" w:sz="4" w:space="0"/>
            </w:tcBorders>
            <w:noWrap w:val="0"/>
            <w:vAlign w:val="center"/>
          </w:tcPr>
          <w:p w14:paraId="6B88EA99">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333" w:type="dxa"/>
            <w:tcBorders>
              <w:top w:val="single" w:color="auto" w:sz="4" w:space="0"/>
              <w:left w:val="single" w:color="auto" w:sz="4" w:space="0"/>
              <w:right w:val="single" w:color="auto" w:sz="4" w:space="0"/>
            </w:tcBorders>
            <w:noWrap w:val="0"/>
            <w:vAlign w:val="center"/>
          </w:tcPr>
          <w:p w14:paraId="7DE59319">
            <w:pPr>
              <w:spacing w:line="360" w:lineRule="exact"/>
              <w:jc w:val="center"/>
              <w:rPr>
                <w:rFonts w:hint="eastAsia" w:ascii="宋体" w:hAnsi="宋体" w:cs="宋体"/>
                <w:color w:val="auto"/>
                <w:kern w:val="0"/>
                <w:sz w:val="24"/>
                <w:szCs w:val="24"/>
                <w:highlight w:val="none"/>
                <w:lang w:val="en-US" w:eastAsia="zh-CN"/>
              </w:rPr>
            </w:pPr>
            <w:r>
              <w:rPr>
                <w:rFonts w:hint="eastAsia" w:ascii="宋体" w:hAnsi="宋体" w:eastAsia="宋体" w:cs="宋体"/>
                <w:color w:val="auto"/>
                <w:sz w:val="24"/>
                <w:highlight w:val="none"/>
              </w:rPr>
              <w:t>服务承诺</w:t>
            </w:r>
          </w:p>
        </w:tc>
        <w:tc>
          <w:tcPr>
            <w:tcW w:w="5089" w:type="dxa"/>
            <w:tcBorders>
              <w:top w:val="single" w:color="auto" w:sz="4" w:space="0"/>
              <w:left w:val="single" w:color="auto" w:sz="4" w:space="0"/>
              <w:right w:val="single" w:color="auto" w:sz="4" w:space="0"/>
            </w:tcBorders>
            <w:noWrap w:val="0"/>
            <w:vAlign w:val="center"/>
          </w:tcPr>
          <w:p w14:paraId="04FEBE67">
            <w:pPr>
              <w:spacing w:line="360" w:lineRule="exact"/>
              <w:jc w:val="lef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sz w:val="24"/>
                <w:highlight w:val="none"/>
              </w:rPr>
              <w:t>服务承诺切实满足采购人要求每有一项得1分，满分</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分，无不得分。</w:t>
            </w:r>
          </w:p>
        </w:tc>
        <w:tc>
          <w:tcPr>
            <w:tcW w:w="825" w:type="dxa"/>
            <w:tcBorders>
              <w:top w:val="single" w:color="auto" w:sz="4" w:space="0"/>
              <w:left w:val="single" w:color="auto" w:sz="4" w:space="0"/>
              <w:right w:val="single" w:color="auto" w:sz="4" w:space="0"/>
            </w:tcBorders>
            <w:noWrap w:val="0"/>
            <w:vAlign w:val="center"/>
          </w:tcPr>
          <w:p w14:paraId="79F5B3BD">
            <w:pPr>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D3ADE26">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w:t>
            </w:r>
          </w:p>
        </w:tc>
      </w:tr>
      <w:tr w14:paraId="50414C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75" w:type="dxa"/>
            <w:tcBorders>
              <w:top w:val="single" w:color="auto" w:sz="4" w:space="0"/>
              <w:left w:val="single" w:color="auto" w:sz="8" w:space="0"/>
              <w:bottom w:val="single" w:color="auto" w:sz="4" w:space="0"/>
              <w:right w:val="single" w:color="auto" w:sz="4" w:space="0"/>
            </w:tcBorders>
            <w:noWrap w:val="0"/>
            <w:vAlign w:val="center"/>
          </w:tcPr>
          <w:p w14:paraId="65FF84D9">
            <w:pPr>
              <w:widowControl/>
              <w:spacing w:line="360" w:lineRule="exact"/>
              <w:jc w:val="center"/>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bCs/>
                <w:color w:val="auto"/>
                <w:kern w:val="2"/>
                <w:sz w:val="24"/>
                <w:szCs w:val="24"/>
                <w:highlight w:val="none"/>
                <w:lang w:val="en-US" w:eastAsia="zh-CN" w:bidi="zh-CN"/>
              </w:rPr>
              <w:t>4</w:t>
            </w:r>
          </w:p>
        </w:tc>
        <w:tc>
          <w:tcPr>
            <w:tcW w:w="1333" w:type="dxa"/>
            <w:tcBorders>
              <w:top w:val="single" w:color="auto" w:sz="4" w:space="0"/>
              <w:left w:val="single" w:color="auto" w:sz="4" w:space="0"/>
              <w:bottom w:val="single" w:color="auto" w:sz="4" w:space="0"/>
              <w:right w:val="single" w:color="auto" w:sz="4" w:space="0"/>
            </w:tcBorders>
            <w:noWrap w:val="0"/>
            <w:vAlign w:val="center"/>
          </w:tcPr>
          <w:p w14:paraId="4EDF4591">
            <w:pPr>
              <w:widowControl/>
              <w:spacing w:line="360" w:lineRule="exact"/>
              <w:jc w:val="center"/>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售后服务方案</w:t>
            </w:r>
          </w:p>
        </w:tc>
        <w:tc>
          <w:tcPr>
            <w:tcW w:w="5089" w:type="dxa"/>
            <w:tcBorders>
              <w:top w:val="single" w:color="auto" w:sz="4" w:space="0"/>
              <w:left w:val="single" w:color="auto" w:sz="4" w:space="0"/>
              <w:bottom w:val="single" w:color="auto" w:sz="4" w:space="0"/>
              <w:right w:val="single" w:color="auto" w:sz="4" w:space="0"/>
            </w:tcBorders>
            <w:noWrap w:val="0"/>
            <w:vAlign w:val="center"/>
          </w:tcPr>
          <w:p w14:paraId="4C7AF8A6">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应包含但不限于以下内容：</w:t>
            </w:r>
          </w:p>
          <w:p w14:paraId="5A7849B5">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1.提供咨询技术指导；</w:t>
            </w:r>
          </w:p>
          <w:p w14:paraId="63F42C17">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2.提供日常巡检</w:t>
            </w:r>
          </w:p>
          <w:p w14:paraId="3218CB3E">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3.提供定期回访；</w:t>
            </w:r>
          </w:p>
          <w:p w14:paraId="43F404C9">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4.提供响应时间；</w:t>
            </w:r>
          </w:p>
          <w:p w14:paraId="6B95DDFD">
            <w:pPr>
              <w:widowControl/>
              <w:spacing w:line="360" w:lineRule="exact"/>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5.提供产品保修。</w:t>
            </w:r>
          </w:p>
          <w:p w14:paraId="43A46563">
            <w:pPr>
              <w:widowControl/>
              <w:spacing w:line="360" w:lineRule="exact"/>
              <w:rPr>
                <w:rFonts w:hint="eastAsia" w:ascii="宋体" w:hAnsi="宋体" w:eastAsia="宋体" w:cs="宋体"/>
                <w:bCs/>
                <w:color w:val="auto"/>
                <w:kern w:val="2"/>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ar-SA"/>
              </w:rPr>
              <w:t>每项内容适用于项目且无缺失的内容得3分，内容有缺失的得1分，满分15分，未提供的得0分。</w:t>
            </w:r>
            <w:r>
              <w:rPr>
                <w:rFonts w:hint="eastAsia" w:ascii="宋体" w:hAnsi="宋体" w:eastAsia="宋体" w:cs="宋体"/>
                <w:bCs/>
                <w:color w:val="auto"/>
                <w:kern w:val="2"/>
                <w:sz w:val="24"/>
                <w:szCs w:val="24"/>
                <w:highlight w:val="none"/>
                <w:lang w:val="zh-CN" w:eastAsia="zh-CN" w:bidi="zh-CN"/>
              </w:rPr>
              <w:t>（缺失是指：不符合实际，存在偏离内容、内容前后不一致、文不对题、前后逻辑错误、内容缺失有瑕疵、无具体流程细节描述之处）</w:t>
            </w:r>
          </w:p>
        </w:tc>
        <w:tc>
          <w:tcPr>
            <w:tcW w:w="825" w:type="dxa"/>
            <w:tcBorders>
              <w:top w:val="single" w:color="auto" w:sz="4" w:space="0"/>
              <w:left w:val="single" w:color="auto" w:sz="4" w:space="0"/>
              <w:bottom w:val="single" w:color="auto" w:sz="4" w:space="0"/>
              <w:right w:val="single" w:color="auto" w:sz="4" w:space="0"/>
            </w:tcBorders>
            <w:noWrap w:val="0"/>
            <w:vAlign w:val="center"/>
          </w:tcPr>
          <w:p w14:paraId="1ED8D891">
            <w:pPr>
              <w:autoSpaceDE w:val="0"/>
              <w:autoSpaceDN w:val="0"/>
              <w:spacing w:line="360"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w:t>
            </w:r>
          </w:p>
        </w:tc>
        <w:tc>
          <w:tcPr>
            <w:tcW w:w="1475" w:type="dxa"/>
            <w:tcBorders>
              <w:top w:val="single" w:color="auto" w:sz="4" w:space="0"/>
              <w:left w:val="single" w:color="auto" w:sz="4" w:space="0"/>
              <w:bottom w:val="single" w:color="auto" w:sz="4" w:space="0"/>
              <w:right w:val="single" w:color="auto" w:sz="8" w:space="0"/>
            </w:tcBorders>
            <w:noWrap w:val="0"/>
            <w:vAlign w:val="center"/>
          </w:tcPr>
          <w:p w14:paraId="28217155">
            <w:pPr>
              <w:autoSpaceDE w:val="0"/>
              <w:autoSpaceDN w:val="0"/>
              <w:spacing w:line="36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主观</w:t>
            </w:r>
          </w:p>
        </w:tc>
      </w:tr>
    </w:tbl>
    <w:p w14:paraId="45D524E3">
      <w:pPr>
        <w:widowControl/>
        <w:spacing w:line="360" w:lineRule="auto"/>
        <w:rPr>
          <w:rFonts w:hint="eastAsia" w:ascii="宋体" w:hAnsi="宋体" w:eastAsia="宋体" w:cs="宋体"/>
          <w:b/>
          <w:bCs w:val="0"/>
          <w:color w:val="auto"/>
          <w:kern w:val="2"/>
          <w:sz w:val="24"/>
          <w:szCs w:val="24"/>
          <w:highlight w:val="none"/>
          <w:lang w:val="zh-CN" w:eastAsia="zh-CN" w:bidi="zh-CN"/>
        </w:rPr>
      </w:pPr>
      <w:r>
        <w:rPr>
          <w:rFonts w:hint="eastAsia" w:ascii="宋体" w:hAnsi="宋体" w:eastAsia="宋体" w:cs="宋体"/>
          <w:b/>
          <w:bCs w:val="0"/>
          <w:color w:val="auto"/>
          <w:kern w:val="2"/>
          <w:sz w:val="24"/>
          <w:szCs w:val="24"/>
          <w:highlight w:val="none"/>
          <w:lang w:val="zh-CN" w:eastAsia="zh-CN" w:bidi="zh-CN"/>
        </w:rPr>
        <w:t>3.3.</w:t>
      </w:r>
      <w:r>
        <w:rPr>
          <w:rFonts w:hint="eastAsia" w:ascii="宋体" w:hAnsi="宋体" w:eastAsia="宋体" w:cs="宋体"/>
          <w:b/>
          <w:bCs w:val="0"/>
          <w:color w:val="auto"/>
          <w:kern w:val="2"/>
          <w:sz w:val="24"/>
          <w:szCs w:val="24"/>
          <w:highlight w:val="none"/>
          <w:lang w:val="en-US" w:eastAsia="zh-CN" w:bidi="zh-CN"/>
        </w:rPr>
        <w:t>3</w:t>
      </w:r>
      <w:r>
        <w:rPr>
          <w:rFonts w:hint="eastAsia" w:ascii="宋体" w:hAnsi="宋体" w:eastAsia="宋体" w:cs="宋体"/>
          <w:b/>
          <w:bCs w:val="0"/>
          <w:color w:val="auto"/>
          <w:kern w:val="2"/>
          <w:sz w:val="24"/>
          <w:szCs w:val="24"/>
          <w:highlight w:val="none"/>
          <w:lang w:val="zh-CN" w:eastAsia="zh-CN" w:bidi="zh-CN"/>
        </w:rPr>
        <w:t>本项目非专门面向中小企业采购：</w:t>
      </w:r>
    </w:p>
    <w:p w14:paraId="0F17EDD1">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1）根据《政府采购促进中小企业发展管理办法》（财库[2020]46号）规定，本项目对小型和微型企业的产品给予10%的价格扣除，并按照扣除后的价格参加排序。根据财库【2014】68号文件规定，在政府采购活动中，监狱企业视同小型、微型企业，享受预留份额、评审中价格扣除等政府采购促进中小企业发展的政府采购政策。向监狱企业采购的金额，计入面向中小企业采购的统计数据。本项目采购标的对应的中小企业划分标准所属行业为工业。</w:t>
      </w:r>
    </w:p>
    <w:p w14:paraId="6A640736">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（2）监狱企业视同小型、微型企业，监狱企业投标的提供由省级以上监狱管理局、戒毒管理局(含新疆生产建设兵团)出具的属于监狱企业的证明文件，不再提供《中小企业声明函》；</w:t>
      </w:r>
    </w:p>
    <w:p w14:paraId="014811EB">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（3）残疾人福利性单位视同小型、微型企业，残疾人福利性单位属于小型、微型企业的，不重复享受政策。符合条件的残疾人福利性单位在参加政府采购活动时，应当提供《残疾人福利性单位声明函》。</w:t>
      </w:r>
    </w:p>
    <w:p w14:paraId="14A62D73">
      <w:pPr>
        <w:widowControl/>
        <w:spacing w:line="360" w:lineRule="auto"/>
        <w:rPr>
          <w:rFonts w:hint="eastAsia" w:ascii="宋体" w:hAnsi="宋体" w:eastAsia="宋体" w:cs="宋体"/>
          <w:bCs/>
          <w:color w:val="auto"/>
          <w:kern w:val="2"/>
          <w:sz w:val="24"/>
          <w:szCs w:val="24"/>
          <w:highlight w:val="none"/>
          <w:lang w:val="zh-CN" w:eastAsia="zh-CN" w:bidi="zh-CN"/>
        </w:rPr>
      </w:pPr>
      <w:r>
        <w:rPr>
          <w:rFonts w:hint="eastAsia" w:ascii="宋体" w:hAnsi="宋体" w:eastAsia="宋体" w:cs="宋体"/>
          <w:bCs/>
          <w:color w:val="auto"/>
          <w:kern w:val="2"/>
          <w:sz w:val="24"/>
          <w:szCs w:val="24"/>
          <w:highlight w:val="none"/>
          <w:lang w:val="zh-CN" w:eastAsia="zh-CN" w:bidi="zh-CN"/>
        </w:rPr>
        <w:t>（4）第（1）、（3）条提供《中小企业声明函》、《残疾人福利性单位声明函》。</w:t>
      </w:r>
    </w:p>
    <w:p w14:paraId="41CBA594">
      <w:pPr>
        <w:widowControl/>
        <w:spacing w:line="360" w:lineRule="auto"/>
        <w:rPr>
          <w:rFonts w:hint="eastAsia" w:ascii="宋体" w:hAnsi="宋体" w:eastAsia="宋体" w:cs="宋体"/>
          <w:b/>
          <w:bCs w:val="0"/>
          <w:color w:val="auto"/>
          <w:kern w:val="2"/>
          <w:sz w:val="24"/>
          <w:szCs w:val="24"/>
          <w:highlight w:val="none"/>
          <w:lang w:val="zh-CN" w:eastAsia="zh-CN" w:bidi="zh-CN"/>
        </w:rPr>
      </w:pPr>
      <w:r>
        <w:rPr>
          <w:rFonts w:hint="eastAsia" w:ascii="宋体" w:hAnsi="宋体" w:eastAsia="宋体" w:cs="宋体"/>
          <w:b/>
          <w:bCs w:val="0"/>
          <w:color w:val="auto"/>
          <w:kern w:val="2"/>
          <w:sz w:val="24"/>
          <w:szCs w:val="24"/>
          <w:highlight w:val="none"/>
          <w:lang w:val="zh-CN" w:eastAsia="zh-CN" w:bidi="zh-CN"/>
        </w:rPr>
        <w:t>3.4编写评标报告，推荐中标候选</w:t>
      </w:r>
      <w:r>
        <w:rPr>
          <w:rFonts w:hint="eastAsia" w:ascii="宋体" w:hAnsi="宋体" w:cs="宋体"/>
          <w:b/>
          <w:bCs w:val="0"/>
          <w:color w:val="auto"/>
          <w:kern w:val="2"/>
          <w:sz w:val="24"/>
          <w:szCs w:val="24"/>
          <w:highlight w:val="none"/>
          <w:lang w:val="zh-CN" w:eastAsia="zh-CN" w:bidi="zh-CN"/>
        </w:rPr>
        <w:t>投标人</w:t>
      </w:r>
      <w:r>
        <w:rPr>
          <w:rFonts w:hint="eastAsia" w:ascii="宋体" w:hAnsi="宋体" w:eastAsia="宋体" w:cs="宋体"/>
          <w:b/>
          <w:bCs w:val="0"/>
          <w:color w:val="auto"/>
          <w:kern w:val="2"/>
          <w:sz w:val="24"/>
          <w:szCs w:val="24"/>
          <w:highlight w:val="none"/>
          <w:lang w:val="zh-CN" w:eastAsia="zh-CN" w:bidi="zh-CN"/>
        </w:rPr>
        <w:t>名单：3名。</w:t>
      </w:r>
    </w:p>
    <w:p w14:paraId="42B94B29">
      <w:pPr>
        <w:spacing w:line="360" w:lineRule="auto"/>
        <w:ind w:firstLine="482"/>
        <w:rPr>
          <w:rFonts w:ascii="宋体" w:hAnsi="宋体" w:cs="宋体"/>
          <w:b/>
          <w:bCs/>
          <w:color w:val="auto"/>
          <w:sz w:val="24"/>
          <w:highlight w:val="none"/>
        </w:rPr>
      </w:pPr>
    </w:p>
    <w:p w14:paraId="6B861B1F">
      <w:pPr>
        <w:pStyle w:val="4"/>
        <w:spacing w:line="360" w:lineRule="auto"/>
        <w:ind w:firstLine="643"/>
        <w:rPr>
          <w:color w:val="auto"/>
          <w:highlight w:val="none"/>
        </w:rPr>
        <w:sectPr>
          <w:headerReference r:id="rId5" w:type="default"/>
          <w:footerReference r:id="rId6" w:type="default"/>
          <w:pgSz w:w="11906" w:h="16838"/>
          <w:pgMar w:top="1134" w:right="1134" w:bottom="1134" w:left="1417" w:header="680" w:footer="680" w:gutter="0"/>
          <w:pgBorders>
            <w:top w:val="none" w:sz="0" w:space="0"/>
            <w:left w:val="none" w:sz="0" w:space="0"/>
            <w:bottom w:val="none" w:sz="0" w:space="0"/>
            <w:right w:val="none" w:sz="0" w:space="0"/>
          </w:pgBorders>
          <w:cols w:space="720" w:num="1"/>
          <w:docGrid w:linePitch="312" w:charSpace="0"/>
        </w:sectPr>
      </w:pPr>
    </w:p>
    <w:p w14:paraId="723D1409">
      <w:pPr>
        <w:numPr>
          <w:ilvl w:val="0"/>
          <w:numId w:val="6"/>
        </w:numPr>
        <w:spacing w:line="360" w:lineRule="auto"/>
        <w:jc w:val="center"/>
        <w:rPr>
          <w:rFonts w:ascii="黑体" w:eastAsia="黑体"/>
          <w:b/>
          <w:sz w:val="36"/>
          <w:szCs w:val="36"/>
        </w:rPr>
      </w:pPr>
      <w:r>
        <w:rPr>
          <w:rFonts w:hint="eastAsia" w:ascii="黑体" w:eastAsia="黑体"/>
          <w:b/>
          <w:sz w:val="36"/>
          <w:szCs w:val="36"/>
        </w:rPr>
        <w:t>合同条款（供参考）</w:t>
      </w:r>
    </w:p>
    <w:p w14:paraId="2C3683EC">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4.1 签订合同  </w:t>
      </w:r>
    </w:p>
    <w:p w14:paraId="426FC8E1">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4.1.1 招标人应当自中标通知书发出之日起三十日内，按照招标文件和中标人投标文件的约定，与中标人签订书面合同。所签订合同不得对招标文件和中标人投标文件作实质性修改。  </w:t>
      </w:r>
    </w:p>
    <w:p w14:paraId="557A38E7">
      <w:pPr>
        <w:spacing w:line="360" w:lineRule="auto"/>
        <w:ind w:firstLine="480" w:firstLineChars="200"/>
        <w:rPr>
          <w:rFonts w:ascii="宋体" w:hAnsi="宋体" w:cs="宋体"/>
          <w:color w:val="000000"/>
          <w:sz w:val="24"/>
        </w:rPr>
      </w:pPr>
      <w:r>
        <w:rPr>
          <w:rFonts w:hint="eastAsia" w:ascii="宋体" w:hAnsi="宋体" w:cs="宋体"/>
          <w:color w:val="000000"/>
          <w:sz w:val="24"/>
        </w:rPr>
        <w:t>4.1.2 签订的合同以招标文件合同条款为基础。招标人不得向中标人提出任何不合理的要求，作为签订合同的条件，不得与中标人私下订立背离合同实质性内容的协议。 </w:t>
      </w:r>
    </w:p>
    <w:p w14:paraId="4CE5D59A">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4.1.3 招标文件、投标文件、书面承诺和中标通知书均作为政府采购合同的组成部分，且具有法律效力。中标人应严格履行政府采购合同规定的各项义务和责任，否则将依法处理。  </w:t>
      </w:r>
    </w:p>
    <w:p w14:paraId="28404D10">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4.1.4 中标人不得分包履行合同，否则将依法承担法律责任。当中标人放弃中标结果或者因被质疑、投诉，经查属实或者因不可抗力而不能履行合同的，由招标人可从推荐中标候选人名单中按顺序重新确定中标人或重新组织招标。  </w:t>
      </w:r>
    </w:p>
    <w:p w14:paraId="45D929AA">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4.1.5 招标人应当自政府采购合同签订之日起七个工作日内，将政府采购合同副本报同级财政部门备案。  </w:t>
      </w:r>
    </w:p>
    <w:p w14:paraId="37204A35">
      <w:pPr>
        <w:spacing w:line="360" w:lineRule="auto"/>
        <w:ind w:firstLine="480" w:firstLineChars="200"/>
        <w:rPr>
          <w:rFonts w:ascii="宋体" w:hAnsi="宋体" w:cs="宋体"/>
          <w:color w:val="000000"/>
          <w:sz w:val="24"/>
        </w:rPr>
      </w:pPr>
      <w:r>
        <w:rPr>
          <w:rFonts w:hint="eastAsia" w:ascii="宋体" w:hAnsi="宋体" w:cs="宋体"/>
          <w:color w:val="000000"/>
          <w:sz w:val="24"/>
        </w:rPr>
        <w:t>4.1.6 法律、行政法规规定应当办理批准、登记等手续后生效的合同，依照其规定。</w:t>
      </w:r>
    </w:p>
    <w:p w14:paraId="6CCB98DC">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4.2 追加合同金额  政府采购合同履行中，招标人需要追加与合同标的相同的服务的，在不改变合同其他条款的前提下,且在签订合同后一年内，经招标人报同级财政部门批准后，可与中标人协商签订补充合同，但所有补充合同的采购金额不得超过原合同采购金额的10%，且总额不得超出项目采购预算，否则招标人应重新组织采购。政府采购合同双方当事人不得擅自变更、中止或者终止合同。政府采购合同继续履行将损害国家利益和社会公共利益的，双方当事人应当变更、中止或者终止。有过错的一方应当承担赔偿责任，双方都有过错的，各自承担责任。  </w:t>
      </w:r>
    </w:p>
    <w:p w14:paraId="59B4264F">
      <w:pPr>
        <w:spacing w:line="360" w:lineRule="auto"/>
        <w:ind w:firstLine="480" w:firstLineChars="200"/>
        <w:rPr>
          <w:rFonts w:ascii="宋体" w:hAnsi="宋体" w:cs="宋体"/>
          <w:color w:val="000000"/>
          <w:sz w:val="24"/>
        </w:rPr>
      </w:pPr>
      <w:r>
        <w:rPr>
          <w:rFonts w:hint="eastAsia" w:ascii="宋体" w:hAnsi="宋体" w:cs="宋体"/>
          <w:color w:val="000000"/>
          <w:sz w:val="24"/>
        </w:rPr>
        <w:t>4.3 质量与验收  招标文件中的服务满足国标、部标、行业标准或者双方技术协议或者招标文件、投标文件、书面承诺的技术要求。如对服务以及质量有争议，招标人组织相关部门对服务和质量进行检验或者验收，未达到服务要求的，由成中标人承担全部责任。</w:t>
      </w:r>
    </w:p>
    <w:p w14:paraId="6F2E7E3C">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4.4 合同主要条款  </w:t>
      </w:r>
    </w:p>
    <w:p w14:paraId="65ADC652">
      <w:pPr>
        <w:spacing w:line="360" w:lineRule="auto"/>
        <w:rPr>
          <w:rFonts w:ascii="宋体" w:hAnsi="宋体" w:cs="宋体"/>
          <w:color w:val="000000"/>
          <w:sz w:val="24"/>
        </w:rPr>
      </w:pPr>
      <w:r>
        <w:rPr>
          <w:rFonts w:hint="eastAsia" w:ascii="宋体" w:hAnsi="宋体" w:cs="宋体"/>
          <w:color w:val="000000"/>
          <w:sz w:val="24"/>
        </w:rPr>
        <w:t>甲方（招标人）：                                                        </w:t>
      </w:r>
    </w:p>
    <w:p w14:paraId="569E21D0">
      <w:pPr>
        <w:spacing w:line="360" w:lineRule="auto"/>
        <w:rPr>
          <w:rFonts w:ascii="宋体" w:hAnsi="宋体" w:cs="宋体"/>
          <w:color w:val="000000"/>
          <w:sz w:val="24"/>
        </w:rPr>
      </w:pPr>
      <w:r>
        <w:rPr>
          <w:rFonts w:hint="eastAsia" w:ascii="宋体" w:hAnsi="宋体" w:cs="宋体"/>
          <w:color w:val="000000"/>
          <w:sz w:val="24"/>
        </w:rPr>
        <w:t>乙方（中标人）：                                                        </w:t>
      </w:r>
    </w:p>
    <w:p w14:paraId="0B84033B">
      <w:pPr>
        <w:spacing w:line="360" w:lineRule="auto"/>
        <w:ind w:firstLine="480" w:firstLineChars="200"/>
        <w:rPr>
          <w:rFonts w:ascii="宋体" w:hAnsi="宋体" w:cs="宋体"/>
          <w:color w:val="000000"/>
          <w:sz w:val="24"/>
        </w:rPr>
      </w:pPr>
      <w:r>
        <w:rPr>
          <w:rFonts w:hint="eastAsia" w:ascii="宋体" w:hAnsi="宋体" w:cs="宋体"/>
          <w:color w:val="000000"/>
          <w:sz w:val="24"/>
        </w:rPr>
        <w:t xml:space="preserve">根据《中华人民共和国政府采购法》、《中华人民共和国民法典》等相关法律，甲、乙双方就( 项目名称、项目编号），经平等协商达成合同如下：  </w:t>
      </w:r>
    </w:p>
    <w:p w14:paraId="627C99AA">
      <w:pPr>
        <w:numPr>
          <w:ilvl w:val="0"/>
          <w:numId w:val="7"/>
        </w:numPr>
        <w:spacing w:line="360" w:lineRule="auto"/>
        <w:rPr>
          <w:rFonts w:ascii="宋体" w:hAnsi="宋体" w:cs="宋体"/>
          <w:color w:val="000000"/>
          <w:sz w:val="24"/>
        </w:rPr>
      </w:pPr>
      <w:r>
        <w:rPr>
          <w:rFonts w:hint="eastAsia" w:ascii="宋体" w:hAnsi="宋体" w:cs="宋体"/>
          <w:color w:val="000000"/>
          <w:sz w:val="24"/>
        </w:rPr>
        <w:t>合同文件  本合同所附下列文件是构成本合同不可分割的部分，组成合同的各项文件应互相解释，互为说明，解释合同文件的优先顺序如下：</w:t>
      </w:r>
    </w:p>
    <w:p w14:paraId="6120078A">
      <w:pPr>
        <w:numPr>
          <w:ilvl w:val="0"/>
          <w:numId w:val="8"/>
        </w:numPr>
        <w:spacing w:line="360" w:lineRule="auto"/>
        <w:rPr>
          <w:rFonts w:ascii="宋体" w:hAnsi="宋体" w:cs="宋体"/>
          <w:color w:val="000000"/>
          <w:sz w:val="24"/>
        </w:rPr>
      </w:pPr>
      <w:r>
        <w:rPr>
          <w:rFonts w:hint="eastAsia" w:ascii="宋体" w:hAnsi="宋体" w:cs="宋体"/>
          <w:color w:val="000000"/>
          <w:sz w:val="24"/>
        </w:rPr>
        <w:t>合同格式以及合同条款 </w:t>
      </w:r>
    </w:p>
    <w:p w14:paraId="24CE31D8">
      <w:pPr>
        <w:numPr>
          <w:ilvl w:val="0"/>
          <w:numId w:val="8"/>
        </w:numPr>
        <w:spacing w:line="360" w:lineRule="auto"/>
        <w:rPr>
          <w:rFonts w:ascii="宋体" w:hAnsi="宋体" w:cs="宋体"/>
          <w:color w:val="000000"/>
          <w:sz w:val="24"/>
        </w:rPr>
      </w:pPr>
      <w:r>
        <w:rPr>
          <w:rFonts w:hint="eastAsia" w:ascii="宋体" w:hAnsi="宋体" w:cs="宋体"/>
          <w:color w:val="000000"/>
          <w:sz w:val="24"/>
        </w:rPr>
        <w:t>中标通知书 </w:t>
      </w:r>
    </w:p>
    <w:p w14:paraId="155AF6D9">
      <w:pPr>
        <w:numPr>
          <w:ilvl w:val="0"/>
          <w:numId w:val="8"/>
        </w:numPr>
        <w:spacing w:line="360" w:lineRule="auto"/>
        <w:rPr>
          <w:rFonts w:ascii="宋体" w:hAnsi="宋体" w:cs="宋体"/>
          <w:color w:val="000000"/>
          <w:sz w:val="24"/>
        </w:rPr>
      </w:pPr>
      <w:r>
        <w:rPr>
          <w:rFonts w:hint="eastAsia" w:ascii="宋体" w:hAnsi="宋体" w:cs="宋体"/>
          <w:color w:val="000000"/>
          <w:sz w:val="24"/>
        </w:rPr>
        <w:t>中标人在评标过程中做出的有关澄清、说明、承诺或者补正文件 </w:t>
      </w:r>
    </w:p>
    <w:p w14:paraId="5DBCB254">
      <w:pPr>
        <w:numPr>
          <w:ilvl w:val="0"/>
          <w:numId w:val="8"/>
        </w:numPr>
        <w:spacing w:line="360" w:lineRule="auto"/>
        <w:rPr>
          <w:rFonts w:ascii="宋体" w:hAnsi="宋体" w:cs="宋体"/>
          <w:color w:val="000000"/>
          <w:sz w:val="24"/>
        </w:rPr>
      </w:pPr>
      <w:r>
        <w:rPr>
          <w:rFonts w:hint="eastAsia" w:ascii="宋体" w:hAnsi="宋体" w:cs="宋体"/>
          <w:color w:val="000000"/>
          <w:sz w:val="24"/>
        </w:rPr>
        <w:t>中标人投标文件</w:t>
      </w:r>
    </w:p>
    <w:p w14:paraId="2B123601">
      <w:pPr>
        <w:numPr>
          <w:ilvl w:val="0"/>
          <w:numId w:val="8"/>
        </w:numPr>
        <w:spacing w:line="360" w:lineRule="auto"/>
        <w:rPr>
          <w:rFonts w:ascii="宋体" w:hAnsi="宋体" w:cs="宋体"/>
          <w:color w:val="000000"/>
          <w:sz w:val="24"/>
        </w:rPr>
      </w:pPr>
      <w:r>
        <w:rPr>
          <w:rFonts w:hint="eastAsia" w:ascii="宋体" w:hAnsi="宋体" w:cs="宋体"/>
          <w:color w:val="000000"/>
          <w:sz w:val="24"/>
        </w:rPr>
        <w:t>招标文件 </w:t>
      </w:r>
    </w:p>
    <w:p w14:paraId="74AE9702">
      <w:pPr>
        <w:numPr>
          <w:ilvl w:val="0"/>
          <w:numId w:val="8"/>
        </w:numPr>
        <w:spacing w:line="360" w:lineRule="auto"/>
        <w:rPr>
          <w:rFonts w:ascii="宋体" w:hAnsi="宋体" w:cs="宋体"/>
          <w:color w:val="000000"/>
          <w:sz w:val="24"/>
        </w:rPr>
      </w:pPr>
      <w:r>
        <w:rPr>
          <w:rFonts w:hint="eastAsia" w:ascii="宋体" w:hAnsi="宋体" w:cs="宋体"/>
          <w:color w:val="000000"/>
          <w:sz w:val="24"/>
        </w:rPr>
        <w:t>本合同附件  同一层次的合同文件规定有矛盾的以较后时间制定的为准。 </w:t>
      </w:r>
    </w:p>
    <w:p w14:paraId="68E40EFA">
      <w:pPr>
        <w:numPr>
          <w:ilvl w:val="0"/>
          <w:numId w:val="7"/>
        </w:numPr>
        <w:spacing w:line="360" w:lineRule="auto"/>
        <w:rPr>
          <w:rFonts w:ascii="宋体" w:hAnsi="宋体" w:cs="宋体"/>
          <w:color w:val="000000"/>
          <w:sz w:val="24"/>
        </w:rPr>
      </w:pPr>
      <w:r>
        <w:rPr>
          <w:rFonts w:hint="eastAsia" w:ascii="宋体" w:hAnsi="宋体" w:cs="宋体"/>
          <w:color w:val="000000"/>
          <w:sz w:val="24"/>
        </w:rPr>
        <w:t>合同的范围和条件  本合同的范围和条件应与上述合同文件的规定相一致。 </w:t>
      </w:r>
    </w:p>
    <w:p w14:paraId="101F725A">
      <w:pPr>
        <w:numPr>
          <w:ilvl w:val="0"/>
          <w:numId w:val="7"/>
        </w:numPr>
        <w:spacing w:line="360" w:lineRule="auto"/>
        <w:rPr>
          <w:rFonts w:ascii="宋体" w:hAnsi="宋体" w:cs="宋体"/>
          <w:color w:val="000000"/>
          <w:sz w:val="24"/>
        </w:rPr>
      </w:pPr>
      <w:r>
        <w:rPr>
          <w:rFonts w:hint="eastAsia" w:ascii="宋体" w:hAnsi="宋体" w:cs="宋体"/>
          <w:color w:val="000000"/>
          <w:sz w:val="24"/>
        </w:rPr>
        <w:t xml:space="preserve">服务项目  本合同所提供的服务项目内容：                 （与投标文件中投标服务明细表一致）。  </w:t>
      </w:r>
    </w:p>
    <w:p w14:paraId="21729EE5">
      <w:pPr>
        <w:numPr>
          <w:ilvl w:val="0"/>
          <w:numId w:val="7"/>
        </w:numPr>
        <w:spacing w:line="360" w:lineRule="auto"/>
        <w:rPr>
          <w:rFonts w:ascii="宋体" w:hAnsi="宋体" w:cs="宋体"/>
          <w:color w:val="000000"/>
          <w:sz w:val="24"/>
        </w:rPr>
      </w:pPr>
      <w:r>
        <w:rPr>
          <w:rFonts w:hint="eastAsia" w:ascii="宋体" w:hAnsi="宋体" w:cs="宋体"/>
          <w:color w:val="000000"/>
          <w:sz w:val="24"/>
        </w:rPr>
        <w:t>合同金额  合同金额为人民币           万元，大写：           。 </w:t>
      </w:r>
    </w:p>
    <w:p w14:paraId="45467382">
      <w:pPr>
        <w:numPr>
          <w:ilvl w:val="0"/>
          <w:numId w:val="7"/>
        </w:numPr>
        <w:spacing w:line="360" w:lineRule="auto"/>
        <w:rPr>
          <w:rFonts w:ascii="宋体" w:hAnsi="宋体" w:cs="宋体"/>
          <w:color w:val="000000"/>
          <w:sz w:val="24"/>
        </w:rPr>
      </w:pPr>
      <w:r>
        <w:rPr>
          <w:rFonts w:hint="eastAsia" w:ascii="宋体" w:hAnsi="宋体" w:cs="宋体"/>
          <w:color w:val="000000"/>
          <w:sz w:val="24"/>
        </w:rPr>
        <w:t>付款途径  □国库集中支付    □甲方支付   □国库与甲方共同支付    □其他 国库集中支付资金       万元，甲方支付资金       万元，其他      万元。  属国库集中支付的财政性资金，甲方应按照合同约定的付款期限，及时向同级财政部门报送资金支付申请，同级财政部门对支付申请审核无误后      个工作日内将货款直接支付至乙方账户。</w:t>
      </w:r>
    </w:p>
    <w:p w14:paraId="3ACA2488">
      <w:pPr>
        <w:numPr>
          <w:ilvl w:val="0"/>
          <w:numId w:val="7"/>
        </w:numPr>
        <w:spacing w:line="360" w:lineRule="auto"/>
        <w:rPr>
          <w:rFonts w:ascii="宋体" w:hAnsi="宋体" w:cs="宋体"/>
          <w:color w:val="000000"/>
          <w:sz w:val="24"/>
        </w:rPr>
      </w:pPr>
      <w:r>
        <w:rPr>
          <w:rFonts w:hint="eastAsia" w:ascii="宋体" w:hAnsi="宋体" w:cs="宋体"/>
          <w:color w:val="000000"/>
          <w:sz w:val="24"/>
        </w:rPr>
        <w:t>付款方式</w:t>
      </w:r>
    </w:p>
    <w:p w14:paraId="77E85B3B">
      <w:pPr>
        <w:pStyle w:val="24"/>
        <w:spacing w:beforeAutospacing="0" w:afterAutospacing="0" w:line="360" w:lineRule="auto"/>
        <w:jc w:val="both"/>
        <w:rPr>
          <w:color w:val="000000"/>
        </w:rPr>
      </w:pPr>
      <w:r>
        <w:rPr>
          <w:rFonts w:hint="eastAsia"/>
          <w:color w:val="000000"/>
        </w:rPr>
        <w:t xml:space="preserve">□分期支付方式  </w:t>
      </w:r>
    </w:p>
    <w:p w14:paraId="2800E0DE">
      <w:pPr>
        <w:pStyle w:val="24"/>
        <w:spacing w:beforeAutospacing="0" w:afterAutospacing="0" w:line="360" w:lineRule="auto"/>
        <w:ind w:firstLine="480" w:firstLineChars="200"/>
        <w:jc w:val="both"/>
        <w:rPr>
          <w:color w:val="000000"/>
        </w:rPr>
      </w:pPr>
      <w:r>
        <w:rPr>
          <w:rFonts w:hint="eastAsia"/>
          <w:color w:val="000000"/>
        </w:rPr>
        <w:t>合同生效后       个工作日内，甲方向乙方支付合同金额的    %，即人民币      万元，大写：       ；提供服务成果并经双方验收合格之日起      个工作日内甲方向乙方支付合同金额的      %，即人民币       万元，大写：       ，余款5%即人民币        万元，质保期（      年）满后      日内一次无息付清。</w:t>
      </w:r>
    </w:p>
    <w:p w14:paraId="44BF76FF">
      <w:pPr>
        <w:pStyle w:val="24"/>
        <w:spacing w:beforeAutospacing="0" w:afterAutospacing="0" w:line="360" w:lineRule="auto"/>
        <w:jc w:val="both"/>
        <w:rPr>
          <w:color w:val="000000"/>
        </w:rPr>
      </w:pPr>
      <w:r>
        <w:rPr>
          <w:rFonts w:hint="eastAsia"/>
          <w:color w:val="000000"/>
        </w:rPr>
        <w:t xml:space="preserve">□一次性支付方式  </w:t>
      </w:r>
    </w:p>
    <w:p w14:paraId="0044E005">
      <w:pPr>
        <w:pStyle w:val="24"/>
        <w:spacing w:beforeAutospacing="0" w:afterAutospacing="0" w:line="360" w:lineRule="auto"/>
        <w:ind w:firstLine="480" w:firstLineChars="200"/>
        <w:jc w:val="both"/>
        <w:rPr>
          <w:color w:val="000000"/>
        </w:rPr>
      </w:pPr>
      <w:r>
        <w:rPr>
          <w:rFonts w:hint="eastAsia"/>
          <w:color w:val="000000"/>
        </w:rPr>
        <w:t>提供服务成果并经双方验收合格之日起     个工作日内，甲方向乙方支付全部合同价款，即人民币        万元，大写：。</w:t>
      </w:r>
    </w:p>
    <w:p w14:paraId="6D52C8F3">
      <w:pPr>
        <w:pStyle w:val="24"/>
        <w:spacing w:beforeAutospacing="0" w:afterAutospacing="0" w:line="360" w:lineRule="auto"/>
        <w:jc w:val="both"/>
        <w:rPr>
          <w:color w:val="000000"/>
        </w:rPr>
      </w:pPr>
      <w:r>
        <w:rPr>
          <w:rFonts w:hint="eastAsia"/>
          <w:color w:val="000000"/>
        </w:rPr>
        <w:t>□其他支付方式</w:t>
      </w:r>
    </w:p>
    <w:p w14:paraId="1BF407C5">
      <w:pPr>
        <w:pStyle w:val="24"/>
        <w:numPr>
          <w:ilvl w:val="0"/>
          <w:numId w:val="7"/>
        </w:numPr>
        <w:spacing w:beforeAutospacing="0" w:afterAutospacing="0" w:line="360" w:lineRule="auto"/>
        <w:jc w:val="both"/>
        <w:rPr>
          <w:color w:val="000000"/>
        </w:rPr>
      </w:pPr>
      <w:r>
        <w:rPr>
          <w:rFonts w:hint="eastAsia"/>
          <w:color w:val="000000"/>
        </w:rPr>
        <w:t xml:space="preserve">服务期限、地点    </w:t>
      </w:r>
    </w:p>
    <w:p w14:paraId="7BDACB3B">
      <w:pPr>
        <w:pStyle w:val="24"/>
        <w:numPr>
          <w:ilvl w:val="0"/>
          <w:numId w:val="9"/>
        </w:numPr>
        <w:spacing w:beforeAutospacing="0" w:afterAutospacing="0" w:line="360" w:lineRule="auto"/>
        <w:jc w:val="both"/>
        <w:rPr>
          <w:color w:val="000000"/>
        </w:rPr>
      </w:pPr>
      <w:r>
        <w:rPr>
          <w:rFonts w:hint="eastAsia"/>
          <w:color w:val="000000"/>
          <w:lang w:val="en-US" w:eastAsia="zh-CN"/>
        </w:rPr>
        <w:t>合同履行</w:t>
      </w:r>
      <w:r>
        <w:rPr>
          <w:rFonts w:hint="eastAsia"/>
          <w:color w:val="000000"/>
        </w:rPr>
        <w:t xml:space="preserve">期限：     年    月   日至     年    月   日。  </w:t>
      </w:r>
    </w:p>
    <w:p w14:paraId="13B39F41">
      <w:pPr>
        <w:pStyle w:val="24"/>
        <w:numPr>
          <w:ilvl w:val="0"/>
          <w:numId w:val="9"/>
        </w:numPr>
        <w:spacing w:beforeAutospacing="0" w:afterAutospacing="0" w:line="360" w:lineRule="auto"/>
        <w:jc w:val="both"/>
        <w:rPr>
          <w:color w:val="000000"/>
        </w:rPr>
      </w:pPr>
      <w:r>
        <w:rPr>
          <w:rFonts w:hint="eastAsia"/>
          <w:color w:val="000000"/>
          <w:lang w:val="en-US" w:eastAsia="zh-CN"/>
        </w:rPr>
        <w:t>交货</w:t>
      </w:r>
      <w:r>
        <w:rPr>
          <w:rFonts w:hint="eastAsia"/>
          <w:color w:val="000000"/>
        </w:rPr>
        <w:t>地点：   </w:t>
      </w:r>
    </w:p>
    <w:p w14:paraId="6CF14E29">
      <w:pPr>
        <w:pStyle w:val="24"/>
        <w:numPr>
          <w:ilvl w:val="0"/>
          <w:numId w:val="7"/>
        </w:numPr>
        <w:spacing w:beforeAutospacing="0" w:afterAutospacing="0" w:line="360" w:lineRule="auto"/>
        <w:jc w:val="both"/>
        <w:rPr>
          <w:color w:val="000000"/>
        </w:rPr>
      </w:pPr>
      <w:r>
        <w:rPr>
          <w:rFonts w:hint="eastAsia"/>
          <w:color w:val="000000"/>
        </w:rPr>
        <w:t xml:space="preserve">服务质量  </w:t>
      </w:r>
    </w:p>
    <w:p w14:paraId="00507B07">
      <w:pPr>
        <w:pStyle w:val="24"/>
        <w:spacing w:beforeAutospacing="0" w:afterAutospacing="0" w:line="360" w:lineRule="auto"/>
        <w:jc w:val="both"/>
        <w:rPr>
          <w:color w:val="000000"/>
        </w:rPr>
      </w:pPr>
      <w:r>
        <w:rPr>
          <w:rFonts w:hint="eastAsia"/>
          <w:color w:val="000000"/>
        </w:rPr>
        <w:t>乙方提供的服务应符合国家（或行业）规定标准。 </w:t>
      </w:r>
    </w:p>
    <w:p w14:paraId="2A8C6009">
      <w:pPr>
        <w:pStyle w:val="24"/>
        <w:numPr>
          <w:ilvl w:val="0"/>
          <w:numId w:val="7"/>
        </w:numPr>
        <w:spacing w:beforeAutospacing="0" w:afterAutospacing="0" w:line="360" w:lineRule="auto"/>
        <w:jc w:val="both"/>
        <w:rPr>
          <w:color w:val="000000"/>
        </w:rPr>
      </w:pPr>
      <w:r>
        <w:rPr>
          <w:rFonts w:hint="eastAsia"/>
          <w:color w:val="000000"/>
        </w:rPr>
        <w:t xml:space="preserve">知识产权  </w:t>
      </w:r>
    </w:p>
    <w:p w14:paraId="664CFE5A">
      <w:pPr>
        <w:pStyle w:val="24"/>
        <w:spacing w:beforeAutospacing="0" w:afterAutospacing="0" w:line="360" w:lineRule="auto"/>
        <w:jc w:val="both"/>
        <w:rPr>
          <w:color w:val="000000"/>
        </w:rPr>
      </w:pPr>
      <w:r>
        <w:rPr>
          <w:rFonts w:hint="eastAsia"/>
          <w:color w:val="000000"/>
        </w:rPr>
        <w:t>乙方应保证甲方所使用的服务成果免受第三方提出的侵犯其知识产权的诉讼。   </w:t>
      </w:r>
    </w:p>
    <w:p w14:paraId="32C6BD0E">
      <w:pPr>
        <w:pStyle w:val="24"/>
        <w:numPr>
          <w:ilvl w:val="0"/>
          <w:numId w:val="7"/>
        </w:numPr>
        <w:spacing w:beforeAutospacing="0" w:afterAutospacing="0" w:line="360" w:lineRule="auto"/>
        <w:jc w:val="both"/>
        <w:rPr>
          <w:color w:val="000000"/>
          <w:kern w:val="2"/>
        </w:rPr>
      </w:pPr>
      <w:r>
        <w:rPr>
          <w:rFonts w:hint="eastAsia"/>
          <w:color w:val="000000"/>
          <w:kern w:val="2"/>
        </w:rPr>
        <w:t xml:space="preserve">违约条款  </w:t>
      </w:r>
    </w:p>
    <w:p w14:paraId="0D4F8D51">
      <w:pPr>
        <w:pStyle w:val="24"/>
        <w:numPr>
          <w:ilvl w:val="0"/>
          <w:numId w:val="10"/>
        </w:numPr>
        <w:spacing w:beforeAutospacing="0" w:afterAutospacing="0" w:line="360" w:lineRule="auto"/>
        <w:jc w:val="both"/>
        <w:rPr>
          <w:color w:val="000000"/>
          <w:kern w:val="2"/>
        </w:rPr>
      </w:pPr>
      <w:r>
        <w:rPr>
          <w:rFonts w:hint="eastAsia"/>
          <w:color w:val="000000"/>
          <w:kern w:val="2"/>
        </w:rPr>
        <w:t>乙方延迟提供服务，每延迟     日，按合同金额的         支付违约金。 </w:t>
      </w:r>
    </w:p>
    <w:p w14:paraId="3FED1DFD">
      <w:pPr>
        <w:pStyle w:val="24"/>
        <w:numPr>
          <w:ilvl w:val="0"/>
          <w:numId w:val="10"/>
        </w:numPr>
        <w:spacing w:beforeAutospacing="0" w:afterAutospacing="0" w:line="360" w:lineRule="auto"/>
        <w:jc w:val="both"/>
        <w:rPr>
          <w:color w:val="000000"/>
          <w:kern w:val="2"/>
        </w:rPr>
      </w:pPr>
      <w:r>
        <w:rPr>
          <w:rFonts w:hint="eastAsia"/>
          <w:color w:val="000000"/>
          <w:kern w:val="2"/>
        </w:rPr>
        <w:t xml:space="preserve">一方不按期履行合同，并经另一方提示后     日内仍不履行合同的，守约方有权解除合同，违约方要承担相应的法律责任。  </w:t>
      </w:r>
    </w:p>
    <w:p w14:paraId="06A44A48">
      <w:pPr>
        <w:pStyle w:val="24"/>
        <w:numPr>
          <w:ilvl w:val="0"/>
          <w:numId w:val="10"/>
        </w:numPr>
        <w:spacing w:beforeAutospacing="0" w:afterAutospacing="0" w:line="360" w:lineRule="auto"/>
        <w:jc w:val="both"/>
        <w:rPr>
          <w:color w:val="000000"/>
          <w:kern w:val="2"/>
        </w:rPr>
      </w:pPr>
      <w:r>
        <w:rPr>
          <w:rFonts w:hint="eastAsia"/>
          <w:color w:val="000000"/>
          <w:kern w:val="2"/>
        </w:rPr>
        <w:t xml:space="preserve">如因一方违约，双方未能就赔偿损失达成协议，引起诉讼或仲裁时，违约方除应赔偿对方经济损失外，还应承担因诉讼或仲裁所支付的律师代理费等相关费用。  </w:t>
      </w:r>
    </w:p>
    <w:p w14:paraId="67C257B0">
      <w:pPr>
        <w:pStyle w:val="24"/>
        <w:numPr>
          <w:ilvl w:val="0"/>
          <w:numId w:val="10"/>
        </w:numPr>
        <w:spacing w:beforeAutospacing="0" w:afterAutospacing="0" w:line="360" w:lineRule="auto"/>
        <w:jc w:val="both"/>
        <w:rPr>
          <w:color w:val="000000"/>
          <w:kern w:val="2"/>
        </w:rPr>
      </w:pPr>
      <w:r>
        <w:rPr>
          <w:rFonts w:hint="eastAsia"/>
          <w:color w:val="000000"/>
          <w:kern w:val="2"/>
        </w:rPr>
        <w:t xml:space="preserve">其它应承担的违约责任，以《中华人民共和国民法典》和其它有关法律、法规规定为准，无相关规定的，双方协商解决。  </w:t>
      </w:r>
    </w:p>
    <w:p w14:paraId="25AAE93C">
      <w:pPr>
        <w:pStyle w:val="24"/>
        <w:numPr>
          <w:ilvl w:val="0"/>
          <w:numId w:val="10"/>
        </w:numPr>
        <w:spacing w:beforeAutospacing="0" w:afterAutospacing="0" w:line="360" w:lineRule="auto"/>
        <w:jc w:val="both"/>
        <w:rPr>
          <w:color w:val="000000"/>
          <w:kern w:val="2"/>
        </w:rPr>
      </w:pPr>
      <w:r>
        <w:rPr>
          <w:rFonts w:hint="eastAsia"/>
          <w:color w:val="000000"/>
          <w:kern w:val="2"/>
        </w:rPr>
        <w:t>按照本合同规定应该偿付的违约金、赔偿金等，应当在明确责任后     日内，按银行规定或双方商定的结算办法付清，否则按逾期付款处理。</w:t>
      </w:r>
    </w:p>
    <w:p w14:paraId="28C264A9">
      <w:pPr>
        <w:pStyle w:val="24"/>
        <w:numPr>
          <w:ilvl w:val="0"/>
          <w:numId w:val="7"/>
        </w:numPr>
        <w:spacing w:beforeAutospacing="0" w:afterAutospacing="0" w:line="360" w:lineRule="auto"/>
        <w:jc w:val="both"/>
        <w:rPr>
          <w:color w:val="000000"/>
          <w:kern w:val="2"/>
        </w:rPr>
      </w:pPr>
      <w:r>
        <w:rPr>
          <w:rFonts w:hint="eastAsia"/>
          <w:color w:val="000000"/>
          <w:kern w:val="2"/>
        </w:rPr>
        <w:t>不可抗力条款</w:t>
      </w:r>
    </w:p>
    <w:p w14:paraId="449C7445">
      <w:pPr>
        <w:pStyle w:val="24"/>
        <w:spacing w:beforeAutospacing="0" w:afterAutospacing="0" w:line="360" w:lineRule="auto"/>
        <w:jc w:val="both"/>
        <w:rPr>
          <w:color w:val="000000"/>
          <w:kern w:val="2"/>
        </w:rPr>
      </w:pPr>
      <w:r>
        <w:rPr>
          <w:rFonts w:hint="eastAsia"/>
          <w:color w:val="000000"/>
          <w:kern w:val="2"/>
        </w:rPr>
        <w:t>因不可抗力致使一方不能及时或完全履行合同的，应及时通知招标代理机构及另一方，双方互不承担责任，并在     天内提供有关不可抗力的相应证明。合同未履行部分是否继续履行、如何履行等问题，可由双方协商解决。</w:t>
      </w:r>
    </w:p>
    <w:p w14:paraId="412562D8">
      <w:pPr>
        <w:pStyle w:val="24"/>
        <w:numPr>
          <w:ilvl w:val="0"/>
          <w:numId w:val="7"/>
        </w:numPr>
        <w:spacing w:beforeAutospacing="0" w:afterAutospacing="0" w:line="360" w:lineRule="auto"/>
        <w:jc w:val="both"/>
        <w:rPr>
          <w:color w:val="000000"/>
          <w:kern w:val="2"/>
        </w:rPr>
      </w:pPr>
      <w:r>
        <w:rPr>
          <w:rFonts w:hint="eastAsia"/>
          <w:color w:val="000000"/>
          <w:kern w:val="2"/>
        </w:rPr>
        <w:t>争议的解决方式</w:t>
      </w:r>
    </w:p>
    <w:p w14:paraId="524DC1E6">
      <w:pPr>
        <w:pStyle w:val="24"/>
        <w:spacing w:beforeAutospacing="0" w:afterAutospacing="0" w:line="360" w:lineRule="auto"/>
        <w:jc w:val="both"/>
        <w:rPr>
          <w:color w:val="000000"/>
          <w:kern w:val="2"/>
        </w:rPr>
      </w:pPr>
      <w:r>
        <w:rPr>
          <w:rFonts w:hint="eastAsia"/>
          <w:color w:val="000000"/>
          <w:kern w:val="2"/>
        </w:rPr>
        <w:t>合同发生纠纷时，双方应协商解决，协商不成可以采用下列     方式解决： </w:t>
      </w:r>
    </w:p>
    <w:p w14:paraId="0C146EB2">
      <w:pPr>
        <w:pStyle w:val="24"/>
        <w:numPr>
          <w:ilvl w:val="0"/>
          <w:numId w:val="11"/>
        </w:numPr>
        <w:spacing w:beforeAutospacing="0" w:afterAutospacing="0" w:line="360" w:lineRule="auto"/>
        <w:jc w:val="both"/>
        <w:rPr>
          <w:color w:val="000000"/>
          <w:kern w:val="2"/>
        </w:rPr>
      </w:pPr>
      <w:r>
        <w:rPr>
          <w:rFonts w:hint="eastAsia"/>
          <w:color w:val="000000"/>
          <w:kern w:val="2"/>
        </w:rPr>
        <w:t>提交            仲裁委员会仲裁； </w:t>
      </w:r>
    </w:p>
    <w:p w14:paraId="06E769DA">
      <w:pPr>
        <w:pStyle w:val="24"/>
        <w:numPr>
          <w:ilvl w:val="0"/>
          <w:numId w:val="11"/>
        </w:numPr>
        <w:spacing w:beforeAutospacing="0" w:afterAutospacing="0" w:line="360" w:lineRule="auto"/>
        <w:jc w:val="both"/>
        <w:rPr>
          <w:color w:val="000000"/>
          <w:kern w:val="2"/>
        </w:rPr>
      </w:pPr>
      <w:r>
        <w:rPr>
          <w:rFonts w:hint="eastAsia"/>
          <w:color w:val="000000"/>
          <w:kern w:val="2"/>
        </w:rPr>
        <w:t>向              人民法院诉讼。</w:t>
      </w:r>
    </w:p>
    <w:p w14:paraId="76D472BC">
      <w:pPr>
        <w:pStyle w:val="24"/>
        <w:numPr>
          <w:ilvl w:val="0"/>
          <w:numId w:val="7"/>
        </w:numPr>
        <w:spacing w:beforeAutospacing="0" w:afterAutospacing="0" w:line="360" w:lineRule="auto"/>
        <w:jc w:val="both"/>
        <w:rPr>
          <w:color w:val="000000"/>
          <w:kern w:val="2"/>
        </w:rPr>
      </w:pPr>
      <w:r>
        <w:rPr>
          <w:rFonts w:hint="eastAsia"/>
          <w:color w:val="000000"/>
          <w:kern w:val="2"/>
        </w:rPr>
        <w:t xml:space="preserve">补充协议  </w:t>
      </w:r>
    </w:p>
    <w:p w14:paraId="4F428C62">
      <w:pPr>
        <w:pStyle w:val="24"/>
        <w:spacing w:beforeAutospacing="0" w:afterAutospacing="0" w:line="360" w:lineRule="auto"/>
        <w:ind w:firstLine="480" w:firstLineChars="200"/>
        <w:jc w:val="both"/>
        <w:rPr>
          <w:color w:val="000000"/>
          <w:kern w:val="2"/>
        </w:rPr>
      </w:pPr>
      <w:r>
        <w:rPr>
          <w:rFonts w:hint="eastAsia"/>
          <w:color w:val="000000"/>
          <w:kern w:val="2"/>
        </w:rPr>
        <w:t>合同未尽事宜，经双方协商可签订补充协议，所签订的补充协议与本合同具有同等的法律效力，补充协议的生效应符合本合同的有关规定。合同补充条款应同时报政府采购监督管理部门备案。</w:t>
      </w:r>
    </w:p>
    <w:p w14:paraId="47106FA1">
      <w:pPr>
        <w:pStyle w:val="24"/>
        <w:widowControl w:val="0"/>
        <w:numPr>
          <w:ilvl w:val="0"/>
          <w:numId w:val="7"/>
        </w:numPr>
        <w:spacing w:beforeAutospacing="0" w:afterAutospacing="0" w:line="360" w:lineRule="auto"/>
        <w:jc w:val="both"/>
        <w:rPr>
          <w:color w:val="000000"/>
          <w:kern w:val="2"/>
        </w:rPr>
      </w:pPr>
      <w:r>
        <w:rPr>
          <w:rFonts w:hint="eastAsia"/>
          <w:color w:val="000000"/>
          <w:kern w:val="2"/>
        </w:rPr>
        <w:t xml:space="preserve">合同保存  </w:t>
      </w:r>
    </w:p>
    <w:p w14:paraId="5C976022">
      <w:pPr>
        <w:pStyle w:val="24"/>
        <w:widowControl w:val="0"/>
        <w:spacing w:beforeAutospacing="0" w:afterAutospacing="0" w:line="360" w:lineRule="auto"/>
        <w:jc w:val="both"/>
        <w:rPr>
          <w:color w:val="000000"/>
          <w:kern w:val="2"/>
        </w:rPr>
      </w:pPr>
      <w:r>
        <w:rPr>
          <w:rFonts w:hint="eastAsia"/>
          <w:color w:val="000000"/>
          <w:kern w:val="2"/>
        </w:rPr>
        <w:t xml:space="preserve">本合同一式   份，甲方   份，乙方   份，招标代理机构   份 ，    市（县、区）财政部门   份。  </w:t>
      </w:r>
    </w:p>
    <w:p w14:paraId="364FE0BA">
      <w:pPr>
        <w:pStyle w:val="24"/>
        <w:widowControl w:val="0"/>
        <w:numPr>
          <w:ilvl w:val="0"/>
          <w:numId w:val="7"/>
        </w:numPr>
        <w:spacing w:beforeAutospacing="0" w:afterAutospacing="0" w:line="360" w:lineRule="auto"/>
        <w:jc w:val="both"/>
        <w:rPr>
          <w:color w:val="000000"/>
          <w:kern w:val="2"/>
        </w:rPr>
      </w:pPr>
      <w:r>
        <w:rPr>
          <w:rFonts w:hint="eastAsia"/>
          <w:color w:val="000000"/>
          <w:kern w:val="2"/>
        </w:rPr>
        <w:t xml:space="preserve">其他需要补充的内容：  </w:t>
      </w:r>
    </w:p>
    <w:p w14:paraId="316D1A62">
      <w:pPr>
        <w:pStyle w:val="24"/>
        <w:widowControl w:val="0"/>
        <w:numPr>
          <w:ilvl w:val="0"/>
          <w:numId w:val="12"/>
        </w:numPr>
        <w:spacing w:beforeAutospacing="0" w:afterAutospacing="0" w:line="360" w:lineRule="auto"/>
        <w:jc w:val="both"/>
        <w:rPr>
          <w:color w:val="000000"/>
          <w:kern w:val="2"/>
        </w:rPr>
      </w:pPr>
      <w:r>
        <w:rPr>
          <w:rFonts w:hint="eastAsia"/>
          <w:color w:val="000000"/>
          <w:kern w:val="2"/>
        </w:rPr>
        <w:t xml:space="preserve">乙方应按招标文件、投标文件及乙方在谈判过程中做出的书面说明或承诺提供及时、快速、优质的服务。  </w:t>
      </w:r>
    </w:p>
    <w:p w14:paraId="419A0123">
      <w:pPr>
        <w:pStyle w:val="24"/>
        <w:widowControl w:val="0"/>
        <w:numPr>
          <w:ilvl w:val="0"/>
          <w:numId w:val="12"/>
        </w:numPr>
        <w:spacing w:beforeAutospacing="0" w:afterAutospacing="0" w:line="360" w:lineRule="auto"/>
        <w:jc w:val="both"/>
        <w:rPr>
          <w:color w:val="000000"/>
          <w:kern w:val="2"/>
        </w:rPr>
      </w:pPr>
      <w:r>
        <w:rPr>
          <w:rFonts w:hint="eastAsia"/>
          <w:color w:val="000000"/>
          <w:kern w:val="2"/>
        </w:rPr>
        <w:t>其他服务内容：  </w:t>
      </w:r>
    </w:p>
    <w:p w14:paraId="4C2A65E5">
      <w:pPr>
        <w:spacing w:line="360" w:lineRule="auto"/>
        <w:ind w:firstLine="240" w:firstLineChars="100"/>
        <w:rPr>
          <w:rFonts w:ascii="宋体" w:hAnsi="宋体" w:cs="宋体"/>
          <w:color w:val="000000"/>
          <w:sz w:val="24"/>
        </w:rPr>
      </w:pPr>
    </w:p>
    <w:p w14:paraId="1193D54A">
      <w:pPr>
        <w:spacing w:line="360" w:lineRule="auto"/>
        <w:ind w:firstLine="240" w:firstLineChars="100"/>
        <w:rPr>
          <w:rFonts w:ascii="宋体" w:hAnsi="宋体" w:cs="宋体"/>
          <w:color w:val="000000"/>
          <w:sz w:val="24"/>
        </w:rPr>
      </w:pPr>
    </w:p>
    <w:p w14:paraId="6F6A3C37">
      <w:pPr>
        <w:spacing w:line="360" w:lineRule="auto"/>
        <w:rPr>
          <w:rFonts w:ascii="宋体" w:hAnsi="宋体" w:cs="宋体"/>
          <w:color w:val="000000"/>
          <w:sz w:val="24"/>
        </w:rPr>
      </w:pPr>
      <w:r>
        <w:rPr>
          <w:rFonts w:hint="eastAsia" w:ascii="宋体" w:hAnsi="宋体" w:cs="宋体"/>
          <w:color w:val="000000"/>
          <w:sz w:val="24"/>
        </w:rPr>
        <w:t>需方：                                  供方：</w:t>
      </w:r>
    </w:p>
    <w:p w14:paraId="5994FCFF">
      <w:pPr>
        <w:spacing w:line="360" w:lineRule="auto"/>
        <w:rPr>
          <w:rFonts w:ascii="宋体" w:hAnsi="宋体" w:cs="宋体"/>
          <w:color w:val="000000"/>
          <w:sz w:val="24"/>
        </w:rPr>
      </w:pPr>
      <w:r>
        <w:rPr>
          <w:rFonts w:hint="eastAsia" w:ascii="宋体" w:hAnsi="宋体" w:cs="宋体"/>
          <w:color w:val="000000"/>
          <w:sz w:val="24"/>
        </w:rPr>
        <w:t>地址：                                  地址：</w:t>
      </w:r>
    </w:p>
    <w:p w14:paraId="43BA9595">
      <w:pPr>
        <w:spacing w:line="360" w:lineRule="auto"/>
        <w:rPr>
          <w:rFonts w:ascii="宋体" w:hAnsi="宋体" w:cs="宋体"/>
          <w:color w:val="000000"/>
          <w:sz w:val="24"/>
        </w:rPr>
      </w:pPr>
      <w:r>
        <w:rPr>
          <w:rFonts w:hint="eastAsia" w:ascii="宋体" w:hAnsi="宋体" w:cs="宋体"/>
          <w:color w:val="000000"/>
          <w:sz w:val="24"/>
        </w:rPr>
        <w:t xml:space="preserve">法定代表人 ：                           法定代表人 :              </w:t>
      </w:r>
    </w:p>
    <w:p w14:paraId="680951E3">
      <w:pPr>
        <w:spacing w:line="360" w:lineRule="auto"/>
        <w:rPr>
          <w:rFonts w:ascii="宋体" w:hAnsi="宋体" w:cs="宋体"/>
          <w:color w:val="000000"/>
          <w:sz w:val="24"/>
        </w:rPr>
      </w:pPr>
      <w:r>
        <w:rPr>
          <w:rFonts w:hint="eastAsia" w:ascii="宋体" w:hAnsi="宋体" w:cs="宋体"/>
          <w:color w:val="000000"/>
          <w:sz w:val="24"/>
        </w:rPr>
        <w:t>或授权委托人：                          或授权代理人：</w:t>
      </w:r>
    </w:p>
    <w:p w14:paraId="48976CB9">
      <w:pPr>
        <w:spacing w:line="360" w:lineRule="auto"/>
        <w:rPr>
          <w:rFonts w:ascii="宋体" w:hAnsi="宋体" w:cs="宋体"/>
          <w:color w:val="000000"/>
          <w:sz w:val="24"/>
        </w:rPr>
      </w:pPr>
      <w:r>
        <w:rPr>
          <w:rFonts w:hint="eastAsia" w:ascii="宋体" w:hAnsi="宋体" w:cs="宋体"/>
          <w:color w:val="000000"/>
          <w:sz w:val="24"/>
        </w:rPr>
        <w:t>签字日期：                              签字日期：</w:t>
      </w:r>
    </w:p>
    <w:p w14:paraId="7432C753">
      <w:pPr>
        <w:spacing w:line="360" w:lineRule="auto"/>
        <w:rPr>
          <w:rFonts w:ascii="宋体" w:hAnsi="宋体" w:cs="宋体"/>
          <w:color w:val="000000"/>
          <w:sz w:val="24"/>
        </w:rPr>
      </w:pPr>
      <w:r>
        <w:rPr>
          <w:rFonts w:hint="eastAsia" w:ascii="宋体" w:hAnsi="宋体" w:cs="宋体"/>
          <w:color w:val="000000"/>
          <w:sz w:val="24"/>
        </w:rPr>
        <w:t>邮政编码：                              邮政编码：</w:t>
      </w:r>
    </w:p>
    <w:p w14:paraId="5B15BE5A">
      <w:pPr>
        <w:spacing w:line="360" w:lineRule="auto"/>
        <w:rPr>
          <w:rFonts w:ascii="宋体" w:hAnsi="宋体" w:cs="宋体"/>
          <w:color w:val="000000"/>
          <w:sz w:val="24"/>
        </w:rPr>
      </w:pPr>
      <w:r>
        <w:rPr>
          <w:rFonts w:hint="eastAsia" w:ascii="宋体" w:hAnsi="宋体" w:cs="宋体"/>
          <w:color w:val="000000"/>
          <w:sz w:val="24"/>
        </w:rPr>
        <w:t>电话：                                  电话：</w:t>
      </w:r>
    </w:p>
    <w:p w14:paraId="6C345EA1">
      <w:pPr>
        <w:spacing w:line="360" w:lineRule="auto"/>
        <w:rPr>
          <w:rFonts w:ascii="宋体" w:hAnsi="宋体" w:cs="宋体"/>
          <w:color w:val="000000"/>
          <w:sz w:val="24"/>
        </w:rPr>
      </w:pPr>
      <w:r>
        <w:rPr>
          <w:rFonts w:hint="eastAsia" w:ascii="宋体" w:hAnsi="宋体" w:cs="宋体"/>
          <w:color w:val="000000"/>
          <w:sz w:val="24"/>
        </w:rPr>
        <w:t>传真：                                  传真：</w:t>
      </w:r>
    </w:p>
    <w:p w14:paraId="301F41D2">
      <w:pPr>
        <w:spacing w:line="360" w:lineRule="auto"/>
        <w:rPr>
          <w:rFonts w:ascii="宋体" w:hAnsi="宋体" w:cs="宋体"/>
          <w:color w:val="000000"/>
          <w:sz w:val="24"/>
        </w:rPr>
      </w:pPr>
      <w:r>
        <w:rPr>
          <w:rFonts w:hint="eastAsia" w:ascii="宋体" w:hAnsi="宋体" w:cs="宋体"/>
          <w:color w:val="000000"/>
          <w:sz w:val="24"/>
        </w:rPr>
        <w:t>联系人：                                联系人：</w:t>
      </w:r>
    </w:p>
    <w:p w14:paraId="3A2CEE88">
      <w:pPr>
        <w:spacing w:line="360" w:lineRule="auto"/>
        <w:rPr>
          <w:rFonts w:ascii="宋体" w:hAnsi="宋体" w:cs="宋体"/>
          <w:color w:val="000000"/>
          <w:sz w:val="24"/>
        </w:rPr>
      </w:pPr>
      <w:r>
        <w:rPr>
          <w:rFonts w:hint="eastAsia" w:ascii="宋体" w:hAnsi="宋体" w:cs="宋体"/>
          <w:color w:val="000000"/>
          <w:sz w:val="24"/>
        </w:rPr>
        <w:t>开户银行：                              开户银行：</w:t>
      </w:r>
    </w:p>
    <w:p w14:paraId="68C797B1">
      <w:pPr>
        <w:spacing w:line="360" w:lineRule="auto"/>
        <w:rPr>
          <w:rFonts w:ascii="宋体" w:hAnsi="宋体" w:cs="宋体"/>
          <w:color w:val="000000"/>
          <w:sz w:val="24"/>
        </w:rPr>
      </w:pPr>
      <w:r>
        <w:rPr>
          <w:rFonts w:hint="eastAsia" w:ascii="宋体" w:hAnsi="宋体" w:cs="宋体"/>
          <w:color w:val="000000"/>
          <w:sz w:val="24"/>
        </w:rPr>
        <w:t>账户名称:                               账户名称：</w:t>
      </w:r>
    </w:p>
    <w:p w14:paraId="4C135BA9">
      <w:pPr>
        <w:spacing w:line="360" w:lineRule="auto"/>
        <w:rPr>
          <w:rFonts w:ascii="宋体" w:hAnsi="宋体" w:cs="宋体"/>
          <w:color w:val="000000"/>
          <w:sz w:val="24"/>
        </w:rPr>
      </w:pPr>
      <w:r>
        <w:rPr>
          <w:rFonts w:hint="eastAsia" w:ascii="宋体" w:hAnsi="宋体" w:cs="宋体"/>
          <w:color w:val="000000"/>
          <w:sz w:val="24"/>
        </w:rPr>
        <w:t>账号：                                  账号：</w:t>
      </w:r>
    </w:p>
    <w:p w14:paraId="1DB02DA0">
      <w:pPr>
        <w:spacing w:line="360" w:lineRule="auto"/>
        <w:rPr>
          <w:rFonts w:ascii="黑体" w:eastAsia="黑体"/>
          <w:b/>
          <w:color w:val="000000"/>
          <w:sz w:val="36"/>
          <w:szCs w:val="36"/>
        </w:rPr>
      </w:pPr>
      <w:r>
        <w:rPr>
          <w:rFonts w:hint="eastAsia" w:ascii="宋体" w:hAnsi="宋体" w:cs="宋体"/>
          <w:b/>
          <w:bCs/>
          <w:color w:val="000000"/>
          <w:sz w:val="24"/>
        </w:rPr>
        <w:t>注：本合同为简易版本，使用过程中，请结合项目特点，充实细化。</w:t>
      </w:r>
    </w:p>
    <w:p w14:paraId="0AD314B1">
      <w:pPr>
        <w:pStyle w:val="10"/>
      </w:pPr>
    </w:p>
    <w:p w14:paraId="5ECD7B4D"/>
    <w:p w14:paraId="0C00313C"/>
    <w:p w14:paraId="7E6D92B9"/>
    <w:p w14:paraId="4CA2D1CC"/>
    <w:p w14:paraId="1D574C10"/>
    <w:p w14:paraId="390DCA32"/>
    <w:p w14:paraId="6112A579"/>
    <w:p w14:paraId="2362ED79"/>
    <w:p w14:paraId="253CFE9F"/>
    <w:p w14:paraId="3000CE10"/>
    <w:p w14:paraId="29EE0D69"/>
    <w:p w14:paraId="2C854791"/>
    <w:p w14:paraId="10175806"/>
    <w:p w14:paraId="6A98A98E"/>
    <w:p w14:paraId="7DADA272"/>
    <w:p w14:paraId="093DE4E8"/>
    <w:p w14:paraId="0A0E78AB"/>
    <w:p w14:paraId="6837DF4E"/>
    <w:p w14:paraId="427EB377"/>
    <w:p w14:paraId="11B7A6F0">
      <w:pPr>
        <w:numPr>
          <w:ilvl w:val="0"/>
          <w:numId w:val="13"/>
        </w:numPr>
        <w:spacing w:line="360" w:lineRule="auto"/>
        <w:jc w:val="center"/>
        <w:rPr>
          <w:rFonts w:ascii="黑体" w:eastAsia="黑体"/>
          <w:b/>
          <w:sz w:val="36"/>
          <w:szCs w:val="36"/>
        </w:rPr>
      </w:pPr>
      <w:bookmarkStart w:id="3" w:name="_Toc137493721"/>
      <w:bookmarkStart w:id="4" w:name="_Toc356283733"/>
      <w:bookmarkStart w:id="5" w:name="_Toc142819438"/>
      <w:bookmarkStart w:id="6" w:name="_Toc419230801"/>
      <w:bookmarkStart w:id="7" w:name="_Toc155544236"/>
      <w:r>
        <w:rPr>
          <w:rFonts w:hint="eastAsia" w:ascii="黑体" w:eastAsia="黑体"/>
          <w:b/>
          <w:sz w:val="36"/>
          <w:szCs w:val="36"/>
        </w:rPr>
        <w:t>采购需求</w:t>
      </w:r>
    </w:p>
    <w:bookmarkEnd w:id="3"/>
    <w:bookmarkEnd w:id="4"/>
    <w:bookmarkEnd w:id="5"/>
    <w:bookmarkEnd w:id="6"/>
    <w:bookmarkEnd w:id="7"/>
    <w:tbl>
      <w:tblPr>
        <w:tblStyle w:val="28"/>
        <w:tblW w:w="9061" w:type="dxa"/>
        <w:jc w:val="center"/>
        <w:tblLayout w:type="fixed"/>
        <w:tblCellMar>
          <w:top w:w="0" w:type="dxa"/>
          <w:left w:w="108" w:type="dxa"/>
          <w:bottom w:w="0" w:type="dxa"/>
          <w:right w:w="108" w:type="dxa"/>
        </w:tblCellMar>
      </w:tblPr>
      <w:tblGrid>
        <w:gridCol w:w="721"/>
        <w:gridCol w:w="1462"/>
        <w:gridCol w:w="5406"/>
        <w:gridCol w:w="705"/>
        <w:gridCol w:w="767"/>
      </w:tblGrid>
      <w:tr w14:paraId="21E0C383">
        <w:tblPrEx>
          <w:tblCellMar>
            <w:top w:w="0" w:type="dxa"/>
            <w:left w:w="108" w:type="dxa"/>
            <w:bottom w:w="0" w:type="dxa"/>
            <w:right w:w="108" w:type="dxa"/>
          </w:tblCellMar>
        </w:tblPrEx>
        <w:trPr>
          <w:trHeight w:val="329" w:hRule="atLeast"/>
          <w:jc w:val="center"/>
        </w:trPr>
        <w:tc>
          <w:tcPr>
            <w:tcW w:w="721" w:type="dxa"/>
            <w:tcBorders>
              <w:top w:val="single" w:color="auto" w:sz="4" w:space="0"/>
              <w:left w:val="single" w:color="auto" w:sz="4" w:space="0"/>
              <w:bottom w:val="single" w:color="auto" w:sz="4" w:space="0"/>
              <w:right w:val="single" w:color="auto" w:sz="4" w:space="0"/>
            </w:tcBorders>
            <w:shd w:val="clear" w:color="000000" w:fill="D0CECE"/>
            <w:noWrap w:val="0"/>
            <w:vAlign w:val="center"/>
          </w:tcPr>
          <w:p w14:paraId="679E49B2">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序号</w:t>
            </w:r>
          </w:p>
        </w:tc>
        <w:tc>
          <w:tcPr>
            <w:tcW w:w="1462" w:type="dxa"/>
            <w:tcBorders>
              <w:top w:val="single" w:color="auto" w:sz="4" w:space="0"/>
              <w:left w:val="nil"/>
              <w:bottom w:val="single" w:color="auto" w:sz="4" w:space="0"/>
              <w:right w:val="single" w:color="auto" w:sz="4" w:space="0"/>
            </w:tcBorders>
            <w:shd w:val="clear" w:color="000000" w:fill="D0CECE"/>
            <w:noWrap w:val="0"/>
            <w:vAlign w:val="center"/>
          </w:tcPr>
          <w:p w14:paraId="656296E6">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产品名称</w:t>
            </w:r>
          </w:p>
        </w:tc>
        <w:tc>
          <w:tcPr>
            <w:tcW w:w="5406" w:type="dxa"/>
            <w:tcBorders>
              <w:top w:val="single" w:color="auto" w:sz="4" w:space="0"/>
              <w:left w:val="nil"/>
              <w:bottom w:val="single" w:color="auto" w:sz="4" w:space="0"/>
              <w:right w:val="single" w:color="auto" w:sz="4" w:space="0"/>
            </w:tcBorders>
            <w:shd w:val="clear" w:color="000000" w:fill="D0CECE"/>
            <w:noWrap w:val="0"/>
            <w:vAlign w:val="center"/>
          </w:tcPr>
          <w:p w14:paraId="7A2AA32E">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参数</w:t>
            </w:r>
          </w:p>
        </w:tc>
        <w:tc>
          <w:tcPr>
            <w:tcW w:w="705" w:type="dxa"/>
            <w:tcBorders>
              <w:top w:val="single" w:color="auto" w:sz="4" w:space="0"/>
              <w:left w:val="nil"/>
              <w:bottom w:val="single" w:color="auto" w:sz="4" w:space="0"/>
              <w:right w:val="single" w:color="auto" w:sz="4" w:space="0"/>
            </w:tcBorders>
            <w:shd w:val="clear" w:color="000000" w:fill="D0CECE"/>
            <w:noWrap w:val="0"/>
            <w:vAlign w:val="center"/>
          </w:tcPr>
          <w:p w14:paraId="5422A4B7">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数量</w:t>
            </w:r>
          </w:p>
        </w:tc>
        <w:tc>
          <w:tcPr>
            <w:tcW w:w="767" w:type="dxa"/>
            <w:tcBorders>
              <w:top w:val="single" w:color="auto" w:sz="4" w:space="0"/>
              <w:left w:val="nil"/>
              <w:bottom w:val="single" w:color="auto" w:sz="4" w:space="0"/>
              <w:right w:val="single" w:color="auto" w:sz="4" w:space="0"/>
            </w:tcBorders>
            <w:shd w:val="clear" w:color="000000" w:fill="D0CECE"/>
            <w:noWrap w:val="0"/>
            <w:vAlign w:val="center"/>
          </w:tcPr>
          <w:p w14:paraId="5B479831">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单位</w:t>
            </w:r>
          </w:p>
        </w:tc>
      </w:tr>
      <w:tr w14:paraId="6D827B2B">
        <w:tblPrEx>
          <w:tblCellMar>
            <w:top w:w="0" w:type="dxa"/>
            <w:left w:w="108" w:type="dxa"/>
            <w:bottom w:w="0" w:type="dxa"/>
            <w:right w:w="108" w:type="dxa"/>
          </w:tblCellMar>
        </w:tblPrEx>
        <w:trPr>
          <w:trHeight w:val="348" w:hRule="atLeast"/>
          <w:jc w:val="center"/>
        </w:trPr>
        <w:tc>
          <w:tcPr>
            <w:tcW w:w="72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F8D034">
            <w:pPr>
              <w:widowControl/>
              <w:jc w:val="center"/>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w:t>
            </w:r>
          </w:p>
        </w:tc>
        <w:tc>
          <w:tcPr>
            <w:tcW w:w="1462" w:type="dxa"/>
            <w:tcBorders>
              <w:top w:val="single" w:color="auto" w:sz="4" w:space="0"/>
              <w:left w:val="nil"/>
              <w:bottom w:val="single" w:color="auto" w:sz="4" w:space="0"/>
              <w:right w:val="single" w:color="auto" w:sz="4" w:space="0"/>
            </w:tcBorders>
            <w:shd w:val="clear" w:color="000000" w:fill="FFFFFF"/>
            <w:noWrap w:val="0"/>
            <w:vAlign w:val="center"/>
          </w:tcPr>
          <w:p w14:paraId="323DC44A">
            <w:pPr>
              <w:widowControl/>
              <w:jc w:val="center"/>
              <w:rPr>
                <w:rFonts w:hint="default" w:asciiTheme="majorEastAsia" w:hAnsiTheme="majorEastAsia" w:eastAsiaTheme="majorEastAsia" w:cstheme="majorEastAsia"/>
                <w:kern w:val="0"/>
                <w:sz w:val="24"/>
                <w:szCs w:val="24"/>
                <w:lang w:val="en-US" w:eastAsia="zh-CN"/>
              </w:rPr>
            </w:pPr>
            <w:r>
              <w:rPr>
                <w:rFonts w:hint="eastAsia" w:asciiTheme="majorEastAsia" w:hAnsiTheme="majorEastAsia" w:eastAsiaTheme="majorEastAsia" w:cstheme="majorEastAsia"/>
                <w:kern w:val="0"/>
                <w:sz w:val="24"/>
                <w:szCs w:val="24"/>
              </w:rPr>
              <w:t>干粉泡沫联用消防车</w:t>
            </w:r>
            <w:r>
              <w:rPr>
                <w:rFonts w:hint="eastAsia" w:asciiTheme="majorEastAsia" w:hAnsiTheme="majorEastAsia" w:eastAsiaTheme="majorEastAsia" w:cstheme="majorEastAsia"/>
                <w:kern w:val="0"/>
                <w:sz w:val="24"/>
                <w:szCs w:val="24"/>
                <w:lang w:eastAsia="zh-CN"/>
              </w:rPr>
              <w:t>（</w:t>
            </w:r>
            <w:r>
              <w:rPr>
                <w:rFonts w:hint="eastAsia" w:asciiTheme="majorEastAsia" w:hAnsiTheme="majorEastAsia" w:eastAsiaTheme="majorEastAsia" w:cstheme="majorEastAsia"/>
                <w:kern w:val="0"/>
                <w:sz w:val="24"/>
                <w:szCs w:val="24"/>
                <w:lang w:val="en-US" w:eastAsia="zh-CN"/>
              </w:rPr>
              <w:t>核心产品）</w:t>
            </w:r>
          </w:p>
        </w:tc>
        <w:tc>
          <w:tcPr>
            <w:tcW w:w="5406" w:type="dxa"/>
            <w:tcBorders>
              <w:top w:val="single" w:color="auto" w:sz="4" w:space="0"/>
              <w:left w:val="nil"/>
              <w:bottom w:val="single" w:color="auto" w:sz="4" w:space="0"/>
              <w:right w:val="single" w:color="auto" w:sz="4" w:space="0"/>
            </w:tcBorders>
            <w:shd w:val="clear" w:color="000000" w:fill="FFFFFF"/>
            <w:noWrap w:val="0"/>
            <w:vAlign w:val="center"/>
          </w:tcPr>
          <w:p w14:paraId="56DBD93F">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总体要求</w:t>
            </w:r>
          </w:p>
          <w:p w14:paraId="55776C1A">
            <w:pPr>
              <w:pStyle w:val="69"/>
              <w:numPr>
                <w:ilvl w:val="0"/>
                <w:numId w:val="15"/>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外形尺寸（长×宽×高）：≤11000</w:t>
            </w:r>
          </w:p>
          <w:p w14:paraId="12E279E2">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×2550×3900mm；</w:t>
            </w:r>
          </w:p>
          <w:p w14:paraId="195478B4">
            <w:pPr>
              <w:pStyle w:val="69"/>
              <w:numPr>
                <w:ilvl w:val="0"/>
                <w:numId w:val="15"/>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乘员人数：6人</w:t>
            </w:r>
          </w:p>
          <w:p w14:paraId="662C4460">
            <w:pPr>
              <w:pStyle w:val="69"/>
              <w:numPr>
                <w:ilvl w:val="0"/>
                <w:numId w:val="15"/>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灭火剂容量：水≥6000kg，泡沫≥</w:t>
            </w:r>
          </w:p>
          <w:p w14:paraId="540F2326">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2900kg，干粉≥3000kg；</w:t>
            </w:r>
          </w:p>
          <w:p w14:paraId="53A55C5A">
            <w:pPr>
              <w:pStyle w:val="69"/>
              <w:numPr>
                <w:ilvl w:val="0"/>
                <w:numId w:val="15"/>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消防泵流量：≥80L/s</w:t>
            </w:r>
          </w:p>
          <w:p w14:paraId="2ACD9C45">
            <w:pPr>
              <w:pStyle w:val="69"/>
              <w:numPr>
                <w:ilvl w:val="0"/>
                <w:numId w:val="15"/>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消防炮流量：≥64L/s</w:t>
            </w:r>
          </w:p>
          <w:p w14:paraId="753B6355">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底盘</w:t>
            </w:r>
          </w:p>
          <w:p w14:paraId="0AB29040">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品牌：国内知名品牌</w:t>
            </w:r>
          </w:p>
          <w:p w14:paraId="48E6AFF7">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驱动型式：6×4</w:t>
            </w:r>
          </w:p>
          <w:p w14:paraId="14018D2E">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轴距：≥4600+1400mm</w:t>
            </w:r>
          </w:p>
          <w:p w14:paraId="6436B6D5">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最高车速：≥90km/h</w:t>
            </w:r>
          </w:p>
          <w:p w14:paraId="5B615F60">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额定功率：≥320kW</w:t>
            </w:r>
          </w:p>
          <w:p w14:paraId="20090556">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排放标准：国六</w:t>
            </w:r>
          </w:p>
          <w:p w14:paraId="70494ED0">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制动系统：双回路气压制动；前盘后鼓</w:t>
            </w:r>
          </w:p>
          <w:p w14:paraId="66E775F6">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制动；ABS+EBS+ESC。</w:t>
            </w:r>
          </w:p>
          <w:p w14:paraId="36E2ADB4">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变速箱：手动变速箱</w:t>
            </w:r>
          </w:p>
          <w:p w14:paraId="29017CF0">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取力器：全功率取力器</w:t>
            </w:r>
          </w:p>
          <w:p w14:paraId="33265063">
            <w:pPr>
              <w:pStyle w:val="69"/>
              <w:numPr>
                <w:ilvl w:val="0"/>
                <w:numId w:val="16"/>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燃油箱：≥200L</w:t>
            </w:r>
          </w:p>
          <w:p w14:paraId="5FAD86D7">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驾驶室</w:t>
            </w:r>
          </w:p>
          <w:p w14:paraId="3FCB5B86">
            <w:pPr>
              <w:pStyle w:val="3"/>
              <w:numPr>
                <w:ilvl w:val="0"/>
                <w:numId w:val="17"/>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结构：双排四开门驾驶室</w:t>
            </w:r>
          </w:p>
          <w:p w14:paraId="1829E49D">
            <w:pPr>
              <w:pStyle w:val="3"/>
              <w:numPr>
                <w:ilvl w:val="0"/>
                <w:numId w:val="17"/>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座位设置：可乘坐6人（含驾驶员）；</w:t>
            </w:r>
          </w:p>
          <w:p w14:paraId="25D9634D">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后排设有≥2具空气呼吸气固定架</w:t>
            </w:r>
          </w:p>
          <w:p w14:paraId="74644335">
            <w:pPr>
              <w:pStyle w:val="3"/>
              <w:numPr>
                <w:ilvl w:val="0"/>
                <w:numId w:val="17"/>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驾驶室设备：设有取力器控制开关、</w:t>
            </w:r>
          </w:p>
          <w:p w14:paraId="0A392AEE">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100W警报器、排式警灯、照明灯开关，配备360°行车记录仪（内存卡不小于32G）、倒车雷达。</w:t>
            </w:r>
          </w:p>
          <w:p w14:paraId="7920BFB9">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消防泵</w:t>
            </w:r>
          </w:p>
          <w:p w14:paraId="0F29D99C">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品牌：国内知名品牌</w:t>
            </w:r>
          </w:p>
          <w:p w14:paraId="6881F928">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流量：≥80L/s</w:t>
            </w:r>
          </w:p>
          <w:p w14:paraId="7B932EC1">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压力：1.0MPa</w:t>
            </w:r>
          </w:p>
          <w:p w14:paraId="7C04D9DB">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材质：铝合金泵体，铝合金叶轮。</w:t>
            </w:r>
          </w:p>
          <w:p w14:paraId="6C0973B8">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真空引水形式：活塞式真空引水</w:t>
            </w:r>
          </w:p>
          <w:p w14:paraId="05EAFF8B">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吸水深度：≥7m</w:t>
            </w:r>
          </w:p>
          <w:p w14:paraId="402008F8">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引水时间：≤60s</w:t>
            </w:r>
          </w:p>
          <w:p w14:paraId="256B34F8">
            <w:pPr>
              <w:pStyle w:val="3"/>
              <w:numPr>
                <w:ilvl w:val="0"/>
                <w:numId w:val="18"/>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最大真空度：≥85kPa</w:t>
            </w:r>
          </w:p>
          <w:p w14:paraId="5E6CCEFF">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消防炮</w:t>
            </w:r>
          </w:p>
          <w:p w14:paraId="6DD9CF39">
            <w:pPr>
              <w:pStyle w:val="3"/>
              <w:numPr>
                <w:ilvl w:val="0"/>
                <w:numId w:val="19"/>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品牌：国内知名品牌</w:t>
            </w:r>
          </w:p>
          <w:p w14:paraId="5C4401B1">
            <w:pPr>
              <w:pStyle w:val="3"/>
              <w:numPr>
                <w:ilvl w:val="0"/>
                <w:numId w:val="19"/>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流量：≥64L/s</w:t>
            </w:r>
          </w:p>
          <w:p w14:paraId="380644E3">
            <w:pPr>
              <w:pStyle w:val="3"/>
              <w:numPr>
                <w:ilvl w:val="0"/>
                <w:numId w:val="19"/>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射程：水≥75m，泡沫≥70</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sz w:val="24"/>
                <w:szCs w:val="24"/>
              </w:rPr>
              <w:t>m</w:t>
            </w:r>
          </w:p>
          <w:p w14:paraId="60C21AD4">
            <w:pPr>
              <w:pStyle w:val="3"/>
              <w:numPr>
                <w:ilvl w:val="0"/>
                <w:numId w:val="19"/>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操作方式：手动操作</w:t>
            </w:r>
          </w:p>
          <w:p w14:paraId="5E3F51B4">
            <w:pPr>
              <w:pStyle w:val="3"/>
              <w:numPr>
                <w:ilvl w:val="0"/>
                <w:numId w:val="19"/>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水平旋转角度：≥300°</w:t>
            </w:r>
          </w:p>
          <w:p w14:paraId="4A726819">
            <w:pPr>
              <w:pStyle w:val="3"/>
              <w:numPr>
                <w:ilvl w:val="0"/>
                <w:numId w:val="19"/>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俯仰角度：≥-10°～70°</w:t>
            </w:r>
          </w:p>
          <w:p w14:paraId="161D2008">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泡沫比例混合器</w:t>
            </w:r>
          </w:p>
          <w:p w14:paraId="0943837D">
            <w:pPr>
              <w:pStyle w:val="3"/>
              <w:numPr>
                <w:ilvl w:val="0"/>
                <w:numId w:val="20"/>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型式：负压环泵式</w:t>
            </w:r>
          </w:p>
          <w:p w14:paraId="0728D7FB">
            <w:pPr>
              <w:pStyle w:val="3"/>
              <w:numPr>
                <w:ilvl w:val="0"/>
                <w:numId w:val="20"/>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泡沫比例：6%</w:t>
            </w:r>
          </w:p>
          <w:p w14:paraId="222397D6">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液罐</w:t>
            </w:r>
          </w:p>
          <w:p w14:paraId="319C4B3D">
            <w:pPr>
              <w:pStyle w:val="69"/>
              <w:numPr>
                <w:ilvl w:val="0"/>
                <w:numId w:val="21"/>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结构：焊接结构，内设纵、橫防波板；</w:t>
            </w:r>
          </w:p>
          <w:p w14:paraId="1AE226D8">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在吸水口应处设有滤网。</w:t>
            </w:r>
          </w:p>
          <w:p w14:paraId="7735A0D2">
            <w:pPr>
              <w:pStyle w:val="69"/>
              <w:numPr>
                <w:ilvl w:val="0"/>
                <w:numId w:val="21"/>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载液量：水≥6000kg，泡沫≥2900kg</w:t>
            </w:r>
          </w:p>
          <w:p w14:paraId="3C6B6400">
            <w:pPr>
              <w:pStyle w:val="69"/>
              <w:numPr>
                <w:ilvl w:val="0"/>
                <w:numId w:val="21"/>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材质：泡沫罐采用不锈钢，水罐采用优</w:t>
            </w:r>
          </w:p>
          <w:p w14:paraId="1047A15F">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质碳钢，罐体内表面需采用防腐材料喷涂。</w:t>
            </w:r>
          </w:p>
          <w:p w14:paraId="580B2B06">
            <w:pPr>
              <w:pStyle w:val="69"/>
              <w:numPr>
                <w:ilvl w:val="0"/>
                <w:numId w:val="21"/>
              </w:numPr>
              <w:spacing w:line="360" w:lineRule="auto"/>
              <w:ind w:firstLine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液罐设备：2个≥400mm人孔，带有快</w:t>
            </w:r>
          </w:p>
          <w:p w14:paraId="18369556">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速锁紧与开启及卸荷装置的人孔盖；1个溢流装置；2个液位器；1个泡沫罐真空活门；2个罐底集液槽及带有阀门控制启闭的排污口；设有外接压力水源注水口。</w:t>
            </w:r>
          </w:p>
          <w:p w14:paraId="6F85E144">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管路系统</w:t>
            </w:r>
          </w:p>
          <w:p w14:paraId="080C65BA">
            <w:pPr>
              <w:pStyle w:val="3"/>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val="0"/>
                <w:sz w:val="24"/>
                <w:szCs w:val="24"/>
              </w:rPr>
              <w:t>管路材质：泡沫管路及阀门采用不锈钢和其他防腐材料，其余管线采用优质碳钢。</w:t>
            </w:r>
          </w:p>
          <w:p w14:paraId="36BF5B74">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内进水管路：设有1个DN150后进水管路，由罐体进入消防泵，装有蝶阀，连接液罐与水泵。</w:t>
            </w:r>
          </w:p>
          <w:p w14:paraId="2E99BDF8">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外吸水管路：泵房后部设有≥2个DN150吸水口，装有手动蝶阀，接扣密封。</w:t>
            </w:r>
          </w:p>
          <w:p w14:paraId="27572629">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外注水管路：车厢左右两侧各有≥2个DN80外注水管路，手动阀门控制，可向罐内注水。</w:t>
            </w:r>
          </w:p>
          <w:p w14:paraId="43898898">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出水管路：泵房左右两侧各设置≥2个DN80压力出水接口，设有球阀、管牙及闷盖。</w:t>
            </w:r>
          </w:p>
          <w:p w14:paraId="30C78F6F">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泡沫管路：泵房设有1个DN50泡沫外注口和1个DN50泡沫外吸口，配有管牙闷盖。</w:t>
            </w:r>
          </w:p>
          <w:p w14:paraId="4F051877">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干粉氮气系统</w:t>
            </w:r>
          </w:p>
          <w:p w14:paraId="317C31DE">
            <w:pPr>
              <w:pStyle w:val="3"/>
              <w:numPr>
                <w:ilvl w:val="0"/>
                <w:numId w:val="22"/>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干粉罐</w:t>
            </w:r>
          </w:p>
          <w:p w14:paraId="012C348B">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材 质：Q345R</w:t>
            </w:r>
          </w:p>
          <w:p w14:paraId="3C17BBC4">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装粉量:≥3000kg</w:t>
            </w:r>
          </w:p>
          <w:p w14:paraId="555149BB">
            <w:pPr>
              <w:pStyle w:val="3"/>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val="0"/>
                <w:sz w:val="24"/>
                <w:szCs w:val="24"/>
              </w:rPr>
              <w:t>工作压力：0.5～1.4MPa</w:t>
            </w:r>
          </w:p>
          <w:p w14:paraId="76F701D7">
            <w:pPr>
              <w:pStyle w:val="3"/>
              <w:numPr>
                <w:ilvl w:val="0"/>
                <w:numId w:val="22"/>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氮气瓶</w:t>
            </w:r>
          </w:p>
          <w:p w14:paraId="0D07B0C5">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数量:≥8只</w:t>
            </w:r>
          </w:p>
          <w:p w14:paraId="2609C67C">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容积:≥80（L/只）</w:t>
            </w:r>
          </w:p>
          <w:p w14:paraId="4559F87A">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工作压力:15</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sz w:val="24"/>
                <w:szCs w:val="24"/>
              </w:rPr>
              <w:t>MPa</w:t>
            </w:r>
          </w:p>
          <w:p w14:paraId="4FD1F51F">
            <w:pPr>
              <w:pStyle w:val="3"/>
              <w:numPr>
                <w:ilvl w:val="0"/>
                <w:numId w:val="22"/>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干粉炮</w:t>
            </w:r>
          </w:p>
          <w:p w14:paraId="4742FF2F">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品牌：国内知名品牌</w:t>
            </w:r>
          </w:p>
          <w:p w14:paraId="0EB7BC73">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喷射强度:≥40</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sz w:val="24"/>
                <w:szCs w:val="24"/>
              </w:rPr>
              <w:t>kg/s</w:t>
            </w:r>
            <w:r>
              <w:rPr>
                <w:rFonts w:hint="eastAsia" w:asciiTheme="majorEastAsia" w:hAnsiTheme="majorEastAsia" w:eastAsiaTheme="majorEastAsia" w:cstheme="majorEastAsia"/>
                <w:b w:val="0"/>
                <w:bCs w:val="0"/>
                <w:sz w:val="24"/>
                <w:szCs w:val="24"/>
              </w:rPr>
              <w:t xml:space="preserve"> </w:t>
            </w:r>
          </w:p>
          <w:p w14:paraId="3BA5D0B1">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射程：≥40</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sz w:val="24"/>
                <w:szCs w:val="24"/>
              </w:rPr>
              <w:t>m</w:t>
            </w:r>
          </w:p>
          <w:p w14:paraId="1DB810E9">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干粉剩余率：≤15％</w:t>
            </w:r>
          </w:p>
          <w:p w14:paraId="4A7D4865">
            <w:pPr>
              <w:pStyle w:val="3"/>
              <w:numPr>
                <w:ilvl w:val="0"/>
                <w:numId w:val="22"/>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干粉卷盘（带枪）</w:t>
            </w:r>
          </w:p>
          <w:p w14:paraId="53C8BD8C">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数量：       1套</w:t>
            </w:r>
          </w:p>
          <w:p w14:paraId="3C738020">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流量：      ≥2.5(kg/s)</w:t>
            </w:r>
          </w:p>
          <w:p w14:paraId="5DD03E6B">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射程：       ≥10</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sz w:val="24"/>
                <w:szCs w:val="24"/>
              </w:rPr>
              <w:t>m</w:t>
            </w:r>
          </w:p>
          <w:p w14:paraId="2D2F1E50">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胶管长度：   ≥30</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sz w:val="24"/>
                <w:szCs w:val="24"/>
              </w:rPr>
              <w:t>m</w:t>
            </w:r>
          </w:p>
          <w:p w14:paraId="4076BF44">
            <w:pPr>
              <w:pStyle w:val="3"/>
              <w:numPr>
                <w:ilvl w:val="0"/>
                <w:numId w:val="22"/>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减压器</w:t>
            </w:r>
          </w:p>
          <w:p w14:paraId="6059A031">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数  量：         1只</w:t>
            </w:r>
          </w:p>
          <w:p w14:paraId="4510F066">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输出压力（MPa）：≤1.4</w:t>
            </w:r>
          </w:p>
          <w:p w14:paraId="21ED6A1D">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器材厢及泵房</w:t>
            </w:r>
          </w:p>
          <w:p w14:paraId="3ED268E2">
            <w:pPr>
              <w:pStyle w:val="3"/>
              <w:numPr>
                <w:ilvl w:val="0"/>
                <w:numId w:val="23"/>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材 质：本体主骨架需采用钢制型材，</w:t>
            </w:r>
          </w:p>
          <w:p w14:paraId="2C51B043">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器材架需采用铝合金型材搭接。内饰板及内饰底板均需采用氧化铝合金花纹板，厚度≥1.5mm。</w:t>
            </w:r>
          </w:p>
          <w:p w14:paraId="382FFA5C">
            <w:pPr>
              <w:pStyle w:val="3"/>
              <w:numPr>
                <w:ilvl w:val="0"/>
                <w:numId w:val="23"/>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结 构：应全钢焊接框架结构，要求牢</w:t>
            </w:r>
          </w:p>
          <w:p w14:paraId="506BE3D9">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固可靠，确保强度和刚度。</w:t>
            </w:r>
          </w:p>
          <w:p w14:paraId="0A6F6411">
            <w:pPr>
              <w:pStyle w:val="3"/>
              <w:numPr>
                <w:ilvl w:val="0"/>
                <w:numId w:val="23"/>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卷帘门：器材厢及泵室需采用轻质铝合</w:t>
            </w:r>
          </w:p>
          <w:p w14:paraId="7992EE30">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金带锁卷帘门，把手和锁坚固耐用，不宜变形。器材箱内需配备随帘子门启闭的LED照明灯带，方便夜间取放器材。</w:t>
            </w:r>
          </w:p>
          <w:p w14:paraId="533D45AA">
            <w:pPr>
              <w:pStyle w:val="3"/>
              <w:numPr>
                <w:ilvl w:val="0"/>
                <w:numId w:val="23"/>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车顶护栏：需采用铝合金整体拉制成</w:t>
            </w:r>
          </w:p>
          <w:p w14:paraId="3C27B43C">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型。</w:t>
            </w:r>
          </w:p>
          <w:p w14:paraId="09DCB705">
            <w:pPr>
              <w:pStyle w:val="3"/>
              <w:numPr>
                <w:ilvl w:val="0"/>
                <w:numId w:val="23"/>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后爬梯：车厢尾部需设置一具通往车顶</w:t>
            </w:r>
          </w:p>
          <w:p w14:paraId="1C58E362">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的铝合金爬梯。</w:t>
            </w:r>
          </w:p>
          <w:p w14:paraId="5075B55F">
            <w:pPr>
              <w:pStyle w:val="3"/>
              <w:numPr>
                <w:ilvl w:val="0"/>
                <w:numId w:val="23"/>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翻板踏脚：车身两侧需设有翻板踏脚，</w:t>
            </w:r>
          </w:p>
          <w:p w14:paraId="42C8F7D4">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翻版两侧需装有频闪警示灯。</w:t>
            </w:r>
          </w:p>
          <w:p w14:paraId="07D36971">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附加电器设备</w:t>
            </w:r>
          </w:p>
          <w:p w14:paraId="764CB720">
            <w:pPr>
              <w:pStyle w:val="3"/>
              <w:numPr>
                <w:ilvl w:val="0"/>
                <w:numId w:val="24"/>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警 灯：驾驶室顶部需设有1只红色长</w:t>
            </w:r>
          </w:p>
          <w:p w14:paraId="33F0E129">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排警灯，外形符合整车外观要求。</w:t>
            </w:r>
          </w:p>
          <w:p w14:paraId="54F50EB5">
            <w:pPr>
              <w:pStyle w:val="3"/>
              <w:numPr>
                <w:ilvl w:val="0"/>
                <w:numId w:val="24"/>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警报器：功率为100W的调音调频警报</w:t>
            </w:r>
          </w:p>
          <w:p w14:paraId="441DDFF6">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器，并带有扩音装置。</w:t>
            </w:r>
          </w:p>
          <w:p w14:paraId="6DC42A0E">
            <w:pPr>
              <w:pStyle w:val="3"/>
              <w:numPr>
                <w:ilvl w:val="0"/>
                <w:numId w:val="24"/>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车身两侧上方需装有爆闪灯，车身两侧</w:t>
            </w:r>
          </w:p>
          <w:p w14:paraId="6BA83C45">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下方需安装一组安全侧标志灯。</w:t>
            </w:r>
          </w:p>
          <w:p w14:paraId="10A53A78">
            <w:pPr>
              <w:pStyle w:val="3"/>
              <w:numPr>
                <w:ilvl w:val="0"/>
                <w:numId w:val="24"/>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充气充电装置：需设置一套充气充电装</w:t>
            </w:r>
          </w:p>
          <w:p w14:paraId="3E92B18A">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置，可对车辆蓄电池进行智能充电，对制动储气罐进行智能充气补气。</w:t>
            </w:r>
          </w:p>
          <w:p w14:paraId="2816BDAA">
            <w:pPr>
              <w:pStyle w:val="3"/>
              <w:numPr>
                <w:ilvl w:val="0"/>
                <w:numId w:val="24"/>
              </w:numPr>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消防控制系统：安装于泵房后部；仪表</w:t>
            </w:r>
          </w:p>
          <w:p w14:paraId="1491B5EB">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板上应装有PLC高亮显示屏及各种控制开关，并在其近旁都有明显的中文标识，并具备充足的照明。</w:t>
            </w:r>
          </w:p>
          <w:p w14:paraId="2A25E41A">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装饰及喷漆</w:t>
            </w:r>
          </w:p>
          <w:p w14:paraId="658AC1CE">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所有板材、骨架、零部件和结构件，均应经过严格的防锈防腐处理</w:t>
            </w:r>
          </w:p>
          <w:p w14:paraId="451DC73A">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采用优质聚氨酯烤漆，整车的颜色以R03消防红为主色调搭配其他套色线条。</w:t>
            </w:r>
          </w:p>
          <w:p w14:paraId="39431FF7">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技术文件</w:t>
            </w:r>
          </w:p>
          <w:p w14:paraId="220D3E30">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底盘使用说明书（1份）</w:t>
            </w:r>
          </w:p>
          <w:p w14:paraId="749BF2DE">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底盘质量保修卡（1份）</w:t>
            </w:r>
          </w:p>
          <w:p w14:paraId="2129940C">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底盘合格证（1份）</w:t>
            </w:r>
          </w:p>
          <w:p w14:paraId="16EAAC81">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消防车使用说明书（1份）</w:t>
            </w:r>
          </w:p>
          <w:p w14:paraId="421BC7FE">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消防车合格证（1份）</w:t>
            </w:r>
          </w:p>
          <w:p w14:paraId="14028724">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消防车跟踪服务卡（1份）</w:t>
            </w:r>
          </w:p>
          <w:p w14:paraId="1E355CD1">
            <w:pPr>
              <w:pStyle w:val="3"/>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sz w:val="24"/>
                <w:szCs w:val="24"/>
              </w:rPr>
              <w:t>消防车交接清单（1份）</w:t>
            </w:r>
          </w:p>
          <w:p w14:paraId="77F73228">
            <w:pPr>
              <w:pStyle w:val="69"/>
              <w:numPr>
                <w:ilvl w:val="0"/>
                <w:numId w:val="14"/>
              </w:numPr>
              <w:spacing w:line="360" w:lineRule="auto"/>
              <w:ind w:firstLine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rPr>
              <w:t>随车器材</w:t>
            </w:r>
          </w:p>
          <w:tbl>
            <w:tblPr>
              <w:tblStyle w:val="28"/>
              <w:tblW w:w="4390" w:type="dxa"/>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33"/>
              <w:gridCol w:w="512"/>
              <w:gridCol w:w="1807"/>
              <w:gridCol w:w="608"/>
              <w:gridCol w:w="332"/>
              <w:gridCol w:w="798"/>
            </w:tblGrid>
            <w:tr w14:paraId="31245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6" w:hRule="atLeast"/>
                <w:tblHeader/>
              </w:trPr>
              <w:tc>
                <w:tcPr>
                  <w:tcW w:w="333" w:type="dxa"/>
                  <w:tcBorders>
                    <w:top w:val="single" w:color="000000" w:sz="2" w:space="0"/>
                    <w:left w:val="single" w:color="auto" w:sz="4" w:space="0"/>
                    <w:bottom w:val="single" w:color="000000" w:sz="2" w:space="0"/>
                    <w:right w:val="single" w:color="000000" w:sz="2" w:space="0"/>
                  </w:tcBorders>
                  <w:noWrap w:val="0"/>
                  <w:vAlign w:val="center"/>
                </w:tcPr>
                <w:p w14:paraId="04960FF7">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序号</w:t>
                  </w:r>
                </w:p>
              </w:tc>
              <w:tc>
                <w:tcPr>
                  <w:tcW w:w="512" w:type="dxa"/>
                  <w:tcBorders>
                    <w:top w:val="single" w:color="000000" w:sz="2" w:space="0"/>
                    <w:left w:val="single" w:color="auto" w:sz="4" w:space="0"/>
                    <w:bottom w:val="single" w:color="000000" w:sz="2" w:space="0"/>
                    <w:right w:val="single" w:color="000000" w:sz="2" w:space="0"/>
                  </w:tcBorders>
                  <w:noWrap w:val="0"/>
                  <w:vAlign w:val="center"/>
                </w:tcPr>
                <w:p w14:paraId="6F24AC36">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名称</w:t>
                  </w:r>
                </w:p>
              </w:tc>
              <w:tc>
                <w:tcPr>
                  <w:tcW w:w="1807" w:type="dxa"/>
                  <w:tcBorders>
                    <w:top w:val="single" w:color="000000" w:sz="2" w:space="0"/>
                    <w:left w:val="single" w:color="auto" w:sz="4" w:space="0"/>
                    <w:bottom w:val="single" w:color="000000" w:sz="2" w:space="0"/>
                    <w:right w:val="single" w:color="000000" w:sz="2" w:space="0"/>
                  </w:tcBorders>
                  <w:noWrap w:val="0"/>
                  <w:vAlign w:val="center"/>
                </w:tcPr>
                <w:p w14:paraId="2C9F0025">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规格/代号</w:t>
                  </w:r>
                </w:p>
              </w:tc>
              <w:tc>
                <w:tcPr>
                  <w:tcW w:w="608" w:type="dxa"/>
                  <w:tcBorders>
                    <w:top w:val="single" w:color="000000" w:sz="2" w:space="0"/>
                    <w:left w:val="single" w:color="auto" w:sz="4" w:space="0"/>
                    <w:bottom w:val="single" w:color="000000" w:sz="2" w:space="0"/>
                    <w:right w:val="single" w:color="000000" w:sz="2" w:space="0"/>
                  </w:tcBorders>
                  <w:noWrap w:val="0"/>
                  <w:vAlign w:val="center"/>
                </w:tcPr>
                <w:p w14:paraId="3F17A75A">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单位</w:t>
                  </w:r>
                </w:p>
              </w:tc>
              <w:tc>
                <w:tcPr>
                  <w:tcW w:w="332" w:type="dxa"/>
                  <w:tcBorders>
                    <w:top w:val="single" w:color="000000" w:sz="2" w:space="0"/>
                    <w:left w:val="single" w:color="auto" w:sz="4" w:space="0"/>
                    <w:bottom w:val="single" w:color="000000" w:sz="2" w:space="0"/>
                    <w:right w:val="single" w:color="000000" w:sz="2" w:space="0"/>
                  </w:tcBorders>
                  <w:noWrap w:val="0"/>
                  <w:vAlign w:val="center"/>
                </w:tcPr>
                <w:p w14:paraId="18D50D8B">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数量</w:t>
                  </w:r>
                </w:p>
              </w:tc>
              <w:tc>
                <w:tcPr>
                  <w:tcW w:w="798" w:type="dxa"/>
                  <w:tcBorders>
                    <w:top w:val="single" w:color="000000" w:sz="2" w:space="0"/>
                    <w:left w:val="single" w:color="auto" w:sz="4" w:space="0"/>
                    <w:bottom w:val="single" w:color="000000" w:sz="2" w:space="0"/>
                    <w:right w:val="single" w:color="000000" w:sz="2" w:space="0"/>
                  </w:tcBorders>
                  <w:noWrap w:val="0"/>
                  <w:vAlign w:val="center"/>
                </w:tcPr>
                <w:p w14:paraId="5B8F3E09">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备注</w:t>
                  </w:r>
                </w:p>
              </w:tc>
            </w:tr>
            <w:tr w14:paraId="50F0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auto" w:sz="4" w:space="0"/>
                    <w:bottom w:val="single" w:color="000000" w:sz="2" w:space="0"/>
                    <w:right w:val="single" w:color="000000" w:sz="2" w:space="0"/>
                  </w:tcBorders>
                  <w:noWrap w:val="0"/>
                  <w:vAlign w:val="center"/>
                </w:tcPr>
                <w:p w14:paraId="16C25DF9">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1</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0D302DE1">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吸水管</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5D474712">
                  <w:pPr>
                    <w:spacing w:line="276" w:lineRule="auto"/>
                    <w:ind w:firstLine="120" w:firstLineChars="50"/>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Φ150mm×2m</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1575A290">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根</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33176C15">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4</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63E30703">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内扣</w:t>
                  </w:r>
                </w:p>
              </w:tc>
            </w:tr>
            <w:tr w14:paraId="6904E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auto" w:sz="4" w:space="0"/>
                    <w:bottom w:val="single" w:color="000000" w:sz="2" w:space="0"/>
                    <w:right w:val="single" w:color="000000" w:sz="2" w:space="0"/>
                  </w:tcBorders>
                  <w:noWrap w:val="0"/>
                  <w:vAlign w:val="center"/>
                </w:tcPr>
                <w:p w14:paraId="33B763D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3F5B945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消防水带</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3D101162">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Φ80mm×20m</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49DC6C3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盘</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F8DAC4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2B0BF6E4">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16型卡式</w:t>
                  </w:r>
                </w:p>
              </w:tc>
            </w:tr>
            <w:tr w14:paraId="06E8A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auto" w:sz="4" w:space="0"/>
                    <w:bottom w:val="single" w:color="000000" w:sz="2" w:space="0"/>
                    <w:right w:val="single" w:color="000000" w:sz="2" w:space="0"/>
                  </w:tcBorders>
                  <w:noWrap w:val="0"/>
                  <w:vAlign w:val="center"/>
                </w:tcPr>
                <w:p w14:paraId="2D0D0BE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109518B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消防水带</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35724511">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Φ65mm×20m</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3E8BA54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盘</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CF44F3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10</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751CFB54">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16型卡式</w:t>
                  </w:r>
                </w:p>
              </w:tc>
            </w:tr>
            <w:tr w14:paraId="4126D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auto" w:sz="4" w:space="0"/>
                    <w:bottom w:val="single" w:color="000000" w:sz="2" w:space="0"/>
                    <w:right w:val="single" w:color="000000" w:sz="2" w:space="0"/>
                  </w:tcBorders>
                  <w:noWrap w:val="0"/>
                  <w:vAlign w:val="center"/>
                </w:tcPr>
                <w:p w14:paraId="18131BB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1059203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专用水带</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5567BA49">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Φ80mm×5m</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48CBB51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盘</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7E98656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7B95362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16型</w:t>
                  </w:r>
                </w:p>
              </w:tc>
            </w:tr>
            <w:tr w14:paraId="366BB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auto" w:sz="4" w:space="0"/>
                    <w:bottom w:val="single" w:color="000000" w:sz="2" w:space="0"/>
                    <w:right w:val="single" w:color="000000" w:sz="2" w:space="0"/>
                  </w:tcBorders>
                  <w:noWrap w:val="0"/>
                  <w:vAlign w:val="center"/>
                </w:tcPr>
                <w:p w14:paraId="4125FB8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5</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71ACF45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滤水器</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60558A72">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Φ150</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55B8897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7C6D300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12F0F664">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内扣</w:t>
                  </w:r>
                </w:p>
              </w:tc>
            </w:tr>
            <w:tr w14:paraId="5446C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auto" w:sz="4" w:space="0"/>
                    <w:bottom w:val="single" w:color="000000" w:sz="2" w:space="0"/>
                    <w:right w:val="single" w:color="000000" w:sz="2" w:space="0"/>
                  </w:tcBorders>
                  <w:noWrap w:val="0"/>
                  <w:vAlign w:val="center"/>
                </w:tcPr>
                <w:p w14:paraId="4D85CA8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04E9C27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二分水器</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2C49766E">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FⅡ80/65×2-1.6</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3AE2D7F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CE9215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77EAEC96">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卡式</w:t>
                  </w:r>
                </w:p>
              </w:tc>
            </w:tr>
            <w:tr w14:paraId="18014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774C80D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7</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0780134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集水器</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572861AE">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JⅡ150/80×2-1.6</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6DB84D3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627B6D9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AE07863">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150内扣/80卡式</w:t>
                  </w:r>
                </w:p>
              </w:tc>
            </w:tr>
            <w:tr w14:paraId="36644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1A6E1FD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5567C56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异径接口</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1B3C5345">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KJK80（雄）/65（雌）</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710C3A7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68611D1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22DDB165">
                  <w:pPr>
                    <w:spacing w:line="276" w:lineRule="auto"/>
                    <w:jc w:val="center"/>
                    <w:rPr>
                      <w:rFonts w:hint="eastAsia" w:asciiTheme="majorEastAsia" w:hAnsiTheme="majorEastAsia" w:eastAsiaTheme="majorEastAsia" w:cstheme="majorEastAsia"/>
                      <w:spacing w:val="102"/>
                      <w:sz w:val="24"/>
                      <w:szCs w:val="24"/>
                    </w:rPr>
                  </w:pPr>
                </w:p>
              </w:tc>
            </w:tr>
            <w:tr w14:paraId="4B110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086827C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9</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0E93376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异型接口</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6DF0F0A7">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KXK80/65（雌）</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05B1105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69193A5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DAB520E">
                  <w:pPr>
                    <w:spacing w:line="276" w:lineRule="auto"/>
                    <w:jc w:val="center"/>
                    <w:rPr>
                      <w:rFonts w:hint="eastAsia" w:asciiTheme="majorEastAsia" w:hAnsiTheme="majorEastAsia" w:eastAsiaTheme="majorEastAsia" w:cstheme="majorEastAsia"/>
                      <w:sz w:val="24"/>
                      <w:szCs w:val="24"/>
                    </w:rPr>
                  </w:pPr>
                </w:p>
              </w:tc>
            </w:tr>
            <w:tr w14:paraId="11213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79EFB36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10</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40174B8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异径接口</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66FC4B5D">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KJ80/65</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38AB06A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551908D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1C7FF12">
                  <w:pPr>
                    <w:spacing w:line="276" w:lineRule="auto"/>
                    <w:jc w:val="center"/>
                    <w:rPr>
                      <w:rFonts w:hint="eastAsia" w:asciiTheme="majorEastAsia" w:hAnsiTheme="majorEastAsia" w:eastAsiaTheme="majorEastAsia" w:cstheme="majorEastAsia"/>
                      <w:spacing w:val="102"/>
                      <w:sz w:val="24"/>
                      <w:szCs w:val="24"/>
                    </w:rPr>
                  </w:pPr>
                </w:p>
              </w:tc>
            </w:tr>
            <w:tr w14:paraId="3F80B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5F805AC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7770C81C">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水带包布</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6D48F06C">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FP470</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58CC9F8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4C3F36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7AC838AC">
                  <w:pPr>
                    <w:spacing w:line="276" w:lineRule="auto"/>
                    <w:jc w:val="center"/>
                    <w:rPr>
                      <w:rFonts w:hint="eastAsia" w:asciiTheme="majorEastAsia" w:hAnsiTheme="majorEastAsia" w:eastAsiaTheme="majorEastAsia" w:cstheme="majorEastAsia"/>
                      <w:spacing w:val="102"/>
                      <w:sz w:val="24"/>
                      <w:szCs w:val="24"/>
                    </w:rPr>
                  </w:pPr>
                </w:p>
              </w:tc>
            </w:tr>
            <w:tr w14:paraId="5B1EB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43B27AD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59C7E9BB">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水带挂钩</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55479DDA">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FG600</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2F53F212">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9E74A0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075A27C3">
                  <w:pPr>
                    <w:spacing w:line="276" w:lineRule="auto"/>
                    <w:jc w:val="center"/>
                    <w:rPr>
                      <w:rFonts w:hint="eastAsia" w:asciiTheme="majorEastAsia" w:hAnsiTheme="majorEastAsia" w:eastAsiaTheme="majorEastAsia" w:cstheme="majorEastAsia"/>
                      <w:spacing w:val="102"/>
                      <w:sz w:val="24"/>
                      <w:szCs w:val="24"/>
                    </w:rPr>
                  </w:pPr>
                </w:p>
              </w:tc>
            </w:tr>
            <w:tr w14:paraId="7C3ED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2021139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089850C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水带护桥</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3C81BAC5">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16DA0AB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6062D63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14131A4F">
                  <w:pPr>
                    <w:spacing w:line="276" w:lineRule="auto"/>
                    <w:jc w:val="center"/>
                    <w:rPr>
                      <w:rFonts w:hint="eastAsia" w:asciiTheme="majorEastAsia" w:hAnsiTheme="majorEastAsia" w:eastAsiaTheme="majorEastAsia" w:cstheme="majorEastAsia"/>
                      <w:sz w:val="24"/>
                      <w:szCs w:val="24"/>
                    </w:rPr>
                  </w:pPr>
                </w:p>
              </w:tc>
            </w:tr>
            <w:tr w14:paraId="1D05A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5CCD7EB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5640CFB4">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地上消火栓扳手</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19C82B47">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FB450</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1FEF38BD">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71F5005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747A98C9">
                  <w:pPr>
                    <w:spacing w:line="276" w:lineRule="auto"/>
                    <w:jc w:val="center"/>
                    <w:rPr>
                      <w:rFonts w:hint="eastAsia" w:asciiTheme="majorEastAsia" w:hAnsiTheme="majorEastAsia" w:eastAsiaTheme="majorEastAsia" w:cstheme="majorEastAsia"/>
                      <w:sz w:val="24"/>
                      <w:szCs w:val="24"/>
                    </w:rPr>
                  </w:pPr>
                </w:p>
              </w:tc>
            </w:tr>
            <w:tr w14:paraId="772B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004ECF0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3D9D0B49">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地下消火栓扳手</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0AB6F35D">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FBX800</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0507F0DB">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5F93919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4631C442">
                  <w:pPr>
                    <w:spacing w:line="276" w:lineRule="auto"/>
                    <w:jc w:val="center"/>
                    <w:rPr>
                      <w:rFonts w:hint="eastAsia" w:asciiTheme="majorEastAsia" w:hAnsiTheme="majorEastAsia" w:eastAsiaTheme="majorEastAsia" w:cstheme="majorEastAsia"/>
                      <w:spacing w:val="102"/>
                      <w:sz w:val="24"/>
                      <w:szCs w:val="24"/>
                    </w:rPr>
                  </w:pPr>
                </w:p>
              </w:tc>
            </w:tr>
            <w:tr w14:paraId="215B6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6BE5346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16</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1959A52E">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吸水管扳手</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5D78ACFC">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124ECC8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0DEE118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EC6EB87">
                  <w:pPr>
                    <w:spacing w:line="276" w:lineRule="auto"/>
                    <w:jc w:val="center"/>
                    <w:rPr>
                      <w:rFonts w:hint="eastAsia" w:asciiTheme="majorEastAsia" w:hAnsiTheme="majorEastAsia" w:eastAsiaTheme="majorEastAsia" w:cstheme="majorEastAsia"/>
                      <w:spacing w:val="102"/>
                      <w:sz w:val="24"/>
                      <w:szCs w:val="24"/>
                    </w:rPr>
                  </w:pPr>
                </w:p>
              </w:tc>
            </w:tr>
            <w:tr w14:paraId="271AA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668AE22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17</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5BA28DC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空气泡沫枪</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2D8C56E9">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PQ8</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42F863B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4AAD8C9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5AA2DAB">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卡式</w:t>
                  </w:r>
                </w:p>
              </w:tc>
            </w:tr>
            <w:tr w14:paraId="7C4B2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08D5DF1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18</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01D5795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泡沫枪吸液管</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193526ED">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24CC004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FF00C5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5738112">
                  <w:pPr>
                    <w:spacing w:line="276" w:lineRule="auto"/>
                    <w:jc w:val="center"/>
                    <w:rPr>
                      <w:rFonts w:hint="eastAsia" w:asciiTheme="majorEastAsia" w:hAnsiTheme="majorEastAsia" w:eastAsiaTheme="majorEastAsia" w:cstheme="majorEastAsia"/>
                      <w:spacing w:val="102"/>
                      <w:sz w:val="24"/>
                      <w:szCs w:val="24"/>
                    </w:rPr>
                  </w:pPr>
                </w:p>
              </w:tc>
            </w:tr>
            <w:tr w14:paraId="1D354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2DEA8F8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19</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2306591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泡沫外吸插管</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0B6F7799">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038267B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188F94A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10A9DD7D">
                  <w:pPr>
                    <w:spacing w:line="276" w:lineRule="auto"/>
                    <w:jc w:val="center"/>
                    <w:rPr>
                      <w:rFonts w:hint="eastAsia" w:asciiTheme="majorEastAsia" w:hAnsiTheme="majorEastAsia" w:eastAsiaTheme="majorEastAsia" w:cstheme="majorEastAsia"/>
                      <w:spacing w:val="102"/>
                      <w:sz w:val="24"/>
                      <w:szCs w:val="24"/>
                    </w:rPr>
                  </w:pPr>
                </w:p>
              </w:tc>
            </w:tr>
            <w:tr w14:paraId="2621E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6D8FE2B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20</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6AC8CF1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吸液管扳手</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338F08BC">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65FE623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020C0F0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6BB5833E">
                  <w:pPr>
                    <w:spacing w:line="276" w:lineRule="auto"/>
                    <w:jc w:val="center"/>
                    <w:rPr>
                      <w:rFonts w:hint="eastAsia" w:asciiTheme="majorEastAsia" w:hAnsiTheme="majorEastAsia" w:eastAsiaTheme="majorEastAsia" w:cstheme="majorEastAsia"/>
                      <w:spacing w:val="102"/>
                      <w:sz w:val="24"/>
                      <w:szCs w:val="24"/>
                    </w:rPr>
                  </w:pPr>
                </w:p>
              </w:tc>
            </w:tr>
            <w:tr w14:paraId="50256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3EFFC83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21</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79B267D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无后坐力多功能水枪</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687F05AD">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QLD6.0/8Ⅰ</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4706F72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支</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2972CB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118913DD">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卡式</w:t>
                  </w:r>
                </w:p>
              </w:tc>
            </w:tr>
            <w:tr w14:paraId="72E20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7878512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22</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2EEC1D8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铁锹</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773902C0">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17D17E1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1F2EAA8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2A95525E">
                  <w:pPr>
                    <w:spacing w:line="276" w:lineRule="auto"/>
                    <w:jc w:val="center"/>
                    <w:rPr>
                      <w:rFonts w:hint="eastAsia" w:asciiTheme="majorEastAsia" w:hAnsiTheme="majorEastAsia" w:eastAsiaTheme="majorEastAsia" w:cstheme="majorEastAsia"/>
                      <w:sz w:val="24"/>
                      <w:szCs w:val="24"/>
                    </w:rPr>
                  </w:pPr>
                </w:p>
              </w:tc>
            </w:tr>
            <w:tr w14:paraId="59847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32E5CAC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23</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1074D7A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橡皮锤</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3301EB8C">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28359EE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个</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1095AA8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20B11726">
                  <w:pPr>
                    <w:spacing w:line="276" w:lineRule="auto"/>
                    <w:jc w:val="center"/>
                    <w:rPr>
                      <w:rFonts w:hint="eastAsia" w:asciiTheme="majorEastAsia" w:hAnsiTheme="majorEastAsia" w:eastAsiaTheme="majorEastAsia" w:cstheme="majorEastAsia"/>
                      <w:sz w:val="24"/>
                      <w:szCs w:val="24"/>
                    </w:rPr>
                  </w:pPr>
                </w:p>
              </w:tc>
            </w:tr>
            <w:tr w14:paraId="5978E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731A1F0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24</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597A0BD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消防斧</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69A80A27">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GFT817</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2BEB9D7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693952B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130CE2AB">
                  <w:pPr>
                    <w:spacing w:line="276" w:lineRule="auto"/>
                    <w:jc w:val="center"/>
                    <w:rPr>
                      <w:rFonts w:hint="eastAsia" w:asciiTheme="majorEastAsia" w:hAnsiTheme="majorEastAsia" w:eastAsiaTheme="majorEastAsia" w:cstheme="majorEastAsia"/>
                      <w:sz w:val="24"/>
                      <w:szCs w:val="24"/>
                    </w:rPr>
                  </w:pPr>
                </w:p>
              </w:tc>
            </w:tr>
            <w:tr w14:paraId="199D1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7EE7217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25</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63587E3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丁字镐</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50E1C1C2">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5DCA9E3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02ED5C9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6EAAF5CD">
                  <w:pPr>
                    <w:spacing w:line="276" w:lineRule="auto"/>
                    <w:jc w:val="center"/>
                    <w:rPr>
                      <w:rFonts w:hint="eastAsia" w:asciiTheme="majorEastAsia" w:hAnsiTheme="majorEastAsia" w:eastAsiaTheme="majorEastAsia" w:cstheme="majorEastAsia"/>
                      <w:sz w:val="24"/>
                      <w:szCs w:val="24"/>
                    </w:rPr>
                  </w:pPr>
                </w:p>
              </w:tc>
            </w:tr>
            <w:tr w14:paraId="73A6C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2D928FE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26</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420C921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铁铤</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2A225BD6">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GT1</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68E7417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512FC1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66DDBD8E">
                  <w:pPr>
                    <w:spacing w:line="276" w:lineRule="auto"/>
                    <w:jc w:val="center"/>
                    <w:rPr>
                      <w:rFonts w:hint="eastAsia" w:asciiTheme="majorEastAsia" w:hAnsiTheme="majorEastAsia" w:eastAsiaTheme="majorEastAsia" w:cstheme="majorEastAsia"/>
                      <w:sz w:val="24"/>
                      <w:szCs w:val="24"/>
                    </w:rPr>
                  </w:pPr>
                </w:p>
              </w:tc>
            </w:tr>
            <w:tr w14:paraId="7707A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2FD9A6A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27</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1AE621D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干粉灭火器</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42B8AE32">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ABC干粉</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1AF2B75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具</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27EF2D7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388C2B3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8kg</w:t>
                  </w:r>
                </w:p>
              </w:tc>
            </w:tr>
            <w:tr w14:paraId="0530F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23351F0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29</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3CE7CB3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两节拉梯</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78358FC6">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铝合金</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489C25C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架</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5B55D2B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585FCAD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6m</w:t>
                  </w:r>
                </w:p>
              </w:tc>
            </w:tr>
            <w:tr w14:paraId="424AE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113D5D5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30</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4AF857C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原车工具</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12707602">
                  <w:pPr>
                    <w:spacing w:line="276" w:lineRule="auto"/>
                    <w:ind w:firstLine="120" w:firstLineChars="50"/>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0BB6C7B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套</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73B788C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4DB221A4">
                  <w:pPr>
                    <w:spacing w:line="276" w:lineRule="auto"/>
                    <w:jc w:val="center"/>
                    <w:rPr>
                      <w:rFonts w:hint="eastAsia" w:asciiTheme="majorEastAsia" w:hAnsiTheme="majorEastAsia" w:eastAsiaTheme="majorEastAsia" w:cstheme="majorEastAsia"/>
                      <w:sz w:val="24"/>
                      <w:szCs w:val="24"/>
                    </w:rPr>
                  </w:pPr>
                </w:p>
              </w:tc>
            </w:tr>
            <w:tr w14:paraId="04C49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15ADB95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31</w:t>
                  </w:r>
                </w:p>
              </w:tc>
              <w:tc>
                <w:tcPr>
                  <w:tcW w:w="512" w:type="dxa"/>
                  <w:tcBorders>
                    <w:top w:val="single" w:color="auto" w:sz="4" w:space="0"/>
                    <w:left w:val="single" w:color="auto" w:sz="4" w:space="0"/>
                    <w:bottom w:val="single" w:color="000000" w:sz="2" w:space="0"/>
                    <w:right w:val="single" w:color="000000" w:sz="2" w:space="0"/>
                  </w:tcBorders>
                  <w:noWrap w:val="0"/>
                  <w:vAlign w:val="center"/>
                </w:tcPr>
                <w:p w14:paraId="762587F6">
                  <w:pPr>
                    <w:spacing w:line="44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充气软管</w:t>
                  </w:r>
                </w:p>
              </w:tc>
              <w:tc>
                <w:tcPr>
                  <w:tcW w:w="1807" w:type="dxa"/>
                  <w:tcBorders>
                    <w:top w:val="single" w:color="auto" w:sz="4" w:space="0"/>
                    <w:left w:val="single" w:color="auto" w:sz="4" w:space="0"/>
                    <w:bottom w:val="single" w:color="000000" w:sz="2" w:space="0"/>
                    <w:right w:val="single" w:color="000000" w:sz="2" w:space="0"/>
                  </w:tcBorders>
                  <w:noWrap w:val="0"/>
                  <w:vAlign w:val="center"/>
                </w:tcPr>
                <w:p w14:paraId="0AD0E8FA">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15ｍ</w:t>
                  </w:r>
                </w:p>
              </w:tc>
              <w:tc>
                <w:tcPr>
                  <w:tcW w:w="608" w:type="dxa"/>
                  <w:tcBorders>
                    <w:top w:val="single" w:color="auto" w:sz="4" w:space="0"/>
                    <w:left w:val="single" w:color="auto" w:sz="4" w:space="0"/>
                    <w:bottom w:val="single" w:color="000000" w:sz="2" w:space="0"/>
                    <w:right w:val="single" w:color="000000" w:sz="2" w:space="0"/>
                  </w:tcBorders>
                  <w:noWrap w:val="0"/>
                  <w:vAlign w:val="center"/>
                </w:tcPr>
                <w:p w14:paraId="60AA4297">
                  <w:pPr>
                    <w:spacing w:line="44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  根</w:t>
                  </w:r>
                </w:p>
              </w:tc>
              <w:tc>
                <w:tcPr>
                  <w:tcW w:w="332" w:type="dxa"/>
                  <w:tcBorders>
                    <w:top w:val="single" w:color="auto" w:sz="4" w:space="0"/>
                    <w:left w:val="single" w:color="auto" w:sz="4" w:space="0"/>
                    <w:bottom w:val="single" w:color="000000" w:sz="2" w:space="0"/>
                    <w:right w:val="single" w:color="000000" w:sz="2" w:space="0"/>
                  </w:tcBorders>
                  <w:noWrap w:val="0"/>
                  <w:vAlign w:val="center"/>
                </w:tcPr>
                <w:p w14:paraId="79E325A2">
                  <w:pPr>
                    <w:spacing w:line="440" w:lineRule="exac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  1</w:t>
                  </w:r>
                </w:p>
              </w:tc>
              <w:tc>
                <w:tcPr>
                  <w:tcW w:w="798" w:type="dxa"/>
                  <w:tcBorders>
                    <w:top w:val="single" w:color="auto" w:sz="4" w:space="0"/>
                    <w:left w:val="single" w:color="auto" w:sz="4" w:space="0"/>
                    <w:bottom w:val="single" w:color="000000" w:sz="2" w:space="0"/>
                    <w:right w:val="single" w:color="000000" w:sz="2" w:space="0"/>
                  </w:tcBorders>
                  <w:noWrap w:val="0"/>
                  <w:vAlign w:val="center"/>
                </w:tcPr>
                <w:p w14:paraId="7E2F6291">
                  <w:pPr>
                    <w:spacing w:line="440" w:lineRule="exact"/>
                    <w:rPr>
                      <w:rFonts w:hint="eastAsia" w:asciiTheme="majorEastAsia" w:hAnsiTheme="majorEastAsia" w:eastAsiaTheme="majorEastAsia" w:cstheme="majorEastAsia"/>
                      <w:b/>
                      <w:sz w:val="24"/>
                      <w:szCs w:val="24"/>
                    </w:rPr>
                  </w:pPr>
                </w:p>
              </w:tc>
            </w:tr>
            <w:tr w14:paraId="19722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tblHeader/>
              </w:trPr>
              <w:tc>
                <w:tcPr>
                  <w:tcW w:w="333" w:type="dxa"/>
                  <w:tcBorders>
                    <w:top w:val="single" w:color="auto" w:sz="4" w:space="0"/>
                    <w:left w:val="single" w:color="000000" w:sz="2" w:space="0"/>
                    <w:bottom w:val="single" w:color="000000" w:sz="2" w:space="0"/>
                    <w:right w:val="single" w:color="000000" w:sz="2" w:space="0"/>
                  </w:tcBorders>
                  <w:noWrap w:val="0"/>
                  <w:vAlign w:val="center"/>
                </w:tcPr>
                <w:p w14:paraId="64BDC84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32</w:t>
                  </w:r>
                </w:p>
              </w:tc>
              <w:tc>
                <w:tcPr>
                  <w:tcW w:w="512" w:type="dxa"/>
                  <w:tcBorders>
                    <w:top w:val="single" w:color="auto" w:sz="4" w:space="0"/>
                    <w:left w:val="single" w:color="auto" w:sz="4" w:space="0"/>
                    <w:bottom w:val="single" w:color="auto" w:sz="4" w:space="0"/>
                    <w:right w:val="single" w:color="000000" w:sz="2" w:space="0"/>
                  </w:tcBorders>
                  <w:noWrap w:val="0"/>
                  <w:vAlign w:val="center"/>
                </w:tcPr>
                <w:p w14:paraId="125B0DDE">
                  <w:pPr>
                    <w:spacing w:line="440" w:lineRule="exact"/>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干粉漏斗及挡粉板</w:t>
                  </w:r>
                </w:p>
              </w:tc>
              <w:tc>
                <w:tcPr>
                  <w:tcW w:w="1807" w:type="dxa"/>
                  <w:tcBorders>
                    <w:top w:val="single" w:color="auto" w:sz="4" w:space="0"/>
                    <w:left w:val="single" w:color="auto" w:sz="4" w:space="0"/>
                    <w:bottom w:val="single" w:color="auto" w:sz="4" w:space="0"/>
                    <w:right w:val="single" w:color="000000" w:sz="2" w:space="0"/>
                  </w:tcBorders>
                  <w:noWrap w:val="0"/>
                  <w:vAlign w:val="center"/>
                </w:tcPr>
                <w:p w14:paraId="0B429577">
                  <w:pPr>
                    <w:spacing w:line="440" w:lineRule="exact"/>
                    <w:jc w:val="center"/>
                    <w:rPr>
                      <w:rFonts w:hint="eastAsia" w:asciiTheme="majorEastAsia" w:hAnsiTheme="majorEastAsia" w:eastAsiaTheme="majorEastAsia" w:cstheme="majorEastAsia"/>
                      <w:sz w:val="24"/>
                      <w:szCs w:val="24"/>
                    </w:rPr>
                  </w:pPr>
                </w:p>
              </w:tc>
              <w:tc>
                <w:tcPr>
                  <w:tcW w:w="608" w:type="dxa"/>
                  <w:tcBorders>
                    <w:top w:val="single" w:color="auto" w:sz="4" w:space="0"/>
                    <w:left w:val="single" w:color="auto" w:sz="4" w:space="0"/>
                    <w:bottom w:val="single" w:color="auto" w:sz="4" w:space="0"/>
                    <w:right w:val="single" w:color="000000" w:sz="2" w:space="0"/>
                  </w:tcBorders>
                  <w:noWrap w:val="0"/>
                  <w:vAlign w:val="center"/>
                </w:tcPr>
                <w:p w14:paraId="09ED3ABB">
                  <w:pPr>
                    <w:spacing w:line="440" w:lineRule="exact"/>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套</w:t>
                  </w:r>
                </w:p>
              </w:tc>
              <w:tc>
                <w:tcPr>
                  <w:tcW w:w="332" w:type="dxa"/>
                  <w:tcBorders>
                    <w:top w:val="single" w:color="auto" w:sz="4" w:space="0"/>
                    <w:left w:val="single" w:color="auto" w:sz="4" w:space="0"/>
                    <w:bottom w:val="single" w:color="auto" w:sz="4" w:space="0"/>
                    <w:right w:val="single" w:color="000000" w:sz="2" w:space="0"/>
                  </w:tcBorders>
                  <w:noWrap w:val="0"/>
                  <w:vAlign w:val="center"/>
                </w:tcPr>
                <w:p w14:paraId="551C3E34">
                  <w:pPr>
                    <w:spacing w:line="440" w:lineRule="exact"/>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98" w:type="dxa"/>
                  <w:tcBorders>
                    <w:top w:val="single" w:color="auto" w:sz="4" w:space="0"/>
                    <w:left w:val="single" w:color="auto" w:sz="4" w:space="0"/>
                    <w:bottom w:val="single" w:color="auto" w:sz="4" w:space="0"/>
                    <w:right w:val="single" w:color="000000" w:sz="2" w:space="0"/>
                  </w:tcBorders>
                  <w:noWrap w:val="0"/>
                  <w:vAlign w:val="center"/>
                </w:tcPr>
                <w:p w14:paraId="7FCB4F4B">
                  <w:pPr>
                    <w:spacing w:line="440" w:lineRule="exact"/>
                    <w:jc w:val="center"/>
                    <w:rPr>
                      <w:rFonts w:hint="eastAsia" w:asciiTheme="majorEastAsia" w:hAnsiTheme="majorEastAsia" w:eastAsiaTheme="majorEastAsia" w:cstheme="majorEastAsia"/>
                      <w:sz w:val="24"/>
                      <w:szCs w:val="24"/>
                    </w:rPr>
                  </w:pPr>
                </w:p>
              </w:tc>
            </w:tr>
          </w:tbl>
          <w:p w14:paraId="01712DD3">
            <w:pPr>
              <w:spacing w:line="360" w:lineRule="auto"/>
              <w:rPr>
                <w:rFonts w:hint="eastAsia" w:asciiTheme="majorEastAsia" w:hAnsiTheme="majorEastAsia" w:eastAsiaTheme="majorEastAsia" w:cstheme="majorEastAsia"/>
                <w:kern w:val="0"/>
                <w:sz w:val="24"/>
                <w:szCs w:val="24"/>
              </w:rPr>
            </w:pPr>
          </w:p>
        </w:tc>
        <w:tc>
          <w:tcPr>
            <w:tcW w:w="705" w:type="dxa"/>
            <w:tcBorders>
              <w:top w:val="single" w:color="auto" w:sz="4" w:space="0"/>
              <w:left w:val="nil"/>
              <w:bottom w:val="single" w:color="auto" w:sz="4" w:space="0"/>
              <w:right w:val="single" w:color="auto" w:sz="4" w:space="0"/>
            </w:tcBorders>
            <w:shd w:val="clear" w:color="000000" w:fill="FFFFFF"/>
            <w:noWrap w:val="0"/>
            <w:vAlign w:val="center"/>
          </w:tcPr>
          <w:p w14:paraId="14F02EF0">
            <w:pPr>
              <w:widowControl/>
              <w:jc w:val="center"/>
              <w:rPr>
                <w:rFonts w:hint="eastAsia" w:asciiTheme="majorEastAsia" w:hAnsiTheme="majorEastAsia" w:eastAsiaTheme="majorEastAsia" w:cstheme="majorEastAsia"/>
                <w:kern w:val="0"/>
                <w:sz w:val="24"/>
                <w:szCs w:val="24"/>
                <w:lang w:val="en-US" w:eastAsia="zh-CN"/>
              </w:rPr>
            </w:pPr>
            <w:r>
              <w:rPr>
                <w:rFonts w:hint="eastAsia" w:asciiTheme="majorEastAsia" w:hAnsiTheme="majorEastAsia" w:eastAsiaTheme="majorEastAsia" w:cstheme="majorEastAsia"/>
                <w:kern w:val="0"/>
                <w:sz w:val="24"/>
                <w:szCs w:val="24"/>
                <w:lang w:val="en-US" w:eastAsia="zh-CN"/>
              </w:rPr>
              <w:t>1</w:t>
            </w:r>
          </w:p>
        </w:tc>
        <w:tc>
          <w:tcPr>
            <w:tcW w:w="767" w:type="dxa"/>
            <w:tcBorders>
              <w:top w:val="single" w:color="auto" w:sz="4" w:space="0"/>
              <w:left w:val="nil"/>
              <w:bottom w:val="single" w:color="auto" w:sz="4" w:space="0"/>
              <w:right w:val="single" w:color="auto" w:sz="4" w:space="0"/>
            </w:tcBorders>
            <w:shd w:val="clear" w:color="000000" w:fill="FFFFFF"/>
            <w:noWrap w:val="0"/>
            <w:vAlign w:val="center"/>
          </w:tcPr>
          <w:p w14:paraId="4BC6B74F">
            <w:pPr>
              <w:widowControl/>
              <w:jc w:val="center"/>
              <w:rPr>
                <w:rFonts w:hint="eastAsia" w:asciiTheme="majorEastAsia" w:hAnsiTheme="majorEastAsia" w:eastAsiaTheme="majorEastAsia" w:cstheme="majorEastAsia"/>
                <w:kern w:val="0"/>
                <w:sz w:val="24"/>
                <w:szCs w:val="24"/>
                <w:lang w:val="en-US" w:eastAsia="zh-CN"/>
              </w:rPr>
            </w:pPr>
            <w:r>
              <w:rPr>
                <w:rFonts w:hint="eastAsia" w:asciiTheme="majorEastAsia" w:hAnsiTheme="majorEastAsia" w:eastAsiaTheme="majorEastAsia" w:cstheme="majorEastAsia"/>
                <w:kern w:val="0"/>
                <w:sz w:val="24"/>
                <w:szCs w:val="24"/>
                <w:lang w:val="en-US" w:eastAsia="zh-CN"/>
              </w:rPr>
              <w:t>辆</w:t>
            </w:r>
          </w:p>
        </w:tc>
      </w:tr>
      <w:tr w14:paraId="56F52527">
        <w:tblPrEx>
          <w:tblCellMar>
            <w:top w:w="0" w:type="dxa"/>
            <w:left w:w="108" w:type="dxa"/>
            <w:bottom w:w="0" w:type="dxa"/>
            <w:right w:w="108" w:type="dxa"/>
          </w:tblCellMar>
        </w:tblPrEx>
        <w:trPr>
          <w:trHeight w:val="658" w:hRule="atLeast"/>
          <w:jc w:val="center"/>
        </w:trPr>
        <w:tc>
          <w:tcPr>
            <w:tcW w:w="9061" w:type="dxa"/>
            <w:gridSpan w:val="5"/>
            <w:tcBorders>
              <w:top w:val="single" w:color="auto" w:sz="4" w:space="0"/>
              <w:left w:val="single" w:color="auto" w:sz="4" w:space="0"/>
              <w:bottom w:val="single" w:color="auto" w:sz="4" w:space="0"/>
              <w:right w:val="single" w:color="auto" w:sz="4" w:space="0"/>
            </w:tcBorders>
            <w:noWrap w:val="0"/>
            <w:vAlign w:val="center"/>
          </w:tcPr>
          <w:p w14:paraId="0999339D">
            <w:pPr>
              <w:widowControl/>
              <w:jc w:val="center"/>
              <w:rPr>
                <w:rFonts w:hint="eastAsia" w:asciiTheme="majorEastAsia" w:hAnsiTheme="majorEastAsia" w:eastAsiaTheme="majorEastAsia" w:cstheme="majorEastAsia"/>
                <w:kern w:val="0"/>
                <w:sz w:val="24"/>
                <w:szCs w:val="24"/>
              </w:rPr>
            </w:pPr>
          </w:p>
        </w:tc>
      </w:tr>
      <w:tr w14:paraId="632F75A6">
        <w:tblPrEx>
          <w:tblCellMar>
            <w:top w:w="0" w:type="dxa"/>
            <w:left w:w="108" w:type="dxa"/>
            <w:bottom w:w="0" w:type="dxa"/>
            <w:right w:w="108" w:type="dxa"/>
          </w:tblCellMar>
        </w:tblPrEx>
        <w:trPr>
          <w:trHeight w:val="329" w:hRule="atLeast"/>
          <w:jc w:val="center"/>
        </w:trPr>
        <w:tc>
          <w:tcPr>
            <w:tcW w:w="721" w:type="dxa"/>
            <w:tcBorders>
              <w:top w:val="single" w:color="auto" w:sz="4" w:space="0"/>
              <w:left w:val="single" w:color="auto" w:sz="4" w:space="0"/>
              <w:bottom w:val="single" w:color="auto" w:sz="4" w:space="0"/>
              <w:right w:val="single" w:color="auto" w:sz="4" w:space="0"/>
            </w:tcBorders>
            <w:shd w:val="clear" w:color="000000" w:fill="D0CECE"/>
            <w:noWrap w:val="0"/>
            <w:vAlign w:val="center"/>
          </w:tcPr>
          <w:p w14:paraId="6EB9185B">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序号</w:t>
            </w:r>
          </w:p>
        </w:tc>
        <w:tc>
          <w:tcPr>
            <w:tcW w:w="1462" w:type="dxa"/>
            <w:tcBorders>
              <w:top w:val="single" w:color="auto" w:sz="4" w:space="0"/>
              <w:left w:val="nil"/>
              <w:bottom w:val="single" w:color="auto" w:sz="4" w:space="0"/>
              <w:right w:val="single" w:color="auto" w:sz="4" w:space="0"/>
            </w:tcBorders>
            <w:shd w:val="clear" w:color="000000" w:fill="D0CECE"/>
            <w:noWrap w:val="0"/>
            <w:vAlign w:val="center"/>
          </w:tcPr>
          <w:p w14:paraId="29FE03A7">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产品名称</w:t>
            </w:r>
          </w:p>
        </w:tc>
        <w:tc>
          <w:tcPr>
            <w:tcW w:w="5406" w:type="dxa"/>
            <w:tcBorders>
              <w:top w:val="single" w:color="auto" w:sz="4" w:space="0"/>
              <w:left w:val="nil"/>
              <w:bottom w:val="single" w:color="auto" w:sz="4" w:space="0"/>
              <w:right w:val="single" w:color="auto" w:sz="4" w:space="0"/>
            </w:tcBorders>
            <w:shd w:val="clear" w:color="000000" w:fill="D0CECE"/>
            <w:noWrap w:val="0"/>
            <w:vAlign w:val="center"/>
          </w:tcPr>
          <w:p w14:paraId="37CCBAD5">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参数</w:t>
            </w:r>
          </w:p>
        </w:tc>
        <w:tc>
          <w:tcPr>
            <w:tcW w:w="705" w:type="dxa"/>
            <w:tcBorders>
              <w:top w:val="single" w:color="auto" w:sz="4" w:space="0"/>
              <w:left w:val="nil"/>
              <w:bottom w:val="single" w:color="auto" w:sz="4" w:space="0"/>
              <w:right w:val="single" w:color="auto" w:sz="4" w:space="0"/>
            </w:tcBorders>
            <w:shd w:val="clear" w:color="000000" w:fill="D0CECE"/>
            <w:noWrap w:val="0"/>
            <w:vAlign w:val="center"/>
          </w:tcPr>
          <w:p w14:paraId="753909C6">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数量</w:t>
            </w:r>
          </w:p>
        </w:tc>
        <w:tc>
          <w:tcPr>
            <w:tcW w:w="767" w:type="dxa"/>
            <w:tcBorders>
              <w:top w:val="single" w:color="auto" w:sz="4" w:space="0"/>
              <w:left w:val="nil"/>
              <w:bottom w:val="single" w:color="auto" w:sz="4" w:space="0"/>
              <w:right w:val="single" w:color="auto" w:sz="4" w:space="0"/>
            </w:tcBorders>
            <w:shd w:val="clear" w:color="000000" w:fill="D0CECE"/>
            <w:noWrap w:val="0"/>
            <w:vAlign w:val="center"/>
          </w:tcPr>
          <w:p w14:paraId="2B055709">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单位</w:t>
            </w:r>
          </w:p>
        </w:tc>
      </w:tr>
      <w:tr w14:paraId="76C4E07F">
        <w:tblPrEx>
          <w:tblCellMar>
            <w:top w:w="0" w:type="dxa"/>
            <w:left w:w="108" w:type="dxa"/>
            <w:bottom w:w="0" w:type="dxa"/>
            <w:right w:w="108" w:type="dxa"/>
          </w:tblCellMar>
        </w:tblPrEx>
        <w:trPr>
          <w:trHeight w:val="348" w:hRule="atLeast"/>
          <w:jc w:val="center"/>
        </w:trPr>
        <w:tc>
          <w:tcPr>
            <w:tcW w:w="72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B3363AA">
            <w:pPr>
              <w:widowControl/>
              <w:jc w:val="center"/>
              <w:rPr>
                <w:rFonts w:hint="eastAsia" w:asciiTheme="majorEastAsia" w:hAnsiTheme="majorEastAsia" w:eastAsiaTheme="majorEastAsia" w:cstheme="majorEastAsia"/>
                <w:sz w:val="24"/>
                <w:szCs w:val="24"/>
                <w:lang w:eastAsia="zh-CN"/>
              </w:rPr>
            </w:pPr>
            <w:r>
              <w:rPr>
                <w:rFonts w:hint="eastAsia" w:asciiTheme="majorEastAsia" w:hAnsiTheme="majorEastAsia" w:eastAsiaTheme="majorEastAsia" w:cstheme="majorEastAsia"/>
                <w:sz w:val="24"/>
                <w:szCs w:val="24"/>
                <w:lang w:val="en-US" w:eastAsia="zh-CN"/>
              </w:rPr>
              <w:t>2</w:t>
            </w:r>
          </w:p>
        </w:tc>
        <w:tc>
          <w:tcPr>
            <w:tcW w:w="1462" w:type="dxa"/>
            <w:tcBorders>
              <w:top w:val="single" w:color="auto" w:sz="4" w:space="0"/>
              <w:left w:val="nil"/>
              <w:bottom w:val="single" w:color="auto" w:sz="4" w:space="0"/>
              <w:right w:val="single" w:color="auto" w:sz="4" w:space="0"/>
            </w:tcBorders>
            <w:shd w:val="clear" w:color="000000" w:fill="FFFFFF"/>
            <w:noWrap w:val="0"/>
            <w:vAlign w:val="center"/>
          </w:tcPr>
          <w:p w14:paraId="2E9C7D7C">
            <w:pPr>
              <w:widowControl/>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25吨</w:t>
            </w:r>
            <w:r>
              <w:rPr>
                <w:rFonts w:hint="eastAsia" w:asciiTheme="majorEastAsia" w:hAnsiTheme="majorEastAsia" w:eastAsiaTheme="majorEastAsia" w:cstheme="majorEastAsia"/>
                <w:sz w:val="24"/>
                <w:szCs w:val="24"/>
                <w:lang w:val="en-US" w:eastAsia="zh-CN"/>
              </w:rPr>
              <w:t>水罐</w:t>
            </w:r>
            <w:r>
              <w:rPr>
                <w:rFonts w:hint="eastAsia" w:asciiTheme="majorEastAsia" w:hAnsiTheme="majorEastAsia" w:eastAsiaTheme="majorEastAsia" w:cstheme="majorEastAsia"/>
                <w:sz w:val="24"/>
                <w:szCs w:val="24"/>
              </w:rPr>
              <w:t>消防车</w:t>
            </w:r>
          </w:p>
        </w:tc>
        <w:tc>
          <w:tcPr>
            <w:tcW w:w="5406" w:type="dxa"/>
            <w:tcBorders>
              <w:top w:val="single" w:color="auto" w:sz="4" w:space="0"/>
              <w:left w:val="nil"/>
              <w:bottom w:val="single" w:color="auto" w:sz="4" w:space="0"/>
              <w:right w:val="single" w:color="auto" w:sz="4" w:space="0"/>
            </w:tcBorders>
            <w:shd w:val="clear" w:color="000000" w:fill="FFFFFF"/>
            <w:noWrap w:val="0"/>
            <w:vAlign w:val="center"/>
          </w:tcPr>
          <w:p w14:paraId="17EE2CC0">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1.1总体要求</w:t>
            </w:r>
          </w:p>
          <w:p w14:paraId="1C1413F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1.1.1 </w:t>
            </w: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载液量：≥24.5t；</w:t>
            </w:r>
          </w:p>
          <w:p w14:paraId="51FF145B">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1.1.2 国六底盘；</w:t>
            </w:r>
          </w:p>
          <w:p w14:paraId="4CACC495">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1.1.6 车辆最高车速：≥95km/h；</w:t>
            </w:r>
          </w:p>
          <w:p w14:paraId="3790412D">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1.1.7 外形尺寸（长×宽×高）：≥11950×2500×3650mm；</w:t>
            </w:r>
          </w:p>
          <w:p w14:paraId="17994717">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 xml:space="preserve">1.1.8水泵流量（L/s）： ≥100 </w:t>
            </w:r>
          </w:p>
          <w:p w14:paraId="7B4075E4">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1.1.9消防炮流量（L/s）: ≥80</w:t>
            </w:r>
          </w:p>
          <w:p w14:paraId="580D9EC8">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1.1.10 最小转弯直径：≤ 28；</w:t>
            </w:r>
          </w:p>
          <w:p w14:paraId="02808C04">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1.1.11 底盘品牌：国内知名品牌。</w:t>
            </w:r>
          </w:p>
          <w:p w14:paraId="50A7B528">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1.2 底盘</w:t>
            </w:r>
          </w:p>
          <w:p w14:paraId="064F8D7F">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1.2.1 发动机功率：≥340kW；</w:t>
            </w:r>
          </w:p>
          <w:p w14:paraId="586F51B5">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1.2.2 燃料：柴油；</w:t>
            </w:r>
          </w:p>
          <w:p w14:paraId="2DA06329">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1.2.3 尾气排放：国六排放标准；</w:t>
            </w:r>
          </w:p>
          <w:p w14:paraId="277ACDA5">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1.2.4 轴距：≥1950mm+4600mm+1400mm；</w:t>
            </w:r>
          </w:p>
          <w:p w14:paraId="47BD677D">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1.2.5 驱动型式：8×4；</w:t>
            </w:r>
          </w:p>
          <w:p w14:paraId="637F1FD7">
            <w:pPr>
              <w:spacing w:line="360" w:lineRule="auto"/>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1.2.6 取力器：底盘原装全功率取力器。 </w:t>
            </w:r>
          </w:p>
          <w:p w14:paraId="4A936231">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1.2.7 驾驶室乘员：2人，气囊减震主座椅，机械副座椅，电动电加热后视镜，前排电动升降玻璃，前排座椅均装置三点式汽车安全带；</w:t>
            </w:r>
          </w:p>
          <w:p w14:paraId="2CAFB265">
            <w:pPr>
              <w:spacing w:line="360" w:lineRule="auto"/>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1.2.8除原车设备外，需设有取力器控制开关、100W警报器、附加电源、排式警灯、照明灯开关。驾驶室配冷暖空调系统。</w:t>
            </w:r>
          </w:p>
          <w:p w14:paraId="4C008725">
            <w:pPr>
              <w:spacing w:line="360" w:lineRule="auto"/>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1.2.9 轮胎：非驱动轮：385/65 R22.5，驱动轮：315/80 R22.5;备胎1个;</w:t>
            </w:r>
          </w:p>
          <w:p w14:paraId="64637141">
            <w:pPr>
              <w:spacing w:line="360" w:lineRule="auto"/>
              <w:jc w:val="left"/>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1.2.10 燃油箱容积：≥300L；</w:t>
            </w:r>
          </w:p>
          <w:p w14:paraId="7D9EFDE4">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1.3 消防水路系统</w:t>
            </w:r>
          </w:p>
          <w:p w14:paraId="0C409A90">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1.3.1 消防炮</w:t>
            </w:r>
          </w:p>
          <w:p w14:paraId="4FFF119E">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1.3.1.1 国产知名品牌；</w:t>
            </w:r>
          </w:p>
          <w:p w14:paraId="632A3B85">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1.3.1.2 </w:t>
            </w: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消防炮流量：≥80L/s；</w:t>
            </w:r>
          </w:p>
          <w:p w14:paraId="663409D5">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1.3.1.3 </w:t>
            </w: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 xml:space="preserve">消防炮射程：水≥80m； </w:t>
            </w:r>
          </w:p>
          <w:p w14:paraId="400ED7F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1.3.1.4 回转角≥270°，俯角≤-7°; 仰角≥+45°；</w:t>
            </w:r>
          </w:p>
          <w:p w14:paraId="7FE3E090">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1.3.1.5控制方式：电动控制</w:t>
            </w:r>
          </w:p>
          <w:p w14:paraId="79D3B25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1.3.2 消防泵</w:t>
            </w:r>
          </w:p>
          <w:p w14:paraId="7572663D">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1.3.2.1 国产知名品牌</w:t>
            </w:r>
          </w:p>
          <w:p w14:paraId="139B2296">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1.3.2.2 泵壳需采用铸铝材质，泵轴需采用不锈钢材质、叶轮需采用铝材质；</w:t>
            </w:r>
          </w:p>
          <w:p w14:paraId="2BD9644F">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 xml:space="preserve">1.3.2.3 </w:t>
            </w:r>
            <w:r>
              <w:rPr>
                <w:rFonts w:hint="eastAsia" w:asciiTheme="majorEastAsia" w:hAnsiTheme="majorEastAsia" w:eastAsiaTheme="majorEastAsia" w:cstheme="majorEastAsia"/>
                <w:sz w:val="24"/>
                <w:szCs w:val="24"/>
                <w:lang w:eastAsia="zh-CN"/>
              </w:rPr>
              <w:t>★</w:t>
            </w:r>
            <w:r>
              <w:rPr>
                <w:rFonts w:hint="eastAsia" w:asciiTheme="majorEastAsia" w:hAnsiTheme="majorEastAsia" w:eastAsiaTheme="majorEastAsia" w:cstheme="majorEastAsia"/>
                <w:sz w:val="24"/>
                <w:szCs w:val="24"/>
              </w:rPr>
              <w:t>流量：≥100L/s；</w:t>
            </w:r>
          </w:p>
          <w:p w14:paraId="5EBB57AF">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1.3.3真空泵：真空度≥85kPa；最大引水深度≥７m；</w:t>
            </w:r>
          </w:p>
          <w:p w14:paraId="301546A7">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1.3.4 载液罐</w:t>
            </w:r>
          </w:p>
          <w:p w14:paraId="649C4C70">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1.3.4.1 罐体载液量：≥24.5t；</w:t>
            </w:r>
          </w:p>
          <w:p w14:paraId="5100B796">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1.3.4.2 水罐需采用优质钢板，罐体侧板厚≥4mm，纵、横隔板≥3mm，底板厚≥6mm。；</w:t>
            </w:r>
          </w:p>
          <w:p w14:paraId="13436809">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1.3.5.4罐体内部喷涂防腐材料；</w:t>
            </w:r>
          </w:p>
          <w:p w14:paraId="7B2548A0">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1.3.5.5 2个直径≥450mm的人孔, 带有快速锁紧及开启装置；</w:t>
            </w:r>
          </w:p>
          <w:p w14:paraId="066B0303">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1.3.7管路系统：</w:t>
            </w:r>
          </w:p>
          <w:tbl>
            <w:tblPr>
              <w:tblStyle w:val="28"/>
              <w:tblW w:w="47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5"/>
              <w:gridCol w:w="2927"/>
            </w:tblGrid>
            <w:tr w14:paraId="50AA5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jc w:val="center"/>
              </w:trPr>
              <w:tc>
                <w:tcPr>
                  <w:tcW w:w="2027" w:type="pct"/>
                  <w:noWrap w:val="0"/>
                  <w:vAlign w:val="center"/>
                </w:tcPr>
                <w:p w14:paraId="6CF35605">
                  <w:pPr>
                    <w:spacing w:line="360"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管路</w:t>
                  </w:r>
                </w:p>
              </w:tc>
              <w:tc>
                <w:tcPr>
                  <w:tcW w:w="2973" w:type="pct"/>
                  <w:noWrap w:val="0"/>
                  <w:vAlign w:val="center"/>
                </w:tcPr>
                <w:p w14:paraId="54E4AB8E">
                  <w:pPr>
                    <w:spacing w:line="360"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规格</w:t>
                  </w:r>
                </w:p>
              </w:tc>
            </w:tr>
            <w:tr w14:paraId="1024A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027" w:type="pct"/>
                  <w:noWrap w:val="0"/>
                  <w:vAlign w:val="center"/>
                </w:tcPr>
                <w:p w14:paraId="1C0BA148">
                  <w:pPr>
                    <w:spacing w:line="360"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内进水管路</w:t>
                  </w:r>
                </w:p>
              </w:tc>
              <w:tc>
                <w:tcPr>
                  <w:tcW w:w="2973" w:type="pct"/>
                  <w:noWrap w:val="0"/>
                  <w:vAlign w:val="center"/>
                </w:tcPr>
                <w:p w14:paraId="1A783BD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需设有1个内径为DN150的后进水管路</w:t>
                  </w:r>
                </w:p>
              </w:tc>
            </w:tr>
            <w:tr w14:paraId="59BF1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027" w:type="pct"/>
                  <w:noWrap w:val="0"/>
                  <w:vAlign w:val="center"/>
                </w:tcPr>
                <w:p w14:paraId="37CBE76E">
                  <w:pPr>
                    <w:spacing w:line="360"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吸水管路</w:t>
                  </w:r>
                </w:p>
              </w:tc>
              <w:tc>
                <w:tcPr>
                  <w:tcW w:w="2973" w:type="pct"/>
                  <w:noWrap w:val="0"/>
                  <w:vAlign w:val="center"/>
                </w:tcPr>
                <w:p w14:paraId="2B3A0FD1">
                  <w:pPr>
                    <w:spacing w:line="360" w:lineRule="auto"/>
                    <w:ind w:left="-105" w:leftChars="-50" w:right="-105" w:rightChars="-5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泵房后部需设2个内径为DN150的吸水口</w:t>
                  </w:r>
                </w:p>
              </w:tc>
            </w:tr>
            <w:tr w14:paraId="0912C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027" w:type="pct"/>
                  <w:noWrap w:val="0"/>
                  <w:vAlign w:val="center"/>
                </w:tcPr>
                <w:p w14:paraId="1D70AA60">
                  <w:pPr>
                    <w:spacing w:line="360" w:lineRule="auto"/>
                    <w:jc w:val="center"/>
                    <w:rPr>
                      <w:rFonts w:hint="eastAsia" w:asciiTheme="majorEastAsia" w:hAnsiTheme="majorEastAsia" w:eastAsiaTheme="majorEastAsia" w:cstheme="majorEastAsia"/>
                      <w:sz w:val="24"/>
                      <w:szCs w:val="24"/>
                    </w:rPr>
                  </w:pPr>
                  <w:bookmarkStart w:id="8" w:name="_Toc247429912"/>
                  <w:r>
                    <w:rPr>
                      <w:rFonts w:hint="eastAsia" w:asciiTheme="majorEastAsia" w:hAnsiTheme="majorEastAsia" w:eastAsiaTheme="majorEastAsia" w:cstheme="majorEastAsia"/>
                      <w:sz w:val="24"/>
                      <w:szCs w:val="24"/>
                    </w:rPr>
                    <w:t>注水管路</w:t>
                  </w:r>
                  <w:bookmarkEnd w:id="8"/>
                </w:p>
              </w:tc>
              <w:tc>
                <w:tcPr>
                  <w:tcW w:w="2973" w:type="pct"/>
                  <w:noWrap w:val="0"/>
                  <w:vAlign w:val="center"/>
                </w:tcPr>
                <w:p w14:paraId="449693F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车厢左右两侧需各设3个内径为DN80管路接扣</w:t>
                  </w:r>
                </w:p>
              </w:tc>
            </w:tr>
            <w:tr w14:paraId="77905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027" w:type="pct"/>
                  <w:noWrap w:val="0"/>
                  <w:vAlign w:val="center"/>
                </w:tcPr>
                <w:p w14:paraId="2F8E33C7">
                  <w:pPr>
                    <w:spacing w:line="360"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出水口</w:t>
                  </w:r>
                </w:p>
              </w:tc>
              <w:tc>
                <w:tcPr>
                  <w:tcW w:w="2973" w:type="pct"/>
                  <w:noWrap w:val="0"/>
                  <w:vAlign w:val="center"/>
                </w:tcPr>
                <w:p w14:paraId="0F15A920">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泵房两侧需各设2个带控制阀DN80泵侧出水口</w:t>
                  </w:r>
                </w:p>
              </w:tc>
            </w:tr>
            <w:tr w14:paraId="552ED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027" w:type="pct"/>
                  <w:noWrap w:val="0"/>
                  <w:vAlign w:val="center"/>
                </w:tcPr>
                <w:p w14:paraId="5E397609">
                  <w:pPr>
                    <w:spacing w:line="360"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炮出水管路</w:t>
                  </w:r>
                </w:p>
              </w:tc>
              <w:tc>
                <w:tcPr>
                  <w:tcW w:w="2973" w:type="pct"/>
                  <w:noWrap w:val="0"/>
                  <w:vAlign w:val="center"/>
                </w:tcPr>
                <w:p w14:paraId="1A311BD4">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需设有1个DN100的炮出水管路</w:t>
                  </w:r>
                </w:p>
              </w:tc>
            </w:tr>
          </w:tbl>
          <w:p w14:paraId="20535A17">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1.4泵房：</w:t>
            </w:r>
          </w:p>
          <w:p w14:paraId="6438303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1.4.1材质：泵房主骨架需采用优质钢制型材，器材架需采用铝合金型材。外蒙板需采用铝板粘接，内饰板及内饰底板需采用氧化铝合金花纹板，其厚度为≥1.5mm，顶部需铺设防滑铝板。</w:t>
            </w:r>
          </w:p>
          <w:p w14:paraId="4DC38CCF">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1.4.2结构：主骨架需采用全钢制型材框架焊接；器材箱内骨架需采用铝合金型材搭接；内蒙板需采用高强度粘结胶粘结。</w:t>
            </w:r>
          </w:p>
          <w:p w14:paraId="38A0D72D">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1.4.3泵室需设置于车后部, 两边与尾部需设有铝合金卷帘门。两边需设有脚踏板并防滑设计。</w:t>
            </w:r>
          </w:p>
          <w:p w14:paraId="40864CF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1.4.4卷帘门：泵房需采用轻质铝合金带锁卷帘门，把手和锁坚固耐用，不宜变形。需均经过水淋密封性能试验。每个器材箱内都需设有随帘子门启闭的LED照明灯带，方便夜间取放器材, 所有卷帘门通用一把钥匙。</w:t>
            </w:r>
          </w:p>
          <w:p w14:paraId="2F78A67C">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1.4.5车顶护栏：需采用一次性成型铝合金材质车顶护栏</w:t>
            </w:r>
          </w:p>
          <w:p w14:paraId="5A49A5B8">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1.4.6翻板踏脚：需采用一次性成型铝合金材质翻转踏板结构; 需采用双重锁紧机构，开合可靠。踏脚翻板翻下静载荷≥150kg。翻板两侧需装有频闪警示灯</w:t>
            </w:r>
          </w:p>
          <w:p w14:paraId="1D63A15B">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1.4.7后爬梯：泵房后部需设有铝合金折叠式爬梯。</w:t>
            </w:r>
          </w:p>
          <w:p w14:paraId="6453F017">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1.5 电气系统</w:t>
            </w:r>
          </w:p>
          <w:p w14:paraId="316E8BAF">
            <w:pPr>
              <w:adjustRightInd w:val="0"/>
              <w:snapToGrid w:val="0"/>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1.5.1整车需设有电源总开关。</w:t>
            </w:r>
          </w:p>
          <w:p w14:paraId="4543F392">
            <w:pPr>
              <w:adjustRightInd w:val="0"/>
              <w:snapToGrid w:val="0"/>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1.5.2除原车设备外在驾驶室内需设有，警报器，警灯、标志灯、示廓灯等操控开关，需采用独立电路设计，电气控制盒集中控制。</w:t>
            </w:r>
          </w:p>
          <w:p w14:paraId="28911C61">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1.5.3 驾驶室安装警报器及扩音装置，功率≥100W；</w:t>
            </w:r>
          </w:p>
          <w:p w14:paraId="5731B3AF">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1.5.4需配备车辆快速启动保障系统于主驾一侧，可对车辆蓄电池进行智能充电，对制动储气罐进行智能充气补气，可在车辆启动时自动脱落，也可手动分离；</w:t>
            </w:r>
          </w:p>
          <w:p w14:paraId="07B5C929">
            <w:pPr>
              <w:pStyle w:val="3"/>
              <w:rPr>
                <w:rFonts w:hint="eastAsia" w:asciiTheme="majorEastAsia" w:hAnsiTheme="majorEastAsia" w:eastAsiaTheme="majorEastAsia" w:cstheme="majorEastAsia"/>
                <w:b w:val="0"/>
                <w:bCs w:val="0"/>
                <w:sz w:val="24"/>
                <w:szCs w:val="24"/>
              </w:rPr>
            </w:pPr>
            <w:r>
              <w:rPr>
                <w:rFonts w:hint="eastAsia" w:asciiTheme="majorEastAsia" w:hAnsiTheme="majorEastAsia" w:eastAsiaTheme="majorEastAsia" w:cstheme="majorEastAsia"/>
                <w:b w:val="0"/>
                <w:bCs w:val="0"/>
                <w:sz w:val="24"/>
                <w:szCs w:val="24"/>
              </w:rPr>
              <w:t>1.5.5驾驶室需配备360°行车记录仪和倒车雷达等，显示屏尺寸≥10，内存≥32G。</w:t>
            </w:r>
          </w:p>
          <w:p w14:paraId="5F184E1F">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1.6消防控制系统</w:t>
            </w:r>
          </w:p>
          <w:p w14:paraId="7663CC36">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1.6.1安装位置：泵房后部</w:t>
            </w:r>
          </w:p>
          <w:p w14:paraId="33514466">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1.6.2仪表板上设备：其上装有PLC高亮显示屏及各种控制开关，并在其近旁都需有明显的中文标识，并具备充足的照明。PLC高亮显示屏上需显示有液位、转速、压力、真空度、消防系统原理图和操作步骤说明等内容；面板上还需设有：仪表板照明灯和开关、紧急停止按钮、发动机调速旋钮、引水开关、 内吸水开关、内注水开关等设备。</w:t>
            </w:r>
          </w:p>
          <w:p w14:paraId="1C590AFF">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1.7车辆外观</w:t>
            </w:r>
          </w:p>
          <w:p w14:paraId="489B3FD5">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1.7.1需采用优质聚氨酯烤漆，整车的颜色以消防红为主色；</w:t>
            </w:r>
          </w:p>
          <w:p w14:paraId="0BD0DA1A">
            <w:pPr>
              <w:spacing w:line="360"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1.7.2需按国家标准粘贴反光安全标识。</w:t>
            </w:r>
          </w:p>
          <w:p w14:paraId="4FB4F261">
            <w:pPr>
              <w:spacing w:line="360" w:lineRule="auto"/>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t>1.8 随车器材</w:t>
            </w:r>
          </w:p>
          <w:tbl>
            <w:tblPr>
              <w:tblStyle w:val="28"/>
              <w:tblpPr w:leftFromText="180" w:rightFromText="180" w:vertAnchor="text" w:horzAnchor="margin" w:tblpXSpec="center" w:tblpY="38"/>
              <w:tblOverlap w:val="never"/>
              <w:tblW w:w="47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945"/>
              <w:gridCol w:w="1559"/>
              <w:gridCol w:w="425"/>
              <w:gridCol w:w="567"/>
              <w:gridCol w:w="769"/>
            </w:tblGrid>
            <w:tr w14:paraId="4D632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blHeader/>
              </w:trPr>
              <w:tc>
                <w:tcPr>
                  <w:tcW w:w="468" w:type="dxa"/>
                  <w:tcBorders>
                    <w:top w:val="single" w:color="auto" w:sz="4" w:space="0"/>
                    <w:left w:val="single" w:color="auto" w:sz="4" w:space="0"/>
                    <w:bottom w:val="single" w:color="auto" w:sz="4" w:space="0"/>
                    <w:right w:val="single" w:color="auto" w:sz="4" w:space="0"/>
                  </w:tcBorders>
                  <w:noWrap w:val="0"/>
                  <w:vAlign w:val="center"/>
                </w:tcPr>
                <w:p w14:paraId="5339458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序号</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5E730377">
                  <w:pPr>
                    <w:spacing w:line="276" w:lineRule="auto"/>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名 称</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45CCCF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规格/代号</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20934D8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单位</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79A7658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数量</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482707F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备   注</w:t>
                  </w:r>
                </w:p>
              </w:tc>
            </w:tr>
            <w:tr w14:paraId="25AB5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4A849D0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3E0A772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6″吸水管</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E5280A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Φ150mm×2m</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58D78B2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根</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21B8803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5555F647">
                  <w:pPr>
                    <w:spacing w:line="276" w:lineRule="auto"/>
                    <w:jc w:val="center"/>
                    <w:rPr>
                      <w:rFonts w:hint="eastAsia" w:asciiTheme="majorEastAsia" w:hAnsiTheme="majorEastAsia" w:eastAsiaTheme="majorEastAsia" w:cstheme="majorEastAsia"/>
                      <w:sz w:val="24"/>
                      <w:szCs w:val="24"/>
                    </w:rPr>
                  </w:pPr>
                </w:p>
              </w:tc>
            </w:tr>
            <w:tr w14:paraId="27F10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153D322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3DE69F2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消防水带</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3B6033F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Φ80mm×20m</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16526FC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盘</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5B770EC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10</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1413A17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16型卡式</w:t>
                  </w:r>
                </w:p>
              </w:tc>
            </w:tr>
            <w:tr w14:paraId="4C692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43B3B7F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3</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B206DC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消防水带</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44526D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Φ65mm×20m</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51AE534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盘</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1BA982B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10</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2B028A8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20型卡式</w:t>
                  </w:r>
                </w:p>
              </w:tc>
            </w:tr>
            <w:tr w14:paraId="5E02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1467A6E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0286455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专用水带</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BD0227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Φ80mm×5m</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03B9AB9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盘</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6AA6AC9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2B2877FB">
                  <w:pPr>
                    <w:spacing w:line="276" w:lineRule="auto"/>
                    <w:jc w:val="center"/>
                    <w:rPr>
                      <w:rFonts w:hint="eastAsia" w:asciiTheme="majorEastAsia" w:hAnsiTheme="majorEastAsia" w:eastAsiaTheme="majorEastAsia" w:cstheme="majorEastAsia"/>
                      <w:sz w:val="24"/>
                      <w:szCs w:val="24"/>
                    </w:rPr>
                  </w:pPr>
                </w:p>
              </w:tc>
            </w:tr>
            <w:tr w14:paraId="7BE03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56BF715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5</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B7E706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滤水器</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3C1C6B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4083526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01552B5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0F5CF213">
                  <w:pPr>
                    <w:spacing w:line="276" w:lineRule="auto"/>
                    <w:jc w:val="center"/>
                    <w:rPr>
                      <w:rFonts w:hint="eastAsia" w:asciiTheme="majorEastAsia" w:hAnsiTheme="majorEastAsia" w:eastAsiaTheme="majorEastAsia" w:cstheme="majorEastAsia"/>
                      <w:sz w:val="24"/>
                      <w:szCs w:val="24"/>
                    </w:rPr>
                  </w:pPr>
                </w:p>
              </w:tc>
            </w:tr>
            <w:tr w14:paraId="18236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314783D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8423BD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二分水器</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C05B3E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FⅡ80/65×2-1.6</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54E98B5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7D176C2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0B2E8BD3">
                  <w:pPr>
                    <w:spacing w:line="276" w:lineRule="auto"/>
                    <w:jc w:val="center"/>
                    <w:rPr>
                      <w:rFonts w:hint="eastAsia" w:asciiTheme="majorEastAsia" w:hAnsiTheme="majorEastAsia" w:eastAsiaTheme="majorEastAsia" w:cstheme="majorEastAsia"/>
                      <w:sz w:val="24"/>
                      <w:szCs w:val="24"/>
                    </w:rPr>
                  </w:pPr>
                </w:p>
              </w:tc>
            </w:tr>
            <w:tr w14:paraId="65CF2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45A36A6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7</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3E1B005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集水器</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32CFCD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JⅡ150/80×2-1.6</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578844E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381727C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5D47C2E5">
                  <w:pPr>
                    <w:spacing w:line="276" w:lineRule="auto"/>
                    <w:jc w:val="center"/>
                    <w:rPr>
                      <w:rFonts w:hint="eastAsia" w:asciiTheme="majorEastAsia" w:hAnsiTheme="majorEastAsia" w:eastAsiaTheme="majorEastAsia" w:cstheme="majorEastAsia"/>
                      <w:sz w:val="24"/>
                      <w:szCs w:val="24"/>
                    </w:rPr>
                  </w:pPr>
                </w:p>
              </w:tc>
            </w:tr>
            <w:tr w14:paraId="54831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67D0356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7D2C56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异径接口</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5644577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KJK80（雄）/65（雌）</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3744934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5979B5D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4D3C7434">
                  <w:pPr>
                    <w:spacing w:line="276" w:lineRule="auto"/>
                    <w:jc w:val="center"/>
                    <w:rPr>
                      <w:rFonts w:hint="eastAsia" w:asciiTheme="majorEastAsia" w:hAnsiTheme="majorEastAsia" w:eastAsiaTheme="majorEastAsia" w:cstheme="majorEastAsia"/>
                      <w:sz w:val="24"/>
                      <w:szCs w:val="24"/>
                    </w:rPr>
                  </w:pPr>
                </w:p>
              </w:tc>
            </w:tr>
            <w:tr w14:paraId="0DA1C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73E2002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9</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7143890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异型接口</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EB986C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KXK80/65（雌）</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572914E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42EDB1C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59957F0E">
                  <w:pPr>
                    <w:spacing w:line="276" w:lineRule="auto"/>
                    <w:jc w:val="center"/>
                    <w:rPr>
                      <w:rFonts w:hint="eastAsia" w:asciiTheme="majorEastAsia" w:hAnsiTheme="majorEastAsia" w:eastAsiaTheme="majorEastAsia" w:cstheme="majorEastAsia"/>
                      <w:sz w:val="24"/>
                      <w:szCs w:val="24"/>
                    </w:rPr>
                  </w:pPr>
                </w:p>
              </w:tc>
            </w:tr>
            <w:tr w14:paraId="08B6D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0E2B760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10</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53A27BC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异径接口</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4DF657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KJ80/65</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51CBBF1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6F117E2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62CC8303">
                  <w:pPr>
                    <w:spacing w:line="276" w:lineRule="auto"/>
                    <w:jc w:val="center"/>
                    <w:rPr>
                      <w:rFonts w:hint="eastAsia" w:asciiTheme="majorEastAsia" w:hAnsiTheme="majorEastAsia" w:eastAsiaTheme="majorEastAsia" w:cstheme="majorEastAsia"/>
                      <w:sz w:val="24"/>
                      <w:szCs w:val="24"/>
                    </w:rPr>
                  </w:pPr>
                </w:p>
              </w:tc>
            </w:tr>
            <w:tr w14:paraId="103C5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389A9D9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11</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3E1948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水带挂钩</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5F6FC20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FG600</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69A7192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6BAE7DF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1E1EE97C">
                  <w:pPr>
                    <w:spacing w:line="276" w:lineRule="auto"/>
                    <w:jc w:val="center"/>
                    <w:rPr>
                      <w:rFonts w:hint="eastAsia" w:asciiTheme="majorEastAsia" w:hAnsiTheme="majorEastAsia" w:eastAsiaTheme="majorEastAsia" w:cstheme="majorEastAsia"/>
                      <w:sz w:val="24"/>
                      <w:szCs w:val="24"/>
                    </w:rPr>
                  </w:pPr>
                </w:p>
              </w:tc>
            </w:tr>
            <w:tr w14:paraId="5A2CE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6DE3E27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12</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68F7B86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水带包布</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CA68D4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FP470</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0CEA8FD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67CAC57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617BA201">
                  <w:pPr>
                    <w:spacing w:line="276" w:lineRule="auto"/>
                    <w:jc w:val="center"/>
                    <w:rPr>
                      <w:rFonts w:hint="eastAsia" w:asciiTheme="majorEastAsia" w:hAnsiTheme="majorEastAsia" w:eastAsiaTheme="majorEastAsia" w:cstheme="majorEastAsia"/>
                      <w:sz w:val="24"/>
                      <w:szCs w:val="24"/>
                    </w:rPr>
                  </w:pPr>
                </w:p>
              </w:tc>
            </w:tr>
            <w:tr w14:paraId="69EA4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1F9A6F7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13</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3944A51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水带护桥</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DF583AC">
                  <w:pPr>
                    <w:spacing w:line="276" w:lineRule="auto"/>
                    <w:jc w:val="center"/>
                    <w:rPr>
                      <w:rFonts w:hint="eastAsia" w:asciiTheme="majorEastAsia" w:hAnsiTheme="majorEastAsia" w:eastAsiaTheme="majorEastAsia" w:cstheme="majorEastAsia"/>
                      <w:sz w:val="24"/>
                      <w:szCs w:val="24"/>
                    </w:rPr>
                  </w:pPr>
                </w:p>
              </w:tc>
              <w:tc>
                <w:tcPr>
                  <w:tcW w:w="425" w:type="dxa"/>
                  <w:tcBorders>
                    <w:top w:val="single" w:color="auto" w:sz="4" w:space="0"/>
                    <w:left w:val="single" w:color="auto" w:sz="4" w:space="0"/>
                    <w:bottom w:val="single" w:color="auto" w:sz="4" w:space="0"/>
                    <w:right w:val="single" w:color="auto" w:sz="4" w:space="0"/>
                  </w:tcBorders>
                  <w:noWrap w:val="0"/>
                  <w:vAlign w:val="center"/>
                </w:tcPr>
                <w:p w14:paraId="3114846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副</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05EBE0D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4037BFFC">
                  <w:pPr>
                    <w:spacing w:line="276" w:lineRule="auto"/>
                    <w:jc w:val="center"/>
                    <w:rPr>
                      <w:rFonts w:hint="eastAsia" w:asciiTheme="majorEastAsia" w:hAnsiTheme="majorEastAsia" w:eastAsiaTheme="majorEastAsia" w:cstheme="majorEastAsia"/>
                      <w:sz w:val="24"/>
                      <w:szCs w:val="24"/>
                    </w:rPr>
                  </w:pPr>
                </w:p>
              </w:tc>
            </w:tr>
            <w:tr w14:paraId="039C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065EC53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14</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6D19C4A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地上消火栓扳手</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55E70BE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FB450</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1D9246B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54868C1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65B56D2A">
                  <w:pPr>
                    <w:spacing w:line="276" w:lineRule="auto"/>
                    <w:jc w:val="center"/>
                    <w:rPr>
                      <w:rFonts w:hint="eastAsia" w:asciiTheme="majorEastAsia" w:hAnsiTheme="majorEastAsia" w:eastAsiaTheme="majorEastAsia" w:cstheme="majorEastAsia"/>
                      <w:sz w:val="24"/>
                      <w:szCs w:val="24"/>
                    </w:rPr>
                  </w:pPr>
                </w:p>
              </w:tc>
            </w:tr>
            <w:tr w14:paraId="50C13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26A0C97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15</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EE028B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地下消火栓扳手</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629905A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FBX800</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6F7214C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4C79267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3ED8302C">
                  <w:pPr>
                    <w:spacing w:line="276" w:lineRule="auto"/>
                    <w:jc w:val="center"/>
                    <w:rPr>
                      <w:rFonts w:hint="eastAsia" w:asciiTheme="majorEastAsia" w:hAnsiTheme="majorEastAsia" w:eastAsiaTheme="majorEastAsia" w:cstheme="majorEastAsia"/>
                      <w:sz w:val="24"/>
                      <w:szCs w:val="24"/>
                    </w:rPr>
                  </w:pPr>
                </w:p>
              </w:tc>
            </w:tr>
            <w:tr w14:paraId="55825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7B919F2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16</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45B36C1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吸水管扳手</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0B77D1C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07BDDDB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44CF117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28501303">
                  <w:pPr>
                    <w:spacing w:line="276" w:lineRule="auto"/>
                    <w:jc w:val="center"/>
                    <w:rPr>
                      <w:rFonts w:hint="eastAsia" w:asciiTheme="majorEastAsia" w:hAnsiTheme="majorEastAsia" w:eastAsiaTheme="majorEastAsia" w:cstheme="majorEastAsia"/>
                      <w:sz w:val="24"/>
                      <w:szCs w:val="24"/>
                    </w:rPr>
                  </w:pPr>
                </w:p>
              </w:tc>
            </w:tr>
            <w:tr w14:paraId="0805D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04FB950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17</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49E3AC5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无后坐力多功能水枪</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7B5EDB90">
                  <w:pPr>
                    <w:spacing w:line="276" w:lineRule="auto"/>
                    <w:ind w:firstLine="120" w:firstLineChars="50"/>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QLD6.0/8</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11B2A60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4FB35AC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4</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69B41CE6">
                  <w:pPr>
                    <w:spacing w:line="276" w:lineRule="auto"/>
                    <w:jc w:val="center"/>
                    <w:rPr>
                      <w:rFonts w:hint="eastAsia" w:asciiTheme="majorEastAsia" w:hAnsiTheme="majorEastAsia" w:eastAsiaTheme="majorEastAsia" w:cstheme="majorEastAsia"/>
                      <w:spacing w:val="102"/>
                      <w:sz w:val="24"/>
                      <w:szCs w:val="24"/>
                    </w:rPr>
                  </w:pPr>
                  <w:r>
                    <w:rPr>
                      <w:rFonts w:hint="eastAsia" w:asciiTheme="majorEastAsia" w:hAnsiTheme="majorEastAsia" w:eastAsiaTheme="majorEastAsia" w:cstheme="majorEastAsia"/>
                      <w:sz w:val="24"/>
                      <w:szCs w:val="24"/>
                    </w:rPr>
                    <w:t>卡式</w:t>
                  </w:r>
                </w:p>
              </w:tc>
            </w:tr>
            <w:tr w14:paraId="2684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1811271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18</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0599A7B7">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橡皮锤</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232879F5">
                  <w:pPr>
                    <w:spacing w:line="276" w:lineRule="auto"/>
                    <w:jc w:val="center"/>
                    <w:rPr>
                      <w:rFonts w:hint="eastAsia" w:asciiTheme="majorEastAsia" w:hAnsiTheme="majorEastAsia" w:eastAsiaTheme="majorEastAsia" w:cstheme="majorEastAsia"/>
                      <w:sz w:val="24"/>
                      <w:szCs w:val="24"/>
                    </w:rPr>
                  </w:pPr>
                </w:p>
              </w:tc>
              <w:tc>
                <w:tcPr>
                  <w:tcW w:w="425" w:type="dxa"/>
                  <w:tcBorders>
                    <w:top w:val="single" w:color="auto" w:sz="4" w:space="0"/>
                    <w:left w:val="single" w:color="auto" w:sz="4" w:space="0"/>
                    <w:bottom w:val="single" w:color="auto" w:sz="4" w:space="0"/>
                    <w:right w:val="single" w:color="auto" w:sz="4" w:space="0"/>
                  </w:tcBorders>
                  <w:noWrap w:val="0"/>
                  <w:vAlign w:val="center"/>
                </w:tcPr>
                <w:p w14:paraId="701969B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个</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6B33CE3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0F2853B3">
                  <w:pPr>
                    <w:spacing w:line="276" w:lineRule="auto"/>
                    <w:jc w:val="center"/>
                    <w:rPr>
                      <w:rFonts w:hint="eastAsia" w:asciiTheme="majorEastAsia" w:hAnsiTheme="majorEastAsia" w:eastAsiaTheme="majorEastAsia" w:cstheme="majorEastAsia"/>
                      <w:sz w:val="24"/>
                      <w:szCs w:val="24"/>
                    </w:rPr>
                  </w:pPr>
                </w:p>
              </w:tc>
            </w:tr>
            <w:tr w14:paraId="3BEEB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2F8EA93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19</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4F2C4E7E">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消防斧</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483FD1E0">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GFT817</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75ADB12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0B9EC11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541CA33E">
                  <w:pPr>
                    <w:spacing w:line="276" w:lineRule="auto"/>
                    <w:jc w:val="center"/>
                    <w:rPr>
                      <w:rFonts w:hint="eastAsia" w:asciiTheme="majorEastAsia" w:hAnsiTheme="majorEastAsia" w:eastAsiaTheme="majorEastAsia" w:cstheme="majorEastAsia"/>
                      <w:sz w:val="24"/>
                      <w:szCs w:val="24"/>
                    </w:rPr>
                  </w:pPr>
                </w:p>
              </w:tc>
            </w:tr>
            <w:tr w14:paraId="7234C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3AFFEC5A">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20</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295A99E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铁铤</w:t>
                  </w:r>
                </w:p>
              </w:tc>
              <w:tc>
                <w:tcPr>
                  <w:tcW w:w="1559" w:type="dxa"/>
                  <w:tcBorders>
                    <w:top w:val="single" w:color="auto" w:sz="4" w:space="0"/>
                    <w:left w:val="single" w:color="auto" w:sz="4" w:space="0"/>
                    <w:bottom w:val="nil"/>
                    <w:right w:val="single" w:color="auto" w:sz="4" w:space="0"/>
                  </w:tcBorders>
                  <w:noWrap w:val="0"/>
                  <w:vAlign w:val="center"/>
                </w:tcPr>
                <w:p w14:paraId="18AE8F0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GT1</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48F591B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把</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7F5271C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19DB61CC">
                  <w:pPr>
                    <w:spacing w:line="276" w:lineRule="auto"/>
                    <w:jc w:val="center"/>
                    <w:rPr>
                      <w:rFonts w:hint="eastAsia" w:asciiTheme="majorEastAsia" w:hAnsiTheme="majorEastAsia" w:eastAsiaTheme="majorEastAsia" w:cstheme="majorEastAsia"/>
                      <w:sz w:val="24"/>
                      <w:szCs w:val="24"/>
                    </w:rPr>
                  </w:pPr>
                </w:p>
              </w:tc>
            </w:tr>
            <w:tr w14:paraId="37DDB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2E465376">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21</w:t>
                  </w:r>
                </w:p>
              </w:tc>
              <w:tc>
                <w:tcPr>
                  <w:tcW w:w="945" w:type="dxa"/>
                  <w:tcBorders>
                    <w:top w:val="single" w:color="auto" w:sz="4" w:space="0"/>
                    <w:left w:val="single" w:color="auto" w:sz="4" w:space="0"/>
                    <w:bottom w:val="single" w:color="auto" w:sz="4" w:space="0"/>
                    <w:right w:val="single" w:color="auto" w:sz="4" w:space="0"/>
                  </w:tcBorders>
                  <w:noWrap w:val="0"/>
                  <w:vAlign w:val="center"/>
                </w:tcPr>
                <w:p w14:paraId="1494B6A4">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干粉灭火器</w:t>
                  </w:r>
                </w:p>
              </w:tc>
              <w:tc>
                <w:tcPr>
                  <w:tcW w:w="1559" w:type="dxa"/>
                  <w:tcBorders>
                    <w:top w:val="single" w:color="auto" w:sz="4" w:space="0"/>
                    <w:left w:val="single" w:color="auto" w:sz="4" w:space="0"/>
                    <w:bottom w:val="nil"/>
                    <w:right w:val="single" w:color="auto" w:sz="4" w:space="0"/>
                  </w:tcBorders>
                  <w:noWrap w:val="0"/>
                  <w:vAlign w:val="center"/>
                </w:tcPr>
                <w:p w14:paraId="718EB1FB">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ABC干粉</w:t>
                  </w:r>
                </w:p>
              </w:tc>
              <w:tc>
                <w:tcPr>
                  <w:tcW w:w="425" w:type="dxa"/>
                  <w:tcBorders>
                    <w:top w:val="single" w:color="auto" w:sz="4" w:space="0"/>
                    <w:left w:val="single" w:color="auto" w:sz="4" w:space="0"/>
                    <w:bottom w:val="single" w:color="auto" w:sz="4" w:space="0"/>
                    <w:right w:val="single" w:color="auto" w:sz="4" w:space="0"/>
                  </w:tcBorders>
                  <w:noWrap w:val="0"/>
                  <w:vAlign w:val="center"/>
                </w:tcPr>
                <w:p w14:paraId="687B998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具</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045106F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35FB93A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8kg</w:t>
                  </w:r>
                </w:p>
              </w:tc>
            </w:tr>
            <w:tr w14:paraId="70FE0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5316C83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22</w:t>
                  </w:r>
                </w:p>
              </w:tc>
              <w:tc>
                <w:tcPr>
                  <w:tcW w:w="945" w:type="dxa"/>
                  <w:tcBorders>
                    <w:top w:val="single" w:color="auto" w:sz="4" w:space="0"/>
                    <w:left w:val="single" w:color="auto" w:sz="4" w:space="0"/>
                    <w:bottom w:val="single" w:color="auto" w:sz="4" w:space="0"/>
                    <w:right w:val="nil"/>
                  </w:tcBorders>
                  <w:noWrap w:val="0"/>
                  <w:vAlign w:val="center"/>
                </w:tcPr>
                <w:p w14:paraId="63C966ED">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可充电式手提照明灯</w:t>
                  </w:r>
                </w:p>
              </w:tc>
              <w:tc>
                <w:tcPr>
                  <w:tcW w:w="1559" w:type="dxa"/>
                  <w:tcBorders>
                    <w:top w:val="single" w:color="auto" w:sz="6" w:space="0"/>
                    <w:left w:val="single" w:color="auto" w:sz="6" w:space="0"/>
                    <w:bottom w:val="single" w:color="auto" w:sz="6" w:space="0"/>
                    <w:right w:val="single" w:color="auto" w:sz="4" w:space="0"/>
                  </w:tcBorders>
                  <w:noWrap w:val="0"/>
                  <w:vAlign w:val="center"/>
                </w:tcPr>
                <w:p w14:paraId="507A7058">
                  <w:pPr>
                    <w:spacing w:line="276" w:lineRule="auto"/>
                    <w:jc w:val="center"/>
                    <w:rPr>
                      <w:rFonts w:hint="eastAsia" w:asciiTheme="majorEastAsia" w:hAnsiTheme="majorEastAsia" w:eastAsiaTheme="majorEastAsia" w:cstheme="majorEastAsia"/>
                      <w:sz w:val="24"/>
                      <w:szCs w:val="24"/>
                    </w:rPr>
                  </w:pPr>
                </w:p>
              </w:tc>
              <w:tc>
                <w:tcPr>
                  <w:tcW w:w="425" w:type="dxa"/>
                  <w:tcBorders>
                    <w:top w:val="single" w:color="auto" w:sz="6" w:space="0"/>
                    <w:left w:val="single" w:color="auto" w:sz="4" w:space="0"/>
                    <w:bottom w:val="single" w:color="auto" w:sz="6" w:space="0"/>
                    <w:right w:val="single" w:color="auto" w:sz="4" w:space="0"/>
                  </w:tcBorders>
                  <w:noWrap w:val="0"/>
                  <w:vAlign w:val="center"/>
                </w:tcPr>
                <w:p w14:paraId="787860B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只</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66D893F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770CADDB">
                  <w:pPr>
                    <w:spacing w:line="276" w:lineRule="auto"/>
                    <w:jc w:val="center"/>
                    <w:rPr>
                      <w:rFonts w:hint="eastAsia" w:asciiTheme="majorEastAsia" w:hAnsiTheme="majorEastAsia" w:eastAsiaTheme="majorEastAsia" w:cstheme="majorEastAsia"/>
                      <w:sz w:val="24"/>
                      <w:szCs w:val="24"/>
                    </w:rPr>
                  </w:pPr>
                </w:p>
              </w:tc>
            </w:tr>
            <w:tr w14:paraId="589FD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655904DF">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23</w:t>
                  </w:r>
                </w:p>
              </w:tc>
              <w:tc>
                <w:tcPr>
                  <w:tcW w:w="945" w:type="dxa"/>
                  <w:tcBorders>
                    <w:top w:val="single" w:color="auto" w:sz="4" w:space="0"/>
                    <w:left w:val="single" w:color="auto" w:sz="4" w:space="0"/>
                    <w:bottom w:val="single" w:color="auto" w:sz="4" w:space="0"/>
                    <w:right w:val="nil"/>
                  </w:tcBorders>
                  <w:noWrap w:val="0"/>
                  <w:vAlign w:val="center"/>
                </w:tcPr>
                <w:p w14:paraId="000E54C5">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两节拉梯</w:t>
                  </w:r>
                </w:p>
              </w:tc>
              <w:tc>
                <w:tcPr>
                  <w:tcW w:w="1559" w:type="dxa"/>
                  <w:tcBorders>
                    <w:top w:val="single" w:color="auto" w:sz="6" w:space="0"/>
                    <w:left w:val="single" w:color="auto" w:sz="6" w:space="0"/>
                    <w:bottom w:val="single" w:color="auto" w:sz="6" w:space="0"/>
                    <w:right w:val="single" w:color="auto" w:sz="4" w:space="0"/>
                  </w:tcBorders>
                  <w:noWrap w:val="0"/>
                  <w:vAlign w:val="center"/>
                </w:tcPr>
                <w:p w14:paraId="08FCEC58">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铝合金</w:t>
                  </w:r>
                </w:p>
              </w:tc>
              <w:tc>
                <w:tcPr>
                  <w:tcW w:w="425" w:type="dxa"/>
                  <w:tcBorders>
                    <w:top w:val="single" w:color="auto" w:sz="6" w:space="0"/>
                    <w:left w:val="single" w:color="auto" w:sz="4" w:space="0"/>
                    <w:bottom w:val="single" w:color="auto" w:sz="6" w:space="0"/>
                    <w:right w:val="single" w:color="auto" w:sz="4" w:space="0"/>
                  </w:tcBorders>
                  <w:noWrap w:val="0"/>
                  <w:vAlign w:val="center"/>
                </w:tcPr>
                <w:p w14:paraId="7EE4E901">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架</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211850C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058DD78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6米</w:t>
                  </w:r>
                </w:p>
              </w:tc>
            </w:tr>
            <w:tr w14:paraId="4293C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468" w:type="dxa"/>
                  <w:tcBorders>
                    <w:top w:val="single" w:color="auto" w:sz="4" w:space="0"/>
                    <w:left w:val="single" w:color="auto" w:sz="4" w:space="0"/>
                    <w:bottom w:val="single" w:color="auto" w:sz="4" w:space="0"/>
                    <w:right w:val="single" w:color="auto" w:sz="4" w:space="0"/>
                  </w:tcBorders>
                  <w:noWrap w:val="0"/>
                  <w:vAlign w:val="center"/>
                </w:tcPr>
                <w:p w14:paraId="1D6DD0DC">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24</w:t>
                  </w:r>
                </w:p>
              </w:tc>
              <w:tc>
                <w:tcPr>
                  <w:tcW w:w="945" w:type="dxa"/>
                  <w:tcBorders>
                    <w:top w:val="single" w:color="auto" w:sz="4" w:space="0"/>
                    <w:left w:val="single" w:color="auto" w:sz="4" w:space="0"/>
                    <w:bottom w:val="single" w:color="auto" w:sz="4" w:space="0"/>
                    <w:right w:val="nil"/>
                  </w:tcBorders>
                  <w:noWrap w:val="0"/>
                  <w:vAlign w:val="center"/>
                </w:tcPr>
                <w:p w14:paraId="2BD3EEF2">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原车工具</w:t>
                  </w:r>
                </w:p>
              </w:tc>
              <w:tc>
                <w:tcPr>
                  <w:tcW w:w="1559" w:type="dxa"/>
                  <w:tcBorders>
                    <w:top w:val="single" w:color="auto" w:sz="6" w:space="0"/>
                    <w:left w:val="single" w:color="auto" w:sz="6" w:space="0"/>
                    <w:bottom w:val="single" w:color="auto" w:sz="6" w:space="0"/>
                    <w:right w:val="single" w:color="auto" w:sz="4" w:space="0"/>
                  </w:tcBorders>
                  <w:noWrap w:val="0"/>
                  <w:vAlign w:val="center"/>
                </w:tcPr>
                <w:p w14:paraId="7E6A0FDD">
                  <w:pPr>
                    <w:spacing w:line="276" w:lineRule="auto"/>
                    <w:jc w:val="center"/>
                    <w:rPr>
                      <w:rFonts w:hint="eastAsia" w:asciiTheme="majorEastAsia" w:hAnsiTheme="majorEastAsia" w:eastAsiaTheme="majorEastAsia" w:cstheme="majorEastAsia"/>
                      <w:sz w:val="24"/>
                      <w:szCs w:val="24"/>
                    </w:rPr>
                  </w:pPr>
                </w:p>
              </w:tc>
              <w:tc>
                <w:tcPr>
                  <w:tcW w:w="425" w:type="dxa"/>
                  <w:tcBorders>
                    <w:top w:val="single" w:color="auto" w:sz="6" w:space="0"/>
                    <w:left w:val="single" w:color="auto" w:sz="4" w:space="0"/>
                    <w:bottom w:val="single" w:color="auto" w:sz="6" w:space="0"/>
                    <w:right w:val="single" w:color="auto" w:sz="4" w:space="0"/>
                  </w:tcBorders>
                  <w:noWrap w:val="0"/>
                  <w:vAlign w:val="center"/>
                </w:tcPr>
                <w:p w14:paraId="20B12A93">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套</w:t>
                  </w:r>
                </w:p>
              </w:tc>
              <w:tc>
                <w:tcPr>
                  <w:tcW w:w="567" w:type="dxa"/>
                  <w:tcBorders>
                    <w:top w:val="single" w:color="auto" w:sz="4" w:space="0"/>
                    <w:left w:val="single" w:color="auto" w:sz="4" w:space="0"/>
                    <w:bottom w:val="single" w:color="auto" w:sz="4" w:space="0"/>
                    <w:right w:val="single" w:color="auto" w:sz="4" w:space="0"/>
                  </w:tcBorders>
                  <w:noWrap w:val="0"/>
                  <w:vAlign w:val="center"/>
                </w:tcPr>
                <w:p w14:paraId="59F5AC59">
                  <w:pPr>
                    <w:spacing w:line="276" w:lineRule="auto"/>
                    <w:jc w:val="center"/>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t>1</w:t>
                  </w:r>
                </w:p>
              </w:tc>
              <w:tc>
                <w:tcPr>
                  <w:tcW w:w="769" w:type="dxa"/>
                  <w:tcBorders>
                    <w:top w:val="single" w:color="auto" w:sz="4" w:space="0"/>
                    <w:left w:val="single" w:color="auto" w:sz="4" w:space="0"/>
                    <w:bottom w:val="single" w:color="auto" w:sz="4" w:space="0"/>
                    <w:right w:val="single" w:color="auto" w:sz="4" w:space="0"/>
                  </w:tcBorders>
                  <w:noWrap w:val="0"/>
                  <w:vAlign w:val="center"/>
                </w:tcPr>
                <w:p w14:paraId="63C1D446">
                  <w:pPr>
                    <w:spacing w:line="276" w:lineRule="auto"/>
                    <w:jc w:val="center"/>
                    <w:rPr>
                      <w:rFonts w:hint="eastAsia" w:asciiTheme="majorEastAsia" w:hAnsiTheme="majorEastAsia" w:eastAsiaTheme="majorEastAsia" w:cstheme="majorEastAsia"/>
                      <w:sz w:val="24"/>
                      <w:szCs w:val="24"/>
                    </w:rPr>
                  </w:pPr>
                </w:p>
              </w:tc>
            </w:tr>
          </w:tbl>
          <w:p w14:paraId="73F2D63F">
            <w:pPr>
              <w:widowControl/>
              <w:adjustRightInd w:val="0"/>
              <w:snapToGrid w:val="0"/>
              <w:jc w:val="left"/>
              <w:rPr>
                <w:rFonts w:hint="eastAsia" w:asciiTheme="majorEastAsia" w:hAnsiTheme="majorEastAsia" w:eastAsiaTheme="majorEastAsia" w:cstheme="majorEastAsia"/>
                <w:sz w:val="24"/>
                <w:szCs w:val="24"/>
              </w:rPr>
            </w:pPr>
          </w:p>
        </w:tc>
        <w:tc>
          <w:tcPr>
            <w:tcW w:w="705" w:type="dxa"/>
            <w:tcBorders>
              <w:top w:val="single" w:color="auto" w:sz="4" w:space="0"/>
              <w:left w:val="nil"/>
              <w:bottom w:val="single" w:color="auto" w:sz="4" w:space="0"/>
              <w:right w:val="single" w:color="auto" w:sz="4" w:space="0"/>
            </w:tcBorders>
            <w:shd w:val="clear" w:color="000000" w:fill="FFFFFF"/>
            <w:noWrap w:val="0"/>
            <w:vAlign w:val="center"/>
          </w:tcPr>
          <w:p w14:paraId="7DA4A29E">
            <w:pPr>
              <w:widowControl/>
              <w:jc w:val="center"/>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1</w:t>
            </w:r>
          </w:p>
        </w:tc>
        <w:tc>
          <w:tcPr>
            <w:tcW w:w="767" w:type="dxa"/>
            <w:tcBorders>
              <w:top w:val="single" w:color="auto" w:sz="4" w:space="0"/>
              <w:left w:val="nil"/>
              <w:bottom w:val="single" w:color="auto" w:sz="4" w:space="0"/>
              <w:right w:val="single" w:color="auto" w:sz="4" w:space="0"/>
            </w:tcBorders>
            <w:shd w:val="clear" w:color="000000" w:fill="FFFFFF"/>
            <w:noWrap w:val="0"/>
            <w:vAlign w:val="center"/>
          </w:tcPr>
          <w:p w14:paraId="62871B70">
            <w:pPr>
              <w:widowControl/>
              <w:jc w:val="center"/>
              <w:rPr>
                <w:rFonts w:hint="eastAsia" w:asciiTheme="majorEastAsia" w:hAnsiTheme="majorEastAsia" w:eastAsiaTheme="majorEastAsia" w:cstheme="majorEastAsia"/>
                <w:kern w:val="0"/>
                <w:sz w:val="24"/>
                <w:szCs w:val="24"/>
                <w:lang w:eastAsia="zh-CN"/>
              </w:rPr>
            </w:pPr>
            <w:r>
              <w:rPr>
                <w:rFonts w:hint="eastAsia" w:asciiTheme="majorEastAsia" w:hAnsiTheme="majorEastAsia" w:eastAsiaTheme="majorEastAsia" w:cstheme="majorEastAsia"/>
                <w:kern w:val="0"/>
                <w:sz w:val="24"/>
                <w:szCs w:val="24"/>
                <w:lang w:val="en-US" w:eastAsia="zh-CN"/>
              </w:rPr>
              <w:t>辆</w:t>
            </w:r>
          </w:p>
        </w:tc>
      </w:tr>
      <w:tr w14:paraId="5B152CED">
        <w:tblPrEx>
          <w:tblCellMar>
            <w:top w:w="0" w:type="dxa"/>
            <w:left w:w="108" w:type="dxa"/>
            <w:bottom w:w="0" w:type="dxa"/>
            <w:right w:w="108" w:type="dxa"/>
          </w:tblCellMar>
        </w:tblPrEx>
        <w:trPr>
          <w:trHeight w:val="329" w:hRule="atLeast"/>
          <w:jc w:val="center"/>
        </w:trPr>
        <w:tc>
          <w:tcPr>
            <w:tcW w:w="721" w:type="dxa"/>
            <w:tcBorders>
              <w:top w:val="single" w:color="auto" w:sz="4" w:space="0"/>
              <w:left w:val="single" w:color="auto" w:sz="4" w:space="0"/>
              <w:bottom w:val="single" w:color="auto" w:sz="4" w:space="0"/>
              <w:right w:val="single" w:color="auto" w:sz="4" w:space="0"/>
            </w:tcBorders>
            <w:shd w:val="clear" w:color="000000" w:fill="D0CECE"/>
            <w:noWrap w:val="0"/>
            <w:vAlign w:val="center"/>
          </w:tcPr>
          <w:p w14:paraId="232A4589">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序号</w:t>
            </w:r>
          </w:p>
        </w:tc>
        <w:tc>
          <w:tcPr>
            <w:tcW w:w="1462" w:type="dxa"/>
            <w:tcBorders>
              <w:top w:val="single" w:color="auto" w:sz="4" w:space="0"/>
              <w:left w:val="nil"/>
              <w:bottom w:val="single" w:color="auto" w:sz="4" w:space="0"/>
              <w:right w:val="single" w:color="auto" w:sz="4" w:space="0"/>
            </w:tcBorders>
            <w:shd w:val="clear" w:color="000000" w:fill="D0CECE"/>
            <w:noWrap w:val="0"/>
            <w:vAlign w:val="center"/>
          </w:tcPr>
          <w:p w14:paraId="76BEFACF">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产品名称</w:t>
            </w:r>
          </w:p>
        </w:tc>
        <w:tc>
          <w:tcPr>
            <w:tcW w:w="5406" w:type="dxa"/>
            <w:tcBorders>
              <w:top w:val="single" w:color="auto" w:sz="4" w:space="0"/>
              <w:left w:val="nil"/>
              <w:bottom w:val="single" w:color="auto" w:sz="4" w:space="0"/>
              <w:right w:val="single" w:color="auto" w:sz="4" w:space="0"/>
            </w:tcBorders>
            <w:shd w:val="clear" w:color="000000" w:fill="D0CECE"/>
            <w:noWrap w:val="0"/>
            <w:vAlign w:val="center"/>
          </w:tcPr>
          <w:p w14:paraId="34305651">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参数</w:t>
            </w:r>
          </w:p>
        </w:tc>
        <w:tc>
          <w:tcPr>
            <w:tcW w:w="705" w:type="dxa"/>
            <w:tcBorders>
              <w:top w:val="single" w:color="auto" w:sz="4" w:space="0"/>
              <w:left w:val="nil"/>
              <w:bottom w:val="single" w:color="auto" w:sz="4" w:space="0"/>
              <w:right w:val="single" w:color="auto" w:sz="4" w:space="0"/>
            </w:tcBorders>
            <w:shd w:val="clear" w:color="000000" w:fill="D0CECE"/>
            <w:noWrap w:val="0"/>
            <w:vAlign w:val="center"/>
          </w:tcPr>
          <w:p w14:paraId="64565B6D">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数量</w:t>
            </w:r>
          </w:p>
        </w:tc>
        <w:tc>
          <w:tcPr>
            <w:tcW w:w="767" w:type="dxa"/>
            <w:tcBorders>
              <w:top w:val="single" w:color="auto" w:sz="4" w:space="0"/>
              <w:left w:val="nil"/>
              <w:bottom w:val="single" w:color="auto" w:sz="4" w:space="0"/>
              <w:right w:val="single" w:color="auto" w:sz="4" w:space="0"/>
            </w:tcBorders>
            <w:shd w:val="clear" w:color="000000" w:fill="D0CECE"/>
            <w:noWrap w:val="0"/>
            <w:vAlign w:val="center"/>
          </w:tcPr>
          <w:p w14:paraId="14937BA3">
            <w:pPr>
              <w:widowControl/>
              <w:jc w:val="center"/>
              <w:rPr>
                <w:rFonts w:hint="eastAsia" w:asciiTheme="majorEastAsia" w:hAnsiTheme="majorEastAsia" w:eastAsiaTheme="majorEastAsia" w:cstheme="majorEastAsia"/>
                <w:b/>
                <w:bCs/>
                <w:kern w:val="0"/>
                <w:sz w:val="24"/>
                <w:szCs w:val="24"/>
              </w:rPr>
            </w:pPr>
            <w:r>
              <w:rPr>
                <w:rFonts w:hint="eastAsia" w:asciiTheme="majorEastAsia" w:hAnsiTheme="majorEastAsia" w:eastAsiaTheme="majorEastAsia" w:cstheme="majorEastAsia"/>
                <w:b/>
                <w:bCs/>
                <w:kern w:val="0"/>
                <w:sz w:val="24"/>
                <w:szCs w:val="24"/>
              </w:rPr>
              <w:t>单位</w:t>
            </w:r>
          </w:p>
        </w:tc>
      </w:tr>
      <w:tr w14:paraId="545F55B7">
        <w:tblPrEx>
          <w:tblCellMar>
            <w:top w:w="0" w:type="dxa"/>
            <w:left w:w="108" w:type="dxa"/>
            <w:bottom w:w="0" w:type="dxa"/>
            <w:right w:w="108" w:type="dxa"/>
          </w:tblCellMar>
        </w:tblPrEx>
        <w:trPr>
          <w:trHeight w:val="90" w:hRule="atLeast"/>
          <w:jc w:val="center"/>
        </w:trPr>
        <w:tc>
          <w:tcPr>
            <w:tcW w:w="72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539F45">
            <w:pPr>
              <w:widowControl/>
              <w:jc w:val="center"/>
              <w:rPr>
                <w:rFonts w:hint="eastAsia" w:asciiTheme="majorEastAsia" w:hAnsiTheme="majorEastAsia" w:eastAsiaTheme="majorEastAsia" w:cstheme="majorEastAsia"/>
                <w:kern w:val="0"/>
                <w:sz w:val="24"/>
                <w:szCs w:val="24"/>
                <w:lang w:eastAsia="zh-CN"/>
              </w:rPr>
            </w:pPr>
            <w:r>
              <w:rPr>
                <w:rFonts w:hint="eastAsia" w:asciiTheme="majorEastAsia" w:hAnsiTheme="majorEastAsia" w:eastAsiaTheme="majorEastAsia" w:cstheme="majorEastAsia"/>
                <w:kern w:val="0"/>
                <w:sz w:val="24"/>
                <w:szCs w:val="24"/>
                <w:lang w:val="en-US" w:eastAsia="zh-CN"/>
              </w:rPr>
              <w:t>3</w:t>
            </w:r>
          </w:p>
        </w:tc>
        <w:tc>
          <w:tcPr>
            <w:tcW w:w="1462" w:type="dxa"/>
            <w:tcBorders>
              <w:top w:val="single" w:color="auto" w:sz="4" w:space="0"/>
              <w:left w:val="nil"/>
              <w:bottom w:val="single" w:color="auto" w:sz="4" w:space="0"/>
              <w:right w:val="single" w:color="auto" w:sz="4" w:space="0"/>
            </w:tcBorders>
            <w:shd w:val="clear" w:color="000000" w:fill="FFFFFF"/>
            <w:noWrap w:val="0"/>
            <w:vAlign w:val="center"/>
          </w:tcPr>
          <w:p w14:paraId="59FAAE69">
            <w:pPr>
              <w:widowControl/>
              <w:jc w:val="center"/>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kern w:val="0"/>
                <w:sz w:val="24"/>
                <w:szCs w:val="24"/>
              </w:rPr>
              <w:t>通信指挥消防车</w:t>
            </w:r>
          </w:p>
        </w:tc>
        <w:tc>
          <w:tcPr>
            <w:tcW w:w="5406" w:type="dxa"/>
            <w:tcBorders>
              <w:top w:val="single" w:color="auto" w:sz="4" w:space="0"/>
              <w:left w:val="nil"/>
              <w:bottom w:val="single" w:color="auto" w:sz="4" w:space="0"/>
              <w:right w:val="single" w:color="auto" w:sz="4" w:space="0"/>
            </w:tcBorders>
            <w:shd w:val="clear" w:color="000000" w:fill="FFFFFF"/>
            <w:noWrap w:val="0"/>
            <w:vAlign w:val="center"/>
          </w:tcPr>
          <w:p w14:paraId="5FEC834B">
            <w:pPr>
              <w:pStyle w:val="69"/>
              <w:numPr>
                <w:ilvl w:val="0"/>
                <w:numId w:val="0"/>
              </w:numPr>
              <w:spacing w:line="360" w:lineRule="auto"/>
              <w:ind w:left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lang w:val="en-US" w:eastAsia="zh-CN"/>
              </w:rPr>
              <w:t>1.1</w:t>
            </w:r>
            <w:r>
              <w:rPr>
                <w:rFonts w:hint="eastAsia" w:asciiTheme="majorEastAsia" w:hAnsiTheme="majorEastAsia" w:eastAsiaTheme="majorEastAsia" w:cstheme="majorEastAsia"/>
                <w:b/>
                <w:sz w:val="24"/>
                <w:szCs w:val="24"/>
              </w:rPr>
              <w:t>总体要求</w:t>
            </w:r>
          </w:p>
          <w:p w14:paraId="3DB5DAFF">
            <w:pPr>
              <w:spacing w:line="360" w:lineRule="auto"/>
              <w:jc w:val="left"/>
              <w:rPr>
                <w:rFonts w:hint="eastAsia" w:asciiTheme="majorEastAsia" w:hAnsiTheme="majorEastAsia" w:eastAsiaTheme="majorEastAsia" w:cstheme="majorEastAsia"/>
                <w:b w:val="0"/>
                <w:bCs w:val="0"/>
                <w:kern w:val="0"/>
                <w:sz w:val="24"/>
                <w:szCs w:val="24"/>
              </w:rPr>
            </w:pPr>
            <w:r>
              <w:rPr>
                <w:rFonts w:hint="eastAsia" w:asciiTheme="majorEastAsia" w:hAnsiTheme="majorEastAsia" w:eastAsiaTheme="majorEastAsia" w:cstheme="majorEastAsia"/>
                <w:b w:val="0"/>
                <w:bCs w:val="0"/>
                <w:kern w:val="0"/>
                <w:sz w:val="24"/>
                <w:szCs w:val="24"/>
                <w:lang w:val="en-US" w:eastAsia="zh-CN"/>
              </w:rPr>
              <w:t>1.1.</w:t>
            </w:r>
            <w:r>
              <w:rPr>
                <w:rFonts w:hint="eastAsia" w:asciiTheme="majorEastAsia" w:hAnsiTheme="majorEastAsia" w:eastAsiaTheme="majorEastAsia" w:cstheme="majorEastAsia"/>
                <w:b w:val="0"/>
                <w:bCs w:val="0"/>
                <w:kern w:val="0"/>
                <w:sz w:val="24"/>
                <w:szCs w:val="24"/>
              </w:rPr>
              <w:t>1</w:t>
            </w:r>
            <w:r>
              <w:rPr>
                <w:rFonts w:hint="eastAsia" w:asciiTheme="majorEastAsia" w:hAnsiTheme="majorEastAsia" w:eastAsiaTheme="majorEastAsia" w:cstheme="majorEastAsia"/>
                <w:b w:val="0"/>
                <w:bCs w:val="0"/>
                <w:kern w:val="0"/>
                <w:sz w:val="24"/>
                <w:szCs w:val="24"/>
                <w:lang w:eastAsia="zh-CN"/>
              </w:rPr>
              <w:t>、</w:t>
            </w:r>
            <w:r>
              <w:rPr>
                <w:rFonts w:hint="eastAsia" w:asciiTheme="majorEastAsia" w:hAnsiTheme="majorEastAsia" w:eastAsiaTheme="majorEastAsia" w:cstheme="majorEastAsia"/>
                <w:b w:val="0"/>
                <w:bCs w:val="0"/>
                <w:kern w:val="0"/>
                <w:sz w:val="24"/>
                <w:szCs w:val="24"/>
              </w:rPr>
              <w:t>外廓尺寸：</w:t>
            </w: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b w:val="0"/>
                <w:bCs w:val="0"/>
                <w:kern w:val="0"/>
                <w:sz w:val="24"/>
                <w:szCs w:val="24"/>
                <w:lang w:val="en-US" w:eastAsia="zh-CN"/>
              </w:rPr>
              <w:t>5685mm</w:t>
            </w:r>
            <w:r>
              <w:rPr>
                <w:rFonts w:hint="eastAsia" w:asciiTheme="majorEastAsia" w:hAnsiTheme="majorEastAsia" w:eastAsiaTheme="majorEastAsia" w:cstheme="majorEastAsia"/>
                <w:b w:val="0"/>
                <w:bCs w:val="0"/>
                <w:sz w:val="24"/>
                <w:szCs w:val="24"/>
              </w:rPr>
              <w:t>×</w:t>
            </w:r>
            <w:r>
              <w:rPr>
                <w:rFonts w:hint="eastAsia" w:asciiTheme="majorEastAsia" w:hAnsiTheme="majorEastAsia" w:eastAsiaTheme="majorEastAsia" w:cstheme="majorEastAsia"/>
                <w:b w:val="0"/>
                <w:bCs w:val="0"/>
                <w:sz w:val="24"/>
                <w:szCs w:val="24"/>
                <w:lang w:val="en-US" w:eastAsia="zh-CN"/>
              </w:rPr>
              <w:t>1980</w:t>
            </w:r>
            <w:r>
              <w:rPr>
                <w:rFonts w:hint="eastAsia" w:asciiTheme="majorEastAsia" w:hAnsiTheme="majorEastAsia" w:eastAsiaTheme="majorEastAsia" w:cstheme="majorEastAsia"/>
                <w:b w:val="0"/>
                <w:bCs w:val="0"/>
                <w:kern w:val="0"/>
                <w:sz w:val="24"/>
                <w:szCs w:val="24"/>
                <w:lang w:val="en-US" w:eastAsia="zh-CN"/>
              </w:rPr>
              <w:t>mm</w:t>
            </w:r>
            <w:r>
              <w:rPr>
                <w:rFonts w:hint="eastAsia" w:asciiTheme="majorEastAsia" w:hAnsiTheme="majorEastAsia" w:eastAsiaTheme="majorEastAsia" w:cstheme="majorEastAsia"/>
                <w:b w:val="0"/>
                <w:bCs w:val="0"/>
                <w:sz w:val="24"/>
                <w:szCs w:val="24"/>
              </w:rPr>
              <w:t>×</w:t>
            </w:r>
            <w:r>
              <w:rPr>
                <w:rFonts w:hint="eastAsia" w:asciiTheme="majorEastAsia" w:hAnsiTheme="majorEastAsia" w:eastAsiaTheme="majorEastAsia" w:cstheme="majorEastAsia"/>
                <w:b w:val="0"/>
                <w:bCs w:val="0"/>
                <w:sz w:val="24"/>
                <w:szCs w:val="24"/>
                <w:lang w:val="en-US" w:eastAsia="zh-CN"/>
              </w:rPr>
              <w:t>1990</w:t>
            </w:r>
            <w:r>
              <w:rPr>
                <w:rFonts w:hint="eastAsia" w:asciiTheme="majorEastAsia" w:hAnsiTheme="majorEastAsia" w:eastAsiaTheme="majorEastAsia" w:cstheme="majorEastAsia"/>
                <w:b w:val="0"/>
                <w:bCs w:val="0"/>
                <w:kern w:val="0"/>
                <w:sz w:val="24"/>
                <w:szCs w:val="24"/>
                <w:lang w:val="en-US" w:eastAsia="zh-CN"/>
              </w:rPr>
              <w:t>mm</w:t>
            </w:r>
            <w:r>
              <w:rPr>
                <w:rFonts w:hint="eastAsia" w:asciiTheme="majorEastAsia" w:hAnsiTheme="majorEastAsia" w:eastAsiaTheme="majorEastAsia" w:cstheme="majorEastAsia"/>
                <w:b w:val="0"/>
                <w:bCs w:val="0"/>
                <w:kern w:val="0"/>
                <w:sz w:val="24"/>
                <w:szCs w:val="24"/>
              </w:rPr>
              <w:t>。</w:t>
            </w:r>
          </w:p>
          <w:p w14:paraId="40F0FD1E">
            <w:pPr>
              <w:spacing w:line="360" w:lineRule="auto"/>
              <w:jc w:val="left"/>
              <w:rPr>
                <w:rFonts w:hint="eastAsia" w:asciiTheme="majorEastAsia" w:hAnsiTheme="majorEastAsia" w:eastAsiaTheme="majorEastAsia" w:cstheme="majorEastAsia"/>
                <w:b w:val="0"/>
                <w:bCs w:val="0"/>
                <w:kern w:val="0"/>
                <w:sz w:val="24"/>
                <w:szCs w:val="24"/>
              </w:rPr>
            </w:pPr>
            <w:r>
              <w:rPr>
                <w:rFonts w:hint="eastAsia" w:asciiTheme="majorEastAsia" w:hAnsiTheme="majorEastAsia" w:eastAsiaTheme="majorEastAsia" w:cstheme="majorEastAsia"/>
                <w:b w:val="0"/>
                <w:bCs w:val="0"/>
                <w:kern w:val="0"/>
                <w:sz w:val="24"/>
                <w:szCs w:val="24"/>
                <w:lang w:val="en-US" w:eastAsia="zh-CN"/>
              </w:rPr>
              <w:t>1.1.2、</w:t>
            </w:r>
            <w:r>
              <w:rPr>
                <w:rFonts w:hint="eastAsia" w:asciiTheme="majorEastAsia" w:hAnsiTheme="majorEastAsia" w:eastAsiaTheme="majorEastAsia" w:cstheme="majorEastAsia"/>
                <w:b w:val="0"/>
                <w:bCs w:val="0"/>
                <w:kern w:val="0"/>
                <w:sz w:val="24"/>
                <w:szCs w:val="24"/>
              </w:rPr>
              <w:t>满载总质量：</w:t>
            </w: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b w:val="0"/>
                <w:bCs w:val="0"/>
                <w:kern w:val="0"/>
                <w:sz w:val="24"/>
                <w:szCs w:val="24"/>
                <w:lang w:val="en-US" w:eastAsia="zh-CN"/>
              </w:rPr>
              <w:t>2900</w:t>
            </w:r>
            <w:r>
              <w:rPr>
                <w:rFonts w:hint="eastAsia" w:asciiTheme="majorEastAsia" w:hAnsiTheme="majorEastAsia" w:eastAsiaTheme="majorEastAsia" w:cstheme="majorEastAsia"/>
                <w:b w:val="0"/>
                <w:bCs w:val="0"/>
                <w:kern w:val="0"/>
                <w:sz w:val="24"/>
                <w:szCs w:val="24"/>
              </w:rPr>
              <w:t>kg。</w:t>
            </w:r>
          </w:p>
          <w:p w14:paraId="2ED29D72">
            <w:pPr>
              <w:spacing w:line="360" w:lineRule="auto"/>
              <w:jc w:val="left"/>
              <w:rPr>
                <w:rFonts w:hint="eastAsia" w:asciiTheme="majorEastAsia" w:hAnsiTheme="majorEastAsia" w:eastAsiaTheme="majorEastAsia" w:cstheme="majorEastAsia"/>
                <w:b w:val="0"/>
                <w:bCs w:val="0"/>
                <w:kern w:val="0"/>
                <w:sz w:val="24"/>
                <w:szCs w:val="24"/>
              </w:rPr>
            </w:pPr>
            <w:r>
              <w:rPr>
                <w:rFonts w:hint="eastAsia" w:asciiTheme="majorEastAsia" w:hAnsiTheme="majorEastAsia" w:eastAsiaTheme="majorEastAsia" w:cstheme="majorEastAsia"/>
                <w:b w:val="0"/>
                <w:bCs w:val="0"/>
                <w:kern w:val="0"/>
                <w:sz w:val="24"/>
                <w:szCs w:val="24"/>
                <w:lang w:val="en-US" w:eastAsia="zh-CN"/>
              </w:rPr>
              <w:t>1.1.3、整备质量：</w:t>
            </w: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b w:val="0"/>
                <w:bCs w:val="0"/>
                <w:kern w:val="0"/>
                <w:sz w:val="24"/>
                <w:szCs w:val="24"/>
                <w:lang w:val="en-US" w:eastAsia="zh-CN"/>
              </w:rPr>
              <w:t>2155</w:t>
            </w:r>
            <w:r>
              <w:rPr>
                <w:rFonts w:hint="eastAsia" w:asciiTheme="majorEastAsia" w:hAnsiTheme="majorEastAsia" w:eastAsiaTheme="majorEastAsia" w:cstheme="majorEastAsia"/>
                <w:b w:val="0"/>
                <w:bCs w:val="0"/>
                <w:kern w:val="0"/>
                <w:sz w:val="24"/>
                <w:szCs w:val="24"/>
              </w:rPr>
              <w:t>kg</w:t>
            </w:r>
          </w:p>
          <w:p w14:paraId="5713F815">
            <w:pPr>
              <w:spacing w:line="360" w:lineRule="auto"/>
              <w:jc w:val="left"/>
              <w:rPr>
                <w:rFonts w:hint="eastAsia" w:asciiTheme="majorEastAsia" w:hAnsiTheme="majorEastAsia" w:eastAsiaTheme="majorEastAsia" w:cstheme="majorEastAsia"/>
                <w:b w:val="0"/>
                <w:bCs w:val="0"/>
                <w:kern w:val="0"/>
                <w:sz w:val="24"/>
                <w:szCs w:val="24"/>
                <w:lang w:val="en-US" w:eastAsia="zh-CN"/>
              </w:rPr>
            </w:pPr>
            <w:r>
              <w:rPr>
                <w:rFonts w:hint="eastAsia" w:asciiTheme="majorEastAsia" w:hAnsiTheme="majorEastAsia" w:eastAsiaTheme="majorEastAsia" w:cstheme="majorEastAsia"/>
                <w:b w:val="0"/>
                <w:bCs w:val="0"/>
                <w:kern w:val="0"/>
                <w:sz w:val="24"/>
                <w:szCs w:val="24"/>
                <w:lang w:val="en-US" w:eastAsia="zh-CN"/>
              </w:rPr>
              <w:t>1.1.4、接近角/离去角（°）：</w:t>
            </w: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b w:val="0"/>
                <w:bCs w:val="0"/>
                <w:kern w:val="0"/>
                <w:sz w:val="24"/>
                <w:szCs w:val="24"/>
                <w:lang w:val="en-US" w:eastAsia="zh-CN"/>
              </w:rPr>
              <w:t>29/26</w:t>
            </w:r>
          </w:p>
          <w:p w14:paraId="3F506A73">
            <w:pPr>
              <w:pStyle w:val="69"/>
              <w:numPr>
                <w:ilvl w:val="0"/>
                <w:numId w:val="0"/>
              </w:numPr>
              <w:spacing w:line="360" w:lineRule="auto"/>
              <w:ind w:left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lang w:val="en-US" w:eastAsia="zh-CN"/>
              </w:rPr>
              <w:t>1.2</w:t>
            </w:r>
            <w:r>
              <w:rPr>
                <w:rFonts w:hint="eastAsia" w:asciiTheme="majorEastAsia" w:hAnsiTheme="majorEastAsia" w:eastAsiaTheme="majorEastAsia" w:cstheme="majorEastAsia"/>
                <w:b/>
                <w:sz w:val="24"/>
                <w:szCs w:val="24"/>
              </w:rPr>
              <w:t>底盘</w:t>
            </w:r>
          </w:p>
          <w:p w14:paraId="2226D2D3">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1.2.1</w:t>
            </w:r>
            <w:r>
              <w:rPr>
                <w:rFonts w:hint="eastAsia" w:asciiTheme="majorEastAsia" w:hAnsiTheme="majorEastAsia" w:eastAsiaTheme="majorEastAsia" w:cstheme="majorEastAsia"/>
                <w:sz w:val="24"/>
                <w:szCs w:val="24"/>
              </w:rPr>
              <w:t>品牌：国内知名品牌</w:t>
            </w:r>
          </w:p>
          <w:p w14:paraId="1EF7914F">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1.2.2</w:t>
            </w:r>
            <w:r>
              <w:rPr>
                <w:rFonts w:hint="eastAsia" w:asciiTheme="majorEastAsia" w:hAnsiTheme="majorEastAsia" w:eastAsiaTheme="majorEastAsia" w:cstheme="majorEastAsia"/>
                <w:sz w:val="24"/>
                <w:szCs w:val="24"/>
              </w:rPr>
              <w:t>驱动形式：</w:t>
            </w:r>
            <w:r>
              <w:rPr>
                <w:rFonts w:hint="eastAsia" w:asciiTheme="majorEastAsia" w:hAnsiTheme="majorEastAsia" w:eastAsiaTheme="majorEastAsia" w:cstheme="majorEastAsia"/>
                <w:sz w:val="24"/>
                <w:szCs w:val="24"/>
                <w:lang w:val="en-US" w:eastAsia="zh-CN"/>
              </w:rPr>
              <w:t>4</w:t>
            </w:r>
            <w:r>
              <w:rPr>
                <w:rFonts w:hint="eastAsia" w:asciiTheme="majorEastAsia" w:hAnsiTheme="majorEastAsia" w:eastAsiaTheme="majorEastAsia" w:cstheme="majorEastAsia"/>
                <w:sz w:val="24"/>
                <w:szCs w:val="24"/>
              </w:rPr>
              <w:t>×</w:t>
            </w:r>
            <w:r>
              <w:rPr>
                <w:rFonts w:hint="eastAsia" w:asciiTheme="majorEastAsia" w:hAnsiTheme="majorEastAsia" w:eastAsiaTheme="majorEastAsia" w:cstheme="majorEastAsia"/>
                <w:sz w:val="24"/>
                <w:szCs w:val="24"/>
                <w:lang w:val="en-US" w:eastAsia="zh-CN"/>
              </w:rPr>
              <w:t>4</w:t>
            </w:r>
          </w:p>
          <w:p w14:paraId="02E672F6">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1.2.3</w:t>
            </w:r>
            <w:r>
              <w:rPr>
                <w:rFonts w:hint="eastAsia" w:asciiTheme="majorEastAsia" w:hAnsiTheme="majorEastAsia" w:eastAsiaTheme="majorEastAsia" w:cstheme="majorEastAsia"/>
                <w:sz w:val="24"/>
                <w:szCs w:val="24"/>
              </w:rPr>
              <w:t>轴距：≥</w:t>
            </w:r>
            <w:r>
              <w:rPr>
                <w:rFonts w:hint="eastAsia" w:asciiTheme="majorEastAsia" w:hAnsiTheme="majorEastAsia" w:eastAsiaTheme="majorEastAsia" w:cstheme="majorEastAsia"/>
                <w:sz w:val="24"/>
                <w:szCs w:val="24"/>
                <w:lang w:val="en-US" w:eastAsia="zh-CN"/>
              </w:rPr>
              <w:t>3480mm</w:t>
            </w:r>
          </w:p>
          <w:p w14:paraId="2E58CA66">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1.2.4</w:t>
            </w:r>
            <w:r>
              <w:rPr>
                <w:rFonts w:hint="eastAsia" w:asciiTheme="majorEastAsia" w:hAnsiTheme="majorEastAsia" w:eastAsiaTheme="majorEastAsia" w:cstheme="majorEastAsia"/>
                <w:sz w:val="24"/>
                <w:szCs w:val="24"/>
              </w:rPr>
              <w:t>额定功率：≥</w:t>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t>20kW</w:t>
            </w:r>
          </w:p>
          <w:p w14:paraId="30245661">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lang w:val="en-US" w:eastAsia="zh-CN"/>
              </w:rPr>
              <w:t>1.2.5</w:t>
            </w:r>
            <w:r>
              <w:rPr>
                <w:rFonts w:hint="eastAsia" w:asciiTheme="majorEastAsia" w:hAnsiTheme="majorEastAsia" w:eastAsiaTheme="majorEastAsia" w:cstheme="majorEastAsia"/>
                <w:sz w:val="24"/>
                <w:szCs w:val="24"/>
              </w:rPr>
              <w:t>排放标准：国六</w:t>
            </w:r>
          </w:p>
          <w:p w14:paraId="185BBA04">
            <w:pPr>
              <w:pStyle w:val="69"/>
              <w:numPr>
                <w:ilvl w:val="0"/>
                <w:numId w:val="0"/>
              </w:numPr>
              <w:spacing w:line="360" w:lineRule="auto"/>
              <w:ind w:leftChars="0"/>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val="0"/>
                <w:bCs w:val="0"/>
                <w:spacing w:val="-8"/>
                <w:sz w:val="24"/>
                <w:szCs w:val="24"/>
                <w:lang w:val="en-US" w:eastAsia="zh-CN"/>
              </w:rPr>
              <w:t>1.2.6</w:t>
            </w:r>
            <w:r>
              <w:rPr>
                <w:rFonts w:hint="eastAsia" w:asciiTheme="majorEastAsia" w:hAnsiTheme="majorEastAsia" w:eastAsiaTheme="majorEastAsia" w:cstheme="majorEastAsia"/>
                <w:b w:val="0"/>
                <w:bCs w:val="0"/>
                <w:spacing w:val="-8"/>
                <w:sz w:val="24"/>
                <w:szCs w:val="24"/>
              </w:rPr>
              <w:t>原厂空调、原厂液压</w:t>
            </w:r>
            <w:r>
              <w:rPr>
                <w:rFonts w:hint="eastAsia" w:asciiTheme="majorEastAsia" w:hAnsiTheme="majorEastAsia" w:eastAsiaTheme="majorEastAsia" w:cstheme="majorEastAsia"/>
                <w:b w:val="0"/>
                <w:bCs w:val="0"/>
                <w:sz w:val="24"/>
                <w:szCs w:val="24"/>
              </w:rPr>
              <w:t xml:space="preserve"> </w:t>
            </w:r>
            <w:r>
              <w:rPr>
                <w:rFonts w:hint="eastAsia" w:asciiTheme="majorEastAsia" w:hAnsiTheme="majorEastAsia" w:eastAsiaTheme="majorEastAsia" w:cstheme="majorEastAsia"/>
                <w:b w:val="0"/>
                <w:bCs w:val="0"/>
                <w:spacing w:val="-4"/>
                <w:sz w:val="24"/>
                <w:szCs w:val="24"/>
              </w:rPr>
              <w:t>方向助力,原厂</w:t>
            </w:r>
            <w:r>
              <w:rPr>
                <w:rFonts w:hint="eastAsia" w:asciiTheme="majorEastAsia" w:hAnsiTheme="majorEastAsia" w:eastAsiaTheme="majorEastAsia" w:cstheme="majorEastAsia"/>
                <w:b w:val="0"/>
                <w:bCs w:val="0"/>
                <w:spacing w:val="-41"/>
                <w:sz w:val="24"/>
                <w:szCs w:val="24"/>
              </w:rPr>
              <w:t xml:space="preserve"> </w:t>
            </w:r>
            <w:r>
              <w:rPr>
                <w:rFonts w:hint="eastAsia" w:asciiTheme="majorEastAsia" w:hAnsiTheme="majorEastAsia" w:eastAsiaTheme="majorEastAsia" w:cstheme="majorEastAsia"/>
                <w:b w:val="0"/>
                <w:bCs w:val="0"/>
                <w:spacing w:val="-4"/>
                <w:sz w:val="24"/>
                <w:szCs w:val="24"/>
              </w:rPr>
              <w:t>ABS,原厂随车工具</w:t>
            </w:r>
          </w:p>
          <w:p w14:paraId="768DE0B9">
            <w:pPr>
              <w:pStyle w:val="69"/>
              <w:numPr>
                <w:ilvl w:val="0"/>
                <w:numId w:val="0"/>
              </w:numPr>
              <w:spacing w:line="360" w:lineRule="auto"/>
              <w:ind w:left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sz w:val="24"/>
                <w:szCs w:val="24"/>
                <w:lang w:val="en-US" w:eastAsia="zh-CN"/>
              </w:rPr>
              <w:t>1.3</w:t>
            </w:r>
            <w:r>
              <w:rPr>
                <w:rFonts w:hint="eastAsia" w:asciiTheme="majorEastAsia" w:hAnsiTheme="majorEastAsia" w:eastAsiaTheme="majorEastAsia" w:cstheme="majorEastAsia"/>
                <w:b/>
                <w:sz w:val="24"/>
                <w:szCs w:val="24"/>
              </w:rPr>
              <w:t>驾驶室</w:t>
            </w:r>
          </w:p>
          <w:p w14:paraId="312565AE">
            <w:pPr>
              <w:spacing w:beforeLines="0" w:afterLines="0" w:line="360" w:lineRule="auto"/>
              <w:jc w:val="left"/>
              <w:rPr>
                <w:rFonts w:hint="eastAsia" w:asciiTheme="majorEastAsia" w:hAnsiTheme="majorEastAsia" w:eastAsiaTheme="majorEastAsia" w:cstheme="majorEastAsia"/>
                <w:b w:val="0"/>
                <w:bCs w:val="0"/>
                <w:sz w:val="24"/>
                <w:szCs w:val="24"/>
                <w:lang w:eastAsia="zh-CN"/>
              </w:rPr>
            </w:pPr>
            <w:r>
              <w:rPr>
                <w:rFonts w:hint="eastAsia" w:asciiTheme="majorEastAsia" w:hAnsiTheme="majorEastAsia" w:eastAsiaTheme="majorEastAsia" w:cstheme="majorEastAsia"/>
                <w:b w:val="0"/>
                <w:bCs w:val="0"/>
                <w:sz w:val="24"/>
                <w:szCs w:val="24"/>
              </w:rPr>
              <w:t>采用</w:t>
            </w:r>
            <w:r>
              <w:rPr>
                <w:rFonts w:hint="eastAsia" w:asciiTheme="majorEastAsia" w:hAnsiTheme="majorEastAsia" w:eastAsiaTheme="majorEastAsia" w:cstheme="majorEastAsia"/>
                <w:b w:val="0"/>
                <w:bCs w:val="0"/>
                <w:sz w:val="24"/>
                <w:szCs w:val="24"/>
                <w:lang w:val="en-US" w:eastAsia="zh-CN"/>
              </w:rPr>
              <w:t>江铃</w:t>
            </w:r>
            <w:r>
              <w:rPr>
                <w:rFonts w:hint="eastAsia" w:asciiTheme="majorEastAsia" w:hAnsiTheme="majorEastAsia" w:eastAsiaTheme="majorEastAsia" w:cstheme="majorEastAsia"/>
                <w:b w:val="0"/>
                <w:bCs w:val="0"/>
                <w:sz w:val="24"/>
                <w:szCs w:val="24"/>
              </w:rPr>
              <w:t>双排驾驶室，国六B放标准，原厂空调、液压方向助力，无匙进入、一键启动、定速巡航、采埃孚8AT自动变速箱</w:t>
            </w:r>
            <w:r>
              <w:rPr>
                <w:rFonts w:hint="eastAsia" w:asciiTheme="majorEastAsia" w:hAnsiTheme="majorEastAsia" w:eastAsiaTheme="majorEastAsia" w:cstheme="majorEastAsia"/>
                <w:b w:val="0"/>
                <w:bCs w:val="0"/>
                <w:sz w:val="24"/>
                <w:szCs w:val="24"/>
                <w:lang w:eastAsia="zh-CN"/>
              </w:rPr>
              <w:t>。</w:t>
            </w:r>
          </w:p>
          <w:p w14:paraId="7ABF098E">
            <w:pPr>
              <w:pStyle w:val="69"/>
              <w:numPr>
                <w:ilvl w:val="0"/>
                <w:numId w:val="0"/>
              </w:numPr>
              <w:spacing w:line="360" w:lineRule="auto"/>
              <w:ind w:left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bCs/>
                <w:kern w:val="0"/>
                <w:sz w:val="24"/>
                <w:szCs w:val="24"/>
                <w:lang w:val="en-US" w:eastAsia="zh-CN"/>
              </w:rPr>
              <w:t>1.4</w:t>
            </w:r>
            <w:r>
              <w:rPr>
                <w:rFonts w:hint="eastAsia" w:asciiTheme="majorEastAsia" w:hAnsiTheme="majorEastAsia" w:eastAsiaTheme="majorEastAsia" w:cstheme="majorEastAsia"/>
                <w:b/>
                <w:bCs/>
                <w:kern w:val="0"/>
                <w:sz w:val="24"/>
                <w:szCs w:val="24"/>
              </w:rPr>
              <w:t>上装部分</w:t>
            </w:r>
          </w:p>
          <w:p w14:paraId="04B4BAC1">
            <w:pPr>
              <w:pStyle w:val="3"/>
              <w:numPr>
                <w:ilvl w:val="0"/>
                <w:numId w:val="0"/>
              </w:numPr>
              <w:ind w:leftChars="0"/>
              <w:rPr>
                <w:rFonts w:hint="eastAsia" w:asciiTheme="majorEastAsia" w:hAnsiTheme="majorEastAsia" w:eastAsiaTheme="majorEastAsia" w:cstheme="majorEastAsia"/>
                <w:b w:val="0"/>
                <w:sz w:val="24"/>
                <w:szCs w:val="24"/>
              </w:rPr>
            </w:pPr>
            <w:r>
              <w:rPr>
                <w:rFonts w:hint="eastAsia" w:asciiTheme="majorEastAsia" w:hAnsiTheme="majorEastAsia" w:eastAsiaTheme="majorEastAsia" w:cstheme="majorEastAsia"/>
                <w:b w:val="0"/>
                <w:bCs w:val="0"/>
                <w:spacing w:val="-8"/>
                <w:kern w:val="2"/>
                <w:sz w:val="24"/>
                <w:szCs w:val="24"/>
                <w:lang w:val="en-US" w:eastAsia="zh-CN" w:bidi="ar-SA"/>
              </w:rPr>
              <w:t>1.4.1箱体：车箱一体式车箱，厢体防火，阻燃，防雨，防尘，防锈，隔震，长期抗震结构，外层，强度高，电路、电气控制系统设计合理。</w:t>
            </w:r>
          </w:p>
          <w:p w14:paraId="038E3AD0">
            <w:pPr>
              <w:pStyle w:val="69"/>
              <w:numPr>
                <w:ilvl w:val="0"/>
                <w:numId w:val="0"/>
              </w:numPr>
              <w:spacing w:line="360" w:lineRule="auto"/>
              <w:ind w:left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bCs/>
                <w:spacing w:val="-8"/>
                <w:kern w:val="2"/>
                <w:sz w:val="24"/>
                <w:szCs w:val="24"/>
                <w:lang w:val="en-US" w:eastAsia="zh-CN" w:bidi="ar-SA"/>
              </w:rPr>
              <w:t>1.5电器系统</w:t>
            </w:r>
          </w:p>
          <w:p w14:paraId="38FFAFD9">
            <w:pPr>
              <w:pStyle w:val="10"/>
              <w:spacing w:before="1" w:line="360" w:lineRule="auto"/>
              <w:jc w:val="left"/>
              <w:rPr>
                <w:rFonts w:hint="eastAsia" w:asciiTheme="majorEastAsia" w:hAnsiTheme="majorEastAsia" w:eastAsiaTheme="majorEastAsia" w:cstheme="majorEastAsia"/>
                <w:b w:val="0"/>
                <w:bCs w:val="0"/>
                <w:spacing w:val="-8"/>
                <w:kern w:val="2"/>
                <w:sz w:val="24"/>
                <w:szCs w:val="24"/>
                <w:lang w:val="en-US" w:eastAsia="zh-CN" w:bidi="ar-SA"/>
              </w:rPr>
            </w:pPr>
            <w:r>
              <w:rPr>
                <w:rFonts w:hint="eastAsia" w:asciiTheme="majorEastAsia" w:hAnsiTheme="majorEastAsia" w:eastAsiaTheme="majorEastAsia" w:cstheme="majorEastAsia"/>
                <w:b w:val="0"/>
                <w:bCs w:val="0"/>
                <w:spacing w:val="-8"/>
                <w:kern w:val="2"/>
                <w:sz w:val="24"/>
                <w:szCs w:val="24"/>
                <w:lang w:val="en-US" w:eastAsia="zh-CN" w:bidi="ar-SA"/>
              </w:rPr>
              <w:t>1.5.1、为保证使用安全，整车线路采用整体线束制作，连接处用防水插头，保证使用过程中的线路安全。</w:t>
            </w:r>
          </w:p>
          <w:p w14:paraId="1E3EC755">
            <w:pPr>
              <w:pStyle w:val="10"/>
              <w:spacing w:before="1" w:line="360" w:lineRule="auto"/>
              <w:jc w:val="left"/>
              <w:rPr>
                <w:rFonts w:hint="eastAsia" w:asciiTheme="majorEastAsia" w:hAnsiTheme="majorEastAsia" w:eastAsiaTheme="majorEastAsia" w:cstheme="majorEastAsia"/>
                <w:b w:val="0"/>
                <w:bCs w:val="0"/>
                <w:spacing w:val="-8"/>
                <w:kern w:val="2"/>
                <w:sz w:val="24"/>
                <w:szCs w:val="24"/>
                <w:lang w:val="en-US" w:eastAsia="zh-CN" w:bidi="ar-SA"/>
              </w:rPr>
            </w:pPr>
            <w:r>
              <w:rPr>
                <w:rFonts w:hint="eastAsia" w:asciiTheme="majorEastAsia" w:hAnsiTheme="majorEastAsia" w:eastAsiaTheme="majorEastAsia" w:cstheme="majorEastAsia"/>
                <w:b w:val="0"/>
                <w:bCs w:val="0"/>
                <w:spacing w:val="-8"/>
                <w:kern w:val="2"/>
                <w:sz w:val="24"/>
                <w:szCs w:val="24"/>
                <w:lang w:val="en-US" w:eastAsia="zh-CN" w:bidi="ar-SA"/>
              </w:rPr>
              <w:t>1.5.2、车身、尾部按标准粘贴反光标识。</w:t>
            </w:r>
          </w:p>
          <w:p w14:paraId="7D2C0F75">
            <w:pPr>
              <w:pStyle w:val="10"/>
              <w:spacing w:before="1" w:line="360" w:lineRule="auto"/>
              <w:jc w:val="left"/>
              <w:rPr>
                <w:rFonts w:hint="eastAsia" w:asciiTheme="majorEastAsia" w:hAnsiTheme="majorEastAsia" w:eastAsiaTheme="majorEastAsia" w:cstheme="majorEastAsia"/>
                <w:b w:val="0"/>
                <w:bCs w:val="0"/>
                <w:spacing w:val="-8"/>
                <w:kern w:val="2"/>
                <w:sz w:val="24"/>
                <w:szCs w:val="24"/>
                <w:lang w:val="en-US" w:eastAsia="zh-CN" w:bidi="ar-SA"/>
              </w:rPr>
            </w:pPr>
            <w:r>
              <w:rPr>
                <w:rFonts w:hint="eastAsia" w:asciiTheme="majorEastAsia" w:hAnsiTheme="majorEastAsia" w:eastAsiaTheme="majorEastAsia" w:cstheme="majorEastAsia"/>
                <w:b w:val="0"/>
                <w:bCs w:val="0"/>
                <w:spacing w:val="-8"/>
                <w:kern w:val="2"/>
                <w:sz w:val="24"/>
                <w:szCs w:val="24"/>
                <w:lang w:val="en-US" w:eastAsia="zh-CN" w:bidi="ar-SA"/>
              </w:rPr>
              <w:t>1.5.3、所有器材箱均安装 LED 照明灯，方便夜间作战照明之用。</w:t>
            </w:r>
          </w:p>
          <w:p w14:paraId="1C71EF5D">
            <w:pPr>
              <w:spacing w:line="360" w:lineRule="auto"/>
              <w:jc w:val="left"/>
              <w:rPr>
                <w:rFonts w:hint="eastAsia" w:asciiTheme="majorEastAsia" w:hAnsiTheme="majorEastAsia" w:eastAsiaTheme="majorEastAsia" w:cstheme="majorEastAsia"/>
                <w:b w:val="0"/>
                <w:bCs w:val="0"/>
                <w:kern w:val="0"/>
                <w:sz w:val="24"/>
                <w:szCs w:val="24"/>
              </w:rPr>
            </w:pPr>
            <w:r>
              <w:rPr>
                <w:rFonts w:hint="eastAsia" w:asciiTheme="majorEastAsia" w:hAnsiTheme="majorEastAsia" w:eastAsiaTheme="majorEastAsia" w:cstheme="majorEastAsia"/>
                <w:b w:val="0"/>
                <w:bCs w:val="0"/>
                <w:spacing w:val="-8"/>
                <w:kern w:val="2"/>
                <w:sz w:val="24"/>
                <w:szCs w:val="24"/>
                <w:lang w:val="en-US" w:eastAsia="zh-CN" w:bidi="ar-SA"/>
              </w:rPr>
              <w:t>1.5.4、所有线路均采用套管进行保护。</w:t>
            </w:r>
          </w:p>
          <w:p w14:paraId="3E9E53AB">
            <w:pPr>
              <w:pStyle w:val="69"/>
              <w:numPr>
                <w:ilvl w:val="0"/>
                <w:numId w:val="0"/>
              </w:numPr>
              <w:spacing w:line="360" w:lineRule="auto"/>
              <w:ind w:leftChars="0"/>
              <w:rPr>
                <w:rFonts w:hint="eastAsia" w:asciiTheme="majorEastAsia" w:hAnsiTheme="majorEastAsia" w:eastAsiaTheme="majorEastAsia" w:cstheme="majorEastAsia"/>
                <w:b/>
                <w:sz w:val="24"/>
                <w:szCs w:val="24"/>
              </w:rPr>
            </w:pPr>
            <w:r>
              <w:rPr>
                <w:rFonts w:hint="eastAsia" w:asciiTheme="majorEastAsia" w:hAnsiTheme="majorEastAsia" w:eastAsiaTheme="majorEastAsia" w:cstheme="majorEastAsia"/>
                <w:b/>
                <w:bCs/>
                <w:spacing w:val="-8"/>
                <w:kern w:val="2"/>
                <w:sz w:val="24"/>
                <w:szCs w:val="24"/>
                <w:lang w:val="en-US" w:eastAsia="zh-CN" w:bidi="ar-SA"/>
              </w:rPr>
              <w:t>1.6设备系统</w:t>
            </w:r>
          </w:p>
          <w:p w14:paraId="11AE116D">
            <w:pPr>
              <w:pStyle w:val="3"/>
              <w:numPr>
                <w:ilvl w:val="0"/>
                <w:numId w:val="0"/>
              </w:numPr>
              <w:ind w:leftChars="0"/>
              <w:rPr>
                <w:rFonts w:hint="eastAsia" w:asciiTheme="majorEastAsia" w:hAnsiTheme="majorEastAsia" w:eastAsiaTheme="majorEastAsia" w:cstheme="majorEastAsia"/>
                <w:b w:val="0"/>
                <w:sz w:val="24"/>
                <w:szCs w:val="24"/>
                <w:lang w:val="en-US" w:eastAsia="zh-CN"/>
              </w:rPr>
            </w:pPr>
            <w:r>
              <w:rPr>
                <w:rFonts w:hint="eastAsia" w:asciiTheme="majorEastAsia" w:hAnsiTheme="majorEastAsia" w:eastAsiaTheme="majorEastAsia" w:cstheme="majorEastAsia"/>
                <w:b w:val="0"/>
                <w:sz w:val="24"/>
                <w:szCs w:val="24"/>
                <w:lang w:val="en-US" w:eastAsia="zh-CN"/>
              </w:rPr>
              <w:t>1.6.1、大功率喊话器：全方位车载宣传喇叭400W功率；4个高音+4个低音；12V、24V通用；可插U盘，连接手机蓝牙。</w:t>
            </w:r>
          </w:p>
          <w:p w14:paraId="39C14EBF">
            <w:pPr>
              <w:pStyle w:val="3"/>
              <w:numPr>
                <w:ilvl w:val="0"/>
                <w:numId w:val="0"/>
              </w:numPr>
              <w:ind w:leftChars="0"/>
              <w:rPr>
                <w:rFonts w:hint="eastAsia" w:asciiTheme="majorEastAsia" w:hAnsiTheme="majorEastAsia" w:eastAsiaTheme="majorEastAsia" w:cstheme="majorEastAsia"/>
                <w:kern w:val="0"/>
                <w:sz w:val="24"/>
                <w:szCs w:val="24"/>
              </w:rPr>
            </w:pPr>
            <w:r>
              <w:rPr>
                <w:rFonts w:hint="eastAsia" w:asciiTheme="majorEastAsia" w:hAnsiTheme="majorEastAsia" w:eastAsiaTheme="majorEastAsia" w:cstheme="majorEastAsia"/>
                <w:b w:val="0"/>
                <w:sz w:val="24"/>
                <w:szCs w:val="24"/>
                <w:lang w:val="en-US" w:eastAsia="zh-CN"/>
              </w:rPr>
              <w:t>1.6.2、云台摄像头：</w:t>
            </w:r>
            <w:r>
              <w:rPr>
                <w:rFonts w:hint="eastAsia" w:asciiTheme="majorEastAsia" w:hAnsiTheme="majorEastAsia" w:eastAsiaTheme="majorEastAsia" w:cstheme="majorEastAsia"/>
                <w:b w:val="0"/>
                <w:sz w:val="24"/>
                <w:szCs w:val="24"/>
              </w:rPr>
              <w:t>采用全天候环境设计，高强度铝合金精铸外壳，带遮阳罩，带雨刷彻底解决黑夜无照明条件，快速捕捉目标，红外夜视距离大于100米工业级车载电源电路设计，供电电压范围DC11V-18V水平360°无限位旋转，仰视（ +90°～ -90°）无盲点水平预置位速度100°/S,垂直水平预置位速度80°/S可设置128个预置位，6条巡视轨迹可设定自动巡航、水平扫描、摄像机模式和标题显示等</w:t>
            </w:r>
            <w:r>
              <w:rPr>
                <w:rFonts w:hint="eastAsia" w:asciiTheme="majorEastAsia" w:hAnsiTheme="majorEastAsia" w:eastAsiaTheme="majorEastAsia" w:cstheme="majorEastAsia"/>
                <w:b w:val="0"/>
                <w:sz w:val="24"/>
                <w:szCs w:val="24"/>
                <w:lang w:eastAsia="zh-CN"/>
              </w:rPr>
              <w:t>。</w:t>
            </w:r>
          </w:p>
        </w:tc>
        <w:tc>
          <w:tcPr>
            <w:tcW w:w="705" w:type="dxa"/>
            <w:tcBorders>
              <w:top w:val="single" w:color="auto" w:sz="4" w:space="0"/>
              <w:left w:val="nil"/>
              <w:bottom w:val="single" w:color="auto" w:sz="4" w:space="0"/>
              <w:right w:val="single" w:color="auto" w:sz="4" w:space="0"/>
            </w:tcBorders>
            <w:shd w:val="clear" w:color="000000" w:fill="FFFFFF"/>
            <w:noWrap w:val="0"/>
            <w:vAlign w:val="center"/>
          </w:tcPr>
          <w:p w14:paraId="5520B6B4">
            <w:pPr>
              <w:widowControl/>
              <w:jc w:val="center"/>
              <w:rPr>
                <w:rFonts w:hint="eastAsia" w:asciiTheme="majorEastAsia" w:hAnsiTheme="majorEastAsia" w:eastAsiaTheme="majorEastAsia" w:cstheme="majorEastAsia"/>
                <w:kern w:val="0"/>
                <w:sz w:val="24"/>
                <w:szCs w:val="24"/>
                <w:lang w:val="en-US" w:eastAsia="zh-CN"/>
              </w:rPr>
            </w:pPr>
            <w:r>
              <w:rPr>
                <w:rFonts w:hint="eastAsia" w:asciiTheme="majorEastAsia" w:hAnsiTheme="majorEastAsia" w:eastAsiaTheme="majorEastAsia" w:cstheme="majorEastAsia"/>
                <w:kern w:val="0"/>
                <w:sz w:val="24"/>
                <w:szCs w:val="24"/>
                <w:lang w:val="en-US" w:eastAsia="zh-CN"/>
              </w:rPr>
              <w:t>1</w:t>
            </w:r>
          </w:p>
        </w:tc>
        <w:tc>
          <w:tcPr>
            <w:tcW w:w="767" w:type="dxa"/>
            <w:tcBorders>
              <w:top w:val="single" w:color="auto" w:sz="4" w:space="0"/>
              <w:left w:val="nil"/>
              <w:bottom w:val="single" w:color="auto" w:sz="4" w:space="0"/>
              <w:right w:val="single" w:color="auto" w:sz="4" w:space="0"/>
            </w:tcBorders>
            <w:shd w:val="clear" w:color="000000" w:fill="FFFFFF"/>
            <w:noWrap w:val="0"/>
            <w:vAlign w:val="center"/>
          </w:tcPr>
          <w:p w14:paraId="04DCE7C1">
            <w:pPr>
              <w:widowControl/>
              <w:jc w:val="center"/>
              <w:rPr>
                <w:rFonts w:hint="eastAsia" w:asciiTheme="majorEastAsia" w:hAnsiTheme="majorEastAsia" w:eastAsiaTheme="majorEastAsia" w:cstheme="majorEastAsia"/>
                <w:kern w:val="0"/>
                <w:sz w:val="24"/>
                <w:szCs w:val="24"/>
                <w:lang w:val="en-US" w:eastAsia="zh-CN"/>
              </w:rPr>
            </w:pPr>
            <w:r>
              <w:rPr>
                <w:rFonts w:hint="eastAsia" w:asciiTheme="majorEastAsia" w:hAnsiTheme="majorEastAsia" w:eastAsiaTheme="majorEastAsia" w:cstheme="majorEastAsia"/>
                <w:kern w:val="0"/>
                <w:sz w:val="24"/>
                <w:szCs w:val="24"/>
                <w:lang w:val="en-US" w:eastAsia="zh-CN"/>
              </w:rPr>
              <w:t>辆</w:t>
            </w:r>
          </w:p>
        </w:tc>
      </w:tr>
    </w:tbl>
    <w:p w14:paraId="77EBCFFD">
      <w:pPr>
        <w:widowControl/>
        <w:spacing w:line="360" w:lineRule="auto"/>
        <w:jc w:val="left"/>
        <w:rPr>
          <w:rFonts w:hint="eastAsia" w:ascii="宋体" w:hAnsi="宋体" w:eastAsia="宋体" w:cs="宋体"/>
          <w:color w:val="auto"/>
          <w:kern w:val="0"/>
          <w:sz w:val="21"/>
          <w:szCs w:val="21"/>
          <w:highlight w:val="none"/>
          <w:lang w:val="en-US" w:eastAsia="zh-CN"/>
        </w:rPr>
      </w:pPr>
    </w:p>
    <w:p w14:paraId="35378415">
      <w:pPr>
        <w:widowControl/>
        <w:spacing w:line="360" w:lineRule="auto"/>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注：1、</w:t>
      </w:r>
      <w:r>
        <w:rPr>
          <w:rFonts w:hint="eastAsia" w:ascii="宋体" w:hAnsi="宋体" w:eastAsia="宋体" w:cs="宋体"/>
          <w:color w:val="auto"/>
          <w:kern w:val="0"/>
          <w:sz w:val="21"/>
          <w:szCs w:val="21"/>
          <w:highlight w:val="none"/>
        </w:rPr>
        <w:t>《第</w:t>
      </w:r>
      <w:r>
        <w:rPr>
          <w:rFonts w:hint="eastAsia" w:ascii="宋体" w:hAnsi="宋体" w:eastAsia="宋体" w:cs="宋体"/>
          <w:color w:val="auto"/>
          <w:kern w:val="0"/>
          <w:sz w:val="21"/>
          <w:szCs w:val="21"/>
          <w:highlight w:val="none"/>
          <w:lang w:val="en-US" w:eastAsia="zh-CN"/>
        </w:rPr>
        <w:t>五</w:t>
      </w:r>
      <w:r>
        <w:rPr>
          <w:rFonts w:hint="eastAsia" w:ascii="宋体" w:hAnsi="宋体" w:eastAsia="宋体" w:cs="宋体"/>
          <w:color w:val="auto"/>
          <w:kern w:val="0"/>
          <w:sz w:val="21"/>
          <w:szCs w:val="21"/>
          <w:highlight w:val="none"/>
        </w:rPr>
        <w:t>章</w:t>
      </w:r>
      <w:r>
        <w:rPr>
          <w:rFonts w:hint="eastAsia" w:ascii="宋体" w:hAnsi="宋体" w:eastAsia="宋体" w:cs="宋体"/>
          <w:color w:val="auto"/>
          <w:kern w:val="0"/>
          <w:sz w:val="21"/>
          <w:szCs w:val="21"/>
          <w:highlight w:val="none"/>
          <w:lang w:val="en-US" w:eastAsia="zh-CN"/>
        </w:rPr>
        <w:t>采购</w:t>
      </w:r>
      <w:r>
        <w:rPr>
          <w:rFonts w:hint="eastAsia" w:ascii="宋体" w:hAnsi="宋体" w:eastAsia="宋体" w:cs="宋体"/>
          <w:color w:val="auto"/>
          <w:kern w:val="0"/>
          <w:sz w:val="21"/>
          <w:szCs w:val="21"/>
          <w:highlight w:val="none"/>
          <w:lang w:eastAsia="zh-CN"/>
        </w:rPr>
        <w:t>需求</w:t>
      </w:r>
      <w:r>
        <w:rPr>
          <w:rFonts w:hint="eastAsia" w:ascii="宋体" w:hAnsi="宋体" w:eastAsia="宋体" w:cs="宋体"/>
          <w:color w:val="auto"/>
          <w:kern w:val="0"/>
          <w:sz w:val="21"/>
          <w:szCs w:val="21"/>
          <w:highlight w:val="none"/>
        </w:rPr>
        <w:t>》中如果含有品牌名称、特定型号、特定配置、特定指标参数、产地等情况，仅作为项目质量水平与系统配置的性价比基准，投标人可以此基准作为参考，提供与含有品牌名称、特定型号、特定配置、特定指标参数、产地等要求的货物相同档次或者更优档次的货物，并且所投标货物的配置、规格和技术参数指标等均应实质性不低于或者优于招标文件的要求。</w:t>
      </w:r>
    </w:p>
    <w:p w14:paraId="7BDE32D8">
      <w:pPr>
        <w:widowControl/>
        <w:spacing w:line="360" w:lineRule="auto"/>
        <w:jc w:val="left"/>
        <w:rPr>
          <w:rFonts w:hint="eastAsia" w:ascii="宋体" w:hAnsi="宋体" w:eastAsia="宋体" w:cs="宋体"/>
          <w:color w:val="auto"/>
          <w:kern w:val="0"/>
          <w:sz w:val="21"/>
          <w:szCs w:val="21"/>
          <w:highlight w:val="none"/>
        </w:rPr>
      </w:pPr>
    </w:p>
    <w:p w14:paraId="04FAC6D1">
      <w:pPr>
        <w:spacing w:line="360" w:lineRule="auto"/>
        <w:jc w:val="both"/>
        <w:rPr>
          <w:rFonts w:hint="eastAsia" w:ascii="黑体" w:hAnsi="宋体" w:eastAsia="黑体"/>
          <w:b/>
          <w:sz w:val="36"/>
          <w:szCs w:val="36"/>
        </w:rPr>
      </w:pPr>
    </w:p>
    <w:p w14:paraId="6149507C">
      <w:pPr>
        <w:spacing w:line="360" w:lineRule="auto"/>
        <w:jc w:val="center"/>
        <w:rPr>
          <w:rFonts w:hint="eastAsia" w:ascii="黑体" w:hAnsi="宋体" w:eastAsia="黑体"/>
          <w:b/>
          <w:sz w:val="36"/>
          <w:szCs w:val="36"/>
        </w:rPr>
      </w:pPr>
    </w:p>
    <w:p w14:paraId="2BEE58E8">
      <w:pPr>
        <w:spacing w:line="360" w:lineRule="auto"/>
        <w:jc w:val="center"/>
        <w:rPr>
          <w:rFonts w:ascii="黑体" w:hAnsi="宋体" w:eastAsia="黑体"/>
          <w:b/>
          <w:sz w:val="36"/>
          <w:szCs w:val="36"/>
        </w:rPr>
      </w:pPr>
      <w:r>
        <w:rPr>
          <w:rFonts w:hint="eastAsia" w:ascii="黑体" w:hAnsi="宋体" w:eastAsia="黑体"/>
          <w:b/>
          <w:sz w:val="36"/>
          <w:szCs w:val="36"/>
        </w:rPr>
        <w:t>第六章 投标文件构成及格式</w:t>
      </w:r>
    </w:p>
    <w:p w14:paraId="71D582C9">
      <w:pPr>
        <w:spacing w:line="360" w:lineRule="auto"/>
        <w:ind w:left="420"/>
        <w:jc w:val="center"/>
        <w:rPr>
          <w:rFonts w:ascii="仿宋_GB2312" w:hAnsi="宋体" w:eastAsia="仿宋_GB2312"/>
          <w:sz w:val="24"/>
        </w:rPr>
      </w:pPr>
    </w:p>
    <w:p w14:paraId="2707564D">
      <w:pPr>
        <w:pStyle w:val="14"/>
        <w:spacing w:line="360" w:lineRule="auto"/>
        <w:outlineLvl w:val="0"/>
        <w:rPr>
          <w:rFonts w:ascii="宋体" w:hAnsi="宋体" w:cs="宋体"/>
          <w:bCs/>
          <w:szCs w:val="24"/>
        </w:rPr>
      </w:pPr>
      <w:r>
        <w:rPr>
          <w:rFonts w:hint="eastAsia" w:ascii="宋体" w:hAnsi="宋体" w:cs="宋体"/>
          <w:bCs/>
          <w:szCs w:val="24"/>
        </w:rPr>
        <w:t>采购人特别声明：</w:t>
      </w:r>
    </w:p>
    <w:p w14:paraId="5F86966C">
      <w:pPr>
        <w:pStyle w:val="52"/>
        <w:ind w:firstLine="480"/>
        <w:rPr>
          <w:rFonts w:ascii="宋体" w:hAnsi="宋体" w:cs="宋体"/>
          <w:sz w:val="24"/>
        </w:rPr>
      </w:pPr>
      <w:r>
        <w:rPr>
          <w:rFonts w:hint="eastAsia" w:ascii="宋体" w:hAnsi="宋体" w:cs="宋体"/>
          <w:sz w:val="24"/>
        </w:rPr>
        <w:t>投标人应提交本“投标文件格式”所列举和要求的全部投标文件，并且所提交的投标文件都是真实有效的，否则，将是投标人的风险。</w:t>
      </w:r>
    </w:p>
    <w:p w14:paraId="49458DE4">
      <w:pPr>
        <w:spacing w:line="360" w:lineRule="auto"/>
        <w:rPr>
          <w:rFonts w:ascii="宋体" w:hAnsi="宋体" w:cs="宋体"/>
          <w:b/>
          <w:sz w:val="24"/>
          <w:szCs w:val="28"/>
        </w:rPr>
      </w:pPr>
      <w:r>
        <w:rPr>
          <w:rFonts w:hint="eastAsia" w:ascii="宋体" w:hAnsi="宋体" w:cs="宋体"/>
          <w:b/>
          <w:sz w:val="24"/>
          <w:szCs w:val="28"/>
        </w:rPr>
        <w:t>格式一：</w:t>
      </w:r>
    </w:p>
    <w:p w14:paraId="0C6149CF">
      <w:pPr>
        <w:spacing w:line="360" w:lineRule="auto"/>
        <w:jc w:val="center"/>
        <w:rPr>
          <w:rFonts w:ascii="宋体" w:hAnsi="宋体" w:cs="宋体"/>
          <w:b/>
          <w:sz w:val="24"/>
          <w:szCs w:val="28"/>
        </w:rPr>
      </w:pPr>
      <w:r>
        <w:rPr>
          <w:rFonts w:hint="eastAsia" w:ascii="宋体" w:hAnsi="宋体" w:cs="宋体"/>
          <w:b/>
          <w:bCs/>
          <w:sz w:val="24"/>
          <w:szCs w:val="28"/>
        </w:rPr>
        <w:t>开标一览表（格式）</w:t>
      </w:r>
    </w:p>
    <w:p w14:paraId="0B5945D8">
      <w:pPr>
        <w:spacing w:line="360" w:lineRule="auto"/>
        <w:ind w:firstLine="480" w:firstLineChars="200"/>
        <w:rPr>
          <w:rFonts w:ascii="宋体" w:hAnsi="宋体" w:cs="宋体"/>
          <w:bCs/>
          <w:sz w:val="24"/>
        </w:rPr>
      </w:pPr>
      <w:r>
        <w:rPr>
          <w:rFonts w:hint="eastAsia" w:ascii="宋体" w:hAnsi="宋体" w:cs="宋体"/>
          <w:bCs/>
          <w:sz w:val="24"/>
        </w:rPr>
        <w:t>项目名称：</w:t>
      </w:r>
    </w:p>
    <w:p w14:paraId="7AD9396B">
      <w:pPr>
        <w:spacing w:line="360" w:lineRule="auto"/>
        <w:ind w:firstLine="480" w:firstLineChars="200"/>
        <w:rPr>
          <w:rFonts w:hint="eastAsia" w:ascii="宋体" w:hAnsi="宋体" w:cs="宋体"/>
          <w:bCs/>
          <w:sz w:val="24"/>
        </w:rPr>
      </w:pPr>
      <w:r>
        <w:rPr>
          <w:rFonts w:hint="eastAsia" w:ascii="宋体" w:hAnsi="宋体" w:cs="宋体"/>
          <w:bCs/>
          <w:sz w:val="24"/>
        </w:rPr>
        <w:t>项目编号：</w:t>
      </w:r>
    </w:p>
    <w:tbl>
      <w:tblPr>
        <w:tblStyle w:val="28"/>
        <w:tblW w:w="8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47"/>
        <w:gridCol w:w="1195"/>
        <w:gridCol w:w="1400"/>
        <w:gridCol w:w="1205"/>
        <w:gridCol w:w="893"/>
      </w:tblGrid>
      <w:tr w14:paraId="067D6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exact"/>
          <w:jc w:val="center"/>
        </w:trPr>
        <w:tc>
          <w:tcPr>
            <w:tcW w:w="3847" w:type="dxa"/>
            <w:noWrap w:val="0"/>
            <w:vAlign w:val="center"/>
          </w:tcPr>
          <w:p w14:paraId="48DC2E74">
            <w:pPr>
              <w:spacing w:line="360" w:lineRule="exact"/>
              <w:jc w:val="center"/>
              <w:rPr>
                <w:rFonts w:ascii="宋体" w:hAnsi="宋体" w:cs="宋体"/>
                <w:bCs/>
                <w:color w:val="auto"/>
                <w:sz w:val="24"/>
              </w:rPr>
            </w:pPr>
            <w:r>
              <w:rPr>
                <w:rFonts w:hint="eastAsia" w:ascii="宋体" w:hAnsi="宋体" w:cs="宋体"/>
                <w:bCs/>
                <w:color w:val="auto"/>
                <w:sz w:val="24"/>
                <w:lang w:val="en-US" w:eastAsia="zh-CN"/>
              </w:rPr>
              <w:t>采购标的</w:t>
            </w:r>
            <w:r>
              <w:rPr>
                <w:rFonts w:hint="eastAsia" w:ascii="宋体" w:hAnsi="宋体" w:cs="宋体"/>
                <w:bCs/>
                <w:color w:val="auto"/>
                <w:sz w:val="24"/>
              </w:rPr>
              <w:t>名称</w:t>
            </w:r>
          </w:p>
        </w:tc>
        <w:tc>
          <w:tcPr>
            <w:tcW w:w="1195" w:type="dxa"/>
            <w:noWrap w:val="0"/>
            <w:vAlign w:val="center"/>
          </w:tcPr>
          <w:p w14:paraId="360309B5">
            <w:pPr>
              <w:spacing w:line="360" w:lineRule="exact"/>
              <w:jc w:val="center"/>
              <w:rPr>
                <w:rFonts w:ascii="宋体" w:hAnsi="宋体" w:cs="宋体"/>
                <w:bCs/>
                <w:color w:val="auto"/>
                <w:sz w:val="24"/>
              </w:rPr>
            </w:pPr>
            <w:r>
              <w:rPr>
                <w:rFonts w:hint="eastAsia" w:ascii="宋体" w:hAnsi="宋体" w:cs="宋体"/>
                <w:bCs/>
                <w:color w:val="auto"/>
                <w:sz w:val="24"/>
              </w:rPr>
              <w:t>总价</w:t>
            </w:r>
          </w:p>
        </w:tc>
        <w:tc>
          <w:tcPr>
            <w:tcW w:w="1400" w:type="dxa"/>
            <w:noWrap w:val="0"/>
            <w:vAlign w:val="center"/>
          </w:tcPr>
          <w:p w14:paraId="13ADA389">
            <w:pPr>
              <w:spacing w:line="360" w:lineRule="exact"/>
              <w:jc w:val="center"/>
              <w:rPr>
                <w:rFonts w:ascii="宋体" w:hAnsi="宋体" w:cs="宋体"/>
                <w:bCs/>
                <w:color w:val="auto"/>
                <w:sz w:val="24"/>
              </w:rPr>
            </w:pPr>
            <w:r>
              <w:rPr>
                <w:rFonts w:hint="eastAsia" w:ascii="宋体" w:hAnsi="宋体" w:cs="宋体"/>
                <w:bCs/>
                <w:color w:val="auto"/>
                <w:sz w:val="24"/>
                <w:lang w:val="en-US" w:eastAsia="zh-CN"/>
              </w:rPr>
              <w:t>投标</w:t>
            </w:r>
            <w:r>
              <w:rPr>
                <w:rFonts w:hint="eastAsia" w:ascii="宋体" w:hAnsi="宋体" w:cs="宋体"/>
                <w:bCs/>
                <w:color w:val="auto"/>
                <w:sz w:val="24"/>
              </w:rPr>
              <w:t>保证金</w:t>
            </w:r>
          </w:p>
        </w:tc>
        <w:tc>
          <w:tcPr>
            <w:tcW w:w="1205" w:type="dxa"/>
            <w:noWrap w:val="0"/>
            <w:vAlign w:val="center"/>
          </w:tcPr>
          <w:p w14:paraId="377A7A43">
            <w:pPr>
              <w:spacing w:line="360" w:lineRule="exact"/>
              <w:jc w:val="center"/>
              <w:rPr>
                <w:rFonts w:ascii="宋体" w:hAnsi="宋体" w:cs="宋体"/>
                <w:bCs/>
                <w:color w:val="auto"/>
                <w:sz w:val="24"/>
              </w:rPr>
            </w:pPr>
            <w:r>
              <w:rPr>
                <w:rFonts w:hint="eastAsia" w:ascii="宋体" w:hAnsi="宋体" w:cs="宋体"/>
                <w:bCs/>
                <w:color w:val="auto"/>
                <w:sz w:val="24"/>
                <w:lang w:eastAsia="zh-CN"/>
              </w:rPr>
              <w:t>合同履行</w:t>
            </w:r>
            <w:r>
              <w:rPr>
                <w:rFonts w:hint="eastAsia" w:ascii="宋体" w:hAnsi="宋体" w:cs="宋体"/>
                <w:bCs/>
                <w:color w:val="auto"/>
                <w:sz w:val="24"/>
              </w:rPr>
              <w:t>期</w:t>
            </w:r>
            <w:r>
              <w:rPr>
                <w:rFonts w:hint="eastAsia" w:ascii="宋体" w:hAnsi="宋体" w:cs="宋体"/>
                <w:bCs/>
                <w:color w:val="auto"/>
                <w:sz w:val="24"/>
                <w:lang w:eastAsia="zh-CN"/>
              </w:rPr>
              <w:t>限</w:t>
            </w:r>
          </w:p>
        </w:tc>
        <w:tc>
          <w:tcPr>
            <w:tcW w:w="893" w:type="dxa"/>
            <w:noWrap w:val="0"/>
            <w:vAlign w:val="center"/>
          </w:tcPr>
          <w:p w14:paraId="67064ABC">
            <w:pPr>
              <w:spacing w:line="360" w:lineRule="exact"/>
              <w:jc w:val="center"/>
              <w:rPr>
                <w:rFonts w:ascii="宋体" w:hAnsi="宋体" w:cs="宋体"/>
                <w:bCs/>
                <w:color w:val="auto"/>
                <w:sz w:val="24"/>
              </w:rPr>
            </w:pPr>
            <w:r>
              <w:rPr>
                <w:rFonts w:hint="eastAsia" w:ascii="宋体" w:hAnsi="宋体" w:cs="宋体"/>
                <w:bCs/>
                <w:color w:val="auto"/>
                <w:sz w:val="24"/>
              </w:rPr>
              <w:t>备注</w:t>
            </w:r>
          </w:p>
        </w:tc>
      </w:tr>
      <w:tr w14:paraId="2CD76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1A5D0C96">
            <w:pPr>
              <w:spacing w:line="360" w:lineRule="exact"/>
              <w:jc w:val="center"/>
              <w:rPr>
                <w:rFonts w:ascii="宋体" w:hAnsi="宋体" w:cs="宋体"/>
                <w:bCs/>
                <w:color w:val="auto"/>
                <w:sz w:val="24"/>
              </w:rPr>
            </w:pPr>
          </w:p>
        </w:tc>
        <w:tc>
          <w:tcPr>
            <w:tcW w:w="1195" w:type="dxa"/>
            <w:noWrap w:val="0"/>
            <w:vAlign w:val="center"/>
          </w:tcPr>
          <w:p w14:paraId="16FFF074">
            <w:pPr>
              <w:spacing w:line="360" w:lineRule="exact"/>
              <w:jc w:val="center"/>
              <w:rPr>
                <w:rFonts w:ascii="宋体" w:hAnsi="宋体" w:cs="宋体"/>
                <w:bCs/>
                <w:color w:val="auto"/>
                <w:sz w:val="24"/>
              </w:rPr>
            </w:pPr>
          </w:p>
        </w:tc>
        <w:tc>
          <w:tcPr>
            <w:tcW w:w="1400" w:type="dxa"/>
            <w:noWrap w:val="0"/>
            <w:vAlign w:val="center"/>
          </w:tcPr>
          <w:p w14:paraId="1586747A">
            <w:pPr>
              <w:spacing w:line="360" w:lineRule="exact"/>
              <w:jc w:val="center"/>
              <w:rPr>
                <w:rFonts w:ascii="宋体" w:hAnsi="宋体" w:cs="宋体"/>
                <w:bCs/>
                <w:color w:val="auto"/>
                <w:sz w:val="24"/>
              </w:rPr>
            </w:pPr>
          </w:p>
        </w:tc>
        <w:tc>
          <w:tcPr>
            <w:tcW w:w="1205" w:type="dxa"/>
            <w:noWrap w:val="0"/>
            <w:vAlign w:val="center"/>
          </w:tcPr>
          <w:p w14:paraId="4C5C137D">
            <w:pPr>
              <w:spacing w:line="360" w:lineRule="exact"/>
              <w:jc w:val="center"/>
              <w:rPr>
                <w:rFonts w:ascii="宋体" w:hAnsi="宋体" w:cs="宋体"/>
                <w:bCs/>
                <w:color w:val="auto"/>
                <w:sz w:val="24"/>
              </w:rPr>
            </w:pPr>
          </w:p>
        </w:tc>
        <w:tc>
          <w:tcPr>
            <w:tcW w:w="893" w:type="dxa"/>
            <w:noWrap w:val="0"/>
            <w:vAlign w:val="center"/>
          </w:tcPr>
          <w:p w14:paraId="72EE5A4A">
            <w:pPr>
              <w:spacing w:line="360" w:lineRule="exact"/>
              <w:jc w:val="center"/>
              <w:rPr>
                <w:rFonts w:ascii="宋体" w:hAnsi="宋体" w:cs="宋体"/>
                <w:bCs/>
                <w:color w:val="auto"/>
                <w:sz w:val="24"/>
              </w:rPr>
            </w:pPr>
          </w:p>
        </w:tc>
      </w:tr>
      <w:tr w14:paraId="761A7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38E503D7">
            <w:pPr>
              <w:spacing w:line="360" w:lineRule="exact"/>
              <w:jc w:val="center"/>
              <w:rPr>
                <w:rFonts w:ascii="宋体" w:hAnsi="宋体" w:cs="宋体"/>
                <w:bCs/>
                <w:color w:val="auto"/>
                <w:sz w:val="24"/>
              </w:rPr>
            </w:pPr>
          </w:p>
        </w:tc>
        <w:tc>
          <w:tcPr>
            <w:tcW w:w="1195" w:type="dxa"/>
            <w:noWrap w:val="0"/>
            <w:vAlign w:val="center"/>
          </w:tcPr>
          <w:p w14:paraId="03A51777">
            <w:pPr>
              <w:spacing w:line="360" w:lineRule="exact"/>
              <w:jc w:val="center"/>
              <w:rPr>
                <w:rFonts w:ascii="宋体" w:hAnsi="宋体" w:cs="宋体"/>
                <w:bCs/>
                <w:color w:val="auto"/>
                <w:sz w:val="24"/>
              </w:rPr>
            </w:pPr>
          </w:p>
        </w:tc>
        <w:tc>
          <w:tcPr>
            <w:tcW w:w="1400" w:type="dxa"/>
            <w:noWrap w:val="0"/>
            <w:vAlign w:val="center"/>
          </w:tcPr>
          <w:p w14:paraId="48AD2A9C">
            <w:pPr>
              <w:spacing w:line="360" w:lineRule="exact"/>
              <w:jc w:val="center"/>
              <w:rPr>
                <w:rFonts w:ascii="宋体" w:hAnsi="宋体" w:cs="宋体"/>
                <w:bCs/>
                <w:color w:val="auto"/>
                <w:sz w:val="24"/>
              </w:rPr>
            </w:pPr>
          </w:p>
        </w:tc>
        <w:tc>
          <w:tcPr>
            <w:tcW w:w="1205" w:type="dxa"/>
            <w:noWrap w:val="0"/>
            <w:vAlign w:val="center"/>
          </w:tcPr>
          <w:p w14:paraId="576E0353">
            <w:pPr>
              <w:spacing w:line="360" w:lineRule="exact"/>
              <w:jc w:val="center"/>
              <w:rPr>
                <w:rFonts w:ascii="宋体" w:hAnsi="宋体" w:cs="宋体"/>
                <w:bCs/>
                <w:color w:val="auto"/>
                <w:sz w:val="24"/>
              </w:rPr>
            </w:pPr>
          </w:p>
        </w:tc>
        <w:tc>
          <w:tcPr>
            <w:tcW w:w="893" w:type="dxa"/>
            <w:noWrap w:val="0"/>
            <w:vAlign w:val="center"/>
          </w:tcPr>
          <w:p w14:paraId="4128302D">
            <w:pPr>
              <w:spacing w:line="360" w:lineRule="exact"/>
              <w:jc w:val="center"/>
              <w:rPr>
                <w:rFonts w:ascii="宋体" w:hAnsi="宋体" w:cs="宋体"/>
                <w:bCs/>
                <w:color w:val="auto"/>
                <w:sz w:val="24"/>
              </w:rPr>
            </w:pPr>
          </w:p>
        </w:tc>
      </w:tr>
      <w:tr w14:paraId="1462A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5C4730B3">
            <w:pPr>
              <w:spacing w:line="360" w:lineRule="exact"/>
              <w:jc w:val="center"/>
              <w:rPr>
                <w:rFonts w:ascii="宋体" w:hAnsi="宋体" w:cs="宋体"/>
                <w:bCs/>
                <w:color w:val="auto"/>
                <w:sz w:val="24"/>
              </w:rPr>
            </w:pPr>
          </w:p>
        </w:tc>
        <w:tc>
          <w:tcPr>
            <w:tcW w:w="1195" w:type="dxa"/>
            <w:noWrap w:val="0"/>
            <w:vAlign w:val="center"/>
          </w:tcPr>
          <w:p w14:paraId="393A100B">
            <w:pPr>
              <w:spacing w:line="360" w:lineRule="exact"/>
              <w:jc w:val="center"/>
              <w:rPr>
                <w:rFonts w:ascii="宋体" w:hAnsi="宋体" w:cs="宋体"/>
                <w:bCs/>
                <w:color w:val="auto"/>
                <w:sz w:val="24"/>
              </w:rPr>
            </w:pPr>
          </w:p>
        </w:tc>
        <w:tc>
          <w:tcPr>
            <w:tcW w:w="1400" w:type="dxa"/>
            <w:noWrap w:val="0"/>
            <w:vAlign w:val="center"/>
          </w:tcPr>
          <w:p w14:paraId="00AC99FC">
            <w:pPr>
              <w:spacing w:line="360" w:lineRule="exact"/>
              <w:jc w:val="center"/>
              <w:rPr>
                <w:rFonts w:ascii="宋体" w:hAnsi="宋体" w:cs="宋体"/>
                <w:bCs/>
                <w:color w:val="auto"/>
                <w:sz w:val="24"/>
              </w:rPr>
            </w:pPr>
          </w:p>
        </w:tc>
        <w:tc>
          <w:tcPr>
            <w:tcW w:w="1205" w:type="dxa"/>
            <w:noWrap w:val="0"/>
            <w:vAlign w:val="center"/>
          </w:tcPr>
          <w:p w14:paraId="2ABC2850">
            <w:pPr>
              <w:spacing w:line="360" w:lineRule="exact"/>
              <w:jc w:val="center"/>
              <w:rPr>
                <w:rFonts w:ascii="宋体" w:hAnsi="宋体" w:cs="宋体"/>
                <w:bCs/>
                <w:color w:val="auto"/>
                <w:sz w:val="24"/>
              </w:rPr>
            </w:pPr>
          </w:p>
        </w:tc>
        <w:tc>
          <w:tcPr>
            <w:tcW w:w="893" w:type="dxa"/>
            <w:noWrap w:val="0"/>
            <w:vAlign w:val="center"/>
          </w:tcPr>
          <w:p w14:paraId="780A11A6">
            <w:pPr>
              <w:spacing w:line="360" w:lineRule="exact"/>
              <w:jc w:val="center"/>
              <w:rPr>
                <w:rFonts w:ascii="宋体" w:hAnsi="宋体" w:cs="宋体"/>
                <w:bCs/>
                <w:color w:val="auto"/>
                <w:sz w:val="24"/>
              </w:rPr>
            </w:pPr>
          </w:p>
        </w:tc>
      </w:tr>
      <w:tr w14:paraId="29D0C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exact"/>
          <w:jc w:val="center"/>
        </w:trPr>
        <w:tc>
          <w:tcPr>
            <w:tcW w:w="3847" w:type="dxa"/>
            <w:noWrap w:val="0"/>
            <w:vAlign w:val="center"/>
          </w:tcPr>
          <w:p w14:paraId="267A48C4">
            <w:pPr>
              <w:spacing w:line="360" w:lineRule="exact"/>
              <w:jc w:val="center"/>
              <w:rPr>
                <w:rFonts w:ascii="宋体" w:hAnsi="宋体" w:cs="宋体"/>
                <w:bCs/>
                <w:color w:val="auto"/>
                <w:sz w:val="24"/>
              </w:rPr>
            </w:pPr>
          </w:p>
        </w:tc>
        <w:tc>
          <w:tcPr>
            <w:tcW w:w="1195" w:type="dxa"/>
            <w:noWrap w:val="0"/>
            <w:vAlign w:val="center"/>
          </w:tcPr>
          <w:p w14:paraId="0464F8F8">
            <w:pPr>
              <w:spacing w:line="360" w:lineRule="exact"/>
              <w:jc w:val="center"/>
              <w:rPr>
                <w:rFonts w:ascii="宋体" w:hAnsi="宋体" w:cs="宋体"/>
                <w:bCs/>
                <w:color w:val="auto"/>
                <w:sz w:val="24"/>
              </w:rPr>
            </w:pPr>
          </w:p>
        </w:tc>
        <w:tc>
          <w:tcPr>
            <w:tcW w:w="1400" w:type="dxa"/>
            <w:noWrap w:val="0"/>
            <w:vAlign w:val="center"/>
          </w:tcPr>
          <w:p w14:paraId="6AFF12DF">
            <w:pPr>
              <w:spacing w:line="360" w:lineRule="exact"/>
              <w:jc w:val="center"/>
              <w:rPr>
                <w:rFonts w:ascii="宋体" w:hAnsi="宋体" w:cs="宋体"/>
                <w:bCs/>
                <w:color w:val="auto"/>
                <w:sz w:val="24"/>
              </w:rPr>
            </w:pPr>
          </w:p>
        </w:tc>
        <w:tc>
          <w:tcPr>
            <w:tcW w:w="1205" w:type="dxa"/>
            <w:noWrap w:val="0"/>
            <w:vAlign w:val="center"/>
          </w:tcPr>
          <w:p w14:paraId="7193C01E">
            <w:pPr>
              <w:spacing w:line="360" w:lineRule="exact"/>
              <w:jc w:val="center"/>
              <w:rPr>
                <w:rFonts w:ascii="宋体" w:hAnsi="宋体" w:cs="宋体"/>
                <w:bCs/>
                <w:color w:val="auto"/>
                <w:sz w:val="24"/>
              </w:rPr>
            </w:pPr>
          </w:p>
        </w:tc>
        <w:tc>
          <w:tcPr>
            <w:tcW w:w="893" w:type="dxa"/>
            <w:noWrap w:val="0"/>
            <w:vAlign w:val="center"/>
          </w:tcPr>
          <w:p w14:paraId="28234426">
            <w:pPr>
              <w:spacing w:line="360" w:lineRule="exact"/>
              <w:jc w:val="center"/>
              <w:rPr>
                <w:rFonts w:ascii="宋体" w:hAnsi="宋体" w:cs="宋体"/>
                <w:bCs/>
                <w:color w:val="auto"/>
                <w:sz w:val="24"/>
              </w:rPr>
            </w:pPr>
          </w:p>
        </w:tc>
      </w:tr>
      <w:tr w14:paraId="00B86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exact"/>
          <w:jc w:val="center"/>
        </w:trPr>
        <w:tc>
          <w:tcPr>
            <w:tcW w:w="8540" w:type="dxa"/>
            <w:gridSpan w:val="5"/>
            <w:noWrap w:val="0"/>
            <w:vAlign w:val="center"/>
          </w:tcPr>
          <w:p w14:paraId="30E4160C">
            <w:pPr>
              <w:spacing w:line="360" w:lineRule="exact"/>
              <w:jc w:val="both"/>
              <w:rPr>
                <w:rFonts w:hint="eastAsia" w:ascii="宋体" w:hAnsi="宋体" w:cs="宋体"/>
                <w:bCs/>
                <w:color w:val="auto"/>
                <w:sz w:val="24"/>
              </w:rPr>
            </w:pPr>
            <w:r>
              <w:rPr>
                <w:rFonts w:hint="eastAsia" w:ascii="宋体" w:hAnsi="宋体" w:cs="宋体"/>
                <w:bCs/>
                <w:color w:val="auto"/>
                <w:sz w:val="24"/>
              </w:rPr>
              <w:t>合计：大写                   ；小写￥</w:t>
            </w:r>
          </w:p>
        </w:tc>
      </w:tr>
    </w:tbl>
    <w:p w14:paraId="7722460F">
      <w:pPr>
        <w:spacing w:line="360" w:lineRule="auto"/>
        <w:ind w:firstLine="480" w:firstLineChars="200"/>
        <w:rPr>
          <w:rFonts w:hint="eastAsia" w:ascii="宋体" w:hAnsi="宋体" w:cs="宋体"/>
          <w:bCs/>
          <w:sz w:val="24"/>
        </w:rPr>
      </w:pPr>
    </w:p>
    <w:p w14:paraId="7A7CC8C9">
      <w:pPr>
        <w:adjustRightInd w:val="0"/>
        <w:snapToGrid w:val="0"/>
        <w:spacing w:line="360" w:lineRule="auto"/>
        <w:ind w:firstLine="480" w:firstLineChars="200"/>
        <w:rPr>
          <w:rFonts w:ascii="宋体"/>
          <w:sz w:val="24"/>
          <w:u w:val="single"/>
        </w:rPr>
      </w:pPr>
      <w:r>
        <w:rPr>
          <w:rFonts w:hint="eastAsia" w:ascii="宋体"/>
          <w:sz w:val="24"/>
        </w:rPr>
        <w:t>投标人名称（盖章）：</w:t>
      </w:r>
    </w:p>
    <w:p w14:paraId="202FBE3C">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2A1B6F9">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或授权代表（签字）</w:t>
      </w:r>
      <w:r>
        <w:rPr>
          <w:rFonts w:hint="eastAsia" w:ascii="宋体"/>
          <w:sz w:val="24"/>
        </w:rPr>
        <w:t>：</w:t>
      </w:r>
    </w:p>
    <w:p w14:paraId="70F54A9E">
      <w:pPr>
        <w:spacing w:line="360" w:lineRule="auto"/>
        <w:rPr>
          <w:rFonts w:ascii="宋体" w:hAnsi="宋体" w:cs="宋体"/>
          <w:bCs/>
          <w:sz w:val="24"/>
        </w:rPr>
      </w:pPr>
    </w:p>
    <w:p w14:paraId="0D3C7947">
      <w:pPr>
        <w:spacing w:line="360" w:lineRule="auto"/>
        <w:ind w:firstLine="480" w:firstLineChars="200"/>
        <w:rPr>
          <w:rFonts w:ascii="宋体" w:hAnsi="宋体" w:cs="宋体"/>
          <w:bCs/>
          <w:sz w:val="24"/>
        </w:rPr>
      </w:pPr>
      <w:r>
        <w:rPr>
          <w:rFonts w:hint="eastAsia" w:ascii="宋体" w:hAnsi="宋体" w:cs="宋体"/>
          <w:bCs/>
          <w:sz w:val="24"/>
        </w:rPr>
        <w:t>时间：   年    月   日                                货币单位:</w:t>
      </w:r>
      <w:r>
        <w:rPr>
          <w:rFonts w:hint="eastAsia" w:ascii="宋体" w:hAnsi="宋体" w:cs="宋体"/>
          <w:b/>
          <w:bCs/>
          <w:i/>
          <w:sz w:val="24"/>
          <w:u w:val="single"/>
        </w:rPr>
        <w:t>元</w:t>
      </w:r>
    </w:p>
    <w:p w14:paraId="11FFD4A6">
      <w:pPr>
        <w:spacing w:line="360" w:lineRule="auto"/>
        <w:rPr>
          <w:rFonts w:hint="eastAsia" w:ascii="宋体" w:hAnsi="宋体" w:cs="宋体"/>
          <w:sz w:val="24"/>
        </w:rPr>
      </w:pPr>
    </w:p>
    <w:p w14:paraId="4EFD2DB9">
      <w:pPr>
        <w:spacing w:line="360" w:lineRule="auto"/>
        <w:rPr>
          <w:rFonts w:hint="eastAsia" w:ascii="宋体" w:hAnsi="宋体" w:cs="宋体"/>
          <w:sz w:val="24"/>
        </w:rPr>
      </w:pPr>
    </w:p>
    <w:p w14:paraId="1F212938">
      <w:pPr>
        <w:spacing w:line="360" w:lineRule="auto"/>
        <w:rPr>
          <w:rFonts w:ascii="宋体" w:hAnsi="宋体" w:cs="宋体"/>
          <w:sz w:val="24"/>
        </w:rPr>
      </w:pPr>
      <w:r>
        <w:rPr>
          <w:rFonts w:hint="eastAsia" w:ascii="宋体" w:hAnsi="宋体" w:cs="宋体"/>
          <w:sz w:val="24"/>
        </w:rPr>
        <w:t>说明：</w:t>
      </w:r>
    </w:p>
    <w:p w14:paraId="5637140C">
      <w:pPr>
        <w:spacing w:line="360" w:lineRule="auto"/>
        <w:ind w:firstLine="480" w:firstLineChars="200"/>
        <w:rPr>
          <w:rFonts w:ascii="宋体" w:hAnsi="宋体" w:cs="宋体"/>
          <w:sz w:val="24"/>
        </w:rPr>
      </w:pPr>
      <w:r>
        <w:rPr>
          <w:rFonts w:hint="eastAsia" w:ascii="宋体" w:hAnsi="宋体" w:cs="宋体"/>
          <w:sz w:val="24"/>
        </w:rPr>
        <w:t>1.只允许有一个报价，任何有选择性的报价或者有附加条件的报价采购人将不予接受。</w:t>
      </w:r>
    </w:p>
    <w:p w14:paraId="1A08EDDF">
      <w:pPr>
        <w:spacing w:line="360" w:lineRule="auto"/>
        <w:ind w:firstLine="480" w:firstLineChars="200"/>
        <w:outlineLvl w:val="0"/>
        <w:rPr>
          <w:rFonts w:ascii="宋体" w:hAnsi="宋体" w:cs="宋体"/>
          <w:sz w:val="24"/>
        </w:rPr>
      </w:pPr>
    </w:p>
    <w:p w14:paraId="32435A8F">
      <w:pPr>
        <w:spacing w:line="360" w:lineRule="auto"/>
        <w:rPr>
          <w:rFonts w:ascii="宋体" w:hAnsi="宋体" w:cs="宋体"/>
          <w:b/>
          <w:sz w:val="24"/>
          <w:szCs w:val="28"/>
        </w:rPr>
      </w:pPr>
    </w:p>
    <w:p w14:paraId="5CF60088">
      <w:pPr>
        <w:spacing w:line="360" w:lineRule="auto"/>
        <w:rPr>
          <w:rFonts w:ascii="宋体" w:hAnsi="宋体" w:cs="宋体"/>
          <w:b/>
          <w:sz w:val="24"/>
          <w:szCs w:val="28"/>
        </w:rPr>
      </w:pPr>
    </w:p>
    <w:p w14:paraId="1FC1E717">
      <w:pPr>
        <w:spacing w:line="360" w:lineRule="auto"/>
        <w:rPr>
          <w:rFonts w:ascii="宋体" w:hAnsi="宋体" w:cs="宋体"/>
          <w:b/>
          <w:sz w:val="24"/>
          <w:szCs w:val="28"/>
        </w:rPr>
      </w:pPr>
      <w:r>
        <w:rPr>
          <w:rFonts w:hint="eastAsia" w:ascii="宋体" w:hAnsi="宋体" w:cs="宋体"/>
          <w:b/>
          <w:sz w:val="24"/>
          <w:szCs w:val="28"/>
        </w:rPr>
        <w:t>格式二：</w:t>
      </w:r>
    </w:p>
    <w:p w14:paraId="6CCB1553">
      <w:pPr>
        <w:pStyle w:val="14"/>
        <w:spacing w:line="360" w:lineRule="auto"/>
        <w:jc w:val="center"/>
        <w:outlineLvl w:val="0"/>
        <w:rPr>
          <w:rFonts w:ascii="宋体" w:hAnsi="宋体" w:cs="宋体"/>
          <w:b/>
          <w:bCs/>
          <w:szCs w:val="28"/>
        </w:rPr>
      </w:pPr>
      <w:r>
        <w:rPr>
          <w:rFonts w:hint="eastAsia" w:ascii="宋体" w:hAnsi="宋体" w:cs="宋体"/>
          <w:b/>
          <w:bCs/>
          <w:szCs w:val="28"/>
        </w:rPr>
        <w:t>投标函（格式）</w:t>
      </w:r>
    </w:p>
    <w:p w14:paraId="45FE054B">
      <w:pPr>
        <w:pStyle w:val="14"/>
        <w:widowControl/>
        <w:spacing w:line="360" w:lineRule="auto"/>
        <w:outlineLvl w:val="0"/>
        <w:rPr>
          <w:rFonts w:ascii="宋体" w:hAnsi="宋体" w:cs="宋体"/>
          <w:kern w:val="0"/>
          <w:szCs w:val="24"/>
          <w:u w:val="single"/>
        </w:rPr>
      </w:pPr>
      <w:r>
        <w:rPr>
          <w:rFonts w:hint="eastAsia" w:ascii="宋体" w:hAnsi="宋体" w:cs="宋体"/>
          <w:kern w:val="0"/>
          <w:szCs w:val="24"/>
        </w:rPr>
        <w:t>致：中金招标有限责任公司</w:t>
      </w:r>
    </w:p>
    <w:p w14:paraId="3D1DD6B4">
      <w:pPr>
        <w:spacing w:line="360" w:lineRule="auto"/>
        <w:ind w:firstLine="480" w:firstLineChars="200"/>
        <w:outlineLvl w:val="0"/>
        <w:rPr>
          <w:rFonts w:ascii="宋体" w:hAnsi="宋体" w:cs="宋体"/>
          <w:sz w:val="24"/>
        </w:rPr>
      </w:pPr>
      <w:r>
        <w:rPr>
          <w:rFonts w:ascii="宋体" w:hAnsi="宋体" w:cs="宋体"/>
          <w:sz w:val="24"/>
        </w:rPr>
        <w:t>我方参加你方就___________（项目名称，项目编号/包号）组织的招标活动，并对此项目进行投标</w:t>
      </w:r>
      <w:r>
        <w:rPr>
          <w:rFonts w:hint="eastAsia" w:ascii="宋体" w:hAnsi="宋体" w:cs="宋体"/>
          <w:sz w:val="24"/>
        </w:rPr>
        <w:t>。</w:t>
      </w:r>
    </w:p>
    <w:p w14:paraId="3CC283AB">
      <w:pPr>
        <w:spacing w:line="360" w:lineRule="auto"/>
        <w:ind w:firstLine="480" w:firstLineChars="200"/>
        <w:rPr>
          <w:rFonts w:ascii="宋体" w:hAnsi="宋体" w:cs="宋体"/>
          <w:sz w:val="24"/>
        </w:rPr>
      </w:pPr>
      <w:r>
        <w:rPr>
          <w:rFonts w:ascii="宋体" w:hAnsi="宋体" w:cs="宋体"/>
          <w:sz w:val="24"/>
        </w:rPr>
        <w:t>我方已详细审查全部招标文件，自愿参与投标并承诺如下：</w:t>
      </w:r>
    </w:p>
    <w:p w14:paraId="0D420D84">
      <w:pPr>
        <w:tabs>
          <w:tab w:val="left" w:pos="8175"/>
        </w:tabs>
        <w:spacing w:line="360" w:lineRule="auto"/>
        <w:ind w:firstLine="480" w:firstLineChars="200"/>
        <w:rPr>
          <w:rFonts w:ascii="宋体" w:hAnsi="宋体" w:cs="宋体"/>
          <w:sz w:val="24"/>
        </w:rPr>
      </w:pPr>
      <w:r>
        <w:rPr>
          <w:rFonts w:hint="eastAsia" w:ascii="宋体" w:hAnsi="宋体" w:cs="宋体"/>
          <w:sz w:val="24"/>
        </w:rPr>
        <w:t>(1)按招标文件规定提供货物及服务的投标总价为</w:t>
      </w:r>
      <w:r>
        <w:rPr>
          <w:rFonts w:hint="eastAsia" w:ascii="宋体" w:hAnsi="宋体" w:cs="宋体"/>
          <w:sz w:val="24"/>
          <w:u w:val="single"/>
        </w:rPr>
        <w:t xml:space="preserve">              </w:t>
      </w:r>
      <w:r>
        <w:rPr>
          <w:rFonts w:hint="eastAsia" w:ascii="宋体" w:hAnsi="宋体" w:cs="宋体"/>
          <w:sz w:val="24"/>
        </w:rPr>
        <w:t>（大写）人民币。</w:t>
      </w:r>
    </w:p>
    <w:p w14:paraId="3A0D44FD">
      <w:pPr>
        <w:spacing w:line="360" w:lineRule="auto"/>
        <w:ind w:firstLine="480" w:firstLineChars="200"/>
        <w:rPr>
          <w:rFonts w:ascii="宋体" w:hAnsi="宋体" w:cs="宋体"/>
          <w:sz w:val="24"/>
        </w:rPr>
      </w:pPr>
      <w:r>
        <w:rPr>
          <w:rFonts w:hint="eastAsia" w:ascii="宋体" w:hAnsi="宋体" w:cs="宋体"/>
          <w:sz w:val="24"/>
        </w:rPr>
        <w:t>(2)</w:t>
      </w:r>
      <w:r>
        <w:rPr>
          <w:rFonts w:ascii="宋体" w:hAnsi="宋体" w:cs="宋体"/>
          <w:sz w:val="24"/>
        </w:rPr>
        <w:t>我方</w:t>
      </w:r>
      <w:r>
        <w:rPr>
          <w:rFonts w:hint="eastAsia" w:ascii="宋体" w:hAnsi="宋体" w:cs="宋体"/>
          <w:sz w:val="24"/>
        </w:rPr>
        <w:t>保证根据招标文件规定履行合同责任和义务。</w:t>
      </w:r>
    </w:p>
    <w:p w14:paraId="2A1C750E">
      <w:pPr>
        <w:spacing w:line="360" w:lineRule="auto"/>
        <w:ind w:firstLine="480" w:firstLineChars="200"/>
        <w:rPr>
          <w:rFonts w:ascii="宋体" w:hAnsi="宋体" w:cs="宋体"/>
          <w:sz w:val="24"/>
        </w:rPr>
      </w:pPr>
      <w:r>
        <w:rPr>
          <w:rFonts w:hint="eastAsia" w:ascii="宋体" w:hAnsi="宋体" w:cs="宋体"/>
          <w:sz w:val="24"/>
        </w:rPr>
        <w:t>(3)</w:t>
      </w:r>
      <w:r>
        <w:rPr>
          <w:rFonts w:ascii="宋体" w:hAnsi="宋体" w:cs="宋体"/>
          <w:sz w:val="24"/>
        </w:rPr>
        <w:t>我方</w:t>
      </w:r>
      <w:r>
        <w:rPr>
          <w:rFonts w:hint="eastAsia" w:ascii="宋体" w:hAnsi="宋体" w:cs="宋体"/>
          <w:sz w:val="24"/>
        </w:rPr>
        <w:t>已详细审核了全部招标文件，包括招标文件的修改、补充文件（如果有的话）、参考资料及有关的附件，我们知道必须放弃提出含糊不清或误解的问题的权利。</w:t>
      </w:r>
    </w:p>
    <w:p w14:paraId="20C35714">
      <w:pPr>
        <w:spacing w:line="360" w:lineRule="auto"/>
        <w:ind w:firstLine="480" w:firstLineChars="200"/>
        <w:rPr>
          <w:rFonts w:ascii="宋体" w:hAnsi="宋体" w:cs="宋体"/>
          <w:sz w:val="24"/>
        </w:rPr>
      </w:pPr>
      <w:r>
        <w:rPr>
          <w:rFonts w:hint="eastAsia" w:ascii="宋体" w:hAnsi="宋体" w:cs="宋体"/>
          <w:sz w:val="24"/>
        </w:rPr>
        <w:t>(4)</w:t>
      </w:r>
      <w:r>
        <w:rPr>
          <w:rFonts w:ascii="宋体" w:hAnsi="宋体" w:cs="宋体"/>
          <w:sz w:val="24"/>
        </w:rPr>
        <w:t>我方</w:t>
      </w:r>
      <w:r>
        <w:rPr>
          <w:rFonts w:hint="eastAsia" w:ascii="宋体" w:hAnsi="宋体" w:cs="宋体"/>
          <w:sz w:val="24"/>
        </w:rPr>
        <w:t>同意在投标人须知规定的开标日期起遵循本投标书，并在投标人须知规定的投标有效期满之前均具有约束力，并有可能中标。</w:t>
      </w:r>
    </w:p>
    <w:p w14:paraId="00F06E90">
      <w:pPr>
        <w:spacing w:line="360" w:lineRule="auto"/>
        <w:ind w:firstLine="480" w:firstLineChars="200"/>
        <w:rPr>
          <w:rFonts w:ascii="宋体" w:hAnsi="宋体" w:cs="宋体"/>
          <w:sz w:val="24"/>
        </w:rPr>
      </w:pPr>
      <w:r>
        <w:rPr>
          <w:rFonts w:hint="eastAsia" w:ascii="宋体" w:hAnsi="宋体" w:cs="宋体"/>
          <w:sz w:val="24"/>
        </w:rPr>
        <w:t>(5)</w:t>
      </w:r>
      <w:r>
        <w:rPr>
          <w:rFonts w:ascii="宋体" w:hAnsi="宋体" w:cs="宋体"/>
          <w:sz w:val="24"/>
        </w:rPr>
        <w:t>我方</w:t>
      </w:r>
      <w:r>
        <w:rPr>
          <w:rFonts w:hint="eastAsia" w:ascii="宋体" w:hAnsi="宋体" w:cs="宋体"/>
          <w:sz w:val="24"/>
        </w:rPr>
        <w:t>如果在规定的投标有效期内撤回投标，则我们的投标保证金可被贵方没收。</w:t>
      </w:r>
    </w:p>
    <w:p w14:paraId="22CE4B0D">
      <w:pPr>
        <w:spacing w:line="360" w:lineRule="auto"/>
        <w:ind w:firstLine="480" w:firstLineChars="200"/>
        <w:rPr>
          <w:rFonts w:ascii="宋体" w:hAnsi="宋体" w:cs="宋体"/>
          <w:sz w:val="24"/>
        </w:rPr>
      </w:pPr>
      <w:r>
        <w:rPr>
          <w:rFonts w:hint="eastAsia" w:ascii="宋体" w:hAnsi="宋体" w:cs="宋体"/>
          <w:sz w:val="24"/>
        </w:rPr>
        <w:t>(6)</w:t>
      </w:r>
      <w:r>
        <w:rPr>
          <w:rFonts w:ascii="宋体" w:hAnsi="宋体" w:cs="宋体"/>
          <w:sz w:val="24"/>
        </w:rPr>
        <w:t>我方已</w:t>
      </w:r>
      <w:r>
        <w:rPr>
          <w:rFonts w:hint="eastAsia" w:ascii="宋体" w:hAnsi="宋体" w:cs="宋体"/>
          <w:sz w:val="24"/>
        </w:rPr>
        <w:t>提</w:t>
      </w:r>
      <w:r>
        <w:rPr>
          <w:rFonts w:ascii="宋体" w:hAnsi="宋体" w:cs="宋体"/>
          <w:sz w:val="24"/>
        </w:rPr>
        <w:t>供的全部文件资料是真实、准确的，并对此承担一切法律后果。</w:t>
      </w:r>
    </w:p>
    <w:p w14:paraId="5F22092A">
      <w:pPr>
        <w:spacing w:line="360" w:lineRule="auto"/>
        <w:ind w:firstLine="480" w:firstLineChars="200"/>
        <w:rPr>
          <w:rFonts w:ascii="宋体" w:hAnsi="宋体" w:cs="宋体"/>
          <w:sz w:val="24"/>
        </w:rPr>
      </w:pPr>
      <w:r>
        <w:rPr>
          <w:rFonts w:hint="eastAsia" w:ascii="宋体" w:hAnsi="宋体" w:cs="宋体"/>
          <w:sz w:val="24"/>
        </w:rPr>
        <w:t>(7)</w:t>
      </w:r>
      <w:r>
        <w:rPr>
          <w:rFonts w:ascii="宋体" w:hAnsi="宋体" w:cs="宋体"/>
          <w:sz w:val="24"/>
        </w:rPr>
        <w:t>我方</w:t>
      </w:r>
      <w:r>
        <w:rPr>
          <w:rFonts w:hint="eastAsia" w:ascii="宋体" w:hAnsi="宋体" w:cs="宋体"/>
          <w:sz w:val="24"/>
        </w:rPr>
        <w:t>完全理解贵方不一定要接受最低报价的投标或收到的任何投标。</w:t>
      </w:r>
    </w:p>
    <w:p w14:paraId="37C674A0">
      <w:pPr>
        <w:spacing w:line="360" w:lineRule="auto"/>
        <w:ind w:firstLine="480" w:firstLineChars="200"/>
        <w:rPr>
          <w:rFonts w:ascii="宋体" w:hAnsi="宋体" w:cs="宋体"/>
          <w:sz w:val="24"/>
        </w:rPr>
      </w:pPr>
      <w:r>
        <w:rPr>
          <w:rFonts w:hint="eastAsia" w:ascii="宋体" w:hAnsi="宋体" w:cs="宋体"/>
          <w:sz w:val="24"/>
        </w:rPr>
        <w:t>(8)本投标自开标之日起90天内有效。</w:t>
      </w:r>
    </w:p>
    <w:p w14:paraId="5374F08C">
      <w:pPr>
        <w:spacing w:line="360" w:lineRule="auto"/>
        <w:ind w:firstLine="480" w:firstLineChars="200"/>
        <w:rPr>
          <w:rFonts w:ascii="宋体" w:hAnsi="宋体" w:cs="宋体"/>
          <w:sz w:val="24"/>
        </w:rPr>
      </w:pPr>
      <w:r>
        <w:rPr>
          <w:rFonts w:hint="eastAsia" w:ascii="宋体" w:hAnsi="宋体" w:cs="宋体"/>
          <w:sz w:val="24"/>
        </w:rPr>
        <w:t>与本投标有关的正式通信地址为：</w:t>
      </w:r>
    </w:p>
    <w:p w14:paraId="483CFD35">
      <w:pPr>
        <w:spacing w:line="300" w:lineRule="auto"/>
        <w:ind w:firstLine="570"/>
        <w:rPr>
          <w:rFonts w:ascii="宋体" w:hAnsi="宋体" w:cs="宋体"/>
          <w:sz w:val="24"/>
        </w:rPr>
      </w:pPr>
    </w:p>
    <w:p w14:paraId="66CAA5A1">
      <w:pPr>
        <w:spacing w:line="360" w:lineRule="auto"/>
        <w:rPr>
          <w:rFonts w:ascii="宋体" w:hAnsi="宋体" w:cs="宋体"/>
          <w:sz w:val="24"/>
          <w:u w:val="single"/>
        </w:rPr>
      </w:pPr>
      <w:r>
        <w:rPr>
          <w:rFonts w:hint="eastAsia" w:ascii="宋体" w:hAnsi="宋体" w:cs="宋体"/>
          <w:sz w:val="24"/>
        </w:rPr>
        <w:t>地址：</w:t>
      </w:r>
    </w:p>
    <w:p w14:paraId="0741075B">
      <w:pPr>
        <w:spacing w:line="360" w:lineRule="auto"/>
        <w:rPr>
          <w:rFonts w:ascii="宋体" w:hAnsi="宋体" w:cs="宋体"/>
          <w:sz w:val="24"/>
          <w:u w:val="single"/>
        </w:rPr>
      </w:pPr>
      <w:r>
        <w:rPr>
          <w:rFonts w:hint="eastAsia" w:ascii="宋体" w:hAnsi="宋体" w:cs="宋体"/>
          <w:sz w:val="24"/>
        </w:rPr>
        <w:t>电话、传真或电传：</w:t>
      </w:r>
    </w:p>
    <w:p w14:paraId="64C3D6D1">
      <w:pPr>
        <w:spacing w:line="360" w:lineRule="auto"/>
        <w:rPr>
          <w:rFonts w:ascii="宋体" w:hAnsi="宋体" w:cs="宋体"/>
          <w:sz w:val="24"/>
          <w:u w:val="single"/>
        </w:rPr>
      </w:pPr>
      <w:r>
        <w:rPr>
          <w:rFonts w:hint="eastAsia" w:ascii="宋体" w:hAnsi="宋体" w:cs="宋体"/>
          <w:sz w:val="24"/>
        </w:rPr>
        <w:t>邮政编码：</w:t>
      </w:r>
    </w:p>
    <w:p w14:paraId="481508EF">
      <w:pPr>
        <w:adjustRightInd w:val="0"/>
        <w:snapToGrid w:val="0"/>
        <w:spacing w:line="360" w:lineRule="auto"/>
        <w:rPr>
          <w:rFonts w:ascii="宋体"/>
          <w:sz w:val="24"/>
          <w:u w:val="single"/>
        </w:rPr>
      </w:pPr>
      <w:bookmarkStart w:id="9" w:name="chapter7"/>
      <w:bookmarkEnd w:id="9"/>
      <w:r>
        <w:rPr>
          <w:rFonts w:hint="eastAsia" w:ascii="宋体"/>
          <w:sz w:val="24"/>
        </w:rPr>
        <w:t>投标人名称（盖章）：</w:t>
      </w:r>
    </w:p>
    <w:p w14:paraId="6A04A013">
      <w:pPr>
        <w:spacing w:line="36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E7DDE48">
      <w:pPr>
        <w:spacing w:line="360" w:lineRule="auto"/>
        <w:rPr>
          <w:rFonts w:ascii="宋体" w:hAnsi="宋体" w:cs="宋体"/>
          <w:b/>
          <w:sz w:val="24"/>
          <w:szCs w:val="28"/>
        </w:rPr>
      </w:pPr>
      <w:r>
        <w:rPr>
          <w:rFonts w:ascii="宋体" w:hAnsi="宋体" w:cs="宋体"/>
          <w:b/>
          <w:sz w:val="24"/>
          <w:szCs w:val="28"/>
        </w:rPr>
        <w:br w:type="page"/>
      </w:r>
      <w:r>
        <w:rPr>
          <w:rFonts w:hint="eastAsia" w:ascii="宋体" w:hAnsi="宋体" w:cs="宋体"/>
          <w:b/>
          <w:sz w:val="24"/>
          <w:szCs w:val="28"/>
        </w:rPr>
        <w:t>格式三：</w:t>
      </w:r>
    </w:p>
    <w:p w14:paraId="4DC540C7">
      <w:pPr>
        <w:spacing w:line="360" w:lineRule="auto"/>
        <w:jc w:val="center"/>
        <w:rPr>
          <w:rFonts w:ascii="宋体" w:hAnsi="宋体" w:cs="宋体"/>
          <w:b/>
          <w:sz w:val="24"/>
          <w:szCs w:val="28"/>
        </w:rPr>
      </w:pPr>
      <w:r>
        <w:rPr>
          <w:rFonts w:hint="eastAsia" w:ascii="宋体" w:hAnsi="宋体" w:cs="宋体"/>
          <w:b/>
          <w:sz w:val="24"/>
          <w:szCs w:val="28"/>
        </w:rPr>
        <w:t>投标报价明细表（格式）</w:t>
      </w:r>
    </w:p>
    <w:p w14:paraId="2352FD38">
      <w:pPr>
        <w:spacing w:line="360" w:lineRule="auto"/>
        <w:jc w:val="center"/>
        <w:rPr>
          <w:rFonts w:ascii="仿宋_GB2312" w:hAnsi="宋体" w:eastAsia="仿宋_GB2312"/>
          <w:bCs/>
          <w:sz w:val="24"/>
        </w:rPr>
      </w:pPr>
    </w:p>
    <w:p w14:paraId="41C9088A">
      <w:pPr>
        <w:spacing w:line="360" w:lineRule="auto"/>
        <w:ind w:firstLine="480" w:firstLineChars="200"/>
        <w:rPr>
          <w:rFonts w:ascii="宋体" w:hAnsi="宋体" w:cs="宋体"/>
          <w:bCs/>
          <w:sz w:val="24"/>
          <w:u w:val="single"/>
        </w:rPr>
      </w:pPr>
      <w:r>
        <w:rPr>
          <w:rFonts w:hint="eastAsia" w:ascii="宋体" w:hAnsi="宋体" w:cs="宋体"/>
          <w:bCs/>
          <w:sz w:val="24"/>
        </w:rPr>
        <w:t>项目名称：</w:t>
      </w:r>
      <w:r>
        <w:rPr>
          <w:rFonts w:hint="eastAsia" w:ascii="宋体" w:hAnsi="宋体" w:cs="宋体"/>
          <w:bCs/>
          <w:sz w:val="24"/>
          <w:lang w:val="en-US" w:eastAsia="zh-CN"/>
        </w:rPr>
        <w:t xml:space="preserve">                  </w:t>
      </w:r>
      <w:r>
        <w:rPr>
          <w:rFonts w:hint="eastAsia" w:ascii="宋体" w:hAnsi="宋体" w:cs="宋体"/>
          <w:bCs/>
          <w:sz w:val="24"/>
        </w:rPr>
        <w:t>包：</w:t>
      </w:r>
      <w:r>
        <w:rPr>
          <w:rFonts w:hint="eastAsia" w:ascii="宋体" w:hAnsi="宋体" w:cs="宋体"/>
          <w:bCs/>
          <w:sz w:val="24"/>
          <w:lang w:val="en-US" w:eastAsia="zh-CN"/>
        </w:rPr>
        <w:t xml:space="preserve">                     </w:t>
      </w:r>
      <w:r>
        <w:rPr>
          <w:rFonts w:hint="eastAsia" w:ascii="宋体" w:hAnsi="宋体" w:cs="宋体"/>
          <w:bCs/>
          <w:sz w:val="24"/>
        </w:rPr>
        <w:t>货币单位:</w:t>
      </w:r>
      <w:r>
        <w:rPr>
          <w:rFonts w:hint="eastAsia" w:ascii="宋体" w:hAnsi="宋体" w:cs="宋体"/>
          <w:b/>
          <w:bCs/>
          <w:i/>
          <w:sz w:val="24"/>
          <w:u w:val="single"/>
        </w:rPr>
        <w:t>元</w:t>
      </w:r>
    </w:p>
    <w:tbl>
      <w:tblPr>
        <w:tblStyle w:val="28"/>
        <w:tblW w:w="9750"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936"/>
        <w:gridCol w:w="900"/>
        <w:gridCol w:w="1282"/>
        <w:gridCol w:w="1462"/>
        <w:gridCol w:w="720"/>
        <w:gridCol w:w="900"/>
        <w:gridCol w:w="776"/>
        <w:gridCol w:w="1024"/>
      </w:tblGrid>
      <w:tr w14:paraId="25244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50" w:type="dxa"/>
            <w:vAlign w:val="center"/>
          </w:tcPr>
          <w:p w14:paraId="083F68CD">
            <w:pPr>
              <w:spacing w:line="360" w:lineRule="exact"/>
              <w:jc w:val="center"/>
              <w:rPr>
                <w:rFonts w:ascii="宋体" w:hAnsi="宋体" w:cs="宋体"/>
                <w:bCs/>
                <w:color w:val="auto"/>
                <w:sz w:val="24"/>
              </w:rPr>
            </w:pPr>
            <w:r>
              <w:rPr>
                <w:rFonts w:hint="eastAsia" w:ascii="宋体" w:hAnsi="宋体" w:cs="宋体"/>
                <w:bCs/>
                <w:color w:val="auto"/>
                <w:sz w:val="24"/>
              </w:rPr>
              <w:t>序号</w:t>
            </w:r>
          </w:p>
        </w:tc>
        <w:tc>
          <w:tcPr>
            <w:tcW w:w="1936" w:type="dxa"/>
            <w:vAlign w:val="center"/>
          </w:tcPr>
          <w:p w14:paraId="41B8CDA5">
            <w:pPr>
              <w:spacing w:line="360" w:lineRule="exact"/>
              <w:jc w:val="center"/>
              <w:rPr>
                <w:rFonts w:ascii="宋体" w:hAnsi="宋体" w:cs="宋体"/>
                <w:bCs/>
                <w:color w:val="auto"/>
                <w:sz w:val="24"/>
              </w:rPr>
            </w:pPr>
            <w:r>
              <w:rPr>
                <w:rFonts w:hint="eastAsia" w:ascii="宋体" w:hAnsi="宋体" w:cs="宋体"/>
                <w:bCs/>
                <w:color w:val="auto"/>
                <w:sz w:val="24"/>
              </w:rPr>
              <w:t>采购标的名称</w:t>
            </w:r>
          </w:p>
        </w:tc>
        <w:tc>
          <w:tcPr>
            <w:tcW w:w="900" w:type="dxa"/>
            <w:vAlign w:val="center"/>
          </w:tcPr>
          <w:p w14:paraId="67DDEA7F">
            <w:pPr>
              <w:spacing w:line="360" w:lineRule="exact"/>
              <w:jc w:val="center"/>
              <w:rPr>
                <w:rFonts w:ascii="宋体" w:hAnsi="宋体" w:cs="宋体"/>
                <w:bCs/>
                <w:color w:val="auto"/>
                <w:sz w:val="24"/>
              </w:rPr>
            </w:pPr>
            <w:r>
              <w:rPr>
                <w:rFonts w:hint="eastAsia" w:ascii="宋体" w:hAnsi="宋体" w:cs="宋体"/>
                <w:bCs/>
                <w:color w:val="auto"/>
                <w:sz w:val="24"/>
              </w:rPr>
              <w:t>品牌</w:t>
            </w:r>
          </w:p>
        </w:tc>
        <w:tc>
          <w:tcPr>
            <w:tcW w:w="1282" w:type="dxa"/>
            <w:vAlign w:val="center"/>
          </w:tcPr>
          <w:p w14:paraId="2FF964B8">
            <w:pPr>
              <w:spacing w:line="360" w:lineRule="exact"/>
              <w:jc w:val="center"/>
              <w:rPr>
                <w:rFonts w:ascii="宋体" w:hAnsi="宋体" w:cs="宋体"/>
                <w:bCs/>
                <w:color w:val="auto"/>
                <w:sz w:val="24"/>
              </w:rPr>
            </w:pPr>
            <w:r>
              <w:rPr>
                <w:rFonts w:hint="eastAsia" w:ascii="宋体" w:hAnsi="宋体" w:cs="宋体"/>
                <w:bCs/>
                <w:color w:val="auto"/>
                <w:sz w:val="24"/>
              </w:rPr>
              <w:t>产地</w:t>
            </w:r>
          </w:p>
        </w:tc>
        <w:tc>
          <w:tcPr>
            <w:tcW w:w="1462" w:type="dxa"/>
            <w:vAlign w:val="center"/>
          </w:tcPr>
          <w:p w14:paraId="622B52CC">
            <w:pPr>
              <w:spacing w:line="360" w:lineRule="exact"/>
              <w:jc w:val="center"/>
              <w:rPr>
                <w:rFonts w:hint="default" w:ascii="宋体" w:hAnsi="宋体" w:eastAsia="宋体" w:cs="宋体"/>
                <w:bCs/>
                <w:color w:val="auto"/>
                <w:sz w:val="24"/>
                <w:lang w:val="en-US" w:eastAsia="zh-CN"/>
              </w:rPr>
            </w:pPr>
            <w:r>
              <w:rPr>
                <w:rFonts w:hint="eastAsia" w:ascii="宋体" w:hAnsi="宋体" w:cs="宋体"/>
                <w:bCs/>
                <w:color w:val="auto"/>
                <w:sz w:val="24"/>
              </w:rPr>
              <w:t>规格</w:t>
            </w:r>
            <w:r>
              <w:rPr>
                <w:rFonts w:hint="eastAsia" w:ascii="宋体" w:hAnsi="宋体" w:cs="宋体"/>
                <w:bCs/>
                <w:color w:val="auto"/>
                <w:sz w:val="24"/>
                <w:lang w:val="en-US" w:eastAsia="zh-CN"/>
              </w:rPr>
              <w:t>/型号</w:t>
            </w:r>
          </w:p>
        </w:tc>
        <w:tc>
          <w:tcPr>
            <w:tcW w:w="720" w:type="dxa"/>
            <w:vAlign w:val="center"/>
          </w:tcPr>
          <w:p w14:paraId="3A46DF24">
            <w:pPr>
              <w:spacing w:line="360" w:lineRule="exact"/>
              <w:jc w:val="center"/>
              <w:rPr>
                <w:rFonts w:ascii="宋体" w:hAnsi="宋体" w:cs="宋体"/>
                <w:bCs/>
                <w:color w:val="auto"/>
                <w:sz w:val="24"/>
              </w:rPr>
            </w:pPr>
            <w:r>
              <w:rPr>
                <w:rFonts w:hint="eastAsia" w:ascii="宋体" w:hAnsi="宋体" w:cs="宋体"/>
                <w:bCs/>
                <w:color w:val="auto"/>
                <w:sz w:val="24"/>
              </w:rPr>
              <w:t>数量</w:t>
            </w:r>
          </w:p>
        </w:tc>
        <w:tc>
          <w:tcPr>
            <w:tcW w:w="900" w:type="dxa"/>
            <w:vAlign w:val="center"/>
          </w:tcPr>
          <w:p w14:paraId="6899C682">
            <w:pPr>
              <w:spacing w:line="360" w:lineRule="exact"/>
              <w:jc w:val="center"/>
              <w:rPr>
                <w:rFonts w:ascii="宋体" w:hAnsi="宋体" w:cs="宋体"/>
                <w:bCs/>
                <w:color w:val="auto"/>
                <w:sz w:val="24"/>
              </w:rPr>
            </w:pPr>
            <w:r>
              <w:rPr>
                <w:rFonts w:hint="eastAsia" w:ascii="宋体" w:hAnsi="宋体" w:cs="宋体"/>
                <w:bCs/>
                <w:color w:val="auto"/>
                <w:sz w:val="24"/>
              </w:rPr>
              <w:t>单价</w:t>
            </w:r>
          </w:p>
        </w:tc>
        <w:tc>
          <w:tcPr>
            <w:tcW w:w="776" w:type="dxa"/>
            <w:vAlign w:val="center"/>
          </w:tcPr>
          <w:p w14:paraId="6C59B2B2">
            <w:pPr>
              <w:spacing w:line="360" w:lineRule="exact"/>
              <w:jc w:val="center"/>
              <w:rPr>
                <w:rFonts w:ascii="宋体" w:hAnsi="宋体" w:cs="宋体"/>
                <w:bCs/>
                <w:color w:val="auto"/>
                <w:sz w:val="24"/>
              </w:rPr>
            </w:pPr>
            <w:r>
              <w:rPr>
                <w:rFonts w:hint="eastAsia" w:ascii="宋体" w:hAnsi="宋体" w:cs="宋体"/>
                <w:bCs/>
                <w:color w:val="auto"/>
                <w:sz w:val="24"/>
              </w:rPr>
              <w:t>合计</w:t>
            </w:r>
          </w:p>
        </w:tc>
        <w:tc>
          <w:tcPr>
            <w:tcW w:w="1024" w:type="dxa"/>
            <w:vAlign w:val="center"/>
          </w:tcPr>
          <w:p w14:paraId="51EEDDDA">
            <w:pPr>
              <w:spacing w:line="360" w:lineRule="exact"/>
              <w:jc w:val="center"/>
              <w:rPr>
                <w:rFonts w:ascii="宋体" w:hAnsi="宋体" w:cs="宋体"/>
                <w:bCs/>
                <w:color w:val="auto"/>
                <w:sz w:val="24"/>
              </w:rPr>
            </w:pPr>
            <w:r>
              <w:rPr>
                <w:rFonts w:hint="eastAsia" w:ascii="宋体" w:hAnsi="宋体" w:cs="宋体"/>
                <w:bCs/>
                <w:color w:val="auto"/>
                <w:sz w:val="24"/>
              </w:rPr>
              <w:t>交货期/合同履行期限</w:t>
            </w:r>
          </w:p>
        </w:tc>
      </w:tr>
      <w:tr w14:paraId="5E0C0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Pr>
          <w:p w14:paraId="63CB2C49">
            <w:pPr>
              <w:spacing w:line="360" w:lineRule="exact"/>
              <w:rPr>
                <w:rFonts w:ascii="宋体" w:hAnsi="宋体" w:cs="宋体"/>
                <w:b/>
                <w:color w:val="auto"/>
                <w:sz w:val="24"/>
              </w:rPr>
            </w:pPr>
          </w:p>
        </w:tc>
        <w:tc>
          <w:tcPr>
            <w:tcW w:w="1936" w:type="dxa"/>
          </w:tcPr>
          <w:p w14:paraId="78333FFE">
            <w:pPr>
              <w:spacing w:line="360" w:lineRule="exact"/>
              <w:rPr>
                <w:rFonts w:ascii="宋体" w:hAnsi="宋体" w:cs="宋体"/>
                <w:b/>
                <w:color w:val="auto"/>
                <w:sz w:val="24"/>
              </w:rPr>
            </w:pPr>
          </w:p>
        </w:tc>
        <w:tc>
          <w:tcPr>
            <w:tcW w:w="900" w:type="dxa"/>
          </w:tcPr>
          <w:p w14:paraId="50F38DA8">
            <w:pPr>
              <w:spacing w:line="360" w:lineRule="exact"/>
              <w:rPr>
                <w:rFonts w:ascii="宋体" w:hAnsi="宋体" w:cs="宋体"/>
                <w:b/>
                <w:color w:val="auto"/>
                <w:sz w:val="24"/>
              </w:rPr>
            </w:pPr>
          </w:p>
        </w:tc>
        <w:tc>
          <w:tcPr>
            <w:tcW w:w="1282" w:type="dxa"/>
          </w:tcPr>
          <w:p w14:paraId="7EC12393">
            <w:pPr>
              <w:spacing w:line="360" w:lineRule="exact"/>
              <w:rPr>
                <w:rFonts w:ascii="宋体" w:hAnsi="宋体" w:cs="宋体"/>
                <w:b/>
                <w:color w:val="auto"/>
                <w:sz w:val="24"/>
              </w:rPr>
            </w:pPr>
          </w:p>
        </w:tc>
        <w:tc>
          <w:tcPr>
            <w:tcW w:w="1462" w:type="dxa"/>
          </w:tcPr>
          <w:p w14:paraId="12269950">
            <w:pPr>
              <w:spacing w:line="360" w:lineRule="exact"/>
              <w:rPr>
                <w:rFonts w:ascii="宋体" w:hAnsi="宋体" w:cs="宋体"/>
                <w:b/>
                <w:color w:val="auto"/>
                <w:sz w:val="24"/>
              </w:rPr>
            </w:pPr>
          </w:p>
        </w:tc>
        <w:tc>
          <w:tcPr>
            <w:tcW w:w="720" w:type="dxa"/>
          </w:tcPr>
          <w:p w14:paraId="5D7DAF7B">
            <w:pPr>
              <w:spacing w:line="360" w:lineRule="exact"/>
              <w:rPr>
                <w:rFonts w:ascii="宋体" w:hAnsi="宋体" w:cs="宋体"/>
                <w:b/>
                <w:color w:val="auto"/>
                <w:sz w:val="24"/>
              </w:rPr>
            </w:pPr>
          </w:p>
        </w:tc>
        <w:tc>
          <w:tcPr>
            <w:tcW w:w="900" w:type="dxa"/>
          </w:tcPr>
          <w:p w14:paraId="0A46FE90">
            <w:pPr>
              <w:spacing w:line="360" w:lineRule="exact"/>
              <w:rPr>
                <w:rFonts w:ascii="宋体" w:hAnsi="宋体" w:cs="宋体"/>
                <w:b/>
                <w:color w:val="auto"/>
                <w:sz w:val="24"/>
              </w:rPr>
            </w:pPr>
          </w:p>
        </w:tc>
        <w:tc>
          <w:tcPr>
            <w:tcW w:w="776" w:type="dxa"/>
          </w:tcPr>
          <w:p w14:paraId="6D333350">
            <w:pPr>
              <w:spacing w:line="360" w:lineRule="exact"/>
              <w:rPr>
                <w:rFonts w:ascii="宋体" w:hAnsi="宋体" w:cs="宋体"/>
                <w:b/>
                <w:color w:val="auto"/>
                <w:sz w:val="24"/>
              </w:rPr>
            </w:pPr>
          </w:p>
        </w:tc>
        <w:tc>
          <w:tcPr>
            <w:tcW w:w="1024" w:type="dxa"/>
          </w:tcPr>
          <w:p w14:paraId="37354621">
            <w:pPr>
              <w:spacing w:line="360" w:lineRule="exact"/>
              <w:rPr>
                <w:rFonts w:ascii="宋体" w:hAnsi="宋体" w:cs="宋体"/>
                <w:b/>
                <w:color w:val="auto"/>
                <w:sz w:val="24"/>
              </w:rPr>
            </w:pPr>
          </w:p>
        </w:tc>
      </w:tr>
      <w:tr w14:paraId="265BA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Pr>
          <w:p w14:paraId="7490BA4D">
            <w:pPr>
              <w:spacing w:line="360" w:lineRule="exact"/>
              <w:rPr>
                <w:rFonts w:ascii="宋体" w:hAnsi="宋体" w:cs="宋体"/>
                <w:b/>
                <w:color w:val="auto"/>
                <w:sz w:val="24"/>
              </w:rPr>
            </w:pPr>
          </w:p>
        </w:tc>
        <w:tc>
          <w:tcPr>
            <w:tcW w:w="1936" w:type="dxa"/>
          </w:tcPr>
          <w:p w14:paraId="61495EEA">
            <w:pPr>
              <w:spacing w:line="360" w:lineRule="exact"/>
              <w:rPr>
                <w:rFonts w:ascii="宋体" w:hAnsi="宋体" w:cs="宋体"/>
                <w:b/>
                <w:color w:val="auto"/>
                <w:sz w:val="24"/>
              </w:rPr>
            </w:pPr>
          </w:p>
        </w:tc>
        <w:tc>
          <w:tcPr>
            <w:tcW w:w="900" w:type="dxa"/>
          </w:tcPr>
          <w:p w14:paraId="5763AE65">
            <w:pPr>
              <w:spacing w:line="360" w:lineRule="exact"/>
              <w:rPr>
                <w:rFonts w:ascii="宋体" w:hAnsi="宋体" w:cs="宋体"/>
                <w:b/>
                <w:color w:val="auto"/>
                <w:sz w:val="24"/>
              </w:rPr>
            </w:pPr>
          </w:p>
        </w:tc>
        <w:tc>
          <w:tcPr>
            <w:tcW w:w="1282" w:type="dxa"/>
          </w:tcPr>
          <w:p w14:paraId="058A76D7">
            <w:pPr>
              <w:spacing w:line="360" w:lineRule="exact"/>
              <w:rPr>
                <w:rFonts w:ascii="宋体" w:hAnsi="宋体" w:cs="宋体"/>
                <w:b/>
                <w:color w:val="auto"/>
                <w:sz w:val="24"/>
              </w:rPr>
            </w:pPr>
          </w:p>
        </w:tc>
        <w:tc>
          <w:tcPr>
            <w:tcW w:w="1462" w:type="dxa"/>
          </w:tcPr>
          <w:p w14:paraId="4F497D6A">
            <w:pPr>
              <w:spacing w:line="360" w:lineRule="exact"/>
              <w:rPr>
                <w:rFonts w:ascii="宋体" w:hAnsi="宋体" w:cs="宋体"/>
                <w:b/>
                <w:color w:val="auto"/>
                <w:sz w:val="24"/>
              </w:rPr>
            </w:pPr>
          </w:p>
        </w:tc>
        <w:tc>
          <w:tcPr>
            <w:tcW w:w="720" w:type="dxa"/>
          </w:tcPr>
          <w:p w14:paraId="0E385283">
            <w:pPr>
              <w:spacing w:line="360" w:lineRule="exact"/>
              <w:rPr>
                <w:rFonts w:ascii="宋体" w:hAnsi="宋体" w:cs="宋体"/>
                <w:b/>
                <w:color w:val="auto"/>
                <w:sz w:val="24"/>
              </w:rPr>
            </w:pPr>
          </w:p>
        </w:tc>
        <w:tc>
          <w:tcPr>
            <w:tcW w:w="900" w:type="dxa"/>
          </w:tcPr>
          <w:p w14:paraId="65B5B933">
            <w:pPr>
              <w:spacing w:line="360" w:lineRule="exact"/>
              <w:rPr>
                <w:rFonts w:ascii="宋体" w:hAnsi="宋体" w:cs="宋体"/>
                <w:b/>
                <w:color w:val="auto"/>
                <w:sz w:val="24"/>
              </w:rPr>
            </w:pPr>
          </w:p>
        </w:tc>
        <w:tc>
          <w:tcPr>
            <w:tcW w:w="776" w:type="dxa"/>
          </w:tcPr>
          <w:p w14:paraId="442D5BF8">
            <w:pPr>
              <w:spacing w:line="360" w:lineRule="exact"/>
              <w:rPr>
                <w:rFonts w:ascii="宋体" w:hAnsi="宋体" w:cs="宋体"/>
                <w:b/>
                <w:color w:val="auto"/>
                <w:sz w:val="24"/>
              </w:rPr>
            </w:pPr>
          </w:p>
        </w:tc>
        <w:tc>
          <w:tcPr>
            <w:tcW w:w="1024" w:type="dxa"/>
          </w:tcPr>
          <w:p w14:paraId="001F1664">
            <w:pPr>
              <w:spacing w:line="360" w:lineRule="exact"/>
              <w:rPr>
                <w:rFonts w:ascii="宋体" w:hAnsi="宋体" w:cs="宋体"/>
                <w:b/>
                <w:color w:val="auto"/>
                <w:sz w:val="24"/>
              </w:rPr>
            </w:pPr>
          </w:p>
        </w:tc>
      </w:tr>
      <w:tr w14:paraId="5150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750" w:type="dxa"/>
            <w:tcBorders>
              <w:bottom w:val="nil"/>
            </w:tcBorders>
          </w:tcPr>
          <w:p w14:paraId="499C7907">
            <w:pPr>
              <w:spacing w:line="360" w:lineRule="exact"/>
              <w:rPr>
                <w:rFonts w:ascii="宋体" w:hAnsi="宋体" w:cs="宋体"/>
                <w:b/>
                <w:color w:val="auto"/>
                <w:sz w:val="24"/>
              </w:rPr>
            </w:pPr>
          </w:p>
        </w:tc>
        <w:tc>
          <w:tcPr>
            <w:tcW w:w="1936" w:type="dxa"/>
            <w:tcBorders>
              <w:bottom w:val="nil"/>
            </w:tcBorders>
          </w:tcPr>
          <w:p w14:paraId="430F54DD">
            <w:pPr>
              <w:spacing w:line="360" w:lineRule="exact"/>
              <w:rPr>
                <w:rFonts w:ascii="宋体" w:hAnsi="宋体" w:cs="宋体"/>
                <w:b/>
                <w:color w:val="auto"/>
                <w:sz w:val="24"/>
              </w:rPr>
            </w:pPr>
          </w:p>
        </w:tc>
        <w:tc>
          <w:tcPr>
            <w:tcW w:w="900" w:type="dxa"/>
          </w:tcPr>
          <w:p w14:paraId="1D0AF4E8">
            <w:pPr>
              <w:spacing w:line="360" w:lineRule="exact"/>
              <w:rPr>
                <w:rFonts w:ascii="宋体" w:hAnsi="宋体" w:cs="宋体"/>
                <w:b/>
                <w:color w:val="auto"/>
                <w:sz w:val="24"/>
              </w:rPr>
            </w:pPr>
          </w:p>
        </w:tc>
        <w:tc>
          <w:tcPr>
            <w:tcW w:w="1282" w:type="dxa"/>
          </w:tcPr>
          <w:p w14:paraId="20500AE4">
            <w:pPr>
              <w:spacing w:line="360" w:lineRule="exact"/>
              <w:rPr>
                <w:rFonts w:ascii="宋体" w:hAnsi="宋体" w:cs="宋体"/>
                <w:b/>
                <w:color w:val="auto"/>
                <w:sz w:val="24"/>
              </w:rPr>
            </w:pPr>
          </w:p>
        </w:tc>
        <w:tc>
          <w:tcPr>
            <w:tcW w:w="1462" w:type="dxa"/>
          </w:tcPr>
          <w:p w14:paraId="563CBF3B">
            <w:pPr>
              <w:spacing w:line="360" w:lineRule="exact"/>
              <w:rPr>
                <w:rFonts w:ascii="宋体" w:hAnsi="宋体" w:cs="宋体"/>
                <w:b/>
                <w:color w:val="auto"/>
                <w:sz w:val="24"/>
              </w:rPr>
            </w:pPr>
          </w:p>
        </w:tc>
        <w:tc>
          <w:tcPr>
            <w:tcW w:w="720" w:type="dxa"/>
          </w:tcPr>
          <w:p w14:paraId="4002A9E7">
            <w:pPr>
              <w:spacing w:line="360" w:lineRule="exact"/>
              <w:rPr>
                <w:rFonts w:ascii="宋体" w:hAnsi="宋体" w:cs="宋体"/>
                <w:b/>
                <w:color w:val="auto"/>
                <w:sz w:val="24"/>
              </w:rPr>
            </w:pPr>
          </w:p>
        </w:tc>
        <w:tc>
          <w:tcPr>
            <w:tcW w:w="900" w:type="dxa"/>
          </w:tcPr>
          <w:p w14:paraId="4AF1F2A5">
            <w:pPr>
              <w:spacing w:line="360" w:lineRule="exact"/>
              <w:rPr>
                <w:rFonts w:ascii="宋体" w:hAnsi="宋体" w:cs="宋体"/>
                <w:b/>
                <w:color w:val="auto"/>
                <w:sz w:val="24"/>
              </w:rPr>
            </w:pPr>
          </w:p>
        </w:tc>
        <w:tc>
          <w:tcPr>
            <w:tcW w:w="776" w:type="dxa"/>
          </w:tcPr>
          <w:p w14:paraId="2CD911C6">
            <w:pPr>
              <w:spacing w:line="360" w:lineRule="exact"/>
              <w:rPr>
                <w:rFonts w:ascii="宋体" w:hAnsi="宋体" w:cs="宋体"/>
                <w:b/>
                <w:color w:val="auto"/>
                <w:sz w:val="24"/>
              </w:rPr>
            </w:pPr>
          </w:p>
        </w:tc>
        <w:tc>
          <w:tcPr>
            <w:tcW w:w="1024" w:type="dxa"/>
          </w:tcPr>
          <w:p w14:paraId="03ACF4C9">
            <w:pPr>
              <w:spacing w:line="360" w:lineRule="exact"/>
              <w:rPr>
                <w:rFonts w:ascii="宋体" w:hAnsi="宋体" w:cs="宋体"/>
                <w:b/>
                <w:color w:val="auto"/>
                <w:sz w:val="24"/>
              </w:rPr>
            </w:pPr>
          </w:p>
        </w:tc>
      </w:tr>
      <w:tr w14:paraId="5EFF4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rPr>
        <w:tc>
          <w:tcPr>
            <w:tcW w:w="2686" w:type="dxa"/>
            <w:gridSpan w:val="2"/>
            <w:tcBorders>
              <w:top w:val="single" w:color="auto" w:sz="4" w:space="0"/>
            </w:tcBorders>
          </w:tcPr>
          <w:p w14:paraId="2EE1FF34">
            <w:pPr>
              <w:spacing w:line="360" w:lineRule="exact"/>
              <w:rPr>
                <w:rFonts w:ascii="宋体" w:hAnsi="宋体" w:cs="宋体"/>
                <w:bCs/>
                <w:color w:val="auto"/>
                <w:sz w:val="24"/>
              </w:rPr>
            </w:pPr>
            <w:r>
              <w:rPr>
                <w:rFonts w:hint="eastAsia" w:ascii="宋体" w:hAnsi="宋体" w:cs="宋体"/>
                <w:bCs/>
                <w:color w:val="auto"/>
                <w:sz w:val="24"/>
              </w:rPr>
              <w:t>投标总价</w:t>
            </w:r>
          </w:p>
        </w:tc>
        <w:tc>
          <w:tcPr>
            <w:tcW w:w="7064" w:type="dxa"/>
            <w:gridSpan w:val="7"/>
            <w:tcBorders>
              <w:top w:val="single" w:color="auto" w:sz="4" w:space="0"/>
            </w:tcBorders>
          </w:tcPr>
          <w:p w14:paraId="08FB0DBF">
            <w:pPr>
              <w:spacing w:line="360" w:lineRule="exact"/>
              <w:rPr>
                <w:rFonts w:ascii="宋体" w:hAnsi="宋体" w:cs="宋体"/>
                <w:bCs/>
                <w:color w:val="auto"/>
                <w:sz w:val="24"/>
              </w:rPr>
            </w:pPr>
            <w:r>
              <w:rPr>
                <w:rFonts w:hint="eastAsia" w:ascii="宋体" w:hAnsi="宋体" w:cs="宋体"/>
                <w:bCs/>
                <w:color w:val="auto"/>
                <w:sz w:val="24"/>
              </w:rPr>
              <w:t>人民币大写：小写：</w:t>
            </w:r>
          </w:p>
        </w:tc>
      </w:tr>
    </w:tbl>
    <w:p w14:paraId="4FB80F92">
      <w:pPr>
        <w:spacing w:line="360" w:lineRule="auto"/>
        <w:ind w:firstLine="480" w:firstLineChars="200"/>
        <w:rPr>
          <w:rFonts w:ascii="宋体" w:hAnsi="宋体" w:cs="宋体"/>
          <w:sz w:val="24"/>
        </w:rPr>
      </w:pPr>
    </w:p>
    <w:p w14:paraId="546CB850">
      <w:pPr>
        <w:spacing w:line="360" w:lineRule="auto"/>
        <w:ind w:firstLine="480" w:firstLineChars="200"/>
        <w:rPr>
          <w:rFonts w:ascii="宋体" w:hAnsi="宋体" w:cs="宋体"/>
          <w:sz w:val="24"/>
        </w:rPr>
      </w:pPr>
    </w:p>
    <w:p w14:paraId="69E7C05C">
      <w:pPr>
        <w:adjustRightInd w:val="0"/>
        <w:snapToGrid w:val="0"/>
        <w:spacing w:line="360" w:lineRule="auto"/>
        <w:ind w:firstLine="480" w:firstLineChars="200"/>
        <w:rPr>
          <w:rFonts w:ascii="宋体"/>
          <w:sz w:val="24"/>
          <w:u w:val="single"/>
        </w:rPr>
      </w:pPr>
      <w:r>
        <w:rPr>
          <w:rFonts w:hint="eastAsia" w:ascii="宋体"/>
          <w:sz w:val="24"/>
        </w:rPr>
        <w:t>投标人名称（盖章）：</w:t>
      </w:r>
    </w:p>
    <w:p w14:paraId="7ACB6774">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684CCBC4">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或授权代表（签字）</w:t>
      </w:r>
      <w:r>
        <w:rPr>
          <w:rFonts w:hint="eastAsia" w:ascii="宋体"/>
          <w:sz w:val="24"/>
        </w:rPr>
        <w:t>：</w:t>
      </w:r>
    </w:p>
    <w:p w14:paraId="65321D81">
      <w:pPr>
        <w:spacing w:line="360" w:lineRule="auto"/>
        <w:ind w:firstLine="480" w:firstLineChars="200"/>
        <w:rPr>
          <w:rFonts w:ascii="宋体" w:hAnsi="宋体" w:cs="宋体"/>
          <w:sz w:val="24"/>
        </w:rPr>
      </w:pPr>
      <w:r>
        <w:rPr>
          <w:rFonts w:hint="eastAsia" w:ascii="宋体" w:hAnsi="宋体" w:cs="宋体"/>
          <w:sz w:val="24"/>
        </w:rPr>
        <w:t>时间：年月日</w:t>
      </w:r>
    </w:p>
    <w:p w14:paraId="4EA2CF01">
      <w:pPr>
        <w:spacing w:line="360" w:lineRule="auto"/>
        <w:rPr>
          <w:rFonts w:ascii="宋体" w:hAnsi="宋体" w:cs="宋体"/>
          <w:sz w:val="24"/>
        </w:rPr>
      </w:pPr>
      <w:r>
        <w:rPr>
          <w:rFonts w:hint="eastAsia" w:ascii="宋体" w:hAnsi="宋体" w:cs="宋体"/>
          <w:sz w:val="24"/>
        </w:rPr>
        <w:t>说明：</w:t>
      </w:r>
    </w:p>
    <w:p w14:paraId="56EC3DD7">
      <w:pPr>
        <w:spacing w:line="360" w:lineRule="auto"/>
        <w:ind w:firstLine="480" w:firstLineChars="200"/>
        <w:rPr>
          <w:rFonts w:ascii="宋体" w:hAnsi="宋体" w:cs="宋体"/>
          <w:sz w:val="24"/>
        </w:rPr>
      </w:pPr>
      <w:r>
        <w:rPr>
          <w:rFonts w:hint="eastAsia" w:ascii="宋体" w:hAnsi="宋体" w:cs="宋体"/>
          <w:sz w:val="24"/>
        </w:rPr>
        <w:t>1.与本项目有关的各种费用均应包含在总报价中。</w:t>
      </w:r>
    </w:p>
    <w:p w14:paraId="400D5133">
      <w:pPr>
        <w:spacing w:line="360" w:lineRule="auto"/>
        <w:ind w:firstLine="480" w:firstLineChars="200"/>
        <w:rPr>
          <w:rFonts w:ascii="宋体" w:hAnsi="宋体" w:cs="宋体"/>
          <w:sz w:val="24"/>
        </w:rPr>
      </w:pPr>
      <w:r>
        <w:rPr>
          <w:rFonts w:hint="eastAsia" w:ascii="宋体" w:hAnsi="宋体" w:cs="宋体"/>
          <w:sz w:val="24"/>
        </w:rPr>
        <w:t>2.要说明的问题可另附页说明并签字和加盖公章。</w:t>
      </w:r>
    </w:p>
    <w:p w14:paraId="59F0E12D">
      <w:pPr>
        <w:spacing w:line="360" w:lineRule="auto"/>
        <w:ind w:firstLine="480" w:firstLineChars="200"/>
        <w:outlineLvl w:val="0"/>
        <w:rPr>
          <w:rFonts w:ascii="宋体" w:hAnsi="宋体" w:cs="宋体"/>
          <w:sz w:val="24"/>
        </w:rPr>
      </w:pPr>
      <w:r>
        <w:rPr>
          <w:rFonts w:hint="eastAsia" w:ascii="宋体" w:hAnsi="宋体" w:cs="宋体"/>
          <w:sz w:val="24"/>
        </w:rPr>
        <w:t>3.</w:t>
      </w:r>
      <w:r>
        <w:rPr>
          <w:rFonts w:hint="eastAsia" w:ascii="宋体" w:hAnsi="宋体" w:cs="宋体"/>
          <w:sz w:val="24"/>
          <w:lang w:eastAsia="zh-CN"/>
        </w:rPr>
        <w:t>应详细填写总报价的组成，</w:t>
      </w:r>
      <w:r>
        <w:rPr>
          <w:rFonts w:hint="eastAsia" w:ascii="宋体" w:hAnsi="宋体" w:cs="宋体"/>
          <w:sz w:val="24"/>
        </w:rPr>
        <w:t>此表可根据需要自行拉长加宽。</w:t>
      </w:r>
    </w:p>
    <w:p w14:paraId="08FB586A">
      <w:pPr>
        <w:spacing w:line="360" w:lineRule="auto"/>
        <w:outlineLvl w:val="0"/>
        <w:rPr>
          <w:rFonts w:ascii="仿宋_GB2312" w:hAnsi="宋体" w:eastAsia="仿宋_GB2312"/>
          <w:sz w:val="24"/>
        </w:rPr>
      </w:pPr>
    </w:p>
    <w:p w14:paraId="2D7B7E8D">
      <w:pPr>
        <w:spacing w:line="360" w:lineRule="auto"/>
        <w:rPr>
          <w:rFonts w:ascii="宋体" w:hAnsi="宋体" w:cs="宋体"/>
          <w:b/>
          <w:sz w:val="24"/>
          <w:szCs w:val="28"/>
        </w:rPr>
      </w:pPr>
    </w:p>
    <w:p w14:paraId="75B2A8DB">
      <w:pPr>
        <w:spacing w:line="360" w:lineRule="auto"/>
        <w:rPr>
          <w:rFonts w:ascii="宋体" w:hAnsi="宋体" w:cs="宋体"/>
          <w:b/>
          <w:sz w:val="24"/>
          <w:szCs w:val="28"/>
        </w:rPr>
      </w:pPr>
    </w:p>
    <w:p w14:paraId="6204DE41">
      <w:pPr>
        <w:spacing w:line="360" w:lineRule="auto"/>
        <w:rPr>
          <w:rFonts w:ascii="宋体" w:hAnsi="宋体" w:cs="宋体"/>
          <w:b/>
          <w:sz w:val="24"/>
          <w:szCs w:val="28"/>
        </w:rPr>
      </w:pPr>
    </w:p>
    <w:p w14:paraId="6FCF57D3">
      <w:pPr>
        <w:spacing w:line="360" w:lineRule="auto"/>
        <w:rPr>
          <w:rFonts w:ascii="宋体" w:hAnsi="宋体" w:cs="宋体"/>
          <w:b/>
          <w:sz w:val="24"/>
          <w:szCs w:val="28"/>
        </w:rPr>
      </w:pPr>
    </w:p>
    <w:p w14:paraId="00692F4B">
      <w:pPr>
        <w:spacing w:line="360" w:lineRule="auto"/>
        <w:rPr>
          <w:rFonts w:ascii="宋体" w:hAnsi="宋体" w:cs="宋体"/>
          <w:b/>
          <w:sz w:val="24"/>
          <w:szCs w:val="28"/>
        </w:rPr>
      </w:pPr>
    </w:p>
    <w:p w14:paraId="5E480A9D">
      <w:pPr>
        <w:spacing w:line="360" w:lineRule="auto"/>
        <w:rPr>
          <w:rFonts w:ascii="宋体" w:hAnsi="宋体" w:cs="宋体"/>
          <w:b/>
          <w:sz w:val="24"/>
          <w:szCs w:val="28"/>
        </w:rPr>
      </w:pPr>
    </w:p>
    <w:p w14:paraId="0CCC15FC">
      <w:pPr>
        <w:spacing w:line="360" w:lineRule="auto"/>
        <w:rPr>
          <w:rFonts w:ascii="宋体" w:hAnsi="宋体" w:cs="宋体"/>
          <w:b/>
          <w:sz w:val="24"/>
          <w:szCs w:val="28"/>
        </w:rPr>
      </w:pPr>
    </w:p>
    <w:p w14:paraId="0C742A75">
      <w:pPr>
        <w:pStyle w:val="47"/>
        <w:ind w:firstLine="420"/>
      </w:pPr>
    </w:p>
    <w:p w14:paraId="5F8D9009"/>
    <w:p w14:paraId="54DB98B0">
      <w:pPr>
        <w:pStyle w:val="45"/>
      </w:pPr>
    </w:p>
    <w:p w14:paraId="12D2E58C">
      <w:pPr>
        <w:spacing w:line="360" w:lineRule="auto"/>
        <w:rPr>
          <w:rFonts w:ascii="宋体" w:hAnsi="宋体" w:cs="宋体"/>
          <w:b/>
          <w:sz w:val="24"/>
          <w:szCs w:val="28"/>
        </w:rPr>
      </w:pPr>
      <w:r>
        <w:rPr>
          <w:rFonts w:hint="eastAsia" w:ascii="宋体" w:hAnsi="宋体" w:cs="宋体"/>
          <w:b/>
          <w:sz w:val="24"/>
          <w:szCs w:val="28"/>
        </w:rPr>
        <w:t>格式四：</w:t>
      </w:r>
    </w:p>
    <w:p w14:paraId="3FBCE6D4">
      <w:pPr>
        <w:spacing w:line="360" w:lineRule="auto"/>
        <w:jc w:val="center"/>
        <w:rPr>
          <w:rFonts w:ascii="宋体" w:hAnsi="宋体" w:cs="宋体"/>
          <w:b/>
          <w:sz w:val="24"/>
          <w:szCs w:val="28"/>
        </w:rPr>
      </w:pPr>
      <w:r>
        <w:rPr>
          <w:rFonts w:hint="eastAsia" w:ascii="宋体" w:hAnsi="宋体" w:cs="宋体"/>
          <w:b/>
          <w:sz w:val="24"/>
          <w:szCs w:val="28"/>
          <w:lang w:val="en-US" w:eastAsia="zh-CN"/>
        </w:rPr>
        <w:t>采购</w:t>
      </w:r>
      <w:r>
        <w:rPr>
          <w:rFonts w:hint="eastAsia" w:ascii="宋体" w:hAnsi="宋体" w:cs="宋体"/>
          <w:b/>
          <w:sz w:val="24"/>
          <w:szCs w:val="28"/>
        </w:rPr>
        <w:t>需求偏离表（格式）</w:t>
      </w:r>
    </w:p>
    <w:p w14:paraId="4CF02AFB">
      <w:pPr>
        <w:adjustRightInd w:val="0"/>
        <w:snapToGrid w:val="0"/>
        <w:spacing w:line="360" w:lineRule="auto"/>
        <w:ind w:firstLine="480" w:firstLineChars="200"/>
        <w:rPr>
          <w:rFonts w:ascii="宋体"/>
          <w:sz w:val="24"/>
        </w:rPr>
      </w:pPr>
      <w:r>
        <w:rPr>
          <w:rFonts w:hint="eastAsia" w:ascii="宋体"/>
          <w:sz w:val="24"/>
        </w:rPr>
        <w:t>项目名称：包：/               项目编号：</w:t>
      </w:r>
    </w:p>
    <w:tbl>
      <w:tblPr>
        <w:tblStyle w:val="29"/>
        <w:tblW w:w="10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2640"/>
        <w:gridCol w:w="2020"/>
        <w:gridCol w:w="1910"/>
        <w:gridCol w:w="1290"/>
        <w:gridCol w:w="922"/>
        <w:gridCol w:w="922"/>
      </w:tblGrid>
      <w:tr w14:paraId="5C2ED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vAlign w:val="center"/>
          </w:tcPr>
          <w:p w14:paraId="7849E5E9">
            <w:pPr>
              <w:pStyle w:val="10"/>
              <w:spacing w:line="360" w:lineRule="exact"/>
              <w:jc w:val="center"/>
              <w:rPr>
                <w:color w:val="auto"/>
              </w:rPr>
            </w:pPr>
            <w:r>
              <w:rPr>
                <w:rFonts w:ascii="宋体" w:hAnsi="宋体" w:eastAsia="宋体" w:cs="宋体"/>
                <w:color w:val="auto"/>
                <w:sz w:val="24"/>
                <w:szCs w:val="24"/>
              </w:rPr>
              <w:t>序号</w:t>
            </w:r>
          </w:p>
        </w:tc>
        <w:tc>
          <w:tcPr>
            <w:tcW w:w="2640" w:type="dxa"/>
            <w:vAlign w:val="center"/>
          </w:tcPr>
          <w:p w14:paraId="2F09B04C">
            <w:pPr>
              <w:pStyle w:val="10"/>
              <w:spacing w:line="360" w:lineRule="exact"/>
              <w:jc w:val="center"/>
              <w:rPr>
                <w:color w:val="auto"/>
              </w:rPr>
            </w:pPr>
            <w:r>
              <w:rPr>
                <w:rFonts w:ascii="宋体" w:hAnsi="宋体" w:eastAsia="宋体" w:cs="宋体"/>
                <w:color w:val="auto"/>
                <w:sz w:val="24"/>
                <w:szCs w:val="24"/>
              </w:rPr>
              <w:t>招标文件条目号</w:t>
            </w:r>
          </w:p>
        </w:tc>
        <w:tc>
          <w:tcPr>
            <w:tcW w:w="2020" w:type="dxa"/>
            <w:vAlign w:val="center"/>
          </w:tcPr>
          <w:p w14:paraId="73EE7370">
            <w:pPr>
              <w:pStyle w:val="10"/>
              <w:spacing w:line="360" w:lineRule="exact"/>
              <w:jc w:val="center"/>
              <w:rPr>
                <w:color w:val="auto"/>
              </w:rPr>
            </w:pPr>
            <w:r>
              <w:rPr>
                <w:rFonts w:ascii="宋体" w:hAnsi="宋体" w:eastAsia="宋体" w:cs="宋体"/>
                <w:color w:val="auto"/>
                <w:sz w:val="24"/>
                <w:szCs w:val="24"/>
              </w:rPr>
              <w:t>招标文件要求</w:t>
            </w:r>
          </w:p>
        </w:tc>
        <w:tc>
          <w:tcPr>
            <w:tcW w:w="1910" w:type="dxa"/>
            <w:vAlign w:val="center"/>
          </w:tcPr>
          <w:p w14:paraId="48487F27">
            <w:pPr>
              <w:pStyle w:val="10"/>
              <w:spacing w:line="360" w:lineRule="exact"/>
              <w:jc w:val="center"/>
              <w:rPr>
                <w:color w:val="auto"/>
              </w:rPr>
            </w:pPr>
            <w:r>
              <w:rPr>
                <w:rFonts w:ascii="宋体" w:hAnsi="宋体" w:eastAsia="宋体" w:cs="宋体"/>
                <w:color w:val="auto"/>
                <w:sz w:val="24"/>
                <w:szCs w:val="24"/>
              </w:rPr>
              <w:t>投标响应内容</w:t>
            </w:r>
          </w:p>
        </w:tc>
        <w:tc>
          <w:tcPr>
            <w:tcW w:w="1290" w:type="dxa"/>
            <w:vAlign w:val="center"/>
          </w:tcPr>
          <w:p w14:paraId="6D6BBE47">
            <w:pPr>
              <w:pStyle w:val="10"/>
              <w:spacing w:line="360" w:lineRule="exact"/>
              <w:jc w:val="center"/>
              <w:rPr>
                <w:color w:val="auto"/>
              </w:rPr>
            </w:pPr>
            <w:r>
              <w:rPr>
                <w:rFonts w:ascii="宋体" w:hAnsi="宋体" w:eastAsia="宋体" w:cs="宋体"/>
                <w:color w:val="auto"/>
                <w:sz w:val="24"/>
                <w:szCs w:val="24"/>
              </w:rPr>
              <w:t>偏离情况</w:t>
            </w:r>
          </w:p>
        </w:tc>
        <w:tc>
          <w:tcPr>
            <w:tcW w:w="922" w:type="dxa"/>
            <w:vAlign w:val="center"/>
          </w:tcPr>
          <w:p w14:paraId="55EF2A6F">
            <w:pPr>
              <w:pStyle w:val="10"/>
              <w:spacing w:line="360" w:lineRule="exact"/>
              <w:jc w:val="center"/>
              <w:rPr>
                <w:color w:val="auto"/>
              </w:rPr>
            </w:pPr>
            <w:r>
              <w:rPr>
                <w:rFonts w:ascii="宋体" w:hAnsi="宋体" w:eastAsia="宋体" w:cs="宋体"/>
                <w:color w:val="auto"/>
                <w:sz w:val="24"/>
                <w:szCs w:val="24"/>
              </w:rPr>
              <w:t>说明</w:t>
            </w:r>
          </w:p>
        </w:tc>
        <w:tc>
          <w:tcPr>
            <w:tcW w:w="922" w:type="dxa"/>
            <w:vAlign w:val="center"/>
          </w:tcPr>
          <w:p w14:paraId="7A20B663">
            <w:pPr>
              <w:pStyle w:val="10"/>
              <w:spacing w:line="36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备注</w:t>
            </w:r>
          </w:p>
        </w:tc>
      </w:tr>
      <w:tr w14:paraId="544C2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53C64C4B">
            <w:pPr>
              <w:pStyle w:val="10"/>
              <w:spacing w:line="360" w:lineRule="exact"/>
              <w:rPr>
                <w:color w:val="auto"/>
              </w:rPr>
            </w:pPr>
          </w:p>
        </w:tc>
        <w:tc>
          <w:tcPr>
            <w:tcW w:w="2640" w:type="dxa"/>
          </w:tcPr>
          <w:p w14:paraId="26E997C5">
            <w:pPr>
              <w:pStyle w:val="10"/>
              <w:spacing w:line="360" w:lineRule="exact"/>
              <w:rPr>
                <w:color w:val="auto"/>
              </w:rPr>
            </w:pPr>
          </w:p>
        </w:tc>
        <w:tc>
          <w:tcPr>
            <w:tcW w:w="2020" w:type="dxa"/>
          </w:tcPr>
          <w:p w14:paraId="2E7219E3">
            <w:pPr>
              <w:pStyle w:val="10"/>
              <w:spacing w:line="360" w:lineRule="exact"/>
              <w:rPr>
                <w:color w:val="auto"/>
              </w:rPr>
            </w:pPr>
          </w:p>
        </w:tc>
        <w:tc>
          <w:tcPr>
            <w:tcW w:w="1910" w:type="dxa"/>
          </w:tcPr>
          <w:p w14:paraId="68825E0B">
            <w:pPr>
              <w:pStyle w:val="10"/>
              <w:spacing w:line="360" w:lineRule="exact"/>
              <w:rPr>
                <w:color w:val="auto"/>
              </w:rPr>
            </w:pPr>
          </w:p>
        </w:tc>
        <w:tc>
          <w:tcPr>
            <w:tcW w:w="1290" w:type="dxa"/>
          </w:tcPr>
          <w:p w14:paraId="0A58820B">
            <w:pPr>
              <w:pStyle w:val="10"/>
              <w:spacing w:line="360" w:lineRule="exact"/>
              <w:rPr>
                <w:color w:val="auto"/>
              </w:rPr>
            </w:pPr>
          </w:p>
        </w:tc>
        <w:tc>
          <w:tcPr>
            <w:tcW w:w="922" w:type="dxa"/>
          </w:tcPr>
          <w:p w14:paraId="2928A6B2">
            <w:pPr>
              <w:pStyle w:val="10"/>
              <w:spacing w:line="360" w:lineRule="exact"/>
              <w:rPr>
                <w:color w:val="auto"/>
              </w:rPr>
            </w:pPr>
          </w:p>
        </w:tc>
        <w:tc>
          <w:tcPr>
            <w:tcW w:w="922" w:type="dxa"/>
          </w:tcPr>
          <w:p w14:paraId="0D851D6D">
            <w:pPr>
              <w:pStyle w:val="10"/>
              <w:spacing w:line="360" w:lineRule="exact"/>
              <w:rPr>
                <w:color w:val="auto"/>
              </w:rPr>
            </w:pPr>
          </w:p>
        </w:tc>
      </w:tr>
      <w:tr w14:paraId="0FC61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9004CD8">
            <w:pPr>
              <w:pStyle w:val="10"/>
              <w:spacing w:line="360" w:lineRule="exact"/>
              <w:rPr>
                <w:color w:val="auto"/>
              </w:rPr>
            </w:pPr>
          </w:p>
        </w:tc>
        <w:tc>
          <w:tcPr>
            <w:tcW w:w="2640" w:type="dxa"/>
          </w:tcPr>
          <w:p w14:paraId="6DF0D5C8">
            <w:pPr>
              <w:pStyle w:val="10"/>
              <w:spacing w:line="360" w:lineRule="exact"/>
              <w:rPr>
                <w:color w:val="auto"/>
              </w:rPr>
            </w:pPr>
          </w:p>
        </w:tc>
        <w:tc>
          <w:tcPr>
            <w:tcW w:w="2020" w:type="dxa"/>
          </w:tcPr>
          <w:p w14:paraId="4B14C5AD">
            <w:pPr>
              <w:pStyle w:val="10"/>
              <w:spacing w:line="360" w:lineRule="exact"/>
              <w:rPr>
                <w:color w:val="auto"/>
              </w:rPr>
            </w:pPr>
          </w:p>
        </w:tc>
        <w:tc>
          <w:tcPr>
            <w:tcW w:w="1910" w:type="dxa"/>
          </w:tcPr>
          <w:p w14:paraId="46DF07EE">
            <w:pPr>
              <w:pStyle w:val="10"/>
              <w:spacing w:line="360" w:lineRule="exact"/>
              <w:rPr>
                <w:color w:val="auto"/>
              </w:rPr>
            </w:pPr>
          </w:p>
        </w:tc>
        <w:tc>
          <w:tcPr>
            <w:tcW w:w="1290" w:type="dxa"/>
          </w:tcPr>
          <w:p w14:paraId="59C82F1B">
            <w:pPr>
              <w:pStyle w:val="10"/>
              <w:spacing w:line="360" w:lineRule="exact"/>
              <w:rPr>
                <w:color w:val="auto"/>
              </w:rPr>
            </w:pPr>
          </w:p>
        </w:tc>
        <w:tc>
          <w:tcPr>
            <w:tcW w:w="922" w:type="dxa"/>
          </w:tcPr>
          <w:p w14:paraId="5B759436">
            <w:pPr>
              <w:pStyle w:val="10"/>
              <w:spacing w:line="360" w:lineRule="exact"/>
              <w:rPr>
                <w:color w:val="auto"/>
              </w:rPr>
            </w:pPr>
          </w:p>
        </w:tc>
        <w:tc>
          <w:tcPr>
            <w:tcW w:w="922" w:type="dxa"/>
          </w:tcPr>
          <w:p w14:paraId="197876F3">
            <w:pPr>
              <w:pStyle w:val="10"/>
              <w:spacing w:line="360" w:lineRule="exact"/>
              <w:rPr>
                <w:color w:val="auto"/>
              </w:rPr>
            </w:pPr>
          </w:p>
        </w:tc>
      </w:tr>
      <w:tr w14:paraId="12940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DC8A360">
            <w:pPr>
              <w:pStyle w:val="10"/>
              <w:spacing w:line="360" w:lineRule="exact"/>
              <w:rPr>
                <w:color w:val="auto"/>
              </w:rPr>
            </w:pPr>
          </w:p>
        </w:tc>
        <w:tc>
          <w:tcPr>
            <w:tcW w:w="2640" w:type="dxa"/>
          </w:tcPr>
          <w:p w14:paraId="1E1DE0E1">
            <w:pPr>
              <w:pStyle w:val="10"/>
              <w:spacing w:line="360" w:lineRule="exact"/>
              <w:rPr>
                <w:color w:val="auto"/>
              </w:rPr>
            </w:pPr>
          </w:p>
        </w:tc>
        <w:tc>
          <w:tcPr>
            <w:tcW w:w="2020" w:type="dxa"/>
          </w:tcPr>
          <w:p w14:paraId="718084FF">
            <w:pPr>
              <w:pStyle w:val="10"/>
              <w:spacing w:line="360" w:lineRule="exact"/>
              <w:rPr>
                <w:color w:val="auto"/>
              </w:rPr>
            </w:pPr>
          </w:p>
        </w:tc>
        <w:tc>
          <w:tcPr>
            <w:tcW w:w="1910" w:type="dxa"/>
          </w:tcPr>
          <w:p w14:paraId="31F4AAE8">
            <w:pPr>
              <w:pStyle w:val="10"/>
              <w:spacing w:line="360" w:lineRule="exact"/>
              <w:rPr>
                <w:color w:val="auto"/>
              </w:rPr>
            </w:pPr>
          </w:p>
        </w:tc>
        <w:tc>
          <w:tcPr>
            <w:tcW w:w="1290" w:type="dxa"/>
          </w:tcPr>
          <w:p w14:paraId="28156078">
            <w:pPr>
              <w:pStyle w:val="10"/>
              <w:spacing w:line="360" w:lineRule="exact"/>
              <w:rPr>
                <w:color w:val="auto"/>
              </w:rPr>
            </w:pPr>
          </w:p>
        </w:tc>
        <w:tc>
          <w:tcPr>
            <w:tcW w:w="922" w:type="dxa"/>
          </w:tcPr>
          <w:p w14:paraId="094161B2">
            <w:pPr>
              <w:pStyle w:val="10"/>
              <w:spacing w:line="360" w:lineRule="exact"/>
              <w:rPr>
                <w:color w:val="auto"/>
              </w:rPr>
            </w:pPr>
          </w:p>
        </w:tc>
        <w:tc>
          <w:tcPr>
            <w:tcW w:w="922" w:type="dxa"/>
          </w:tcPr>
          <w:p w14:paraId="0060DD6C">
            <w:pPr>
              <w:pStyle w:val="10"/>
              <w:spacing w:line="360" w:lineRule="exact"/>
              <w:rPr>
                <w:color w:val="auto"/>
              </w:rPr>
            </w:pPr>
          </w:p>
        </w:tc>
      </w:tr>
      <w:tr w14:paraId="2CC09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2CE0AA1">
            <w:pPr>
              <w:pStyle w:val="10"/>
              <w:spacing w:line="360" w:lineRule="exact"/>
              <w:rPr>
                <w:color w:val="auto"/>
              </w:rPr>
            </w:pPr>
          </w:p>
        </w:tc>
        <w:tc>
          <w:tcPr>
            <w:tcW w:w="2640" w:type="dxa"/>
          </w:tcPr>
          <w:p w14:paraId="621A08E9">
            <w:pPr>
              <w:pStyle w:val="10"/>
              <w:spacing w:line="360" w:lineRule="exact"/>
              <w:rPr>
                <w:color w:val="auto"/>
              </w:rPr>
            </w:pPr>
          </w:p>
        </w:tc>
        <w:tc>
          <w:tcPr>
            <w:tcW w:w="2020" w:type="dxa"/>
          </w:tcPr>
          <w:p w14:paraId="3653298A">
            <w:pPr>
              <w:pStyle w:val="10"/>
              <w:spacing w:line="360" w:lineRule="exact"/>
              <w:rPr>
                <w:color w:val="auto"/>
              </w:rPr>
            </w:pPr>
          </w:p>
        </w:tc>
        <w:tc>
          <w:tcPr>
            <w:tcW w:w="1910" w:type="dxa"/>
          </w:tcPr>
          <w:p w14:paraId="4596AD8E">
            <w:pPr>
              <w:pStyle w:val="10"/>
              <w:spacing w:line="360" w:lineRule="exact"/>
              <w:rPr>
                <w:color w:val="auto"/>
              </w:rPr>
            </w:pPr>
          </w:p>
        </w:tc>
        <w:tc>
          <w:tcPr>
            <w:tcW w:w="1290" w:type="dxa"/>
          </w:tcPr>
          <w:p w14:paraId="6FC18D9A">
            <w:pPr>
              <w:pStyle w:val="10"/>
              <w:spacing w:line="360" w:lineRule="exact"/>
              <w:rPr>
                <w:color w:val="auto"/>
              </w:rPr>
            </w:pPr>
          </w:p>
        </w:tc>
        <w:tc>
          <w:tcPr>
            <w:tcW w:w="922" w:type="dxa"/>
          </w:tcPr>
          <w:p w14:paraId="440679F3">
            <w:pPr>
              <w:pStyle w:val="10"/>
              <w:spacing w:line="360" w:lineRule="exact"/>
              <w:rPr>
                <w:color w:val="auto"/>
              </w:rPr>
            </w:pPr>
          </w:p>
        </w:tc>
        <w:tc>
          <w:tcPr>
            <w:tcW w:w="922" w:type="dxa"/>
          </w:tcPr>
          <w:p w14:paraId="27D7CF83">
            <w:pPr>
              <w:pStyle w:val="10"/>
              <w:spacing w:line="360" w:lineRule="exact"/>
              <w:rPr>
                <w:color w:val="auto"/>
              </w:rPr>
            </w:pPr>
          </w:p>
        </w:tc>
      </w:tr>
      <w:tr w14:paraId="69AFD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18ADBE74">
            <w:pPr>
              <w:pStyle w:val="10"/>
              <w:spacing w:line="360" w:lineRule="exact"/>
              <w:rPr>
                <w:color w:val="auto"/>
              </w:rPr>
            </w:pPr>
          </w:p>
        </w:tc>
        <w:tc>
          <w:tcPr>
            <w:tcW w:w="2640" w:type="dxa"/>
          </w:tcPr>
          <w:p w14:paraId="67A45B48">
            <w:pPr>
              <w:pStyle w:val="10"/>
              <w:spacing w:line="360" w:lineRule="exact"/>
              <w:rPr>
                <w:color w:val="auto"/>
              </w:rPr>
            </w:pPr>
          </w:p>
        </w:tc>
        <w:tc>
          <w:tcPr>
            <w:tcW w:w="2020" w:type="dxa"/>
          </w:tcPr>
          <w:p w14:paraId="6A79820D">
            <w:pPr>
              <w:pStyle w:val="10"/>
              <w:spacing w:line="360" w:lineRule="exact"/>
              <w:rPr>
                <w:color w:val="auto"/>
              </w:rPr>
            </w:pPr>
          </w:p>
        </w:tc>
        <w:tc>
          <w:tcPr>
            <w:tcW w:w="1910" w:type="dxa"/>
          </w:tcPr>
          <w:p w14:paraId="045D3582">
            <w:pPr>
              <w:pStyle w:val="10"/>
              <w:spacing w:line="360" w:lineRule="exact"/>
              <w:rPr>
                <w:color w:val="auto"/>
              </w:rPr>
            </w:pPr>
          </w:p>
        </w:tc>
        <w:tc>
          <w:tcPr>
            <w:tcW w:w="1290" w:type="dxa"/>
          </w:tcPr>
          <w:p w14:paraId="6AA818DA">
            <w:pPr>
              <w:pStyle w:val="10"/>
              <w:spacing w:line="360" w:lineRule="exact"/>
              <w:rPr>
                <w:color w:val="auto"/>
              </w:rPr>
            </w:pPr>
          </w:p>
        </w:tc>
        <w:tc>
          <w:tcPr>
            <w:tcW w:w="922" w:type="dxa"/>
          </w:tcPr>
          <w:p w14:paraId="7AC2D69D">
            <w:pPr>
              <w:pStyle w:val="10"/>
              <w:spacing w:line="360" w:lineRule="exact"/>
              <w:rPr>
                <w:color w:val="auto"/>
              </w:rPr>
            </w:pPr>
          </w:p>
        </w:tc>
        <w:tc>
          <w:tcPr>
            <w:tcW w:w="922" w:type="dxa"/>
          </w:tcPr>
          <w:p w14:paraId="4C6DF210">
            <w:pPr>
              <w:pStyle w:val="10"/>
              <w:spacing w:line="360" w:lineRule="exact"/>
              <w:rPr>
                <w:color w:val="auto"/>
              </w:rPr>
            </w:pPr>
          </w:p>
        </w:tc>
      </w:tr>
      <w:tr w14:paraId="150B9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30D1DE0C">
            <w:pPr>
              <w:pStyle w:val="10"/>
              <w:spacing w:line="360" w:lineRule="exact"/>
              <w:rPr>
                <w:color w:val="auto"/>
              </w:rPr>
            </w:pPr>
          </w:p>
        </w:tc>
        <w:tc>
          <w:tcPr>
            <w:tcW w:w="2640" w:type="dxa"/>
          </w:tcPr>
          <w:p w14:paraId="6DDBB3B9">
            <w:pPr>
              <w:pStyle w:val="10"/>
              <w:spacing w:line="360" w:lineRule="exact"/>
              <w:rPr>
                <w:color w:val="auto"/>
              </w:rPr>
            </w:pPr>
          </w:p>
        </w:tc>
        <w:tc>
          <w:tcPr>
            <w:tcW w:w="2020" w:type="dxa"/>
          </w:tcPr>
          <w:p w14:paraId="78E536E0">
            <w:pPr>
              <w:pStyle w:val="10"/>
              <w:spacing w:line="360" w:lineRule="exact"/>
              <w:rPr>
                <w:color w:val="auto"/>
              </w:rPr>
            </w:pPr>
          </w:p>
        </w:tc>
        <w:tc>
          <w:tcPr>
            <w:tcW w:w="1910" w:type="dxa"/>
          </w:tcPr>
          <w:p w14:paraId="3071D898">
            <w:pPr>
              <w:pStyle w:val="10"/>
              <w:spacing w:line="360" w:lineRule="exact"/>
              <w:rPr>
                <w:color w:val="auto"/>
              </w:rPr>
            </w:pPr>
          </w:p>
        </w:tc>
        <w:tc>
          <w:tcPr>
            <w:tcW w:w="1290" w:type="dxa"/>
          </w:tcPr>
          <w:p w14:paraId="293028EF">
            <w:pPr>
              <w:pStyle w:val="10"/>
              <w:spacing w:line="360" w:lineRule="exact"/>
              <w:rPr>
                <w:color w:val="auto"/>
              </w:rPr>
            </w:pPr>
          </w:p>
        </w:tc>
        <w:tc>
          <w:tcPr>
            <w:tcW w:w="922" w:type="dxa"/>
          </w:tcPr>
          <w:p w14:paraId="3A8AE636">
            <w:pPr>
              <w:pStyle w:val="10"/>
              <w:spacing w:line="360" w:lineRule="exact"/>
              <w:rPr>
                <w:color w:val="auto"/>
              </w:rPr>
            </w:pPr>
          </w:p>
        </w:tc>
        <w:tc>
          <w:tcPr>
            <w:tcW w:w="922" w:type="dxa"/>
          </w:tcPr>
          <w:p w14:paraId="2CA10BED">
            <w:pPr>
              <w:pStyle w:val="10"/>
              <w:spacing w:line="360" w:lineRule="exact"/>
              <w:rPr>
                <w:color w:val="auto"/>
              </w:rPr>
            </w:pPr>
          </w:p>
        </w:tc>
      </w:tr>
      <w:tr w14:paraId="10B89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2" w:type="dxa"/>
          </w:tcPr>
          <w:p w14:paraId="09CD56C1">
            <w:pPr>
              <w:pStyle w:val="10"/>
              <w:spacing w:line="360" w:lineRule="exact"/>
              <w:rPr>
                <w:color w:val="auto"/>
              </w:rPr>
            </w:pPr>
          </w:p>
        </w:tc>
        <w:tc>
          <w:tcPr>
            <w:tcW w:w="2640" w:type="dxa"/>
          </w:tcPr>
          <w:p w14:paraId="457B917D">
            <w:pPr>
              <w:pStyle w:val="10"/>
              <w:spacing w:line="360" w:lineRule="exact"/>
              <w:rPr>
                <w:color w:val="auto"/>
              </w:rPr>
            </w:pPr>
          </w:p>
        </w:tc>
        <w:tc>
          <w:tcPr>
            <w:tcW w:w="2020" w:type="dxa"/>
          </w:tcPr>
          <w:p w14:paraId="3133B46C">
            <w:pPr>
              <w:pStyle w:val="10"/>
              <w:spacing w:line="360" w:lineRule="exact"/>
              <w:rPr>
                <w:color w:val="auto"/>
              </w:rPr>
            </w:pPr>
          </w:p>
        </w:tc>
        <w:tc>
          <w:tcPr>
            <w:tcW w:w="1910" w:type="dxa"/>
          </w:tcPr>
          <w:p w14:paraId="19602BC4">
            <w:pPr>
              <w:pStyle w:val="10"/>
              <w:spacing w:line="360" w:lineRule="exact"/>
              <w:rPr>
                <w:color w:val="auto"/>
              </w:rPr>
            </w:pPr>
          </w:p>
        </w:tc>
        <w:tc>
          <w:tcPr>
            <w:tcW w:w="1290" w:type="dxa"/>
          </w:tcPr>
          <w:p w14:paraId="32736FA4">
            <w:pPr>
              <w:pStyle w:val="10"/>
              <w:spacing w:line="360" w:lineRule="exact"/>
              <w:rPr>
                <w:color w:val="auto"/>
              </w:rPr>
            </w:pPr>
          </w:p>
        </w:tc>
        <w:tc>
          <w:tcPr>
            <w:tcW w:w="922" w:type="dxa"/>
          </w:tcPr>
          <w:p w14:paraId="3661A97A">
            <w:pPr>
              <w:pStyle w:val="10"/>
              <w:spacing w:line="360" w:lineRule="exact"/>
              <w:rPr>
                <w:color w:val="auto"/>
              </w:rPr>
            </w:pPr>
          </w:p>
        </w:tc>
        <w:tc>
          <w:tcPr>
            <w:tcW w:w="922" w:type="dxa"/>
          </w:tcPr>
          <w:p w14:paraId="35EBBF0F">
            <w:pPr>
              <w:pStyle w:val="10"/>
              <w:spacing w:line="360" w:lineRule="exact"/>
              <w:rPr>
                <w:color w:val="auto"/>
              </w:rPr>
            </w:pPr>
          </w:p>
        </w:tc>
      </w:tr>
    </w:tbl>
    <w:p w14:paraId="79634B43">
      <w:pPr>
        <w:pStyle w:val="10"/>
        <w:rPr>
          <w:rFonts w:ascii="宋体" w:hAnsi="宋体" w:eastAsia="宋体" w:cs="宋体"/>
          <w:sz w:val="24"/>
          <w:szCs w:val="24"/>
        </w:rPr>
      </w:pPr>
    </w:p>
    <w:p w14:paraId="4E85F570">
      <w:pPr>
        <w:pStyle w:val="10"/>
        <w:spacing w:line="360" w:lineRule="auto"/>
        <w:ind w:firstLine="480" w:firstLineChars="200"/>
        <w:rPr>
          <w:rFonts w:ascii="宋体" w:hAnsi="宋体" w:eastAsia="宋体" w:cs="宋体"/>
          <w:sz w:val="24"/>
          <w:szCs w:val="24"/>
        </w:rPr>
      </w:pPr>
      <w:r>
        <w:rPr>
          <w:rFonts w:ascii="宋体" w:hAnsi="宋体" w:eastAsia="宋体" w:cs="宋体"/>
          <w:sz w:val="24"/>
          <w:szCs w:val="24"/>
        </w:rPr>
        <w:t xml:space="preserve">注： </w:t>
      </w:r>
    </w:p>
    <w:p w14:paraId="0425B7B0">
      <w:pPr>
        <w:pStyle w:val="1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w:t>
      </w:r>
      <w:r>
        <w:rPr>
          <w:rFonts w:ascii="宋体" w:hAnsi="宋体" w:eastAsia="宋体" w:cs="宋体"/>
          <w:sz w:val="24"/>
          <w:szCs w:val="24"/>
        </w:rPr>
        <w:t>对招标文件中的所有商务、技术要求，除本表所列明的所有偏离外，均视作</w:t>
      </w:r>
      <w:r>
        <w:rPr>
          <w:rFonts w:hint="eastAsia" w:ascii="宋体" w:hAnsi="宋体" w:eastAsia="宋体" w:cs="宋体"/>
          <w:sz w:val="24"/>
          <w:szCs w:val="24"/>
          <w:lang w:eastAsia="zh-CN"/>
        </w:rPr>
        <w:t>投标人</w:t>
      </w:r>
      <w:r>
        <w:rPr>
          <w:rFonts w:ascii="宋体" w:hAnsi="宋体" w:eastAsia="宋体" w:cs="宋体"/>
          <w:sz w:val="24"/>
          <w:szCs w:val="24"/>
        </w:rPr>
        <w:t>已对之理解和响应。</w:t>
      </w:r>
    </w:p>
    <w:p w14:paraId="360480ED">
      <w:pPr>
        <w:pStyle w:val="1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2.投标人应对招标文件“第五章 采购需求”中的所有条款进行点对点应答，</w:t>
      </w:r>
      <w:r>
        <w:rPr>
          <w:rFonts w:ascii="宋体" w:hAnsi="宋体" w:eastAsia="宋体" w:cs="宋体"/>
          <w:sz w:val="24"/>
          <w:szCs w:val="24"/>
        </w:rPr>
        <w:t>此表中若无任何文字说明，内容为空白的，</w:t>
      </w:r>
      <w:r>
        <w:rPr>
          <w:rFonts w:ascii="宋体" w:hAnsi="宋体" w:eastAsia="宋体" w:cs="宋体"/>
          <w:b/>
          <w:bCs/>
          <w:sz w:val="24"/>
          <w:szCs w:val="24"/>
        </w:rPr>
        <w:t>投标无效</w:t>
      </w:r>
      <w:r>
        <w:rPr>
          <w:rFonts w:ascii="宋体" w:hAnsi="宋体" w:eastAsia="宋体" w:cs="宋体"/>
          <w:sz w:val="24"/>
          <w:szCs w:val="24"/>
        </w:rPr>
        <w:t xml:space="preserve">。 </w:t>
      </w:r>
    </w:p>
    <w:p w14:paraId="65D2E175">
      <w:pPr>
        <w:pStyle w:val="10"/>
        <w:spacing w:line="360" w:lineRule="auto"/>
        <w:ind w:firstLine="480" w:firstLineChars="200"/>
      </w:pPr>
      <w:r>
        <w:rPr>
          <w:rFonts w:hint="eastAsia" w:ascii="宋体" w:hAnsi="宋体" w:eastAsia="宋体" w:cs="宋体"/>
          <w:sz w:val="24"/>
          <w:szCs w:val="24"/>
        </w:rPr>
        <w:t>3</w:t>
      </w:r>
      <w:r>
        <w:rPr>
          <w:rFonts w:ascii="宋体" w:hAnsi="宋体" w:eastAsia="宋体" w:cs="宋体"/>
          <w:sz w:val="24"/>
          <w:szCs w:val="24"/>
        </w:rPr>
        <w:t>.</w:t>
      </w:r>
      <w:r>
        <w:rPr>
          <w:rFonts w:hint="eastAsia" w:ascii="宋体" w:hAnsi="宋体" w:eastAsia="宋体" w:cs="宋体"/>
          <w:sz w:val="24"/>
          <w:szCs w:val="24"/>
        </w:rPr>
        <w:t>“</w:t>
      </w:r>
      <w:r>
        <w:rPr>
          <w:rFonts w:ascii="宋体" w:hAnsi="宋体" w:eastAsia="宋体" w:cs="宋体"/>
          <w:sz w:val="24"/>
          <w:szCs w:val="24"/>
        </w:rPr>
        <w:t>偏离情况</w:t>
      </w:r>
      <w:r>
        <w:rPr>
          <w:rFonts w:hint="eastAsia" w:ascii="宋体" w:hAnsi="宋体" w:eastAsia="宋体" w:cs="宋体"/>
          <w:sz w:val="24"/>
          <w:szCs w:val="24"/>
        </w:rPr>
        <w:t>”</w:t>
      </w:r>
      <w:r>
        <w:rPr>
          <w:rFonts w:ascii="宋体" w:hAnsi="宋体" w:eastAsia="宋体" w:cs="宋体"/>
          <w:sz w:val="24"/>
          <w:szCs w:val="24"/>
        </w:rPr>
        <w:t>列应据实填写</w:t>
      </w:r>
      <w:r>
        <w:rPr>
          <w:rFonts w:hint="eastAsia" w:ascii="宋体" w:hAnsi="宋体" w:eastAsia="宋体" w:cs="宋体"/>
          <w:sz w:val="24"/>
          <w:szCs w:val="24"/>
        </w:rPr>
        <w:t>“</w:t>
      </w:r>
      <w:r>
        <w:rPr>
          <w:rFonts w:ascii="宋体" w:hAnsi="宋体" w:eastAsia="宋体" w:cs="宋体"/>
          <w:sz w:val="24"/>
          <w:szCs w:val="24"/>
        </w:rPr>
        <w:t>无偏离</w:t>
      </w:r>
      <w:r>
        <w:rPr>
          <w:rFonts w:hint="eastAsia" w:ascii="宋体" w:hAnsi="宋体" w:eastAsia="宋体" w:cs="宋体"/>
          <w:sz w:val="24"/>
          <w:szCs w:val="24"/>
        </w:rPr>
        <w:t>”、“</w:t>
      </w:r>
      <w:r>
        <w:rPr>
          <w:rFonts w:ascii="宋体" w:hAnsi="宋体" w:eastAsia="宋体" w:cs="宋体"/>
          <w:sz w:val="24"/>
          <w:szCs w:val="24"/>
        </w:rPr>
        <w:t>正偏离</w:t>
      </w:r>
      <w:r>
        <w:rPr>
          <w:rFonts w:hint="eastAsia" w:ascii="宋体" w:hAnsi="宋体" w:eastAsia="宋体" w:cs="宋体"/>
          <w:sz w:val="24"/>
          <w:szCs w:val="24"/>
        </w:rPr>
        <w:t>”</w:t>
      </w:r>
      <w:r>
        <w:rPr>
          <w:rFonts w:ascii="宋体" w:hAnsi="宋体" w:eastAsia="宋体" w:cs="宋体"/>
          <w:sz w:val="24"/>
          <w:szCs w:val="24"/>
        </w:rPr>
        <w:t>或</w:t>
      </w:r>
      <w:r>
        <w:rPr>
          <w:rFonts w:hint="eastAsia" w:ascii="宋体" w:hAnsi="宋体" w:eastAsia="宋体" w:cs="宋体"/>
          <w:sz w:val="24"/>
          <w:szCs w:val="24"/>
        </w:rPr>
        <w:t>“</w:t>
      </w:r>
      <w:r>
        <w:rPr>
          <w:rFonts w:ascii="宋体" w:hAnsi="宋体" w:eastAsia="宋体" w:cs="宋体"/>
          <w:sz w:val="24"/>
          <w:szCs w:val="24"/>
        </w:rPr>
        <w:t>负偏离</w:t>
      </w:r>
      <w:r>
        <w:rPr>
          <w:rFonts w:hint="eastAsia" w:ascii="宋体" w:hAnsi="宋体" w:eastAsia="宋体" w:cs="宋体"/>
          <w:sz w:val="24"/>
          <w:szCs w:val="24"/>
        </w:rPr>
        <w:t>”</w:t>
      </w:r>
      <w:r>
        <w:rPr>
          <w:rFonts w:ascii="宋体" w:hAnsi="宋体" w:eastAsia="宋体" w:cs="宋体"/>
          <w:sz w:val="24"/>
          <w:szCs w:val="24"/>
        </w:rPr>
        <w:t>。</w:t>
      </w:r>
    </w:p>
    <w:p w14:paraId="66202BC7">
      <w:pPr>
        <w:pStyle w:val="10"/>
        <w:spacing w:line="360" w:lineRule="auto"/>
        <w:ind w:firstLine="600" w:firstLineChars="200"/>
      </w:pPr>
    </w:p>
    <w:p w14:paraId="7B3C6F2B">
      <w:pPr>
        <w:spacing w:line="360" w:lineRule="auto"/>
        <w:ind w:firstLine="480" w:firstLineChars="200"/>
        <w:outlineLvl w:val="0"/>
        <w:rPr>
          <w:rFonts w:ascii="宋体" w:hAnsi="宋体" w:cs="宋体"/>
          <w:sz w:val="24"/>
        </w:rPr>
      </w:pPr>
    </w:p>
    <w:p w14:paraId="5881CAD1">
      <w:pPr>
        <w:adjustRightInd w:val="0"/>
        <w:snapToGrid w:val="0"/>
        <w:spacing w:line="360" w:lineRule="auto"/>
        <w:ind w:firstLine="480" w:firstLineChars="200"/>
        <w:rPr>
          <w:rFonts w:ascii="宋体"/>
          <w:sz w:val="24"/>
          <w:u w:val="single"/>
        </w:rPr>
      </w:pPr>
      <w:r>
        <w:rPr>
          <w:rFonts w:hint="eastAsia" w:ascii="宋体"/>
          <w:sz w:val="24"/>
        </w:rPr>
        <w:t>投标人名称（盖章）：</w:t>
      </w:r>
    </w:p>
    <w:p w14:paraId="064E9A0F">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078D4AB">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或授权代表（签字）</w:t>
      </w:r>
      <w:r>
        <w:rPr>
          <w:rFonts w:hint="eastAsia" w:ascii="宋体"/>
          <w:sz w:val="24"/>
        </w:rPr>
        <w:t>：</w:t>
      </w:r>
    </w:p>
    <w:p w14:paraId="068365D6">
      <w:pPr>
        <w:spacing w:line="360" w:lineRule="auto"/>
        <w:ind w:firstLine="480" w:firstLineChars="200"/>
        <w:rPr>
          <w:rFonts w:ascii="宋体" w:hAnsi="宋体" w:cs="宋体"/>
          <w:sz w:val="24"/>
        </w:rPr>
      </w:pPr>
      <w:r>
        <w:rPr>
          <w:rFonts w:hint="eastAsia" w:ascii="宋体" w:hAnsi="宋体" w:cs="宋体"/>
          <w:sz w:val="24"/>
        </w:rPr>
        <w:t>时间：年月日</w:t>
      </w:r>
    </w:p>
    <w:p w14:paraId="16CFB806">
      <w:pPr>
        <w:spacing w:line="360" w:lineRule="auto"/>
        <w:jc w:val="center"/>
        <w:outlineLvl w:val="0"/>
        <w:rPr>
          <w:rFonts w:ascii="宋体" w:hAnsi="宋体" w:cs="宋体"/>
          <w:b/>
          <w:sz w:val="24"/>
          <w:szCs w:val="28"/>
        </w:rPr>
        <w:sectPr>
          <w:headerReference r:id="rId7" w:type="default"/>
          <w:footerReference r:id="rId8" w:type="default"/>
          <w:pgSz w:w="11906" w:h="16838"/>
          <w:pgMar w:top="1361" w:right="1304" w:bottom="1247" w:left="1304" w:header="680" w:footer="680" w:gutter="0"/>
          <w:cols w:space="720" w:num="1"/>
          <w:docGrid w:linePitch="312" w:charSpace="0"/>
        </w:sectPr>
      </w:pPr>
    </w:p>
    <w:p w14:paraId="1B09E03B">
      <w:pPr>
        <w:pStyle w:val="14"/>
        <w:spacing w:line="360" w:lineRule="auto"/>
        <w:outlineLvl w:val="0"/>
        <w:rPr>
          <w:rFonts w:ascii="宋体" w:hAnsi="宋体" w:cs="宋体"/>
          <w:b/>
          <w:szCs w:val="28"/>
        </w:rPr>
      </w:pPr>
      <w:r>
        <w:rPr>
          <w:rFonts w:hint="eastAsia" w:ascii="宋体" w:hAnsi="宋体" w:cs="宋体"/>
          <w:b/>
          <w:szCs w:val="28"/>
        </w:rPr>
        <w:t>格式五：</w:t>
      </w:r>
    </w:p>
    <w:p w14:paraId="64EC0030">
      <w:pPr>
        <w:spacing w:line="360" w:lineRule="auto"/>
        <w:jc w:val="center"/>
        <w:outlineLvl w:val="0"/>
        <w:rPr>
          <w:rFonts w:ascii="宋体" w:hAnsi="宋体" w:cs="宋体"/>
          <w:b/>
          <w:sz w:val="24"/>
          <w:szCs w:val="28"/>
        </w:rPr>
      </w:pPr>
      <w:r>
        <w:rPr>
          <w:rFonts w:hint="eastAsia" w:ascii="宋体" w:hAnsi="宋体" w:cs="宋体"/>
          <w:b/>
          <w:sz w:val="24"/>
          <w:szCs w:val="28"/>
        </w:rPr>
        <w:t>售后服务承诺书（格式）</w:t>
      </w:r>
    </w:p>
    <w:p w14:paraId="4CD01996">
      <w:pPr>
        <w:spacing w:line="360" w:lineRule="auto"/>
        <w:jc w:val="center"/>
        <w:outlineLvl w:val="0"/>
        <w:rPr>
          <w:rFonts w:ascii="仿宋_GB2312" w:hAnsi="宋体" w:eastAsia="仿宋_GB2312"/>
          <w:b/>
          <w:bCs/>
          <w:sz w:val="24"/>
          <w:szCs w:val="28"/>
        </w:rPr>
      </w:pPr>
    </w:p>
    <w:p w14:paraId="66727BC3">
      <w:pPr>
        <w:spacing w:line="360" w:lineRule="auto"/>
        <w:outlineLvl w:val="0"/>
        <w:rPr>
          <w:rFonts w:ascii="宋体" w:hAnsi="宋体" w:cs="宋体"/>
          <w:bCs/>
          <w:sz w:val="24"/>
        </w:rPr>
      </w:pPr>
      <w:r>
        <w:rPr>
          <w:rFonts w:hint="eastAsia" w:ascii="宋体" w:hAnsi="宋体" w:cs="宋体"/>
          <w:kern w:val="0"/>
          <w:sz w:val="24"/>
        </w:rPr>
        <w:t>中金招标有限责任公司</w:t>
      </w:r>
      <w:r>
        <w:rPr>
          <w:rFonts w:hint="eastAsia" w:ascii="宋体" w:hAnsi="宋体" w:cs="宋体"/>
          <w:bCs/>
          <w:sz w:val="24"/>
        </w:rPr>
        <w:t>：</w:t>
      </w:r>
    </w:p>
    <w:p w14:paraId="5102D3BC">
      <w:pPr>
        <w:spacing w:line="360" w:lineRule="auto"/>
        <w:ind w:firstLine="480" w:firstLineChars="200"/>
        <w:rPr>
          <w:rFonts w:ascii="宋体" w:hAnsi="宋体" w:cs="宋体"/>
          <w:sz w:val="24"/>
        </w:rPr>
      </w:pPr>
      <w:r>
        <w:rPr>
          <w:rFonts w:hint="eastAsia" w:ascii="宋体" w:hAnsi="宋体" w:cs="宋体"/>
          <w:bCs/>
          <w:sz w:val="24"/>
        </w:rPr>
        <w:t>我公司自愿参加</w:t>
      </w:r>
      <w:r>
        <w:rPr>
          <w:rFonts w:hint="eastAsia" w:ascii="宋体" w:hAnsi="宋体" w:cs="宋体"/>
          <w:bCs/>
          <w:sz w:val="24"/>
          <w:u w:val="single"/>
        </w:rPr>
        <w:t>　　　　</w:t>
      </w:r>
      <w:r>
        <w:rPr>
          <w:rFonts w:hint="eastAsia" w:ascii="宋体" w:hAnsi="宋体" w:cs="宋体"/>
          <w:bCs/>
          <w:sz w:val="24"/>
        </w:rPr>
        <w:t>项目（项目编号</w:t>
      </w:r>
      <w:r>
        <w:rPr>
          <w:rFonts w:hint="eastAsia" w:ascii="宋体" w:hAnsi="宋体" w:cs="宋体"/>
          <w:sz w:val="24"/>
        </w:rPr>
        <w:t>）的投标。我公司郑重承诺，如果我公司的投标被评定为中标，我公司对于中标货物，除完全响应招标文件合同条款对伴随服务和售后服务的所有要求外，还将按照以下条款提供优质和完善的售后服务：</w:t>
      </w:r>
    </w:p>
    <w:p w14:paraId="7481C2B6">
      <w:pPr>
        <w:spacing w:line="360" w:lineRule="auto"/>
        <w:ind w:firstLine="480" w:firstLineChars="200"/>
        <w:rPr>
          <w:rFonts w:ascii="宋体" w:hAnsi="宋体" w:cs="宋体"/>
          <w:sz w:val="24"/>
        </w:rPr>
      </w:pPr>
      <w:r>
        <w:rPr>
          <w:rFonts w:hint="eastAsia" w:ascii="宋体" w:hAnsi="宋体" w:cs="宋体"/>
          <w:sz w:val="24"/>
        </w:rPr>
        <w:t>1.</w:t>
      </w:r>
    </w:p>
    <w:p w14:paraId="3117C424">
      <w:pPr>
        <w:pStyle w:val="27"/>
        <w:ind w:firstLine="480"/>
        <w:rPr>
          <w:rFonts w:ascii="宋体" w:hAnsi="宋体" w:cs="宋体"/>
          <w:sz w:val="24"/>
        </w:rPr>
      </w:pPr>
      <w:r>
        <w:rPr>
          <w:rFonts w:hint="eastAsia" w:ascii="宋体" w:hAnsi="宋体" w:cs="宋体"/>
          <w:sz w:val="24"/>
        </w:rPr>
        <w:t>2.</w:t>
      </w:r>
    </w:p>
    <w:p w14:paraId="77CC7503">
      <w:pPr>
        <w:pStyle w:val="27"/>
        <w:ind w:firstLine="480"/>
        <w:rPr>
          <w:rFonts w:ascii="宋体" w:hAnsi="宋体" w:cs="宋体"/>
          <w:sz w:val="24"/>
        </w:rPr>
      </w:pPr>
      <w:r>
        <w:rPr>
          <w:rFonts w:hint="eastAsia" w:ascii="宋体" w:hAnsi="宋体" w:cs="宋体"/>
          <w:sz w:val="24"/>
        </w:rPr>
        <w:t>...</w:t>
      </w:r>
    </w:p>
    <w:p w14:paraId="79B1EF6B">
      <w:pPr>
        <w:spacing w:line="360" w:lineRule="auto"/>
        <w:ind w:firstLine="480" w:firstLineChars="200"/>
        <w:rPr>
          <w:rFonts w:ascii="宋体" w:hAnsi="宋体" w:cs="宋体"/>
          <w:sz w:val="24"/>
        </w:rPr>
      </w:pPr>
    </w:p>
    <w:p w14:paraId="3A3ADB7A">
      <w:pPr>
        <w:spacing w:line="360" w:lineRule="auto"/>
        <w:ind w:firstLine="480" w:firstLineChars="200"/>
        <w:rPr>
          <w:rFonts w:ascii="宋体" w:hAnsi="宋体" w:cs="宋体"/>
          <w:sz w:val="24"/>
        </w:rPr>
      </w:pPr>
    </w:p>
    <w:p w14:paraId="7F0297AE">
      <w:pPr>
        <w:adjustRightInd w:val="0"/>
        <w:snapToGrid w:val="0"/>
        <w:spacing w:line="360" w:lineRule="auto"/>
        <w:ind w:firstLine="480" w:firstLineChars="200"/>
        <w:rPr>
          <w:rFonts w:ascii="宋体"/>
          <w:sz w:val="24"/>
          <w:u w:val="single"/>
        </w:rPr>
      </w:pPr>
      <w:r>
        <w:rPr>
          <w:rFonts w:hint="eastAsia" w:ascii="宋体"/>
          <w:sz w:val="24"/>
        </w:rPr>
        <w:t>投标人名称（盖章）：</w:t>
      </w:r>
    </w:p>
    <w:p w14:paraId="2181EF8A">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法定代表人（单位负责人）</w:t>
      </w:r>
    </w:p>
    <w:p w14:paraId="10CF4865">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或授权代表（签字）</w:t>
      </w:r>
      <w:r>
        <w:rPr>
          <w:rFonts w:hint="eastAsia" w:ascii="宋体"/>
          <w:sz w:val="24"/>
        </w:rPr>
        <w:t>：</w:t>
      </w:r>
    </w:p>
    <w:p w14:paraId="7B18F433">
      <w:pPr>
        <w:spacing w:line="360" w:lineRule="auto"/>
        <w:ind w:firstLine="480" w:firstLineChars="200"/>
        <w:outlineLvl w:val="0"/>
        <w:rPr>
          <w:rFonts w:ascii="宋体" w:hAnsi="宋体" w:cs="宋体"/>
          <w:sz w:val="24"/>
        </w:rPr>
      </w:pPr>
      <w:r>
        <w:rPr>
          <w:rFonts w:hint="eastAsia" w:ascii="宋体" w:hAnsi="宋体" w:cs="宋体"/>
          <w:sz w:val="24"/>
        </w:rPr>
        <w:t>年  月   日</w:t>
      </w:r>
    </w:p>
    <w:p w14:paraId="075D3A7F">
      <w:pPr>
        <w:pStyle w:val="14"/>
        <w:spacing w:line="360" w:lineRule="auto"/>
        <w:outlineLvl w:val="0"/>
        <w:rPr>
          <w:rFonts w:ascii="仿宋_GB2312" w:hAnsi="宋体" w:eastAsia="仿宋_GB2312"/>
          <w:szCs w:val="24"/>
        </w:rPr>
      </w:pPr>
    </w:p>
    <w:p w14:paraId="1E99D841">
      <w:pPr>
        <w:pStyle w:val="14"/>
        <w:spacing w:line="360" w:lineRule="auto"/>
        <w:outlineLvl w:val="0"/>
        <w:rPr>
          <w:rFonts w:ascii="仿宋_GB2312" w:hAnsi="宋体" w:eastAsia="仿宋_GB2312"/>
          <w:b/>
          <w:szCs w:val="28"/>
        </w:rPr>
      </w:pPr>
    </w:p>
    <w:p w14:paraId="0F09FF59">
      <w:pPr>
        <w:pStyle w:val="14"/>
        <w:spacing w:line="360" w:lineRule="auto"/>
        <w:outlineLvl w:val="0"/>
        <w:rPr>
          <w:rFonts w:ascii="仿宋_GB2312" w:hAnsi="宋体" w:eastAsia="仿宋_GB2312"/>
          <w:b/>
          <w:szCs w:val="28"/>
        </w:rPr>
      </w:pPr>
    </w:p>
    <w:p w14:paraId="0D95A29F">
      <w:pPr>
        <w:pStyle w:val="14"/>
        <w:spacing w:line="360" w:lineRule="auto"/>
        <w:outlineLvl w:val="0"/>
        <w:rPr>
          <w:rFonts w:ascii="仿宋_GB2312" w:hAnsi="宋体" w:eastAsia="仿宋_GB2312"/>
          <w:b/>
          <w:szCs w:val="28"/>
        </w:rPr>
      </w:pPr>
    </w:p>
    <w:p w14:paraId="408C6476">
      <w:pPr>
        <w:pStyle w:val="14"/>
        <w:spacing w:line="360" w:lineRule="auto"/>
        <w:outlineLvl w:val="0"/>
        <w:rPr>
          <w:rFonts w:ascii="仿宋_GB2312" w:hAnsi="宋体" w:eastAsia="仿宋_GB2312"/>
          <w:b/>
          <w:szCs w:val="28"/>
        </w:rPr>
      </w:pPr>
    </w:p>
    <w:p w14:paraId="009517F8">
      <w:pPr>
        <w:pStyle w:val="14"/>
        <w:spacing w:line="360" w:lineRule="auto"/>
        <w:outlineLvl w:val="0"/>
        <w:rPr>
          <w:rFonts w:ascii="仿宋_GB2312" w:hAnsi="宋体" w:eastAsia="仿宋_GB2312"/>
          <w:b/>
          <w:szCs w:val="28"/>
        </w:rPr>
        <w:sectPr>
          <w:pgSz w:w="11906" w:h="16838"/>
          <w:pgMar w:top="1361" w:right="1304" w:bottom="1247" w:left="1304" w:header="680" w:footer="680" w:gutter="0"/>
          <w:cols w:space="720" w:num="1"/>
          <w:docGrid w:linePitch="312" w:charSpace="0"/>
        </w:sectPr>
      </w:pPr>
    </w:p>
    <w:p w14:paraId="6B2DB811">
      <w:pPr>
        <w:pStyle w:val="14"/>
        <w:spacing w:line="360" w:lineRule="auto"/>
        <w:outlineLvl w:val="0"/>
        <w:rPr>
          <w:rFonts w:ascii="宋体" w:hAnsi="宋体" w:cs="宋体"/>
          <w:b/>
          <w:szCs w:val="28"/>
        </w:rPr>
      </w:pPr>
      <w:r>
        <w:rPr>
          <w:rFonts w:hint="eastAsia" w:ascii="宋体" w:hAnsi="宋体" w:cs="宋体"/>
          <w:b/>
          <w:szCs w:val="28"/>
        </w:rPr>
        <w:t>格式六：</w:t>
      </w:r>
    </w:p>
    <w:p w14:paraId="53FB4282">
      <w:pPr>
        <w:spacing w:line="360" w:lineRule="auto"/>
        <w:jc w:val="center"/>
        <w:outlineLvl w:val="0"/>
        <w:rPr>
          <w:rFonts w:ascii="仿宋_GB2312" w:hAnsi="宋体" w:eastAsia="仿宋_GB2312"/>
          <w:b/>
          <w:sz w:val="24"/>
          <w:szCs w:val="28"/>
        </w:rPr>
      </w:pPr>
      <w:r>
        <w:rPr>
          <w:rFonts w:hint="eastAsia" w:ascii="宋体" w:hAnsi="宋体" w:cs="宋体"/>
          <w:b/>
          <w:sz w:val="24"/>
          <w:szCs w:val="28"/>
        </w:rPr>
        <w:t>法定代表人（单位负责人）身份证明（格式）</w:t>
      </w:r>
    </w:p>
    <w:p w14:paraId="69336970">
      <w:pPr>
        <w:spacing w:line="360" w:lineRule="auto"/>
        <w:jc w:val="center"/>
        <w:outlineLvl w:val="0"/>
        <w:rPr>
          <w:rFonts w:ascii="仿宋_GB2312" w:hAnsi="宋体" w:eastAsia="仿宋_GB2312"/>
          <w:sz w:val="24"/>
        </w:rPr>
      </w:pPr>
    </w:p>
    <w:p w14:paraId="7460E352">
      <w:pPr>
        <w:spacing w:line="360" w:lineRule="auto"/>
        <w:outlineLvl w:val="0"/>
        <w:rPr>
          <w:rFonts w:ascii="宋体" w:hAnsi="宋体" w:cs="宋体"/>
          <w:sz w:val="24"/>
        </w:rPr>
      </w:pPr>
      <w:r>
        <w:rPr>
          <w:rFonts w:ascii="宋体" w:hAnsi="宋体" w:cs="宋体"/>
          <w:sz w:val="24"/>
        </w:rPr>
        <w:t xml:space="preserve">致：（采购人或采购代理机构） </w:t>
      </w:r>
    </w:p>
    <w:p w14:paraId="43FDC7BC">
      <w:pPr>
        <w:spacing w:line="360" w:lineRule="auto"/>
        <w:ind w:firstLine="480" w:firstLineChars="200"/>
        <w:outlineLvl w:val="0"/>
        <w:rPr>
          <w:rFonts w:ascii="宋体" w:hAnsi="宋体" w:cs="宋体"/>
          <w:sz w:val="24"/>
        </w:rPr>
      </w:pPr>
      <w:r>
        <w:rPr>
          <w:rFonts w:ascii="宋体" w:hAnsi="宋体" w:cs="宋体"/>
          <w:sz w:val="24"/>
        </w:rPr>
        <w:t>兹证明，姓名：____性别：____年龄：____职务：____系（投标人名称）的法定代表人（单位负责人）。</w:t>
      </w:r>
    </w:p>
    <w:p w14:paraId="79E45661">
      <w:pPr>
        <w:spacing w:line="360" w:lineRule="auto"/>
        <w:outlineLvl w:val="0"/>
        <w:rPr>
          <w:rFonts w:ascii="宋体" w:hAnsi="宋体" w:cs="宋体"/>
          <w:sz w:val="24"/>
        </w:rPr>
      </w:pPr>
      <w:r>
        <w:rPr>
          <w:rFonts w:ascii="宋体" w:hAnsi="宋体" w:cs="宋体"/>
          <w:sz w:val="24"/>
        </w:rPr>
        <w:t>附：法定代表人（单位负责人）身份证、护照等身份证明文件电子件：</w:t>
      </w:r>
    </w:p>
    <w:p w14:paraId="47D2B455">
      <w:pPr>
        <w:spacing w:line="360" w:lineRule="auto"/>
        <w:ind w:firstLine="480" w:firstLineChars="200"/>
        <w:outlineLvl w:val="0"/>
        <w:rPr>
          <w:rFonts w:ascii="宋体" w:hAnsi="宋体" w:cs="宋体"/>
          <w:sz w:val="24"/>
        </w:rPr>
      </w:pPr>
    </w:p>
    <w:p w14:paraId="795D0CB3">
      <w:pPr>
        <w:adjustRightInd w:val="0"/>
        <w:snapToGrid w:val="0"/>
        <w:spacing w:line="360" w:lineRule="auto"/>
        <w:ind w:firstLine="480" w:firstLineChars="200"/>
        <w:rPr>
          <w:rFonts w:ascii="宋体"/>
          <w:sz w:val="24"/>
          <w:u w:val="single"/>
        </w:rPr>
      </w:pPr>
      <w:r>
        <w:rPr>
          <w:rFonts w:hint="eastAsia" w:ascii="宋体"/>
          <w:sz w:val="24"/>
        </w:rPr>
        <w:t>投标人名称（盖章）：</w:t>
      </w:r>
    </w:p>
    <w:p w14:paraId="01BD177B">
      <w:pPr>
        <w:adjustRightInd w:val="0"/>
        <w:snapToGrid w:val="0"/>
        <w:spacing w:line="360" w:lineRule="auto"/>
        <w:ind w:firstLine="480" w:firstLineChars="200"/>
        <w:rPr>
          <w:rFonts w:ascii="宋体" w:hAnsi="宋体"/>
          <w:snapToGrid w:val="0"/>
          <w:kern w:val="0"/>
          <w:sz w:val="24"/>
        </w:rPr>
      </w:pPr>
      <w:r>
        <w:rPr>
          <w:rFonts w:hint="eastAsia" w:ascii="宋体" w:hAnsi="宋体"/>
          <w:snapToGrid w:val="0"/>
          <w:kern w:val="0"/>
          <w:sz w:val="24"/>
        </w:rPr>
        <w:t>法定代表人（单位负责人）（签字或盖章）</w:t>
      </w:r>
      <w:r>
        <w:rPr>
          <w:rFonts w:hint="eastAsia" w:ascii="宋体"/>
          <w:sz w:val="24"/>
        </w:rPr>
        <w:t>：</w:t>
      </w:r>
    </w:p>
    <w:p w14:paraId="4E3A8540">
      <w:pPr>
        <w:spacing w:line="360" w:lineRule="auto"/>
        <w:ind w:firstLine="480" w:firstLineChars="200"/>
        <w:outlineLvl w:val="0"/>
        <w:rPr>
          <w:rFonts w:ascii="宋体" w:hAnsi="宋体" w:cs="宋体"/>
          <w:sz w:val="24"/>
        </w:rPr>
      </w:pPr>
      <w:r>
        <w:rPr>
          <w:rFonts w:ascii="宋体" w:hAnsi="宋体" w:cs="宋体"/>
          <w:sz w:val="24"/>
        </w:rPr>
        <w:t>日期：_____年______月______日</w:t>
      </w:r>
    </w:p>
    <w:p w14:paraId="3616D19A">
      <w:pPr>
        <w:pStyle w:val="14"/>
        <w:spacing w:line="360" w:lineRule="auto"/>
        <w:outlineLvl w:val="0"/>
        <w:rPr>
          <w:rFonts w:ascii="宋体" w:hAnsi="宋体" w:cs="宋体"/>
          <w:szCs w:val="24"/>
        </w:rPr>
      </w:pPr>
    </w:p>
    <w:p w14:paraId="2473DA43">
      <w:pPr>
        <w:pStyle w:val="14"/>
        <w:spacing w:line="360" w:lineRule="auto"/>
        <w:outlineLvl w:val="0"/>
        <w:rPr>
          <w:rFonts w:ascii="宋体" w:hAnsi="宋体" w:cs="宋体"/>
          <w:szCs w:val="24"/>
        </w:rPr>
      </w:pPr>
    </w:p>
    <w:p w14:paraId="0B89039A">
      <w:pPr>
        <w:pStyle w:val="14"/>
        <w:spacing w:line="360" w:lineRule="auto"/>
        <w:outlineLvl w:val="0"/>
        <w:rPr>
          <w:rFonts w:ascii="仿宋_GB2312" w:hAnsi="宋体" w:eastAsia="仿宋_GB2312"/>
          <w:b/>
          <w:szCs w:val="28"/>
        </w:rPr>
      </w:pPr>
    </w:p>
    <w:p w14:paraId="760A6481">
      <w:pPr>
        <w:pStyle w:val="14"/>
        <w:spacing w:line="360" w:lineRule="auto"/>
        <w:outlineLvl w:val="0"/>
        <w:rPr>
          <w:rFonts w:ascii="仿宋_GB2312" w:hAnsi="宋体" w:eastAsia="仿宋_GB2312"/>
          <w:b/>
          <w:szCs w:val="28"/>
        </w:rPr>
        <w:sectPr>
          <w:pgSz w:w="11906" w:h="16838"/>
          <w:pgMar w:top="1361" w:right="1304" w:bottom="1247" w:left="1304" w:header="680" w:footer="680" w:gutter="0"/>
          <w:cols w:space="720" w:num="1"/>
          <w:docGrid w:linePitch="312" w:charSpace="0"/>
        </w:sectPr>
      </w:pPr>
    </w:p>
    <w:p w14:paraId="37F2581B">
      <w:pPr>
        <w:pStyle w:val="14"/>
        <w:spacing w:line="360" w:lineRule="auto"/>
        <w:outlineLvl w:val="0"/>
        <w:rPr>
          <w:rFonts w:ascii="宋体" w:hAnsi="宋体" w:cs="宋体"/>
          <w:b/>
          <w:szCs w:val="28"/>
        </w:rPr>
      </w:pPr>
      <w:r>
        <w:rPr>
          <w:rFonts w:hint="eastAsia" w:ascii="宋体" w:hAnsi="宋体" w:cs="宋体"/>
          <w:b/>
          <w:szCs w:val="28"/>
        </w:rPr>
        <w:t>格式七：</w:t>
      </w:r>
    </w:p>
    <w:p w14:paraId="672AE836">
      <w:pPr>
        <w:snapToGrid w:val="0"/>
        <w:spacing w:line="360" w:lineRule="auto"/>
        <w:jc w:val="center"/>
        <w:textAlignment w:val="bottom"/>
        <w:rPr>
          <w:rFonts w:ascii="宋体" w:hAnsi="宋体" w:cs="宋体"/>
          <w:b/>
          <w:sz w:val="24"/>
          <w:szCs w:val="28"/>
        </w:rPr>
      </w:pPr>
      <w:r>
        <w:rPr>
          <w:rFonts w:hint="eastAsia" w:ascii="宋体" w:hAnsi="宋体" w:cs="宋体"/>
          <w:b/>
          <w:sz w:val="24"/>
          <w:szCs w:val="28"/>
        </w:rPr>
        <w:t>授权委托书（格式）</w:t>
      </w:r>
    </w:p>
    <w:p w14:paraId="741B48BD">
      <w:pPr>
        <w:snapToGrid w:val="0"/>
        <w:spacing w:line="360" w:lineRule="auto"/>
        <w:jc w:val="center"/>
        <w:textAlignment w:val="bottom"/>
        <w:rPr>
          <w:rFonts w:ascii="仿宋_GB2312" w:hAnsi="宋体" w:eastAsia="仿宋_GB2312"/>
          <w:b/>
          <w:bCs/>
          <w:sz w:val="24"/>
          <w:szCs w:val="28"/>
        </w:rPr>
      </w:pPr>
    </w:p>
    <w:p w14:paraId="55C274CB">
      <w:pPr>
        <w:snapToGrid w:val="0"/>
        <w:spacing w:line="360" w:lineRule="auto"/>
        <w:ind w:firstLine="480" w:firstLineChars="200"/>
        <w:textAlignment w:val="bottom"/>
        <w:rPr>
          <w:rFonts w:ascii="宋体" w:hAnsi="宋体" w:cs="宋体"/>
          <w:sz w:val="24"/>
        </w:rPr>
      </w:pPr>
      <w:r>
        <w:rPr>
          <w:rFonts w:ascii="宋体" w:hAnsi="宋体" w:cs="宋体"/>
          <w:sz w:val="24"/>
        </w:rPr>
        <w:t>本人_______（姓名）系________________（投标人名称）的法定代表人（单位负责人），现委托_______（姓名）为我方代理人。代理人根据授权，以我方名义签署、澄清确认、</w:t>
      </w:r>
      <w:r>
        <w:rPr>
          <w:rFonts w:hint="eastAsia" w:ascii="宋体" w:hAnsi="宋体" w:cs="宋体"/>
          <w:sz w:val="24"/>
        </w:rPr>
        <w:t>提</w:t>
      </w:r>
      <w:r>
        <w:rPr>
          <w:rFonts w:ascii="宋体" w:hAnsi="宋体" w:cs="宋体"/>
          <w:sz w:val="24"/>
        </w:rPr>
        <w:t xml:space="preserve">交、撤回、修改________________（项目名称）投标文件和处理有关事宜，其法律后果由我方承担。 </w:t>
      </w:r>
    </w:p>
    <w:p w14:paraId="20076C96">
      <w:pPr>
        <w:snapToGrid w:val="0"/>
        <w:spacing w:line="360" w:lineRule="auto"/>
        <w:ind w:firstLine="480" w:firstLineChars="200"/>
        <w:textAlignment w:val="bottom"/>
        <w:rPr>
          <w:rFonts w:ascii="宋体" w:hAnsi="宋体" w:cs="宋体"/>
          <w:sz w:val="24"/>
        </w:rPr>
      </w:pPr>
      <w:r>
        <w:rPr>
          <w:rFonts w:ascii="宋体" w:hAnsi="宋体" w:cs="宋体"/>
          <w:sz w:val="24"/>
        </w:rPr>
        <w:t xml:space="preserve">委托期限：自本授权委托书签署之日起至投标有效期届满之日止。 </w:t>
      </w:r>
    </w:p>
    <w:p w14:paraId="57DD6BFD">
      <w:pPr>
        <w:snapToGrid w:val="0"/>
        <w:spacing w:line="360" w:lineRule="auto"/>
        <w:ind w:firstLine="480" w:firstLineChars="200"/>
        <w:textAlignment w:val="bottom"/>
        <w:rPr>
          <w:rFonts w:ascii="宋体" w:hAnsi="宋体" w:cs="宋体"/>
          <w:sz w:val="24"/>
        </w:rPr>
      </w:pPr>
      <w:r>
        <w:rPr>
          <w:rFonts w:ascii="宋体" w:hAnsi="宋体" w:cs="宋体"/>
          <w:sz w:val="24"/>
        </w:rPr>
        <w:t>代理人无转委托权。</w:t>
      </w:r>
    </w:p>
    <w:p w14:paraId="6484BD46">
      <w:pPr>
        <w:snapToGrid w:val="0"/>
        <w:spacing w:line="360" w:lineRule="auto"/>
        <w:ind w:firstLine="975"/>
        <w:textAlignment w:val="bottom"/>
        <w:rPr>
          <w:rFonts w:ascii="宋体" w:hAnsi="宋体" w:cs="宋体"/>
          <w:sz w:val="24"/>
        </w:rPr>
      </w:pPr>
    </w:p>
    <w:p w14:paraId="535E03A4">
      <w:pPr>
        <w:snapToGrid w:val="0"/>
        <w:spacing w:line="360" w:lineRule="auto"/>
        <w:textAlignment w:val="bottom"/>
        <w:rPr>
          <w:rFonts w:ascii="宋体" w:hAnsi="宋体" w:cs="宋体"/>
          <w:sz w:val="24"/>
        </w:rPr>
      </w:pPr>
      <w:r>
        <w:rPr>
          <w:rFonts w:ascii="宋体" w:hAnsi="宋体" w:cs="宋体"/>
          <w:sz w:val="24"/>
        </w:rPr>
        <w:t xml:space="preserve">投标人名称（加盖公章）：________________ </w:t>
      </w:r>
    </w:p>
    <w:p w14:paraId="58BE82EB">
      <w:pPr>
        <w:snapToGrid w:val="0"/>
        <w:spacing w:line="360" w:lineRule="auto"/>
        <w:textAlignment w:val="bottom"/>
        <w:rPr>
          <w:rFonts w:ascii="宋体" w:hAnsi="宋体" w:cs="宋体"/>
          <w:sz w:val="24"/>
        </w:rPr>
      </w:pPr>
      <w:r>
        <w:rPr>
          <w:rFonts w:ascii="宋体" w:hAnsi="宋体" w:cs="宋体"/>
          <w:sz w:val="24"/>
        </w:rPr>
        <w:t xml:space="preserve">法定代表人（单位负责人）（签字或签章）：________________ </w:t>
      </w:r>
    </w:p>
    <w:p w14:paraId="1FB15122">
      <w:pPr>
        <w:snapToGrid w:val="0"/>
        <w:spacing w:line="360" w:lineRule="auto"/>
        <w:textAlignment w:val="bottom"/>
        <w:rPr>
          <w:rFonts w:ascii="宋体" w:hAnsi="宋体" w:cs="宋体"/>
          <w:sz w:val="24"/>
        </w:rPr>
      </w:pPr>
      <w:r>
        <w:rPr>
          <w:rFonts w:ascii="宋体" w:hAnsi="宋体" w:cs="宋体"/>
          <w:sz w:val="24"/>
        </w:rPr>
        <w:t xml:space="preserve">委托代理人（签字或签章）：________________ </w:t>
      </w:r>
    </w:p>
    <w:p w14:paraId="70823E12">
      <w:pPr>
        <w:snapToGrid w:val="0"/>
        <w:spacing w:line="360" w:lineRule="auto"/>
        <w:textAlignment w:val="bottom"/>
        <w:rPr>
          <w:rFonts w:ascii="宋体" w:hAnsi="宋体" w:cs="宋体"/>
          <w:sz w:val="24"/>
          <w:u w:val="single"/>
        </w:rPr>
      </w:pPr>
      <w:r>
        <w:rPr>
          <w:rFonts w:ascii="宋体" w:hAnsi="宋体" w:cs="宋体"/>
          <w:sz w:val="24"/>
        </w:rPr>
        <w:t>日期：_____年______月______日</w:t>
      </w:r>
    </w:p>
    <w:p w14:paraId="4F9425A2">
      <w:pPr>
        <w:snapToGrid w:val="0"/>
        <w:spacing w:line="360" w:lineRule="auto"/>
        <w:textAlignment w:val="bottom"/>
        <w:rPr>
          <w:rFonts w:ascii="宋体" w:hAnsi="宋体" w:cs="宋体"/>
          <w:bCs/>
          <w:sz w:val="24"/>
        </w:rPr>
      </w:pPr>
      <w:r>
        <w:rPr>
          <w:rFonts w:ascii="宋体" w:hAnsi="宋体" w:cs="宋体"/>
          <w:sz w:val="24"/>
        </w:rPr>
        <w:t>附：法定代表人及委托代理人身份证明文件电子件：</w:t>
      </w:r>
    </w:p>
    <w:p w14:paraId="0174A3AD">
      <w:pPr>
        <w:snapToGrid w:val="0"/>
        <w:spacing w:line="360" w:lineRule="auto"/>
        <w:textAlignment w:val="bottom"/>
        <w:rPr>
          <w:rFonts w:ascii="宋体" w:hAnsi="宋体" w:cs="宋体"/>
          <w:bCs/>
          <w:sz w:val="24"/>
        </w:rPr>
      </w:pPr>
    </w:p>
    <w:p w14:paraId="72B7E5EF">
      <w:pPr>
        <w:snapToGrid w:val="0"/>
        <w:spacing w:line="360" w:lineRule="auto"/>
        <w:textAlignment w:val="bottom"/>
        <w:rPr>
          <w:rFonts w:ascii="宋体" w:hAnsi="宋体" w:cs="宋体"/>
          <w:bCs/>
          <w:sz w:val="24"/>
        </w:rPr>
      </w:pPr>
    </w:p>
    <w:p w14:paraId="13FCE39C">
      <w:pPr>
        <w:pStyle w:val="14"/>
        <w:spacing w:line="360" w:lineRule="auto"/>
        <w:outlineLvl w:val="0"/>
        <w:rPr>
          <w:rFonts w:ascii="宋体" w:hAnsi="宋体" w:cs="宋体"/>
          <w:szCs w:val="24"/>
        </w:rPr>
      </w:pPr>
      <w:r>
        <w:rPr>
          <w:rFonts w:ascii="宋体" w:hAnsi="宋体" w:cs="宋体"/>
          <w:szCs w:val="24"/>
        </w:rPr>
        <w:t xml:space="preserve">说明： </w:t>
      </w:r>
    </w:p>
    <w:p w14:paraId="67B49855">
      <w:pPr>
        <w:pStyle w:val="14"/>
        <w:numPr>
          <w:ilvl w:val="0"/>
          <w:numId w:val="25"/>
        </w:numPr>
        <w:spacing w:line="360" w:lineRule="auto"/>
        <w:outlineLvl w:val="0"/>
        <w:rPr>
          <w:rFonts w:ascii="宋体" w:hAnsi="宋体" w:cs="宋体"/>
          <w:szCs w:val="24"/>
        </w:rPr>
      </w:pPr>
      <w:r>
        <w:rPr>
          <w:rFonts w:ascii="宋体" w:hAnsi="宋体" w:cs="宋体"/>
          <w:szCs w:val="24"/>
        </w:rPr>
        <w:t>若</w:t>
      </w:r>
      <w:r>
        <w:rPr>
          <w:rFonts w:hint="eastAsia" w:ascii="宋体" w:hAnsi="宋体" w:cs="宋体"/>
          <w:szCs w:val="24"/>
          <w:lang w:eastAsia="zh-CN"/>
        </w:rPr>
        <w:t>投标人</w:t>
      </w:r>
      <w:r>
        <w:rPr>
          <w:rFonts w:ascii="宋体" w:hAnsi="宋体" w:cs="宋体"/>
          <w:szCs w:val="24"/>
        </w:rPr>
        <w:t xml:space="preserve">为事业单位或其他组织或分支机构，则法定代表人（单位负责人）处的签署人可为单位负责人。 </w:t>
      </w:r>
    </w:p>
    <w:p w14:paraId="1644EBB8">
      <w:pPr>
        <w:pStyle w:val="14"/>
        <w:numPr>
          <w:ilvl w:val="0"/>
          <w:numId w:val="25"/>
        </w:numPr>
        <w:spacing w:line="360" w:lineRule="auto"/>
        <w:outlineLvl w:val="0"/>
        <w:rPr>
          <w:rFonts w:ascii="宋体" w:hAnsi="宋体" w:cs="宋体"/>
          <w:szCs w:val="24"/>
        </w:rPr>
      </w:pPr>
      <w:r>
        <w:rPr>
          <w:rFonts w:ascii="宋体" w:hAnsi="宋体" w:cs="宋体"/>
          <w:szCs w:val="24"/>
        </w:rPr>
        <w:t>若投标文件中签字之处均为法定代表人（单位负责人）本人签署，则可不</w:t>
      </w:r>
      <w:r>
        <w:rPr>
          <w:rFonts w:hint="eastAsia" w:ascii="宋体" w:hAnsi="宋体" w:cs="宋体"/>
          <w:szCs w:val="24"/>
        </w:rPr>
        <w:t>提</w:t>
      </w:r>
      <w:r>
        <w:rPr>
          <w:rFonts w:ascii="宋体" w:hAnsi="宋体" w:cs="宋体"/>
          <w:szCs w:val="24"/>
        </w:rPr>
        <w:t>供本《授权委托书》，但须</w:t>
      </w:r>
      <w:r>
        <w:rPr>
          <w:rFonts w:hint="eastAsia" w:ascii="宋体" w:hAnsi="宋体" w:cs="宋体"/>
          <w:szCs w:val="24"/>
        </w:rPr>
        <w:t>提</w:t>
      </w:r>
      <w:r>
        <w:rPr>
          <w:rFonts w:ascii="宋体" w:hAnsi="宋体" w:cs="宋体"/>
          <w:szCs w:val="24"/>
        </w:rPr>
        <w:t>供《法定代表人（单位负责人）身份证明》；否则，不需要</w:t>
      </w:r>
      <w:r>
        <w:rPr>
          <w:rFonts w:hint="eastAsia" w:ascii="宋体" w:hAnsi="宋体" w:cs="宋体"/>
          <w:szCs w:val="24"/>
        </w:rPr>
        <w:t>提</w:t>
      </w:r>
      <w:r>
        <w:rPr>
          <w:rFonts w:ascii="宋体" w:hAnsi="宋体" w:cs="宋体"/>
          <w:szCs w:val="24"/>
        </w:rPr>
        <w:t xml:space="preserve">供《法 定代表人（单位负责人）身份证明》。 </w:t>
      </w:r>
    </w:p>
    <w:p w14:paraId="6D13A877">
      <w:pPr>
        <w:pStyle w:val="14"/>
        <w:numPr>
          <w:ilvl w:val="0"/>
          <w:numId w:val="25"/>
        </w:numPr>
        <w:spacing w:line="360" w:lineRule="auto"/>
        <w:outlineLvl w:val="0"/>
        <w:rPr>
          <w:rFonts w:ascii="宋体" w:hAnsi="宋体" w:cs="宋体"/>
          <w:szCs w:val="24"/>
        </w:rPr>
      </w:pPr>
      <w:r>
        <w:rPr>
          <w:rFonts w:hint="eastAsia" w:ascii="宋体" w:hAnsi="宋体" w:cs="宋体"/>
          <w:szCs w:val="24"/>
          <w:lang w:eastAsia="zh-CN"/>
        </w:rPr>
        <w:t>投标人</w:t>
      </w:r>
      <w:r>
        <w:rPr>
          <w:rFonts w:ascii="宋体" w:hAnsi="宋体" w:cs="宋体"/>
          <w:szCs w:val="24"/>
        </w:rPr>
        <w:t>为自然人的情形，可不</w:t>
      </w:r>
      <w:r>
        <w:rPr>
          <w:rFonts w:hint="eastAsia" w:ascii="宋体" w:hAnsi="宋体" w:cs="宋体"/>
          <w:szCs w:val="24"/>
        </w:rPr>
        <w:t>提</w:t>
      </w:r>
      <w:r>
        <w:rPr>
          <w:rFonts w:ascii="宋体" w:hAnsi="宋体" w:cs="宋体"/>
          <w:szCs w:val="24"/>
        </w:rPr>
        <w:t xml:space="preserve">供本《授权委托书》。 </w:t>
      </w:r>
    </w:p>
    <w:p w14:paraId="2632C708">
      <w:pPr>
        <w:pStyle w:val="14"/>
        <w:spacing w:line="360" w:lineRule="auto"/>
        <w:outlineLvl w:val="0"/>
        <w:rPr>
          <w:rFonts w:ascii="宋体" w:hAnsi="宋体" w:cs="宋体"/>
          <w:szCs w:val="24"/>
        </w:rPr>
      </w:pPr>
      <w:r>
        <w:rPr>
          <w:rFonts w:ascii="宋体" w:hAnsi="宋体" w:cs="宋体"/>
          <w:szCs w:val="24"/>
        </w:rPr>
        <w:t>4.</w:t>
      </w:r>
      <w:r>
        <w:rPr>
          <w:rFonts w:hint="eastAsia" w:ascii="宋体" w:hAnsi="宋体" w:cs="宋体"/>
          <w:szCs w:val="24"/>
          <w:lang w:eastAsia="zh-CN"/>
        </w:rPr>
        <w:t>投标人</w:t>
      </w:r>
      <w:r>
        <w:rPr>
          <w:rFonts w:ascii="宋体" w:hAnsi="宋体" w:cs="宋体"/>
          <w:szCs w:val="24"/>
        </w:rPr>
        <w:t>应随本《授权委托书》同时</w:t>
      </w:r>
      <w:r>
        <w:rPr>
          <w:rFonts w:hint="eastAsia" w:ascii="宋体" w:hAnsi="宋体" w:cs="宋体"/>
          <w:szCs w:val="24"/>
        </w:rPr>
        <w:t>提</w:t>
      </w:r>
      <w:r>
        <w:rPr>
          <w:rFonts w:ascii="宋体" w:hAnsi="宋体" w:cs="宋体"/>
          <w:szCs w:val="24"/>
        </w:rPr>
        <w:t>供法定代表人（单位负责人）及委托代理人的有效的身份证、护照等身份证明文件电子件。</w:t>
      </w:r>
      <w:r>
        <w:rPr>
          <w:rFonts w:hint="eastAsia" w:ascii="宋体" w:hAnsi="宋体" w:cs="宋体"/>
          <w:szCs w:val="24"/>
        </w:rPr>
        <w:t>提</w:t>
      </w:r>
      <w:r>
        <w:rPr>
          <w:rFonts w:ascii="宋体" w:hAnsi="宋体" w:cs="宋体"/>
          <w:szCs w:val="24"/>
        </w:rPr>
        <w:t>供身份证的，应同时</w:t>
      </w:r>
      <w:r>
        <w:rPr>
          <w:rFonts w:hint="eastAsia" w:ascii="宋体" w:hAnsi="宋体" w:cs="宋体"/>
          <w:szCs w:val="24"/>
        </w:rPr>
        <w:t>提</w:t>
      </w:r>
      <w:r>
        <w:rPr>
          <w:rFonts w:ascii="宋体" w:hAnsi="宋体" w:cs="宋体"/>
          <w:szCs w:val="24"/>
        </w:rPr>
        <w:t>供身份证双面电子件</w:t>
      </w:r>
      <w:r>
        <w:rPr>
          <w:rFonts w:hint="eastAsia" w:ascii="宋体" w:hAnsi="宋体" w:cs="宋体"/>
          <w:szCs w:val="24"/>
        </w:rPr>
        <w:t>。</w:t>
      </w:r>
    </w:p>
    <w:p w14:paraId="050A43AB">
      <w:pPr>
        <w:snapToGrid w:val="0"/>
        <w:spacing w:line="360" w:lineRule="auto"/>
        <w:textAlignment w:val="bottom"/>
        <w:rPr>
          <w:rFonts w:ascii="宋体" w:hAnsi="宋体" w:cs="宋体"/>
          <w:b/>
          <w:bCs/>
          <w:sz w:val="24"/>
          <w:szCs w:val="28"/>
        </w:rPr>
      </w:pPr>
    </w:p>
    <w:p w14:paraId="04E5AFAA">
      <w:pPr>
        <w:pStyle w:val="13"/>
        <w:spacing w:line="500" w:lineRule="exact"/>
        <w:jc w:val="left"/>
        <w:rPr>
          <w:rFonts w:hint="default" w:hAnsi="宋体" w:cs="宋体"/>
          <w:b/>
          <w:sz w:val="24"/>
          <w:szCs w:val="28"/>
        </w:rPr>
        <w:sectPr>
          <w:pgSz w:w="11906" w:h="16838"/>
          <w:pgMar w:top="1361" w:right="1304" w:bottom="1247" w:left="1304" w:header="680" w:footer="680" w:gutter="0"/>
          <w:cols w:space="720" w:num="1"/>
          <w:docGrid w:linePitch="312" w:charSpace="0"/>
        </w:sectPr>
      </w:pPr>
    </w:p>
    <w:p w14:paraId="2E859A24">
      <w:pPr>
        <w:pStyle w:val="13"/>
        <w:spacing w:line="360" w:lineRule="auto"/>
        <w:jc w:val="left"/>
        <w:rPr>
          <w:rFonts w:hint="default" w:hAnsi="宋体" w:cs="宋体"/>
          <w:b/>
          <w:sz w:val="24"/>
          <w:szCs w:val="28"/>
        </w:rPr>
      </w:pPr>
      <w:r>
        <w:rPr>
          <w:rFonts w:hAnsi="宋体" w:cs="宋体"/>
          <w:b/>
          <w:sz w:val="24"/>
          <w:szCs w:val="28"/>
        </w:rPr>
        <w:t>格式八：</w:t>
      </w:r>
    </w:p>
    <w:p w14:paraId="56773410">
      <w:pPr>
        <w:pStyle w:val="13"/>
        <w:spacing w:line="360" w:lineRule="auto"/>
        <w:jc w:val="center"/>
        <w:rPr>
          <w:rFonts w:hint="default" w:hAnsi="宋体" w:cs="宋体"/>
          <w:b/>
          <w:sz w:val="24"/>
          <w:szCs w:val="28"/>
        </w:rPr>
      </w:pPr>
      <w:r>
        <w:rPr>
          <w:rFonts w:hAnsi="宋体" w:cs="宋体"/>
          <w:b/>
          <w:sz w:val="24"/>
          <w:szCs w:val="28"/>
        </w:rPr>
        <w:t>中标服务费承诺书（格式）</w:t>
      </w:r>
    </w:p>
    <w:p w14:paraId="3615339D">
      <w:pPr>
        <w:tabs>
          <w:tab w:val="left" w:pos="-360"/>
        </w:tabs>
        <w:autoSpaceDE w:val="0"/>
        <w:autoSpaceDN w:val="0"/>
        <w:spacing w:line="400" w:lineRule="exact"/>
        <w:ind w:left="5912" w:leftChars="2475" w:hanging="714" w:hangingChars="340"/>
        <w:textAlignment w:val="bottom"/>
        <w:rPr>
          <w:rFonts w:ascii="Arial" w:hAnsi="Arial" w:cs="Arial"/>
          <w:szCs w:val="21"/>
        </w:rPr>
      </w:pPr>
    </w:p>
    <w:p w14:paraId="6669D3CB">
      <w:pPr>
        <w:pStyle w:val="14"/>
        <w:spacing w:line="360" w:lineRule="auto"/>
        <w:outlineLvl w:val="0"/>
        <w:rPr>
          <w:rFonts w:ascii="宋体" w:hAnsi="宋体" w:cs="宋体"/>
          <w:szCs w:val="24"/>
        </w:rPr>
      </w:pPr>
      <w:r>
        <w:rPr>
          <w:rFonts w:hint="eastAsia" w:ascii="宋体" w:hAnsi="宋体" w:cs="宋体"/>
          <w:szCs w:val="24"/>
        </w:rPr>
        <w:t>致：中金招标有限责任公司</w:t>
      </w:r>
    </w:p>
    <w:p w14:paraId="04EEF0B6">
      <w:pPr>
        <w:pStyle w:val="14"/>
        <w:spacing w:line="360" w:lineRule="auto"/>
        <w:outlineLvl w:val="0"/>
        <w:rPr>
          <w:rFonts w:ascii="宋体" w:hAnsi="宋体" w:cs="宋体"/>
          <w:szCs w:val="24"/>
        </w:rPr>
      </w:pPr>
    </w:p>
    <w:p w14:paraId="5D95210D">
      <w:pPr>
        <w:pStyle w:val="14"/>
        <w:spacing w:line="360" w:lineRule="auto"/>
        <w:ind w:firstLine="480" w:firstLineChars="200"/>
        <w:outlineLvl w:val="0"/>
        <w:rPr>
          <w:rFonts w:ascii="宋体" w:hAnsi="宋体" w:cs="宋体"/>
          <w:szCs w:val="24"/>
        </w:rPr>
      </w:pPr>
      <w:r>
        <w:rPr>
          <w:rFonts w:hint="eastAsia" w:ascii="宋体" w:hAnsi="宋体" w:cs="宋体"/>
          <w:szCs w:val="24"/>
        </w:rPr>
        <w:t>我们在贵公司代理的项目采购中若获成交（项目编号：</w:t>
      </w:r>
      <w:r>
        <w:rPr>
          <w:rFonts w:hint="eastAsia" w:ascii="宋体" w:hAnsi="宋体" w:cs="宋体"/>
          <w:szCs w:val="24"/>
          <w:u w:val="single"/>
        </w:rPr>
        <w:t xml:space="preserve">    </w:t>
      </w:r>
      <w:r>
        <w:rPr>
          <w:rFonts w:hint="eastAsia" w:ascii="宋体" w:hAnsi="宋体" w:cs="宋体"/>
          <w:szCs w:val="24"/>
        </w:rPr>
        <w:t>），我们保证在收到中标通知后2个工作日内按招标文件的规定，向贵公司即中金招标有限责任公司按照取费规定一次性支付中标服务费。</w:t>
      </w:r>
    </w:p>
    <w:p w14:paraId="3D21CCA2">
      <w:pPr>
        <w:pStyle w:val="14"/>
        <w:spacing w:line="360" w:lineRule="auto"/>
        <w:ind w:firstLine="480" w:firstLineChars="200"/>
        <w:outlineLvl w:val="0"/>
        <w:rPr>
          <w:rFonts w:ascii="宋体" w:cs="宋体"/>
          <w:szCs w:val="24"/>
        </w:rPr>
      </w:pPr>
      <w:r>
        <w:rPr>
          <w:rFonts w:hint="eastAsia" w:ascii="宋体" w:cs="宋体"/>
          <w:szCs w:val="24"/>
        </w:rPr>
        <w:t>特此承诺。</w:t>
      </w:r>
    </w:p>
    <w:p w14:paraId="54B445AE">
      <w:pPr>
        <w:pStyle w:val="14"/>
        <w:spacing w:line="360" w:lineRule="auto"/>
        <w:outlineLvl w:val="0"/>
        <w:rPr>
          <w:rFonts w:ascii="宋体" w:hAnsi="宋体" w:cs="宋体"/>
          <w:szCs w:val="24"/>
        </w:rPr>
      </w:pPr>
    </w:p>
    <w:p w14:paraId="22E21475">
      <w:pPr>
        <w:pStyle w:val="14"/>
        <w:spacing w:line="360" w:lineRule="auto"/>
        <w:outlineLvl w:val="0"/>
        <w:rPr>
          <w:rFonts w:ascii="宋体" w:hAnsi="宋体" w:cs="宋体"/>
          <w:szCs w:val="24"/>
        </w:rPr>
      </w:pPr>
      <w:r>
        <w:rPr>
          <w:rFonts w:hint="eastAsia" w:ascii="宋体" w:hAnsi="宋体" w:cs="宋体"/>
          <w:szCs w:val="24"/>
        </w:rPr>
        <w:t>承诺方法定名称：</w:t>
      </w:r>
    </w:p>
    <w:p w14:paraId="563783BA">
      <w:pPr>
        <w:pStyle w:val="14"/>
        <w:spacing w:line="360" w:lineRule="auto"/>
        <w:outlineLvl w:val="0"/>
        <w:rPr>
          <w:rFonts w:ascii="宋体" w:hAnsi="宋体" w:cs="宋体"/>
          <w:szCs w:val="24"/>
        </w:rPr>
      </w:pPr>
      <w:r>
        <w:rPr>
          <w:rFonts w:hint="eastAsia" w:ascii="宋体" w:hAnsi="宋体" w:cs="宋体"/>
          <w:szCs w:val="24"/>
        </w:rPr>
        <w:t>地址：</w:t>
      </w:r>
    </w:p>
    <w:p w14:paraId="2AC54B64">
      <w:pPr>
        <w:pStyle w:val="14"/>
        <w:spacing w:line="360" w:lineRule="auto"/>
        <w:outlineLvl w:val="0"/>
        <w:rPr>
          <w:rFonts w:ascii="宋体" w:hAnsi="宋体" w:cs="宋体"/>
          <w:szCs w:val="24"/>
        </w:rPr>
      </w:pPr>
      <w:r>
        <w:rPr>
          <w:rFonts w:hint="eastAsia" w:ascii="宋体" w:hAnsi="宋体" w:cs="宋体"/>
          <w:szCs w:val="24"/>
        </w:rPr>
        <w:t>电话：传真：</w:t>
      </w:r>
    </w:p>
    <w:p w14:paraId="6DEA067B">
      <w:pPr>
        <w:pStyle w:val="14"/>
        <w:spacing w:line="360" w:lineRule="auto"/>
        <w:outlineLvl w:val="0"/>
        <w:rPr>
          <w:rFonts w:ascii="宋体" w:hAnsi="宋体" w:cs="宋体"/>
          <w:szCs w:val="24"/>
        </w:rPr>
      </w:pPr>
      <w:r>
        <w:rPr>
          <w:rFonts w:hint="eastAsia" w:ascii="宋体" w:hAnsi="宋体" w:cs="宋体"/>
          <w:szCs w:val="24"/>
        </w:rPr>
        <w:t>电传：邮编：</w:t>
      </w:r>
    </w:p>
    <w:p w14:paraId="46077DA4">
      <w:pPr>
        <w:pStyle w:val="14"/>
        <w:spacing w:line="360" w:lineRule="auto"/>
        <w:outlineLvl w:val="0"/>
        <w:rPr>
          <w:rFonts w:ascii="宋体" w:hAnsi="宋体" w:cs="宋体"/>
          <w:szCs w:val="24"/>
        </w:rPr>
      </w:pPr>
      <w:r>
        <w:rPr>
          <w:rFonts w:hint="eastAsia" w:ascii="宋体" w:hAnsi="宋体" w:cs="宋体"/>
          <w:szCs w:val="24"/>
        </w:rPr>
        <w:t>承诺方授权代表签字：（承诺方盖章）</w:t>
      </w:r>
    </w:p>
    <w:p w14:paraId="286BD838">
      <w:pPr>
        <w:pStyle w:val="14"/>
        <w:spacing w:line="360" w:lineRule="auto"/>
        <w:outlineLvl w:val="0"/>
        <w:rPr>
          <w:rFonts w:ascii="宋体" w:hAnsi="宋体" w:cs="宋体"/>
          <w:szCs w:val="24"/>
        </w:rPr>
      </w:pPr>
      <w:r>
        <w:rPr>
          <w:rFonts w:hint="eastAsia" w:ascii="宋体" w:hAnsi="宋体" w:cs="宋体"/>
          <w:szCs w:val="24"/>
        </w:rPr>
        <w:t>承诺日期：</w:t>
      </w:r>
    </w:p>
    <w:p w14:paraId="19057239">
      <w:pPr>
        <w:snapToGrid w:val="0"/>
        <w:spacing w:line="360" w:lineRule="auto"/>
        <w:textAlignment w:val="bottom"/>
        <w:rPr>
          <w:rFonts w:ascii="宋体" w:hAnsi="宋体" w:cs="宋体"/>
          <w:b/>
          <w:bCs/>
          <w:sz w:val="24"/>
          <w:szCs w:val="28"/>
        </w:rPr>
        <w:sectPr>
          <w:pgSz w:w="11906" w:h="16838"/>
          <w:pgMar w:top="1361" w:right="1304" w:bottom="1247" w:left="1304" w:header="680" w:footer="680" w:gutter="0"/>
          <w:cols w:space="720" w:num="1"/>
          <w:docGrid w:linePitch="312" w:charSpace="0"/>
        </w:sectPr>
      </w:pPr>
    </w:p>
    <w:p w14:paraId="173BD344">
      <w:pPr>
        <w:snapToGrid w:val="0"/>
        <w:spacing w:line="360" w:lineRule="auto"/>
        <w:textAlignment w:val="bottom"/>
        <w:rPr>
          <w:rFonts w:ascii="宋体" w:hAnsi="宋体" w:cs="宋体"/>
          <w:b/>
          <w:sz w:val="24"/>
          <w:szCs w:val="28"/>
        </w:rPr>
      </w:pPr>
      <w:r>
        <w:rPr>
          <w:rFonts w:hint="eastAsia" w:ascii="宋体" w:hAnsi="宋体" w:cs="宋体"/>
          <w:b/>
          <w:sz w:val="24"/>
          <w:szCs w:val="28"/>
        </w:rPr>
        <w:t>格式九：</w:t>
      </w:r>
    </w:p>
    <w:p w14:paraId="6D24888E">
      <w:pPr>
        <w:pStyle w:val="48"/>
        <w:jc w:val="center"/>
        <w:rPr>
          <w:rFonts w:ascii="宋体" w:hAnsi="宋体" w:cs="宋体"/>
          <w:b/>
          <w:sz w:val="24"/>
          <w:szCs w:val="28"/>
        </w:rPr>
      </w:pPr>
      <w:r>
        <w:rPr>
          <w:rFonts w:hint="eastAsia" w:ascii="宋体" w:hAnsi="宋体" w:cs="宋体"/>
          <w:b/>
          <w:sz w:val="24"/>
          <w:szCs w:val="28"/>
        </w:rPr>
        <w:t>中小企业声明函（</w:t>
      </w:r>
      <w:r>
        <w:rPr>
          <w:rFonts w:hint="eastAsia" w:ascii="宋体" w:hAnsi="宋体" w:cs="宋体"/>
          <w:b/>
          <w:sz w:val="24"/>
          <w:szCs w:val="28"/>
          <w:lang w:val="en-US" w:eastAsia="zh-CN"/>
        </w:rPr>
        <w:t>货物</w:t>
      </w:r>
      <w:r>
        <w:rPr>
          <w:rFonts w:hint="eastAsia" w:ascii="宋体" w:hAnsi="宋体" w:cs="宋体"/>
          <w:b/>
          <w:sz w:val="24"/>
          <w:szCs w:val="28"/>
        </w:rPr>
        <w:t>）</w:t>
      </w:r>
    </w:p>
    <w:p w14:paraId="2D9799E9">
      <w:pPr>
        <w:pStyle w:val="48"/>
        <w:rPr>
          <w:rFonts w:ascii="宋体" w:hAnsi="宋体" w:cs="宋体"/>
          <w:b/>
          <w:sz w:val="24"/>
          <w:szCs w:val="28"/>
        </w:rPr>
      </w:pPr>
    </w:p>
    <w:p w14:paraId="3DFF7151">
      <w:pPr>
        <w:pStyle w:val="24"/>
        <w:snapToGrid w:val="0"/>
        <w:spacing w:beforeAutospacing="0" w:afterAutospacing="0" w:line="360" w:lineRule="auto"/>
        <w:ind w:right="58" w:firstLine="480" w:firstLineChars="200"/>
        <w:rPr>
          <w:color w:val="auto"/>
        </w:rPr>
      </w:pPr>
      <w:r>
        <w:rPr>
          <w:rFonts w:hint="eastAsia"/>
          <w:color w:val="auto"/>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FF84CCB">
      <w:pPr>
        <w:pStyle w:val="24"/>
        <w:snapToGrid w:val="0"/>
        <w:spacing w:beforeAutospacing="0" w:afterAutospacing="0" w:line="360" w:lineRule="auto"/>
        <w:ind w:right="58"/>
        <w:rPr>
          <w:color w:val="auto"/>
        </w:rPr>
      </w:pPr>
      <w:r>
        <w:rPr>
          <w:rFonts w:hint="eastAsia"/>
          <w:color w:val="auto"/>
        </w:rPr>
        <w:t>1.（标的名称），属于（采购文件中明确的所属行业）行业；制造商为（企业名称），从业人员人，营业收入为万元，资产总额为万元，属于（中型企业、小型企业、微型企业）；</w:t>
      </w:r>
    </w:p>
    <w:p w14:paraId="1075C75F">
      <w:pPr>
        <w:pStyle w:val="24"/>
        <w:snapToGrid w:val="0"/>
        <w:spacing w:beforeAutospacing="0" w:afterAutospacing="0" w:line="360" w:lineRule="auto"/>
        <w:ind w:right="58"/>
        <w:rPr>
          <w:color w:val="auto"/>
        </w:rPr>
      </w:pPr>
      <w:r>
        <w:rPr>
          <w:rFonts w:hint="eastAsia"/>
          <w:color w:val="auto"/>
        </w:rPr>
        <w:t>2.（标的名称），属于（采购文件中明确的所属行业）行业；制造商为（企业名称），从业人员人，营业收入为万元，资产总额为万元，属于（中型企业、小型企业、微型企业）；</w:t>
      </w:r>
    </w:p>
    <w:p w14:paraId="24042463">
      <w:pPr>
        <w:pStyle w:val="24"/>
        <w:snapToGrid w:val="0"/>
        <w:spacing w:beforeAutospacing="0" w:afterAutospacing="0" w:line="360" w:lineRule="auto"/>
        <w:ind w:right="480" w:firstLine="3120" w:firstLineChars="1300"/>
        <w:rPr>
          <w:color w:val="auto"/>
        </w:rPr>
      </w:pPr>
      <w:r>
        <w:rPr>
          <w:rFonts w:hint="eastAsia"/>
          <w:color w:val="auto"/>
        </w:rPr>
        <w:t>……</w:t>
      </w:r>
    </w:p>
    <w:p w14:paraId="6FABE0AE">
      <w:pPr>
        <w:pStyle w:val="24"/>
        <w:snapToGrid w:val="0"/>
        <w:spacing w:beforeAutospacing="0" w:afterAutospacing="0" w:line="360" w:lineRule="auto"/>
        <w:ind w:right="58"/>
        <w:rPr>
          <w:color w:val="auto"/>
        </w:rPr>
      </w:pPr>
      <w:r>
        <w:rPr>
          <w:rFonts w:hint="eastAsia"/>
          <w:color w:val="auto"/>
        </w:rPr>
        <w:t>以上企业，不属于大企业的分支机构，不存在控股股东为大企业的情形，也不存在与大企业的负责人为同一人的情形。</w:t>
      </w:r>
    </w:p>
    <w:p w14:paraId="55398B0A">
      <w:pPr>
        <w:pStyle w:val="24"/>
        <w:snapToGrid w:val="0"/>
        <w:spacing w:beforeAutospacing="0" w:afterAutospacing="0" w:line="360" w:lineRule="auto"/>
        <w:ind w:right="480"/>
        <w:rPr>
          <w:color w:val="auto"/>
        </w:rPr>
      </w:pPr>
      <w:r>
        <w:rPr>
          <w:rFonts w:hint="eastAsia"/>
          <w:color w:val="auto"/>
        </w:rPr>
        <w:t>本企业对上述声明内容的真实性负责。如有虚假，将依法承担相应责任。</w:t>
      </w:r>
    </w:p>
    <w:p w14:paraId="0075094F">
      <w:pPr>
        <w:pStyle w:val="24"/>
        <w:snapToGrid w:val="0"/>
        <w:spacing w:beforeAutospacing="0" w:afterAutospacing="0" w:line="360" w:lineRule="auto"/>
        <w:ind w:right="480" w:firstLine="5640" w:firstLineChars="2350"/>
        <w:rPr>
          <w:color w:val="auto"/>
        </w:rPr>
      </w:pPr>
    </w:p>
    <w:p w14:paraId="5C689BA6">
      <w:pPr>
        <w:pStyle w:val="24"/>
        <w:snapToGrid w:val="0"/>
        <w:spacing w:beforeAutospacing="0" w:afterAutospacing="0" w:line="360" w:lineRule="auto"/>
        <w:ind w:right="480" w:firstLine="5640" w:firstLineChars="2350"/>
        <w:rPr>
          <w:color w:val="auto"/>
        </w:rPr>
      </w:pPr>
      <w:r>
        <w:rPr>
          <w:rFonts w:hint="eastAsia"/>
          <w:color w:val="auto"/>
        </w:rPr>
        <w:t>企业名称（盖章）：</w:t>
      </w:r>
    </w:p>
    <w:p w14:paraId="76A258D6">
      <w:pPr>
        <w:pStyle w:val="24"/>
        <w:snapToGrid w:val="0"/>
        <w:spacing w:beforeAutospacing="0" w:afterAutospacing="0" w:line="360" w:lineRule="auto"/>
        <w:ind w:right="480" w:firstLine="5640" w:firstLineChars="2350"/>
        <w:rPr>
          <w:color w:val="auto"/>
        </w:rPr>
      </w:pPr>
      <w:r>
        <w:rPr>
          <w:rFonts w:hint="eastAsia"/>
          <w:color w:val="auto"/>
        </w:rPr>
        <w:t>日期：</w:t>
      </w:r>
    </w:p>
    <w:p w14:paraId="374F2296">
      <w:pPr>
        <w:pStyle w:val="24"/>
        <w:snapToGrid w:val="0"/>
        <w:spacing w:beforeAutospacing="0" w:afterAutospacing="0" w:line="360" w:lineRule="auto"/>
        <w:ind w:right="480" w:firstLine="5640" w:firstLineChars="2350"/>
        <w:rPr>
          <w:color w:val="auto"/>
        </w:rPr>
      </w:pPr>
    </w:p>
    <w:p w14:paraId="6A6DCE61">
      <w:pPr>
        <w:pStyle w:val="24"/>
        <w:snapToGrid w:val="0"/>
        <w:spacing w:beforeAutospacing="0" w:afterAutospacing="0" w:line="360" w:lineRule="auto"/>
        <w:ind w:right="480"/>
        <w:rPr>
          <w:color w:val="auto"/>
        </w:rPr>
      </w:pPr>
      <w:r>
        <w:rPr>
          <w:rFonts w:hint="eastAsia"/>
          <w:color w:val="auto"/>
        </w:rPr>
        <w:t>注：</w:t>
      </w:r>
    </w:p>
    <w:p w14:paraId="503457FE">
      <w:pPr>
        <w:pStyle w:val="24"/>
        <w:snapToGrid w:val="0"/>
        <w:spacing w:beforeAutospacing="0" w:afterAutospacing="0" w:line="360" w:lineRule="auto"/>
        <w:ind w:right="58"/>
        <w:rPr>
          <w:b/>
          <w:bCs/>
          <w:color w:val="auto"/>
          <w:lang w:val="zh-CN"/>
        </w:rPr>
      </w:pPr>
      <w:r>
        <w:rPr>
          <w:rFonts w:hint="eastAsia"/>
          <w:color w:val="auto"/>
        </w:rPr>
        <w:t>1.从业人员、营业收入、资产总额填报上一年度数据，无上一年度数据的新成立企业可不填报。</w:t>
      </w:r>
    </w:p>
    <w:p w14:paraId="6D41CAA9">
      <w:pPr>
        <w:spacing w:line="360" w:lineRule="auto"/>
        <w:rPr>
          <w:color w:val="auto"/>
          <w:sz w:val="24"/>
        </w:rPr>
      </w:pPr>
      <w:r>
        <w:rPr>
          <w:rFonts w:hint="eastAsia" w:ascii="宋体" w:hAnsi="宋体" w:cs="宋体"/>
          <w:color w:val="auto"/>
          <w:sz w:val="24"/>
        </w:rPr>
        <w:t>2</w:t>
      </w:r>
      <w:r>
        <w:rPr>
          <w:rFonts w:hint="eastAsia" w:ascii="宋体" w:hAnsi="宋体" w:cs="宋体"/>
          <w:color w:val="auto"/>
          <w:kern w:val="0"/>
          <w:sz w:val="24"/>
        </w:rPr>
        <w:t>.中标人享受中小企业扶持政策的，将随中标结果一并公示，如声明函内容不实的，将视</w:t>
      </w:r>
      <w:r>
        <w:rPr>
          <w:rFonts w:hint="eastAsia" w:ascii="宋体" w:hAnsi="宋体" w:cs="宋体"/>
          <w:color w:val="auto"/>
          <w:sz w:val="24"/>
        </w:rPr>
        <w:t>为提供虚假材料谋取中标，将追究其法律责任。</w:t>
      </w:r>
    </w:p>
    <w:p w14:paraId="2C9BADDE">
      <w:pPr>
        <w:spacing w:line="360" w:lineRule="auto"/>
        <w:rPr>
          <w:rFonts w:hint="eastAsia" w:ascii="宋体" w:hAnsi="宋体" w:cs="宋体"/>
          <w:color w:val="auto"/>
          <w:sz w:val="24"/>
        </w:rPr>
      </w:pPr>
      <w:r>
        <w:rPr>
          <w:rFonts w:hint="eastAsia" w:ascii="宋体" w:hAnsi="宋体" w:cs="宋体"/>
          <w:color w:val="auto"/>
          <w:sz w:val="24"/>
        </w:rPr>
        <w:t>3.本项目所属行业：工业。</w:t>
      </w:r>
    </w:p>
    <w:p w14:paraId="6C60ADAF">
      <w:pPr>
        <w:pStyle w:val="10"/>
        <w:rPr>
          <w:rFonts w:hint="eastAsia" w:ascii="宋体" w:hAnsi="宋体" w:cs="宋体"/>
          <w:color w:val="auto"/>
          <w:sz w:val="24"/>
        </w:rPr>
      </w:pPr>
    </w:p>
    <w:p w14:paraId="4865559E">
      <w:pPr>
        <w:pStyle w:val="10"/>
        <w:rPr>
          <w:rFonts w:hint="eastAsia" w:ascii="宋体" w:hAnsi="宋体" w:cs="宋体"/>
          <w:color w:val="auto"/>
          <w:sz w:val="24"/>
        </w:rPr>
      </w:pPr>
    </w:p>
    <w:p w14:paraId="10DEB2F9">
      <w:pPr>
        <w:pStyle w:val="10"/>
        <w:rPr>
          <w:rFonts w:hint="eastAsia" w:ascii="宋体" w:hAnsi="宋体" w:cs="宋体"/>
          <w:color w:val="auto"/>
          <w:sz w:val="24"/>
        </w:rPr>
      </w:pPr>
    </w:p>
    <w:p w14:paraId="0388C665">
      <w:pPr>
        <w:pStyle w:val="10"/>
        <w:rPr>
          <w:rFonts w:hint="eastAsia" w:ascii="宋体" w:hAnsi="宋体" w:cs="宋体"/>
          <w:color w:val="auto"/>
          <w:sz w:val="24"/>
        </w:rPr>
      </w:pPr>
    </w:p>
    <w:p w14:paraId="17F3E535">
      <w:pPr>
        <w:pStyle w:val="10"/>
        <w:rPr>
          <w:rFonts w:hint="eastAsia" w:ascii="宋体" w:hAnsi="宋体" w:cs="宋体"/>
          <w:color w:val="auto"/>
          <w:sz w:val="24"/>
        </w:rPr>
      </w:pPr>
    </w:p>
    <w:p w14:paraId="050CB083">
      <w:pPr>
        <w:snapToGrid w:val="0"/>
        <w:spacing w:line="360" w:lineRule="auto"/>
        <w:textAlignment w:val="bottom"/>
        <w:rPr>
          <w:rFonts w:ascii="宋体" w:hAnsi="宋体" w:cs="宋体"/>
          <w:b/>
          <w:sz w:val="24"/>
          <w:szCs w:val="28"/>
        </w:rPr>
      </w:pPr>
    </w:p>
    <w:p w14:paraId="52DC43DE">
      <w:pPr>
        <w:snapToGrid w:val="0"/>
        <w:spacing w:line="360" w:lineRule="auto"/>
        <w:textAlignment w:val="bottom"/>
        <w:rPr>
          <w:rFonts w:ascii="宋体" w:hAnsi="宋体" w:cs="宋体"/>
          <w:b/>
          <w:sz w:val="24"/>
          <w:szCs w:val="28"/>
        </w:rPr>
      </w:pPr>
    </w:p>
    <w:p w14:paraId="672470EA">
      <w:pPr>
        <w:snapToGrid w:val="0"/>
        <w:spacing w:line="360" w:lineRule="auto"/>
        <w:textAlignment w:val="bottom"/>
        <w:rPr>
          <w:rFonts w:ascii="宋体" w:hAnsi="宋体" w:cs="宋体"/>
          <w:b/>
          <w:sz w:val="24"/>
          <w:szCs w:val="28"/>
        </w:rPr>
      </w:pPr>
    </w:p>
    <w:p w14:paraId="7C0CB5F8">
      <w:pPr>
        <w:snapToGrid w:val="0"/>
        <w:spacing w:line="360" w:lineRule="auto"/>
        <w:textAlignment w:val="bottom"/>
        <w:rPr>
          <w:rFonts w:ascii="宋体" w:hAnsi="宋体" w:cs="宋体"/>
          <w:b/>
          <w:sz w:val="24"/>
          <w:szCs w:val="28"/>
        </w:rPr>
      </w:pPr>
      <w:r>
        <w:rPr>
          <w:rFonts w:hint="eastAsia" w:ascii="宋体" w:hAnsi="宋体" w:cs="宋体"/>
          <w:b/>
          <w:sz w:val="24"/>
          <w:szCs w:val="28"/>
        </w:rPr>
        <w:t>附：中小企业划型标准规定　</w:t>
      </w:r>
    </w:p>
    <w:p w14:paraId="0EADD9B1">
      <w:pPr>
        <w:snapToGrid w:val="0"/>
        <w:spacing w:line="360" w:lineRule="auto"/>
        <w:textAlignment w:val="bottom"/>
        <w:rPr>
          <w:rFonts w:ascii="宋体" w:hAnsi="宋体" w:cs="宋体"/>
          <w:bCs/>
          <w:sz w:val="24"/>
          <w:szCs w:val="28"/>
        </w:rPr>
      </w:pPr>
      <w:r>
        <w:rPr>
          <w:rFonts w:hint="eastAsia" w:ascii="宋体" w:hAnsi="宋体" w:cs="宋体"/>
          <w:bCs/>
          <w:sz w:val="24"/>
          <w:szCs w:val="28"/>
        </w:rPr>
        <w:t>一、根据《中华人民共和国中小企业促进法》和《国务院关于进一步促进中小企业发展的若干意见》(国发〔2009〕36号)，制定本规定。</w:t>
      </w:r>
    </w:p>
    <w:p w14:paraId="3E8512AC">
      <w:pPr>
        <w:snapToGrid w:val="0"/>
        <w:spacing w:line="360" w:lineRule="auto"/>
        <w:textAlignment w:val="bottom"/>
        <w:rPr>
          <w:rFonts w:ascii="宋体" w:hAnsi="宋体" w:cs="宋体"/>
          <w:bCs/>
          <w:sz w:val="24"/>
          <w:szCs w:val="28"/>
        </w:rPr>
      </w:pPr>
      <w:r>
        <w:rPr>
          <w:rFonts w:hint="eastAsia" w:ascii="宋体" w:hAnsi="宋体" w:cs="宋体"/>
          <w:bCs/>
          <w:sz w:val="24"/>
          <w:szCs w:val="28"/>
        </w:rPr>
        <w:t>二、中小企业划分为中型、小型、微型三种类型，具体标准根据企业从业人员、营业收入、资产总额等指标，结合行业特点制定。</w:t>
      </w:r>
    </w:p>
    <w:p w14:paraId="122A333E">
      <w:pPr>
        <w:snapToGrid w:val="0"/>
        <w:spacing w:line="360" w:lineRule="auto"/>
        <w:textAlignment w:val="bottom"/>
        <w:rPr>
          <w:rFonts w:ascii="宋体" w:hAnsi="宋体" w:cs="宋体"/>
          <w:bCs/>
          <w:sz w:val="24"/>
          <w:szCs w:val="28"/>
        </w:rPr>
      </w:pPr>
      <w:r>
        <w:rPr>
          <w:rFonts w:hint="eastAsia" w:ascii="宋体" w:hAnsi="宋体" w:cs="宋体"/>
          <w:bCs/>
          <w:sz w:val="24"/>
          <w:szCs w:val="28"/>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7FC946E">
      <w:pPr>
        <w:snapToGrid w:val="0"/>
        <w:spacing w:line="360" w:lineRule="auto"/>
        <w:textAlignment w:val="bottom"/>
        <w:rPr>
          <w:rFonts w:ascii="宋体" w:hAnsi="宋体" w:cs="宋体"/>
          <w:bCs/>
          <w:sz w:val="24"/>
          <w:szCs w:val="28"/>
        </w:rPr>
      </w:pPr>
      <w:r>
        <w:rPr>
          <w:rFonts w:hint="eastAsia" w:ascii="宋体" w:hAnsi="宋体" w:cs="宋体"/>
          <w:bCs/>
          <w:sz w:val="24"/>
          <w:szCs w:val="28"/>
        </w:rPr>
        <w:t>四、各行业划型标准为：</w:t>
      </w:r>
    </w:p>
    <w:p w14:paraId="2FD74808">
      <w:pPr>
        <w:snapToGrid w:val="0"/>
        <w:spacing w:line="360" w:lineRule="auto"/>
        <w:textAlignment w:val="bottom"/>
        <w:rPr>
          <w:rFonts w:ascii="宋体" w:hAnsi="宋体" w:cs="宋体"/>
          <w:bCs/>
          <w:sz w:val="24"/>
          <w:szCs w:val="28"/>
        </w:rPr>
      </w:pPr>
      <w:r>
        <w:rPr>
          <w:rFonts w:hint="eastAsia" w:ascii="宋体" w:hAnsi="宋体" w:cs="宋体"/>
          <w:bCs/>
          <w:sz w:val="24"/>
          <w:szCs w:val="28"/>
        </w:rPr>
        <w:t>（一）农、林、牧、渔业。营业收入20000万元以下的为中小微型企业。其中，营业收入500万元及以上的为中型企业，营业收入50万元及以上的为小型企业，营业收入50万元以下的为微型企业。</w:t>
      </w:r>
    </w:p>
    <w:p w14:paraId="70F32F59">
      <w:pPr>
        <w:snapToGrid w:val="0"/>
        <w:spacing w:line="360" w:lineRule="auto"/>
        <w:textAlignment w:val="bottom"/>
        <w:rPr>
          <w:rFonts w:ascii="宋体" w:hAnsi="宋体" w:cs="宋体"/>
          <w:bCs/>
          <w:sz w:val="24"/>
          <w:szCs w:val="28"/>
        </w:rPr>
      </w:pPr>
      <w:r>
        <w:rPr>
          <w:rFonts w:hint="eastAsia" w:ascii="宋体" w:hAnsi="宋体" w:cs="宋体"/>
          <w:bCs/>
          <w:sz w:val="24"/>
          <w:szCs w:val="28"/>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C6C5E5F">
      <w:pPr>
        <w:snapToGrid w:val="0"/>
        <w:spacing w:line="360" w:lineRule="auto"/>
        <w:textAlignment w:val="bottom"/>
        <w:rPr>
          <w:rFonts w:ascii="宋体" w:hAnsi="宋体" w:cs="宋体"/>
          <w:bCs/>
          <w:sz w:val="24"/>
          <w:szCs w:val="28"/>
        </w:rPr>
      </w:pPr>
      <w:r>
        <w:rPr>
          <w:rFonts w:hint="eastAsia" w:ascii="宋体" w:hAnsi="宋体" w:cs="宋体"/>
          <w:bCs/>
          <w:sz w:val="24"/>
          <w:szCs w:val="28"/>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46D31DD">
      <w:pPr>
        <w:snapToGrid w:val="0"/>
        <w:spacing w:line="360" w:lineRule="auto"/>
        <w:textAlignment w:val="bottom"/>
        <w:rPr>
          <w:rFonts w:ascii="宋体" w:hAnsi="宋体" w:cs="宋体"/>
          <w:bCs/>
          <w:sz w:val="24"/>
          <w:szCs w:val="28"/>
        </w:rPr>
      </w:pPr>
      <w:r>
        <w:rPr>
          <w:rFonts w:hint="eastAsia" w:ascii="宋体" w:hAnsi="宋体" w:cs="宋体"/>
          <w:bCs/>
          <w:sz w:val="24"/>
          <w:szCs w:val="28"/>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C1EAC7A">
      <w:pPr>
        <w:snapToGrid w:val="0"/>
        <w:spacing w:line="360" w:lineRule="auto"/>
        <w:textAlignment w:val="bottom"/>
        <w:rPr>
          <w:rFonts w:ascii="宋体" w:hAnsi="宋体" w:cs="宋体"/>
          <w:bCs/>
          <w:sz w:val="24"/>
          <w:szCs w:val="28"/>
        </w:rPr>
      </w:pPr>
      <w:r>
        <w:rPr>
          <w:rFonts w:hint="eastAsia" w:ascii="宋体" w:hAnsi="宋体" w:cs="宋体"/>
          <w:bCs/>
          <w:sz w:val="24"/>
          <w:szCs w:val="28"/>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FCB78D9">
      <w:pPr>
        <w:snapToGrid w:val="0"/>
        <w:spacing w:line="360" w:lineRule="auto"/>
        <w:textAlignment w:val="bottom"/>
        <w:rPr>
          <w:rFonts w:ascii="宋体" w:hAnsi="宋体" w:cs="宋体"/>
          <w:bCs/>
          <w:sz w:val="24"/>
          <w:szCs w:val="28"/>
        </w:rPr>
      </w:pPr>
      <w:r>
        <w:rPr>
          <w:rFonts w:hint="eastAsia" w:ascii="宋体" w:hAnsi="宋体" w:cs="宋体"/>
          <w:bCs/>
          <w:sz w:val="24"/>
          <w:szCs w:val="28"/>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BE7DCF9">
      <w:pPr>
        <w:snapToGrid w:val="0"/>
        <w:spacing w:line="360" w:lineRule="auto"/>
        <w:textAlignment w:val="bottom"/>
        <w:rPr>
          <w:rFonts w:ascii="宋体" w:hAnsi="宋体" w:cs="宋体"/>
          <w:bCs/>
          <w:sz w:val="24"/>
          <w:szCs w:val="28"/>
        </w:rPr>
      </w:pPr>
      <w:r>
        <w:rPr>
          <w:rFonts w:hint="eastAsia" w:ascii="宋体" w:hAnsi="宋体" w:cs="宋体"/>
          <w:bCs/>
          <w:sz w:val="24"/>
          <w:szCs w:val="28"/>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9150284">
      <w:pPr>
        <w:snapToGrid w:val="0"/>
        <w:spacing w:line="360" w:lineRule="auto"/>
        <w:textAlignment w:val="bottom"/>
        <w:rPr>
          <w:rFonts w:ascii="宋体" w:hAnsi="宋体" w:cs="宋体"/>
          <w:bCs/>
          <w:sz w:val="24"/>
          <w:szCs w:val="28"/>
        </w:rPr>
      </w:pPr>
      <w:r>
        <w:rPr>
          <w:rFonts w:hint="eastAsia" w:ascii="宋体" w:hAnsi="宋体" w:cs="宋体"/>
          <w:bCs/>
          <w:sz w:val="24"/>
          <w:szCs w:val="28"/>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0E556D">
      <w:pPr>
        <w:snapToGrid w:val="0"/>
        <w:spacing w:line="360" w:lineRule="auto"/>
        <w:textAlignment w:val="bottom"/>
        <w:rPr>
          <w:rFonts w:ascii="宋体" w:hAnsi="宋体" w:cs="宋体"/>
          <w:bCs/>
          <w:sz w:val="24"/>
          <w:szCs w:val="28"/>
        </w:rPr>
      </w:pPr>
      <w:r>
        <w:rPr>
          <w:rFonts w:hint="eastAsia" w:ascii="宋体" w:hAnsi="宋体" w:cs="宋体"/>
          <w:bCs/>
          <w:sz w:val="24"/>
          <w:szCs w:val="28"/>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EEFF769">
      <w:pPr>
        <w:snapToGrid w:val="0"/>
        <w:spacing w:line="360" w:lineRule="auto"/>
        <w:textAlignment w:val="bottom"/>
        <w:rPr>
          <w:rFonts w:ascii="宋体" w:hAnsi="宋体" w:cs="宋体"/>
          <w:bCs/>
          <w:sz w:val="24"/>
          <w:szCs w:val="28"/>
        </w:rPr>
      </w:pPr>
      <w:r>
        <w:rPr>
          <w:rFonts w:hint="eastAsia" w:ascii="宋体" w:hAnsi="宋体" w:cs="宋体"/>
          <w:bCs/>
          <w:sz w:val="24"/>
          <w:szCs w:val="28"/>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6F3558F">
      <w:pPr>
        <w:snapToGrid w:val="0"/>
        <w:spacing w:line="360" w:lineRule="auto"/>
        <w:textAlignment w:val="bottom"/>
        <w:rPr>
          <w:rFonts w:ascii="宋体" w:hAnsi="宋体" w:cs="宋体"/>
          <w:bCs/>
          <w:sz w:val="24"/>
          <w:szCs w:val="28"/>
        </w:rPr>
      </w:pPr>
      <w:r>
        <w:rPr>
          <w:rFonts w:hint="eastAsia" w:ascii="宋体" w:hAnsi="宋体" w:cs="宋体"/>
          <w:bCs/>
          <w:sz w:val="24"/>
          <w:szCs w:val="28"/>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5FD55">
      <w:pPr>
        <w:snapToGrid w:val="0"/>
        <w:spacing w:line="360" w:lineRule="auto"/>
        <w:textAlignment w:val="bottom"/>
        <w:rPr>
          <w:rFonts w:ascii="宋体" w:hAnsi="宋体" w:cs="宋体"/>
          <w:bCs/>
          <w:sz w:val="24"/>
          <w:szCs w:val="28"/>
        </w:rPr>
      </w:pPr>
      <w:r>
        <w:rPr>
          <w:rFonts w:hint="eastAsia" w:ascii="宋体" w:hAnsi="宋体" w:cs="宋体"/>
          <w:bCs/>
          <w:sz w:val="24"/>
          <w:szCs w:val="28"/>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C746A11">
      <w:pPr>
        <w:snapToGrid w:val="0"/>
        <w:spacing w:line="360" w:lineRule="auto"/>
        <w:textAlignment w:val="bottom"/>
        <w:rPr>
          <w:rFonts w:ascii="宋体" w:hAnsi="宋体" w:cs="宋体"/>
          <w:bCs/>
          <w:sz w:val="24"/>
          <w:szCs w:val="28"/>
        </w:rPr>
      </w:pPr>
      <w:r>
        <w:rPr>
          <w:rFonts w:hint="eastAsia" w:ascii="宋体" w:hAnsi="宋体" w:cs="宋体"/>
          <w:bCs/>
          <w:sz w:val="24"/>
          <w:szCs w:val="28"/>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915CCE4">
      <w:pPr>
        <w:snapToGrid w:val="0"/>
        <w:spacing w:line="360" w:lineRule="auto"/>
        <w:textAlignment w:val="bottom"/>
        <w:rPr>
          <w:rFonts w:ascii="宋体" w:hAnsi="宋体" w:cs="宋体"/>
          <w:bCs/>
          <w:sz w:val="24"/>
          <w:szCs w:val="28"/>
        </w:rPr>
      </w:pPr>
      <w:r>
        <w:rPr>
          <w:rFonts w:hint="eastAsia" w:ascii="宋体" w:hAnsi="宋体" w:cs="宋体"/>
          <w:bCs/>
          <w:sz w:val="24"/>
          <w:szCs w:val="28"/>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6221F2">
      <w:pPr>
        <w:snapToGrid w:val="0"/>
        <w:spacing w:line="360" w:lineRule="auto"/>
        <w:textAlignment w:val="bottom"/>
        <w:rPr>
          <w:rFonts w:ascii="宋体" w:hAnsi="宋体" w:cs="宋体"/>
          <w:bCs/>
          <w:sz w:val="24"/>
          <w:szCs w:val="28"/>
        </w:rPr>
      </w:pPr>
      <w:r>
        <w:rPr>
          <w:rFonts w:hint="eastAsia" w:ascii="宋体" w:hAnsi="宋体" w:cs="宋体"/>
          <w:bCs/>
          <w:sz w:val="24"/>
          <w:szCs w:val="28"/>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3BCEF99">
      <w:pPr>
        <w:snapToGrid w:val="0"/>
        <w:spacing w:line="360" w:lineRule="auto"/>
        <w:textAlignment w:val="bottom"/>
        <w:rPr>
          <w:rFonts w:ascii="宋体" w:hAnsi="宋体" w:cs="宋体"/>
          <w:bCs/>
          <w:sz w:val="24"/>
          <w:szCs w:val="28"/>
        </w:rPr>
      </w:pPr>
      <w:r>
        <w:rPr>
          <w:rFonts w:hint="eastAsia" w:ascii="宋体" w:hAnsi="宋体" w:cs="宋体"/>
          <w:bCs/>
          <w:sz w:val="24"/>
          <w:szCs w:val="28"/>
        </w:rPr>
        <w:t>（十六）其他未列明行业。从业人员300人以下的为中小微型企业。其中，从业人员100人及以上的为中型企业；从业人员10人及以上的为小型企业；从业人员10人以下的为微型企业。</w:t>
      </w:r>
    </w:p>
    <w:p w14:paraId="52407A47">
      <w:pPr>
        <w:snapToGrid w:val="0"/>
        <w:spacing w:line="360" w:lineRule="auto"/>
        <w:textAlignment w:val="bottom"/>
        <w:rPr>
          <w:rFonts w:ascii="宋体" w:hAnsi="宋体" w:cs="宋体"/>
          <w:bCs/>
          <w:sz w:val="24"/>
          <w:szCs w:val="28"/>
        </w:rPr>
      </w:pPr>
      <w:r>
        <w:rPr>
          <w:rFonts w:hint="eastAsia" w:ascii="宋体" w:hAnsi="宋体" w:cs="宋体"/>
          <w:bCs/>
          <w:sz w:val="24"/>
          <w:szCs w:val="28"/>
        </w:rPr>
        <w:t>五、企业类型的划分以统计部门的统计数据为依据。</w:t>
      </w:r>
    </w:p>
    <w:p w14:paraId="0E9FCA64">
      <w:pPr>
        <w:snapToGrid w:val="0"/>
        <w:spacing w:line="360" w:lineRule="auto"/>
        <w:textAlignment w:val="bottom"/>
        <w:rPr>
          <w:rFonts w:ascii="宋体" w:hAnsi="宋体" w:cs="宋体"/>
          <w:bCs/>
          <w:sz w:val="24"/>
          <w:szCs w:val="28"/>
        </w:rPr>
      </w:pPr>
      <w:r>
        <w:rPr>
          <w:rFonts w:hint="eastAsia" w:ascii="宋体" w:hAnsi="宋体" w:cs="宋体"/>
          <w:bCs/>
          <w:sz w:val="24"/>
          <w:szCs w:val="28"/>
        </w:rPr>
        <w:t>六、本规定适用于在中华人民共和国境内依法设立的各类所有制和各种组织形式的企业。个体工商户和本规定以外的行业，参照本规定进行划型。</w:t>
      </w:r>
    </w:p>
    <w:p w14:paraId="23241494">
      <w:pPr>
        <w:snapToGrid w:val="0"/>
        <w:spacing w:line="360" w:lineRule="auto"/>
        <w:textAlignment w:val="bottom"/>
        <w:rPr>
          <w:rFonts w:ascii="宋体" w:hAnsi="宋体" w:cs="宋体"/>
          <w:bCs/>
          <w:sz w:val="24"/>
          <w:szCs w:val="28"/>
        </w:rPr>
      </w:pPr>
      <w:r>
        <w:rPr>
          <w:rFonts w:hint="eastAsia" w:ascii="宋体" w:hAnsi="宋体" w:cs="宋体"/>
          <w:bCs/>
          <w:sz w:val="24"/>
          <w:szCs w:val="28"/>
        </w:rPr>
        <w:t>七、本规定的中型企业标准上限即为大型企业标准的下限，国家统计部门据此制定大中小微型企业的统计分类。国务院有关部门据此进行相关数据分析，不得制定与本规定不一致的企业划型标准。</w:t>
      </w:r>
    </w:p>
    <w:p w14:paraId="3A3638B9">
      <w:pPr>
        <w:snapToGrid w:val="0"/>
        <w:spacing w:line="360" w:lineRule="auto"/>
        <w:textAlignment w:val="bottom"/>
        <w:rPr>
          <w:rFonts w:ascii="宋体" w:hAnsi="宋体" w:cs="宋体"/>
          <w:bCs/>
          <w:sz w:val="24"/>
          <w:szCs w:val="28"/>
        </w:rPr>
      </w:pPr>
      <w:r>
        <w:rPr>
          <w:rFonts w:hint="eastAsia" w:ascii="宋体" w:hAnsi="宋体" w:cs="宋体"/>
          <w:bCs/>
          <w:sz w:val="24"/>
          <w:szCs w:val="28"/>
        </w:rPr>
        <w:t>八、本规定由工业和信息化部、国家统计局会同有关部门根据《国民经济行业分类》修订情况和企业发展变化情况适时修订。</w:t>
      </w:r>
    </w:p>
    <w:p w14:paraId="4D2AEB92">
      <w:pPr>
        <w:snapToGrid w:val="0"/>
        <w:spacing w:line="360" w:lineRule="auto"/>
        <w:textAlignment w:val="bottom"/>
        <w:rPr>
          <w:rFonts w:ascii="宋体" w:hAnsi="宋体" w:cs="宋体"/>
          <w:bCs/>
          <w:sz w:val="24"/>
          <w:szCs w:val="28"/>
        </w:rPr>
      </w:pPr>
      <w:r>
        <w:rPr>
          <w:rFonts w:hint="eastAsia" w:ascii="宋体" w:hAnsi="宋体" w:cs="宋体"/>
          <w:bCs/>
          <w:sz w:val="24"/>
          <w:szCs w:val="28"/>
        </w:rPr>
        <w:t>九、本规定由工业和信息化部、国家统计局会同有关部门负责解释。</w:t>
      </w:r>
    </w:p>
    <w:p w14:paraId="029C1C21">
      <w:pPr>
        <w:snapToGrid w:val="0"/>
        <w:spacing w:line="360" w:lineRule="auto"/>
        <w:textAlignment w:val="bottom"/>
        <w:rPr>
          <w:rFonts w:ascii="宋体" w:hAnsi="宋体" w:cs="宋体"/>
          <w:bCs/>
          <w:sz w:val="24"/>
          <w:szCs w:val="28"/>
        </w:rPr>
      </w:pPr>
      <w:r>
        <w:rPr>
          <w:rFonts w:hint="eastAsia" w:ascii="宋体" w:hAnsi="宋体" w:cs="宋体"/>
          <w:bCs/>
          <w:sz w:val="24"/>
          <w:szCs w:val="28"/>
        </w:rPr>
        <w:t>十、本规定自发布之日起执行，原国家经贸委、原国家计委、财政部和国家统计局2003年颁布的《中小企业标准暂行规定》同时废止。</w:t>
      </w:r>
    </w:p>
    <w:p w14:paraId="015DEC03">
      <w:pPr>
        <w:pStyle w:val="48"/>
        <w:rPr>
          <w:rFonts w:ascii="宋体" w:hAnsi="宋体" w:cs="宋体"/>
          <w:b/>
          <w:sz w:val="24"/>
          <w:szCs w:val="28"/>
        </w:rPr>
        <w:sectPr>
          <w:pgSz w:w="11906" w:h="16838"/>
          <w:pgMar w:top="1134" w:right="1134" w:bottom="1134" w:left="1417" w:header="680" w:footer="680" w:gutter="0"/>
          <w:cols w:space="720" w:num="1"/>
          <w:docGrid w:linePitch="312" w:charSpace="0"/>
        </w:sectPr>
      </w:pPr>
    </w:p>
    <w:p w14:paraId="419F6442">
      <w:pPr>
        <w:snapToGrid w:val="0"/>
        <w:spacing w:line="360" w:lineRule="auto"/>
        <w:textAlignment w:val="bottom"/>
        <w:rPr>
          <w:rFonts w:ascii="宋体" w:hAnsi="宋体" w:cs="宋体"/>
          <w:b/>
          <w:sz w:val="24"/>
          <w:szCs w:val="28"/>
        </w:rPr>
      </w:pPr>
      <w:r>
        <w:rPr>
          <w:rFonts w:hint="eastAsia" w:ascii="宋体" w:hAnsi="宋体" w:cs="宋体"/>
          <w:b/>
          <w:sz w:val="24"/>
          <w:szCs w:val="28"/>
        </w:rPr>
        <w:t>格式十：</w:t>
      </w:r>
    </w:p>
    <w:p w14:paraId="1AD60215">
      <w:pPr>
        <w:snapToGrid w:val="0"/>
        <w:spacing w:line="360" w:lineRule="auto"/>
        <w:jc w:val="center"/>
        <w:textAlignment w:val="bottom"/>
        <w:rPr>
          <w:rFonts w:ascii="宋体" w:hAnsi="宋体" w:cs="宋体"/>
          <w:b/>
          <w:sz w:val="24"/>
          <w:szCs w:val="28"/>
        </w:rPr>
      </w:pPr>
      <w:r>
        <w:rPr>
          <w:rFonts w:hint="eastAsia" w:ascii="宋体" w:hAnsi="宋体" w:cs="宋体"/>
          <w:b/>
          <w:sz w:val="24"/>
          <w:szCs w:val="28"/>
        </w:rPr>
        <w:t>投标人其他证明文件</w:t>
      </w:r>
    </w:p>
    <w:p w14:paraId="3FF4AD4D">
      <w:pPr>
        <w:pStyle w:val="10"/>
        <w:ind w:firstLine="600"/>
        <w:rPr>
          <w:color w:val="auto"/>
          <w:highlight w:val="none"/>
        </w:rPr>
      </w:pPr>
    </w:p>
    <w:sectPr>
      <w:pgSz w:w="11906" w:h="16838"/>
      <w:pgMar w:top="1134" w:right="1134" w:bottom="1134" w:left="1417" w:header="680" w:footer="680" w:gutter="0"/>
      <w:pgBorders>
        <w:top w:val="none" w:sz="0" w:space="0"/>
        <w:left w:val="none" w:sz="0" w:space="0"/>
        <w:bottom w:val="none" w:sz="0" w:space="0"/>
        <w:right w:val="none" w:sz="0" w:space="0"/>
      </w:pgBorders>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swiss"/>
    <w:pitch w:val="default"/>
    <w:sig w:usb0="80000287" w:usb1="2ACF3C50" w:usb2="00000016" w:usb3="00000000" w:csb0="0004001F" w:csb1="00000000"/>
  </w:font>
  <w:font w:name="华文楷体">
    <w:altName w:val="宋体"/>
    <w:panose1 w:val="02010600040101010101"/>
    <w:charset w:val="86"/>
    <w:family w:val="auto"/>
    <w:pitch w:val="default"/>
    <w:sig w:usb0="00000000" w:usb1="00000000" w:usb2="00000000" w:usb3="00000000" w:csb0="0004009F" w:csb1="DFD70000"/>
  </w:font>
  <w:font w:name="隶书">
    <w:altName w:val="微软雅黑"/>
    <w:panose1 w:val="0201050906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A3981B">
    <w:pPr>
      <w:pStyle w:val="17"/>
      <w:framePr w:wrap="around" w:vAnchor="text" w:hAnchor="margin" w:xAlign="center" w:y="1"/>
      <w:rPr>
        <w:rStyle w:val="32"/>
        <w:rFonts w:hint="default"/>
      </w:rPr>
    </w:pPr>
    <w:r>
      <w:fldChar w:fldCharType="begin"/>
    </w:r>
    <w:r>
      <w:rPr>
        <w:rStyle w:val="32"/>
      </w:rPr>
      <w:instrText xml:space="preserve">PAGE  </w:instrText>
    </w:r>
    <w:r>
      <w:fldChar w:fldCharType="separate"/>
    </w:r>
    <w:r>
      <w:rPr>
        <w:rStyle w:val="32"/>
        <w:rFonts w:hint="default"/>
      </w:rPr>
      <w:t>2</w:t>
    </w:r>
    <w:r>
      <w:fldChar w:fldCharType="end"/>
    </w:r>
  </w:p>
  <w:p w14:paraId="3DA54418">
    <w:pPr>
      <w:pStyle w:val="17"/>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A4C62">
    <w:pPr>
      <w:pStyle w:val="17"/>
      <w:framePr w:wrap="around" w:vAnchor="text" w:hAnchor="margin" w:xAlign="center" w:y="1"/>
      <w:rPr>
        <w:rStyle w:val="32"/>
        <w:rFonts w:hint="default"/>
      </w:rPr>
    </w:pPr>
    <w:r>
      <w:fldChar w:fldCharType="begin"/>
    </w:r>
    <w:r>
      <w:rPr>
        <w:rStyle w:val="32"/>
      </w:rPr>
      <w:instrText xml:space="preserve">PAGE  </w:instrText>
    </w:r>
    <w:r>
      <w:fldChar w:fldCharType="separate"/>
    </w:r>
    <w:r>
      <w:rPr>
        <w:rStyle w:val="32"/>
      </w:rPr>
      <w:t>33</w:t>
    </w:r>
    <w:r>
      <w:fldChar w:fldCharType="end"/>
    </w:r>
  </w:p>
  <w:p w14:paraId="2C6D1BA1">
    <w:pPr>
      <w:pStyle w:val="17"/>
      <w:rPr>
        <w:rFonts w:hint="default"/>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3CC20">
    <w:pPr>
      <w:pStyle w:val="17"/>
      <w:tabs>
        <w:tab w:val="center" w:pos="4320"/>
        <w:tab w:val="right" w:pos="8640"/>
        <w:tab w:val="clear" w:pos="4153"/>
        <w:tab w:val="clear" w:pos="8306"/>
      </w:tabs>
      <w:ind w:firstLine="7020" w:firstLineChars="3900"/>
      <w:jc w:val="right"/>
      <w:rPr>
        <w:rStyle w:val="32"/>
        <w:rFonts w:hint="default"/>
      </w:rPr>
    </w:pPr>
    <w:r>
      <w:rPr>
        <w:rFonts w:hint="default"/>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7945" cy="162560"/>
              <wp:effectExtent l="0" t="0" r="0" b="0"/>
              <wp:wrapNone/>
              <wp:docPr id="3" name="Text Box 1"/>
              <wp:cNvGraphicFramePr/>
              <a:graphic xmlns:a="http://schemas.openxmlformats.org/drawingml/2006/main">
                <a:graphicData uri="http://schemas.microsoft.com/office/word/2010/wordprocessingShape">
                  <wps:wsp>
                    <wps:cNvSpPr txBox="1">
                      <a:spLocks noChangeArrowheads="1"/>
                    </wps:cNvSpPr>
                    <wps:spPr bwMode="auto">
                      <a:xfrm>
                        <a:off x="0" y="0"/>
                        <a:ext cx="67945" cy="162560"/>
                      </a:xfrm>
                      <a:prstGeom prst="rect">
                        <a:avLst/>
                      </a:prstGeom>
                      <a:noFill/>
                      <a:ln>
                        <a:noFill/>
                      </a:ln>
                      <a:effectLst/>
                    </wps:spPr>
                    <wps:txbx>
                      <w:txbxContent>
                        <w:p w14:paraId="2D61921E">
                          <w:pPr>
                            <w:snapToGrid w:val="0"/>
                            <w:rPr>
                              <w:sz w:val="18"/>
                              <w:szCs w:val="18"/>
                            </w:rPr>
                          </w:pPr>
                          <w:r>
                            <w:fldChar w:fldCharType="begin"/>
                          </w:r>
                          <w:r>
                            <w:instrText xml:space="preserve"> PAGE  \* MERGEFORMAT </w:instrText>
                          </w:r>
                          <w:r>
                            <w:fldChar w:fldCharType="separate"/>
                          </w:r>
                          <w:r>
                            <w:t>25</w:t>
                          </w:r>
                          <w:r>
                            <w:fldChar w:fldCharType="end"/>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12.8pt;width:5.35pt;mso-position-horizontal:center;mso-position-horizontal-relative:margin;mso-wrap-style:none;z-index:251659264;mso-width-relative:page;mso-height-relative:page;" filled="f" stroked="f" coordsize="21600,21600" o:gfxdata="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KwDgBNEAAAADAQAADwAAAAAAAAABACAAAAAiAAAAZHJzL2Rvd25yZXYueG1s&#10;UEsBAhQAFAAAAAgAh07iQGAa0O7/AQAADgQAAA4AAAAAAAAAAQAgAAAAIAEAAGRycy9lMm9Eb2Mu&#10;eG1sUEsFBgAAAAAGAAYAWQEAAJEFAAAAAA==&#10;">
              <v:fill on="f" focussize="0,0"/>
              <v:stroke on="f"/>
              <v:imagedata o:title=""/>
              <o:lock v:ext="edit" aspectratio="f"/>
              <v:textbox inset="0mm,0mm,0mm,0mm" style="mso-fit-shape-to-text:t;">
                <w:txbxContent>
                  <w:p w14:paraId="2D61921E">
                    <w:pPr>
                      <w:snapToGrid w:val="0"/>
                      <w:rPr>
                        <w:sz w:val="18"/>
                        <w:szCs w:val="18"/>
                      </w:rPr>
                    </w:pPr>
                    <w:r>
                      <w:fldChar w:fldCharType="begin"/>
                    </w:r>
                    <w:r>
                      <w:instrText xml:space="preserve"> PAGE  \* MERGEFORMAT </w:instrText>
                    </w:r>
                    <w:r>
                      <w:fldChar w:fldCharType="separate"/>
                    </w:r>
                    <w:r>
                      <w:t>25</w:t>
                    </w:r>
                    <w:r>
                      <w:fldChar w:fldCharType="end"/>
                    </w:r>
                  </w:p>
                </w:txbxContent>
              </v:textbox>
            </v:shape>
          </w:pict>
        </mc:Fallback>
      </mc:AlternateContent>
    </w:r>
    <w:r>
      <w:rPr>
        <w:rStyle w:val="32"/>
      </w:rPr>
      <w:t>中金招标有限责任公司编制</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30F42">
    <w:pPr>
      <w:pStyle w:val="17"/>
      <w:tabs>
        <w:tab w:val="center" w:pos="4320"/>
        <w:tab w:val="right" w:pos="8640"/>
        <w:tab w:val="clear" w:pos="4153"/>
        <w:tab w:val="clear" w:pos="8306"/>
      </w:tabs>
      <w:ind w:firstLine="7020" w:firstLineChars="3900"/>
      <w:jc w:val="both"/>
      <w:rPr>
        <w:rStyle w:val="32"/>
        <w:rFonts w:hint="default"/>
      </w:rPr>
    </w:pPr>
    <w:r>
      <w:rPr>
        <w:rFonts w:hint="default"/>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67945" cy="162560"/>
              <wp:effectExtent l="0" t="0" r="0" b="0"/>
              <wp:wrapNone/>
              <wp:docPr id="1" name="Text Box 1"/>
              <wp:cNvGraphicFramePr/>
              <a:graphic xmlns:a="http://schemas.openxmlformats.org/drawingml/2006/main">
                <a:graphicData uri="http://schemas.microsoft.com/office/word/2010/wordprocessingShape">
                  <wps:wsp>
                    <wps:cNvSpPr txBox="1">
                      <a:spLocks noChangeArrowheads="1"/>
                    </wps:cNvSpPr>
                    <wps:spPr bwMode="auto">
                      <a:xfrm>
                        <a:off x="0" y="0"/>
                        <a:ext cx="67945" cy="162560"/>
                      </a:xfrm>
                      <a:prstGeom prst="rect">
                        <a:avLst/>
                      </a:prstGeom>
                      <a:noFill/>
                      <a:ln>
                        <a:noFill/>
                      </a:ln>
                      <a:effectLst/>
                    </wps:spPr>
                    <wps:txbx>
                      <w:txbxContent>
                        <w:p w14:paraId="5B56EF3B">
                          <w:pPr>
                            <w:snapToGrid w:val="0"/>
                            <w:rPr>
                              <w:sz w:val="18"/>
                              <w:szCs w:val="18"/>
                            </w:rPr>
                          </w:pPr>
                          <w:r>
                            <w:fldChar w:fldCharType="begin"/>
                          </w:r>
                          <w:r>
                            <w:instrText xml:space="preserve"> PAGE  \* MERGEFORMAT </w:instrText>
                          </w:r>
                          <w:r>
                            <w:fldChar w:fldCharType="separate"/>
                          </w:r>
                          <w:r>
                            <w:t>27</w:t>
                          </w:r>
                          <w:r>
                            <w:fldChar w:fldCharType="end"/>
                          </w:r>
                        </w:p>
                      </w:txbxContent>
                    </wps:txbx>
                    <wps:bodyPr rot="0" vert="horz" wrap="none" lIns="0" tIns="0" rIns="0" bIns="0" anchor="t" anchorCtr="0" upright="1">
                      <a:spAutoFit/>
                    </wps:bodyPr>
                  </wps:wsp>
                </a:graphicData>
              </a:graphic>
            </wp:anchor>
          </w:drawing>
        </mc:Choice>
        <mc:Fallback>
          <w:pict>
            <v:shape id="Text Box 1" o:spid="_x0000_s1026" o:spt="202" type="#_x0000_t202" style="position:absolute;left:0pt;margin-top:0pt;height:12.8pt;width:5.35pt;mso-position-horizontal:center;mso-position-horizontal-relative:margin;mso-wrap-style:none;z-index:251660288;mso-width-relative:page;mso-height-relative:page;" filled="f" stroked="f" coordsize="21600,21600" o:gfxdata="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rAOAE0QAAAAMBAAAPAAAAAAAAAAEAIAAAACIAAABkcnMvZG93bnJldi54bWxQ&#10;SwECFAAUAAAACACHTuJAqhTEsf4BAAAOBAAADgAAAAAAAAABACAAAAAgAQAAZHJzL2Uyb0RvYy54&#10;bWxQSwUGAAAAAAYABgBZAQAAkAUAAAAA&#10;">
              <v:fill on="f" focussize="0,0"/>
              <v:stroke on="f"/>
              <v:imagedata o:title=""/>
              <o:lock v:ext="edit" aspectratio="f"/>
              <v:textbox inset="0mm,0mm,0mm,0mm" style="mso-fit-shape-to-text:t;">
                <w:txbxContent>
                  <w:p w14:paraId="5B56EF3B">
                    <w:pPr>
                      <w:snapToGrid w:val="0"/>
                      <w:rPr>
                        <w:sz w:val="18"/>
                        <w:szCs w:val="18"/>
                      </w:rPr>
                    </w:pPr>
                    <w:r>
                      <w:fldChar w:fldCharType="begin"/>
                    </w:r>
                    <w:r>
                      <w:instrText xml:space="preserve"> PAGE  \* MERGEFORMAT </w:instrText>
                    </w:r>
                    <w:r>
                      <w:fldChar w:fldCharType="separate"/>
                    </w:r>
                    <w:r>
                      <w:t>27</w:t>
                    </w:r>
                    <w:r>
                      <w:fldChar w:fldCharType="end"/>
                    </w:r>
                  </w:p>
                </w:txbxContent>
              </v:textbox>
            </v:shape>
          </w:pict>
        </mc:Fallback>
      </mc:AlternateContent>
    </w:r>
    <w:r>
      <w:rPr>
        <w:rStyle w:val="32"/>
      </w:rPr>
      <w:t>中金招标有限责任公司编制</w:t>
    </w:r>
  </w:p>
  <w:p w14:paraId="2ECE7A0B">
    <w:pPr>
      <w:pStyle w:val="17"/>
      <w:rPr>
        <w:rFonts w:hint="default"/>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E1D5C">
    <w:pPr>
      <w:pStyle w:val="19"/>
      <w:pBdr>
        <w:bottom w:val="none" w:color="auto" w:sz="0" w:space="0"/>
      </w:pBdr>
      <w:rPr>
        <w:rFonts w:hint="default"/>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53C27">
    <w:pPr>
      <w:pStyle w:val="19"/>
      <w:pBdr>
        <w:bottom w:val="none" w:color="auto" w:sz="0" w:space="1"/>
      </w:pBdr>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8E625D"/>
    <w:multiLevelType w:val="singleLevel"/>
    <w:tmpl w:val="9A8E625D"/>
    <w:lvl w:ilvl="0" w:tentative="0">
      <w:start w:val="1"/>
      <w:numFmt w:val="decimal"/>
      <w:lvlText w:val="%1."/>
      <w:lvlJc w:val="left"/>
      <w:pPr>
        <w:tabs>
          <w:tab w:val="left" w:pos="312"/>
        </w:tabs>
      </w:pPr>
    </w:lvl>
  </w:abstractNum>
  <w:abstractNum w:abstractNumId="1">
    <w:nsid w:val="A746F99E"/>
    <w:multiLevelType w:val="singleLevel"/>
    <w:tmpl w:val="A746F99E"/>
    <w:lvl w:ilvl="0" w:tentative="0">
      <w:start w:val="1"/>
      <w:numFmt w:val="decimal"/>
      <w:suff w:val="nothing"/>
      <w:lvlText w:val="%1、"/>
      <w:lvlJc w:val="left"/>
    </w:lvl>
  </w:abstractNum>
  <w:abstractNum w:abstractNumId="2">
    <w:nsid w:val="B65A0189"/>
    <w:multiLevelType w:val="singleLevel"/>
    <w:tmpl w:val="B65A0189"/>
    <w:lvl w:ilvl="0" w:tentative="0">
      <w:start w:val="26"/>
      <w:numFmt w:val="decimal"/>
      <w:suff w:val="nothing"/>
      <w:lvlText w:val="%1、"/>
      <w:lvlJc w:val="left"/>
    </w:lvl>
  </w:abstractNum>
  <w:abstractNum w:abstractNumId="3">
    <w:nsid w:val="D10EA431"/>
    <w:multiLevelType w:val="singleLevel"/>
    <w:tmpl w:val="D10EA431"/>
    <w:lvl w:ilvl="0" w:tentative="0">
      <w:start w:val="1"/>
      <w:numFmt w:val="decimal"/>
      <w:suff w:val="nothing"/>
      <w:lvlText w:val="%1、"/>
      <w:lvlJc w:val="left"/>
    </w:lvl>
  </w:abstractNum>
  <w:abstractNum w:abstractNumId="4">
    <w:nsid w:val="E2FB938F"/>
    <w:multiLevelType w:val="singleLevel"/>
    <w:tmpl w:val="E2FB938F"/>
    <w:lvl w:ilvl="0" w:tentative="0">
      <w:start w:val="1"/>
      <w:numFmt w:val="decimal"/>
      <w:suff w:val="nothing"/>
      <w:lvlText w:val="%1、"/>
      <w:lvlJc w:val="left"/>
    </w:lvl>
  </w:abstractNum>
  <w:abstractNum w:abstractNumId="5">
    <w:nsid w:val="00431D4D"/>
    <w:multiLevelType w:val="singleLevel"/>
    <w:tmpl w:val="00431D4D"/>
    <w:lvl w:ilvl="0" w:tentative="0">
      <w:start w:val="1"/>
      <w:numFmt w:val="chineseCounting"/>
      <w:suff w:val="nothing"/>
      <w:lvlText w:val="（%1）"/>
      <w:lvlJc w:val="left"/>
      <w:rPr>
        <w:rFonts w:hint="eastAsia"/>
      </w:rPr>
    </w:lvl>
  </w:abstractNum>
  <w:abstractNum w:abstractNumId="6">
    <w:nsid w:val="102129C3"/>
    <w:multiLevelType w:val="singleLevel"/>
    <w:tmpl w:val="102129C3"/>
    <w:lvl w:ilvl="0" w:tentative="0">
      <w:start w:val="1"/>
      <w:numFmt w:val="decimal"/>
      <w:lvlText w:val="%1."/>
      <w:lvlJc w:val="left"/>
      <w:pPr>
        <w:tabs>
          <w:tab w:val="left" w:pos="312"/>
        </w:tabs>
      </w:pPr>
    </w:lvl>
  </w:abstractNum>
  <w:abstractNum w:abstractNumId="7">
    <w:nsid w:val="17892851"/>
    <w:multiLevelType w:val="multilevel"/>
    <w:tmpl w:val="17892851"/>
    <w:lvl w:ilvl="0" w:tentative="0">
      <w:start w:val="1"/>
      <w:numFmt w:val="decimal"/>
      <w:lvlText w:val="1.1.%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1F540301"/>
    <w:multiLevelType w:val="multilevel"/>
    <w:tmpl w:val="1F540301"/>
    <w:lvl w:ilvl="0" w:tentative="0">
      <w:start w:val="1"/>
      <w:numFmt w:val="decimal"/>
      <w:lvlText w:val="1.7.%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AC1EABE"/>
    <w:multiLevelType w:val="singleLevel"/>
    <w:tmpl w:val="2AC1EABE"/>
    <w:lvl w:ilvl="0" w:tentative="0">
      <w:start w:val="10"/>
      <w:numFmt w:val="decimal"/>
      <w:lvlText w:val="%1."/>
      <w:lvlJc w:val="left"/>
      <w:pPr>
        <w:tabs>
          <w:tab w:val="left" w:pos="312"/>
        </w:tabs>
      </w:pPr>
    </w:lvl>
  </w:abstractNum>
  <w:abstractNum w:abstractNumId="10">
    <w:nsid w:val="2BA6D7CB"/>
    <w:multiLevelType w:val="singleLevel"/>
    <w:tmpl w:val="2BA6D7CB"/>
    <w:lvl w:ilvl="0" w:tentative="0">
      <w:start w:val="4"/>
      <w:numFmt w:val="chineseCounting"/>
      <w:suff w:val="nothing"/>
      <w:lvlText w:val="%1、"/>
      <w:lvlJc w:val="left"/>
      <w:rPr>
        <w:rFonts w:hint="eastAsia"/>
      </w:rPr>
    </w:lvl>
  </w:abstractNum>
  <w:abstractNum w:abstractNumId="11">
    <w:nsid w:val="2C877604"/>
    <w:multiLevelType w:val="multilevel"/>
    <w:tmpl w:val="2C877604"/>
    <w:lvl w:ilvl="0" w:tentative="0">
      <w:start w:val="1"/>
      <w:numFmt w:val="decimal"/>
      <w:lvlText w:val="1.5.%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35217BD3"/>
    <w:multiLevelType w:val="multilevel"/>
    <w:tmpl w:val="35217BD3"/>
    <w:lvl w:ilvl="0" w:tentative="0">
      <w:start w:val="1"/>
      <w:numFmt w:val="decimal"/>
      <w:lvlText w:val="1.9.%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3C45758D"/>
    <w:multiLevelType w:val="multilevel"/>
    <w:tmpl w:val="3C45758D"/>
    <w:lvl w:ilvl="0" w:tentative="0">
      <w:start w:val="1"/>
      <w:numFmt w:val="decimal"/>
      <w:lvlText w:val="1.3.%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3D3F60CF"/>
    <w:multiLevelType w:val="multilevel"/>
    <w:tmpl w:val="3D3F60CF"/>
    <w:lvl w:ilvl="0" w:tentative="0">
      <w:start w:val="1"/>
      <w:numFmt w:val="decimal"/>
      <w:lvlText w:val="1.2.%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3F027603"/>
    <w:multiLevelType w:val="multilevel"/>
    <w:tmpl w:val="3F027603"/>
    <w:lvl w:ilvl="0" w:tentative="0">
      <w:start w:val="1"/>
      <w:numFmt w:val="decimal"/>
      <w:lvlText w:val="1.11.%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468F2856"/>
    <w:multiLevelType w:val="multilevel"/>
    <w:tmpl w:val="468F2856"/>
    <w:lvl w:ilvl="0" w:tentative="0">
      <w:start w:val="1"/>
      <w:numFmt w:val="decimal"/>
      <w:lvlText w:val="1.%1"/>
      <w:lvlJc w:val="left"/>
      <w:pPr>
        <w:ind w:left="420" w:hanging="420"/>
      </w:pPr>
      <w:rPr>
        <w:rFonts w:hint="eastAsia" w:ascii="仿宋" w:hAnsi="仿宋" w:eastAsia="仿宋"/>
        <w:b/>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52E31096"/>
    <w:multiLevelType w:val="multilevel"/>
    <w:tmpl w:val="52E31096"/>
    <w:lvl w:ilvl="0" w:tentative="0">
      <w:start w:val="1"/>
      <w:numFmt w:val="decimal"/>
      <w:lvlText w:val="1.10.%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59E97DD3"/>
    <w:multiLevelType w:val="singleLevel"/>
    <w:tmpl w:val="59E97DD3"/>
    <w:lvl w:ilvl="0" w:tentative="0">
      <w:start w:val="5"/>
      <w:numFmt w:val="chineseCounting"/>
      <w:suff w:val="space"/>
      <w:lvlText w:val="第%1章"/>
      <w:lvlJc w:val="left"/>
      <w:rPr>
        <w:rFonts w:hint="eastAsia"/>
        <w:highlight w:val="none"/>
      </w:rPr>
    </w:lvl>
  </w:abstractNum>
  <w:abstractNum w:abstractNumId="19">
    <w:nsid w:val="5DDB0E99"/>
    <w:multiLevelType w:val="singleLevel"/>
    <w:tmpl w:val="5DDB0E99"/>
    <w:lvl w:ilvl="0" w:tentative="0">
      <w:start w:val="1"/>
      <w:numFmt w:val="chineseCounting"/>
      <w:suff w:val="nothing"/>
      <w:lvlText w:val="%1、"/>
      <w:lvlJc w:val="left"/>
      <w:rPr>
        <w:rFonts w:hint="eastAsia"/>
      </w:rPr>
    </w:lvl>
  </w:abstractNum>
  <w:abstractNum w:abstractNumId="20">
    <w:nsid w:val="67536114"/>
    <w:multiLevelType w:val="singleLevel"/>
    <w:tmpl w:val="67536114"/>
    <w:lvl w:ilvl="0" w:tentative="0">
      <w:start w:val="4"/>
      <w:numFmt w:val="chineseCounting"/>
      <w:suff w:val="space"/>
      <w:lvlText w:val="第%1章"/>
      <w:lvlJc w:val="left"/>
      <w:rPr>
        <w:rFonts w:hint="eastAsia"/>
      </w:rPr>
    </w:lvl>
  </w:abstractNum>
  <w:abstractNum w:abstractNumId="21">
    <w:nsid w:val="688200FA"/>
    <w:multiLevelType w:val="multilevel"/>
    <w:tmpl w:val="688200FA"/>
    <w:lvl w:ilvl="0" w:tentative="0">
      <w:start w:val="1"/>
      <w:numFmt w:val="decimal"/>
      <w:lvlText w:val="1.6.%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7948F4EE"/>
    <w:multiLevelType w:val="singleLevel"/>
    <w:tmpl w:val="7948F4EE"/>
    <w:lvl w:ilvl="0" w:tentative="0">
      <w:start w:val="1"/>
      <w:numFmt w:val="decimal"/>
      <w:suff w:val="nothing"/>
      <w:lvlText w:val="%1、"/>
      <w:lvlJc w:val="left"/>
    </w:lvl>
  </w:abstractNum>
  <w:abstractNum w:abstractNumId="23">
    <w:nsid w:val="7AE27069"/>
    <w:multiLevelType w:val="singleLevel"/>
    <w:tmpl w:val="7AE27069"/>
    <w:lvl w:ilvl="0" w:tentative="0">
      <w:start w:val="1"/>
      <w:numFmt w:val="decimal"/>
      <w:pStyle w:val="69"/>
      <w:suff w:val="nothing"/>
      <w:lvlText w:val="%1、"/>
      <w:lvlJc w:val="left"/>
    </w:lvl>
  </w:abstractNum>
  <w:abstractNum w:abstractNumId="24">
    <w:nsid w:val="7E6C45F3"/>
    <w:multiLevelType w:val="multilevel"/>
    <w:tmpl w:val="7E6C45F3"/>
    <w:lvl w:ilvl="0" w:tentative="0">
      <w:start w:val="1"/>
      <w:numFmt w:val="decimal"/>
      <w:lvlText w:val="1.4.%1"/>
      <w:lvlJc w:val="left"/>
      <w:pPr>
        <w:ind w:left="420" w:hanging="420"/>
      </w:pPr>
      <w:rPr>
        <w:rFonts w:hint="eastAsia"/>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3"/>
  </w:num>
  <w:num w:numId="2">
    <w:abstractNumId w:val="10"/>
  </w:num>
  <w:num w:numId="3">
    <w:abstractNumId w:val="2"/>
  </w:num>
  <w:num w:numId="4">
    <w:abstractNumId w:val="9"/>
  </w:num>
  <w:num w:numId="5">
    <w:abstractNumId w:val="0"/>
  </w:num>
  <w:num w:numId="6">
    <w:abstractNumId w:val="20"/>
  </w:num>
  <w:num w:numId="7">
    <w:abstractNumId w:val="19"/>
  </w:num>
  <w:num w:numId="8">
    <w:abstractNumId w:val="5"/>
  </w:num>
  <w:num w:numId="9">
    <w:abstractNumId w:val="4"/>
  </w:num>
  <w:num w:numId="10">
    <w:abstractNumId w:val="1"/>
  </w:num>
  <w:num w:numId="11">
    <w:abstractNumId w:val="3"/>
  </w:num>
  <w:num w:numId="12">
    <w:abstractNumId w:val="22"/>
  </w:num>
  <w:num w:numId="13">
    <w:abstractNumId w:val="18"/>
  </w:num>
  <w:num w:numId="14">
    <w:abstractNumId w:val="16"/>
  </w:num>
  <w:num w:numId="15">
    <w:abstractNumId w:val="7"/>
  </w:num>
  <w:num w:numId="16">
    <w:abstractNumId w:val="14"/>
  </w:num>
  <w:num w:numId="17">
    <w:abstractNumId w:val="13"/>
  </w:num>
  <w:num w:numId="18">
    <w:abstractNumId w:val="24"/>
  </w:num>
  <w:num w:numId="19">
    <w:abstractNumId w:val="11"/>
  </w:num>
  <w:num w:numId="20">
    <w:abstractNumId w:val="21"/>
  </w:num>
  <w:num w:numId="21">
    <w:abstractNumId w:val="8"/>
  </w:num>
  <w:num w:numId="22">
    <w:abstractNumId w:val="12"/>
  </w:num>
  <w:num w:numId="23">
    <w:abstractNumId w:val="17"/>
  </w:num>
  <w:num w:numId="24">
    <w:abstractNumId w:val="15"/>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NTM1MjA3MrUEIjNjQyUdpeDU4uLM/DyQAuNaAK6v6BMsAAAA"/>
    <w:docVar w:name="commondata" w:val="eyJoZGlkIjoiNzc2M2EwOTE5NjZhOTgyNTRlZDcxYzdiZGI0ZWE3YTUifQ=="/>
  </w:docVars>
  <w:rsids>
    <w:rsidRoot w:val="008A5AD0"/>
    <w:rsid w:val="000252C0"/>
    <w:rsid w:val="0003243F"/>
    <w:rsid w:val="000603EB"/>
    <w:rsid w:val="000935A4"/>
    <w:rsid w:val="000D68D9"/>
    <w:rsid w:val="00101E0F"/>
    <w:rsid w:val="001056BB"/>
    <w:rsid w:val="00114D36"/>
    <w:rsid w:val="001350CD"/>
    <w:rsid w:val="00156862"/>
    <w:rsid w:val="00191F09"/>
    <w:rsid w:val="00192142"/>
    <w:rsid w:val="001A2AB3"/>
    <w:rsid w:val="001A6E87"/>
    <w:rsid w:val="0023187B"/>
    <w:rsid w:val="0024500C"/>
    <w:rsid w:val="002545B3"/>
    <w:rsid w:val="0027506E"/>
    <w:rsid w:val="00276E33"/>
    <w:rsid w:val="002801FF"/>
    <w:rsid w:val="002A0A4C"/>
    <w:rsid w:val="002D1C6E"/>
    <w:rsid w:val="002D1EDD"/>
    <w:rsid w:val="00313F72"/>
    <w:rsid w:val="00322B5B"/>
    <w:rsid w:val="003361DE"/>
    <w:rsid w:val="00350B00"/>
    <w:rsid w:val="00377FE8"/>
    <w:rsid w:val="0038724A"/>
    <w:rsid w:val="00387B38"/>
    <w:rsid w:val="00390407"/>
    <w:rsid w:val="003B21EA"/>
    <w:rsid w:val="003B4961"/>
    <w:rsid w:val="003C6888"/>
    <w:rsid w:val="003F1F08"/>
    <w:rsid w:val="00466090"/>
    <w:rsid w:val="004847B2"/>
    <w:rsid w:val="004C26FC"/>
    <w:rsid w:val="004C3F8E"/>
    <w:rsid w:val="004F7290"/>
    <w:rsid w:val="00521745"/>
    <w:rsid w:val="00521957"/>
    <w:rsid w:val="0052642E"/>
    <w:rsid w:val="00531766"/>
    <w:rsid w:val="00543B85"/>
    <w:rsid w:val="00580B1C"/>
    <w:rsid w:val="005B19A0"/>
    <w:rsid w:val="005C642D"/>
    <w:rsid w:val="005D7738"/>
    <w:rsid w:val="005E3D0A"/>
    <w:rsid w:val="006315C4"/>
    <w:rsid w:val="006356C6"/>
    <w:rsid w:val="00690F04"/>
    <w:rsid w:val="00755DF0"/>
    <w:rsid w:val="00773F1F"/>
    <w:rsid w:val="007B5496"/>
    <w:rsid w:val="007C4E43"/>
    <w:rsid w:val="007E7064"/>
    <w:rsid w:val="00811846"/>
    <w:rsid w:val="00816FE8"/>
    <w:rsid w:val="00847D37"/>
    <w:rsid w:val="00850874"/>
    <w:rsid w:val="00886BBC"/>
    <w:rsid w:val="00893649"/>
    <w:rsid w:val="008A5AD0"/>
    <w:rsid w:val="008D5797"/>
    <w:rsid w:val="008D5D64"/>
    <w:rsid w:val="008E67AA"/>
    <w:rsid w:val="00907432"/>
    <w:rsid w:val="00923D22"/>
    <w:rsid w:val="0093784A"/>
    <w:rsid w:val="00952C52"/>
    <w:rsid w:val="009635F6"/>
    <w:rsid w:val="00964542"/>
    <w:rsid w:val="009931E3"/>
    <w:rsid w:val="009959F1"/>
    <w:rsid w:val="009B30C3"/>
    <w:rsid w:val="009C5374"/>
    <w:rsid w:val="009D69AD"/>
    <w:rsid w:val="009E30E1"/>
    <w:rsid w:val="009F525C"/>
    <w:rsid w:val="00A103A4"/>
    <w:rsid w:val="00A13020"/>
    <w:rsid w:val="00A146EE"/>
    <w:rsid w:val="00A32E0E"/>
    <w:rsid w:val="00A478C5"/>
    <w:rsid w:val="00A6147A"/>
    <w:rsid w:val="00A85986"/>
    <w:rsid w:val="00AB14A9"/>
    <w:rsid w:val="00AB460E"/>
    <w:rsid w:val="00AB4C3E"/>
    <w:rsid w:val="00AC3160"/>
    <w:rsid w:val="00AD4D4D"/>
    <w:rsid w:val="00AD7338"/>
    <w:rsid w:val="00AD7C65"/>
    <w:rsid w:val="00AE2B1E"/>
    <w:rsid w:val="00AF6485"/>
    <w:rsid w:val="00B01DC7"/>
    <w:rsid w:val="00B0566F"/>
    <w:rsid w:val="00B25141"/>
    <w:rsid w:val="00B56E69"/>
    <w:rsid w:val="00B643F2"/>
    <w:rsid w:val="00B669E6"/>
    <w:rsid w:val="00BB2DFB"/>
    <w:rsid w:val="00BB4E95"/>
    <w:rsid w:val="00BE4110"/>
    <w:rsid w:val="00BE4795"/>
    <w:rsid w:val="00BF6DE9"/>
    <w:rsid w:val="00C11DF6"/>
    <w:rsid w:val="00C125D4"/>
    <w:rsid w:val="00C151AF"/>
    <w:rsid w:val="00C51955"/>
    <w:rsid w:val="00C57876"/>
    <w:rsid w:val="00C77C8D"/>
    <w:rsid w:val="00CB39E6"/>
    <w:rsid w:val="00D34B60"/>
    <w:rsid w:val="00D411BE"/>
    <w:rsid w:val="00DA3EA5"/>
    <w:rsid w:val="00DB0192"/>
    <w:rsid w:val="00DB174E"/>
    <w:rsid w:val="00DB549F"/>
    <w:rsid w:val="00DC0662"/>
    <w:rsid w:val="00DC2DA1"/>
    <w:rsid w:val="00DE1865"/>
    <w:rsid w:val="00DF793D"/>
    <w:rsid w:val="00E10D62"/>
    <w:rsid w:val="00E7366D"/>
    <w:rsid w:val="00E84779"/>
    <w:rsid w:val="00EA40E8"/>
    <w:rsid w:val="00EE63C3"/>
    <w:rsid w:val="00EF0884"/>
    <w:rsid w:val="00F058C0"/>
    <w:rsid w:val="00F300D2"/>
    <w:rsid w:val="00F31AC0"/>
    <w:rsid w:val="00FA3C2B"/>
    <w:rsid w:val="00FA6B75"/>
    <w:rsid w:val="00FF5CDC"/>
    <w:rsid w:val="010925CC"/>
    <w:rsid w:val="011253ED"/>
    <w:rsid w:val="01255120"/>
    <w:rsid w:val="013B4944"/>
    <w:rsid w:val="014337F8"/>
    <w:rsid w:val="01486FAE"/>
    <w:rsid w:val="015754F6"/>
    <w:rsid w:val="016F4F63"/>
    <w:rsid w:val="01CD7566"/>
    <w:rsid w:val="01E46D89"/>
    <w:rsid w:val="01F571E8"/>
    <w:rsid w:val="020C62E0"/>
    <w:rsid w:val="02187408"/>
    <w:rsid w:val="022A16E3"/>
    <w:rsid w:val="02317AF5"/>
    <w:rsid w:val="024B6BA5"/>
    <w:rsid w:val="02590A50"/>
    <w:rsid w:val="026E2712"/>
    <w:rsid w:val="0284231A"/>
    <w:rsid w:val="028642E4"/>
    <w:rsid w:val="02931189"/>
    <w:rsid w:val="029F0F02"/>
    <w:rsid w:val="02B37A17"/>
    <w:rsid w:val="02C01A36"/>
    <w:rsid w:val="02DF4D9F"/>
    <w:rsid w:val="02E6168A"/>
    <w:rsid w:val="02F23728"/>
    <w:rsid w:val="030612C1"/>
    <w:rsid w:val="030B2604"/>
    <w:rsid w:val="031C07A5"/>
    <w:rsid w:val="0328613E"/>
    <w:rsid w:val="03323B24"/>
    <w:rsid w:val="033F69BF"/>
    <w:rsid w:val="035F2950"/>
    <w:rsid w:val="03600692"/>
    <w:rsid w:val="0374413D"/>
    <w:rsid w:val="03863E70"/>
    <w:rsid w:val="03990047"/>
    <w:rsid w:val="03A72764"/>
    <w:rsid w:val="03A82039"/>
    <w:rsid w:val="03B635B6"/>
    <w:rsid w:val="03C9092D"/>
    <w:rsid w:val="03CA0201"/>
    <w:rsid w:val="03DD3AC8"/>
    <w:rsid w:val="03EA43FF"/>
    <w:rsid w:val="04261197"/>
    <w:rsid w:val="0433224A"/>
    <w:rsid w:val="045A0DF3"/>
    <w:rsid w:val="045A683B"/>
    <w:rsid w:val="04AD0792"/>
    <w:rsid w:val="04AF4C84"/>
    <w:rsid w:val="04B0389B"/>
    <w:rsid w:val="04CB1205"/>
    <w:rsid w:val="04D53301"/>
    <w:rsid w:val="04DC4690"/>
    <w:rsid w:val="04DF5241"/>
    <w:rsid w:val="04E10EE7"/>
    <w:rsid w:val="04EF3493"/>
    <w:rsid w:val="04F25C61"/>
    <w:rsid w:val="052E47BF"/>
    <w:rsid w:val="053C512E"/>
    <w:rsid w:val="056B2CDF"/>
    <w:rsid w:val="056B77C2"/>
    <w:rsid w:val="057F76E8"/>
    <w:rsid w:val="05943580"/>
    <w:rsid w:val="05A04E9F"/>
    <w:rsid w:val="05A56B6B"/>
    <w:rsid w:val="05B11678"/>
    <w:rsid w:val="05D709B3"/>
    <w:rsid w:val="05F257ED"/>
    <w:rsid w:val="06233BF8"/>
    <w:rsid w:val="063A573C"/>
    <w:rsid w:val="06522162"/>
    <w:rsid w:val="068E39F4"/>
    <w:rsid w:val="06902B2A"/>
    <w:rsid w:val="06C74ECC"/>
    <w:rsid w:val="06C76275"/>
    <w:rsid w:val="06CF61FF"/>
    <w:rsid w:val="06DF3513"/>
    <w:rsid w:val="06E858A6"/>
    <w:rsid w:val="06EC048E"/>
    <w:rsid w:val="07261BF2"/>
    <w:rsid w:val="07267E44"/>
    <w:rsid w:val="072D2F81"/>
    <w:rsid w:val="07375BAD"/>
    <w:rsid w:val="073A6C65"/>
    <w:rsid w:val="07465DF0"/>
    <w:rsid w:val="075954A1"/>
    <w:rsid w:val="07746E01"/>
    <w:rsid w:val="07786202"/>
    <w:rsid w:val="07887876"/>
    <w:rsid w:val="078E1545"/>
    <w:rsid w:val="07A77DA7"/>
    <w:rsid w:val="07AB20F7"/>
    <w:rsid w:val="07BE007D"/>
    <w:rsid w:val="07C05BA3"/>
    <w:rsid w:val="07F615C4"/>
    <w:rsid w:val="081E0B1B"/>
    <w:rsid w:val="08274D71"/>
    <w:rsid w:val="08377940"/>
    <w:rsid w:val="083A3D22"/>
    <w:rsid w:val="083B16CD"/>
    <w:rsid w:val="08642E79"/>
    <w:rsid w:val="088968DD"/>
    <w:rsid w:val="089C72AF"/>
    <w:rsid w:val="08A40ABB"/>
    <w:rsid w:val="08B374B6"/>
    <w:rsid w:val="08C23B9D"/>
    <w:rsid w:val="08E7715F"/>
    <w:rsid w:val="08F62325"/>
    <w:rsid w:val="09120680"/>
    <w:rsid w:val="09175D98"/>
    <w:rsid w:val="09184D5A"/>
    <w:rsid w:val="0932487E"/>
    <w:rsid w:val="095275BC"/>
    <w:rsid w:val="095D7F5D"/>
    <w:rsid w:val="09606F40"/>
    <w:rsid w:val="096B5FE2"/>
    <w:rsid w:val="096D07E2"/>
    <w:rsid w:val="097A2BC9"/>
    <w:rsid w:val="097A7FD3"/>
    <w:rsid w:val="09A3752A"/>
    <w:rsid w:val="09C70E7C"/>
    <w:rsid w:val="0A067AB9"/>
    <w:rsid w:val="0A1E12A6"/>
    <w:rsid w:val="0A1F48E4"/>
    <w:rsid w:val="0A2452B0"/>
    <w:rsid w:val="0A360B6D"/>
    <w:rsid w:val="0A3D172D"/>
    <w:rsid w:val="0A415285"/>
    <w:rsid w:val="0A415C80"/>
    <w:rsid w:val="0A4725AB"/>
    <w:rsid w:val="0A474B53"/>
    <w:rsid w:val="0A570314"/>
    <w:rsid w:val="0A64315D"/>
    <w:rsid w:val="0A892BC4"/>
    <w:rsid w:val="0A9617A0"/>
    <w:rsid w:val="0A987701"/>
    <w:rsid w:val="0AA364AD"/>
    <w:rsid w:val="0AAA2B3A"/>
    <w:rsid w:val="0AAE43D8"/>
    <w:rsid w:val="0ADA5571"/>
    <w:rsid w:val="0AE7528B"/>
    <w:rsid w:val="0B1020C4"/>
    <w:rsid w:val="0B112BB9"/>
    <w:rsid w:val="0B4B413B"/>
    <w:rsid w:val="0B4C3ABC"/>
    <w:rsid w:val="0B5C5BE2"/>
    <w:rsid w:val="0B670ADC"/>
    <w:rsid w:val="0B795467"/>
    <w:rsid w:val="0B9B717C"/>
    <w:rsid w:val="0BA17A99"/>
    <w:rsid w:val="0BA31A63"/>
    <w:rsid w:val="0BA618D0"/>
    <w:rsid w:val="0BA8511A"/>
    <w:rsid w:val="0BBC1554"/>
    <w:rsid w:val="0BC33EB3"/>
    <w:rsid w:val="0BC52D7C"/>
    <w:rsid w:val="0BC716B6"/>
    <w:rsid w:val="0BCD1417"/>
    <w:rsid w:val="0BD25EA5"/>
    <w:rsid w:val="0BE052C0"/>
    <w:rsid w:val="0BE257D4"/>
    <w:rsid w:val="0BED76F7"/>
    <w:rsid w:val="0BEF4CA9"/>
    <w:rsid w:val="0BF01F1D"/>
    <w:rsid w:val="0BF16C73"/>
    <w:rsid w:val="0C011543"/>
    <w:rsid w:val="0C083041"/>
    <w:rsid w:val="0C085CA5"/>
    <w:rsid w:val="0C0F0EA7"/>
    <w:rsid w:val="0C1E69B8"/>
    <w:rsid w:val="0C230DF6"/>
    <w:rsid w:val="0C236700"/>
    <w:rsid w:val="0C25691C"/>
    <w:rsid w:val="0C31212C"/>
    <w:rsid w:val="0C322DE7"/>
    <w:rsid w:val="0C46299C"/>
    <w:rsid w:val="0C4F5747"/>
    <w:rsid w:val="0C510ADD"/>
    <w:rsid w:val="0C547201"/>
    <w:rsid w:val="0C580544"/>
    <w:rsid w:val="0C6407B9"/>
    <w:rsid w:val="0C90500C"/>
    <w:rsid w:val="0C945850"/>
    <w:rsid w:val="0CA365D7"/>
    <w:rsid w:val="0CA7512F"/>
    <w:rsid w:val="0CAA5073"/>
    <w:rsid w:val="0CAA6E21"/>
    <w:rsid w:val="0CC7513A"/>
    <w:rsid w:val="0CF63E15"/>
    <w:rsid w:val="0CF77E35"/>
    <w:rsid w:val="0D006A41"/>
    <w:rsid w:val="0D074274"/>
    <w:rsid w:val="0D0B3D64"/>
    <w:rsid w:val="0D0D3AEA"/>
    <w:rsid w:val="0D160B54"/>
    <w:rsid w:val="0D181FB0"/>
    <w:rsid w:val="0D374B59"/>
    <w:rsid w:val="0D3E00C5"/>
    <w:rsid w:val="0D4C7ED9"/>
    <w:rsid w:val="0D5749B7"/>
    <w:rsid w:val="0D5A0848"/>
    <w:rsid w:val="0D71259C"/>
    <w:rsid w:val="0D7D66D2"/>
    <w:rsid w:val="0D927FE1"/>
    <w:rsid w:val="0DA63A8D"/>
    <w:rsid w:val="0DB10A78"/>
    <w:rsid w:val="0DB717F6"/>
    <w:rsid w:val="0DED5218"/>
    <w:rsid w:val="0DFE5677"/>
    <w:rsid w:val="0E0978E8"/>
    <w:rsid w:val="0E230C39"/>
    <w:rsid w:val="0E3A41D5"/>
    <w:rsid w:val="0E484B44"/>
    <w:rsid w:val="0E4F1934"/>
    <w:rsid w:val="0E511C4A"/>
    <w:rsid w:val="0E5434E9"/>
    <w:rsid w:val="0E795843"/>
    <w:rsid w:val="0EA35B15"/>
    <w:rsid w:val="0EA9364F"/>
    <w:rsid w:val="0EBA736C"/>
    <w:rsid w:val="0EC046DA"/>
    <w:rsid w:val="0EC164B3"/>
    <w:rsid w:val="0EC33362"/>
    <w:rsid w:val="0ED62150"/>
    <w:rsid w:val="0EE02746"/>
    <w:rsid w:val="0EF56D7A"/>
    <w:rsid w:val="0F1A7D9E"/>
    <w:rsid w:val="0F491E09"/>
    <w:rsid w:val="0F512F0F"/>
    <w:rsid w:val="0F847DFE"/>
    <w:rsid w:val="0F98062C"/>
    <w:rsid w:val="0FA26822"/>
    <w:rsid w:val="0FC5771B"/>
    <w:rsid w:val="0FD3668F"/>
    <w:rsid w:val="0FDB6B4D"/>
    <w:rsid w:val="0FFB2630"/>
    <w:rsid w:val="101E3DAE"/>
    <w:rsid w:val="102B64CB"/>
    <w:rsid w:val="104666EA"/>
    <w:rsid w:val="104A4BA3"/>
    <w:rsid w:val="104D4694"/>
    <w:rsid w:val="1061739F"/>
    <w:rsid w:val="107E65FB"/>
    <w:rsid w:val="10831E63"/>
    <w:rsid w:val="108A4FA0"/>
    <w:rsid w:val="10B938D7"/>
    <w:rsid w:val="10C55FD8"/>
    <w:rsid w:val="10CD2C3A"/>
    <w:rsid w:val="10D97CD5"/>
    <w:rsid w:val="10E723F2"/>
    <w:rsid w:val="10EC607A"/>
    <w:rsid w:val="1109680C"/>
    <w:rsid w:val="11270A41"/>
    <w:rsid w:val="114C494B"/>
    <w:rsid w:val="1170063A"/>
    <w:rsid w:val="11B5429E"/>
    <w:rsid w:val="11CB0D04"/>
    <w:rsid w:val="11F205CD"/>
    <w:rsid w:val="11F2120D"/>
    <w:rsid w:val="12062D04"/>
    <w:rsid w:val="121D1E44"/>
    <w:rsid w:val="12240AB8"/>
    <w:rsid w:val="12521AED"/>
    <w:rsid w:val="12681311"/>
    <w:rsid w:val="12886E2C"/>
    <w:rsid w:val="1292638E"/>
    <w:rsid w:val="12E509F6"/>
    <w:rsid w:val="12E56E05"/>
    <w:rsid w:val="130D2F59"/>
    <w:rsid w:val="130D3C66"/>
    <w:rsid w:val="130F34F4"/>
    <w:rsid w:val="130F79DE"/>
    <w:rsid w:val="132A0CBC"/>
    <w:rsid w:val="132E68C3"/>
    <w:rsid w:val="136D7446"/>
    <w:rsid w:val="13804BA5"/>
    <w:rsid w:val="13857CA0"/>
    <w:rsid w:val="138E4DA7"/>
    <w:rsid w:val="13946135"/>
    <w:rsid w:val="13A26AA4"/>
    <w:rsid w:val="13BB7B66"/>
    <w:rsid w:val="13C83E16"/>
    <w:rsid w:val="13C92283"/>
    <w:rsid w:val="13D63D8F"/>
    <w:rsid w:val="13E250F3"/>
    <w:rsid w:val="13E40E6B"/>
    <w:rsid w:val="13E64BE3"/>
    <w:rsid w:val="13EB044B"/>
    <w:rsid w:val="13F72750"/>
    <w:rsid w:val="14134772"/>
    <w:rsid w:val="14290F74"/>
    <w:rsid w:val="143C0CA7"/>
    <w:rsid w:val="14412D1E"/>
    <w:rsid w:val="145A1533"/>
    <w:rsid w:val="146A29F1"/>
    <w:rsid w:val="147321EF"/>
    <w:rsid w:val="147E08FB"/>
    <w:rsid w:val="149503B7"/>
    <w:rsid w:val="14A94ED6"/>
    <w:rsid w:val="14AA7E3E"/>
    <w:rsid w:val="14B940A6"/>
    <w:rsid w:val="14D64C58"/>
    <w:rsid w:val="14DB04C0"/>
    <w:rsid w:val="14E37374"/>
    <w:rsid w:val="14F94F18"/>
    <w:rsid w:val="14FD5728"/>
    <w:rsid w:val="15175270"/>
    <w:rsid w:val="153E6DC0"/>
    <w:rsid w:val="15437E13"/>
    <w:rsid w:val="155314CB"/>
    <w:rsid w:val="15565D98"/>
    <w:rsid w:val="155B33AF"/>
    <w:rsid w:val="155E2E9F"/>
    <w:rsid w:val="15695ACC"/>
    <w:rsid w:val="15703784"/>
    <w:rsid w:val="15802E15"/>
    <w:rsid w:val="15920238"/>
    <w:rsid w:val="1594066F"/>
    <w:rsid w:val="159A3ED7"/>
    <w:rsid w:val="15A20227"/>
    <w:rsid w:val="15A44D56"/>
    <w:rsid w:val="15BA6327"/>
    <w:rsid w:val="15DD0268"/>
    <w:rsid w:val="15EB4733"/>
    <w:rsid w:val="15F74C1B"/>
    <w:rsid w:val="161C0D90"/>
    <w:rsid w:val="161D0664"/>
    <w:rsid w:val="162F5177"/>
    <w:rsid w:val="16312AA7"/>
    <w:rsid w:val="16467BBB"/>
    <w:rsid w:val="165A6519"/>
    <w:rsid w:val="166167A3"/>
    <w:rsid w:val="166504E2"/>
    <w:rsid w:val="16695657"/>
    <w:rsid w:val="168671B6"/>
    <w:rsid w:val="16904672"/>
    <w:rsid w:val="169721C5"/>
    <w:rsid w:val="1697487D"/>
    <w:rsid w:val="169F23BD"/>
    <w:rsid w:val="16AB67ED"/>
    <w:rsid w:val="16C44F84"/>
    <w:rsid w:val="16CD3E38"/>
    <w:rsid w:val="16D231FD"/>
    <w:rsid w:val="16DF3B6C"/>
    <w:rsid w:val="17045511"/>
    <w:rsid w:val="171750B3"/>
    <w:rsid w:val="171952CF"/>
    <w:rsid w:val="171C6B6E"/>
    <w:rsid w:val="172F463D"/>
    <w:rsid w:val="17326391"/>
    <w:rsid w:val="173F0DBD"/>
    <w:rsid w:val="1743234C"/>
    <w:rsid w:val="176640AC"/>
    <w:rsid w:val="176B25E8"/>
    <w:rsid w:val="178D35C8"/>
    <w:rsid w:val="17A252C5"/>
    <w:rsid w:val="17CF3BE0"/>
    <w:rsid w:val="17F12250"/>
    <w:rsid w:val="180061BE"/>
    <w:rsid w:val="18273A1C"/>
    <w:rsid w:val="184F3C61"/>
    <w:rsid w:val="185A5BA0"/>
    <w:rsid w:val="185C36C6"/>
    <w:rsid w:val="1867549B"/>
    <w:rsid w:val="186C7681"/>
    <w:rsid w:val="187E57CB"/>
    <w:rsid w:val="18924A5C"/>
    <w:rsid w:val="18AC5CCF"/>
    <w:rsid w:val="18AD2173"/>
    <w:rsid w:val="18AE37F5"/>
    <w:rsid w:val="18BD0292"/>
    <w:rsid w:val="18BF32EC"/>
    <w:rsid w:val="18C96881"/>
    <w:rsid w:val="18D47700"/>
    <w:rsid w:val="18D771F0"/>
    <w:rsid w:val="18DC0363"/>
    <w:rsid w:val="18E3449D"/>
    <w:rsid w:val="18FC6C57"/>
    <w:rsid w:val="18FD09C1"/>
    <w:rsid w:val="191012F4"/>
    <w:rsid w:val="193D00EF"/>
    <w:rsid w:val="193F08F1"/>
    <w:rsid w:val="194D74B2"/>
    <w:rsid w:val="194F6D87"/>
    <w:rsid w:val="195C5947"/>
    <w:rsid w:val="19764E80"/>
    <w:rsid w:val="197C38F4"/>
    <w:rsid w:val="198A6011"/>
    <w:rsid w:val="198E54D7"/>
    <w:rsid w:val="199A43CF"/>
    <w:rsid w:val="199C1A8C"/>
    <w:rsid w:val="19FD67E3"/>
    <w:rsid w:val="1A13434E"/>
    <w:rsid w:val="1A231FC1"/>
    <w:rsid w:val="1A3A17E5"/>
    <w:rsid w:val="1A554870"/>
    <w:rsid w:val="1A6A182D"/>
    <w:rsid w:val="1A6C3968"/>
    <w:rsid w:val="1A9F317D"/>
    <w:rsid w:val="1AA17AB6"/>
    <w:rsid w:val="1AB6219F"/>
    <w:rsid w:val="1ABA5B13"/>
    <w:rsid w:val="1ABD27ED"/>
    <w:rsid w:val="1AD02149"/>
    <w:rsid w:val="1ADE183F"/>
    <w:rsid w:val="1AEC6857"/>
    <w:rsid w:val="1B027E29"/>
    <w:rsid w:val="1B040045"/>
    <w:rsid w:val="1B3B31AA"/>
    <w:rsid w:val="1B4030A6"/>
    <w:rsid w:val="1B4641B9"/>
    <w:rsid w:val="1B4D5548"/>
    <w:rsid w:val="1B757DE1"/>
    <w:rsid w:val="1B765E86"/>
    <w:rsid w:val="1B7927E1"/>
    <w:rsid w:val="1BA55F1E"/>
    <w:rsid w:val="1BAD6FC7"/>
    <w:rsid w:val="1BCA4DEA"/>
    <w:rsid w:val="1BCD6688"/>
    <w:rsid w:val="1BD9502D"/>
    <w:rsid w:val="1BE0460E"/>
    <w:rsid w:val="1BE414FD"/>
    <w:rsid w:val="1BF55B82"/>
    <w:rsid w:val="1BF956CF"/>
    <w:rsid w:val="1BFD0D1C"/>
    <w:rsid w:val="1C2E5379"/>
    <w:rsid w:val="1C311B1C"/>
    <w:rsid w:val="1C387FA6"/>
    <w:rsid w:val="1C606C34"/>
    <w:rsid w:val="1C80194D"/>
    <w:rsid w:val="1C896A53"/>
    <w:rsid w:val="1C9230C5"/>
    <w:rsid w:val="1CA707FA"/>
    <w:rsid w:val="1CB00E18"/>
    <w:rsid w:val="1CBC0BD7"/>
    <w:rsid w:val="1CCB0E1A"/>
    <w:rsid w:val="1CE57F1E"/>
    <w:rsid w:val="1CEC3AAA"/>
    <w:rsid w:val="1CEC6DE8"/>
    <w:rsid w:val="1CFA16FF"/>
    <w:rsid w:val="1CFF7D74"/>
    <w:rsid w:val="1D0566CB"/>
    <w:rsid w:val="1D09272C"/>
    <w:rsid w:val="1D392227"/>
    <w:rsid w:val="1D4D182F"/>
    <w:rsid w:val="1D570A82"/>
    <w:rsid w:val="1D5E2383"/>
    <w:rsid w:val="1D8B2357"/>
    <w:rsid w:val="1DA954F0"/>
    <w:rsid w:val="1DE500AA"/>
    <w:rsid w:val="1DE66F2E"/>
    <w:rsid w:val="1E0C793C"/>
    <w:rsid w:val="1E18008F"/>
    <w:rsid w:val="1E4569AA"/>
    <w:rsid w:val="1E4D585F"/>
    <w:rsid w:val="1E4F7829"/>
    <w:rsid w:val="1E57048B"/>
    <w:rsid w:val="1E5E2859"/>
    <w:rsid w:val="1E6D41DD"/>
    <w:rsid w:val="1E735C2E"/>
    <w:rsid w:val="1E753E45"/>
    <w:rsid w:val="1E8F15FB"/>
    <w:rsid w:val="1EA163B6"/>
    <w:rsid w:val="1EB678A8"/>
    <w:rsid w:val="1EB83620"/>
    <w:rsid w:val="1ECD13E1"/>
    <w:rsid w:val="1ECE2E43"/>
    <w:rsid w:val="1EDD6BE3"/>
    <w:rsid w:val="1EE95587"/>
    <w:rsid w:val="1EF328AA"/>
    <w:rsid w:val="1EFA3FB6"/>
    <w:rsid w:val="1F093E7B"/>
    <w:rsid w:val="1F22562D"/>
    <w:rsid w:val="1F267E16"/>
    <w:rsid w:val="1F352822"/>
    <w:rsid w:val="1F5275D0"/>
    <w:rsid w:val="1F6E1F30"/>
    <w:rsid w:val="1F6F5FDA"/>
    <w:rsid w:val="1F70574E"/>
    <w:rsid w:val="1F792AD8"/>
    <w:rsid w:val="1FA40D60"/>
    <w:rsid w:val="1FB931AC"/>
    <w:rsid w:val="1FBC4A4A"/>
    <w:rsid w:val="1FCF0C21"/>
    <w:rsid w:val="1FD20711"/>
    <w:rsid w:val="1FDC64B6"/>
    <w:rsid w:val="1FDF1F4D"/>
    <w:rsid w:val="1FF73CD4"/>
    <w:rsid w:val="1FFE5062"/>
    <w:rsid w:val="20122BB9"/>
    <w:rsid w:val="202E78C7"/>
    <w:rsid w:val="203E7B55"/>
    <w:rsid w:val="20557B52"/>
    <w:rsid w:val="20944D92"/>
    <w:rsid w:val="209459C7"/>
    <w:rsid w:val="20B135CD"/>
    <w:rsid w:val="20DC6B65"/>
    <w:rsid w:val="2102341E"/>
    <w:rsid w:val="210539C6"/>
    <w:rsid w:val="212432DF"/>
    <w:rsid w:val="21346ED2"/>
    <w:rsid w:val="21505D92"/>
    <w:rsid w:val="21551943"/>
    <w:rsid w:val="21572332"/>
    <w:rsid w:val="2177331E"/>
    <w:rsid w:val="21884DF6"/>
    <w:rsid w:val="219A0DBB"/>
    <w:rsid w:val="21BA1FBD"/>
    <w:rsid w:val="21E02AE6"/>
    <w:rsid w:val="21E309B4"/>
    <w:rsid w:val="220D2602"/>
    <w:rsid w:val="22254F70"/>
    <w:rsid w:val="222A655C"/>
    <w:rsid w:val="2294376F"/>
    <w:rsid w:val="229B2C11"/>
    <w:rsid w:val="22C81958"/>
    <w:rsid w:val="22D84291"/>
    <w:rsid w:val="22E22A19"/>
    <w:rsid w:val="22F40B07"/>
    <w:rsid w:val="22FA4207"/>
    <w:rsid w:val="230D3ED6"/>
    <w:rsid w:val="231177A3"/>
    <w:rsid w:val="23285B37"/>
    <w:rsid w:val="232B1C4A"/>
    <w:rsid w:val="2331574F"/>
    <w:rsid w:val="234536DD"/>
    <w:rsid w:val="234F7600"/>
    <w:rsid w:val="2358717F"/>
    <w:rsid w:val="237C10C0"/>
    <w:rsid w:val="2396250A"/>
    <w:rsid w:val="23CD3FEF"/>
    <w:rsid w:val="23D55285"/>
    <w:rsid w:val="23DF33FD"/>
    <w:rsid w:val="23EC3430"/>
    <w:rsid w:val="24026315"/>
    <w:rsid w:val="240A66CC"/>
    <w:rsid w:val="241237D2"/>
    <w:rsid w:val="241E5A1E"/>
    <w:rsid w:val="245416F5"/>
    <w:rsid w:val="24596D0B"/>
    <w:rsid w:val="2463402E"/>
    <w:rsid w:val="24653902"/>
    <w:rsid w:val="246D0A09"/>
    <w:rsid w:val="248D4C07"/>
    <w:rsid w:val="249146F7"/>
    <w:rsid w:val="249917FE"/>
    <w:rsid w:val="24A106B2"/>
    <w:rsid w:val="24AB7303"/>
    <w:rsid w:val="24B840D7"/>
    <w:rsid w:val="24B91EA0"/>
    <w:rsid w:val="24BA3568"/>
    <w:rsid w:val="24F37160"/>
    <w:rsid w:val="253B765B"/>
    <w:rsid w:val="2540611D"/>
    <w:rsid w:val="2551032A"/>
    <w:rsid w:val="25565941"/>
    <w:rsid w:val="256718FC"/>
    <w:rsid w:val="257A162F"/>
    <w:rsid w:val="257A33DD"/>
    <w:rsid w:val="258C4C8D"/>
    <w:rsid w:val="259E68E3"/>
    <w:rsid w:val="25B94321"/>
    <w:rsid w:val="25BA5ED0"/>
    <w:rsid w:val="25BD151C"/>
    <w:rsid w:val="25D32AED"/>
    <w:rsid w:val="25D36F91"/>
    <w:rsid w:val="26165953"/>
    <w:rsid w:val="262E5F76"/>
    <w:rsid w:val="26487266"/>
    <w:rsid w:val="265754CC"/>
    <w:rsid w:val="26695200"/>
    <w:rsid w:val="26802C75"/>
    <w:rsid w:val="268809B0"/>
    <w:rsid w:val="268D6038"/>
    <w:rsid w:val="269627C4"/>
    <w:rsid w:val="269C7383"/>
    <w:rsid w:val="269D6920"/>
    <w:rsid w:val="26B21752"/>
    <w:rsid w:val="26C354F6"/>
    <w:rsid w:val="26FB67A0"/>
    <w:rsid w:val="27116908"/>
    <w:rsid w:val="27230D3E"/>
    <w:rsid w:val="2729659A"/>
    <w:rsid w:val="27402404"/>
    <w:rsid w:val="278C389C"/>
    <w:rsid w:val="279462AC"/>
    <w:rsid w:val="27A26C1B"/>
    <w:rsid w:val="27AB3D22"/>
    <w:rsid w:val="27CC5D37"/>
    <w:rsid w:val="27D8088F"/>
    <w:rsid w:val="28111CFB"/>
    <w:rsid w:val="281532AB"/>
    <w:rsid w:val="281A4A03"/>
    <w:rsid w:val="2839069B"/>
    <w:rsid w:val="283A6E54"/>
    <w:rsid w:val="28463A4A"/>
    <w:rsid w:val="284974D2"/>
    <w:rsid w:val="2859377E"/>
    <w:rsid w:val="28813C95"/>
    <w:rsid w:val="28A10C81"/>
    <w:rsid w:val="28A56ED9"/>
    <w:rsid w:val="28A6176B"/>
    <w:rsid w:val="28C1704F"/>
    <w:rsid w:val="28C17575"/>
    <w:rsid w:val="28CB3F50"/>
    <w:rsid w:val="28D472A8"/>
    <w:rsid w:val="28F74D45"/>
    <w:rsid w:val="292024ED"/>
    <w:rsid w:val="29216A3D"/>
    <w:rsid w:val="29424212"/>
    <w:rsid w:val="29736AC1"/>
    <w:rsid w:val="29883BEF"/>
    <w:rsid w:val="299D101E"/>
    <w:rsid w:val="29B960F2"/>
    <w:rsid w:val="29CA7CD1"/>
    <w:rsid w:val="29CF181E"/>
    <w:rsid w:val="2A1D1338"/>
    <w:rsid w:val="2A2B114A"/>
    <w:rsid w:val="2A5A1A2F"/>
    <w:rsid w:val="2A7725E1"/>
    <w:rsid w:val="2A7A7970"/>
    <w:rsid w:val="2A7C31BD"/>
    <w:rsid w:val="2A8F792B"/>
    <w:rsid w:val="2A975A35"/>
    <w:rsid w:val="2AA809EC"/>
    <w:rsid w:val="2AA97B5E"/>
    <w:rsid w:val="2AB253C7"/>
    <w:rsid w:val="2ABE5B1A"/>
    <w:rsid w:val="2AC15E49"/>
    <w:rsid w:val="2ADB491E"/>
    <w:rsid w:val="2AFB6D6E"/>
    <w:rsid w:val="2B0A694D"/>
    <w:rsid w:val="2B0B4AD7"/>
    <w:rsid w:val="2B275DB5"/>
    <w:rsid w:val="2B3C3BE4"/>
    <w:rsid w:val="2B41674B"/>
    <w:rsid w:val="2B5449A3"/>
    <w:rsid w:val="2B604E23"/>
    <w:rsid w:val="2B6D7540"/>
    <w:rsid w:val="2B7335D1"/>
    <w:rsid w:val="2BD61589"/>
    <w:rsid w:val="2BDA2E28"/>
    <w:rsid w:val="2BDB094E"/>
    <w:rsid w:val="2BDD6474"/>
    <w:rsid w:val="2BED7013"/>
    <w:rsid w:val="2C091017"/>
    <w:rsid w:val="2C12290F"/>
    <w:rsid w:val="2C1A1476"/>
    <w:rsid w:val="2C2A6340"/>
    <w:rsid w:val="2C307E8C"/>
    <w:rsid w:val="2C31056E"/>
    <w:rsid w:val="2C472C8F"/>
    <w:rsid w:val="2C70553A"/>
    <w:rsid w:val="2C7D37B3"/>
    <w:rsid w:val="2C820DC9"/>
    <w:rsid w:val="2C8B5ED0"/>
    <w:rsid w:val="2CBA27FE"/>
    <w:rsid w:val="2CEB696E"/>
    <w:rsid w:val="2CF1640E"/>
    <w:rsid w:val="2CFA4E04"/>
    <w:rsid w:val="2D0A5791"/>
    <w:rsid w:val="2D4D1697"/>
    <w:rsid w:val="2D510EC7"/>
    <w:rsid w:val="2D521860"/>
    <w:rsid w:val="2D5269EE"/>
    <w:rsid w:val="2D863268"/>
    <w:rsid w:val="2D9241CB"/>
    <w:rsid w:val="2DAC4350"/>
    <w:rsid w:val="2DAC6ED4"/>
    <w:rsid w:val="2DAE7C4D"/>
    <w:rsid w:val="2DAF2092"/>
    <w:rsid w:val="2DCA0C7A"/>
    <w:rsid w:val="2DE25FC3"/>
    <w:rsid w:val="2DF53107"/>
    <w:rsid w:val="2DFB32CD"/>
    <w:rsid w:val="2E224612"/>
    <w:rsid w:val="2E3031D3"/>
    <w:rsid w:val="2E4427DA"/>
    <w:rsid w:val="2E452A09"/>
    <w:rsid w:val="2E490046"/>
    <w:rsid w:val="2E50533D"/>
    <w:rsid w:val="2E536EC1"/>
    <w:rsid w:val="2E5A5EF8"/>
    <w:rsid w:val="2EAB4607"/>
    <w:rsid w:val="2EBD258D"/>
    <w:rsid w:val="2ED05B84"/>
    <w:rsid w:val="2EE61AE3"/>
    <w:rsid w:val="2EEF01BB"/>
    <w:rsid w:val="2EF3657A"/>
    <w:rsid w:val="2EFF789D"/>
    <w:rsid w:val="2F0F4119"/>
    <w:rsid w:val="2F1E127D"/>
    <w:rsid w:val="2F53482B"/>
    <w:rsid w:val="2F666780"/>
    <w:rsid w:val="2F7C5FA4"/>
    <w:rsid w:val="2F8D104A"/>
    <w:rsid w:val="2F8F3F29"/>
    <w:rsid w:val="2FA47BDC"/>
    <w:rsid w:val="2FBC6680"/>
    <w:rsid w:val="2FD951A4"/>
    <w:rsid w:val="2FDE27BA"/>
    <w:rsid w:val="2FEF6776"/>
    <w:rsid w:val="2FF604C1"/>
    <w:rsid w:val="2FFA03A7"/>
    <w:rsid w:val="302F1268"/>
    <w:rsid w:val="3038011D"/>
    <w:rsid w:val="30842AA2"/>
    <w:rsid w:val="30B023A9"/>
    <w:rsid w:val="30BF439A"/>
    <w:rsid w:val="30D8545C"/>
    <w:rsid w:val="30EE11BB"/>
    <w:rsid w:val="310D15A9"/>
    <w:rsid w:val="310F699B"/>
    <w:rsid w:val="313334A3"/>
    <w:rsid w:val="316A5385"/>
    <w:rsid w:val="31774C75"/>
    <w:rsid w:val="317F1D7B"/>
    <w:rsid w:val="31981F84"/>
    <w:rsid w:val="319845E9"/>
    <w:rsid w:val="31AC0DC2"/>
    <w:rsid w:val="31B31435"/>
    <w:rsid w:val="31C205E6"/>
    <w:rsid w:val="31DC2986"/>
    <w:rsid w:val="31EC7411"/>
    <w:rsid w:val="31F55673"/>
    <w:rsid w:val="31FA4E12"/>
    <w:rsid w:val="31FA724B"/>
    <w:rsid w:val="31FD342E"/>
    <w:rsid w:val="32342B66"/>
    <w:rsid w:val="325D030E"/>
    <w:rsid w:val="32701400"/>
    <w:rsid w:val="32805DAB"/>
    <w:rsid w:val="328F2FA3"/>
    <w:rsid w:val="32BF4B25"/>
    <w:rsid w:val="32C20171"/>
    <w:rsid w:val="32E620B2"/>
    <w:rsid w:val="32E7407C"/>
    <w:rsid w:val="32E75E2A"/>
    <w:rsid w:val="32F96543"/>
    <w:rsid w:val="32FA221C"/>
    <w:rsid w:val="32FE0D11"/>
    <w:rsid w:val="33010C9A"/>
    <w:rsid w:val="330D0647"/>
    <w:rsid w:val="331704BD"/>
    <w:rsid w:val="331D35FA"/>
    <w:rsid w:val="3321133C"/>
    <w:rsid w:val="33291F9F"/>
    <w:rsid w:val="332A0759"/>
    <w:rsid w:val="333469B6"/>
    <w:rsid w:val="333A41AC"/>
    <w:rsid w:val="333D3C9C"/>
    <w:rsid w:val="33446A11"/>
    <w:rsid w:val="335214F5"/>
    <w:rsid w:val="33782A98"/>
    <w:rsid w:val="33B26438"/>
    <w:rsid w:val="33B977C6"/>
    <w:rsid w:val="33BC72B7"/>
    <w:rsid w:val="33CB74FA"/>
    <w:rsid w:val="33D22636"/>
    <w:rsid w:val="33E5680D"/>
    <w:rsid w:val="33EA3E24"/>
    <w:rsid w:val="33EA7980"/>
    <w:rsid w:val="33F43FCF"/>
    <w:rsid w:val="34034EE6"/>
    <w:rsid w:val="34344253"/>
    <w:rsid w:val="344E43B3"/>
    <w:rsid w:val="345C7F9F"/>
    <w:rsid w:val="346377AF"/>
    <w:rsid w:val="34995067"/>
    <w:rsid w:val="349E34FB"/>
    <w:rsid w:val="34A04DAB"/>
    <w:rsid w:val="34E35EAB"/>
    <w:rsid w:val="35054521"/>
    <w:rsid w:val="350D6AE8"/>
    <w:rsid w:val="351D5B33"/>
    <w:rsid w:val="3553274B"/>
    <w:rsid w:val="356E7924"/>
    <w:rsid w:val="357A2F85"/>
    <w:rsid w:val="357F555F"/>
    <w:rsid w:val="358160C2"/>
    <w:rsid w:val="3589141A"/>
    <w:rsid w:val="358A307C"/>
    <w:rsid w:val="35995598"/>
    <w:rsid w:val="359A7184"/>
    <w:rsid w:val="359D0A22"/>
    <w:rsid w:val="35A41DB0"/>
    <w:rsid w:val="35A87AF3"/>
    <w:rsid w:val="35BC0845"/>
    <w:rsid w:val="35C56367"/>
    <w:rsid w:val="35CA5CBB"/>
    <w:rsid w:val="3608233F"/>
    <w:rsid w:val="3613598D"/>
    <w:rsid w:val="3622643C"/>
    <w:rsid w:val="36276456"/>
    <w:rsid w:val="362B37FB"/>
    <w:rsid w:val="36323860"/>
    <w:rsid w:val="365B2DB7"/>
    <w:rsid w:val="368C2F70"/>
    <w:rsid w:val="369E2CA4"/>
    <w:rsid w:val="36CE17DB"/>
    <w:rsid w:val="36CE59FA"/>
    <w:rsid w:val="36DE07DB"/>
    <w:rsid w:val="36DF5796"/>
    <w:rsid w:val="36E508D2"/>
    <w:rsid w:val="36EE59D9"/>
    <w:rsid w:val="371D62BE"/>
    <w:rsid w:val="372C4753"/>
    <w:rsid w:val="37614ABB"/>
    <w:rsid w:val="37702892"/>
    <w:rsid w:val="37796FF3"/>
    <w:rsid w:val="37985945"/>
    <w:rsid w:val="37C52BDE"/>
    <w:rsid w:val="37DC7F27"/>
    <w:rsid w:val="37DE5A4E"/>
    <w:rsid w:val="37E33064"/>
    <w:rsid w:val="37E61084"/>
    <w:rsid w:val="37F34AD1"/>
    <w:rsid w:val="382B6DD9"/>
    <w:rsid w:val="38455ACD"/>
    <w:rsid w:val="38482EC7"/>
    <w:rsid w:val="386572E6"/>
    <w:rsid w:val="38743CBC"/>
    <w:rsid w:val="38804D57"/>
    <w:rsid w:val="38883C0B"/>
    <w:rsid w:val="389275D6"/>
    <w:rsid w:val="389C3213"/>
    <w:rsid w:val="38B60778"/>
    <w:rsid w:val="38C82DF1"/>
    <w:rsid w:val="38D96215"/>
    <w:rsid w:val="38DE1A7D"/>
    <w:rsid w:val="38E55DCF"/>
    <w:rsid w:val="38E67B0E"/>
    <w:rsid w:val="38E876AE"/>
    <w:rsid w:val="38ED0B06"/>
    <w:rsid w:val="38F45C0B"/>
    <w:rsid w:val="38FF17CC"/>
    <w:rsid w:val="3909667B"/>
    <w:rsid w:val="39137979"/>
    <w:rsid w:val="39AE4AC6"/>
    <w:rsid w:val="39B527DE"/>
    <w:rsid w:val="39BA5529"/>
    <w:rsid w:val="39BD0E9D"/>
    <w:rsid w:val="39C3314D"/>
    <w:rsid w:val="39DF51B5"/>
    <w:rsid w:val="39E47C63"/>
    <w:rsid w:val="39EB26A4"/>
    <w:rsid w:val="39EB6200"/>
    <w:rsid w:val="3A102BF8"/>
    <w:rsid w:val="3A282184"/>
    <w:rsid w:val="3A352A2C"/>
    <w:rsid w:val="3A4D383D"/>
    <w:rsid w:val="3A506C09"/>
    <w:rsid w:val="3A563FC1"/>
    <w:rsid w:val="3A667F7C"/>
    <w:rsid w:val="3A7206CF"/>
    <w:rsid w:val="3A7B0F43"/>
    <w:rsid w:val="3A7E52C6"/>
    <w:rsid w:val="3A9B7C26"/>
    <w:rsid w:val="3AAF36D1"/>
    <w:rsid w:val="3ABC12D6"/>
    <w:rsid w:val="3AC234D7"/>
    <w:rsid w:val="3AC727C9"/>
    <w:rsid w:val="3AFB06C4"/>
    <w:rsid w:val="3B051543"/>
    <w:rsid w:val="3B0A0908"/>
    <w:rsid w:val="3B0C0B24"/>
    <w:rsid w:val="3B0E5464"/>
    <w:rsid w:val="3B0F3E35"/>
    <w:rsid w:val="3B13729A"/>
    <w:rsid w:val="3B3F6718"/>
    <w:rsid w:val="3B64626A"/>
    <w:rsid w:val="3B677002"/>
    <w:rsid w:val="3B6F4C0F"/>
    <w:rsid w:val="3B7364AD"/>
    <w:rsid w:val="3B7B3F30"/>
    <w:rsid w:val="3BA2797F"/>
    <w:rsid w:val="3BAE1BDB"/>
    <w:rsid w:val="3BBC60A6"/>
    <w:rsid w:val="3BD9033A"/>
    <w:rsid w:val="3BF07AFD"/>
    <w:rsid w:val="3BF375EE"/>
    <w:rsid w:val="3C2459F9"/>
    <w:rsid w:val="3C2D2B00"/>
    <w:rsid w:val="3C3976F6"/>
    <w:rsid w:val="3C3B2277"/>
    <w:rsid w:val="3C4B0B6B"/>
    <w:rsid w:val="3C736028"/>
    <w:rsid w:val="3CAB7EC8"/>
    <w:rsid w:val="3CBA010B"/>
    <w:rsid w:val="3CC33464"/>
    <w:rsid w:val="3CC5328B"/>
    <w:rsid w:val="3CF4361D"/>
    <w:rsid w:val="3D1C0974"/>
    <w:rsid w:val="3D3E3B8E"/>
    <w:rsid w:val="3D522575"/>
    <w:rsid w:val="3D6764E5"/>
    <w:rsid w:val="3D70539A"/>
    <w:rsid w:val="3D842AB7"/>
    <w:rsid w:val="3DAC6CC2"/>
    <w:rsid w:val="3DBB238D"/>
    <w:rsid w:val="3DD5728A"/>
    <w:rsid w:val="3DF8713D"/>
    <w:rsid w:val="3DFA1107"/>
    <w:rsid w:val="3E3D638D"/>
    <w:rsid w:val="3E535CBF"/>
    <w:rsid w:val="3E566026"/>
    <w:rsid w:val="3E5720B6"/>
    <w:rsid w:val="3E691C6B"/>
    <w:rsid w:val="3E8E35FE"/>
    <w:rsid w:val="3EBF6456"/>
    <w:rsid w:val="3ECB6600"/>
    <w:rsid w:val="3ECF4342"/>
    <w:rsid w:val="3ED85273"/>
    <w:rsid w:val="3EE55913"/>
    <w:rsid w:val="3EFD0EAF"/>
    <w:rsid w:val="3F26520C"/>
    <w:rsid w:val="3F2D72BA"/>
    <w:rsid w:val="3F314641"/>
    <w:rsid w:val="3F36457D"/>
    <w:rsid w:val="3F485EA2"/>
    <w:rsid w:val="3F964E60"/>
    <w:rsid w:val="3FA5181C"/>
    <w:rsid w:val="3FAE288E"/>
    <w:rsid w:val="3FCC0881"/>
    <w:rsid w:val="3FD17C46"/>
    <w:rsid w:val="3FD634AE"/>
    <w:rsid w:val="3FDD483D"/>
    <w:rsid w:val="3FE71217"/>
    <w:rsid w:val="3FE931E1"/>
    <w:rsid w:val="4011583D"/>
    <w:rsid w:val="40307062"/>
    <w:rsid w:val="4037219F"/>
    <w:rsid w:val="40526FD9"/>
    <w:rsid w:val="405947C2"/>
    <w:rsid w:val="407C5E04"/>
    <w:rsid w:val="40923879"/>
    <w:rsid w:val="409A44DC"/>
    <w:rsid w:val="40A96851"/>
    <w:rsid w:val="40C024EF"/>
    <w:rsid w:val="40F56950"/>
    <w:rsid w:val="41061B71"/>
    <w:rsid w:val="411C2382"/>
    <w:rsid w:val="411C3143"/>
    <w:rsid w:val="413A71F9"/>
    <w:rsid w:val="413B4C25"/>
    <w:rsid w:val="416074D3"/>
    <w:rsid w:val="41735459"/>
    <w:rsid w:val="417967E7"/>
    <w:rsid w:val="41886A2A"/>
    <w:rsid w:val="41914247"/>
    <w:rsid w:val="41A9022A"/>
    <w:rsid w:val="41CF6407"/>
    <w:rsid w:val="41DB1250"/>
    <w:rsid w:val="41DE664A"/>
    <w:rsid w:val="41E073E0"/>
    <w:rsid w:val="41E4740F"/>
    <w:rsid w:val="41F34063"/>
    <w:rsid w:val="41F6387F"/>
    <w:rsid w:val="41FB0F6D"/>
    <w:rsid w:val="420E33D3"/>
    <w:rsid w:val="42424E2B"/>
    <w:rsid w:val="424E0531"/>
    <w:rsid w:val="42580F91"/>
    <w:rsid w:val="425F3C2F"/>
    <w:rsid w:val="42672AE3"/>
    <w:rsid w:val="42687440"/>
    <w:rsid w:val="42725710"/>
    <w:rsid w:val="4287393F"/>
    <w:rsid w:val="42AE0712"/>
    <w:rsid w:val="42C243BA"/>
    <w:rsid w:val="42EF4FB3"/>
    <w:rsid w:val="432D1FA2"/>
    <w:rsid w:val="433B01F8"/>
    <w:rsid w:val="4348021F"/>
    <w:rsid w:val="4352109E"/>
    <w:rsid w:val="435E3EE6"/>
    <w:rsid w:val="436247F3"/>
    <w:rsid w:val="43766F04"/>
    <w:rsid w:val="437746DA"/>
    <w:rsid w:val="43864C0F"/>
    <w:rsid w:val="439711A6"/>
    <w:rsid w:val="43A22425"/>
    <w:rsid w:val="43A5714B"/>
    <w:rsid w:val="43A719C6"/>
    <w:rsid w:val="43D321DE"/>
    <w:rsid w:val="43DF5027"/>
    <w:rsid w:val="43E45C91"/>
    <w:rsid w:val="43E54CEE"/>
    <w:rsid w:val="43FB4211"/>
    <w:rsid w:val="43FD725B"/>
    <w:rsid w:val="441E2D02"/>
    <w:rsid w:val="44254A04"/>
    <w:rsid w:val="4436451B"/>
    <w:rsid w:val="444E0EB1"/>
    <w:rsid w:val="4464345D"/>
    <w:rsid w:val="446479D4"/>
    <w:rsid w:val="44896D41"/>
    <w:rsid w:val="448B4867"/>
    <w:rsid w:val="448D50F7"/>
    <w:rsid w:val="4492750F"/>
    <w:rsid w:val="449F3174"/>
    <w:rsid w:val="44A65B45"/>
    <w:rsid w:val="44BF09B5"/>
    <w:rsid w:val="44C22253"/>
    <w:rsid w:val="44DF2E05"/>
    <w:rsid w:val="44DF3121"/>
    <w:rsid w:val="44E65F41"/>
    <w:rsid w:val="44F20D8A"/>
    <w:rsid w:val="450B35E4"/>
    <w:rsid w:val="45550B94"/>
    <w:rsid w:val="456B6B6B"/>
    <w:rsid w:val="456F355C"/>
    <w:rsid w:val="457B0D80"/>
    <w:rsid w:val="4584225E"/>
    <w:rsid w:val="45A656D1"/>
    <w:rsid w:val="45C2075D"/>
    <w:rsid w:val="45D61B06"/>
    <w:rsid w:val="45E66DE2"/>
    <w:rsid w:val="45F303D0"/>
    <w:rsid w:val="45FE550D"/>
    <w:rsid w:val="4607616F"/>
    <w:rsid w:val="46130FB8"/>
    <w:rsid w:val="461F3FED"/>
    <w:rsid w:val="4623010C"/>
    <w:rsid w:val="46237A76"/>
    <w:rsid w:val="46254667"/>
    <w:rsid w:val="46364CA7"/>
    <w:rsid w:val="463B050F"/>
    <w:rsid w:val="463F408F"/>
    <w:rsid w:val="46470C62"/>
    <w:rsid w:val="46607F75"/>
    <w:rsid w:val="46870B15"/>
    <w:rsid w:val="469814BD"/>
    <w:rsid w:val="469F7C9F"/>
    <w:rsid w:val="46B64DC4"/>
    <w:rsid w:val="46D83FB0"/>
    <w:rsid w:val="47170634"/>
    <w:rsid w:val="472965B9"/>
    <w:rsid w:val="47305B9A"/>
    <w:rsid w:val="47402B40"/>
    <w:rsid w:val="475E7C8C"/>
    <w:rsid w:val="476870E2"/>
    <w:rsid w:val="476F37A2"/>
    <w:rsid w:val="477A4B0A"/>
    <w:rsid w:val="47970079"/>
    <w:rsid w:val="47CD33E9"/>
    <w:rsid w:val="47CF7161"/>
    <w:rsid w:val="47D14C87"/>
    <w:rsid w:val="47D77DC3"/>
    <w:rsid w:val="47F170CA"/>
    <w:rsid w:val="47F31B33"/>
    <w:rsid w:val="47F93553"/>
    <w:rsid w:val="47F941DE"/>
    <w:rsid w:val="481E5B85"/>
    <w:rsid w:val="48343468"/>
    <w:rsid w:val="484C255F"/>
    <w:rsid w:val="484F3DFE"/>
    <w:rsid w:val="485633DE"/>
    <w:rsid w:val="48573AB0"/>
    <w:rsid w:val="487E230B"/>
    <w:rsid w:val="489839F7"/>
    <w:rsid w:val="48A56114"/>
    <w:rsid w:val="48AA4B5B"/>
    <w:rsid w:val="48BA3B7F"/>
    <w:rsid w:val="48D04F3E"/>
    <w:rsid w:val="48E1539E"/>
    <w:rsid w:val="48EA3B26"/>
    <w:rsid w:val="48F549A5"/>
    <w:rsid w:val="49081E2D"/>
    <w:rsid w:val="491F7C74"/>
    <w:rsid w:val="493008F3"/>
    <w:rsid w:val="49417BEA"/>
    <w:rsid w:val="494D2A33"/>
    <w:rsid w:val="494D47E1"/>
    <w:rsid w:val="494D658F"/>
    <w:rsid w:val="496E0C07"/>
    <w:rsid w:val="49945B1D"/>
    <w:rsid w:val="49C4713C"/>
    <w:rsid w:val="49CD147E"/>
    <w:rsid w:val="49D942C7"/>
    <w:rsid w:val="4A062BE2"/>
    <w:rsid w:val="4A0F1A96"/>
    <w:rsid w:val="4A456BBD"/>
    <w:rsid w:val="4A5D4DD2"/>
    <w:rsid w:val="4AC90ED5"/>
    <w:rsid w:val="4ACE1952"/>
    <w:rsid w:val="4AE03433"/>
    <w:rsid w:val="4AEA6060"/>
    <w:rsid w:val="4AF07B1A"/>
    <w:rsid w:val="4AFD674C"/>
    <w:rsid w:val="4B0C5FD6"/>
    <w:rsid w:val="4B180E1F"/>
    <w:rsid w:val="4B1D01E3"/>
    <w:rsid w:val="4B21150E"/>
    <w:rsid w:val="4B384AC3"/>
    <w:rsid w:val="4B64766A"/>
    <w:rsid w:val="4B7C6006"/>
    <w:rsid w:val="4B837130"/>
    <w:rsid w:val="4BAC376F"/>
    <w:rsid w:val="4BC0687C"/>
    <w:rsid w:val="4BCE3C8F"/>
    <w:rsid w:val="4BCE6AA2"/>
    <w:rsid w:val="4BD411EA"/>
    <w:rsid w:val="4BEF5869"/>
    <w:rsid w:val="4C06511B"/>
    <w:rsid w:val="4C1922D7"/>
    <w:rsid w:val="4C3E48B5"/>
    <w:rsid w:val="4C401863"/>
    <w:rsid w:val="4C460B27"/>
    <w:rsid w:val="4C4A5008"/>
    <w:rsid w:val="4C545E87"/>
    <w:rsid w:val="4C650094"/>
    <w:rsid w:val="4C687B84"/>
    <w:rsid w:val="4C6D0CF6"/>
    <w:rsid w:val="4CA6393B"/>
    <w:rsid w:val="4CD83A4A"/>
    <w:rsid w:val="4CE94821"/>
    <w:rsid w:val="4CF87C5D"/>
    <w:rsid w:val="4CFD3470"/>
    <w:rsid w:val="4D04165B"/>
    <w:rsid w:val="4D217901"/>
    <w:rsid w:val="4D2B308B"/>
    <w:rsid w:val="4D2C0BB1"/>
    <w:rsid w:val="4D5819A6"/>
    <w:rsid w:val="4D720CBA"/>
    <w:rsid w:val="4D89540C"/>
    <w:rsid w:val="4D9549A9"/>
    <w:rsid w:val="4DA01524"/>
    <w:rsid w:val="4DA6390E"/>
    <w:rsid w:val="4DC25072"/>
    <w:rsid w:val="4DD51789"/>
    <w:rsid w:val="4DE374C2"/>
    <w:rsid w:val="4E1D481F"/>
    <w:rsid w:val="4E21623C"/>
    <w:rsid w:val="4E383591"/>
    <w:rsid w:val="4E3C6BD2"/>
    <w:rsid w:val="4E597784"/>
    <w:rsid w:val="4E5B5B47"/>
    <w:rsid w:val="4E5E11C6"/>
    <w:rsid w:val="4E8A064E"/>
    <w:rsid w:val="4EB3158A"/>
    <w:rsid w:val="4ED16C09"/>
    <w:rsid w:val="4ED27537"/>
    <w:rsid w:val="4EFD45B3"/>
    <w:rsid w:val="4F043B94"/>
    <w:rsid w:val="4F4B4D4C"/>
    <w:rsid w:val="4F55619D"/>
    <w:rsid w:val="4F663476"/>
    <w:rsid w:val="4F756840"/>
    <w:rsid w:val="4F822D0B"/>
    <w:rsid w:val="4F8B1BBF"/>
    <w:rsid w:val="4F99788D"/>
    <w:rsid w:val="4F9F566B"/>
    <w:rsid w:val="4FAD6049"/>
    <w:rsid w:val="4FB862CC"/>
    <w:rsid w:val="4FBF3F5F"/>
    <w:rsid w:val="4FBF42E1"/>
    <w:rsid w:val="4FC66305"/>
    <w:rsid w:val="4FCE3508"/>
    <w:rsid w:val="5009388B"/>
    <w:rsid w:val="500D20D1"/>
    <w:rsid w:val="50137E07"/>
    <w:rsid w:val="501C394B"/>
    <w:rsid w:val="505407CD"/>
    <w:rsid w:val="50566671"/>
    <w:rsid w:val="505E72D4"/>
    <w:rsid w:val="506E109A"/>
    <w:rsid w:val="50886B63"/>
    <w:rsid w:val="509F03AC"/>
    <w:rsid w:val="50AD025B"/>
    <w:rsid w:val="50CD6207"/>
    <w:rsid w:val="50D457E8"/>
    <w:rsid w:val="50DD469C"/>
    <w:rsid w:val="510A120A"/>
    <w:rsid w:val="511C02B9"/>
    <w:rsid w:val="51257DF2"/>
    <w:rsid w:val="514A4233"/>
    <w:rsid w:val="5150632F"/>
    <w:rsid w:val="516052CE"/>
    <w:rsid w:val="5166185B"/>
    <w:rsid w:val="51823AE1"/>
    <w:rsid w:val="51840ED8"/>
    <w:rsid w:val="518C5887"/>
    <w:rsid w:val="51B00A9E"/>
    <w:rsid w:val="51B677CE"/>
    <w:rsid w:val="51BB108F"/>
    <w:rsid w:val="520C2D5F"/>
    <w:rsid w:val="52195BA8"/>
    <w:rsid w:val="521A722A"/>
    <w:rsid w:val="52237A75"/>
    <w:rsid w:val="52404090"/>
    <w:rsid w:val="52404AA2"/>
    <w:rsid w:val="525210BA"/>
    <w:rsid w:val="5267516F"/>
    <w:rsid w:val="526A421D"/>
    <w:rsid w:val="526B217C"/>
    <w:rsid w:val="527340EA"/>
    <w:rsid w:val="527D50FB"/>
    <w:rsid w:val="52B239D2"/>
    <w:rsid w:val="52C61160"/>
    <w:rsid w:val="52D63A99"/>
    <w:rsid w:val="52DC7FE7"/>
    <w:rsid w:val="52E51DA7"/>
    <w:rsid w:val="53093ED7"/>
    <w:rsid w:val="531E71EE"/>
    <w:rsid w:val="53426A39"/>
    <w:rsid w:val="53430A03"/>
    <w:rsid w:val="53794425"/>
    <w:rsid w:val="539D0113"/>
    <w:rsid w:val="53A47422"/>
    <w:rsid w:val="53B15FCD"/>
    <w:rsid w:val="53BF0089"/>
    <w:rsid w:val="53C102A5"/>
    <w:rsid w:val="53C40FC9"/>
    <w:rsid w:val="53CB04E8"/>
    <w:rsid w:val="53D04E05"/>
    <w:rsid w:val="53D77D03"/>
    <w:rsid w:val="53F54595"/>
    <w:rsid w:val="54340091"/>
    <w:rsid w:val="54387E3C"/>
    <w:rsid w:val="54442C85"/>
    <w:rsid w:val="54576514"/>
    <w:rsid w:val="546450D5"/>
    <w:rsid w:val="546535D1"/>
    <w:rsid w:val="546C2AAF"/>
    <w:rsid w:val="5486740A"/>
    <w:rsid w:val="548D1A04"/>
    <w:rsid w:val="548E5CAE"/>
    <w:rsid w:val="549332C4"/>
    <w:rsid w:val="54B55930"/>
    <w:rsid w:val="54C0055D"/>
    <w:rsid w:val="54CB0CB0"/>
    <w:rsid w:val="54DC56EE"/>
    <w:rsid w:val="54EF2BF0"/>
    <w:rsid w:val="54FC70BB"/>
    <w:rsid w:val="55393E6B"/>
    <w:rsid w:val="55466588"/>
    <w:rsid w:val="554747DA"/>
    <w:rsid w:val="5552317F"/>
    <w:rsid w:val="555C4981"/>
    <w:rsid w:val="55821CB6"/>
    <w:rsid w:val="55827601"/>
    <w:rsid w:val="55C0458D"/>
    <w:rsid w:val="55D32512"/>
    <w:rsid w:val="55D91EFD"/>
    <w:rsid w:val="55E42029"/>
    <w:rsid w:val="55FF3307"/>
    <w:rsid w:val="56005579"/>
    <w:rsid w:val="56290384"/>
    <w:rsid w:val="563C00F8"/>
    <w:rsid w:val="564156CE"/>
    <w:rsid w:val="565C6063"/>
    <w:rsid w:val="568617B7"/>
    <w:rsid w:val="568961FC"/>
    <w:rsid w:val="56B4606A"/>
    <w:rsid w:val="56D57BC4"/>
    <w:rsid w:val="56EB73E7"/>
    <w:rsid w:val="570F30D6"/>
    <w:rsid w:val="57280CB7"/>
    <w:rsid w:val="572A5482"/>
    <w:rsid w:val="57337211"/>
    <w:rsid w:val="57350F11"/>
    <w:rsid w:val="576176AA"/>
    <w:rsid w:val="57833AC4"/>
    <w:rsid w:val="57F902C4"/>
    <w:rsid w:val="581B3CFC"/>
    <w:rsid w:val="583C29E5"/>
    <w:rsid w:val="58532B7C"/>
    <w:rsid w:val="588F61E3"/>
    <w:rsid w:val="589E1869"/>
    <w:rsid w:val="58EA22FF"/>
    <w:rsid w:val="590B1FC3"/>
    <w:rsid w:val="59327D5D"/>
    <w:rsid w:val="59386B80"/>
    <w:rsid w:val="59395895"/>
    <w:rsid w:val="594D4389"/>
    <w:rsid w:val="594D4408"/>
    <w:rsid w:val="596458B0"/>
    <w:rsid w:val="59693866"/>
    <w:rsid w:val="597B3D19"/>
    <w:rsid w:val="59AC10B0"/>
    <w:rsid w:val="59B83EF9"/>
    <w:rsid w:val="59C44E7B"/>
    <w:rsid w:val="59C90588"/>
    <w:rsid w:val="59CA708F"/>
    <w:rsid w:val="59CD27E1"/>
    <w:rsid w:val="59D95C1D"/>
    <w:rsid w:val="59DB14BD"/>
    <w:rsid w:val="59EF5441"/>
    <w:rsid w:val="5A0013FC"/>
    <w:rsid w:val="5A192250"/>
    <w:rsid w:val="5A250E62"/>
    <w:rsid w:val="5A3B68D8"/>
    <w:rsid w:val="5A470FDB"/>
    <w:rsid w:val="5A533F84"/>
    <w:rsid w:val="5A557F46"/>
    <w:rsid w:val="5A8262B5"/>
    <w:rsid w:val="5A957D96"/>
    <w:rsid w:val="5AA12BDF"/>
    <w:rsid w:val="5AC57B92"/>
    <w:rsid w:val="5AC74F5C"/>
    <w:rsid w:val="5AC95C92"/>
    <w:rsid w:val="5AD52888"/>
    <w:rsid w:val="5AE709EC"/>
    <w:rsid w:val="5B223BE4"/>
    <w:rsid w:val="5B242EC8"/>
    <w:rsid w:val="5B354F29"/>
    <w:rsid w:val="5B484E08"/>
    <w:rsid w:val="5B4E41E4"/>
    <w:rsid w:val="5B61411C"/>
    <w:rsid w:val="5B626B35"/>
    <w:rsid w:val="5B7F45A2"/>
    <w:rsid w:val="5B9B7E8B"/>
    <w:rsid w:val="5B9C7F32"/>
    <w:rsid w:val="5BA91DB8"/>
    <w:rsid w:val="5BBB6260"/>
    <w:rsid w:val="5BBD5953"/>
    <w:rsid w:val="5BBE156E"/>
    <w:rsid w:val="5BD40D92"/>
    <w:rsid w:val="5BEE6D28"/>
    <w:rsid w:val="5BF925A6"/>
    <w:rsid w:val="5BFC5BF3"/>
    <w:rsid w:val="5C0A6562"/>
    <w:rsid w:val="5C140166"/>
    <w:rsid w:val="5C1565FF"/>
    <w:rsid w:val="5C1E200D"/>
    <w:rsid w:val="5C2A2760"/>
    <w:rsid w:val="5C3B13FA"/>
    <w:rsid w:val="5C494943"/>
    <w:rsid w:val="5C850AB8"/>
    <w:rsid w:val="5C894B64"/>
    <w:rsid w:val="5C9815A6"/>
    <w:rsid w:val="5C9C18B0"/>
    <w:rsid w:val="5CA249EC"/>
    <w:rsid w:val="5CAB38A1"/>
    <w:rsid w:val="5CCE65F6"/>
    <w:rsid w:val="5CD64696"/>
    <w:rsid w:val="5CDB4ECB"/>
    <w:rsid w:val="5CDC1CAC"/>
    <w:rsid w:val="5D06563B"/>
    <w:rsid w:val="5D283143"/>
    <w:rsid w:val="5D377C9E"/>
    <w:rsid w:val="5D3D65E5"/>
    <w:rsid w:val="5D3E2967"/>
    <w:rsid w:val="5D4D2BAA"/>
    <w:rsid w:val="5D51074E"/>
    <w:rsid w:val="5D7D241A"/>
    <w:rsid w:val="5D814627"/>
    <w:rsid w:val="5D8422E6"/>
    <w:rsid w:val="5D9F0F2C"/>
    <w:rsid w:val="5DAB78D0"/>
    <w:rsid w:val="5DB4666F"/>
    <w:rsid w:val="5DBC388C"/>
    <w:rsid w:val="5DC6470A"/>
    <w:rsid w:val="5DE132F2"/>
    <w:rsid w:val="5DE17C83"/>
    <w:rsid w:val="5DFE6042"/>
    <w:rsid w:val="5E043A74"/>
    <w:rsid w:val="5E055233"/>
    <w:rsid w:val="5E08087F"/>
    <w:rsid w:val="5E2C2894"/>
    <w:rsid w:val="5E407C0D"/>
    <w:rsid w:val="5E421FE3"/>
    <w:rsid w:val="5E6A153A"/>
    <w:rsid w:val="5E6E102A"/>
    <w:rsid w:val="5E8C325E"/>
    <w:rsid w:val="5E9903E6"/>
    <w:rsid w:val="5EB03D8B"/>
    <w:rsid w:val="5EB56C59"/>
    <w:rsid w:val="5EC92704"/>
    <w:rsid w:val="5EE80C21"/>
    <w:rsid w:val="5EF10D08"/>
    <w:rsid w:val="5EF73DD9"/>
    <w:rsid w:val="5F1B04DA"/>
    <w:rsid w:val="5F3E0BE2"/>
    <w:rsid w:val="5F430A4E"/>
    <w:rsid w:val="5F441D8B"/>
    <w:rsid w:val="5F690D37"/>
    <w:rsid w:val="5F697A43"/>
    <w:rsid w:val="5F7D632D"/>
    <w:rsid w:val="5FDE5D3B"/>
    <w:rsid w:val="5FFC5682"/>
    <w:rsid w:val="600A2FD4"/>
    <w:rsid w:val="60146525"/>
    <w:rsid w:val="60296226"/>
    <w:rsid w:val="603952B6"/>
    <w:rsid w:val="604C1CAD"/>
    <w:rsid w:val="605424A1"/>
    <w:rsid w:val="60610FC1"/>
    <w:rsid w:val="606A5821"/>
    <w:rsid w:val="60981904"/>
    <w:rsid w:val="60B77E4C"/>
    <w:rsid w:val="60E038AB"/>
    <w:rsid w:val="60EC05A9"/>
    <w:rsid w:val="60EC05F2"/>
    <w:rsid w:val="611D2893"/>
    <w:rsid w:val="61994610"/>
    <w:rsid w:val="619A3EE4"/>
    <w:rsid w:val="619F5D6A"/>
    <w:rsid w:val="61BC55D4"/>
    <w:rsid w:val="61BC7C82"/>
    <w:rsid w:val="61E41603"/>
    <w:rsid w:val="61F71BA1"/>
    <w:rsid w:val="61F94C3C"/>
    <w:rsid w:val="620D28FD"/>
    <w:rsid w:val="620F4E2E"/>
    <w:rsid w:val="62135DD2"/>
    <w:rsid w:val="621E2D67"/>
    <w:rsid w:val="62344338"/>
    <w:rsid w:val="624A232B"/>
    <w:rsid w:val="62546789"/>
    <w:rsid w:val="6260512D"/>
    <w:rsid w:val="62683FE2"/>
    <w:rsid w:val="6280757E"/>
    <w:rsid w:val="6292105F"/>
    <w:rsid w:val="62A71D7F"/>
    <w:rsid w:val="62AE5E99"/>
    <w:rsid w:val="62B66AFB"/>
    <w:rsid w:val="62EA0E9B"/>
    <w:rsid w:val="62F67840"/>
    <w:rsid w:val="62F85D69"/>
    <w:rsid w:val="631657EC"/>
    <w:rsid w:val="63224191"/>
    <w:rsid w:val="633A772C"/>
    <w:rsid w:val="63416D0D"/>
    <w:rsid w:val="634A36E8"/>
    <w:rsid w:val="634C7460"/>
    <w:rsid w:val="636E387A"/>
    <w:rsid w:val="63877471"/>
    <w:rsid w:val="639E6557"/>
    <w:rsid w:val="63A2005F"/>
    <w:rsid w:val="63B35731"/>
    <w:rsid w:val="6410048D"/>
    <w:rsid w:val="646420CD"/>
    <w:rsid w:val="64805613"/>
    <w:rsid w:val="64A357A5"/>
    <w:rsid w:val="64AD24E1"/>
    <w:rsid w:val="64C37BF6"/>
    <w:rsid w:val="64F755E7"/>
    <w:rsid w:val="64FB3632"/>
    <w:rsid w:val="653B3C30"/>
    <w:rsid w:val="653D52B2"/>
    <w:rsid w:val="6562740E"/>
    <w:rsid w:val="65670581"/>
    <w:rsid w:val="656B62C3"/>
    <w:rsid w:val="657D1B52"/>
    <w:rsid w:val="65850E7C"/>
    <w:rsid w:val="658A426F"/>
    <w:rsid w:val="65B52828"/>
    <w:rsid w:val="65BF6441"/>
    <w:rsid w:val="65E10333"/>
    <w:rsid w:val="65E3761D"/>
    <w:rsid w:val="65E40BC8"/>
    <w:rsid w:val="65F00576"/>
    <w:rsid w:val="6613329A"/>
    <w:rsid w:val="661E3335"/>
    <w:rsid w:val="6627256C"/>
    <w:rsid w:val="662E109F"/>
    <w:rsid w:val="66322E0C"/>
    <w:rsid w:val="6646073A"/>
    <w:rsid w:val="665E1984"/>
    <w:rsid w:val="66682803"/>
    <w:rsid w:val="666B40A1"/>
    <w:rsid w:val="66807B4C"/>
    <w:rsid w:val="66911D59"/>
    <w:rsid w:val="6694554C"/>
    <w:rsid w:val="66996A96"/>
    <w:rsid w:val="66A82BFF"/>
    <w:rsid w:val="66AF4444"/>
    <w:rsid w:val="66B845A2"/>
    <w:rsid w:val="66E2044E"/>
    <w:rsid w:val="66F127F8"/>
    <w:rsid w:val="672524A2"/>
    <w:rsid w:val="67346B89"/>
    <w:rsid w:val="674268DB"/>
    <w:rsid w:val="6748110D"/>
    <w:rsid w:val="67530DBD"/>
    <w:rsid w:val="67566AFF"/>
    <w:rsid w:val="67656B40"/>
    <w:rsid w:val="676E5BF7"/>
    <w:rsid w:val="67766731"/>
    <w:rsid w:val="677D5E3A"/>
    <w:rsid w:val="67866F0C"/>
    <w:rsid w:val="678808C5"/>
    <w:rsid w:val="678A0557"/>
    <w:rsid w:val="67A05FCC"/>
    <w:rsid w:val="67BF3022"/>
    <w:rsid w:val="67D31EFE"/>
    <w:rsid w:val="67DD2481"/>
    <w:rsid w:val="67DD2D7C"/>
    <w:rsid w:val="67E1461B"/>
    <w:rsid w:val="67E22141"/>
    <w:rsid w:val="67F105D6"/>
    <w:rsid w:val="67F73E3E"/>
    <w:rsid w:val="68016A6B"/>
    <w:rsid w:val="682978C8"/>
    <w:rsid w:val="68550B65"/>
    <w:rsid w:val="6858736B"/>
    <w:rsid w:val="686F60CA"/>
    <w:rsid w:val="68833924"/>
    <w:rsid w:val="6885128A"/>
    <w:rsid w:val="68AD2219"/>
    <w:rsid w:val="68C61A62"/>
    <w:rsid w:val="68D46C7C"/>
    <w:rsid w:val="68E1689C"/>
    <w:rsid w:val="68F42334"/>
    <w:rsid w:val="69250C37"/>
    <w:rsid w:val="69360996"/>
    <w:rsid w:val="69392234"/>
    <w:rsid w:val="6944516B"/>
    <w:rsid w:val="695D4175"/>
    <w:rsid w:val="69690D6B"/>
    <w:rsid w:val="696A0640"/>
    <w:rsid w:val="69787200"/>
    <w:rsid w:val="69992CD3"/>
    <w:rsid w:val="69BD0789"/>
    <w:rsid w:val="69FC57FE"/>
    <w:rsid w:val="6A0A1012"/>
    <w:rsid w:val="6A0F496A"/>
    <w:rsid w:val="6A2627B9"/>
    <w:rsid w:val="6A2B22D0"/>
    <w:rsid w:val="6A2E78BF"/>
    <w:rsid w:val="6A323DAF"/>
    <w:rsid w:val="6A366774"/>
    <w:rsid w:val="6A413BC7"/>
    <w:rsid w:val="6A771266"/>
    <w:rsid w:val="6A7F3012"/>
    <w:rsid w:val="6A8B2F63"/>
    <w:rsid w:val="6A9841CB"/>
    <w:rsid w:val="6ACD79CF"/>
    <w:rsid w:val="6AD30E33"/>
    <w:rsid w:val="6AEF4E55"/>
    <w:rsid w:val="6B012236"/>
    <w:rsid w:val="6B032AFA"/>
    <w:rsid w:val="6B0D5727"/>
    <w:rsid w:val="6B2C79E4"/>
    <w:rsid w:val="6B413622"/>
    <w:rsid w:val="6B436C89"/>
    <w:rsid w:val="6B453112"/>
    <w:rsid w:val="6B594E10"/>
    <w:rsid w:val="6B601CFA"/>
    <w:rsid w:val="6B6F63E1"/>
    <w:rsid w:val="6B855C05"/>
    <w:rsid w:val="6B876ACB"/>
    <w:rsid w:val="6BBB5183"/>
    <w:rsid w:val="6BE26482"/>
    <w:rsid w:val="6C0303C3"/>
    <w:rsid w:val="6C07486C"/>
    <w:rsid w:val="6C0E38F0"/>
    <w:rsid w:val="6C303DC2"/>
    <w:rsid w:val="6C4C04D0"/>
    <w:rsid w:val="6C627CF4"/>
    <w:rsid w:val="6C682D54"/>
    <w:rsid w:val="6C6B0957"/>
    <w:rsid w:val="6C82023A"/>
    <w:rsid w:val="6C936282"/>
    <w:rsid w:val="6CAC7B20"/>
    <w:rsid w:val="6CC91389"/>
    <w:rsid w:val="6CE274F5"/>
    <w:rsid w:val="6D090170"/>
    <w:rsid w:val="6D0A0937"/>
    <w:rsid w:val="6D1234C8"/>
    <w:rsid w:val="6D5131FC"/>
    <w:rsid w:val="6D567859"/>
    <w:rsid w:val="6D5835D1"/>
    <w:rsid w:val="6D5E670D"/>
    <w:rsid w:val="6D631F76"/>
    <w:rsid w:val="6D7F7D4C"/>
    <w:rsid w:val="6D836174"/>
    <w:rsid w:val="6D855A48"/>
    <w:rsid w:val="6D85704D"/>
    <w:rsid w:val="6D88546B"/>
    <w:rsid w:val="6D902F9F"/>
    <w:rsid w:val="6D94212F"/>
    <w:rsid w:val="6D965EA7"/>
    <w:rsid w:val="6D9C034B"/>
    <w:rsid w:val="6DB02C25"/>
    <w:rsid w:val="6DBC78B3"/>
    <w:rsid w:val="6DCE082E"/>
    <w:rsid w:val="6DD02623"/>
    <w:rsid w:val="6DE067F8"/>
    <w:rsid w:val="6DE13166"/>
    <w:rsid w:val="6DE36C13"/>
    <w:rsid w:val="6DEA7FA1"/>
    <w:rsid w:val="6E076DA5"/>
    <w:rsid w:val="6E085184"/>
    <w:rsid w:val="6E5042A8"/>
    <w:rsid w:val="6E5F44EB"/>
    <w:rsid w:val="6E6C4E5A"/>
    <w:rsid w:val="6E71421E"/>
    <w:rsid w:val="6E776BE5"/>
    <w:rsid w:val="6E7F142B"/>
    <w:rsid w:val="6E8201DA"/>
    <w:rsid w:val="6EA840E4"/>
    <w:rsid w:val="6EB66DE2"/>
    <w:rsid w:val="6EBA7973"/>
    <w:rsid w:val="6EC32CCC"/>
    <w:rsid w:val="6ED53D6E"/>
    <w:rsid w:val="6EEB3DC4"/>
    <w:rsid w:val="6EF56BFD"/>
    <w:rsid w:val="6F1C23DC"/>
    <w:rsid w:val="6F1C418A"/>
    <w:rsid w:val="6F1E6580"/>
    <w:rsid w:val="6F1E7F02"/>
    <w:rsid w:val="6F330B70"/>
    <w:rsid w:val="6F3911E0"/>
    <w:rsid w:val="6F4247C4"/>
    <w:rsid w:val="6F4B2CC1"/>
    <w:rsid w:val="6F5074D4"/>
    <w:rsid w:val="6F6A0833"/>
    <w:rsid w:val="6F73375E"/>
    <w:rsid w:val="6F857F81"/>
    <w:rsid w:val="6F887A72"/>
    <w:rsid w:val="6F907417"/>
    <w:rsid w:val="6F963F3C"/>
    <w:rsid w:val="6F977CB5"/>
    <w:rsid w:val="6F9D5C65"/>
    <w:rsid w:val="6FA056D3"/>
    <w:rsid w:val="6FA56875"/>
    <w:rsid w:val="6FB7285D"/>
    <w:rsid w:val="6FC13100"/>
    <w:rsid w:val="6FCA1E38"/>
    <w:rsid w:val="6FF26A76"/>
    <w:rsid w:val="6FF9271D"/>
    <w:rsid w:val="70141387"/>
    <w:rsid w:val="70207CAA"/>
    <w:rsid w:val="703A5210"/>
    <w:rsid w:val="70553DF8"/>
    <w:rsid w:val="70893AA1"/>
    <w:rsid w:val="708E2E66"/>
    <w:rsid w:val="70932B72"/>
    <w:rsid w:val="70AB7EBB"/>
    <w:rsid w:val="70BF5715"/>
    <w:rsid w:val="70E37655"/>
    <w:rsid w:val="70F301F5"/>
    <w:rsid w:val="7130216F"/>
    <w:rsid w:val="71322158"/>
    <w:rsid w:val="713D4C40"/>
    <w:rsid w:val="71453E6C"/>
    <w:rsid w:val="714F4CEB"/>
    <w:rsid w:val="714F6A99"/>
    <w:rsid w:val="71554FB8"/>
    <w:rsid w:val="716817FE"/>
    <w:rsid w:val="716F6BF8"/>
    <w:rsid w:val="71705C8D"/>
    <w:rsid w:val="717B01E2"/>
    <w:rsid w:val="71946BA2"/>
    <w:rsid w:val="719479E1"/>
    <w:rsid w:val="719E767C"/>
    <w:rsid w:val="71CF1988"/>
    <w:rsid w:val="71D36EAB"/>
    <w:rsid w:val="71D90A58"/>
    <w:rsid w:val="71DC40A5"/>
    <w:rsid w:val="71DD18CC"/>
    <w:rsid w:val="71EC42E8"/>
    <w:rsid w:val="71FC7EA5"/>
    <w:rsid w:val="721F11F9"/>
    <w:rsid w:val="722861E9"/>
    <w:rsid w:val="724203AC"/>
    <w:rsid w:val="7249173A"/>
    <w:rsid w:val="72565C05"/>
    <w:rsid w:val="72587BCF"/>
    <w:rsid w:val="725A3947"/>
    <w:rsid w:val="72620A4E"/>
    <w:rsid w:val="72646574"/>
    <w:rsid w:val="726C484C"/>
    <w:rsid w:val="7289422C"/>
    <w:rsid w:val="72916C3D"/>
    <w:rsid w:val="72936EB9"/>
    <w:rsid w:val="72AC7F1B"/>
    <w:rsid w:val="72C26585"/>
    <w:rsid w:val="72CE70E6"/>
    <w:rsid w:val="72DC4F92"/>
    <w:rsid w:val="72F75046"/>
    <w:rsid w:val="72F75611"/>
    <w:rsid w:val="7318147A"/>
    <w:rsid w:val="73216213"/>
    <w:rsid w:val="734B7734"/>
    <w:rsid w:val="73682094"/>
    <w:rsid w:val="73722096"/>
    <w:rsid w:val="737547B1"/>
    <w:rsid w:val="737E3BF4"/>
    <w:rsid w:val="73AC463D"/>
    <w:rsid w:val="73B9121F"/>
    <w:rsid w:val="73C3376E"/>
    <w:rsid w:val="73D66D96"/>
    <w:rsid w:val="73D70FC8"/>
    <w:rsid w:val="73DD4D99"/>
    <w:rsid w:val="73E831D5"/>
    <w:rsid w:val="73F25CD2"/>
    <w:rsid w:val="740D6797"/>
    <w:rsid w:val="74281DAE"/>
    <w:rsid w:val="743D52CE"/>
    <w:rsid w:val="744A129C"/>
    <w:rsid w:val="74607C05"/>
    <w:rsid w:val="746E77BF"/>
    <w:rsid w:val="748C1DB2"/>
    <w:rsid w:val="74B56599"/>
    <w:rsid w:val="74EE0377"/>
    <w:rsid w:val="75121B9E"/>
    <w:rsid w:val="75297601"/>
    <w:rsid w:val="75322959"/>
    <w:rsid w:val="7544268D"/>
    <w:rsid w:val="75546AA7"/>
    <w:rsid w:val="755836D4"/>
    <w:rsid w:val="756A2214"/>
    <w:rsid w:val="75797D18"/>
    <w:rsid w:val="757F5473"/>
    <w:rsid w:val="759E1D9D"/>
    <w:rsid w:val="75AB543A"/>
    <w:rsid w:val="75C630A2"/>
    <w:rsid w:val="75C94940"/>
    <w:rsid w:val="75D900D1"/>
    <w:rsid w:val="75E212C8"/>
    <w:rsid w:val="761C7930"/>
    <w:rsid w:val="76391AC6"/>
    <w:rsid w:val="764457A7"/>
    <w:rsid w:val="76650B0D"/>
    <w:rsid w:val="76721A0C"/>
    <w:rsid w:val="767825EE"/>
    <w:rsid w:val="7691204C"/>
    <w:rsid w:val="76984A3E"/>
    <w:rsid w:val="76A35191"/>
    <w:rsid w:val="76AA2CD3"/>
    <w:rsid w:val="76C21ABB"/>
    <w:rsid w:val="76D17F50"/>
    <w:rsid w:val="76D77A2D"/>
    <w:rsid w:val="76E874E0"/>
    <w:rsid w:val="76FD6F97"/>
    <w:rsid w:val="77020A7B"/>
    <w:rsid w:val="772465D6"/>
    <w:rsid w:val="77284FC3"/>
    <w:rsid w:val="775070C7"/>
    <w:rsid w:val="775D3592"/>
    <w:rsid w:val="77642565"/>
    <w:rsid w:val="77664B3C"/>
    <w:rsid w:val="776B18B2"/>
    <w:rsid w:val="776B2153"/>
    <w:rsid w:val="7772406E"/>
    <w:rsid w:val="77752FD1"/>
    <w:rsid w:val="77862152"/>
    <w:rsid w:val="779C055E"/>
    <w:rsid w:val="77BA6C36"/>
    <w:rsid w:val="77C27899"/>
    <w:rsid w:val="77DB3A53"/>
    <w:rsid w:val="77DC095A"/>
    <w:rsid w:val="77DD6CC2"/>
    <w:rsid w:val="77E03C3B"/>
    <w:rsid w:val="77FC724F"/>
    <w:rsid w:val="780305DD"/>
    <w:rsid w:val="7808174F"/>
    <w:rsid w:val="78202F3D"/>
    <w:rsid w:val="785E5813"/>
    <w:rsid w:val="78721687"/>
    <w:rsid w:val="787453A9"/>
    <w:rsid w:val="788946D6"/>
    <w:rsid w:val="78A74AFF"/>
    <w:rsid w:val="78B33DB1"/>
    <w:rsid w:val="78B52B59"/>
    <w:rsid w:val="78BE62B2"/>
    <w:rsid w:val="78C54C11"/>
    <w:rsid w:val="78D67AA0"/>
    <w:rsid w:val="790B588B"/>
    <w:rsid w:val="79174419"/>
    <w:rsid w:val="791D69E1"/>
    <w:rsid w:val="791D747D"/>
    <w:rsid w:val="79235D2C"/>
    <w:rsid w:val="79253202"/>
    <w:rsid w:val="795135CA"/>
    <w:rsid w:val="79671B9E"/>
    <w:rsid w:val="79780B57"/>
    <w:rsid w:val="797D616D"/>
    <w:rsid w:val="79CD2C51"/>
    <w:rsid w:val="79DB6BFE"/>
    <w:rsid w:val="79DE4E5E"/>
    <w:rsid w:val="7A036D91"/>
    <w:rsid w:val="7A2C5F60"/>
    <w:rsid w:val="7A543372"/>
    <w:rsid w:val="7A684727"/>
    <w:rsid w:val="7A783816"/>
    <w:rsid w:val="7A936EE8"/>
    <w:rsid w:val="7A9814B1"/>
    <w:rsid w:val="7AC668C6"/>
    <w:rsid w:val="7AD85D51"/>
    <w:rsid w:val="7AFD7566"/>
    <w:rsid w:val="7B021221"/>
    <w:rsid w:val="7B0555D4"/>
    <w:rsid w:val="7B0934EF"/>
    <w:rsid w:val="7B0E2DD6"/>
    <w:rsid w:val="7B1F55AF"/>
    <w:rsid w:val="7B2A7C2F"/>
    <w:rsid w:val="7B31720F"/>
    <w:rsid w:val="7B3D3E06"/>
    <w:rsid w:val="7B3D7E48"/>
    <w:rsid w:val="7B476A33"/>
    <w:rsid w:val="7B4927AB"/>
    <w:rsid w:val="7B5969CB"/>
    <w:rsid w:val="7B5D3757"/>
    <w:rsid w:val="7B5F5B2A"/>
    <w:rsid w:val="7B717696"/>
    <w:rsid w:val="7B915F00"/>
    <w:rsid w:val="7B97121C"/>
    <w:rsid w:val="7BA56A97"/>
    <w:rsid w:val="7BAC6206"/>
    <w:rsid w:val="7BB0282A"/>
    <w:rsid w:val="7BBF481B"/>
    <w:rsid w:val="7BD535D9"/>
    <w:rsid w:val="7BFC7D99"/>
    <w:rsid w:val="7C046526"/>
    <w:rsid w:val="7C0F272C"/>
    <w:rsid w:val="7C6D4277"/>
    <w:rsid w:val="7C815F74"/>
    <w:rsid w:val="7C833A9B"/>
    <w:rsid w:val="7C8B6DF3"/>
    <w:rsid w:val="7C9537CE"/>
    <w:rsid w:val="7C9557C0"/>
    <w:rsid w:val="7C980027"/>
    <w:rsid w:val="7CC3658D"/>
    <w:rsid w:val="7CC52305"/>
    <w:rsid w:val="7CCA3477"/>
    <w:rsid w:val="7CCB71F0"/>
    <w:rsid w:val="7CD40807"/>
    <w:rsid w:val="7CD56640"/>
    <w:rsid w:val="7CD662C0"/>
    <w:rsid w:val="7CF404F4"/>
    <w:rsid w:val="7D07776D"/>
    <w:rsid w:val="7D4515F2"/>
    <w:rsid w:val="7D507A34"/>
    <w:rsid w:val="7D831878"/>
    <w:rsid w:val="7D937D0D"/>
    <w:rsid w:val="7D985324"/>
    <w:rsid w:val="7D9D0B8C"/>
    <w:rsid w:val="7DB163E5"/>
    <w:rsid w:val="7DC75C09"/>
    <w:rsid w:val="7DC9372F"/>
    <w:rsid w:val="7DD00CA8"/>
    <w:rsid w:val="7DD11161"/>
    <w:rsid w:val="7DEF1E58"/>
    <w:rsid w:val="7DFC1D56"/>
    <w:rsid w:val="7E10135E"/>
    <w:rsid w:val="7E192908"/>
    <w:rsid w:val="7E1E7E77"/>
    <w:rsid w:val="7E2056B9"/>
    <w:rsid w:val="7E327A14"/>
    <w:rsid w:val="7E385624"/>
    <w:rsid w:val="7E3A462D"/>
    <w:rsid w:val="7E4159BB"/>
    <w:rsid w:val="7E551467"/>
    <w:rsid w:val="7E5E47BF"/>
    <w:rsid w:val="7E6318F7"/>
    <w:rsid w:val="7E7044F2"/>
    <w:rsid w:val="7EAB1087"/>
    <w:rsid w:val="7EAF0B77"/>
    <w:rsid w:val="7EB83B8E"/>
    <w:rsid w:val="7EC108AA"/>
    <w:rsid w:val="7EE2719E"/>
    <w:rsid w:val="7F002063"/>
    <w:rsid w:val="7F0A2251"/>
    <w:rsid w:val="7F196938"/>
    <w:rsid w:val="7F1B445E"/>
    <w:rsid w:val="7F1E4D12"/>
    <w:rsid w:val="7F2A28F3"/>
    <w:rsid w:val="7F2C21C7"/>
    <w:rsid w:val="7F3217A8"/>
    <w:rsid w:val="7F377C86"/>
    <w:rsid w:val="7F3B065C"/>
    <w:rsid w:val="7F410A62"/>
    <w:rsid w:val="7F605512"/>
    <w:rsid w:val="7F6D20AE"/>
    <w:rsid w:val="7F833DB1"/>
    <w:rsid w:val="7F9055B3"/>
    <w:rsid w:val="7FA8008C"/>
    <w:rsid w:val="7FAE52D2"/>
    <w:rsid w:val="7FE40CF4"/>
    <w:rsid w:val="7FEA3E3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qFormat="1"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nhideWhenUsed="0" w:uiPriority="0" w:semiHidden="0" w:name="List Bullet"/>
    <w:lsdException w:uiPriority="0" w:name="List Number"/>
    <w:lsdException w:qFormat="1" w:uiPriority="99"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qFormat="1"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0"/>
    <w:pPr>
      <w:keepNext/>
      <w:keepLines/>
      <w:spacing w:line="578" w:lineRule="auto"/>
      <w:outlineLvl w:val="0"/>
    </w:pPr>
    <w:rPr>
      <w:rFonts w:eastAsia="华文中宋"/>
      <w:b/>
      <w:bCs/>
      <w:kern w:val="44"/>
      <w:sz w:val="32"/>
      <w:szCs w:val="44"/>
    </w:rPr>
  </w:style>
  <w:style w:type="paragraph" w:styleId="3">
    <w:name w:val="heading 2"/>
    <w:basedOn w:val="1"/>
    <w:next w:val="1"/>
    <w:autoRedefine/>
    <w:qFormat/>
    <w:uiPriority w:val="0"/>
    <w:pPr>
      <w:keepNext/>
      <w:keepLines/>
      <w:spacing w:line="416" w:lineRule="auto"/>
      <w:outlineLvl w:val="1"/>
    </w:pPr>
    <w:rPr>
      <w:rFonts w:hint="eastAsia" w:ascii="Arial" w:hAnsi="Arial" w:eastAsia="黑体"/>
      <w:b/>
      <w:bCs/>
      <w:sz w:val="32"/>
      <w:szCs w:val="32"/>
    </w:rPr>
  </w:style>
  <w:style w:type="paragraph" w:styleId="4">
    <w:name w:val="heading 3"/>
    <w:basedOn w:val="1"/>
    <w:next w:val="1"/>
    <w:autoRedefine/>
    <w:qFormat/>
    <w:uiPriority w:val="0"/>
    <w:pPr>
      <w:keepNext/>
      <w:keepLines/>
      <w:spacing w:line="416" w:lineRule="auto"/>
      <w:outlineLvl w:val="2"/>
    </w:pPr>
    <w:rPr>
      <w:b/>
      <w:bCs/>
      <w:sz w:val="32"/>
      <w:szCs w:val="32"/>
    </w:rPr>
  </w:style>
  <w:style w:type="paragraph" w:styleId="5">
    <w:name w:val="heading 4"/>
    <w:basedOn w:val="1"/>
    <w:next w:val="1"/>
    <w:autoRedefine/>
    <w:qFormat/>
    <w:uiPriority w:val="0"/>
    <w:pPr>
      <w:widowControl/>
      <w:spacing w:before="100" w:beforeAutospacing="1" w:after="100" w:afterAutospacing="1"/>
      <w:jc w:val="left"/>
      <w:outlineLvl w:val="3"/>
    </w:pPr>
    <w:rPr>
      <w:rFonts w:hint="eastAsia" w:ascii="宋体" w:hAnsi="宋体"/>
      <w:b/>
      <w:bCs/>
      <w:kern w:val="0"/>
      <w:sz w:val="24"/>
    </w:rPr>
  </w:style>
  <w:style w:type="paragraph" w:styleId="6">
    <w:name w:val="heading 5"/>
    <w:basedOn w:val="1"/>
    <w:next w:val="1"/>
    <w:link w:val="77"/>
    <w:autoRedefine/>
    <w:qFormat/>
    <w:uiPriority w:val="0"/>
    <w:pPr>
      <w:widowControl/>
      <w:spacing w:before="100" w:beforeAutospacing="1" w:after="100" w:afterAutospacing="1"/>
      <w:jc w:val="left"/>
      <w:outlineLvl w:val="4"/>
    </w:pPr>
    <w:rPr>
      <w:rFonts w:hint="eastAsia" w:ascii="宋体" w:hAnsi="宋体"/>
      <w:b/>
      <w:bCs/>
      <w:kern w:val="0"/>
      <w:sz w:val="20"/>
      <w:szCs w:val="20"/>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7">
    <w:name w:val="Normal Indent"/>
    <w:basedOn w:val="1"/>
    <w:autoRedefine/>
    <w:qFormat/>
    <w:uiPriority w:val="0"/>
    <w:pPr>
      <w:ind w:firstLine="420" w:firstLineChars="200"/>
    </w:pPr>
  </w:style>
  <w:style w:type="paragraph" w:styleId="8">
    <w:name w:val="annotation text"/>
    <w:basedOn w:val="1"/>
    <w:link w:val="65"/>
    <w:autoRedefine/>
    <w:qFormat/>
    <w:uiPriority w:val="0"/>
    <w:pPr>
      <w:jc w:val="left"/>
    </w:pPr>
  </w:style>
  <w:style w:type="paragraph" w:styleId="9">
    <w:name w:val="Body Text 3"/>
    <w:basedOn w:val="1"/>
    <w:autoRedefine/>
    <w:qFormat/>
    <w:uiPriority w:val="0"/>
    <w:pPr>
      <w:spacing w:line="80" w:lineRule="atLeast"/>
    </w:pPr>
    <w:rPr>
      <w:rFonts w:ascii="楷体_GB2312" w:eastAsia="楷体_GB2312"/>
      <w:sz w:val="28"/>
    </w:rPr>
  </w:style>
  <w:style w:type="paragraph" w:styleId="10">
    <w:name w:val="Body Text"/>
    <w:basedOn w:val="1"/>
    <w:autoRedefine/>
    <w:qFormat/>
    <w:uiPriority w:val="0"/>
    <w:rPr>
      <w:rFonts w:eastAsia="楷体_GB2312"/>
      <w:sz w:val="30"/>
      <w:szCs w:val="20"/>
    </w:rPr>
  </w:style>
  <w:style w:type="paragraph" w:styleId="11">
    <w:name w:val="Body Text Indent"/>
    <w:basedOn w:val="1"/>
    <w:autoRedefine/>
    <w:qFormat/>
    <w:uiPriority w:val="0"/>
    <w:pPr>
      <w:ind w:firstLine="540"/>
    </w:pPr>
    <w:rPr>
      <w:rFonts w:eastAsia="楷体_GB2312"/>
      <w:sz w:val="30"/>
      <w:szCs w:val="20"/>
    </w:rPr>
  </w:style>
  <w:style w:type="paragraph" w:styleId="12">
    <w:name w:val="List 2"/>
    <w:basedOn w:val="1"/>
    <w:unhideWhenUsed/>
    <w:qFormat/>
    <w:uiPriority w:val="99"/>
    <w:pPr>
      <w:ind w:left="100" w:leftChars="200" w:hanging="200" w:hangingChars="200"/>
      <w:contextualSpacing/>
    </w:pPr>
  </w:style>
  <w:style w:type="paragraph" w:styleId="13">
    <w:name w:val="Plain Text"/>
    <w:basedOn w:val="1"/>
    <w:autoRedefine/>
    <w:qFormat/>
    <w:uiPriority w:val="0"/>
    <w:rPr>
      <w:rFonts w:hint="eastAsia" w:ascii="宋体" w:hAnsi="Courier New"/>
      <w:szCs w:val="20"/>
    </w:rPr>
  </w:style>
  <w:style w:type="paragraph" w:styleId="14">
    <w:name w:val="Date"/>
    <w:basedOn w:val="1"/>
    <w:next w:val="1"/>
    <w:autoRedefine/>
    <w:qFormat/>
    <w:uiPriority w:val="0"/>
    <w:rPr>
      <w:sz w:val="24"/>
      <w:szCs w:val="20"/>
    </w:rPr>
  </w:style>
  <w:style w:type="paragraph" w:styleId="15">
    <w:name w:val="Body Text Indent 2"/>
    <w:basedOn w:val="1"/>
    <w:qFormat/>
    <w:uiPriority w:val="0"/>
    <w:pPr>
      <w:ind w:left="105" w:firstLine="690"/>
    </w:pPr>
    <w:rPr>
      <w:sz w:val="32"/>
    </w:rPr>
  </w:style>
  <w:style w:type="paragraph" w:styleId="16">
    <w:name w:val="Balloon Text"/>
    <w:basedOn w:val="1"/>
    <w:link w:val="67"/>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rFonts w:hint="eastAsia"/>
      <w:sz w:val="18"/>
      <w:szCs w:val="18"/>
    </w:rPr>
  </w:style>
  <w:style w:type="paragraph" w:styleId="18">
    <w:name w:val="envelope return"/>
    <w:basedOn w:val="1"/>
    <w:autoRedefine/>
    <w:qFormat/>
    <w:uiPriority w:val="0"/>
    <w:pPr>
      <w:snapToGrid w:val="0"/>
    </w:pPr>
    <w:rPr>
      <w:rFonts w:ascii="Arial" w:hAnsi="Arial"/>
    </w:rPr>
  </w:style>
  <w:style w:type="paragraph" w:styleId="19">
    <w:name w:val="header"/>
    <w:basedOn w:val="1"/>
    <w:autoRedefine/>
    <w:qFormat/>
    <w:uiPriority w:val="0"/>
    <w:pPr>
      <w:pBdr>
        <w:bottom w:val="single" w:color="auto" w:sz="6" w:space="1"/>
      </w:pBdr>
      <w:tabs>
        <w:tab w:val="center" w:pos="4153"/>
        <w:tab w:val="right" w:pos="8306"/>
      </w:tabs>
      <w:snapToGrid w:val="0"/>
      <w:jc w:val="center"/>
    </w:pPr>
    <w:rPr>
      <w:rFonts w:hint="eastAsia"/>
      <w:sz w:val="18"/>
      <w:szCs w:val="18"/>
    </w:rPr>
  </w:style>
  <w:style w:type="paragraph" w:styleId="20">
    <w:name w:val="toc 1"/>
    <w:basedOn w:val="1"/>
    <w:next w:val="1"/>
    <w:autoRedefine/>
    <w:qFormat/>
    <w:uiPriority w:val="0"/>
    <w:pPr>
      <w:spacing w:line="360" w:lineRule="exact"/>
    </w:pPr>
    <w:rPr>
      <w:rFonts w:ascii="仿宋_GB2312" w:hAnsi="宋体" w:eastAsia="仿宋_GB2312"/>
      <w:b/>
      <w:bCs/>
      <w:sz w:val="28"/>
      <w:szCs w:val="28"/>
    </w:rPr>
  </w:style>
  <w:style w:type="paragraph" w:styleId="21">
    <w:name w:val="Subtitle"/>
    <w:basedOn w:val="1"/>
    <w:next w:val="1"/>
    <w:autoRedefine/>
    <w:qFormat/>
    <w:uiPriority w:val="0"/>
    <w:pPr>
      <w:spacing w:before="240" w:after="60" w:line="312" w:lineRule="auto"/>
      <w:jc w:val="center"/>
      <w:outlineLvl w:val="1"/>
    </w:pPr>
    <w:rPr>
      <w:rFonts w:ascii="Calibri Light" w:hAnsi="Calibri Light"/>
      <w:b/>
      <w:bCs/>
      <w:kern w:val="28"/>
      <w:sz w:val="32"/>
      <w:szCs w:val="32"/>
    </w:rPr>
  </w:style>
  <w:style w:type="paragraph" w:styleId="22">
    <w:name w:val="toc 2"/>
    <w:basedOn w:val="1"/>
    <w:next w:val="1"/>
    <w:autoRedefine/>
    <w:qFormat/>
    <w:uiPriority w:val="39"/>
    <w:pPr>
      <w:ind w:left="420" w:leftChars="200"/>
    </w:pPr>
  </w:style>
  <w:style w:type="paragraph" w:styleId="23">
    <w:name w:val="Body Text 2"/>
    <w:basedOn w:val="1"/>
    <w:autoRedefine/>
    <w:qFormat/>
    <w:uiPriority w:val="0"/>
    <w:pPr>
      <w:jc w:val="left"/>
    </w:pPr>
    <w:rPr>
      <w:rFonts w:ascii="仿宋_GB2312" w:hAnsi="宋体" w:eastAsia="仿宋_GB2312"/>
    </w:rPr>
  </w:style>
  <w:style w:type="paragraph" w:styleId="24">
    <w:name w:val="Normal (Web)"/>
    <w:basedOn w:val="1"/>
    <w:autoRedefine/>
    <w:qFormat/>
    <w:uiPriority w:val="0"/>
    <w:pPr>
      <w:widowControl/>
      <w:spacing w:beforeAutospacing="1" w:afterAutospacing="1"/>
      <w:jc w:val="left"/>
    </w:pPr>
    <w:rPr>
      <w:rFonts w:ascii="宋体" w:hAnsi="宋体" w:cs="宋体"/>
      <w:kern w:val="0"/>
      <w:sz w:val="24"/>
    </w:rPr>
  </w:style>
  <w:style w:type="paragraph" w:styleId="25">
    <w:name w:val="annotation subject"/>
    <w:basedOn w:val="8"/>
    <w:next w:val="8"/>
    <w:link w:val="66"/>
    <w:autoRedefine/>
    <w:semiHidden/>
    <w:unhideWhenUsed/>
    <w:qFormat/>
    <w:uiPriority w:val="0"/>
    <w:rPr>
      <w:b/>
      <w:bCs/>
    </w:rPr>
  </w:style>
  <w:style w:type="paragraph" w:styleId="26">
    <w:name w:val="Body Text First Indent"/>
    <w:basedOn w:val="10"/>
    <w:next w:val="1"/>
    <w:autoRedefine/>
    <w:qFormat/>
    <w:uiPriority w:val="0"/>
    <w:pPr>
      <w:ind w:firstLine="420" w:firstLineChars="100"/>
    </w:pPr>
  </w:style>
  <w:style w:type="paragraph" w:styleId="27">
    <w:name w:val="Body Text First Indent 2"/>
    <w:basedOn w:val="11"/>
    <w:autoRedefine/>
    <w:qFormat/>
    <w:uiPriority w:val="0"/>
    <w:pPr>
      <w:ind w:firstLine="420" w:firstLineChars="200"/>
    </w:pPr>
  </w:style>
  <w:style w:type="table" w:styleId="29">
    <w:name w:val="Table Grid"/>
    <w:basedOn w:val="28"/>
    <w:autoRedefine/>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basedOn w:val="30"/>
    <w:autoRedefine/>
    <w:qFormat/>
    <w:uiPriority w:val="0"/>
  </w:style>
  <w:style w:type="character" w:styleId="32">
    <w:name w:val="page number"/>
    <w:basedOn w:val="30"/>
    <w:autoRedefine/>
    <w:qFormat/>
    <w:uiPriority w:val="0"/>
  </w:style>
  <w:style w:type="character" w:styleId="33">
    <w:name w:val="FollowedHyperlink"/>
    <w:basedOn w:val="30"/>
    <w:autoRedefine/>
    <w:semiHidden/>
    <w:unhideWhenUsed/>
    <w:qFormat/>
    <w:uiPriority w:val="0"/>
    <w:rPr>
      <w:color w:val="800080"/>
      <w:u w:val="none"/>
    </w:rPr>
  </w:style>
  <w:style w:type="character" w:styleId="34">
    <w:name w:val="Emphasis"/>
    <w:basedOn w:val="30"/>
    <w:autoRedefine/>
    <w:qFormat/>
    <w:uiPriority w:val="0"/>
    <w:rPr>
      <w:b/>
      <w:bCs/>
    </w:rPr>
  </w:style>
  <w:style w:type="character" w:styleId="35">
    <w:name w:val="HTML Definition"/>
    <w:basedOn w:val="30"/>
    <w:autoRedefine/>
    <w:semiHidden/>
    <w:unhideWhenUsed/>
    <w:qFormat/>
    <w:uiPriority w:val="0"/>
  </w:style>
  <w:style w:type="character" w:styleId="36">
    <w:name w:val="HTML Typewriter"/>
    <w:basedOn w:val="30"/>
    <w:autoRedefine/>
    <w:semiHidden/>
    <w:unhideWhenUsed/>
    <w:qFormat/>
    <w:uiPriority w:val="0"/>
    <w:rPr>
      <w:rFonts w:hint="default" w:ascii="monospace" w:hAnsi="monospace" w:eastAsia="monospace" w:cs="monospace"/>
      <w:sz w:val="20"/>
    </w:rPr>
  </w:style>
  <w:style w:type="character" w:styleId="37">
    <w:name w:val="HTML Acronym"/>
    <w:basedOn w:val="30"/>
    <w:autoRedefine/>
    <w:semiHidden/>
    <w:unhideWhenUsed/>
    <w:qFormat/>
    <w:uiPriority w:val="0"/>
    <w:rPr>
      <w:bdr w:val="single" w:color="BDBEC1" w:sz="2" w:space="0"/>
      <w:shd w:val="clear" w:color="auto" w:fill="FFFFFF"/>
    </w:rPr>
  </w:style>
  <w:style w:type="character" w:styleId="38">
    <w:name w:val="HTML Variable"/>
    <w:basedOn w:val="30"/>
    <w:autoRedefine/>
    <w:semiHidden/>
    <w:unhideWhenUsed/>
    <w:qFormat/>
    <w:uiPriority w:val="0"/>
  </w:style>
  <w:style w:type="character" w:styleId="39">
    <w:name w:val="Hyperlink"/>
    <w:autoRedefine/>
    <w:qFormat/>
    <w:uiPriority w:val="0"/>
    <w:rPr>
      <w:u w:val="single"/>
    </w:rPr>
  </w:style>
  <w:style w:type="character" w:styleId="40">
    <w:name w:val="HTML Code"/>
    <w:basedOn w:val="30"/>
    <w:autoRedefine/>
    <w:semiHidden/>
    <w:unhideWhenUsed/>
    <w:qFormat/>
    <w:uiPriority w:val="0"/>
    <w:rPr>
      <w:rFonts w:hint="default" w:ascii="monospace" w:hAnsi="monospace" w:eastAsia="monospace" w:cs="monospace"/>
      <w:sz w:val="20"/>
    </w:rPr>
  </w:style>
  <w:style w:type="character" w:styleId="41">
    <w:name w:val="annotation reference"/>
    <w:basedOn w:val="30"/>
    <w:autoRedefine/>
    <w:semiHidden/>
    <w:unhideWhenUsed/>
    <w:qFormat/>
    <w:uiPriority w:val="0"/>
    <w:rPr>
      <w:sz w:val="21"/>
      <w:szCs w:val="21"/>
    </w:rPr>
  </w:style>
  <w:style w:type="character" w:styleId="42">
    <w:name w:val="HTML Cite"/>
    <w:basedOn w:val="30"/>
    <w:autoRedefine/>
    <w:semiHidden/>
    <w:unhideWhenUsed/>
    <w:qFormat/>
    <w:uiPriority w:val="0"/>
  </w:style>
  <w:style w:type="character" w:styleId="43">
    <w:name w:val="HTML Keyboard"/>
    <w:basedOn w:val="30"/>
    <w:autoRedefine/>
    <w:semiHidden/>
    <w:unhideWhenUsed/>
    <w:qFormat/>
    <w:uiPriority w:val="0"/>
    <w:rPr>
      <w:rFonts w:hint="default" w:ascii="monospace" w:hAnsi="monospace" w:eastAsia="monospace" w:cs="monospace"/>
      <w:sz w:val="20"/>
    </w:rPr>
  </w:style>
  <w:style w:type="character" w:styleId="44">
    <w:name w:val="HTML Sample"/>
    <w:basedOn w:val="30"/>
    <w:autoRedefine/>
    <w:semiHidden/>
    <w:unhideWhenUsed/>
    <w:qFormat/>
    <w:uiPriority w:val="0"/>
    <w:rPr>
      <w:rFonts w:ascii="monospace" w:hAnsi="monospace" w:eastAsia="monospace" w:cs="monospace"/>
      <w:shd w:val="clear" w:color="auto" w:fill="FFFFFF"/>
    </w:rPr>
  </w:style>
  <w:style w:type="paragraph" w:customStyle="1" w:styleId="45">
    <w:name w:val="BodyText1I2"/>
    <w:basedOn w:val="46"/>
    <w:autoRedefine/>
    <w:qFormat/>
    <w:uiPriority w:val="0"/>
    <w:pPr>
      <w:ind w:firstLine="420" w:firstLineChars="200"/>
    </w:pPr>
  </w:style>
  <w:style w:type="paragraph" w:customStyle="1" w:styleId="46">
    <w:name w:val="BodyTextIndent"/>
    <w:basedOn w:val="1"/>
    <w:autoRedefine/>
    <w:qFormat/>
    <w:uiPriority w:val="0"/>
    <w:pPr>
      <w:spacing w:after="120"/>
      <w:ind w:left="420" w:leftChars="200"/>
    </w:pPr>
  </w:style>
  <w:style w:type="paragraph" w:customStyle="1" w:styleId="47">
    <w:name w:val="段"/>
    <w:next w:val="1"/>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48">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9">
    <w:name w:val="Default"/>
    <w:autoRedefine/>
    <w:qFormat/>
    <w:uiPriority w:val="0"/>
    <w:pPr>
      <w:widowControl w:val="0"/>
      <w:autoSpaceDE w:val="0"/>
      <w:autoSpaceDN w:val="0"/>
      <w:adjustRightInd w:val="0"/>
    </w:pPr>
    <w:rPr>
      <w:rFonts w:ascii="Arial" w:hAnsi="Arial" w:eastAsia="宋体" w:cs="Times New Roman"/>
      <w:color w:val="000000"/>
      <w:sz w:val="24"/>
      <w:szCs w:val="24"/>
      <w:lang w:val="en-US" w:eastAsia="zh-CN" w:bidi="ar-SA"/>
    </w:rPr>
  </w:style>
  <w:style w:type="paragraph" w:customStyle="1" w:styleId="50">
    <w:name w:val="列出段落1"/>
    <w:basedOn w:val="1"/>
    <w:autoRedefine/>
    <w:qFormat/>
    <w:uiPriority w:val="34"/>
    <w:pPr>
      <w:ind w:firstLine="420" w:firstLineChars="200"/>
    </w:pPr>
    <w:rPr>
      <w:szCs w:val="22"/>
    </w:rPr>
  </w:style>
  <w:style w:type="paragraph" w:customStyle="1" w:styleId="51">
    <w:name w:val="正文1"/>
    <w:autoRedefine/>
    <w:qFormat/>
    <w:uiPriority w:val="0"/>
    <w:pPr>
      <w:jc w:val="both"/>
    </w:pPr>
    <w:rPr>
      <w:rFonts w:ascii="Calibri" w:hAnsi="Calibri" w:eastAsia="宋体" w:cs="宋体"/>
      <w:kern w:val="2"/>
      <w:sz w:val="21"/>
      <w:szCs w:val="21"/>
      <w:lang w:val="en-US" w:eastAsia="zh-CN" w:bidi="ar-SA"/>
    </w:rPr>
  </w:style>
  <w:style w:type="paragraph" w:customStyle="1" w:styleId="52">
    <w:name w:val="正文（首行缩进）"/>
    <w:basedOn w:val="1"/>
    <w:autoRedefine/>
    <w:qFormat/>
    <w:uiPriority w:val="0"/>
    <w:pPr>
      <w:spacing w:line="360" w:lineRule="auto"/>
      <w:ind w:firstLine="200" w:firstLineChars="200"/>
    </w:pPr>
  </w:style>
  <w:style w:type="character" w:customStyle="1" w:styleId="53">
    <w:name w:val="font21"/>
    <w:basedOn w:val="30"/>
    <w:autoRedefine/>
    <w:qFormat/>
    <w:uiPriority w:val="0"/>
    <w:rPr>
      <w:rFonts w:hint="eastAsia" w:ascii="宋体" w:hAnsi="宋体" w:eastAsia="宋体" w:cs="宋体"/>
      <w:color w:val="000000"/>
      <w:sz w:val="20"/>
      <w:szCs w:val="20"/>
      <w:u w:val="none"/>
    </w:rPr>
  </w:style>
  <w:style w:type="character" w:customStyle="1" w:styleId="54">
    <w:name w:val="font91"/>
    <w:basedOn w:val="30"/>
    <w:autoRedefine/>
    <w:qFormat/>
    <w:uiPriority w:val="0"/>
    <w:rPr>
      <w:rFonts w:hint="eastAsia" w:ascii="宋体" w:hAnsi="宋体" w:eastAsia="宋体" w:cs="宋体"/>
      <w:color w:val="000000"/>
      <w:sz w:val="20"/>
      <w:szCs w:val="20"/>
      <w:u w:val="none"/>
    </w:rPr>
  </w:style>
  <w:style w:type="character" w:customStyle="1" w:styleId="55">
    <w:name w:val="font112"/>
    <w:basedOn w:val="30"/>
    <w:autoRedefine/>
    <w:qFormat/>
    <w:uiPriority w:val="0"/>
    <w:rPr>
      <w:rFonts w:ascii="宋体" w:hAnsi="宋体" w:eastAsia="宋体" w:cs="宋体"/>
      <w:color w:val="000000"/>
      <w:sz w:val="20"/>
      <w:szCs w:val="20"/>
      <w:u w:val="none"/>
    </w:rPr>
  </w:style>
  <w:style w:type="character" w:customStyle="1" w:styleId="56">
    <w:name w:val="font121"/>
    <w:basedOn w:val="30"/>
    <w:autoRedefine/>
    <w:qFormat/>
    <w:uiPriority w:val="0"/>
    <w:rPr>
      <w:rFonts w:ascii="微软雅黑" w:hAnsi="微软雅黑" w:eastAsia="微软雅黑" w:cs="微软雅黑"/>
      <w:color w:val="000000"/>
      <w:sz w:val="20"/>
      <w:szCs w:val="20"/>
      <w:u w:val="none"/>
    </w:rPr>
  </w:style>
  <w:style w:type="character" w:customStyle="1" w:styleId="57">
    <w:name w:val="font101"/>
    <w:basedOn w:val="30"/>
    <w:autoRedefine/>
    <w:qFormat/>
    <w:uiPriority w:val="0"/>
    <w:rPr>
      <w:rFonts w:hint="eastAsia" w:ascii="宋体" w:hAnsi="宋体" w:eastAsia="宋体" w:cs="宋体"/>
      <w:color w:val="000000"/>
      <w:sz w:val="20"/>
      <w:szCs w:val="20"/>
      <w:u w:val="none"/>
    </w:rPr>
  </w:style>
  <w:style w:type="character" w:customStyle="1" w:styleId="58">
    <w:name w:val="font81"/>
    <w:basedOn w:val="30"/>
    <w:autoRedefine/>
    <w:qFormat/>
    <w:uiPriority w:val="0"/>
    <w:rPr>
      <w:rFonts w:hint="eastAsia" w:ascii="宋体" w:hAnsi="宋体" w:eastAsia="宋体" w:cs="宋体"/>
      <w:color w:val="000000"/>
      <w:sz w:val="20"/>
      <w:szCs w:val="20"/>
      <w:u w:val="none"/>
    </w:rPr>
  </w:style>
  <w:style w:type="character" w:customStyle="1" w:styleId="59">
    <w:name w:val="NormalCharacter"/>
    <w:autoRedefine/>
    <w:qFormat/>
    <w:uiPriority w:val="0"/>
    <w:rPr>
      <w:rFonts w:ascii="Calibri" w:hAnsi="Calibri" w:eastAsia="宋体" w:cs="Times New Roman"/>
      <w:kern w:val="2"/>
      <w:sz w:val="21"/>
      <w:szCs w:val="24"/>
      <w:lang w:val="en-US" w:eastAsia="zh-CN" w:bidi="ar-SA"/>
    </w:rPr>
  </w:style>
  <w:style w:type="character" w:customStyle="1" w:styleId="60">
    <w:name w:val="font61"/>
    <w:basedOn w:val="30"/>
    <w:autoRedefine/>
    <w:qFormat/>
    <w:uiPriority w:val="0"/>
    <w:rPr>
      <w:rFonts w:hint="eastAsia" w:ascii="宋体" w:hAnsi="宋体" w:eastAsia="宋体" w:cs="宋体"/>
      <w:color w:val="000000"/>
      <w:sz w:val="20"/>
      <w:szCs w:val="20"/>
      <w:u w:val="none"/>
    </w:rPr>
  </w:style>
  <w:style w:type="character" w:customStyle="1" w:styleId="61">
    <w:name w:val="font01"/>
    <w:basedOn w:val="30"/>
    <w:autoRedefine/>
    <w:qFormat/>
    <w:uiPriority w:val="0"/>
    <w:rPr>
      <w:rFonts w:hint="eastAsia" w:ascii="宋体" w:hAnsi="宋体" w:eastAsia="宋体" w:cs="宋体"/>
      <w:color w:val="000000"/>
      <w:sz w:val="20"/>
      <w:szCs w:val="20"/>
      <w:u w:val="none"/>
    </w:rPr>
  </w:style>
  <w:style w:type="paragraph" w:customStyle="1" w:styleId="62">
    <w:name w:val="Table Paragraph"/>
    <w:basedOn w:val="1"/>
    <w:next w:val="1"/>
    <w:autoRedefine/>
    <w:qFormat/>
    <w:uiPriority w:val="1"/>
  </w:style>
  <w:style w:type="paragraph" w:customStyle="1" w:styleId="63">
    <w:name w:val="列出段落11"/>
    <w:basedOn w:val="1"/>
    <w:autoRedefine/>
    <w:qFormat/>
    <w:uiPriority w:val="34"/>
    <w:pPr>
      <w:ind w:firstLine="420" w:firstLineChars="200"/>
    </w:pPr>
  </w:style>
  <w:style w:type="paragraph" w:customStyle="1" w:styleId="64">
    <w:name w:val="表格文字"/>
    <w:basedOn w:val="1"/>
    <w:autoRedefine/>
    <w:unhideWhenUsed/>
    <w:qFormat/>
    <w:uiPriority w:val="0"/>
    <w:pPr>
      <w:jc w:val="left"/>
    </w:pPr>
    <w:rPr>
      <w:spacing w:val="10"/>
      <w:kern w:val="0"/>
      <w:sz w:val="24"/>
    </w:rPr>
  </w:style>
  <w:style w:type="character" w:customStyle="1" w:styleId="65">
    <w:name w:val="批注文字 Char"/>
    <w:basedOn w:val="30"/>
    <w:link w:val="8"/>
    <w:autoRedefine/>
    <w:qFormat/>
    <w:uiPriority w:val="0"/>
    <w:rPr>
      <w:rFonts w:ascii="Calibri" w:hAnsi="Calibri"/>
      <w:kern w:val="2"/>
      <w:sz w:val="21"/>
      <w:szCs w:val="24"/>
    </w:rPr>
  </w:style>
  <w:style w:type="character" w:customStyle="1" w:styleId="66">
    <w:name w:val="批注主题 Char"/>
    <w:basedOn w:val="65"/>
    <w:link w:val="25"/>
    <w:autoRedefine/>
    <w:semiHidden/>
    <w:qFormat/>
    <w:uiPriority w:val="0"/>
    <w:rPr>
      <w:rFonts w:ascii="Calibri" w:hAnsi="Calibri"/>
      <w:b/>
      <w:bCs/>
      <w:kern w:val="2"/>
      <w:sz w:val="21"/>
      <w:szCs w:val="24"/>
    </w:rPr>
  </w:style>
  <w:style w:type="character" w:customStyle="1" w:styleId="67">
    <w:name w:val="批注框文本 Char"/>
    <w:basedOn w:val="30"/>
    <w:link w:val="16"/>
    <w:autoRedefine/>
    <w:qFormat/>
    <w:uiPriority w:val="0"/>
    <w:rPr>
      <w:rFonts w:ascii="Calibri" w:hAnsi="Calibri"/>
      <w:kern w:val="2"/>
      <w:sz w:val="18"/>
      <w:szCs w:val="18"/>
    </w:rPr>
  </w:style>
  <w:style w:type="paragraph" w:styleId="68">
    <w:name w:val="No Spacing"/>
    <w:autoRedefine/>
    <w:qFormat/>
    <w:uiPriority w:val="1"/>
    <w:pPr>
      <w:widowControl w:val="0"/>
      <w:jc w:val="both"/>
    </w:pPr>
    <w:rPr>
      <w:rFonts w:ascii="Calibri" w:hAnsi="Calibri" w:eastAsia="宋体" w:cs="Times New Roman"/>
      <w:kern w:val="2"/>
      <w:sz w:val="21"/>
      <w:szCs w:val="22"/>
      <w:lang w:val="en-US" w:eastAsia="zh-CN" w:bidi="ar-SA"/>
    </w:rPr>
  </w:style>
  <w:style w:type="paragraph" w:styleId="69">
    <w:name w:val="List Paragraph"/>
    <w:basedOn w:val="1"/>
    <w:autoRedefine/>
    <w:qFormat/>
    <w:uiPriority w:val="34"/>
    <w:pPr>
      <w:widowControl/>
      <w:numPr>
        <w:ilvl w:val="0"/>
        <w:numId w:val="1"/>
      </w:numPr>
      <w:spacing w:line="360" w:lineRule="exact"/>
      <w:ind w:firstLine="420"/>
      <w:jc w:val="left"/>
      <w:textAlignment w:val="baseline"/>
    </w:pPr>
  </w:style>
  <w:style w:type="paragraph" w:customStyle="1" w:styleId="70">
    <w:name w:val="_Style 1"/>
    <w:basedOn w:val="1"/>
    <w:autoRedefine/>
    <w:qFormat/>
    <w:uiPriority w:val="34"/>
    <w:pPr>
      <w:ind w:firstLine="420" w:firstLineChars="200"/>
    </w:pPr>
  </w:style>
  <w:style w:type="paragraph" w:customStyle="1" w:styleId="71">
    <w:name w:val="Body text|2"/>
    <w:basedOn w:val="1"/>
    <w:autoRedefine/>
    <w:qFormat/>
    <w:uiPriority w:val="0"/>
    <w:pPr>
      <w:spacing w:line="212" w:lineRule="exact"/>
    </w:pPr>
    <w:rPr>
      <w:sz w:val="14"/>
      <w:szCs w:val="14"/>
    </w:rPr>
  </w:style>
  <w:style w:type="paragraph" w:customStyle="1" w:styleId="72">
    <w:name w:val="Body text|1"/>
    <w:basedOn w:val="1"/>
    <w:autoRedefine/>
    <w:qFormat/>
    <w:uiPriority w:val="0"/>
    <w:pPr>
      <w:spacing w:line="259" w:lineRule="auto"/>
    </w:pPr>
    <w:rPr>
      <w:rFonts w:ascii="宋体" w:hAnsi="宋体" w:cs="宋体"/>
      <w:lang w:val="zh-TW" w:eastAsia="zh-TW" w:bidi="zh-TW"/>
    </w:rPr>
  </w:style>
  <w:style w:type="paragraph" w:customStyle="1" w:styleId="73">
    <w:name w:val="正文文本缩进1"/>
    <w:basedOn w:val="1"/>
    <w:autoRedefine/>
    <w:qFormat/>
    <w:uiPriority w:val="0"/>
    <w:pPr>
      <w:spacing w:line="480" w:lineRule="atLeast"/>
      <w:ind w:firstLine="540"/>
    </w:pPr>
    <w:rPr>
      <w:kern w:val="0"/>
      <w:sz w:val="28"/>
      <w:szCs w:val="20"/>
    </w:rPr>
  </w:style>
  <w:style w:type="paragraph" w:customStyle="1" w:styleId="74">
    <w:name w:val="普通(网站)1"/>
    <w:basedOn w:val="1"/>
    <w:autoRedefine/>
    <w:qFormat/>
    <w:uiPriority w:val="0"/>
    <w:pPr>
      <w:spacing w:before="100" w:beforeAutospacing="1" w:after="100" w:afterAutospacing="1"/>
      <w:jc w:val="left"/>
    </w:pPr>
    <w:rPr>
      <w:rFonts w:ascii="宋体" w:hAnsi="宋体"/>
      <w:kern w:val="0"/>
      <w:sz w:val="24"/>
    </w:rPr>
  </w:style>
  <w:style w:type="character" w:customStyle="1" w:styleId="75">
    <w:name w:val="font31"/>
    <w:basedOn w:val="30"/>
    <w:autoRedefine/>
    <w:qFormat/>
    <w:uiPriority w:val="0"/>
    <w:rPr>
      <w:rFonts w:hint="eastAsia" w:ascii="宋体" w:hAnsi="宋体" w:eastAsia="宋体" w:cs="宋体"/>
      <w:color w:val="000000"/>
      <w:sz w:val="20"/>
      <w:szCs w:val="20"/>
      <w:u w:val="none"/>
    </w:rPr>
  </w:style>
  <w:style w:type="paragraph" w:customStyle="1" w:styleId="76">
    <w:name w:val="首行缩进"/>
    <w:autoRedefine/>
    <w:qFormat/>
    <w:uiPriority w:val="0"/>
    <w:pPr>
      <w:widowControl w:val="0"/>
      <w:ind w:firstLine="480" w:firstLineChars="200"/>
      <w:jc w:val="both"/>
    </w:pPr>
    <w:rPr>
      <w:rFonts w:ascii="Times New Roman" w:hAnsi="Times New Roman" w:eastAsia="宋体" w:cs="Times New Roman"/>
      <w:kern w:val="2"/>
      <w:sz w:val="21"/>
      <w:szCs w:val="24"/>
      <w:lang w:val="en-US" w:eastAsia="zh-CN" w:bidi="ar-SA"/>
    </w:rPr>
  </w:style>
  <w:style w:type="character" w:customStyle="1" w:styleId="77">
    <w:name w:val="标题 5 Char"/>
    <w:link w:val="6"/>
    <w:autoRedefine/>
    <w:qFormat/>
    <w:locked/>
    <w:uiPriority w:val="99"/>
    <w:rPr>
      <w:rFonts w:hint="eastAsia" w:ascii="宋体" w:hAnsi="宋体" w:eastAsia="宋体" w:cs="宋体"/>
      <w:b/>
      <w:bCs/>
      <w:kern w:val="0"/>
      <w:sz w:val="20"/>
      <w:szCs w:val="20"/>
      <w:lang w:val="en-US" w:eastAsia="zh-CN" w:bidi="ar"/>
    </w:rPr>
  </w:style>
  <w:style w:type="character" w:customStyle="1" w:styleId="78">
    <w:name w:val="未处理的提及1"/>
    <w:basedOn w:val="30"/>
    <w:autoRedefine/>
    <w:semiHidden/>
    <w:unhideWhenUsed/>
    <w:qFormat/>
    <w:uiPriority w:val="99"/>
    <w:rPr>
      <w:color w:val="605E5C"/>
      <w:shd w:val="clear" w:color="auto" w:fill="E1DFDD"/>
    </w:rPr>
  </w:style>
  <w:style w:type="paragraph" w:customStyle="1" w:styleId="79">
    <w:name w:val="修订1"/>
    <w:autoRedefine/>
    <w:hidden/>
    <w:unhideWhenUsed/>
    <w:qFormat/>
    <w:uiPriority w:val="99"/>
    <w:rPr>
      <w:rFonts w:ascii="Calibri" w:hAnsi="Calibri" w:eastAsia="宋体" w:cs="Times New Roman"/>
      <w:kern w:val="2"/>
      <w:sz w:val="21"/>
      <w:szCs w:val="24"/>
      <w:lang w:val="en-US" w:eastAsia="zh-CN" w:bidi="ar-SA"/>
    </w:rPr>
  </w:style>
  <w:style w:type="paragraph" w:customStyle="1" w:styleId="80">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1">
    <w:name w:val="font161"/>
    <w:basedOn w:val="30"/>
    <w:autoRedefine/>
    <w:qFormat/>
    <w:uiPriority w:val="0"/>
    <w:rPr>
      <w:rFonts w:hint="eastAsia" w:ascii="宋体" w:hAnsi="宋体" w:eastAsia="宋体" w:cs="宋体"/>
      <w:b/>
      <w:bCs/>
      <w:color w:val="000000"/>
      <w:sz w:val="20"/>
      <w:szCs w:val="20"/>
      <w:u w:val="none"/>
    </w:rPr>
  </w:style>
  <w:style w:type="character" w:customStyle="1" w:styleId="82">
    <w:name w:val="font171"/>
    <w:basedOn w:val="30"/>
    <w:autoRedefine/>
    <w:qFormat/>
    <w:uiPriority w:val="0"/>
    <w:rPr>
      <w:rFonts w:hint="eastAsia" w:ascii="宋体" w:hAnsi="宋体" w:eastAsia="宋体" w:cs="宋体"/>
      <w:b/>
      <w:bCs/>
      <w:color w:val="FF0000"/>
      <w:sz w:val="22"/>
      <w:szCs w:val="22"/>
      <w:u w:val="none"/>
    </w:rPr>
  </w:style>
  <w:style w:type="character" w:customStyle="1" w:styleId="83">
    <w:name w:val="font141"/>
    <w:basedOn w:val="30"/>
    <w:autoRedefine/>
    <w:qFormat/>
    <w:uiPriority w:val="0"/>
    <w:rPr>
      <w:rFonts w:hint="eastAsia" w:ascii="宋体" w:hAnsi="宋体" w:eastAsia="宋体" w:cs="宋体"/>
      <w:color w:val="000000"/>
      <w:sz w:val="22"/>
      <w:szCs w:val="22"/>
      <w:u w:val="none"/>
    </w:rPr>
  </w:style>
  <w:style w:type="character" w:customStyle="1" w:styleId="84">
    <w:name w:val="font131"/>
    <w:basedOn w:val="30"/>
    <w:autoRedefine/>
    <w:qFormat/>
    <w:uiPriority w:val="0"/>
    <w:rPr>
      <w:rFonts w:hint="eastAsia" w:ascii="宋体" w:hAnsi="宋体" w:eastAsia="宋体" w:cs="宋体"/>
      <w:color w:val="000000"/>
      <w:sz w:val="22"/>
      <w:szCs w:val="22"/>
      <w:u w:val="none"/>
    </w:rPr>
  </w:style>
  <w:style w:type="character" w:customStyle="1" w:styleId="85">
    <w:name w:val="font71"/>
    <w:basedOn w:val="30"/>
    <w:autoRedefine/>
    <w:qFormat/>
    <w:uiPriority w:val="0"/>
    <w:rPr>
      <w:rFonts w:hint="eastAsia" w:ascii="宋体" w:hAnsi="宋体" w:eastAsia="宋体" w:cs="宋体"/>
      <w:color w:val="000000"/>
      <w:sz w:val="22"/>
      <w:szCs w:val="22"/>
      <w:u w:val="none"/>
    </w:rPr>
  </w:style>
  <w:style w:type="paragraph" w:customStyle="1" w:styleId="86">
    <w:name w:val="wdcj_1_p"/>
    <w:basedOn w:val="1"/>
    <w:autoRedefine/>
    <w:qFormat/>
    <w:uiPriority w:val="0"/>
    <w:pPr>
      <w:widowControl/>
      <w:spacing w:before="100" w:beforeAutospacing="1" w:after="100" w:afterAutospacing="1" w:line="360" w:lineRule="auto"/>
    </w:pPr>
    <w:rPr>
      <w:rFonts w:ascii="宋体" w:hAnsi="宋体" w:cs="宋体"/>
      <w:b/>
      <w:bCs/>
      <w:kern w:val="0"/>
      <w:sz w:val="32"/>
      <w:szCs w:val="32"/>
    </w:rPr>
  </w:style>
  <w:style w:type="paragraph" w:customStyle="1" w:styleId="87">
    <w:name w:val="Table Text"/>
    <w:basedOn w:val="1"/>
    <w:autoRedefine/>
    <w:semiHidden/>
    <w:qFormat/>
    <w:uiPriority w:val="0"/>
    <w:rPr>
      <w:rFonts w:ascii="宋体" w:hAnsi="宋体" w:cs="宋体"/>
      <w:sz w:val="24"/>
      <w:lang w:eastAsia="en-US"/>
    </w:rPr>
  </w:style>
  <w:style w:type="paragraph" w:customStyle="1" w:styleId="88">
    <w:name w:val="wdcj_2_p"/>
    <w:basedOn w:val="1"/>
    <w:autoRedefine/>
    <w:qFormat/>
    <w:uiPriority w:val="0"/>
    <w:pPr>
      <w:widowControl/>
      <w:spacing w:before="100" w:beforeAutospacing="1" w:after="100" w:afterAutospacing="1" w:line="360" w:lineRule="auto"/>
    </w:pPr>
    <w:rPr>
      <w:rFonts w:ascii="宋体" w:hAnsi="宋体" w:cs="宋体"/>
      <w:b/>
      <w:bCs/>
      <w:kern w:val="0"/>
      <w:sz w:val="30"/>
      <w:szCs w:val="30"/>
    </w:rPr>
  </w:style>
  <w:style w:type="paragraph" w:customStyle="1" w:styleId="89">
    <w:name w:val="wdcj_5_p"/>
    <w:basedOn w:val="1"/>
    <w:autoRedefine/>
    <w:qFormat/>
    <w:uiPriority w:val="0"/>
    <w:pPr>
      <w:widowControl/>
      <w:spacing w:before="100" w:beforeAutospacing="1" w:after="100" w:afterAutospacing="1" w:line="360" w:lineRule="auto"/>
    </w:pPr>
    <w:rPr>
      <w:rFonts w:ascii="宋体" w:hAnsi="宋体" w:cs="宋体"/>
      <w:b/>
      <w:bCs/>
      <w:kern w:val="0"/>
      <w:sz w:val="24"/>
    </w:rPr>
  </w:style>
  <w:style w:type="paragraph" w:customStyle="1" w:styleId="90">
    <w:name w:val="wdcj_7_p"/>
    <w:basedOn w:val="1"/>
    <w:autoRedefine/>
    <w:qFormat/>
    <w:uiPriority w:val="0"/>
    <w:pPr>
      <w:widowControl/>
      <w:spacing w:before="100" w:beforeAutospacing="1" w:after="100" w:afterAutospacing="1" w:line="360" w:lineRule="auto"/>
      <w:ind w:firstLine="480"/>
    </w:pPr>
    <w:rPr>
      <w:rFonts w:ascii="宋体" w:hAnsi="宋体" w:cs="宋体"/>
      <w:kern w:val="0"/>
      <w:sz w:val="24"/>
    </w:rPr>
  </w:style>
  <w:style w:type="paragraph" w:customStyle="1" w:styleId="91">
    <w:name w:val="wdcj_6_p"/>
    <w:basedOn w:val="1"/>
    <w:autoRedefine/>
    <w:qFormat/>
    <w:uiPriority w:val="0"/>
    <w:pPr>
      <w:widowControl/>
      <w:spacing w:before="100" w:beforeAutospacing="1" w:after="100" w:afterAutospacing="1" w:line="360" w:lineRule="auto"/>
    </w:pPr>
    <w:rPr>
      <w:rFonts w:ascii="宋体" w:hAnsi="宋体" w:cs="宋体"/>
      <w:kern w:val="0"/>
      <w:sz w:val="24"/>
    </w:rPr>
  </w:style>
  <w:style w:type="paragraph" w:customStyle="1" w:styleId="92">
    <w:name w:val="列表段落1"/>
    <w:basedOn w:val="1"/>
    <w:qFormat/>
    <w:uiPriority w:val="99"/>
    <w:pPr>
      <w:ind w:firstLine="420" w:firstLineChars="200"/>
    </w:pPr>
  </w:style>
  <w:style w:type="paragraph" w:customStyle="1" w:styleId="93">
    <w:name w:val="Normal_2"/>
    <w:qFormat/>
    <w:uiPriority w:val="0"/>
    <w:pPr>
      <w:widowControl w:val="0"/>
      <w:jc w:val="both"/>
    </w:pPr>
    <w:rPr>
      <w:rFonts w:ascii="Times New Roman" w:hAnsi="Times New Roman" w:eastAsia="宋体" w:cs="Times New Roman"/>
      <w:szCs w:val="21"/>
      <w:lang w:val="en-US" w:eastAsia="zh-CN" w:bidi="ar-SA"/>
    </w:rPr>
  </w:style>
  <w:style w:type="table" w:customStyle="1" w:styleId="9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56</Pages>
  <Words>22358</Words>
  <Characters>24909</Characters>
  <Lines>341</Lines>
  <Paragraphs>96</Paragraphs>
  <TotalTime>1291</TotalTime>
  <ScaleCrop>false</ScaleCrop>
  <LinksUpToDate>false</LinksUpToDate>
  <CharactersWithSpaces>25574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2024-07-02T00:53:00Z</dcterms:created>
  <dc:creator>lenovo</dc:creator>
  <cp:lastModifiedBy>海蓝</cp:lastModifiedBy>
  <cp:lastPrinted>2023-06-07T07:15:00Z</cp:lastPrinted>
  <dcterms:modified xsi:type="dcterms:W3CDTF">2025-03-05T01:51:52Z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2E9AFF3ACDB647E4832490D26FDB3004_13</vt:lpwstr>
  </property>
  <property fmtid="{D5CDD505-2E9C-101B-9397-08002B2CF9AE}" pid="4" name="KSOTemplateDocerSaveRecord">
    <vt:lpwstr>eyJoZGlkIjoiYjYwYWZmMzJlYTI0MTBlMzExNmIyMjFmM2NmODJmOWMiLCJ1c2VySWQiOiIyODA0OTU4NTkifQ==</vt:lpwstr>
  </property>
</Properties>
</file>