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F318F">
      <w:pPr>
        <w:adjustRightInd/>
        <w:spacing w:line="360" w:lineRule="auto"/>
        <w:jc w:val="center"/>
        <w:rPr>
          <w:rFonts w:hint="eastAsia" w:ascii="宋体" w:hAnsi="宋体" w:cs="宋体"/>
          <w:color w:val="auto"/>
          <w:sz w:val="48"/>
          <w:szCs w:val="48"/>
          <w:highlight w:val="none"/>
        </w:rPr>
      </w:pPr>
      <w:bookmarkStart w:id="0" w:name="_Hlt74649545"/>
      <w:bookmarkEnd w:id="0"/>
      <w:bookmarkStart w:id="1" w:name="_Hlt74728647"/>
      <w:bookmarkEnd w:id="1"/>
      <w:bookmarkStart w:id="2" w:name="_Hlt74729822"/>
      <w:bookmarkEnd w:id="2"/>
      <w:bookmarkStart w:id="3" w:name="_Hlt74707423"/>
      <w:bookmarkEnd w:id="3"/>
      <w:bookmarkStart w:id="4" w:name="第二部分"/>
      <w:bookmarkStart w:id="5" w:name="_Toc91899870"/>
      <w:bookmarkStart w:id="6" w:name="_Toc91899871"/>
    </w:p>
    <w:p w14:paraId="73C1168E">
      <w:pPr>
        <w:adjustRightInd/>
        <w:spacing w:line="360" w:lineRule="auto"/>
        <w:jc w:val="center"/>
        <w:rPr>
          <w:rFonts w:hint="eastAsia" w:ascii="宋体" w:hAnsi="宋体" w:cs="宋体"/>
          <w:color w:val="auto"/>
          <w:sz w:val="48"/>
          <w:szCs w:val="48"/>
          <w:highlight w:val="none"/>
        </w:rPr>
      </w:pPr>
    </w:p>
    <w:p w14:paraId="285299B4">
      <w:pPr>
        <w:adjustRightInd/>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杭州市公安局萧山区分局交通警察大队202</w:t>
      </w:r>
      <w:r>
        <w:rPr>
          <w:rFonts w:hint="eastAsia" w:ascii="宋体" w:hAnsi="宋体" w:cs="宋体"/>
          <w:color w:val="auto"/>
          <w:sz w:val="44"/>
          <w:szCs w:val="44"/>
          <w:highlight w:val="none"/>
          <w:lang w:val="en-US" w:eastAsia="zh-CN"/>
        </w:rPr>
        <w:t>5</w:t>
      </w:r>
      <w:r>
        <w:rPr>
          <w:rFonts w:hint="eastAsia" w:ascii="宋体" w:hAnsi="宋体" w:cs="宋体"/>
          <w:color w:val="auto"/>
          <w:sz w:val="44"/>
          <w:szCs w:val="44"/>
          <w:highlight w:val="none"/>
        </w:rPr>
        <w:t>年度道路交通违法（事故）现场清障、施救及涉案车辆停放管理等服务政府采购项目</w:t>
      </w:r>
      <w:r>
        <w:rPr>
          <w:rFonts w:hint="eastAsia" w:ascii="宋体" w:hAnsi="宋体" w:cs="宋体"/>
          <w:color w:val="auto"/>
          <w:sz w:val="44"/>
          <w:szCs w:val="44"/>
          <w:highlight w:val="none"/>
          <w:lang w:val="en-US" w:eastAsia="zh-CN"/>
        </w:rPr>
        <w:t>（重新招标）</w:t>
      </w:r>
    </w:p>
    <w:p w14:paraId="2C5EBA82">
      <w:pPr>
        <w:pStyle w:val="4"/>
        <w:rPr>
          <w:rFonts w:hint="eastAsia"/>
          <w:color w:val="auto"/>
          <w:highlight w:val="none"/>
        </w:rPr>
      </w:pPr>
    </w:p>
    <w:p w14:paraId="6F3E3549">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8368A1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0948DF0">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编号:JTJC-GK-20241127</w:t>
      </w:r>
      <w:r>
        <w:rPr>
          <w:rFonts w:hint="eastAsia" w:ascii="宋体" w:hAnsi="宋体" w:cs="宋体"/>
          <w:color w:val="auto"/>
          <w:sz w:val="30"/>
          <w:szCs w:val="30"/>
          <w:highlight w:val="none"/>
          <w:lang w:val="en-US" w:eastAsia="zh-CN"/>
        </w:rPr>
        <w:t>-1</w:t>
      </w:r>
    </w:p>
    <w:p w14:paraId="202A2EA4">
      <w:pPr>
        <w:adjustRightInd/>
        <w:spacing w:line="360" w:lineRule="auto"/>
        <w:rPr>
          <w:rFonts w:ascii="宋体" w:hAnsi="宋体" w:cs="宋体"/>
          <w:color w:val="auto"/>
          <w:sz w:val="28"/>
          <w:szCs w:val="20"/>
          <w:highlight w:val="none"/>
        </w:rPr>
      </w:pPr>
    </w:p>
    <w:p w14:paraId="29B4518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4450EB4">
      <w:pPr>
        <w:spacing w:line="360" w:lineRule="auto"/>
        <w:rPr>
          <w:rFonts w:ascii="宋体" w:hAnsi="宋体" w:cs="宋体"/>
          <w:color w:val="auto"/>
          <w:sz w:val="32"/>
          <w:szCs w:val="32"/>
          <w:highlight w:val="none"/>
        </w:rPr>
      </w:pPr>
    </w:p>
    <w:p w14:paraId="1660F716">
      <w:pPr>
        <w:snapToGrid w:val="0"/>
        <w:spacing w:line="360" w:lineRule="auto"/>
        <w:jc w:val="center"/>
        <w:rPr>
          <w:rFonts w:hint="eastAsia" w:ascii="宋体" w:hAnsi="宋体" w:cs="宋体"/>
          <w:color w:val="auto"/>
          <w:sz w:val="32"/>
          <w:szCs w:val="32"/>
          <w:highlight w:val="none"/>
        </w:rPr>
      </w:pPr>
    </w:p>
    <w:p w14:paraId="03D67146">
      <w:pPr>
        <w:snapToGrid w:val="0"/>
        <w:spacing w:line="360" w:lineRule="auto"/>
        <w:jc w:val="center"/>
        <w:rPr>
          <w:rFonts w:hint="eastAsia" w:ascii="宋体" w:hAnsi="宋体" w:cs="宋体"/>
          <w:color w:val="auto"/>
          <w:sz w:val="32"/>
          <w:szCs w:val="32"/>
          <w:highlight w:val="none"/>
        </w:rPr>
      </w:pPr>
    </w:p>
    <w:p w14:paraId="702C068C">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杭州市公安局萧山区分局交通警察大队</w:t>
      </w:r>
    </w:p>
    <w:p w14:paraId="68A3F256">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浙江方舟工程造价咨询有限公司</w:t>
      </w:r>
    </w:p>
    <w:p w14:paraId="645B29FC">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 xml:space="preserve"> </w:t>
      </w:r>
      <w:r>
        <w:rPr>
          <w:rFonts w:hint="eastAsia" w:ascii="宋体" w:hAnsi="宋体" w:cs="宋体"/>
          <w:bCs/>
          <w:color w:val="auto"/>
          <w:sz w:val="32"/>
          <w:szCs w:val="32"/>
          <w:highlight w:val="none"/>
          <w:lang w:val="en-US" w:eastAsia="zh-CN"/>
        </w:rPr>
        <w:t>2024</w:t>
      </w:r>
      <w:r>
        <w:rPr>
          <w:rFonts w:hint="eastAsia" w:ascii="宋体" w:hAnsi="宋体" w:cs="宋体"/>
          <w:bCs/>
          <w:color w:val="auto"/>
          <w:sz w:val="32"/>
          <w:szCs w:val="32"/>
          <w:highlight w:val="none"/>
        </w:rPr>
        <w:t xml:space="preserve">年 </w:t>
      </w:r>
      <w:r>
        <w:rPr>
          <w:rFonts w:hint="eastAsia" w:ascii="宋体" w:hAnsi="宋体" w:cs="宋体"/>
          <w:bCs/>
          <w:color w:val="auto"/>
          <w:sz w:val="32"/>
          <w:szCs w:val="32"/>
          <w:highlight w:val="none"/>
          <w:lang w:val="en-US" w:eastAsia="zh-CN"/>
        </w:rPr>
        <w:t>12</w:t>
      </w:r>
      <w:r>
        <w:rPr>
          <w:rFonts w:hint="eastAsia" w:ascii="宋体" w:hAnsi="宋体" w:cs="宋体"/>
          <w:bCs/>
          <w:color w:val="auto"/>
          <w:sz w:val="32"/>
          <w:szCs w:val="32"/>
          <w:highlight w:val="none"/>
        </w:rPr>
        <w:t xml:space="preserve">月 </w:t>
      </w:r>
      <w:r>
        <w:rPr>
          <w:rFonts w:hint="eastAsia" w:ascii="宋体" w:hAnsi="宋体" w:cs="宋体"/>
          <w:bCs/>
          <w:color w:val="auto"/>
          <w:sz w:val="32"/>
          <w:szCs w:val="32"/>
          <w:highlight w:val="none"/>
          <w:lang w:val="en-US" w:eastAsia="zh-CN"/>
        </w:rPr>
        <w:t>18</w:t>
      </w:r>
      <w:r>
        <w:rPr>
          <w:rFonts w:hint="eastAsia" w:ascii="宋体" w:hAnsi="宋体" w:cs="宋体"/>
          <w:bCs/>
          <w:color w:val="auto"/>
          <w:sz w:val="32"/>
          <w:szCs w:val="32"/>
          <w:highlight w:val="none"/>
        </w:rPr>
        <w:t>日</w:t>
      </w:r>
    </w:p>
    <w:p w14:paraId="0A0AABE0">
      <w:pPr>
        <w:rPr>
          <w:rFonts w:hint="eastAsia"/>
          <w:color w:val="auto"/>
          <w:highlight w:val="none"/>
        </w:rPr>
      </w:pPr>
      <w:r>
        <w:rPr>
          <w:rFonts w:hint="eastAsia"/>
          <w:color w:val="auto"/>
          <w:highlight w:val="none"/>
        </w:rPr>
        <w:br w:type="page"/>
      </w:r>
    </w:p>
    <w:p w14:paraId="581100E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81DDACF">
      <w:pPr>
        <w:spacing w:line="360" w:lineRule="auto"/>
        <w:rPr>
          <w:rFonts w:ascii="宋体" w:hAnsi="宋体" w:cs="宋体"/>
          <w:color w:val="auto"/>
          <w:sz w:val="32"/>
          <w:szCs w:val="32"/>
          <w:highlight w:val="none"/>
        </w:rPr>
      </w:pPr>
    </w:p>
    <w:p w14:paraId="7767AEA1">
      <w:pPr>
        <w:spacing w:line="360" w:lineRule="auto"/>
        <w:rPr>
          <w:rFonts w:ascii="宋体" w:hAnsi="宋体" w:cs="宋体"/>
          <w:color w:val="auto"/>
          <w:sz w:val="32"/>
          <w:szCs w:val="32"/>
          <w:highlight w:val="none"/>
        </w:rPr>
      </w:pPr>
    </w:p>
    <w:p w14:paraId="614738D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48BFE1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31883B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F35E0F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308EA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115E74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5690DBB">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60A568F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1A8B969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75E8E5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eastAsia="zh-CN"/>
        </w:rPr>
        <w:t>杭州市公安局萧山区分局交通警察大队2025年度道路交通违法（事故）现场清障、施救及涉案车辆停放管理等服务政府采购项目（重新招标）</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01</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08</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09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0F9CFE4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72570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JTJC-GK-20241127</w:t>
      </w:r>
      <w:r>
        <w:rPr>
          <w:rFonts w:hint="eastAsia" w:ascii="宋体" w:hAnsi="宋体" w:cs="宋体"/>
          <w:b w:val="0"/>
          <w:bCs/>
          <w:color w:val="auto"/>
          <w:sz w:val="24"/>
          <w:highlight w:val="none"/>
          <w:lang w:val="en-US" w:eastAsia="zh-CN"/>
        </w:rPr>
        <w:t>-1</w:t>
      </w:r>
    </w:p>
    <w:p w14:paraId="28ED281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杭州市公安局萧山区分局交通警察大队2025年度道路交通违法（事故）现场清障、施救及涉案车辆停放管理等服务政府采购项目（重新招标）</w:t>
      </w:r>
    </w:p>
    <w:p w14:paraId="735AAD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预算金额（元）：标项1：6600000.00元  标项2：2800000.00元   </w:t>
      </w:r>
    </w:p>
    <w:p w14:paraId="5698CF6F">
      <w:pPr>
        <w:spacing w:line="360" w:lineRule="auto"/>
        <w:ind w:firstLine="241" w:firstLineChars="100"/>
        <w:rPr>
          <w:rFonts w:ascii="宋体" w:hAnsi="宋体" w:cs="宋体"/>
          <w:color w:val="auto"/>
          <w:sz w:val="24"/>
          <w:highlight w:val="none"/>
        </w:rPr>
      </w:pPr>
      <w:r>
        <w:rPr>
          <w:rFonts w:hint="eastAsia" w:ascii="宋体" w:hAnsi="宋体" w:cs="宋体"/>
          <w:b/>
          <w:color w:val="auto"/>
          <w:sz w:val="24"/>
          <w:highlight w:val="none"/>
        </w:rPr>
        <w:t xml:space="preserve">最高限价（元）：标项1：6600000.00元  标项2：2800000.00元  </w:t>
      </w:r>
    </w:p>
    <w:p w14:paraId="63DFADC9">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杭州市公安局萧山区分局交通警察大队2025年度道路交通违法（事故）现场清障、施救及涉案车辆停放管理等服务政府采购项目（重新招标）</w:t>
      </w:r>
      <w:r>
        <w:rPr>
          <w:rFonts w:hint="eastAsia" w:ascii="宋体" w:hAnsi="宋体" w:cs="宋体"/>
          <w:b w:val="0"/>
          <w:bCs/>
          <w:color w:val="auto"/>
          <w:sz w:val="24"/>
          <w:highlight w:val="none"/>
          <w:lang w:val="en-US" w:eastAsia="zh-CN"/>
        </w:rPr>
        <w:t xml:space="preserve"> </w:t>
      </w:r>
      <w:r>
        <w:rPr>
          <w:rFonts w:hint="eastAsia" w:hAnsi="宋体" w:cs="宋体"/>
          <w:bCs/>
          <w:snapToGrid/>
          <w:color w:val="auto"/>
          <w:kern w:val="2"/>
          <w:sz w:val="24"/>
          <w:szCs w:val="24"/>
          <w:highlight w:val="none"/>
        </w:rPr>
        <w:t xml:space="preserve">主要内容： </w:t>
      </w:r>
      <w:r>
        <w:rPr>
          <w:rFonts w:hint="eastAsia" w:ascii="宋体" w:hAnsi="宋体" w:cs="宋体"/>
          <w:b w:val="0"/>
          <w:bCs/>
          <w:color w:val="auto"/>
          <w:sz w:val="24"/>
          <w:highlight w:val="none"/>
        </w:rPr>
        <w:t>杭州市公安局萧山区分局交通警察大队202</w:t>
      </w:r>
      <w:r>
        <w:rPr>
          <w:rFonts w:hint="eastAsia" w:hAnsi="宋体" w:cs="宋体"/>
          <w:b w:val="0"/>
          <w:bCs/>
          <w:color w:val="auto"/>
          <w:sz w:val="24"/>
          <w:highlight w:val="none"/>
          <w:lang w:val="en-US" w:eastAsia="zh-CN"/>
        </w:rPr>
        <w:t>5</w:t>
      </w:r>
      <w:r>
        <w:rPr>
          <w:rFonts w:hint="eastAsia" w:ascii="宋体" w:hAnsi="宋体" w:cs="宋体"/>
          <w:b w:val="0"/>
          <w:bCs/>
          <w:color w:val="auto"/>
          <w:sz w:val="24"/>
          <w:highlight w:val="none"/>
        </w:rPr>
        <w:t>年度道路交通违法（事故）现场清障、 施救及涉案车辆停放管理等服务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152ABA9">
      <w:pPr>
        <w:pStyle w:val="128"/>
        <w:ind w:firstLine="482"/>
        <w:outlineLvl w:val="2"/>
        <w:rPr>
          <w:rFonts w:ascii="宋体" w:hAnsi="宋体" w:cs="宋体"/>
          <w:color w:val="auto"/>
          <w:highlight w:val="none"/>
        </w:rPr>
      </w:pPr>
      <w:r>
        <w:rPr>
          <w:rFonts w:hint="eastAsia" w:ascii="宋体" w:hAnsi="宋体" w:cs="宋体"/>
          <w:b/>
          <w:color w:val="auto"/>
          <w:highlight w:val="none"/>
        </w:rPr>
        <w:t>合同履约期限： 详见招标文件</w:t>
      </w:r>
    </w:p>
    <w:p w14:paraId="29AA26FD">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ascii="Wingdings" w:hAnsi="Wingdings" w:eastAsia="宋体" w:cs="宋体"/>
              <w:snapToGrid/>
              <w:color w:val="auto"/>
              <w:kern w:val="2"/>
              <w:sz w:val="24"/>
              <w:szCs w:val="24"/>
              <w:highlight w:val="none"/>
              <w:lang w:val="en-US" w:eastAsia="zh-CN" w:bidi="ar-SA"/>
            </w:rPr>
            <w:t>þ</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ascii="MS Gothic" w:hAnsi="MS Gothic" w:eastAsia="宋体" w:cs="宋体"/>
              <w:snapToGrid/>
              <w:color w:val="auto"/>
              <w:kern w:val="2"/>
              <w:sz w:val="24"/>
              <w:szCs w:val="24"/>
              <w:highlight w:val="none"/>
              <w:lang w:val="en-US" w:eastAsia="zh-CN" w:bidi="ar-SA"/>
            </w:rPr>
            <w:t>☐</w:t>
          </w:r>
        </w:sdtContent>
      </w:sdt>
      <w:r>
        <w:rPr>
          <w:rFonts w:hint="eastAsia" w:hAnsi="宋体" w:cs="宋体"/>
          <w:snapToGrid/>
          <w:color w:val="auto"/>
          <w:kern w:val="2"/>
          <w:sz w:val="24"/>
          <w:szCs w:val="24"/>
          <w:highlight w:val="none"/>
        </w:rPr>
        <w:t xml:space="preserve"> 否</w:t>
      </w:r>
    </w:p>
    <w:p w14:paraId="49BA5426">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64C8B0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DE511FE">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499115E">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3944B6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A6500D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6F6658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1A7F70CA">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9CF83A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E285B8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5F8AF8F">
      <w:pPr>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sdt>
        <w:sdtPr>
          <w:rPr>
            <w:rFonts w:hint="eastAsia" w:ascii="宋体" w:hAnsi="宋体" w:cs="宋体"/>
            <w:color w:val="auto"/>
            <w:kern w:val="0"/>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无</w:t>
      </w:r>
      <w:r>
        <w:rPr>
          <w:rFonts w:hint="eastAsia" w:ascii="宋体" w:hAnsi="宋体" w:cs="宋体"/>
          <w:color w:val="auto"/>
          <w:sz w:val="24"/>
          <w:highlight w:val="none"/>
        </w:rPr>
        <w:br w:type="textWrapping"/>
      </w:r>
      <w:sdt>
        <w:sdtPr>
          <w:rPr>
            <w:rFonts w:hint="eastAsia" w:ascii="宋体" w:hAnsi="宋体" w:cs="宋体"/>
            <w:color w:val="auto"/>
            <w:kern w:val="0"/>
            <w:sz w:val="24"/>
            <w:highlight w:val="none"/>
          </w:rPr>
          <w:id w:val="4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39786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987D0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AB1B4C3">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01</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70DFAE31">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5FB44FA6">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14:paraId="2616060F">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149DC290">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57851AC8">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01</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点</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分00秒</w:t>
      </w:r>
      <w:r>
        <w:rPr>
          <w:rFonts w:hint="eastAsia" w:ascii="宋体" w:hAnsi="宋体" w:eastAsia="宋体" w:cs="宋体"/>
          <w:color w:val="auto"/>
          <w:sz w:val="24"/>
          <w:szCs w:val="24"/>
          <w:highlight w:val="none"/>
        </w:rPr>
        <w:t>（北京时间）</w:t>
      </w:r>
    </w:p>
    <w:p w14:paraId="6A09D48C">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14:paraId="720872E2">
      <w:pPr>
        <w:spacing w:line="360" w:lineRule="auto"/>
        <w:ind w:firstLine="482" w:firstLineChars="200"/>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01</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点</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分00秒</w:t>
      </w:r>
      <w:r>
        <w:rPr>
          <w:rFonts w:hint="eastAsia" w:ascii="宋体" w:hAnsi="宋体" w:eastAsia="宋体" w:cs="宋体"/>
          <w:color w:val="auto"/>
          <w:sz w:val="24"/>
          <w:szCs w:val="24"/>
          <w:highlight w:val="none"/>
        </w:rPr>
        <w:t>（北京时间）</w:t>
      </w:r>
    </w:p>
    <w:p w14:paraId="04E65993">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政采云平台（https://www.zcygov.cn/）</w:t>
      </w:r>
    </w:p>
    <w:p w14:paraId="3365320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9479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DFDAA67">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10BD6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783B2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8781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14FD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1CE681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55BFAEE">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 xml:space="preserve"> 1.采购人信息</w:t>
      </w:r>
    </w:p>
    <w:p w14:paraId="2B0C77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称：杭州市公安局萧山区分局交通警察大队</w:t>
      </w:r>
    </w:p>
    <w:p w14:paraId="09B278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址：萧山区育才路47号       </w:t>
      </w:r>
    </w:p>
    <w:p w14:paraId="4C7C91C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00BE239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项目联系人（询问）：边炜</w:t>
      </w:r>
    </w:p>
    <w:p w14:paraId="4CFB680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项目联系方式（询问）：13805757979</w:t>
      </w:r>
    </w:p>
    <w:p w14:paraId="16A4786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质疑联系人：杜俊基</w:t>
      </w:r>
    </w:p>
    <w:p w14:paraId="0B0ECAA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质疑联系方式：0571-82396699</w:t>
      </w:r>
    </w:p>
    <w:p w14:paraId="7BED87B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09BBF75C">
      <w:p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浙江方舟工程造价咨询有限公司</w:t>
      </w:r>
    </w:p>
    <w:p w14:paraId="013132F9">
      <w:p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 xml:space="preserve">萧山区盈丰街道民和路浙江民营企业发展大厦B座7023 </w:t>
      </w:r>
    </w:p>
    <w:p w14:paraId="2571B8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    真： / </w:t>
      </w:r>
    </w:p>
    <w:p w14:paraId="3B553185">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i w:val="0"/>
          <w:iCs w:val="0"/>
          <w:caps w:val="0"/>
          <w:color w:val="auto"/>
          <w:spacing w:val="0"/>
          <w:sz w:val="24"/>
          <w:szCs w:val="24"/>
          <w:highlight w:val="none"/>
        </w:rPr>
        <w:t>李滨杰</w:t>
      </w:r>
      <w:r>
        <w:rPr>
          <w:rFonts w:hint="eastAsia" w:ascii="宋体" w:hAnsi="宋体" w:eastAsia="宋体" w:cs="宋体"/>
          <w:color w:val="auto"/>
          <w:sz w:val="24"/>
          <w:szCs w:val="24"/>
          <w:highlight w:val="none"/>
        </w:rPr>
        <w:t xml:space="preserve"> </w:t>
      </w:r>
    </w:p>
    <w:p w14:paraId="5AAACCA1">
      <w:pPr>
        <w:spacing w:line="360" w:lineRule="auto"/>
        <w:ind w:firstLine="48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项目联系方式（询问）：</w:t>
      </w:r>
      <w:r>
        <w:rPr>
          <w:rFonts w:hint="eastAsia" w:ascii="宋体" w:hAnsi="宋体" w:eastAsia="宋体" w:cs="宋体"/>
          <w:i w:val="0"/>
          <w:iCs w:val="0"/>
          <w:caps w:val="0"/>
          <w:color w:val="auto"/>
          <w:spacing w:val="0"/>
          <w:sz w:val="24"/>
          <w:szCs w:val="24"/>
          <w:highlight w:val="none"/>
          <w:lang w:val="en-US" w:eastAsia="zh-CN"/>
        </w:rPr>
        <w:t>15224000684</w:t>
      </w:r>
    </w:p>
    <w:p w14:paraId="79096CFD">
      <w:pPr>
        <w:spacing w:line="360" w:lineRule="auto"/>
        <w:ind w:firstLine="48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质疑联系人：沈鲁斌             </w:t>
      </w:r>
    </w:p>
    <w:p w14:paraId="1CE1F555">
      <w:pPr>
        <w:spacing w:line="360" w:lineRule="auto"/>
        <w:ind w:firstLine="480"/>
        <w:rPr>
          <w:rFonts w:ascii="宋体" w:hAnsi="宋体" w:cs="宋体"/>
          <w:color w:val="auto"/>
          <w:sz w:val="24"/>
          <w:highlight w:val="none"/>
        </w:rPr>
      </w:pPr>
      <w:r>
        <w:rPr>
          <w:rFonts w:hint="eastAsia" w:ascii="宋体" w:hAnsi="宋体" w:eastAsia="宋体" w:cs="宋体"/>
          <w:i w:val="0"/>
          <w:iCs w:val="0"/>
          <w:caps w:val="0"/>
          <w:color w:val="auto"/>
          <w:spacing w:val="0"/>
          <w:sz w:val="24"/>
          <w:szCs w:val="24"/>
          <w:highlight w:val="none"/>
        </w:rPr>
        <w:t>质疑联系方式：15068809392</w:t>
      </w:r>
    </w:p>
    <w:p w14:paraId="775538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75CA96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称：萧山区财政局、浙江省政府采购行政裁决服务中心（杭州）</w:t>
      </w:r>
    </w:p>
    <w:p w14:paraId="532A8DB5">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14:paraId="3FD25F9B">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传    真：/</w:t>
      </w:r>
    </w:p>
    <w:p w14:paraId="17246BD2">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联系人：朱女士/王女士</w:t>
      </w:r>
    </w:p>
    <w:p w14:paraId="05178B88">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监督投诉电话：0571-8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4AD88707">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政策咨询电话：0571-82756122  （汤先生）</w:t>
      </w:r>
    </w:p>
    <w:p w14:paraId="3E1EA99C">
      <w:pPr>
        <w:spacing w:line="360" w:lineRule="auto"/>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9D49DB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4D0D457">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DE287FA">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7287CBD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7241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C9031C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B8B8848">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712825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8CB5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8BAE64">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E267B65">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3662F32">
            <w:pPr>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服务类。</w:t>
            </w:r>
          </w:p>
        </w:tc>
      </w:tr>
      <w:tr w14:paraId="282E7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A9A044">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5173108">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81AF256">
            <w:pPr>
              <w:pageBreakBefore w:val="0"/>
              <w:widowControl w:val="0"/>
              <w:numPr>
                <w:ilvl w:val="0"/>
                <w:numId w:val="1"/>
              </w:numPr>
              <w:kinsoku/>
              <w:wordWrap/>
              <w:overflowPunct/>
              <w:topLinePunct w:val="0"/>
              <w:autoSpaceDE/>
              <w:autoSpaceDN/>
              <w:bidi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标的：标项</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萧山区中片道路交通违法(事故)现场清障、施救及涉案车辆停放管理等服务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租赁和商务服务业 </w:t>
            </w:r>
            <w:r>
              <w:rPr>
                <w:rFonts w:hint="eastAsia" w:ascii="宋体" w:hAnsi="宋体" w:cs="宋体"/>
                <w:color w:val="auto"/>
                <w:sz w:val="24"/>
                <w:highlight w:val="none"/>
              </w:rPr>
              <w:t>行业；</w:t>
            </w:r>
          </w:p>
          <w:p w14:paraId="59D780A8">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标项</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萧山区南片道路交通违法(事故)现场清障、施救及涉案车辆停放管理等服务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租赁和商务服务业 </w:t>
            </w:r>
            <w:r>
              <w:rPr>
                <w:rFonts w:hint="eastAsia" w:ascii="宋体" w:hAnsi="宋体" w:cs="宋体"/>
                <w:color w:val="auto"/>
                <w:sz w:val="24"/>
                <w:highlight w:val="none"/>
              </w:rPr>
              <w:t>行业；</w:t>
            </w:r>
          </w:p>
          <w:p w14:paraId="4F889813">
            <w:pPr>
              <w:pageBreakBefore w:val="0"/>
              <w:widowControl w:val="0"/>
              <w:kinsoku/>
              <w:wordWrap/>
              <w:overflowPunct/>
              <w:topLinePunct w:val="0"/>
              <w:autoSpaceDE/>
              <w:autoSpaceDN/>
              <w:bidi w:val="0"/>
              <w:spacing w:line="240" w:lineRule="auto"/>
              <w:textAlignment w:val="auto"/>
              <w:rPr>
                <w:color w:val="auto"/>
                <w:highlight w:val="none"/>
              </w:rPr>
            </w:pPr>
            <w:r>
              <w:rPr>
                <w:rFonts w:hint="eastAsia" w:ascii="宋体" w:hAnsi="宋体" w:cs="宋体"/>
                <w:color w:val="auto"/>
                <w:sz w:val="24"/>
                <w:highlight w:val="none"/>
              </w:rPr>
              <w:t>《关于印发中小企业划型标准规定的通知》工信部联企业〔2011〕300号</w:t>
            </w:r>
          </w:p>
        </w:tc>
      </w:tr>
      <w:tr w14:paraId="185DD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19C747">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D114EB9">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022B018">
            <w:pPr>
              <w:pageBreakBefore w:val="0"/>
              <w:widowControl w:val="0"/>
              <w:kinsoku/>
              <w:wordWrap/>
              <w:overflowPunct/>
              <w:topLinePunct w:val="0"/>
              <w:autoSpaceDE/>
              <w:autoSpaceDN/>
              <w:bidi w:val="0"/>
              <w:spacing w:line="240" w:lineRule="auto"/>
              <w:textAlignment w:val="auto"/>
              <w:rPr>
                <w:color w:val="auto"/>
                <w:sz w:val="24"/>
                <w:highlight w:val="none"/>
              </w:rPr>
            </w:pPr>
            <w:sdt>
              <w:sdtPr>
                <w:rPr>
                  <w:rFonts w:hint="eastAsia"/>
                  <w:color w:val="auto"/>
                  <w:sz w:val="24"/>
                  <w:highlight w:val="none"/>
                </w:rPr>
                <w:id w:val="4658"/>
                <w14:checkbox>
                  <w14:checked w14:val="1"/>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sym w:font="Wingdings" w:char="F0FE"/>
                </w:r>
              </w:sdtContent>
            </w:sdt>
            <w:r>
              <w:rPr>
                <w:rFonts w:hint="eastAsia"/>
                <w:color w:val="auto"/>
                <w:sz w:val="24"/>
                <w:highlight w:val="none"/>
              </w:rPr>
              <w:t>本项目不允许采购进口产品。</w:t>
            </w:r>
          </w:p>
          <w:p w14:paraId="0BEC1F6C">
            <w:pPr>
              <w:pageBreakBefore w:val="0"/>
              <w:widowControl w:val="0"/>
              <w:kinsoku/>
              <w:wordWrap/>
              <w:overflowPunct/>
              <w:topLinePunct w:val="0"/>
              <w:autoSpaceDE/>
              <w:autoSpaceDN/>
              <w:bidi w:val="0"/>
              <w:spacing w:line="240" w:lineRule="auto"/>
              <w:textAlignment w:val="auto"/>
              <w:rPr>
                <w:rFonts w:ascii="宋体" w:hAnsi="宋体" w:cs="宋体"/>
                <w:color w:val="auto"/>
                <w:highlight w:val="none"/>
              </w:rPr>
            </w:pPr>
            <w:sdt>
              <w:sdtPr>
                <w:rPr>
                  <w:rFonts w:hint="eastAsia"/>
                  <w:color w:val="auto"/>
                  <w:sz w:val="24"/>
                  <w:highlight w:val="none"/>
                </w:rPr>
                <w:id w:val="4659"/>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可以就    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53AA9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E8067C">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BC8DF21">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862DFB3">
            <w:pPr>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466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466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07D5108">
            <w:pPr>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D579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82EE54">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E473AD1">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ADBE016">
            <w:pPr>
              <w:pageBreakBefore w:val="0"/>
              <w:widowControl w:val="0"/>
              <w:kinsoku/>
              <w:wordWrap/>
              <w:overflowPunct/>
              <w:topLinePunct w:val="0"/>
              <w:autoSpaceDE/>
              <w:autoSpaceDN/>
              <w:bidi w:val="0"/>
              <w:spacing w:line="240" w:lineRule="auto"/>
              <w:textAlignment w:val="auto"/>
              <w:rPr>
                <w:rFonts w:ascii="宋体" w:hAnsi="宋体" w:cs="宋体"/>
                <w:color w:val="auto"/>
                <w:sz w:val="24"/>
                <w:szCs w:val="20"/>
                <w:highlight w:val="none"/>
              </w:rPr>
            </w:pPr>
            <w:sdt>
              <w:sdtPr>
                <w:rPr>
                  <w:rFonts w:hint="eastAsia" w:ascii="宋体" w:hAnsi="宋体" w:cs="宋体"/>
                  <w:color w:val="auto"/>
                  <w:kern w:val="0"/>
                  <w:sz w:val="24"/>
                  <w:highlight w:val="none"/>
                </w:rPr>
                <w:id w:val="466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48422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DB54D8">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A2BF48E">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02B791F">
            <w:pPr>
              <w:pageBreakBefore w:val="0"/>
              <w:widowControl w:val="0"/>
              <w:kinsoku/>
              <w:wordWrap/>
              <w:overflowPunct/>
              <w:topLinePunct w:val="0"/>
              <w:autoSpaceDE/>
              <w:autoSpaceDN/>
              <w:bidi w:val="0"/>
              <w:spacing w:line="240" w:lineRule="auto"/>
              <w:textAlignment w:val="auto"/>
              <w:rPr>
                <w:color w:val="auto"/>
                <w:highlight w:val="none"/>
              </w:rPr>
            </w:pPr>
            <w:sdt>
              <w:sdtPr>
                <w:rPr>
                  <w:rFonts w:hint="eastAsia"/>
                  <w:color w:val="auto"/>
                  <w:sz w:val="24"/>
                  <w:highlight w:val="none"/>
                </w:rPr>
                <w:id w:val="4664"/>
                <w14:checkbox>
                  <w14:checked w14:val="1"/>
                  <w14:checkedState w14:val="00FE" w14:font="Wingdings"/>
                  <w14:uncheckedState w14:val="2610" w14:font="MS Gothic"/>
                </w14:checkbox>
              </w:sdtPr>
              <w:sdtEndPr>
                <w:rPr>
                  <w:rFonts w:hint="eastAsia"/>
                  <w:color w:val="auto"/>
                  <w:sz w:val="24"/>
                  <w:highlight w:val="none"/>
                </w:rPr>
              </w:sdtEndPr>
              <w:sdtContent>
                <w:r>
                  <w:rPr>
                    <w:rFonts w:ascii="Wingdings" w:hAnsi="Wingdings"/>
                    <w:color w:val="auto"/>
                    <w:sz w:val="24"/>
                    <w:highlight w:val="none"/>
                  </w:rPr>
                  <w:t></w:t>
                </w:r>
              </w:sdtContent>
            </w:sdt>
            <w:r>
              <w:rPr>
                <w:rFonts w:hint="eastAsia"/>
                <w:color w:val="auto"/>
                <w:sz w:val="24"/>
                <w:highlight w:val="none"/>
              </w:rPr>
              <w:t>A不要求提供。</w:t>
            </w:r>
          </w:p>
        </w:tc>
      </w:tr>
      <w:tr w14:paraId="5E7B0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3779B0">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90857D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189629C">
            <w:pPr>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FEA088A">
            <w:pPr>
              <w:pageBreakBefore w:val="0"/>
              <w:widowControl w:val="0"/>
              <w:kinsoku/>
              <w:wordWrap/>
              <w:overflowPunct/>
              <w:topLinePunct w:val="0"/>
              <w:autoSpaceDE/>
              <w:autoSpaceDN/>
              <w:bidi w:val="0"/>
              <w:spacing w:line="240" w:lineRule="auto"/>
              <w:textAlignment w:val="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6540D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87C210A">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3959527">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F77DECE">
            <w:pPr>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6BE5F85">
            <w:pPr>
              <w:pageBreakBefore w:val="0"/>
              <w:widowControl w:val="0"/>
              <w:kinsoku/>
              <w:wordWrap/>
              <w:overflowPunct/>
              <w:topLinePunct w:val="0"/>
              <w:autoSpaceDE/>
              <w:autoSpaceDN/>
              <w:bidi w:val="0"/>
              <w:spacing w:line="24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727A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629" w:type="dxa"/>
            <w:vMerge w:val="continue"/>
            <w:tcBorders>
              <w:left w:val="single" w:color="auto" w:sz="4" w:space="0"/>
              <w:bottom w:val="single" w:color="auto" w:sz="4" w:space="0"/>
              <w:right w:val="single" w:color="auto" w:sz="4" w:space="0"/>
            </w:tcBorders>
            <w:vAlign w:val="center"/>
          </w:tcPr>
          <w:p w14:paraId="55ABA2DA">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06D63FC">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8324DB4">
            <w:pPr>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CF40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AD69CD">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5F9D13">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90842A">
            <w:pPr>
              <w:pageBreakBefore w:val="0"/>
              <w:widowControl w:val="0"/>
              <w:kinsoku/>
              <w:wordWrap/>
              <w:overflowPunct/>
              <w:topLinePunct w:val="0"/>
              <w:autoSpaceDE/>
              <w:autoSpaceDN/>
              <w:bidi w:val="0"/>
              <w:spacing w:line="240" w:lineRule="auto"/>
              <w:textAlignment w:val="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MS Gothic" w:hAnsi="MS Gothic"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2AAAC7DB">
            <w:pPr>
              <w:pageBreakBefore w:val="0"/>
              <w:widowControl w:val="0"/>
              <w:kinsoku/>
              <w:wordWrap/>
              <w:overflowPunct/>
              <w:topLinePunct w:val="0"/>
              <w:autoSpaceDE/>
              <w:autoSpaceDN/>
              <w:bidi w:val="0"/>
              <w:spacing w:line="240" w:lineRule="auto"/>
              <w:textAlignment w:val="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727A97C8">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无。</w:t>
            </w:r>
          </w:p>
        </w:tc>
      </w:tr>
      <w:tr w14:paraId="49753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68BE6D">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E7C030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2121C7E">
            <w:pPr>
              <w:pageBreakBefore w:val="0"/>
              <w:widowControl w:val="0"/>
              <w:kinsoku/>
              <w:wordWrap/>
              <w:overflowPunct/>
              <w:topLinePunct w:val="0"/>
              <w:autoSpaceDE/>
              <w:autoSpaceDN/>
              <w:bidi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27304EC">
            <w:pPr>
              <w:pageBreakBefore w:val="0"/>
              <w:widowControl w:val="0"/>
              <w:kinsoku/>
              <w:wordWrap/>
              <w:overflowPunct/>
              <w:topLinePunct w:val="0"/>
              <w:autoSpaceDE/>
              <w:autoSpaceDN/>
              <w:bidi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67C0137">
            <w:pPr>
              <w:pageBreakBefore w:val="0"/>
              <w:widowControl w:val="0"/>
              <w:kinsoku/>
              <w:wordWrap/>
              <w:overflowPunct/>
              <w:topLinePunct w:val="0"/>
              <w:autoSpaceDE/>
              <w:autoSpaceDN/>
              <w:bidi w:val="0"/>
              <w:snapToGrid w:val="0"/>
              <w:spacing w:line="240" w:lineRule="auto"/>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2637C76">
            <w:pPr>
              <w:pageBreakBefore w:val="0"/>
              <w:widowControl w:val="0"/>
              <w:kinsoku/>
              <w:wordWrap/>
              <w:overflowPunct/>
              <w:topLinePunct w:val="0"/>
              <w:autoSpaceDE/>
              <w:autoSpaceDN/>
              <w:bidi w:val="0"/>
              <w:snapToGrid w:val="0"/>
              <w:spacing w:line="240" w:lineRule="auto"/>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4BA9323">
            <w:pPr>
              <w:pageBreakBefore w:val="0"/>
              <w:widowControl w:val="0"/>
              <w:kinsoku/>
              <w:wordWrap/>
              <w:overflowPunct/>
              <w:topLinePunct w:val="0"/>
              <w:autoSpaceDE/>
              <w:autoSpaceDN/>
              <w:bidi w:val="0"/>
              <w:spacing w:line="240" w:lineRule="auto"/>
              <w:ind w:firstLine="241" w:firstLineChars="100"/>
              <w:textAlignment w:val="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60281C11">
            <w:pPr>
              <w:pageBreakBefore w:val="0"/>
              <w:widowControl w:val="0"/>
              <w:kinsoku/>
              <w:wordWrap/>
              <w:overflowPunct/>
              <w:topLinePunct w:val="0"/>
              <w:autoSpaceDE/>
              <w:autoSpaceDN/>
              <w:bidi w:val="0"/>
              <w:spacing w:line="240" w:lineRule="auto"/>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5CB7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67239E6">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1B481381">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98C9B32">
            <w:pPr>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AC8D662">
            <w:pPr>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本项目支持《杭州市萧山区政府采购支持中小企业信用融资暂行办法》。</w:t>
            </w:r>
          </w:p>
          <w:p w14:paraId="19B97C3F">
            <w:pPr>
              <w:pageBreakBefore w:val="0"/>
              <w:widowControl w:val="0"/>
              <w:kinsoku/>
              <w:wordWrap/>
              <w:overflowPunct/>
              <w:topLinePunct w:val="0"/>
              <w:autoSpaceDE/>
              <w:autoSpaceDN/>
              <w:bidi w:val="0"/>
              <w:spacing w:line="24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"http://www.xiaoshan.gov.cn/art/2018/12/20/art_1229293109_1559514.html"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sz w:val="24"/>
                <w:szCs w:val="24"/>
                <w:highlight w:val="none"/>
              </w:rPr>
              <w:t>http://www.xiaoshan.gov.cn/art/2018/12/20/art_1229293109_1559514.html</w:t>
            </w:r>
            <w:r>
              <w:rPr>
                <w:rStyle w:val="76"/>
                <w:rFonts w:hint="eastAsia" w:ascii="宋体" w:hAnsi="宋体" w:eastAsia="宋体" w:cs="宋体"/>
                <w:snapToGrid/>
                <w:color w:val="auto"/>
                <w:sz w:val="24"/>
                <w:szCs w:val="24"/>
                <w:highlight w:val="none"/>
              </w:rPr>
              <w:fldChar w:fldCharType="end"/>
            </w:r>
          </w:p>
        </w:tc>
      </w:tr>
      <w:tr w14:paraId="541E7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F09A26">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BD09AFA">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B3A1595">
            <w:pPr>
              <w:pStyle w:val="32"/>
              <w:pageBreakBefore w:val="0"/>
              <w:widowControl w:val="0"/>
              <w:kinsoku/>
              <w:wordWrap/>
              <w:overflowPunct/>
              <w:topLinePunct w:val="0"/>
              <w:autoSpaceDE/>
              <w:autoSpaceDN/>
              <w:bidi w:val="0"/>
              <w:spacing w:line="240" w:lineRule="auto"/>
              <w:textAlignment w:val="auto"/>
              <w:rPr>
                <w:rFonts w:hAnsi="宋体" w:cs="宋体"/>
                <w:color w:val="auto"/>
                <w:kern w:val="28"/>
                <w:sz w:val="24"/>
                <w:highlight w:val="none"/>
              </w:rPr>
            </w:pPr>
            <w:r>
              <w:rPr>
                <w:rFonts w:hint="eastAsia" w:hAnsi="宋体" w:cs="宋体"/>
                <w:color w:val="auto"/>
                <w:kern w:val="28"/>
                <w:sz w:val="24"/>
                <w:szCs w:val="24"/>
                <w:highlight w:val="none"/>
              </w:rPr>
              <w:t>本项目备份文件是否收取：不收取</w:t>
            </w:r>
          </w:p>
        </w:tc>
      </w:tr>
      <w:tr w14:paraId="3656A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0AE537">
            <w:pPr>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9285349">
            <w:pPr>
              <w:pageBreakBefore w:val="0"/>
              <w:widowControl w:val="0"/>
              <w:kinsoku/>
              <w:wordWrap/>
              <w:overflowPunct/>
              <w:topLinePunct w:val="0"/>
              <w:autoSpaceDE/>
              <w:autoSpaceDN/>
              <w:bidi w:val="0"/>
              <w:spacing w:line="240" w:lineRule="auto"/>
              <w:jc w:val="center"/>
              <w:textAlignment w:val="auto"/>
              <w:rPr>
                <w:rFonts w:ascii="宋体" w:hAnsi="宋体" w:cs="宋体"/>
                <w:b/>
                <w:color w:val="auto"/>
                <w:sz w:val="24"/>
                <w:highlight w:val="none"/>
              </w:rPr>
            </w:pPr>
            <w:r>
              <w:rPr>
                <w:rFonts w:hint="eastAsia"/>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441FFC6">
            <w:pPr>
              <w:pageBreakBefore w:val="0"/>
              <w:widowControl w:val="0"/>
              <w:kinsoku/>
              <w:wordWrap/>
              <w:overflowPunct/>
              <w:topLinePunct w:val="0"/>
              <w:autoSpaceDE/>
              <w:autoSpaceDN/>
              <w:bidi w:val="0"/>
              <w:spacing w:line="240" w:lineRule="auto"/>
              <w:textAlignment w:val="auto"/>
              <w:rPr>
                <w:rFonts w:hAnsi="宋体" w:cs="宋体"/>
                <w:color w:val="auto"/>
                <w:kern w:val="28"/>
                <w:sz w:val="24"/>
                <w:highlight w:val="none"/>
              </w:rPr>
            </w:pPr>
            <w:r>
              <w:rPr>
                <w:rFonts w:hint="eastAsia" w:hAnsi="宋体" w:cs="宋体"/>
                <w:color w:val="auto"/>
                <w:kern w:val="28"/>
                <w:sz w:val="24"/>
                <w:highlight w:val="none"/>
              </w:rPr>
              <w:t>由中标人领取中标通知书前支付，按计价格【2002】1980文件收费标准的50%计取，请各投标人充分考虑在报价中。</w:t>
            </w:r>
          </w:p>
        </w:tc>
      </w:tr>
      <w:tr w14:paraId="41B93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5B78E0">
            <w:pPr>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0D8D664">
            <w:pPr>
              <w:pageBreakBefore w:val="0"/>
              <w:widowControl w:val="0"/>
              <w:kinsoku/>
              <w:wordWrap/>
              <w:overflowPunct/>
              <w:topLinePunct w:val="0"/>
              <w:autoSpaceDE/>
              <w:autoSpaceDN/>
              <w:bidi w:val="0"/>
              <w:spacing w:line="240" w:lineRule="auto"/>
              <w:jc w:val="center"/>
              <w:textAlignment w:val="auto"/>
              <w:rPr>
                <w:color w:val="auto"/>
                <w:highlight w:val="none"/>
              </w:rPr>
            </w:pPr>
            <w:r>
              <w:rPr>
                <w:rFonts w:hint="eastAsia"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2A8DC26">
            <w:pPr>
              <w:pageBreakBefore w:val="0"/>
              <w:widowControl w:val="0"/>
              <w:kinsoku/>
              <w:wordWrap/>
              <w:overflowPunct/>
              <w:topLinePunct w:val="0"/>
              <w:autoSpaceDE/>
              <w:autoSpaceDN/>
              <w:bidi w:val="0"/>
              <w:spacing w:line="240" w:lineRule="auto"/>
              <w:textAlignment w:val="auto"/>
              <w:rPr>
                <w:color w:val="auto"/>
                <w:highlight w:val="none"/>
              </w:rPr>
            </w:pPr>
            <w:r>
              <w:rPr>
                <w:rFonts w:hint="eastAsia" w:cs="仿宋_GB2312"/>
                <w:color w:val="auto"/>
                <w:sz w:val="24"/>
                <w:highlight w:val="none"/>
              </w:rPr>
              <w:t>本项目</w:t>
            </w:r>
            <w:r>
              <w:rPr>
                <w:rFonts w:cs="仿宋_GB2312"/>
                <w:color w:val="auto"/>
                <w:sz w:val="24"/>
                <w:highlight w:val="none"/>
              </w:rPr>
              <w:t>由采购人</w:t>
            </w:r>
            <w:r>
              <w:rPr>
                <w:rFonts w:hint="eastAsia" w:cs="仿宋_GB2312"/>
                <w:color w:val="auto"/>
                <w:sz w:val="24"/>
                <w:highlight w:val="none"/>
              </w:rPr>
              <w:t>进行</w:t>
            </w:r>
            <w:r>
              <w:rPr>
                <w:rFonts w:cs="仿宋_GB2312"/>
                <w:color w:val="auto"/>
                <w:sz w:val="24"/>
                <w:highlight w:val="none"/>
              </w:rPr>
              <w:t>资格文件</w:t>
            </w:r>
            <w:r>
              <w:rPr>
                <w:rFonts w:hint="eastAsia" w:cs="仿宋_GB2312"/>
                <w:color w:val="auto"/>
                <w:sz w:val="24"/>
                <w:highlight w:val="none"/>
              </w:rPr>
              <w:t>及</w:t>
            </w:r>
            <w:r>
              <w:rPr>
                <w:rFonts w:cs="仿宋_GB2312"/>
                <w:color w:val="auto"/>
                <w:sz w:val="24"/>
                <w:highlight w:val="none"/>
              </w:rPr>
              <w:t>信用信息</w:t>
            </w:r>
            <w:r>
              <w:rPr>
                <w:rFonts w:hint="eastAsia" w:cs="仿宋_GB2312"/>
                <w:color w:val="auto"/>
                <w:sz w:val="24"/>
                <w:highlight w:val="none"/>
              </w:rPr>
              <w:t>查询</w:t>
            </w:r>
            <w:r>
              <w:rPr>
                <w:rFonts w:cs="仿宋_GB2312"/>
                <w:color w:val="auto"/>
                <w:sz w:val="24"/>
                <w:highlight w:val="none"/>
              </w:rPr>
              <w:t>。</w:t>
            </w:r>
          </w:p>
        </w:tc>
      </w:tr>
      <w:tr w14:paraId="0E042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E48C73">
            <w:pPr>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14A37CB">
            <w:pPr>
              <w:pageBreakBefore w:val="0"/>
              <w:widowControl w:val="0"/>
              <w:kinsoku/>
              <w:wordWrap/>
              <w:overflowPunct/>
              <w:topLinePunct w:val="0"/>
              <w:autoSpaceDE/>
              <w:autoSpaceDN/>
              <w:bidi w:val="0"/>
              <w:spacing w:line="240" w:lineRule="auto"/>
              <w:jc w:val="center"/>
              <w:textAlignment w:val="auto"/>
              <w:rPr>
                <w:rFonts w:cs="仿宋"/>
                <w:b/>
                <w:color w:val="auto"/>
                <w:sz w:val="22"/>
                <w:highlight w:val="none"/>
              </w:rPr>
            </w:pPr>
            <w:r>
              <w:rPr>
                <w:rFonts w:hint="eastAsia"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FDFAE70">
            <w:pPr>
              <w:pageBreakBefore w:val="0"/>
              <w:widowControl w:val="0"/>
              <w:kinsoku/>
              <w:wordWrap/>
              <w:overflowPunct/>
              <w:topLinePunct w:val="0"/>
              <w:autoSpaceDE/>
              <w:autoSpaceDN/>
              <w:bidi w:val="0"/>
              <w:snapToGrid w:val="0"/>
              <w:spacing w:line="240" w:lineRule="auto"/>
              <w:textAlignment w:val="auto"/>
              <w:rPr>
                <w:color w:val="auto"/>
                <w:sz w:val="24"/>
                <w:highlight w:val="none"/>
                <w:u w:val="single"/>
              </w:rPr>
            </w:pPr>
            <w:r>
              <w:rPr>
                <w:rFonts w:hint="eastAsia"/>
                <w:color w:val="auto"/>
                <w:sz w:val="24"/>
                <w:highlight w:val="none"/>
              </w:rPr>
              <w:t>采购</w:t>
            </w:r>
            <w:r>
              <w:rPr>
                <w:color w:val="auto"/>
                <w:sz w:val="24"/>
                <w:highlight w:val="none"/>
              </w:rPr>
              <w:t>人、</w:t>
            </w:r>
            <w:r>
              <w:rPr>
                <w:rFonts w:hint="eastAsia"/>
                <w:color w:val="auto"/>
                <w:sz w:val="24"/>
                <w:highlight w:val="none"/>
              </w:rPr>
              <w:t>采购</w:t>
            </w:r>
            <w:r>
              <w:rPr>
                <w:color w:val="auto"/>
                <w:sz w:val="24"/>
                <w:highlight w:val="none"/>
              </w:rPr>
              <w:t>机构质疑接收人</w:t>
            </w:r>
            <w:r>
              <w:rPr>
                <w:rFonts w:hint="eastAsia"/>
                <w:color w:val="auto"/>
                <w:sz w:val="24"/>
                <w:highlight w:val="none"/>
              </w:rPr>
              <w:t>、联系方式</w:t>
            </w:r>
            <w:r>
              <w:rPr>
                <w:color w:val="auto"/>
                <w:sz w:val="24"/>
                <w:highlight w:val="none"/>
              </w:rPr>
              <w:t>：</w:t>
            </w:r>
            <w:r>
              <w:rPr>
                <w:rFonts w:hint="eastAsia"/>
                <w:color w:val="auto"/>
                <w:sz w:val="24"/>
                <w:highlight w:val="none"/>
              </w:rPr>
              <w:t>详见公告</w:t>
            </w:r>
          </w:p>
          <w:p w14:paraId="19E25EE9">
            <w:pPr>
              <w:pageBreakBefore w:val="0"/>
              <w:widowControl w:val="0"/>
              <w:kinsoku/>
              <w:wordWrap/>
              <w:overflowPunct/>
              <w:topLinePunct w:val="0"/>
              <w:autoSpaceDE/>
              <w:autoSpaceDN/>
              <w:bidi w:val="0"/>
              <w:snapToGrid w:val="0"/>
              <w:spacing w:line="240" w:lineRule="auto"/>
              <w:textAlignment w:val="auto"/>
              <w:rPr>
                <w:b/>
                <w:color w:val="auto"/>
                <w:sz w:val="24"/>
                <w:highlight w:val="none"/>
              </w:rPr>
            </w:pPr>
            <w:r>
              <w:rPr>
                <w:rFonts w:hint="eastAsia"/>
                <w:b/>
                <w:color w:val="auto"/>
                <w:sz w:val="24"/>
                <w:highlight w:val="none"/>
              </w:rPr>
              <w:t>线上提交质疑方式：政采云线上质疑路径：项目采购-询问质疑投诉-质疑列表。请使用ca签章在每一页质疑文件中加盖电子公章，上传完整附件。</w:t>
            </w:r>
          </w:p>
          <w:p w14:paraId="07A3E4E1">
            <w:pPr>
              <w:pageBreakBefore w:val="0"/>
              <w:widowControl w:val="0"/>
              <w:kinsoku/>
              <w:wordWrap/>
              <w:overflowPunct/>
              <w:topLinePunct w:val="0"/>
              <w:autoSpaceDE/>
              <w:autoSpaceDN/>
              <w:bidi w:val="0"/>
              <w:snapToGrid w:val="0"/>
              <w:spacing w:line="240" w:lineRule="auto"/>
              <w:textAlignment w:val="auto"/>
              <w:rPr>
                <w:color w:val="auto"/>
                <w:sz w:val="24"/>
                <w:highlight w:val="none"/>
              </w:rPr>
            </w:pPr>
            <w:r>
              <w:rPr>
                <w:rFonts w:hint="eastAsia"/>
                <w:color w:val="auto"/>
                <w:sz w:val="24"/>
                <w:highlight w:val="none"/>
              </w:rPr>
              <w:t>本项目涉及资格条件、采购需求、评分办法及采购过程中有关现场考察或开标前答疑会等事项由</w:t>
            </w:r>
            <w:r>
              <w:rPr>
                <w:b/>
                <w:bCs/>
                <w:color w:val="auto"/>
                <w:sz w:val="24"/>
                <w:highlight w:val="none"/>
              </w:rPr>
              <w:t>采购人</w:t>
            </w:r>
            <w:r>
              <w:rPr>
                <w:color w:val="auto"/>
                <w:sz w:val="24"/>
                <w:highlight w:val="none"/>
              </w:rPr>
              <w:t>进行答复。</w:t>
            </w:r>
          </w:p>
          <w:p w14:paraId="5D8CF0E8">
            <w:pPr>
              <w:pageBreakBefore w:val="0"/>
              <w:widowControl w:val="0"/>
              <w:kinsoku/>
              <w:wordWrap/>
              <w:overflowPunct/>
              <w:topLinePunct w:val="0"/>
              <w:autoSpaceDE/>
              <w:autoSpaceDN/>
              <w:bidi w:val="0"/>
              <w:spacing w:line="240" w:lineRule="auto"/>
              <w:textAlignment w:val="auto"/>
              <w:rPr>
                <w:rFonts w:cs="仿宋_GB2312"/>
                <w:color w:val="auto"/>
                <w:sz w:val="22"/>
                <w:highlight w:val="none"/>
              </w:rPr>
            </w:pPr>
            <w:r>
              <w:rPr>
                <w:rFonts w:hint="eastAsia"/>
                <w:color w:val="auto"/>
                <w:sz w:val="24"/>
                <w:highlight w:val="none"/>
              </w:rPr>
              <w:t>涉及</w:t>
            </w:r>
            <w:r>
              <w:rPr>
                <w:color w:val="auto"/>
                <w:sz w:val="24"/>
                <w:highlight w:val="none"/>
              </w:rPr>
              <w:t>流程规范性、组织程序等</w:t>
            </w:r>
            <w:r>
              <w:rPr>
                <w:rFonts w:hint="eastAsia"/>
                <w:color w:val="auto"/>
                <w:sz w:val="24"/>
                <w:highlight w:val="none"/>
              </w:rPr>
              <w:t>相关</w:t>
            </w:r>
            <w:r>
              <w:rPr>
                <w:color w:val="auto"/>
                <w:sz w:val="24"/>
                <w:highlight w:val="none"/>
              </w:rPr>
              <w:t>事项，由</w:t>
            </w:r>
            <w:r>
              <w:rPr>
                <w:rFonts w:hint="eastAsia"/>
                <w:b/>
                <w:bCs/>
                <w:color w:val="auto"/>
                <w:sz w:val="24"/>
                <w:highlight w:val="none"/>
              </w:rPr>
              <w:t>采购代理</w:t>
            </w:r>
            <w:r>
              <w:rPr>
                <w:b/>
                <w:bCs/>
                <w:color w:val="auto"/>
                <w:sz w:val="24"/>
                <w:highlight w:val="none"/>
              </w:rPr>
              <w:t>机构</w:t>
            </w:r>
            <w:r>
              <w:rPr>
                <w:color w:val="auto"/>
                <w:sz w:val="24"/>
                <w:highlight w:val="none"/>
              </w:rPr>
              <w:t>进行答复。</w:t>
            </w:r>
          </w:p>
        </w:tc>
      </w:tr>
      <w:tr w14:paraId="0768B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B53954">
            <w:pPr>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D1D1FBB">
            <w:pPr>
              <w:pageBreakBefore w:val="0"/>
              <w:widowControl w:val="0"/>
              <w:kinsoku/>
              <w:wordWrap/>
              <w:overflowPunct/>
              <w:topLinePunct w:val="0"/>
              <w:autoSpaceDE/>
              <w:autoSpaceDN/>
              <w:bidi w:val="0"/>
              <w:spacing w:line="240" w:lineRule="auto"/>
              <w:jc w:val="center"/>
              <w:textAlignment w:val="auto"/>
              <w:rPr>
                <w:rFonts w:cs="仿宋"/>
                <w:b/>
                <w:color w:val="auto"/>
                <w:sz w:val="22"/>
                <w:highlight w:val="none"/>
              </w:rPr>
            </w:pPr>
            <w:r>
              <w:rPr>
                <w:rFonts w:hint="eastAsia"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53F3D">
            <w:pPr>
              <w:pageBreakBefore w:val="0"/>
              <w:widowControl w:val="0"/>
              <w:kinsoku/>
              <w:wordWrap/>
              <w:overflowPunct/>
              <w:topLinePunct w:val="0"/>
              <w:autoSpaceDE/>
              <w:autoSpaceDN/>
              <w:bidi w:val="0"/>
              <w:spacing w:line="240" w:lineRule="auto"/>
              <w:textAlignment w:val="auto"/>
              <w:rPr>
                <w:color w:val="auto"/>
                <w:sz w:val="22"/>
                <w:highlight w:val="none"/>
              </w:rPr>
            </w:pPr>
            <w:r>
              <w:rPr>
                <w:rFonts w:hint="eastAsia"/>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highlight w:val="none"/>
              </w:rPr>
              <w:br w:type="textWrapping"/>
            </w:r>
            <w:r>
              <w:rPr>
                <w:rFonts w:hint="eastAsia"/>
                <w:color w:val="auto"/>
                <w:sz w:val="24"/>
                <w:highlight w:val="none"/>
              </w:rPr>
              <w:t>联系电话: 0571-83587785/0571-82816012 联系地址: 萧山区通惠北路2-1号304室</w:t>
            </w:r>
          </w:p>
        </w:tc>
      </w:tr>
      <w:tr w14:paraId="6B6F0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62" w:hRule="atLeast"/>
          <w:tblHeader/>
        </w:trPr>
        <w:tc>
          <w:tcPr>
            <w:tcW w:w="629" w:type="dxa"/>
            <w:vMerge w:val="restart"/>
            <w:tcBorders>
              <w:top w:val="single" w:color="auto" w:sz="4" w:space="0"/>
              <w:left w:val="single" w:color="000000" w:sz="8" w:space="0"/>
              <w:right w:val="single" w:color="000000" w:sz="2" w:space="0"/>
            </w:tcBorders>
            <w:vAlign w:val="center"/>
          </w:tcPr>
          <w:p w14:paraId="1BE6ABCC">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02ED2D27">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91591F8">
            <w:pPr>
              <w:pageBreakBefore w:val="0"/>
              <w:widowControl w:val="0"/>
              <w:kinsoku/>
              <w:wordWrap/>
              <w:overflowPunct/>
              <w:topLinePunct w:val="0"/>
              <w:autoSpaceDE/>
              <w:autoSpaceDN/>
              <w:bidi w:val="0"/>
              <w:spacing w:line="24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p w14:paraId="3DF7021E">
            <w:pPr>
              <w:pageBreakBefore w:val="0"/>
              <w:widowControl w:val="0"/>
              <w:kinsoku/>
              <w:wordWrap/>
              <w:overflowPunct/>
              <w:topLinePunct w:val="0"/>
              <w:autoSpaceDE/>
              <w:autoSpaceDN/>
              <w:bidi w:val="0"/>
              <w:spacing w:line="240" w:lineRule="auto"/>
              <w:textAlignment w:val="auto"/>
              <w:rPr>
                <w:color w:val="auto"/>
                <w:sz w:val="24"/>
                <w:highlight w:val="none"/>
              </w:rPr>
            </w:pPr>
            <w:sdt>
              <w:sdtPr>
                <w:rPr>
                  <w:rFonts w:hint="eastAsia"/>
                  <w:color w:val="auto"/>
                  <w:sz w:val="24"/>
                  <w:highlight w:val="none"/>
                </w:rPr>
                <w:id w:val="4672"/>
                <w14:checkbox>
                  <w14:checked w14:val="0"/>
                  <w14:checkedState w14:val="00FE" w14:font="Wingdings"/>
                  <w14:uncheckedState w14:val="2610" w14:font="MS Gothic"/>
                </w14:checkbox>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联合体投标的，联合体各方均需按招标文件第四部分评标标准要求提供资信证明文件，否则视为不符合相关要求。</w:t>
            </w:r>
          </w:p>
          <w:p w14:paraId="6370F503">
            <w:pPr>
              <w:pStyle w:val="4"/>
              <w:pageBreakBefore w:val="0"/>
              <w:widowControl w:val="0"/>
              <w:kinsoku/>
              <w:wordWrap/>
              <w:overflowPunct/>
              <w:topLinePunct w:val="0"/>
              <w:autoSpaceDE/>
              <w:autoSpaceDN/>
              <w:bidi w:val="0"/>
              <w:spacing w:line="240" w:lineRule="auto"/>
              <w:ind w:left="0" w:firstLine="0"/>
              <w:textAlignment w:val="auto"/>
              <w:rPr>
                <w:rFonts w:ascii="宋体" w:hAnsi="宋体" w:cs="宋体"/>
                <w:snapToGrid w:val="0"/>
                <w:color w:val="auto"/>
                <w:kern w:val="28"/>
                <w:sz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705DF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7" w:hRule="atLeast"/>
          <w:tblHeader/>
        </w:trPr>
        <w:tc>
          <w:tcPr>
            <w:tcW w:w="629" w:type="dxa"/>
            <w:vMerge w:val="continue"/>
            <w:tcBorders>
              <w:left w:val="single" w:color="000000" w:sz="8" w:space="0"/>
              <w:right w:val="single" w:color="000000" w:sz="2" w:space="0"/>
            </w:tcBorders>
          </w:tcPr>
          <w:p w14:paraId="473F9D75">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DD10A38">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D289166">
            <w:pPr>
              <w:pageBreakBefore w:val="0"/>
              <w:widowControl w:val="0"/>
              <w:kinsoku/>
              <w:wordWrap/>
              <w:overflowPunct/>
              <w:topLinePunct w:val="0"/>
              <w:autoSpaceDE/>
              <w:autoSpaceDN/>
              <w:bidi w:val="0"/>
              <w:spacing w:line="240" w:lineRule="auto"/>
              <w:textAlignment w:val="auto"/>
              <w:rPr>
                <w:color w:val="auto"/>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p w14:paraId="4FB18361">
            <w:pPr>
              <w:pageBreakBefore w:val="0"/>
              <w:widowControl w:val="0"/>
              <w:kinsoku/>
              <w:wordWrap/>
              <w:overflowPunct/>
              <w:topLinePunct w:val="0"/>
              <w:autoSpaceDE/>
              <w:autoSpaceDN/>
              <w:bidi w:val="0"/>
              <w:spacing w:line="240" w:lineRule="auto"/>
              <w:textAlignment w:val="auto"/>
              <w:rPr>
                <w:color w:val="auto"/>
                <w:highlight w:val="none"/>
              </w:rPr>
            </w:pPr>
            <w:r>
              <w:rPr>
                <w:rFonts w:hint="eastAsia"/>
                <w:color w:val="auto"/>
                <w:sz w:val="24"/>
                <w:highlight w:val="none"/>
              </w:rPr>
              <w:t>本项目通用总则条款与前附表等专用特别规定有冲突之处，以专用条款（特别规定）为准</w:t>
            </w:r>
          </w:p>
        </w:tc>
      </w:tr>
      <w:tr w14:paraId="74D2D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52C5F5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8EAD131">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84718A7">
            <w:pPr>
              <w:pageBreakBefore w:val="0"/>
              <w:widowControl w:val="0"/>
              <w:kinsoku/>
              <w:wordWrap/>
              <w:overflowPunct/>
              <w:topLinePunct w:val="0"/>
              <w:autoSpaceDE/>
              <w:autoSpaceDN/>
              <w:bidi w:val="0"/>
              <w:spacing w:line="240" w:lineRule="auto"/>
              <w:textAlignment w:val="auto"/>
              <w:rPr>
                <w:b/>
                <w:bCs/>
                <w:color w:val="auto"/>
                <w:highlight w:val="none"/>
              </w:rPr>
            </w:pPr>
            <w:r>
              <w:rPr>
                <w:rFonts w:hint="eastAsia"/>
                <w:color w:val="auto"/>
                <w:sz w:val="24"/>
                <w:highlight w:val="none"/>
              </w:rPr>
              <w:t>本项目每个标项推荐中标候选人数量：1</w:t>
            </w:r>
          </w:p>
        </w:tc>
      </w:tr>
      <w:bookmarkEnd w:id="6"/>
    </w:tbl>
    <w:p w14:paraId="5AFBE48C">
      <w:pPr>
        <w:rPr>
          <w:rFonts w:ascii="宋体" w:hAnsi="宋体" w:cs="宋体"/>
          <w:b/>
          <w:color w:val="auto"/>
          <w:sz w:val="32"/>
          <w:szCs w:val="20"/>
          <w:highlight w:val="none"/>
        </w:rPr>
      </w:pPr>
      <w:bookmarkStart w:id="7" w:name="第三部分"/>
      <w:bookmarkStart w:id="8" w:name="_Toc164416483"/>
      <w:r>
        <w:rPr>
          <w:rFonts w:hint="eastAsia" w:ascii="宋体" w:hAnsi="宋体" w:cs="宋体"/>
          <w:b/>
          <w:color w:val="auto"/>
          <w:sz w:val="32"/>
          <w:szCs w:val="20"/>
          <w:highlight w:val="none"/>
        </w:rPr>
        <w:br w:type="page"/>
      </w:r>
    </w:p>
    <w:p w14:paraId="3FFE579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801A4C9">
      <w:pPr>
        <w:snapToGrid w:val="0"/>
        <w:spacing w:line="360" w:lineRule="auto"/>
        <w:jc w:val="left"/>
        <w:outlineLvl w:val="1"/>
        <w:rPr>
          <w:rFonts w:ascii="宋体" w:hAnsi="宋体" w:cs="宋体"/>
          <w:b/>
          <w:color w:val="auto"/>
          <w:sz w:val="24"/>
          <w:highlight w:val="none"/>
        </w:rPr>
      </w:pPr>
      <w:bookmarkStart w:id="9" w:name="_Toc91899903"/>
      <w:r>
        <w:rPr>
          <w:rFonts w:hint="eastAsia" w:ascii="宋体" w:hAnsi="宋体" w:cs="宋体"/>
          <w:b/>
          <w:color w:val="auto"/>
          <w:sz w:val="24"/>
          <w:highlight w:val="none"/>
        </w:rPr>
        <w:t>1. 适用范围</w:t>
      </w:r>
    </w:p>
    <w:p w14:paraId="103C676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E2DBF45">
      <w:pPr>
        <w:numPr>
          <w:ilvl w:val="0"/>
          <w:numId w:val="2"/>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1AD0E2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E709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232106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E5A77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7130B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CDE66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0D6598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EA69945">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EB54AE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3E166E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D75563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2DB18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F3321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A5C52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22A7B6D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支持中小企业发展</w:t>
      </w:r>
    </w:p>
    <w:p w14:paraId="4993C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B557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699508D">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A66291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C33E2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highlight w:val="none"/>
        </w:rPr>
        <w:t>联合协议或者分包意向协议约定小微企业的合同份额占到合同总金额30%以上的</w:t>
      </w:r>
      <w:bookmarkEnd w:id="11"/>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2433FA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B73BC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E293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5360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29E90C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2BCB06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C0D66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67CB58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平等对待内外资企业和符合条件的破产重整企业</w:t>
      </w:r>
    </w:p>
    <w:p w14:paraId="7393E7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4DF49550">
      <w:pPr>
        <w:spacing w:line="360" w:lineRule="auto"/>
        <w:rPr>
          <w:b/>
          <w:color w:val="auto"/>
          <w:highlight w:val="none"/>
        </w:rPr>
      </w:pPr>
      <w:r>
        <w:rPr>
          <w:rFonts w:hint="eastAsia" w:ascii="宋体" w:hAnsi="宋体" w:cs="宋体"/>
          <w:b/>
          <w:color w:val="auto"/>
          <w:sz w:val="24"/>
          <w:highlight w:val="none"/>
        </w:rPr>
        <w:t>4. 询问、质疑、投诉</w:t>
      </w:r>
    </w:p>
    <w:p w14:paraId="608FA786">
      <w:pPr>
        <w:spacing w:line="360" w:lineRule="auto"/>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7203178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2DD6A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6BA0949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B18D9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7E3F57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3DB5EC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91E71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14:paraId="1A13321E">
      <w:pPr>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D5637FE">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3CDC9FD1">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5FFB360E">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3787967D">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76E99C2A">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600C4198">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16AE12D5">
      <w:pPr>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3C37F9E1">
      <w:pPr>
        <w:spacing w:line="360" w:lineRule="auto"/>
        <w:ind w:left="479" w:leftChars="228"/>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0817F4C">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2F2A0CE3">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20979DC">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6F827C1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供应商投诉</w:t>
      </w:r>
    </w:p>
    <w:p w14:paraId="61265A0F">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7D9E65E7">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144628E3">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44B06ED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5B643D5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14:paraId="2D0CB21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30F9DDC5">
      <w:pPr>
        <w:spacing w:line="360" w:lineRule="auto"/>
        <w:rPr>
          <w:rFonts w:ascii="宋体" w:hAnsi="宋体" w:cs="宋体"/>
          <w:b/>
          <w:color w:val="auto"/>
          <w:sz w:val="24"/>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招标文件的构成</w:t>
      </w:r>
    </w:p>
    <w:p w14:paraId="1AB9F68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14:paraId="53A84B52">
      <w:pPr>
        <w:pStyle w:val="32"/>
        <w:tabs>
          <w:tab w:val="left" w:pos="840"/>
        </w:tabs>
        <w:spacing w:line="360" w:lineRule="auto"/>
        <w:ind w:firstLine="960" w:firstLineChars="400"/>
        <w:rPr>
          <w:rFonts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14:paraId="5023F4B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14:paraId="69A9B3E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482B43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5E6C0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C1144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8CBA6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7CC3F7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652FF84">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7313244">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AF06D00">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5778BC6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052778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4CCF6CC">
      <w:pPr>
        <w:pStyle w:val="32"/>
        <w:numPr>
          <w:ilvl w:val="0"/>
          <w:numId w:val="3"/>
        </w:numPr>
        <w:spacing w:line="360" w:lineRule="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109E9CC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B4E53EC">
      <w:pPr>
        <w:pStyle w:val="32"/>
        <w:numPr>
          <w:ilvl w:val="0"/>
          <w:numId w:val="3"/>
        </w:numPr>
        <w:spacing w:line="360" w:lineRule="auto"/>
        <w:ind w:left="0" w:leftChars="0" w:firstLine="0" w:firstLineChars="0"/>
        <w:rPr>
          <w:rFonts w:hAnsi="宋体" w:cs="宋体"/>
          <w:b/>
          <w:color w:val="auto"/>
          <w:sz w:val="24"/>
          <w:szCs w:val="24"/>
          <w:highlight w:val="none"/>
        </w:rPr>
      </w:pPr>
      <w:r>
        <w:rPr>
          <w:rFonts w:hint="eastAsia" w:hAnsi="宋体" w:cs="宋体"/>
          <w:b/>
          <w:color w:val="auto"/>
          <w:sz w:val="24"/>
          <w:szCs w:val="24"/>
          <w:highlight w:val="none"/>
        </w:rPr>
        <w:t>投标保证金</w:t>
      </w:r>
    </w:p>
    <w:p w14:paraId="1AAE53E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30B006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6FD7F3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B2599E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439B9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93367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B11787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2" w:name="_Hlk101259339"/>
      <w:r>
        <w:rPr>
          <w:rFonts w:hint="eastAsia" w:ascii="宋体" w:hAnsi="宋体" w:cs="宋体"/>
          <w:snapToGrid w:val="0"/>
          <w:color w:val="auto"/>
          <w:kern w:val="28"/>
          <w:sz w:val="24"/>
          <w:szCs w:val="20"/>
          <w:highlight w:val="none"/>
        </w:rPr>
        <w:t>联合协议</w:t>
      </w:r>
      <w:bookmarkEnd w:id="12"/>
      <w:r>
        <w:rPr>
          <w:rFonts w:hint="eastAsia" w:ascii="宋体" w:hAnsi="宋体" w:cs="宋体"/>
          <w:snapToGrid w:val="0"/>
          <w:color w:val="auto"/>
          <w:kern w:val="28"/>
          <w:sz w:val="24"/>
          <w:szCs w:val="20"/>
          <w:highlight w:val="none"/>
        </w:rPr>
        <w:t>（如果有)；</w:t>
      </w:r>
    </w:p>
    <w:p w14:paraId="7D48AF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BAAB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CEF5A6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7D1308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EEC1C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0C9344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7EAD3F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8A6851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91ED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BB0BC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086A37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9697C3D">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B705AE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B2CC3D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01388EE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02C8075">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5A718A8">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69D074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ACA15C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77CA90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9F5C4F5">
      <w:pPr>
        <w:numPr>
          <w:ilvl w:val="0"/>
          <w:numId w:val="4"/>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27A58BA4">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8A2E6B3">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CE2DA28">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620A614">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3738C06">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CF58DF5">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5125C29">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A30C816">
      <w:pPr>
        <w:pStyle w:val="32"/>
        <w:numPr>
          <w:ilvl w:val="0"/>
          <w:numId w:val="5"/>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4A65E4A9">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4058906F">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C06417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24E9A7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AEB9E74">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1CE1019">
      <w:pPr>
        <w:pStyle w:val="128"/>
        <w:numPr>
          <w:ilvl w:val="0"/>
          <w:numId w:val="6"/>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26957CF4">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FD13F57">
      <w:pPr>
        <w:pStyle w:val="128"/>
        <w:numPr>
          <w:ilvl w:val="0"/>
          <w:numId w:val="6"/>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17FB410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006754B">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B9D34D7">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4F5AC22">
      <w:pPr>
        <w:pStyle w:val="128"/>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208531D3">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EF557E5">
      <w:pPr>
        <w:pStyle w:val="554"/>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14:paraId="7F61DEA5">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EBCF618">
      <w:pPr>
        <w:pStyle w:val="554"/>
        <w:spacing w:before="0" w:line="360" w:lineRule="auto"/>
        <w:ind w:left="0" w:leftChars="0" w:firstLine="422" w:firstLineChars="0"/>
        <w:contextualSpacing/>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0C4A07A0">
      <w:pPr>
        <w:pStyle w:val="554"/>
        <w:spacing w:before="0" w:line="360" w:lineRule="auto"/>
        <w:ind w:left="0" w:leftChars="0" w:firstLine="422" w:firstLineChars="0"/>
        <w:contextualSpacing/>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54BAEC6">
      <w:pPr>
        <w:widowControl/>
        <w:numPr>
          <w:ilvl w:val="0"/>
          <w:numId w:val="7"/>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01AAF5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35D67F31">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43114DD">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2DDAC859">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1FB7691">
      <w:pPr>
        <w:pStyle w:val="128"/>
        <w:numPr>
          <w:ilvl w:val="0"/>
          <w:numId w:val="7"/>
        </w:numP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21758A2C">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3B40C38F">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4E8266A">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0DD5446">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1C5C68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五、评标</w:t>
      </w:r>
    </w:p>
    <w:p w14:paraId="756B3A95">
      <w:pPr>
        <w:spacing w:line="360" w:lineRule="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A477A5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六、定标</w:t>
      </w:r>
    </w:p>
    <w:p w14:paraId="693E4E85">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2F35752">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EFE7620">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C65CE5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B59403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780FD7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F77EB68">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43C522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A8E8897">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3F601443">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5001962">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FA0745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F676F1C">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E8E914F">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E33B7BB">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397EA1F2">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839E0D1">
      <w:pPr>
        <w:tabs>
          <w:tab w:val="left" w:pos="0"/>
        </w:tabs>
        <w:spacing w:line="360" w:lineRule="auto"/>
        <w:ind w:firstLine="482"/>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w:t>
      </w:r>
    </w:p>
    <w:p w14:paraId="6A7E6A57">
      <w:pPr>
        <w:numPr>
          <w:ilvl w:val="0"/>
          <w:numId w:val="8"/>
        </w:numPr>
        <w:tabs>
          <w:tab w:val="left" w:pos="0"/>
        </w:tabs>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供应商在合同列表选择需要投保的合同，点击[保函推荐]。</w:t>
      </w:r>
    </w:p>
    <w:p w14:paraId="735CE5F0">
      <w:pPr>
        <w:numPr>
          <w:ilvl w:val="0"/>
          <w:numId w:val="8"/>
        </w:numPr>
        <w:tabs>
          <w:tab w:val="left" w:pos="0"/>
        </w:tabs>
        <w:spacing w:line="360" w:lineRule="auto"/>
        <w:ind w:left="0" w:leftChars="0" w:firstLine="0" w:firstLineChars="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在弹框里查看推荐的保函产品，供应商自行选择保函产品，点击[立即申请]</w:t>
      </w:r>
      <w:r>
        <w:rPr>
          <w:rFonts w:hint="eastAsia" w:ascii="宋体" w:hAnsi="宋体" w:cs="宋体"/>
          <w:snapToGrid w:val="0"/>
          <w:color w:val="auto"/>
          <w:kern w:val="28"/>
          <w:sz w:val="24"/>
          <w:highlight w:val="none"/>
          <w:lang w:eastAsia="zh-CN"/>
        </w:rPr>
        <w:t>。</w:t>
      </w:r>
    </w:p>
    <w:p w14:paraId="6B4C5F43">
      <w:pPr>
        <w:numPr>
          <w:ilvl w:val="0"/>
          <w:numId w:val="0"/>
        </w:numPr>
        <w:tabs>
          <w:tab w:val="left" w:pos="0"/>
        </w:tabs>
        <w:spacing w:line="360" w:lineRule="auto"/>
        <w:ind w:leftChars="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3、在弹框里填写保函申请信息。具体步骤：选择产品—填写供应商信息—选择中标项目—确认信息—等待保险/保函受理—确认保单—支付保费—成功出单。政采云金融专线400-903-9583。</w:t>
      </w:r>
    </w:p>
    <w:p w14:paraId="25556E61">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 xml:space="preserve">27. </w:t>
      </w:r>
      <w:r>
        <w:rPr>
          <w:rFonts w:hint="eastAsia" w:ascii="宋体" w:hAnsi="宋体" w:eastAsia="宋体" w:cs="宋体"/>
          <w:b/>
          <w:color w:val="auto"/>
          <w:highlight w:val="none"/>
          <w:lang w:val="en-US"/>
        </w:rPr>
        <w:t>预付款</w:t>
      </w:r>
    </w:p>
    <w:p w14:paraId="793384F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3222567A">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5F3BF99">
      <w:pPr>
        <w:pStyle w:val="128"/>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CDEACA2">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2B2CB29">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06AA1F2">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B9F46E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AA16F0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EC4CCCD">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15A76B9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47C065C">
      <w:pPr>
        <w:pStyle w:val="24"/>
        <w:spacing w:line="360" w:lineRule="auto"/>
        <w:ind w:firstLine="0" w:firstLineChars="0"/>
        <w:rPr>
          <w:rFonts w:cs="宋体"/>
          <w:b/>
          <w:color w:val="auto"/>
          <w:highlight w:val="none"/>
        </w:rPr>
      </w:pPr>
      <w:r>
        <w:rPr>
          <w:rFonts w:hint="eastAsia" w:cs="宋体"/>
          <w:b/>
          <w:color w:val="auto"/>
          <w:highlight w:val="none"/>
        </w:rPr>
        <w:t>30. 验收</w:t>
      </w:r>
    </w:p>
    <w:p w14:paraId="4E941C8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04C50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AE6464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FBEE235">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237D0AD8">
      <w:pPr>
        <w:widowControl/>
        <w:adjustRightInd/>
        <w:jc w:val="left"/>
        <w:rPr>
          <w:rFonts w:ascii="宋体" w:hAnsi="宋体" w:cs="宋体"/>
          <w:color w:val="auto"/>
          <w:kern w:val="0"/>
          <w:sz w:val="24"/>
          <w:highlight w:val="none"/>
        </w:rPr>
      </w:pPr>
      <w:bookmarkStart w:id="13" w:name="_Hlt68403820"/>
      <w:bookmarkEnd w:id="13"/>
      <w:bookmarkStart w:id="14" w:name="_Hlt74729768"/>
      <w:bookmarkEnd w:id="14"/>
      <w:bookmarkStart w:id="15" w:name="_Hlt74730295"/>
      <w:bookmarkEnd w:id="15"/>
      <w:bookmarkStart w:id="16" w:name="_Hlt75236290"/>
      <w:bookmarkEnd w:id="16"/>
      <w:bookmarkStart w:id="17" w:name="_Hlt75236011"/>
      <w:bookmarkEnd w:id="17"/>
      <w:bookmarkStart w:id="18" w:name="_Hlt75236101"/>
      <w:bookmarkEnd w:id="18"/>
      <w:bookmarkStart w:id="19" w:name="_Hlt68072998"/>
      <w:bookmarkEnd w:id="19"/>
      <w:bookmarkStart w:id="20" w:name="_Hlt68072990"/>
      <w:bookmarkEnd w:id="20"/>
      <w:bookmarkStart w:id="21" w:name="_Hlt74714665"/>
      <w:bookmarkEnd w:id="21"/>
      <w:bookmarkStart w:id="22" w:name="_Hlt74707468"/>
      <w:bookmarkEnd w:id="22"/>
      <w:bookmarkStart w:id="23" w:name="_Hlt68073093"/>
      <w:bookmarkEnd w:id="23"/>
      <w:bookmarkStart w:id="24" w:name="_Hlt68057669"/>
      <w:bookmarkEnd w:id="24"/>
      <w:bookmarkStart w:id="25" w:name="第四部分"/>
      <w:r>
        <w:rPr>
          <w:rFonts w:ascii="宋体" w:hAnsi="宋体" w:cs="宋体"/>
          <w:color w:val="auto"/>
          <w:kern w:val="0"/>
          <w:sz w:val="24"/>
          <w:highlight w:val="none"/>
        </w:rPr>
        <w:br w:type="page"/>
      </w:r>
    </w:p>
    <w:p w14:paraId="28CA607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7B75C12F">
      <w:pPr>
        <w:pStyle w:val="128"/>
        <w:snapToGrid w:val="0"/>
        <w:spacing w:before="0"/>
        <w:ind w:firstLine="0" w:firstLineChars="0"/>
        <w:rPr>
          <w:rFonts w:ascii="宋体" w:hAnsi="宋体" w:cs="宋体"/>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bookmarkEnd w:id="25"/>
      <w:bookmarkStart w:id="26" w:name="第五部分"/>
      <w:bookmarkStart w:id="27" w:name="_Toc86217003"/>
    </w:p>
    <w:p w14:paraId="6EB36840">
      <w:pPr>
        <w:pStyle w:val="128"/>
        <w:snapToGrid w:val="0"/>
        <w:spacing w:before="0"/>
        <w:ind w:firstLine="0" w:firstLineChars="0"/>
        <w:rPr>
          <w:rFonts w:ascii="宋体" w:hAnsi="宋体" w:cs="宋体"/>
          <w:color w:val="auto"/>
          <w:sz w:val="10"/>
          <w:szCs w:val="4"/>
          <w:highlight w:val="none"/>
        </w:rPr>
      </w:pPr>
    </w:p>
    <w:p w14:paraId="24F19875">
      <w:pPr>
        <w:pStyle w:val="4"/>
        <w:numPr>
          <w:ilvl w:val="0"/>
          <w:numId w:val="9"/>
        </w:numPr>
        <w:jc w:val="center"/>
        <w:rPr>
          <w:rFonts w:ascii="宋体" w:hAnsi="宋体" w:eastAsia="宋体" w:cs="宋体"/>
          <w:color w:val="auto"/>
          <w:highlight w:val="none"/>
        </w:rPr>
      </w:pPr>
      <w:r>
        <w:rPr>
          <w:rFonts w:hint="eastAsia" w:ascii="宋体" w:hAnsi="宋体" w:eastAsia="宋体" w:cs="宋体"/>
          <w:color w:val="auto"/>
          <w:highlight w:val="none"/>
        </w:rPr>
        <w:t>招标一览表</w:t>
      </w:r>
    </w:p>
    <w:p w14:paraId="5A43F391">
      <w:pPr>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t>标项：</w:t>
      </w:r>
    </w:p>
    <w:tbl>
      <w:tblPr>
        <w:tblStyle w:val="62"/>
        <w:tblW w:w="8961" w:type="dxa"/>
        <w:jc w:val="center"/>
        <w:tblLayout w:type="fixed"/>
        <w:tblCellMar>
          <w:top w:w="0" w:type="dxa"/>
          <w:left w:w="0" w:type="dxa"/>
          <w:bottom w:w="0" w:type="dxa"/>
          <w:right w:w="0" w:type="dxa"/>
        </w:tblCellMar>
      </w:tblPr>
      <w:tblGrid>
        <w:gridCol w:w="1006"/>
        <w:gridCol w:w="3502"/>
        <w:gridCol w:w="1668"/>
        <w:gridCol w:w="943"/>
        <w:gridCol w:w="782"/>
        <w:gridCol w:w="1060"/>
      </w:tblGrid>
      <w:tr w14:paraId="77B1BC70">
        <w:tblPrEx>
          <w:tblCellMar>
            <w:top w:w="0" w:type="dxa"/>
            <w:left w:w="0" w:type="dxa"/>
            <w:bottom w:w="0" w:type="dxa"/>
            <w:right w:w="0" w:type="dxa"/>
          </w:tblCellMar>
        </w:tblPrEx>
        <w:trPr>
          <w:cantSplit/>
          <w:trHeight w:val="557" w:hRule="atLeast"/>
          <w:jc w:val="center"/>
        </w:trPr>
        <w:tc>
          <w:tcPr>
            <w:tcW w:w="10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C4CB5F">
            <w:pPr>
              <w:spacing w:line="360" w:lineRule="auto"/>
              <w:jc w:val="center"/>
              <w:rPr>
                <w:rFonts w:ascii="宋体" w:hAnsi="宋体" w:cs="宋体"/>
                <w:color w:val="auto"/>
                <w:position w:val="-6"/>
                <w:szCs w:val="21"/>
                <w:highlight w:val="none"/>
              </w:rPr>
            </w:pPr>
            <w:r>
              <w:rPr>
                <w:rFonts w:hint="eastAsia" w:ascii="宋体" w:hAnsi="宋体" w:cs="宋体"/>
                <w:color w:val="auto"/>
                <w:position w:val="-6"/>
                <w:szCs w:val="21"/>
                <w:highlight w:val="none"/>
              </w:rPr>
              <w:t>标项号</w:t>
            </w:r>
          </w:p>
        </w:tc>
        <w:tc>
          <w:tcPr>
            <w:tcW w:w="350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7B8BFD9">
            <w:pPr>
              <w:spacing w:line="360" w:lineRule="auto"/>
              <w:jc w:val="center"/>
              <w:rPr>
                <w:rFonts w:ascii="宋体" w:hAnsi="宋体" w:cs="宋体"/>
                <w:color w:val="auto"/>
                <w:position w:val="-6"/>
                <w:szCs w:val="21"/>
                <w:highlight w:val="none"/>
              </w:rPr>
            </w:pPr>
            <w:r>
              <w:rPr>
                <w:rFonts w:hint="eastAsia" w:ascii="宋体" w:hAnsi="宋体" w:cs="宋体"/>
                <w:color w:val="auto"/>
                <w:position w:val="-6"/>
                <w:szCs w:val="21"/>
                <w:highlight w:val="none"/>
              </w:rPr>
              <w:t>名称</w:t>
            </w:r>
          </w:p>
        </w:tc>
        <w:tc>
          <w:tcPr>
            <w:tcW w:w="166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82ABDB0">
            <w:pPr>
              <w:spacing w:line="360" w:lineRule="auto"/>
              <w:jc w:val="center"/>
              <w:rPr>
                <w:rFonts w:ascii="宋体" w:hAnsi="宋体" w:cs="宋体"/>
                <w:color w:val="auto"/>
                <w:position w:val="-6"/>
                <w:szCs w:val="21"/>
                <w:highlight w:val="none"/>
              </w:rPr>
            </w:pPr>
            <w:r>
              <w:rPr>
                <w:rFonts w:hint="eastAsia" w:ascii="宋体" w:hAnsi="宋体" w:cs="宋体"/>
                <w:color w:val="auto"/>
                <w:position w:val="-6"/>
                <w:szCs w:val="21"/>
                <w:highlight w:val="none"/>
              </w:rPr>
              <w:t>实施范围</w:t>
            </w:r>
          </w:p>
        </w:tc>
        <w:tc>
          <w:tcPr>
            <w:tcW w:w="9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97277B">
            <w:pPr>
              <w:spacing w:line="360" w:lineRule="auto"/>
              <w:jc w:val="center"/>
              <w:rPr>
                <w:rFonts w:ascii="宋体" w:hAnsi="宋体" w:cs="宋体"/>
                <w:color w:val="auto"/>
                <w:position w:val="-6"/>
                <w:szCs w:val="21"/>
                <w:highlight w:val="none"/>
              </w:rPr>
            </w:pPr>
            <w:r>
              <w:rPr>
                <w:rFonts w:hint="eastAsia" w:ascii="宋体" w:hAnsi="宋体" w:cs="宋体"/>
                <w:color w:val="auto"/>
                <w:position w:val="-6"/>
                <w:szCs w:val="21"/>
                <w:highlight w:val="none"/>
              </w:rPr>
              <w:t>单位</w:t>
            </w:r>
          </w:p>
        </w:tc>
        <w:tc>
          <w:tcPr>
            <w:tcW w:w="78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4D7A62C">
            <w:pPr>
              <w:spacing w:line="360" w:lineRule="auto"/>
              <w:jc w:val="center"/>
              <w:rPr>
                <w:rFonts w:hint="eastAsia" w:ascii="宋体" w:hAnsi="宋体" w:eastAsia="宋体" w:cs="宋体"/>
                <w:color w:val="auto"/>
                <w:position w:val="-6"/>
                <w:szCs w:val="21"/>
                <w:highlight w:val="none"/>
                <w:lang w:val="en-US" w:eastAsia="zh-CN"/>
              </w:rPr>
            </w:pPr>
            <w:r>
              <w:rPr>
                <w:rFonts w:hint="eastAsia" w:ascii="宋体" w:hAnsi="宋体" w:cs="宋体"/>
                <w:color w:val="auto"/>
                <w:position w:val="-6"/>
                <w:szCs w:val="21"/>
                <w:highlight w:val="none"/>
              </w:rPr>
              <w:t>数量</w:t>
            </w:r>
          </w:p>
        </w:tc>
        <w:tc>
          <w:tcPr>
            <w:tcW w:w="1060" w:type="dxa"/>
            <w:tcBorders>
              <w:top w:val="single" w:color="auto" w:sz="4" w:space="0"/>
              <w:left w:val="nil"/>
              <w:bottom w:val="single" w:color="auto" w:sz="4" w:space="0"/>
              <w:right w:val="single" w:color="auto" w:sz="4" w:space="0"/>
            </w:tcBorders>
            <w:noWrap w:val="0"/>
            <w:vAlign w:val="center"/>
          </w:tcPr>
          <w:p w14:paraId="312978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预算金额（万元）</w:t>
            </w:r>
          </w:p>
        </w:tc>
      </w:tr>
      <w:tr w14:paraId="0B09574B">
        <w:tblPrEx>
          <w:tblCellMar>
            <w:top w:w="0" w:type="dxa"/>
            <w:left w:w="0" w:type="dxa"/>
            <w:bottom w:w="0" w:type="dxa"/>
            <w:right w:w="0" w:type="dxa"/>
          </w:tblCellMar>
        </w:tblPrEx>
        <w:trPr>
          <w:cantSplit/>
          <w:trHeight w:val="557" w:hRule="atLeast"/>
          <w:jc w:val="center"/>
        </w:trPr>
        <w:tc>
          <w:tcPr>
            <w:tcW w:w="10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11C7DE">
            <w:pPr>
              <w:spacing w:line="360" w:lineRule="auto"/>
              <w:jc w:val="center"/>
              <w:rPr>
                <w:rFonts w:ascii="宋体" w:hAnsi="宋体" w:cs="宋体"/>
                <w:color w:val="auto"/>
                <w:position w:val="-6"/>
                <w:szCs w:val="21"/>
                <w:highlight w:val="none"/>
              </w:rPr>
            </w:pPr>
            <w:r>
              <w:rPr>
                <w:rFonts w:hint="eastAsia" w:ascii="宋体" w:hAnsi="宋体" w:cs="宋体"/>
                <w:color w:val="auto"/>
                <w:position w:val="-6"/>
                <w:szCs w:val="21"/>
                <w:highlight w:val="none"/>
              </w:rPr>
              <w:t>标项一</w:t>
            </w:r>
          </w:p>
        </w:tc>
        <w:tc>
          <w:tcPr>
            <w:tcW w:w="3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20E5C9">
            <w:pPr>
              <w:spacing w:line="360" w:lineRule="auto"/>
              <w:jc w:val="center"/>
              <w:rPr>
                <w:rFonts w:ascii="宋体" w:hAnsi="宋体" w:cs="宋体"/>
                <w:color w:val="auto"/>
                <w:position w:val="-6"/>
                <w:szCs w:val="21"/>
                <w:highlight w:val="none"/>
              </w:rPr>
            </w:pPr>
            <w:r>
              <w:rPr>
                <w:rFonts w:hint="eastAsia" w:ascii="宋体" w:hAnsi="宋体" w:cs="宋体"/>
                <w:color w:val="auto"/>
                <w:position w:val="-6"/>
                <w:szCs w:val="21"/>
                <w:highlight w:val="none"/>
              </w:rPr>
              <w:t>萧山区中片道路交通违法(事故)现场清障、施救及涉案车辆停放管理等服务</w:t>
            </w:r>
          </w:p>
        </w:tc>
        <w:tc>
          <w:tcPr>
            <w:tcW w:w="16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D3463F">
            <w:pPr>
              <w:widowControl/>
              <w:spacing w:before="75" w:after="75" w:line="360" w:lineRule="atLeast"/>
              <w:jc w:val="center"/>
              <w:rPr>
                <w:rFonts w:ascii="宋体" w:hAnsi="宋体" w:cs="宋体"/>
                <w:color w:val="auto"/>
                <w:position w:val="-6"/>
                <w:szCs w:val="21"/>
                <w:highlight w:val="none"/>
              </w:rPr>
            </w:pPr>
            <w:r>
              <w:rPr>
                <w:rFonts w:hint="eastAsia" w:ascii="宋体" w:hAnsi="宋体" w:cs="宋体"/>
                <w:color w:val="auto"/>
                <w:kern w:val="0"/>
                <w:szCs w:val="21"/>
                <w:highlight w:val="none"/>
              </w:rPr>
              <w:t>详见招标需求</w:t>
            </w:r>
          </w:p>
        </w:tc>
        <w:tc>
          <w:tcPr>
            <w:tcW w:w="9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C4BE86">
            <w:pPr>
              <w:widowControl/>
              <w:spacing w:before="75" w:after="75" w:line="360" w:lineRule="atLeast"/>
              <w:jc w:val="center"/>
              <w:rPr>
                <w:rFonts w:ascii="宋体" w:hAnsi="宋体" w:cs="宋体"/>
                <w:color w:val="auto"/>
                <w:position w:val="-6"/>
                <w:szCs w:val="21"/>
                <w:highlight w:val="none"/>
              </w:rPr>
            </w:pPr>
            <w:r>
              <w:rPr>
                <w:rFonts w:hint="eastAsia" w:ascii="宋体" w:hAnsi="宋体" w:cs="宋体"/>
                <w:color w:val="auto"/>
                <w:position w:val="-6"/>
                <w:szCs w:val="21"/>
                <w:highlight w:val="none"/>
                <w:lang w:val="en-US" w:eastAsia="zh-CN"/>
              </w:rPr>
              <w:t>年</w:t>
            </w:r>
          </w:p>
        </w:tc>
        <w:tc>
          <w:tcPr>
            <w:tcW w:w="7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1DCAB9">
            <w:pPr>
              <w:widowControl/>
              <w:spacing w:before="75" w:after="75" w:line="360" w:lineRule="atLeast"/>
              <w:jc w:val="center"/>
              <w:rPr>
                <w:rFonts w:ascii="宋体" w:hAnsi="宋体" w:cs="宋体"/>
                <w:color w:val="auto"/>
                <w:position w:val="-6"/>
                <w:szCs w:val="21"/>
                <w:highlight w:val="none"/>
              </w:rPr>
            </w:pPr>
            <w:r>
              <w:rPr>
                <w:rFonts w:hint="eastAsia" w:ascii="宋体" w:hAnsi="宋体" w:cs="宋体"/>
                <w:color w:val="auto"/>
                <w:kern w:val="0"/>
                <w:szCs w:val="21"/>
                <w:highlight w:val="none"/>
              </w:rPr>
              <w:t>1</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42FE15CB">
            <w:pPr>
              <w:spacing w:line="360" w:lineRule="auto"/>
              <w:jc w:val="center"/>
              <w:rPr>
                <w:rFonts w:ascii="宋体" w:hAnsi="宋体" w:cs="宋体"/>
                <w:color w:val="auto"/>
                <w:position w:val="-6"/>
                <w:szCs w:val="21"/>
                <w:highlight w:val="none"/>
              </w:rPr>
            </w:pPr>
            <w:r>
              <w:rPr>
                <w:rFonts w:hint="eastAsia" w:ascii="宋体" w:hAnsi="宋体" w:cs="宋体"/>
                <w:color w:val="auto"/>
                <w:kern w:val="0"/>
                <w:szCs w:val="21"/>
                <w:highlight w:val="none"/>
              </w:rPr>
              <w:t>660</w:t>
            </w:r>
          </w:p>
        </w:tc>
      </w:tr>
      <w:tr w14:paraId="07DCEEB5">
        <w:tblPrEx>
          <w:tblCellMar>
            <w:top w:w="0" w:type="dxa"/>
            <w:left w:w="0" w:type="dxa"/>
            <w:bottom w:w="0" w:type="dxa"/>
            <w:right w:w="0" w:type="dxa"/>
          </w:tblCellMar>
        </w:tblPrEx>
        <w:trPr>
          <w:cantSplit/>
          <w:trHeight w:val="548" w:hRule="atLeast"/>
          <w:jc w:val="center"/>
        </w:trPr>
        <w:tc>
          <w:tcPr>
            <w:tcW w:w="10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9E1833">
            <w:pPr>
              <w:spacing w:line="360" w:lineRule="auto"/>
              <w:jc w:val="center"/>
              <w:rPr>
                <w:rFonts w:ascii="宋体" w:hAnsi="宋体" w:cs="宋体"/>
                <w:color w:val="auto"/>
                <w:position w:val="-6"/>
                <w:szCs w:val="21"/>
                <w:highlight w:val="none"/>
              </w:rPr>
            </w:pPr>
            <w:r>
              <w:rPr>
                <w:rFonts w:hint="eastAsia" w:ascii="宋体" w:hAnsi="宋体" w:cs="宋体"/>
                <w:color w:val="auto"/>
                <w:position w:val="-6"/>
                <w:szCs w:val="21"/>
                <w:highlight w:val="none"/>
              </w:rPr>
              <w:t>标项二</w:t>
            </w:r>
          </w:p>
        </w:tc>
        <w:tc>
          <w:tcPr>
            <w:tcW w:w="3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C1332C">
            <w:pPr>
              <w:spacing w:line="360" w:lineRule="auto"/>
              <w:jc w:val="center"/>
              <w:rPr>
                <w:rFonts w:ascii="宋体" w:hAnsi="宋体" w:cs="宋体"/>
                <w:color w:val="auto"/>
                <w:position w:val="-6"/>
                <w:szCs w:val="21"/>
                <w:highlight w:val="none"/>
              </w:rPr>
            </w:pPr>
            <w:r>
              <w:rPr>
                <w:rFonts w:hint="eastAsia" w:ascii="宋体" w:hAnsi="宋体" w:cs="宋体"/>
                <w:color w:val="auto"/>
                <w:position w:val="-6"/>
                <w:szCs w:val="21"/>
                <w:highlight w:val="none"/>
              </w:rPr>
              <w:t>萧山区南片道路交通违法(事故)现场清障、施救及涉案车辆停放管理等服务</w:t>
            </w:r>
          </w:p>
        </w:tc>
        <w:tc>
          <w:tcPr>
            <w:tcW w:w="16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858F22">
            <w:pPr>
              <w:widowControl/>
              <w:spacing w:before="75" w:after="75" w:line="360" w:lineRule="atLeast"/>
              <w:jc w:val="center"/>
              <w:rPr>
                <w:rFonts w:ascii="宋体" w:hAnsi="宋体" w:cs="宋体"/>
                <w:color w:val="auto"/>
                <w:position w:val="-6"/>
                <w:szCs w:val="21"/>
                <w:highlight w:val="none"/>
              </w:rPr>
            </w:pPr>
            <w:r>
              <w:rPr>
                <w:rFonts w:hint="eastAsia" w:ascii="宋体" w:hAnsi="宋体" w:cs="宋体"/>
                <w:color w:val="auto"/>
                <w:kern w:val="0"/>
                <w:szCs w:val="21"/>
                <w:highlight w:val="none"/>
              </w:rPr>
              <w:t>详见招标需求</w:t>
            </w:r>
          </w:p>
        </w:tc>
        <w:tc>
          <w:tcPr>
            <w:tcW w:w="94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5D95C3">
            <w:pPr>
              <w:widowControl/>
              <w:spacing w:before="75" w:after="75" w:line="360" w:lineRule="atLeast"/>
              <w:jc w:val="center"/>
              <w:rPr>
                <w:rFonts w:ascii="宋体" w:hAnsi="宋体" w:cs="宋体"/>
                <w:color w:val="auto"/>
                <w:position w:val="-6"/>
                <w:szCs w:val="21"/>
                <w:highlight w:val="none"/>
              </w:rPr>
            </w:pPr>
            <w:r>
              <w:rPr>
                <w:rFonts w:hint="eastAsia" w:ascii="宋体" w:hAnsi="宋体" w:cs="宋体"/>
                <w:color w:val="auto"/>
                <w:position w:val="-6"/>
                <w:szCs w:val="21"/>
                <w:highlight w:val="none"/>
                <w:lang w:val="en-US" w:eastAsia="zh-CN"/>
              </w:rPr>
              <w:t>年</w:t>
            </w:r>
          </w:p>
        </w:tc>
        <w:tc>
          <w:tcPr>
            <w:tcW w:w="7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311F7F">
            <w:pPr>
              <w:widowControl/>
              <w:spacing w:before="75" w:after="75" w:line="360" w:lineRule="atLeast"/>
              <w:jc w:val="center"/>
              <w:rPr>
                <w:rFonts w:ascii="宋体" w:hAnsi="宋体" w:cs="宋体"/>
                <w:color w:val="auto"/>
                <w:position w:val="-6"/>
                <w:szCs w:val="21"/>
                <w:highlight w:val="none"/>
              </w:rPr>
            </w:pPr>
            <w:r>
              <w:rPr>
                <w:rFonts w:hint="eastAsia" w:ascii="宋体" w:hAnsi="宋体" w:cs="宋体"/>
                <w:color w:val="auto"/>
                <w:kern w:val="0"/>
                <w:szCs w:val="21"/>
                <w:highlight w:val="none"/>
              </w:rPr>
              <w:t>1</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49671E0E">
            <w:pPr>
              <w:spacing w:line="360" w:lineRule="auto"/>
              <w:jc w:val="center"/>
              <w:rPr>
                <w:rFonts w:ascii="宋体" w:hAnsi="宋体" w:cs="宋体"/>
                <w:color w:val="auto"/>
                <w:position w:val="-6"/>
                <w:szCs w:val="21"/>
                <w:highlight w:val="none"/>
              </w:rPr>
            </w:pPr>
            <w:r>
              <w:rPr>
                <w:rFonts w:hint="eastAsia" w:ascii="宋体" w:hAnsi="宋体" w:cs="宋体"/>
                <w:color w:val="auto"/>
                <w:kern w:val="0"/>
                <w:szCs w:val="21"/>
                <w:highlight w:val="none"/>
              </w:rPr>
              <w:t>280</w:t>
            </w:r>
          </w:p>
        </w:tc>
      </w:tr>
      <w:tr w14:paraId="74AB0F26">
        <w:tblPrEx>
          <w:tblCellMar>
            <w:top w:w="0" w:type="dxa"/>
            <w:left w:w="0" w:type="dxa"/>
            <w:bottom w:w="0" w:type="dxa"/>
            <w:right w:w="0" w:type="dxa"/>
          </w:tblCellMar>
        </w:tblPrEx>
        <w:trPr>
          <w:cantSplit/>
          <w:trHeight w:val="548" w:hRule="atLeast"/>
          <w:jc w:val="center"/>
        </w:trPr>
        <w:tc>
          <w:tcPr>
            <w:tcW w:w="10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2185A7">
            <w:pPr>
              <w:spacing w:line="360" w:lineRule="auto"/>
              <w:jc w:val="center"/>
              <w:rPr>
                <w:rFonts w:ascii="宋体" w:hAnsi="宋体" w:cs="宋体"/>
                <w:color w:val="auto"/>
                <w:position w:val="-6"/>
                <w:szCs w:val="21"/>
                <w:highlight w:val="none"/>
              </w:rPr>
            </w:pPr>
            <w:r>
              <w:rPr>
                <w:rFonts w:hint="eastAsia" w:ascii="宋体" w:hAnsi="宋体" w:cs="宋体"/>
                <w:color w:val="auto"/>
                <w:position w:val="-6"/>
                <w:szCs w:val="21"/>
                <w:highlight w:val="none"/>
              </w:rPr>
              <w:t>合计</w:t>
            </w:r>
          </w:p>
        </w:tc>
        <w:tc>
          <w:tcPr>
            <w:tcW w:w="689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E02FA7">
            <w:pPr>
              <w:widowControl/>
              <w:spacing w:before="75" w:after="75" w:line="360" w:lineRule="atLeast"/>
              <w:jc w:val="center"/>
              <w:rPr>
                <w:rFonts w:ascii="宋体" w:hAnsi="宋体" w:cs="宋体"/>
                <w:color w:val="auto"/>
                <w:kern w:val="0"/>
                <w:szCs w:val="21"/>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01B3912B">
            <w:pPr>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940</w:t>
            </w:r>
          </w:p>
        </w:tc>
      </w:tr>
    </w:tbl>
    <w:p w14:paraId="3E645B29">
      <w:pPr>
        <w:pageBreakBefore w:val="0"/>
        <w:kinsoku/>
        <w:wordWrap/>
        <w:overflowPunct/>
        <w:topLinePunct w:val="0"/>
        <w:bidi w:val="0"/>
        <w:adjustRightInd/>
        <w:spacing w:line="480" w:lineRule="exact"/>
        <w:rPr>
          <w:rFonts w:hint="eastAsia" w:ascii="宋体" w:hAnsi="宋体" w:cs="宋体"/>
          <w:color w:val="auto"/>
          <w:sz w:val="24"/>
          <w:highlight w:val="none"/>
          <w:lang w:eastAsia="zh-CN"/>
        </w:rPr>
      </w:pPr>
      <w:r>
        <w:rPr>
          <w:rFonts w:hint="eastAsia" w:ascii="宋体" w:hAnsi="宋体" w:cs="宋体"/>
          <w:color w:val="auto"/>
          <w:sz w:val="24"/>
          <w:highlight w:val="none"/>
        </w:rPr>
        <w:t xml:space="preserve"> 注：各投标人须综合衡量、充分综合考虑投标风险。为充分保障采购人的服务质量与服务要求，本项目分</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个标项，将按照标项1至</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的顺序进行评审，</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个标项投标人可以重复投标</w:t>
      </w:r>
      <w:r>
        <w:rPr>
          <w:rFonts w:hint="eastAsia" w:ascii="宋体" w:hAnsi="宋体" w:cs="宋体"/>
          <w:color w:val="auto"/>
          <w:sz w:val="24"/>
          <w:highlight w:val="none"/>
          <w:lang w:eastAsia="zh-CN"/>
        </w:rPr>
        <w:t>也</w:t>
      </w:r>
      <w:r>
        <w:rPr>
          <w:rFonts w:hint="eastAsia" w:ascii="宋体" w:hAnsi="宋体" w:cs="宋体"/>
          <w:color w:val="auto"/>
          <w:sz w:val="24"/>
          <w:highlight w:val="none"/>
        </w:rPr>
        <w:t>可以重复中标。开标顺序为标项一、标项二，以开标当天评审为准。</w:t>
      </w:r>
      <w:r>
        <w:rPr>
          <w:rFonts w:hint="eastAsia" w:ascii="宋体" w:hAnsi="宋体" w:cs="宋体"/>
          <w:color w:val="auto"/>
          <w:sz w:val="24"/>
          <w:highlight w:val="none"/>
          <w:lang w:eastAsia="zh-CN"/>
        </w:rPr>
        <w:t>但根据政府采购法相关规定，中标候选人以违规方式谋取中标的，中标无效，则不受以上条件限制</w:t>
      </w:r>
      <w:r>
        <w:rPr>
          <w:rFonts w:hint="eastAsia" w:ascii="宋体" w:hAnsi="宋体" w:cs="宋体"/>
          <w:color w:val="auto"/>
          <w:sz w:val="24"/>
          <w:highlight w:val="none"/>
          <w:lang w:val="en-US" w:eastAsia="zh-CN"/>
        </w:rPr>
        <w:t>,在废止违规</w:t>
      </w:r>
      <w:r>
        <w:rPr>
          <w:rFonts w:hint="eastAsia" w:ascii="宋体" w:hAnsi="宋体" w:cs="宋体"/>
          <w:color w:val="auto"/>
          <w:sz w:val="24"/>
          <w:highlight w:val="none"/>
          <w:lang w:eastAsia="zh-CN"/>
        </w:rPr>
        <w:t>中标候选人后，</w:t>
      </w:r>
      <w:r>
        <w:rPr>
          <w:rFonts w:hint="eastAsia" w:ascii="宋体" w:hAnsi="宋体" w:cs="宋体"/>
          <w:color w:val="auto"/>
          <w:sz w:val="24"/>
          <w:highlight w:val="none"/>
          <w:lang w:val="en-US" w:eastAsia="zh-CN"/>
        </w:rPr>
        <w:t>从合格的候选人中另行确定中标人，并可对违规中标候选人报财政部门列入不良行为记录名单；</w:t>
      </w:r>
      <w:r>
        <w:rPr>
          <w:rFonts w:hint="eastAsia" w:ascii="宋体" w:hAnsi="宋体" w:cs="宋体"/>
          <w:color w:val="auto"/>
          <w:sz w:val="24"/>
          <w:highlight w:val="none"/>
          <w:lang w:eastAsia="zh-CN"/>
        </w:rPr>
        <w:t>没有合格候选人的，重新招标。</w:t>
      </w:r>
    </w:p>
    <w:p w14:paraId="0498028C">
      <w:pPr>
        <w:pageBreakBefore w:val="0"/>
        <w:kinsoku/>
        <w:wordWrap/>
        <w:overflowPunct/>
        <w:topLinePunct w:val="0"/>
        <w:bidi w:val="0"/>
        <w:adjustRightInd/>
        <w:spacing w:line="480" w:lineRule="exact"/>
        <w:rPr>
          <w:rFonts w:hint="default" w:ascii="宋体" w:hAnsi="宋体" w:cs="宋体"/>
          <w:color w:val="auto"/>
          <w:sz w:val="24"/>
          <w:highlight w:val="none"/>
          <w:lang w:val="en-US" w:eastAsia="zh-CN"/>
        </w:rPr>
      </w:pPr>
    </w:p>
    <w:p w14:paraId="65405922">
      <w:pPr>
        <w:pStyle w:val="4"/>
        <w:numPr>
          <w:ilvl w:val="0"/>
          <w:numId w:val="9"/>
        </w:numPr>
        <w:jc w:val="center"/>
        <w:rPr>
          <w:rFonts w:ascii="宋体" w:hAnsi="宋体" w:eastAsia="宋体" w:cs="宋体"/>
          <w:color w:val="auto"/>
          <w:highlight w:val="none"/>
        </w:rPr>
      </w:pPr>
      <w:r>
        <w:rPr>
          <w:rFonts w:hint="eastAsia" w:ascii="宋体" w:hAnsi="宋体" w:eastAsia="宋体" w:cs="宋体"/>
          <w:color w:val="auto"/>
          <w:highlight w:val="none"/>
        </w:rPr>
        <w:t>采购需求</w:t>
      </w:r>
    </w:p>
    <w:p w14:paraId="3861E4E2">
      <w:pPr>
        <w:tabs>
          <w:tab w:val="left" w:pos="2340"/>
        </w:tabs>
        <w:spacing w:line="360" w:lineRule="auto"/>
        <w:rPr>
          <w:rFonts w:ascii="宋体" w:hAnsi="宋体" w:cs="宋体"/>
          <w:b/>
          <w:color w:val="auto"/>
          <w:sz w:val="24"/>
          <w:highlight w:val="none"/>
        </w:rPr>
      </w:pPr>
      <w:r>
        <w:rPr>
          <w:rFonts w:hint="eastAsia" w:ascii="宋体" w:hAnsi="宋体" w:cs="宋体"/>
          <w:b/>
          <w:color w:val="auto"/>
          <w:sz w:val="24"/>
          <w:highlight w:val="none"/>
        </w:rPr>
        <w:t>一）项目概况</w:t>
      </w:r>
    </w:p>
    <w:p w14:paraId="1C0C7D4A">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主要内容为杭州市公安局萧山区分局交通警察大队管辖范围内（含承担交通管理业务的***辖区，不含高架道路）开展交通违法车辆、交通事故的现场清理、车辆拖移及保管等服务，以及大型活动、警卫任务、抗灾救灾、综合整治等备勤服务以及其他交办的清障服务。</w:t>
      </w:r>
    </w:p>
    <w:p w14:paraId="6C5B943C">
      <w:pPr>
        <w:numPr>
          <w:ilvl w:val="0"/>
          <w:numId w:val="10"/>
        </w:numPr>
        <w:tabs>
          <w:tab w:val="left" w:pos="6300"/>
        </w:tabs>
        <w:snapToGrid w:val="0"/>
        <w:spacing w:line="400" w:lineRule="atLeast"/>
        <w:rPr>
          <w:rFonts w:ascii="宋体" w:hAnsi="宋体" w:cs="宋体"/>
          <w:b/>
          <w:bCs/>
          <w:color w:val="auto"/>
          <w:sz w:val="24"/>
          <w:highlight w:val="none"/>
        </w:rPr>
      </w:pPr>
      <w:r>
        <w:rPr>
          <w:rFonts w:hint="eastAsia" w:ascii="宋体" w:hAnsi="宋体" w:cs="宋体"/>
          <w:b/>
          <w:bCs/>
          <w:color w:val="auto"/>
          <w:sz w:val="24"/>
          <w:highlight w:val="none"/>
        </w:rPr>
        <w:t>项目需求</w:t>
      </w:r>
    </w:p>
    <w:p w14:paraId="56866618">
      <w:pPr>
        <w:pStyle w:val="797"/>
        <w:ind w:left="540" w:firstLine="0" w:firstLineChars="0"/>
        <w:rPr>
          <w:rFonts w:hAnsi="宋体" w:cs="宋体"/>
          <w:color w:val="auto"/>
          <w:highlight w:val="none"/>
        </w:rPr>
      </w:pPr>
      <w:r>
        <w:rPr>
          <w:rFonts w:hint="eastAsia" w:hAnsi="宋体" w:cs="宋体"/>
          <w:color w:val="auto"/>
          <w:highlight w:val="none"/>
        </w:rPr>
        <w:t>1、实施范围</w:t>
      </w:r>
    </w:p>
    <w:p w14:paraId="1FC06A27">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标项</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：中片是指萧山区交警大队城区执勤中队、宁围执勤中队、盈丰执勤中队、湘湖执勤中队、新塘执勤中队（不包括管辖所在的新塘街道、衙前镇范围）管辖范围内（含承担交通管理业务的***辖区）的区域；</w:t>
      </w:r>
    </w:p>
    <w:p w14:paraId="2F993D6A">
      <w:pPr>
        <w:pStyle w:val="668"/>
        <w:spacing w:before="120"/>
        <w:rPr>
          <w:color w:val="auto"/>
          <w:highlight w:val="none"/>
        </w:rPr>
      </w:pPr>
      <w:r>
        <w:rPr>
          <w:rFonts w:hint="eastAsia" w:ascii="宋体" w:hAnsi="宋体" w:cs="宋体"/>
          <w:color w:val="auto"/>
          <w:highlight w:val="none"/>
        </w:rPr>
        <w:t>中片：城厢街道、北干街道、宁围街道、盈丰街道、蜀山街道、闻堰街道、所前镇。</w:t>
      </w:r>
    </w:p>
    <w:p w14:paraId="48FA821B">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标项</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：南片是指萧山区交警大队临浦执勤中队管辖范围内（含承担交通管理业务的***辖区）的区域。</w:t>
      </w:r>
    </w:p>
    <w:p w14:paraId="5D3F6473">
      <w:pPr>
        <w:pStyle w:val="668"/>
        <w:spacing w:before="120"/>
        <w:rPr>
          <w:color w:val="auto"/>
          <w:highlight w:val="none"/>
        </w:rPr>
      </w:pPr>
      <w:r>
        <w:rPr>
          <w:rFonts w:hint="eastAsia" w:ascii="宋体" w:hAnsi="宋体" w:cs="宋体"/>
          <w:color w:val="auto"/>
          <w:highlight w:val="none"/>
        </w:rPr>
        <w:t>南片：临浦镇、义桥镇、戴村镇、浦阳镇、进化镇、楼塔镇、河上镇。</w:t>
      </w:r>
    </w:p>
    <w:p w14:paraId="2A2B6F15">
      <w:pPr>
        <w:tabs>
          <w:tab w:val="left" w:pos="234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w:t>
      </w:r>
      <w:r>
        <w:rPr>
          <w:rFonts w:hint="eastAsia" w:ascii="宋体" w:hAnsi="宋体" w:cs="宋体"/>
          <w:b/>
          <w:color w:val="auto"/>
          <w:sz w:val="24"/>
          <w:highlight w:val="none"/>
        </w:rPr>
        <w:t>成交供应商</w:t>
      </w:r>
      <w:r>
        <w:rPr>
          <w:rFonts w:hint="eastAsia" w:ascii="宋体" w:hAnsi="宋体" w:cs="宋体"/>
          <w:b/>
          <w:bCs/>
          <w:color w:val="auto"/>
          <w:sz w:val="24"/>
          <w:highlight w:val="none"/>
        </w:rPr>
        <w:t>施救清障车辆服务要求</w:t>
      </w:r>
    </w:p>
    <w:p w14:paraId="10BFC822">
      <w:pPr>
        <w:tabs>
          <w:tab w:val="left" w:pos="234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1．具体时间要求</w:t>
      </w:r>
    </w:p>
    <w:p w14:paraId="6100F745">
      <w:pPr>
        <w:tabs>
          <w:tab w:val="left" w:pos="2340"/>
        </w:tabs>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1.1成交供应商提供全天24小时涉案车辆</w:t>
      </w:r>
      <w:r>
        <w:rPr>
          <w:rFonts w:hint="eastAsia" w:ascii="宋体" w:hAnsi="宋体" w:cs="宋体"/>
          <w:bCs/>
          <w:color w:val="auto"/>
          <w:sz w:val="24"/>
          <w:highlight w:val="none"/>
        </w:rPr>
        <w:t>施救清障</w:t>
      </w:r>
      <w:r>
        <w:rPr>
          <w:rFonts w:hint="eastAsia" w:ascii="宋体" w:hAnsi="宋体" w:cs="宋体"/>
          <w:color w:val="auto"/>
          <w:sz w:val="24"/>
          <w:highlight w:val="none"/>
        </w:rPr>
        <w:t>服务。</w:t>
      </w:r>
    </w:p>
    <w:p w14:paraId="060A6BED">
      <w:pPr>
        <w:tabs>
          <w:tab w:val="left" w:pos="2340"/>
        </w:tabs>
        <w:spacing w:line="360" w:lineRule="auto"/>
        <w:ind w:firstLine="420" w:firstLineChars="200"/>
        <w:rPr>
          <w:rFonts w:hint="eastAsia" w:ascii="宋体" w:hAnsi="宋体" w:cs="宋体"/>
          <w:color w:val="auto"/>
          <w:sz w:val="24"/>
          <w:highlight w:val="none"/>
        </w:rPr>
      </w:pPr>
      <w:r>
        <w:rPr>
          <w:rFonts w:hint="eastAsia" w:ascii="宋体" w:hAnsi="宋体" w:cs="宋体"/>
          <w:color w:val="auto"/>
          <w:highlight w:val="none"/>
        </w:rPr>
        <w:t>▲</w:t>
      </w:r>
      <w:r>
        <w:rPr>
          <w:rFonts w:hint="eastAsia" w:ascii="宋体" w:hAnsi="宋体" w:cs="宋体"/>
          <w:color w:val="auto"/>
          <w:sz w:val="24"/>
          <w:highlight w:val="none"/>
        </w:rPr>
        <w:t>1.2成交供应商接到采购人及下属单位通知后须立即出车施救，须在规定时间到达指定地点，除楼塔镇区域40分钟外，其他区域30分钟内；时间从采购人及下属单位向成交供应商发出涉案车辆</w:t>
      </w:r>
      <w:r>
        <w:rPr>
          <w:rFonts w:hint="eastAsia" w:ascii="宋体" w:hAnsi="宋体" w:cs="宋体"/>
          <w:bCs/>
          <w:color w:val="auto"/>
          <w:sz w:val="24"/>
          <w:highlight w:val="none"/>
        </w:rPr>
        <w:t>施救清障</w:t>
      </w:r>
      <w:r>
        <w:rPr>
          <w:rFonts w:hint="eastAsia" w:ascii="宋体" w:hAnsi="宋体" w:cs="宋体"/>
          <w:color w:val="auto"/>
          <w:sz w:val="24"/>
          <w:highlight w:val="none"/>
        </w:rPr>
        <w:t>服务指令起计算。成交供应商到达指定地点后，须</w:t>
      </w:r>
      <w:r>
        <w:rPr>
          <w:rFonts w:hint="eastAsia" w:ascii="宋体" w:hAnsi="宋体" w:cs="宋体"/>
          <w:color w:val="auto"/>
          <w:sz w:val="24"/>
          <w:highlight w:val="none"/>
          <w:lang w:eastAsia="zh-CN"/>
        </w:rPr>
        <w:t>及时</w:t>
      </w:r>
      <w:r>
        <w:rPr>
          <w:rFonts w:hint="eastAsia" w:ascii="宋体" w:hAnsi="宋体" w:cs="宋体"/>
          <w:color w:val="auto"/>
          <w:sz w:val="24"/>
          <w:highlight w:val="none"/>
        </w:rPr>
        <w:t>完成现场涉案车辆</w:t>
      </w:r>
      <w:r>
        <w:rPr>
          <w:rFonts w:hint="eastAsia" w:ascii="宋体" w:hAnsi="宋体" w:cs="宋体"/>
          <w:bCs/>
          <w:color w:val="auto"/>
          <w:sz w:val="24"/>
          <w:highlight w:val="none"/>
        </w:rPr>
        <w:t>施救清障、现场清理</w:t>
      </w:r>
      <w:r>
        <w:rPr>
          <w:rFonts w:hint="eastAsia" w:ascii="宋体" w:hAnsi="宋体" w:cs="宋体"/>
          <w:color w:val="auto"/>
          <w:sz w:val="24"/>
          <w:highlight w:val="none"/>
        </w:rPr>
        <w:t>并撤离现场。</w:t>
      </w:r>
    </w:p>
    <w:p w14:paraId="30166790">
      <w:pPr>
        <w:tabs>
          <w:tab w:val="left" w:pos="2340"/>
        </w:tabs>
        <w:spacing w:line="360" w:lineRule="auto"/>
        <w:ind w:firstLine="480"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1.3涉案车辆需要过磅称重的，</w:t>
      </w:r>
      <w:r>
        <w:rPr>
          <w:rFonts w:hint="eastAsia" w:ascii="宋体" w:hAnsi="宋体" w:cs="宋体"/>
          <w:color w:val="auto"/>
          <w:sz w:val="24"/>
          <w:szCs w:val="24"/>
          <w:highlight w:val="none"/>
        </w:rPr>
        <w:t>成交供应商应根据采购人及下属单位要求，协助做好及时将车辆拖至过磅点进行过磅、过磅结束后及时将车辆拖至保管场地等工作。</w:t>
      </w:r>
    </w:p>
    <w:p w14:paraId="4ECE39CB">
      <w:pPr>
        <w:tabs>
          <w:tab w:val="left" w:pos="234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2.具体车辆要求</w:t>
      </w:r>
    </w:p>
    <w:p w14:paraId="756E8A15">
      <w:pPr>
        <w:tabs>
          <w:tab w:val="left" w:pos="2340"/>
        </w:tabs>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2.1成交供应商要配备足够完成采购人及下属单位要求的涉案车辆</w:t>
      </w:r>
      <w:r>
        <w:rPr>
          <w:rFonts w:hint="eastAsia" w:ascii="宋体" w:hAnsi="宋体" w:cs="宋体"/>
          <w:bCs/>
          <w:color w:val="auto"/>
          <w:sz w:val="24"/>
          <w:highlight w:val="none"/>
        </w:rPr>
        <w:t>施救清障</w:t>
      </w:r>
      <w:r>
        <w:rPr>
          <w:rFonts w:hint="eastAsia" w:ascii="宋体" w:hAnsi="宋体" w:cs="宋体"/>
          <w:color w:val="auto"/>
          <w:sz w:val="24"/>
          <w:highlight w:val="none"/>
        </w:rPr>
        <w:t>服务的各类车辆。所有作业车辆须向采购人报备，遇特殊情况如有变动的，须在征得采购人同意后配备相同功能的备用车辆替代。</w:t>
      </w:r>
    </w:p>
    <w:p w14:paraId="2D00621E">
      <w:pPr>
        <w:tabs>
          <w:tab w:val="left" w:pos="2340"/>
        </w:tabs>
        <w:spacing w:line="360" w:lineRule="auto"/>
        <w:ind w:firstLine="420" w:firstLineChars="200"/>
        <w:rPr>
          <w:rFonts w:ascii="宋体" w:hAnsi="宋体" w:cs="宋体"/>
          <w:b/>
          <w:bCs/>
          <w:color w:val="auto"/>
          <w:sz w:val="24"/>
          <w:highlight w:val="none"/>
        </w:rPr>
      </w:pPr>
      <w:r>
        <w:rPr>
          <w:rFonts w:hint="eastAsia" w:ascii="宋体" w:hAnsi="宋体" w:cs="宋体"/>
          <w:color w:val="auto"/>
          <w:highlight w:val="none"/>
        </w:rPr>
        <w:t>▲</w:t>
      </w:r>
      <w:r>
        <w:rPr>
          <w:rFonts w:hint="eastAsia" w:ascii="宋体" w:hAnsi="宋体" w:cs="宋体"/>
          <w:bCs/>
          <w:color w:val="auto"/>
          <w:sz w:val="24"/>
          <w:highlight w:val="none"/>
        </w:rPr>
        <w:t>2</w:t>
      </w:r>
      <w:r>
        <w:rPr>
          <w:rFonts w:hint="eastAsia" w:ascii="宋体" w:hAnsi="宋体" w:cs="宋体"/>
          <w:color w:val="auto"/>
          <w:sz w:val="24"/>
          <w:highlight w:val="none"/>
        </w:rPr>
        <w:t>.2施救车辆必须安装卫星定位装置、行驶记录仪，确保行车轨迹溯源，并能正常回放。（提供服务阶段系统</w:t>
      </w:r>
      <w:r>
        <w:rPr>
          <w:rFonts w:hint="eastAsia" w:ascii="宋体" w:hAnsi="宋体" w:cs="宋体"/>
          <w:bCs/>
          <w:color w:val="auto"/>
          <w:sz w:val="24"/>
          <w:highlight w:val="none"/>
        </w:rPr>
        <w:t>接入采购人指定的涉案停车场管理平台）</w:t>
      </w:r>
    </w:p>
    <w:p w14:paraId="5A5381A2">
      <w:pPr>
        <w:tabs>
          <w:tab w:val="left" w:pos="2340"/>
        </w:tabs>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w:t>
      </w:r>
      <w:r>
        <w:rPr>
          <w:rFonts w:hint="eastAsia" w:ascii="宋体" w:hAnsi="宋体" w:cs="宋体"/>
          <w:color w:val="auto"/>
          <w:sz w:val="24"/>
          <w:highlight w:val="none"/>
        </w:rPr>
        <w:t>2.3成交供应商配备的每一辆车辆须具有合法上路行驶、完备有效的证照，保证车况良好，并配备足够、完好的施救清障辅助设备（包括警示筒、警示带等反光标志、消防器材、拖车辅助轮、千斤顶、破拆器材、清扫工具等）、应急物品（木屑、沙等）及通讯工具、摄像器材等，确保施救清障能力到位与通信畅通无阻。</w:t>
      </w:r>
    </w:p>
    <w:p w14:paraId="5167813B">
      <w:pPr>
        <w:tabs>
          <w:tab w:val="left" w:pos="23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2.4成交供应商配备的每一辆车须购买相应的交强险、200万元以上商业第三者责任险、货物运输险等保险。</w:t>
      </w:r>
    </w:p>
    <w:p w14:paraId="73F68ED5">
      <w:pPr>
        <w:tabs>
          <w:tab w:val="left" w:pos="234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3.具体人员要求</w:t>
      </w:r>
    </w:p>
    <w:p w14:paraId="1B527812">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3.1成交供应商要配备足够完成采购人及采购人下属单位要求的车辆</w:t>
      </w:r>
      <w:r>
        <w:rPr>
          <w:rFonts w:hint="eastAsia" w:ascii="宋体" w:hAnsi="宋体" w:cs="宋体"/>
          <w:bCs/>
          <w:color w:val="auto"/>
          <w:sz w:val="24"/>
          <w:highlight w:val="none"/>
        </w:rPr>
        <w:t>施救清障</w:t>
      </w:r>
      <w:r>
        <w:rPr>
          <w:rFonts w:hint="eastAsia" w:ascii="宋体" w:hAnsi="宋体" w:cs="宋体"/>
          <w:color w:val="auto"/>
          <w:sz w:val="24"/>
          <w:highlight w:val="none"/>
        </w:rPr>
        <w:t>服务配套的工作人员，现场</w:t>
      </w:r>
      <w:r>
        <w:rPr>
          <w:rFonts w:hint="eastAsia" w:ascii="宋体" w:hAnsi="宋体" w:cs="宋体"/>
          <w:bCs/>
          <w:color w:val="auto"/>
          <w:sz w:val="24"/>
          <w:highlight w:val="none"/>
        </w:rPr>
        <w:t>施救清障</w:t>
      </w:r>
      <w:r>
        <w:rPr>
          <w:rFonts w:hint="eastAsia" w:ascii="宋体" w:hAnsi="宋体" w:cs="宋体"/>
          <w:color w:val="auto"/>
          <w:sz w:val="24"/>
          <w:highlight w:val="none"/>
        </w:rPr>
        <w:t>作业时必须确保不少于两名工作人员。所有人员须向采购人报备，遇特殊情况如有变动的，须在征得采购人同意后配备相同资质和能力的其他工作人员替代。</w:t>
      </w:r>
    </w:p>
    <w:p w14:paraId="2B222B46">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3.2成交供应商配备的工作人员须与成交供应商签订劳动合同，且必须购买国家规定的从事</w:t>
      </w:r>
      <w:r>
        <w:rPr>
          <w:rFonts w:hint="eastAsia" w:ascii="宋体" w:hAnsi="宋体" w:cs="宋体"/>
          <w:bCs/>
          <w:color w:val="auto"/>
          <w:sz w:val="24"/>
          <w:highlight w:val="none"/>
        </w:rPr>
        <w:t>施救清障作业发生人身意外等所需的</w:t>
      </w:r>
      <w:r>
        <w:rPr>
          <w:rFonts w:hint="eastAsia" w:ascii="宋体" w:hAnsi="宋体" w:cs="宋体"/>
          <w:color w:val="auto"/>
          <w:sz w:val="24"/>
          <w:highlight w:val="none"/>
        </w:rPr>
        <w:t>相关社会保险。</w:t>
      </w:r>
    </w:p>
    <w:p w14:paraId="2875483B">
      <w:pPr>
        <w:tabs>
          <w:tab w:val="left" w:pos="2340"/>
        </w:tabs>
        <w:spacing w:line="360" w:lineRule="auto"/>
        <w:ind w:firstLine="420" w:firstLineChars="200"/>
        <w:rPr>
          <w:rFonts w:hint="eastAsia" w:ascii="宋体" w:hAnsi="宋体" w:eastAsia="宋体" w:cs="宋体"/>
          <w:color w:val="auto"/>
          <w:spacing w:val="-6"/>
          <w:sz w:val="24"/>
          <w:highlight w:val="none"/>
          <w:lang w:eastAsia="zh-CN"/>
        </w:rPr>
      </w:pPr>
      <w:r>
        <w:rPr>
          <w:rFonts w:hint="eastAsia" w:ascii="宋体" w:hAnsi="宋体" w:cs="宋体"/>
          <w:color w:val="auto"/>
          <w:highlight w:val="none"/>
        </w:rPr>
        <w:t>▲</w:t>
      </w:r>
      <w:r>
        <w:rPr>
          <w:rFonts w:hint="eastAsia" w:ascii="宋体" w:hAnsi="宋体" w:cs="宋体"/>
          <w:color w:val="auto"/>
          <w:sz w:val="24"/>
          <w:highlight w:val="none"/>
        </w:rPr>
        <w:t>3.3成交供应商应承诺在中标后配备的工作人员开展</w:t>
      </w:r>
      <w:r>
        <w:rPr>
          <w:rFonts w:hint="eastAsia" w:ascii="宋体" w:hAnsi="宋体" w:cs="宋体"/>
          <w:bCs/>
          <w:color w:val="auto"/>
          <w:sz w:val="24"/>
          <w:highlight w:val="none"/>
        </w:rPr>
        <w:t>施救清障</w:t>
      </w:r>
      <w:r>
        <w:rPr>
          <w:rFonts w:hint="eastAsia" w:ascii="宋体" w:hAnsi="宋体" w:cs="宋体"/>
          <w:color w:val="auto"/>
          <w:sz w:val="24"/>
          <w:highlight w:val="none"/>
        </w:rPr>
        <w:t>需驾驶起重吊车、</w:t>
      </w:r>
      <w:r>
        <w:rPr>
          <w:rFonts w:hint="eastAsia" w:ascii="宋体" w:hAnsi="宋体" w:cs="宋体"/>
          <w:color w:val="auto"/>
          <w:sz w:val="24"/>
          <w:highlight w:val="none"/>
          <w:lang w:eastAsia="zh-CN"/>
        </w:rPr>
        <w:t>叉车、</w:t>
      </w:r>
      <w:r>
        <w:rPr>
          <w:rFonts w:hint="eastAsia" w:ascii="宋体" w:hAnsi="宋体" w:cs="宋体"/>
          <w:color w:val="auto"/>
          <w:sz w:val="24"/>
          <w:highlight w:val="none"/>
        </w:rPr>
        <w:t>铲车、挖掘机等特种车辆（设备），作业人员须持有经主管部门考核合格颁发的作业人员证（即操作证）</w:t>
      </w:r>
      <w:r>
        <w:rPr>
          <w:rFonts w:hint="eastAsia" w:ascii="宋体" w:hAnsi="宋体" w:cs="宋体"/>
          <w:color w:val="auto"/>
          <w:spacing w:val="-6"/>
          <w:sz w:val="24"/>
          <w:highlight w:val="none"/>
        </w:rPr>
        <w:t>。</w:t>
      </w:r>
    </w:p>
    <w:p w14:paraId="4B8706B6">
      <w:pPr>
        <w:tabs>
          <w:tab w:val="left" w:pos="2340"/>
        </w:tabs>
        <w:spacing w:line="360" w:lineRule="auto"/>
        <w:ind w:firstLine="480" w:firstLineChars="200"/>
        <w:rPr>
          <w:rFonts w:ascii="宋体" w:hAnsi="宋体" w:cs="宋体"/>
          <w:color w:val="auto"/>
          <w:spacing w:val="-6"/>
          <w:sz w:val="24"/>
          <w:highlight w:val="none"/>
        </w:rPr>
      </w:pPr>
      <w:r>
        <w:rPr>
          <w:rFonts w:hint="eastAsia" w:ascii="宋体" w:hAnsi="宋体" w:cs="宋体"/>
          <w:color w:val="auto"/>
          <w:sz w:val="24"/>
          <w:highlight w:val="none"/>
        </w:rPr>
        <w:t>3.4成交供应商配备的</w:t>
      </w:r>
      <w:r>
        <w:rPr>
          <w:rFonts w:hint="eastAsia" w:ascii="宋体" w:hAnsi="宋体" w:cs="宋体"/>
          <w:color w:val="auto"/>
          <w:spacing w:val="-6"/>
          <w:sz w:val="24"/>
          <w:highlight w:val="none"/>
        </w:rPr>
        <w:t>工作人员应按照采购人规定的程序及规范处置被拖车辆的随车物品，未经采购人或当事人同意，工作人员不得进入被拖车辆的车辆内部（包括驾驶乘坐仓以及车尾箱等）。</w:t>
      </w:r>
    </w:p>
    <w:p w14:paraId="669417C7">
      <w:pPr>
        <w:tabs>
          <w:tab w:val="left" w:pos="234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4.其他要求</w:t>
      </w:r>
    </w:p>
    <w:p w14:paraId="0A40C6B8">
      <w:pPr>
        <w:tabs>
          <w:tab w:val="left" w:pos="2340"/>
        </w:tabs>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4.1成交供应商应承诺中标后在开展涉案车辆</w:t>
      </w:r>
      <w:r>
        <w:rPr>
          <w:rFonts w:hint="eastAsia" w:ascii="宋体" w:hAnsi="宋体" w:cs="宋体"/>
          <w:bCs/>
          <w:color w:val="auto"/>
          <w:sz w:val="24"/>
          <w:highlight w:val="none"/>
        </w:rPr>
        <w:t>施救清障</w:t>
      </w:r>
      <w:r>
        <w:rPr>
          <w:rFonts w:hint="eastAsia" w:ascii="宋体" w:hAnsi="宋体" w:cs="宋体"/>
          <w:color w:val="auto"/>
          <w:sz w:val="24"/>
          <w:highlight w:val="none"/>
        </w:rPr>
        <w:t>作业过程中发生交通事故、安全事故或其他意外，造成成交供应商的自身车辆损坏、工作人员伤害的，由成交供应商自行负责；造成涉案车辆（物品）损坏、其他人员伤害的，均由成交供应商负责。</w:t>
      </w:r>
    </w:p>
    <w:p w14:paraId="1BA5C7D1">
      <w:pPr>
        <w:pStyle w:val="668"/>
        <w:spacing w:before="120"/>
        <w:ind w:firstLine="482"/>
        <w:rPr>
          <w:b w:val="0"/>
          <w:bCs/>
          <w:color w:val="auto"/>
          <w:highlight w:val="none"/>
        </w:rPr>
      </w:pPr>
      <w:r>
        <w:rPr>
          <w:rFonts w:hint="eastAsia" w:ascii="宋体" w:hAnsi="宋体" w:eastAsia="宋体" w:cs="宋体"/>
          <w:color w:val="auto"/>
          <w:kern w:val="2"/>
          <w:sz w:val="24"/>
          <w:szCs w:val="22"/>
          <w:highlight w:val="none"/>
          <w:lang w:val="en-US" w:eastAsia="zh-CN" w:bidi="ar-SA"/>
        </w:rPr>
        <w:t>4.2</w:t>
      </w:r>
      <w:r>
        <w:rPr>
          <w:rFonts w:hint="eastAsia" w:ascii="宋体" w:hAnsi="宋体" w:cs="宋体"/>
          <w:color w:val="auto"/>
          <w:kern w:val="2"/>
          <w:sz w:val="24"/>
          <w:szCs w:val="22"/>
          <w:highlight w:val="none"/>
          <w:lang w:val="en-US" w:eastAsia="zh-CN" w:bidi="ar-SA"/>
        </w:rPr>
        <w:t>成交供应商的工作人员要根据执勤民警的要求，开展交通违法、事故现场血迹、油污、泥土、洒落物等残留物的清理工作和大宗物品的移位工作，确保现场道路畅通和安全。</w:t>
      </w:r>
    </w:p>
    <w:p w14:paraId="00B86BC4">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w:t>
      </w:r>
      <w:r>
        <w:rPr>
          <w:rFonts w:hint="eastAsia" w:ascii="宋体" w:hAnsi="宋体" w:cs="宋体"/>
          <w:color w:val="auto"/>
          <w:spacing w:val="-6"/>
          <w:sz w:val="24"/>
          <w:highlight w:val="none"/>
        </w:rPr>
        <w:t>除采购人要求成交供应商开展拖车服务外，交通事故（含违法）车辆还需要吊车、驳运或抢险作业等其他施救服务的，由成交供应商自行与当事人（或事故车辆保险公司）协商；吊车、驳运或抢险作业的费用由成交供应商按照市场价（有物价部门收费标准的则应按该标准）向当事人（或事故车辆保险公司）收取，并开具正规施救发票；未经与当事人（或事故车辆保险公司）协商同意，强行自行开展吊车、驳运或抢险作业等其他施救服务等行为的，一切法律后果由成交供应商承担。</w:t>
      </w:r>
    </w:p>
    <w:p w14:paraId="3C42BF9D">
      <w:pPr>
        <w:tabs>
          <w:tab w:val="left" w:pos="234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w:t>
      </w:r>
      <w:r>
        <w:rPr>
          <w:rFonts w:hint="eastAsia" w:ascii="宋体" w:hAnsi="宋体" w:cs="宋体"/>
          <w:b/>
          <w:color w:val="auto"/>
          <w:sz w:val="24"/>
          <w:highlight w:val="none"/>
        </w:rPr>
        <w:t>成交供应商</w:t>
      </w:r>
      <w:r>
        <w:rPr>
          <w:rFonts w:hint="eastAsia" w:ascii="宋体" w:hAnsi="宋体" w:cs="宋体"/>
          <w:b/>
          <w:bCs/>
          <w:color w:val="auto"/>
          <w:sz w:val="24"/>
          <w:highlight w:val="none"/>
        </w:rPr>
        <w:t>涉案车辆保管服务要求</w:t>
      </w:r>
    </w:p>
    <w:p w14:paraId="1E92E65E">
      <w:pPr>
        <w:tabs>
          <w:tab w:val="left" w:pos="234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1．具体时间要求</w:t>
      </w:r>
    </w:p>
    <w:p w14:paraId="1FB362A9">
      <w:pPr>
        <w:keepNext w:val="0"/>
        <w:keepLines w:val="0"/>
        <w:pageBreakBefore w:val="0"/>
        <w:widowControl w:val="0"/>
        <w:tabs>
          <w:tab w:val="left" w:pos="234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▲1.1成交供应商提供涉案车辆保管为涉案车辆进入保管场地开始起至车辆放行、当事人取车（车辆离去）、采购人指定转移</w:t>
      </w:r>
      <w:r>
        <w:rPr>
          <w:rFonts w:hint="eastAsia" w:ascii="宋体" w:hAnsi="宋体" w:cs="宋体"/>
          <w:color w:val="auto"/>
          <w:sz w:val="24"/>
          <w:highlight w:val="none"/>
          <w:lang w:eastAsia="zh-CN"/>
        </w:rPr>
        <w:t>至</w:t>
      </w:r>
      <w:r>
        <w:rPr>
          <w:rFonts w:hint="eastAsia" w:ascii="宋体" w:hAnsi="宋体" w:cs="宋体"/>
          <w:color w:val="auto"/>
          <w:sz w:val="24"/>
          <w:highlight w:val="none"/>
        </w:rPr>
        <w:t>其他场地</w:t>
      </w:r>
      <w:r>
        <w:rPr>
          <w:rFonts w:hint="eastAsia" w:ascii="宋体" w:hAnsi="宋体" w:cs="宋体"/>
          <w:color w:val="auto"/>
          <w:sz w:val="24"/>
          <w:highlight w:val="none"/>
          <w:lang w:eastAsia="zh-CN"/>
        </w:rPr>
        <w:t>（包括车辆转移至新中标成交供应商场地）</w:t>
      </w:r>
      <w:r>
        <w:rPr>
          <w:rFonts w:hint="eastAsia" w:ascii="宋体" w:hAnsi="宋体" w:cs="宋体"/>
          <w:color w:val="auto"/>
          <w:sz w:val="24"/>
          <w:highlight w:val="none"/>
        </w:rPr>
        <w:t>等期间的全过程保管服务。</w:t>
      </w:r>
    </w:p>
    <w:p w14:paraId="053E3BA8">
      <w:pPr>
        <w:keepNext w:val="0"/>
        <w:keepLines w:val="0"/>
        <w:pageBreakBefore w:val="0"/>
        <w:widowControl w:val="0"/>
        <w:tabs>
          <w:tab w:val="left" w:pos="2340"/>
        </w:tabs>
        <w:kinsoku/>
        <w:wordWrap/>
        <w:overflowPunct/>
        <w:topLinePunct w:val="0"/>
        <w:autoSpaceDE/>
        <w:autoSpaceDN/>
        <w:bidi w:val="0"/>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2．具体场地要求</w:t>
      </w:r>
    </w:p>
    <w:p w14:paraId="124C27DB">
      <w:pPr>
        <w:keepNext w:val="0"/>
        <w:keepLines w:val="0"/>
        <w:pageBreakBefore w:val="0"/>
        <w:widowControl w:val="0"/>
        <w:tabs>
          <w:tab w:val="left" w:pos="2340"/>
        </w:tabs>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2.1本项目停车场是属于可以合法停放机动车辆的专用停车场。</w:t>
      </w:r>
    </w:p>
    <w:p w14:paraId="275BE1A1">
      <w:pPr>
        <w:keepNext w:val="0"/>
        <w:keepLines w:val="0"/>
        <w:pageBreakBefore w:val="0"/>
        <w:widowControl w:val="0"/>
        <w:tabs>
          <w:tab w:val="left" w:pos="2340"/>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▲2.2成交供应商要提供足够完成采购人及下属单位要求的涉案车辆保管服务的保管场</w:t>
      </w:r>
      <w:r>
        <w:rPr>
          <w:rFonts w:hint="eastAsia" w:ascii="宋体" w:hAnsi="宋体" w:cs="宋体"/>
          <w:b w:val="0"/>
          <w:bCs w:val="0"/>
          <w:color w:val="auto"/>
          <w:sz w:val="24"/>
          <w:highlight w:val="none"/>
        </w:rPr>
        <w:t>地</w:t>
      </w:r>
      <w:r>
        <w:rPr>
          <w:rFonts w:hint="eastAsia" w:ascii="宋体" w:hAnsi="宋体" w:cs="宋体"/>
          <w:b w:val="0"/>
          <w:bCs w:val="0"/>
          <w:color w:val="auto"/>
          <w:sz w:val="24"/>
          <w:highlight w:val="none"/>
          <w:lang w:eastAsia="zh-CN"/>
        </w:rPr>
        <w:t>除有政府征用（征迁）、规划变动、土地收储等不可抗力情形外，不得擅自变动</w:t>
      </w:r>
      <w:r>
        <w:rPr>
          <w:rFonts w:hint="eastAsia" w:ascii="宋体" w:hAnsi="宋体" w:cs="宋体"/>
          <w:color w:val="auto"/>
          <w:sz w:val="24"/>
          <w:highlight w:val="none"/>
        </w:rPr>
        <w:t>。所有</w:t>
      </w:r>
      <w:bookmarkStart w:id="28" w:name="OLE_LINK8"/>
      <w:r>
        <w:rPr>
          <w:rFonts w:hint="eastAsia" w:ascii="宋体" w:hAnsi="宋体" w:cs="宋体"/>
          <w:color w:val="auto"/>
          <w:sz w:val="24"/>
          <w:highlight w:val="none"/>
        </w:rPr>
        <w:t>保管场地</w:t>
      </w:r>
      <w:bookmarkEnd w:id="28"/>
      <w:r>
        <w:rPr>
          <w:rFonts w:hint="eastAsia" w:ascii="宋体" w:hAnsi="宋体" w:cs="宋体"/>
          <w:color w:val="auto"/>
          <w:sz w:val="24"/>
          <w:highlight w:val="none"/>
        </w:rPr>
        <w:t>须向采购人报备，不得跨采购人所设定的标项区域范围实施经营；除遇不可抗力因素影响外，保管场地不得擅自变动，中标后保管场地如与投标承诺不相符的，采购人有权终止合同，并依据《中华人民共和国招标投标法》第54条之规定追究成交供应商法律责任及赔偿采购人由此产生的一切损失</w:t>
      </w:r>
      <w:r>
        <w:rPr>
          <w:rFonts w:hint="eastAsia" w:ascii="宋体" w:hAnsi="宋体" w:cs="宋体"/>
          <w:color w:val="auto"/>
          <w:sz w:val="24"/>
          <w:highlight w:val="none"/>
          <w:lang w:eastAsia="zh-CN"/>
        </w:rPr>
        <w:t>；</w:t>
      </w:r>
      <w:r>
        <w:rPr>
          <w:rFonts w:hint="eastAsia" w:ascii="宋体" w:hAnsi="宋体" w:cs="宋体"/>
          <w:b w:val="0"/>
          <w:bCs w:val="0"/>
          <w:color w:val="auto"/>
          <w:sz w:val="24"/>
          <w:highlight w:val="none"/>
          <w:lang w:eastAsia="zh-CN"/>
        </w:rPr>
        <w:t>中标后确有不可抗力原因需要更换保管场地的，须经采购人同意后，落实在同一区域且不少于原有保管场地面积的场地进行替代</w:t>
      </w:r>
      <w:r>
        <w:rPr>
          <w:rFonts w:hint="eastAsia" w:ascii="宋体" w:hAnsi="宋体" w:cs="宋体"/>
          <w:b w:val="0"/>
          <w:bCs w:val="0"/>
          <w:color w:val="auto"/>
          <w:sz w:val="24"/>
          <w:highlight w:val="none"/>
        </w:rPr>
        <w:t>。</w:t>
      </w:r>
      <w:r>
        <w:rPr>
          <w:rFonts w:hint="eastAsia" w:ascii="宋体" w:hAnsi="宋体" w:cs="宋体"/>
          <w:color w:val="auto"/>
          <w:sz w:val="24"/>
          <w:highlight w:val="none"/>
          <w:lang w:eastAsia="zh-CN"/>
        </w:rPr>
        <w:t>（投标承诺不相符包括实际投入运营的场地与投标承诺不一致、投标承诺的场地实际未启用、实际场地位置与投标承诺场地位置不一致、实际场地停车面积</w:t>
      </w:r>
      <w:r>
        <w:rPr>
          <w:rFonts w:hint="eastAsia" w:ascii="宋体" w:hAnsi="宋体" w:cs="宋体"/>
          <w:b w:val="0"/>
          <w:bCs w:val="0"/>
          <w:color w:val="auto"/>
          <w:sz w:val="24"/>
          <w:highlight w:val="none"/>
          <w:lang w:eastAsia="zh-CN"/>
        </w:rPr>
        <w:t>明显少于</w:t>
      </w:r>
      <w:r>
        <w:rPr>
          <w:rFonts w:hint="eastAsia" w:ascii="宋体" w:hAnsi="宋体" w:cs="宋体"/>
          <w:color w:val="auto"/>
          <w:sz w:val="24"/>
          <w:highlight w:val="none"/>
          <w:lang w:eastAsia="zh-CN"/>
        </w:rPr>
        <w:t>投标承诺场地停车面积等情形）</w:t>
      </w:r>
    </w:p>
    <w:p w14:paraId="4F292084">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▲2.3成交供应商提供的保管场地须具有合法、完备的手续，保证保管场地适合车辆停放，并设置汽车停放区、非汽车停放区，做到妥善保管。</w:t>
      </w:r>
    </w:p>
    <w:p w14:paraId="3E14C67F">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2.4成交供应商提供的保管场地必须严格落实有关治安消防安全措施。除落实人员看管外，</w:t>
      </w:r>
      <w:r>
        <w:rPr>
          <w:rFonts w:hint="eastAsia" w:ascii="宋体" w:hAnsi="宋体" w:cs="宋体"/>
          <w:bCs/>
          <w:color w:val="auto"/>
          <w:sz w:val="24"/>
          <w:highlight w:val="none"/>
        </w:rPr>
        <w:t>须</w:t>
      </w:r>
      <w:r>
        <w:rPr>
          <w:rFonts w:hint="eastAsia" w:ascii="宋体" w:hAnsi="宋体" w:cs="宋体"/>
          <w:color w:val="auto"/>
          <w:sz w:val="24"/>
          <w:highlight w:val="none"/>
        </w:rPr>
        <w:t>配备灯光照明、封闭式围墙、消防灭火设备、防火隔离通道等设施，</w:t>
      </w:r>
      <w:r>
        <w:rPr>
          <w:rFonts w:hint="eastAsia" w:ascii="宋体" w:hAnsi="宋体" w:cs="宋体"/>
          <w:color w:val="auto"/>
          <w:spacing w:val="-11"/>
          <w:sz w:val="24"/>
          <w:highlight w:val="none"/>
        </w:rPr>
        <w:t>车辆出入口及停放位置须监控全覆盖，监控记录须保存3个月以上，</w:t>
      </w:r>
      <w:r>
        <w:rPr>
          <w:rFonts w:hint="eastAsia" w:ascii="宋体" w:hAnsi="宋体" w:cs="宋体"/>
          <w:bCs/>
          <w:color w:val="auto"/>
          <w:sz w:val="24"/>
          <w:highlight w:val="none"/>
        </w:rPr>
        <w:t>监控按要求接入采购人平台，</w:t>
      </w:r>
      <w:r>
        <w:rPr>
          <w:rFonts w:hint="eastAsia" w:ascii="宋体" w:hAnsi="宋体" w:cs="宋体"/>
          <w:color w:val="auto"/>
          <w:sz w:val="24"/>
          <w:highlight w:val="none"/>
        </w:rPr>
        <w:t>每处保管场地有效意外损失保险不少于1000万元（含）以上。</w:t>
      </w:r>
    </w:p>
    <w:p w14:paraId="4F34D3A4">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2.5为有效配合</w:t>
      </w:r>
      <w:r>
        <w:rPr>
          <w:rFonts w:hint="eastAsia" w:ascii="宋体" w:hAnsi="宋体" w:cs="宋体"/>
          <w:color w:val="auto"/>
          <w:spacing w:val="-6"/>
          <w:sz w:val="24"/>
          <w:highlight w:val="none"/>
        </w:rPr>
        <w:t>采购人及下属单位执法，</w:t>
      </w:r>
      <w:r>
        <w:rPr>
          <w:rFonts w:hint="eastAsia" w:ascii="宋体" w:hAnsi="宋体" w:cs="宋体"/>
          <w:color w:val="auto"/>
          <w:sz w:val="24"/>
          <w:highlight w:val="none"/>
        </w:rPr>
        <w:t>成交供应商提供的保管场地要求设置过磅设备（不低于100吨承载），并保证该设备正常有效使用。</w:t>
      </w:r>
    </w:p>
    <w:p w14:paraId="2A2E32D9">
      <w:pPr>
        <w:tabs>
          <w:tab w:val="left" w:pos="2340"/>
        </w:tabs>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2.6成交供应商提供的保管场地须设立专门的管理办公室，配备电脑并安装涉案车辆管理系统（以下称“停车场系统”），实时维护系统及上传相关涉案车辆信息。须在</w:t>
      </w:r>
      <w:r>
        <w:rPr>
          <w:rFonts w:hint="eastAsia" w:ascii="宋体" w:hAnsi="宋体" w:cs="宋体"/>
          <w:color w:val="auto"/>
          <w:sz w:val="24"/>
          <w:highlight w:val="none"/>
          <w:lang w:eastAsia="zh-CN"/>
        </w:rPr>
        <w:t>醒</w:t>
      </w:r>
      <w:r>
        <w:rPr>
          <w:rFonts w:hint="eastAsia" w:ascii="宋体" w:hAnsi="宋体" w:cs="宋体"/>
          <w:color w:val="auto"/>
          <w:sz w:val="24"/>
          <w:highlight w:val="none"/>
        </w:rPr>
        <w:t>目位置上墙公开相关规章制度、具体工作人员及职责、投诉监督电话、收费标准等。</w:t>
      </w:r>
    </w:p>
    <w:p w14:paraId="7EC8AC01">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成交供应商保管的涉案车辆，应按照车辆查扣单位归属分别建立相关单位台账，严禁混杂登记、台账混合，确保台账清晰、长久保存。</w:t>
      </w:r>
    </w:p>
    <w:p w14:paraId="374C176E">
      <w:pPr>
        <w:tabs>
          <w:tab w:val="left" w:pos="234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3.具体人员要求</w:t>
      </w:r>
    </w:p>
    <w:p w14:paraId="6FFB837F">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w:t>
      </w:r>
      <w:r>
        <w:rPr>
          <w:rFonts w:hint="eastAsia" w:ascii="宋体" w:hAnsi="宋体" w:cs="宋体"/>
          <w:color w:val="auto"/>
          <w:spacing w:val="-6"/>
          <w:sz w:val="24"/>
          <w:highlight w:val="none"/>
        </w:rPr>
        <w:t>成交供应商要配备足够完成采购人及下属单位要求的涉案车辆保管服务配套的工作人员，并保证保管场地24小时人员不间断。所有人员须向采购人报备，遇特殊情况如有变动的，须在征得采购人同意后配备相同能力的其他工作人员替代。</w:t>
      </w:r>
    </w:p>
    <w:p w14:paraId="73FFDD49">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3.2成交供应商配备的工作人员须与成交供应商签订劳动合同，且必须购买国家规定的从事</w:t>
      </w:r>
      <w:r>
        <w:rPr>
          <w:rFonts w:hint="eastAsia" w:ascii="宋体" w:hAnsi="宋体" w:cs="宋体"/>
          <w:bCs/>
          <w:color w:val="auto"/>
          <w:sz w:val="24"/>
          <w:highlight w:val="none"/>
        </w:rPr>
        <w:t>保管服务作业发生人身意外等所需的</w:t>
      </w:r>
      <w:r>
        <w:rPr>
          <w:rFonts w:hint="eastAsia" w:ascii="宋体" w:hAnsi="宋体" w:cs="宋体"/>
          <w:color w:val="auto"/>
          <w:sz w:val="24"/>
          <w:highlight w:val="none"/>
        </w:rPr>
        <w:t>相关社会保险。</w:t>
      </w:r>
    </w:p>
    <w:p w14:paraId="41529D99">
      <w:pPr>
        <w:tabs>
          <w:tab w:val="left" w:pos="2340"/>
        </w:tabs>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4.具体保管要求</w:t>
      </w:r>
    </w:p>
    <w:p w14:paraId="3EC0E239">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涉案车辆须凭《暂扣车辆（物品）移交凭证》进入保管场地，无《暂扣车辆（物品）移交凭证》的，成交供应商一律不得保管；若成交供应商对无移交凭证的涉案车辆进行保管，所产生的后果、费用均由成交供应商自行承担。每辆涉案车辆进入保管场地后，应按采购人要求及时在</w:t>
      </w:r>
      <w:r>
        <w:rPr>
          <w:rFonts w:hint="eastAsia" w:ascii="宋体" w:hAnsi="宋体" w:cs="宋体"/>
          <w:color w:val="auto"/>
          <w:spacing w:val="-6"/>
          <w:sz w:val="24"/>
          <w:highlight w:val="none"/>
        </w:rPr>
        <w:t>停车场系统完成入库操作。</w:t>
      </w:r>
    </w:p>
    <w:p w14:paraId="60A23EE4">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成交供应商对保管的涉案车辆（物品）在进出场地时应进行全面检查，查清车辆状况，清点车内物品，每辆涉案车辆必须按采购人要求悬挂好采购人提供的专用卡片，并按采购人要求做好涉案车辆（物品）书面登记。</w:t>
      </w:r>
    </w:p>
    <w:p w14:paraId="03A6FAAD">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w:t>
      </w:r>
      <w:r>
        <w:rPr>
          <w:rFonts w:hint="eastAsia" w:ascii="宋体" w:hAnsi="宋体" w:cs="宋体"/>
          <w:color w:val="auto"/>
          <w:spacing w:val="-6"/>
          <w:sz w:val="24"/>
          <w:highlight w:val="none"/>
        </w:rPr>
        <w:t>成交供应商应分清暂扣车辆性质，存放于专辖区域，落实好保管措施，对车辆保管期间发生的损坏（包括自燃、被盗等情况）和随车物品的失少，承担赔偿责任。</w:t>
      </w:r>
    </w:p>
    <w:p w14:paraId="12539996">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4.4成交供应商应每日、每周检查</w:t>
      </w:r>
      <w:r>
        <w:rPr>
          <w:rFonts w:hint="eastAsia" w:ascii="宋体" w:hAnsi="宋体" w:cs="宋体"/>
          <w:color w:val="auto"/>
          <w:spacing w:val="-6"/>
          <w:sz w:val="24"/>
          <w:highlight w:val="none"/>
        </w:rPr>
        <w:t>停车场系统</w:t>
      </w:r>
      <w:r>
        <w:rPr>
          <w:rFonts w:hint="eastAsia" w:ascii="宋体" w:hAnsi="宋体" w:cs="宋体"/>
          <w:color w:val="auto"/>
          <w:sz w:val="24"/>
          <w:highlight w:val="none"/>
        </w:rPr>
        <w:t>中信息，对场地内涉案车辆与系统内登记车辆进行逐一核对，确保系统录入信息规范完整齐全和及时更新，确保系统登记车辆与实际扣车数一致、无误。发现异常情况要及时报告</w:t>
      </w:r>
      <w:r>
        <w:rPr>
          <w:rFonts w:hint="eastAsia" w:ascii="宋体" w:hAnsi="宋体" w:cs="宋体"/>
          <w:color w:val="auto"/>
          <w:spacing w:val="-6"/>
          <w:sz w:val="24"/>
          <w:highlight w:val="none"/>
        </w:rPr>
        <w:t>采购人</w:t>
      </w:r>
      <w:r>
        <w:rPr>
          <w:rFonts w:hint="eastAsia" w:ascii="宋体" w:hAnsi="宋体" w:cs="宋体"/>
          <w:color w:val="auto"/>
          <w:sz w:val="24"/>
          <w:highlight w:val="none"/>
        </w:rPr>
        <w:t>及采购人下属单位。</w:t>
      </w:r>
    </w:p>
    <w:p w14:paraId="744C0855">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pacing w:val="-6"/>
          <w:sz w:val="24"/>
          <w:highlight w:val="none"/>
        </w:rPr>
        <w:t>5成交供应商应配合采购人</w:t>
      </w:r>
      <w:r>
        <w:rPr>
          <w:rFonts w:hint="eastAsia" w:ascii="宋体" w:hAnsi="宋体" w:cs="宋体"/>
          <w:color w:val="auto"/>
          <w:sz w:val="24"/>
          <w:highlight w:val="none"/>
        </w:rPr>
        <w:t>及采购人下属单位</w:t>
      </w:r>
      <w:r>
        <w:rPr>
          <w:rFonts w:hint="eastAsia" w:ascii="宋体" w:hAnsi="宋体" w:cs="宋体"/>
          <w:color w:val="auto"/>
          <w:spacing w:val="-6"/>
          <w:sz w:val="24"/>
          <w:highlight w:val="none"/>
        </w:rPr>
        <w:t>消除暂扣涉案车辆违法行为，杜绝出现违法行为不消除就放行或私放车辆的现象发生。对涉案车辆放行必须凭</w:t>
      </w:r>
      <w:r>
        <w:rPr>
          <w:rFonts w:hint="eastAsia" w:ascii="宋体" w:hAnsi="宋体" w:cs="宋体"/>
          <w:color w:val="auto"/>
          <w:sz w:val="24"/>
          <w:highlight w:val="none"/>
        </w:rPr>
        <w:t>采购人及下属单位</w:t>
      </w:r>
      <w:r>
        <w:rPr>
          <w:rFonts w:hint="eastAsia" w:ascii="宋体" w:hAnsi="宋体" w:cs="宋体"/>
          <w:color w:val="auto"/>
          <w:spacing w:val="-6"/>
          <w:sz w:val="24"/>
          <w:highlight w:val="none"/>
        </w:rPr>
        <w:t>开具的《停车场系统放车单》放行；如手工放车单放行的，应在24小时内提醒</w:t>
      </w:r>
      <w:r>
        <w:rPr>
          <w:rFonts w:hint="eastAsia" w:ascii="宋体" w:hAnsi="宋体" w:cs="宋体"/>
          <w:color w:val="auto"/>
          <w:sz w:val="24"/>
          <w:highlight w:val="none"/>
        </w:rPr>
        <w:t>采购人及下属单位</w:t>
      </w:r>
      <w:r>
        <w:rPr>
          <w:rFonts w:hint="eastAsia" w:ascii="宋体" w:hAnsi="宋体" w:cs="宋体"/>
          <w:color w:val="auto"/>
          <w:spacing w:val="-6"/>
          <w:sz w:val="24"/>
          <w:highlight w:val="none"/>
        </w:rPr>
        <w:t>提供《停车场系统放车单》。</w:t>
      </w:r>
    </w:p>
    <w:p w14:paraId="38E390BC">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4.6当事人或委托人（以下称“领取人”）携带放车单于24小时内到停车场取车，</w:t>
      </w:r>
      <w:r>
        <w:rPr>
          <w:rFonts w:hint="eastAsia" w:ascii="宋体" w:hAnsi="宋体" w:cs="宋体"/>
          <w:color w:val="auto"/>
          <w:spacing w:val="-6"/>
          <w:sz w:val="24"/>
          <w:highlight w:val="none"/>
        </w:rPr>
        <w:t>成交供应商</w:t>
      </w:r>
      <w:r>
        <w:rPr>
          <w:rFonts w:hint="eastAsia" w:ascii="宋体" w:hAnsi="宋体" w:cs="宋体"/>
          <w:color w:val="auto"/>
          <w:sz w:val="24"/>
          <w:highlight w:val="none"/>
        </w:rPr>
        <w:t>必须查验放车单及领取人身份无误后方可放车，并要求领取人在采购人提供的管理台帐上亲笔签名和留下电话号码，车辆离去后，应及时在</w:t>
      </w:r>
      <w:r>
        <w:rPr>
          <w:rFonts w:hint="eastAsia" w:ascii="宋体" w:hAnsi="宋体" w:cs="宋体"/>
          <w:color w:val="auto"/>
          <w:spacing w:val="-6"/>
          <w:sz w:val="24"/>
          <w:highlight w:val="none"/>
        </w:rPr>
        <w:t>停车场系统</w:t>
      </w:r>
      <w:r>
        <w:rPr>
          <w:rFonts w:hint="eastAsia" w:ascii="宋体" w:hAnsi="宋体" w:cs="宋体"/>
          <w:color w:val="auto"/>
          <w:sz w:val="24"/>
          <w:highlight w:val="none"/>
        </w:rPr>
        <w:t>内完成出库操作。超过24小时未领取车辆的，</w:t>
      </w:r>
      <w:r>
        <w:rPr>
          <w:rFonts w:hint="eastAsia" w:ascii="宋体" w:hAnsi="宋体" w:cs="宋体"/>
          <w:color w:val="auto"/>
          <w:spacing w:val="-6"/>
          <w:sz w:val="24"/>
          <w:highlight w:val="none"/>
        </w:rPr>
        <w:t>成交供应商</w:t>
      </w:r>
      <w:r>
        <w:rPr>
          <w:rFonts w:hint="eastAsia" w:ascii="宋体" w:hAnsi="宋体" w:cs="宋体"/>
          <w:color w:val="auto"/>
          <w:sz w:val="24"/>
          <w:highlight w:val="none"/>
        </w:rPr>
        <w:t>可根据停车收费标准按日向当事人收取停车保管费用。（超时满12小时的按日计算）</w:t>
      </w:r>
    </w:p>
    <w:p w14:paraId="6E6DFD2F">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4.7对于涉案车辆消除违法行为，原则上由车主自行负责，如车主委托</w:t>
      </w:r>
      <w:r>
        <w:rPr>
          <w:rFonts w:hint="eastAsia" w:ascii="宋体" w:hAnsi="宋体" w:cs="宋体"/>
          <w:color w:val="auto"/>
          <w:spacing w:val="-6"/>
          <w:sz w:val="24"/>
          <w:highlight w:val="none"/>
        </w:rPr>
        <w:t>成交供应商</w:t>
      </w:r>
      <w:r>
        <w:rPr>
          <w:rFonts w:hint="eastAsia" w:ascii="宋体" w:hAnsi="宋体" w:cs="宋体"/>
          <w:color w:val="auto"/>
          <w:sz w:val="24"/>
          <w:highlight w:val="none"/>
        </w:rPr>
        <w:t>消除的，必须由经双方协商一致并亲笔签名生效的《协议书》，《协议书》上应清楚标明收费清单、费用金额，严禁乱收费；未经协商一致</w:t>
      </w:r>
      <w:r>
        <w:rPr>
          <w:rFonts w:hint="eastAsia" w:ascii="宋体" w:hAnsi="宋体" w:cs="宋体"/>
          <w:color w:val="auto"/>
          <w:spacing w:val="-6"/>
          <w:sz w:val="24"/>
          <w:highlight w:val="none"/>
        </w:rPr>
        <w:t>成交供应商</w:t>
      </w:r>
      <w:r>
        <w:rPr>
          <w:rFonts w:hint="eastAsia" w:ascii="宋体" w:hAnsi="宋体" w:cs="宋体"/>
          <w:color w:val="auto"/>
          <w:sz w:val="24"/>
          <w:highlight w:val="none"/>
        </w:rPr>
        <w:t>一律不得擅自消除违法行为，由此造成的后果和责任由</w:t>
      </w:r>
      <w:r>
        <w:rPr>
          <w:rFonts w:hint="eastAsia" w:ascii="宋体" w:hAnsi="宋体" w:cs="宋体"/>
          <w:color w:val="auto"/>
          <w:spacing w:val="-6"/>
          <w:sz w:val="24"/>
          <w:highlight w:val="none"/>
        </w:rPr>
        <w:t>成交供应商承担。</w:t>
      </w:r>
    </w:p>
    <w:p w14:paraId="43E704AC">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4.8对已经过前期有关程序，当事人未领取的采购人拟依法处置涉案车辆，成交供应商必须积极配合采购人做好涉案车辆梳理、评估（悬挂采购人提供的专用卡片）、拍卖等依法处置工作。</w:t>
      </w:r>
    </w:p>
    <w:p w14:paraId="48B7EACF">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4.9成交供应商拆卸涉案车辆零件、私自放行涉案车辆离开保管地点，将涉案车辆挪作他用、擅自报废车辆的，造成涉案车辆损坏、其他人员伤害、物品损坏、油料失少等其他损失的，均由成交供应商负责；造成严重影响或后果的，采购人有权解除合同并同时追究供应商法律责任。</w:t>
      </w:r>
    </w:p>
    <w:p w14:paraId="3F7813FD">
      <w:pPr>
        <w:tabs>
          <w:tab w:val="left" w:pos="23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4.10涉案车辆服务费用由采购人审核后每月支付成交供应商；成交供应商不得向领取人收取涉案车辆拖车、保管等服务费用。</w:t>
      </w:r>
    </w:p>
    <w:p w14:paraId="6288527E">
      <w:pPr>
        <w:pageBreakBefore w:val="0"/>
        <w:tabs>
          <w:tab w:val="left" w:pos="2340"/>
        </w:tabs>
        <w:kinsoku/>
        <w:wordWrap/>
        <w:overflowPunct/>
        <w:topLinePunct w:val="0"/>
        <w:bidi w:val="0"/>
        <w:adjustRightInd/>
        <w:spacing w:line="48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4.11成交供应商需在合同签订之日起1个月内将中标辖区内库存涉案车辆从原成交供应商车辆保管场地拖移至成交供应商提供的车辆保管场地，并按要求做好车辆停放管理工作。所需车辆拖移费等可能产生的其他费用由成交供应商负责。成交供应商未按规定时间和要求完成的，采购人有权解除合同，并扣除全部履约保证金。</w:t>
      </w:r>
      <w:r>
        <w:rPr>
          <w:rFonts w:hint="eastAsia" w:ascii="宋体" w:hAnsi="宋体" w:cs="宋体"/>
          <w:color w:val="auto"/>
          <w:sz w:val="24"/>
          <w:highlight w:val="none"/>
          <w:lang w:eastAsia="zh-CN"/>
        </w:rPr>
        <w:t>原成交供应商不配合</w:t>
      </w:r>
      <w:r>
        <w:rPr>
          <w:rFonts w:hint="eastAsia" w:ascii="宋体" w:hAnsi="宋体" w:cs="宋体"/>
          <w:color w:val="auto"/>
          <w:sz w:val="24"/>
          <w:highlight w:val="none"/>
        </w:rPr>
        <w:t>成交供应商</w:t>
      </w:r>
      <w:r>
        <w:rPr>
          <w:rFonts w:hint="eastAsia" w:ascii="宋体" w:hAnsi="宋体" w:cs="宋体"/>
          <w:color w:val="auto"/>
          <w:sz w:val="24"/>
          <w:highlight w:val="none"/>
          <w:lang w:eastAsia="zh-CN"/>
        </w:rPr>
        <w:t>完成上述工作的，采购人有权依据《中华人民共和国招标投标法》第</w:t>
      </w:r>
      <w:r>
        <w:rPr>
          <w:rFonts w:hint="eastAsia" w:ascii="宋体" w:hAnsi="宋体" w:cs="宋体"/>
          <w:color w:val="auto"/>
          <w:sz w:val="24"/>
          <w:highlight w:val="none"/>
          <w:lang w:val="en-US" w:eastAsia="zh-CN"/>
        </w:rPr>
        <w:t>60条之规定，追究其相应的法律责任</w:t>
      </w:r>
      <w:r>
        <w:rPr>
          <w:rFonts w:hint="eastAsia" w:ascii="宋体" w:hAnsi="宋体" w:cs="宋体"/>
          <w:color w:val="auto"/>
          <w:sz w:val="24"/>
          <w:highlight w:val="none"/>
          <w:lang w:eastAsia="zh-CN"/>
        </w:rPr>
        <w:t>。</w:t>
      </w:r>
    </w:p>
    <w:p w14:paraId="0862C2F1">
      <w:pPr>
        <w:pageBreakBefore w:val="0"/>
        <w:tabs>
          <w:tab w:val="left" w:pos="2340"/>
        </w:tabs>
        <w:kinsoku/>
        <w:wordWrap/>
        <w:overflowPunct/>
        <w:topLinePunct w:val="0"/>
        <w:bidi w:val="0"/>
        <w:adjustRightInd/>
        <w:spacing w:line="480" w:lineRule="exact"/>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cs="宋体"/>
          <w:color w:val="auto"/>
          <w:sz w:val="24"/>
          <w:highlight w:val="none"/>
          <w:lang w:val="en-US" w:eastAsia="zh-CN"/>
        </w:rPr>
        <w:t>4.12</w:t>
      </w:r>
      <w:r>
        <w:rPr>
          <w:rFonts w:hint="eastAsia" w:ascii="宋体" w:hAnsi="宋体" w:eastAsia="宋体" w:cs="宋体"/>
          <w:color w:val="auto"/>
          <w:sz w:val="24"/>
          <w:highlight w:val="none"/>
        </w:rPr>
        <w:t>成交供应商在合同履行结束后，如新的政府采购合同未能及时签订，原中标单位须按原政府采购合同要求签订延期协</w:t>
      </w:r>
      <w:r>
        <w:rPr>
          <w:rFonts w:hint="eastAsia" w:ascii="宋体" w:hAnsi="宋体" w:eastAsia="宋体" w:cs="宋体"/>
          <w:b w:val="0"/>
          <w:bCs w:val="0"/>
          <w:color w:val="auto"/>
          <w:sz w:val="24"/>
          <w:highlight w:val="none"/>
        </w:rPr>
        <w:t>议，延期协议时间最长不得超过</w:t>
      </w:r>
      <w:r>
        <w:rPr>
          <w:rFonts w:hint="eastAsia" w:ascii="宋体" w:hAnsi="宋体" w:eastAsia="宋体" w:cs="宋体"/>
          <w:b w:val="0"/>
          <w:bCs w:val="0"/>
          <w:color w:val="auto"/>
          <w:sz w:val="24"/>
          <w:highlight w:val="none"/>
          <w:lang w:eastAsia="zh-CN"/>
        </w:rPr>
        <w:t>一个月，金额不超过该标项中标金额的</w:t>
      </w:r>
      <w:r>
        <w:rPr>
          <w:rFonts w:hint="eastAsia" w:ascii="宋体" w:hAnsi="宋体" w:eastAsia="宋体" w:cs="宋体"/>
          <w:b w:val="0"/>
          <w:bCs w:val="0"/>
          <w:color w:val="auto"/>
          <w:sz w:val="24"/>
          <w:highlight w:val="none"/>
          <w:lang w:val="en-US" w:eastAsia="zh-CN"/>
        </w:rPr>
        <w:t>10%。</w:t>
      </w:r>
    </w:p>
    <w:p w14:paraId="2C9ECECC">
      <w:pPr>
        <w:pageBreakBefore w:val="0"/>
        <w:tabs>
          <w:tab w:val="left" w:pos="2340"/>
        </w:tabs>
        <w:kinsoku/>
        <w:wordWrap/>
        <w:overflowPunct/>
        <w:topLinePunct w:val="0"/>
        <w:bidi w:val="0"/>
        <w:adjustRightInd/>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成交供应商在合同履行结束后，须继续提供涉案车辆的保管和移交缓冲期服务，缓冲期为合同结束之日起3个月。缓冲期内成交供应商不得向新中标成交供应商收取费用。</w:t>
      </w:r>
    </w:p>
    <w:p w14:paraId="60FD686C">
      <w:pPr>
        <w:keepNext w:val="0"/>
        <w:keepLines w:val="0"/>
        <w:pageBreakBefore w:val="0"/>
        <w:widowControl w:val="0"/>
        <w:tabs>
          <w:tab w:val="left" w:pos="2340"/>
        </w:tabs>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除上述规定外，成交供应商必须严格遵守采购人其他的有关涉案车辆管理规定、制度。因成交供应商违规原因，造成严重影响或后果的，采购人有权解除合同。</w:t>
      </w:r>
    </w:p>
    <w:p w14:paraId="2A94B4B0">
      <w:pPr>
        <w:keepNext w:val="0"/>
        <w:keepLines w:val="0"/>
        <w:pageBreakBefore w:val="0"/>
        <w:widowControl w:val="0"/>
        <w:tabs>
          <w:tab w:val="left" w:pos="2340"/>
        </w:tabs>
        <w:kinsoku/>
        <w:wordWrap/>
        <w:overflowPunct/>
        <w:topLinePunct w:val="0"/>
        <w:autoSpaceDE/>
        <w:autoSpaceDN/>
        <w:bidi w:val="0"/>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五)项目管理及考评处理办法</w:t>
      </w:r>
    </w:p>
    <w:p w14:paraId="0EC8735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1、项目管理要求</w:t>
      </w:r>
    </w:p>
    <w:p w14:paraId="26F23EA8">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①采购人每月将不定期对成交供应商的工作完成情况及台账登记情况进行检查，检查结果纳入当月考评。</w:t>
      </w:r>
    </w:p>
    <w:p w14:paraId="409D861D">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②每月支付</w:t>
      </w:r>
      <w:r>
        <w:rPr>
          <w:rFonts w:hint="eastAsia" w:ascii="宋体" w:hAnsi="宋体" w:cs="宋体"/>
          <w:color w:val="auto"/>
          <w:sz w:val="24"/>
          <w:highlight w:val="none"/>
        </w:rPr>
        <w:t>成交供应商的服务</w:t>
      </w:r>
      <w:r>
        <w:rPr>
          <w:rFonts w:hint="eastAsia" w:ascii="宋体" w:hAnsi="宋体" w:cs="宋体"/>
          <w:bCs/>
          <w:color w:val="auto"/>
          <w:sz w:val="24"/>
          <w:highlight w:val="none"/>
        </w:rPr>
        <w:t>费用与当月的考评结果挂钩。采购人对</w:t>
      </w:r>
      <w:r>
        <w:rPr>
          <w:rFonts w:hint="eastAsia" w:ascii="宋体" w:hAnsi="宋体" w:cs="宋体"/>
          <w:color w:val="auto"/>
          <w:sz w:val="24"/>
          <w:highlight w:val="none"/>
        </w:rPr>
        <w:t>成交供应商每月完成工作的质量情况进行考评并制作月度考评表，按照月度考评评分扣减相应的服务费用。</w:t>
      </w:r>
    </w:p>
    <w:p w14:paraId="191BA0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采购人根据检查发现并核实的问题向成交供应商发出整改通知书，要求限制整改，成交供应商应在规定期限内实施整改，并将整改结果书面报采购人；如成交供应商不按要求实施整改的，采购人有权扣减月度考核分数，有权单方面终止合同。</w:t>
      </w:r>
    </w:p>
    <w:p w14:paraId="73B5E78E">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④成交供应商出现违规事件，采购人有权单方面终止合同，违规造成的损失及损害后果，由成交供应商承担赔偿、补偿责任。</w:t>
      </w:r>
    </w:p>
    <w:p w14:paraId="366B376F">
      <w:pPr>
        <w:spacing w:line="360" w:lineRule="auto"/>
        <w:ind w:firstLine="482" w:firstLineChars="200"/>
        <w:rPr>
          <w:rFonts w:ascii="宋体" w:hAnsi="宋体" w:cs="宋体"/>
          <w:bCs/>
          <w:color w:val="auto"/>
          <w:sz w:val="24"/>
          <w:highlight w:val="none"/>
        </w:rPr>
      </w:pPr>
      <w:r>
        <w:rPr>
          <w:rFonts w:hint="eastAsia" w:ascii="宋体" w:hAnsi="宋体" w:cs="宋体"/>
          <w:b/>
          <w:bCs/>
          <w:color w:val="auto"/>
          <w:sz w:val="24"/>
          <w:highlight w:val="none"/>
        </w:rPr>
        <w:t>2、考评办法</w:t>
      </w:r>
    </w:p>
    <w:p w14:paraId="178EDF28">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①采购人有权将成交供应商在合同服务期内违反合同规定的各种情况进行登记，建立诚信档案，制作月度考评表，按考评表分数比例减扣当月服务费用。</w:t>
      </w:r>
    </w:p>
    <w:p w14:paraId="2F1EB224">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②考评表评分按实扣分，当月累加，每个自然月为一个计分周期。</w:t>
      </w:r>
    </w:p>
    <w:p w14:paraId="21E6A117">
      <w:pPr>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cs="宋体"/>
          <w:color w:val="auto"/>
          <w:sz w:val="24"/>
          <w:highlight w:val="none"/>
        </w:rPr>
        <w:t>③</w:t>
      </w:r>
      <w:r>
        <w:rPr>
          <w:rFonts w:hint="eastAsia" w:ascii="宋体" w:hAnsi="宋体" w:cs="宋体"/>
          <w:bCs/>
          <w:color w:val="auto"/>
          <w:sz w:val="24"/>
          <w:highlight w:val="none"/>
        </w:rPr>
        <w:t>支付成交供应商服务费和月度考核情况挂钩，月度考核扣分分值以每分折合成人民币</w:t>
      </w:r>
      <w:r>
        <w:rPr>
          <w:rFonts w:hint="eastAsia" w:ascii="宋体" w:hAnsi="宋体" w:cs="宋体"/>
          <w:bCs/>
          <w:color w:val="auto"/>
          <w:sz w:val="24"/>
          <w:highlight w:val="none"/>
          <w:lang w:val="en-US" w:eastAsia="zh-CN"/>
        </w:rPr>
        <w:t>500</w:t>
      </w:r>
      <w:r>
        <w:rPr>
          <w:rFonts w:hint="eastAsia" w:ascii="宋体" w:hAnsi="宋体" w:cs="宋体"/>
          <w:bCs/>
          <w:color w:val="auto"/>
          <w:sz w:val="24"/>
          <w:highlight w:val="none"/>
        </w:rPr>
        <w:t>元计算。</w:t>
      </w:r>
    </w:p>
    <w:p w14:paraId="012F1BA8">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④采购人每月制作月度考评总表，作为结算依据之一。</w:t>
      </w:r>
    </w:p>
    <w:p w14:paraId="39FCD0C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3、考评条款</w:t>
      </w:r>
    </w:p>
    <w:p w14:paraId="1865730C">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合同服务期月度内，成交供应商存在以下违规情况的，采购人有权予以考评：</w:t>
      </w:r>
    </w:p>
    <w:p w14:paraId="486846D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①成交供应商接到采购人及采购人下属单位施救、清障通知指令后，3分钟内响应，超时响应每次扣1分。白天要求在响应后5分钟内、夜间要求在响应后10分内出车，同时确保在30分钟内到达施救、清障现场（楼塔镇为40分钟）</w:t>
      </w:r>
      <w:r>
        <w:rPr>
          <w:rFonts w:hint="eastAsia" w:ascii="宋体" w:hAnsi="宋体" w:cs="宋体"/>
          <w:b/>
          <w:bCs/>
          <w:color w:val="auto"/>
          <w:sz w:val="24"/>
          <w:highlight w:val="none"/>
          <w:lang w:eastAsia="zh-CN"/>
        </w:rPr>
        <w:t>。成交供应商到达现场后，应立即拍摄施救人员、施救车辆到达现场的水印照片、以及施救人员姓名及联系电话（手机号）等信息发至需求单位，以备需求单位核查）。</w:t>
      </w:r>
      <w:r>
        <w:rPr>
          <w:rFonts w:hint="eastAsia" w:ascii="宋体" w:hAnsi="宋体" w:cs="宋体"/>
          <w:b/>
          <w:bCs/>
          <w:color w:val="auto"/>
          <w:sz w:val="24"/>
          <w:highlight w:val="none"/>
        </w:rPr>
        <w:t>到达现场超过规定时间的，按超时时长予以扣分（经核查，系交通事故、交通堵塞或其他客观原因导致无法在规定时间内到达现场的，不予扣分。）：</w:t>
      </w:r>
    </w:p>
    <w:tbl>
      <w:tblPr>
        <w:tblStyle w:val="62"/>
        <w:tblW w:w="888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4"/>
        <w:gridCol w:w="4331"/>
      </w:tblGrid>
      <w:tr w14:paraId="3097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4554" w:type="dxa"/>
            <w:noWrap w:val="0"/>
            <w:vAlign w:val="center"/>
          </w:tcPr>
          <w:p w14:paraId="4E112DD4">
            <w:pPr>
              <w:spacing w:line="360" w:lineRule="auto"/>
              <w:ind w:firstLine="480" w:firstLineChars="200"/>
              <w:jc w:val="center"/>
              <w:rPr>
                <w:rFonts w:ascii="宋体" w:hAnsi="宋体" w:cs="宋体"/>
                <w:bCs/>
                <w:color w:val="auto"/>
                <w:sz w:val="24"/>
                <w:highlight w:val="none"/>
              </w:rPr>
            </w:pPr>
            <w:r>
              <w:rPr>
                <w:rFonts w:hint="eastAsia" w:ascii="宋体" w:hAnsi="宋体" w:cs="宋体"/>
                <w:bCs/>
                <w:color w:val="auto"/>
                <w:sz w:val="24"/>
                <w:highlight w:val="none"/>
              </w:rPr>
              <w:t>超时&lt;10分钟</w:t>
            </w:r>
          </w:p>
        </w:tc>
        <w:tc>
          <w:tcPr>
            <w:tcW w:w="4331" w:type="dxa"/>
            <w:noWrap w:val="0"/>
            <w:vAlign w:val="center"/>
          </w:tcPr>
          <w:p w14:paraId="21659F29">
            <w:pPr>
              <w:spacing w:line="360" w:lineRule="auto"/>
              <w:ind w:firstLine="480" w:firstLineChars="200"/>
              <w:jc w:val="center"/>
              <w:rPr>
                <w:rFonts w:ascii="宋体" w:hAnsi="宋体" w:cs="宋体"/>
                <w:bCs/>
                <w:color w:val="auto"/>
                <w:sz w:val="24"/>
                <w:highlight w:val="none"/>
              </w:rPr>
            </w:pPr>
            <w:r>
              <w:rPr>
                <w:rFonts w:hint="eastAsia" w:ascii="宋体" w:hAnsi="宋体" w:cs="宋体"/>
                <w:bCs/>
                <w:color w:val="auto"/>
                <w:sz w:val="24"/>
                <w:highlight w:val="none"/>
              </w:rPr>
              <w:t>1分/次</w:t>
            </w:r>
          </w:p>
        </w:tc>
      </w:tr>
      <w:tr w14:paraId="4447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54" w:type="dxa"/>
            <w:noWrap w:val="0"/>
            <w:vAlign w:val="center"/>
          </w:tcPr>
          <w:p w14:paraId="21D67AF5">
            <w:pPr>
              <w:spacing w:line="360" w:lineRule="auto"/>
              <w:ind w:firstLine="480" w:firstLineChars="200"/>
              <w:jc w:val="center"/>
              <w:rPr>
                <w:rFonts w:ascii="宋体" w:hAnsi="宋体" w:cs="宋体"/>
                <w:bCs/>
                <w:color w:val="auto"/>
                <w:sz w:val="24"/>
                <w:highlight w:val="none"/>
              </w:rPr>
            </w:pPr>
            <w:r>
              <w:rPr>
                <w:rFonts w:hint="eastAsia" w:ascii="宋体" w:hAnsi="宋体" w:cs="宋体"/>
                <w:bCs/>
                <w:color w:val="auto"/>
                <w:sz w:val="24"/>
                <w:highlight w:val="none"/>
              </w:rPr>
              <w:t>10分钟≤超时&lt;30分钟</w:t>
            </w:r>
          </w:p>
        </w:tc>
        <w:tc>
          <w:tcPr>
            <w:tcW w:w="4331" w:type="dxa"/>
            <w:noWrap w:val="0"/>
            <w:vAlign w:val="center"/>
          </w:tcPr>
          <w:p w14:paraId="59B02F4A">
            <w:pPr>
              <w:spacing w:line="360" w:lineRule="auto"/>
              <w:ind w:firstLine="480" w:firstLineChars="200"/>
              <w:jc w:val="center"/>
              <w:rPr>
                <w:rFonts w:ascii="宋体" w:hAnsi="宋体" w:cs="宋体"/>
                <w:bCs/>
                <w:color w:val="auto"/>
                <w:sz w:val="24"/>
                <w:highlight w:val="none"/>
              </w:rPr>
            </w:pPr>
            <w:r>
              <w:rPr>
                <w:rFonts w:hint="eastAsia" w:ascii="宋体" w:hAnsi="宋体" w:cs="宋体"/>
                <w:bCs/>
                <w:color w:val="auto"/>
                <w:sz w:val="24"/>
                <w:highlight w:val="none"/>
              </w:rPr>
              <w:t>2分/次</w:t>
            </w:r>
          </w:p>
        </w:tc>
      </w:tr>
      <w:tr w14:paraId="66C3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4554" w:type="dxa"/>
            <w:noWrap w:val="0"/>
            <w:vAlign w:val="center"/>
          </w:tcPr>
          <w:p w14:paraId="4179E69E">
            <w:pPr>
              <w:spacing w:line="360" w:lineRule="auto"/>
              <w:ind w:firstLine="480" w:firstLineChars="200"/>
              <w:jc w:val="center"/>
              <w:rPr>
                <w:rFonts w:ascii="宋体" w:hAnsi="宋体" w:cs="宋体"/>
                <w:bCs/>
                <w:color w:val="auto"/>
                <w:sz w:val="24"/>
                <w:highlight w:val="none"/>
              </w:rPr>
            </w:pPr>
            <w:r>
              <w:rPr>
                <w:rFonts w:hint="eastAsia" w:ascii="宋体" w:hAnsi="宋体" w:cs="宋体"/>
                <w:bCs/>
                <w:color w:val="auto"/>
                <w:sz w:val="24"/>
                <w:highlight w:val="none"/>
              </w:rPr>
              <w:t>30分钟≤超时&lt;1小时</w:t>
            </w:r>
          </w:p>
        </w:tc>
        <w:tc>
          <w:tcPr>
            <w:tcW w:w="4331" w:type="dxa"/>
            <w:noWrap w:val="0"/>
            <w:vAlign w:val="center"/>
          </w:tcPr>
          <w:p w14:paraId="2F56FC43">
            <w:pPr>
              <w:spacing w:line="360" w:lineRule="auto"/>
              <w:ind w:firstLine="480" w:firstLineChars="200"/>
              <w:jc w:val="center"/>
              <w:rPr>
                <w:rFonts w:ascii="宋体" w:hAnsi="宋体" w:cs="宋体"/>
                <w:bCs/>
                <w:color w:val="auto"/>
                <w:sz w:val="24"/>
                <w:highlight w:val="none"/>
              </w:rPr>
            </w:pPr>
            <w:r>
              <w:rPr>
                <w:rFonts w:hint="eastAsia" w:ascii="宋体" w:hAnsi="宋体" w:cs="宋体"/>
                <w:bCs/>
                <w:color w:val="auto"/>
                <w:sz w:val="24"/>
                <w:highlight w:val="none"/>
              </w:rPr>
              <w:t>3分/次</w:t>
            </w:r>
          </w:p>
        </w:tc>
      </w:tr>
      <w:tr w14:paraId="09D1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54" w:type="dxa"/>
            <w:noWrap w:val="0"/>
            <w:vAlign w:val="center"/>
          </w:tcPr>
          <w:p w14:paraId="2A38F95B">
            <w:pPr>
              <w:spacing w:line="360" w:lineRule="auto"/>
              <w:ind w:firstLine="480" w:firstLineChars="200"/>
              <w:jc w:val="center"/>
              <w:rPr>
                <w:rFonts w:ascii="宋体" w:hAnsi="宋体" w:cs="宋体"/>
                <w:bCs/>
                <w:color w:val="auto"/>
                <w:sz w:val="24"/>
                <w:highlight w:val="none"/>
              </w:rPr>
            </w:pPr>
            <w:r>
              <w:rPr>
                <w:rFonts w:hint="eastAsia" w:ascii="宋体" w:hAnsi="宋体" w:cs="宋体"/>
                <w:bCs/>
                <w:color w:val="auto"/>
                <w:sz w:val="24"/>
                <w:highlight w:val="none"/>
              </w:rPr>
              <w:t>1小时≤超时</w:t>
            </w:r>
          </w:p>
        </w:tc>
        <w:tc>
          <w:tcPr>
            <w:tcW w:w="4331" w:type="dxa"/>
            <w:noWrap w:val="0"/>
            <w:vAlign w:val="center"/>
          </w:tcPr>
          <w:p w14:paraId="7A0E14B3">
            <w:pPr>
              <w:spacing w:line="360" w:lineRule="auto"/>
              <w:ind w:firstLine="480" w:firstLineChars="200"/>
              <w:jc w:val="center"/>
              <w:rPr>
                <w:rFonts w:ascii="宋体" w:hAnsi="宋体" w:cs="宋体"/>
                <w:bCs/>
                <w:color w:val="auto"/>
                <w:sz w:val="24"/>
                <w:highlight w:val="none"/>
              </w:rPr>
            </w:pPr>
            <w:r>
              <w:rPr>
                <w:rFonts w:hint="eastAsia" w:ascii="宋体" w:hAnsi="宋体" w:cs="宋体"/>
                <w:bCs/>
                <w:color w:val="auto"/>
                <w:sz w:val="24"/>
                <w:highlight w:val="none"/>
              </w:rPr>
              <w:t>4分/次</w:t>
            </w:r>
          </w:p>
        </w:tc>
      </w:tr>
    </w:tbl>
    <w:p w14:paraId="638B6940">
      <w:pPr>
        <w:keepNext w:val="0"/>
        <w:keepLines w:val="0"/>
        <w:pageBreakBefore w:val="0"/>
        <w:widowControl w:val="0"/>
        <w:tabs>
          <w:tab w:val="left" w:pos="2340"/>
        </w:tabs>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②成交供应商存在以下情形之一的，每次按规定分值扣分。</w:t>
      </w:r>
    </w:p>
    <w:p w14:paraId="7F10C77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kern w:val="2"/>
          <w:sz w:val="24"/>
          <w:szCs w:val="22"/>
          <w:highlight w:val="none"/>
          <w:lang w:val="en-US" w:eastAsia="zh-CN" w:bidi="ar-SA"/>
        </w:rPr>
        <w:t>1、</w:t>
      </w:r>
      <w:r>
        <w:rPr>
          <w:rFonts w:hint="eastAsia" w:ascii="宋体" w:hAnsi="宋体" w:cs="宋体"/>
          <w:bCs/>
          <w:color w:val="auto"/>
          <w:sz w:val="24"/>
          <w:highlight w:val="none"/>
        </w:rPr>
        <w:t>成交供应商未按采购人要求在指定地点备勤(包括未按规定时间、地点、车型、人员配备备勤或</w:t>
      </w:r>
      <w:r>
        <w:rPr>
          <w:rFonts w:hint="eastAsia" w:ascii="宋体" w:hAnsi="宋体" w:cs="宋体"/>
          <w:bCs/>
          <w:color w:val="auto"/>
          <w:sz w:val="24"/>
          <w:highlight w:val="none"/>
          <w:lang w:eastAsia="zh-CN"/>
        </w:rPr>
        <w:t>未按指令</w:t>
      </w:r>
      <w:r>
        <w:rPr>
          <w:rFonts w:hint="eastAsia" w:ascii="宋体" w:hAnsi="宋体" w:cs="宋体"/>
          <w:bCs/>
          <w:color w:val="auto"/>
          <w:sz w:val="24"/>
          <w:highlight w:val="none"/>
        </w:rPr>
        <w:t>自行收勤)的，扣</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w:t>
      </w:r>
    </w:p>
    <w:p w14:paraId="71893B98">
      <w:pPr>
        <w:numPr>
          <w:ilvl w:val="0"/>
          <w:numId w:val="0"/>
        </w:num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2、成交供应商</w:t>
      </w:r>
      <w:r>
        <w:rPr>
          <w:rFonts w:hint="eastAsia" w:ascii="宋体" w:hAnsi="宋体" w:cs="宋体"/>
          <w:color w:val="auto"/>
          <w:sz w:val="24"/>
          <w:highlight w:val="none"/>
        </w:rPr>
        <w:t>现场施救、清障作业时工作人员不得少于2人；</w:t>
      </w:r>
      <w:r>
        <w:rPr>
          <w:rFonts w:hint="eastAsia" w:ascii="宋体" w:hAnsi="宋体" w:eastAsia="宋体" w:cs="宋体"/>
          <w:color w:val="auto"/>
          <w:sz w:val="24"/>
          <w:highlight w:val="none"/>
          <w:lang w:eastAsia="zh-CN"/>
        </w:rPr>
        <w:t>作业时作业人员须统一着反光背心；</w:t>
      </w:r>
      <w:r>
        <w:rPr>
          <w:rFonts w:hint="eastAsia" w:ascii="宋体" w:hAnsi="宋体" w:cs="宋体"/>
          <w:bCs/>
          <w:color w:val="auto"/>
          <w:sz w:val="24"/>
          <w:highlight w:val="none"/>
        </w:rPr>
        <w:t>作业车辆配备施救设备（工具）齐全</w:t>
      </w:r>
      <w:r>
        <w:rPr>
          <w:rFonts w:hint="eastAsia" w:ascii="宋体" w:hAnsi="宋体" w:eastAsia="宋体" w:cs="宋体"/>
          <w:bCs/>
          <w:color w:val="auto"/>
          <w:sz w:val="24"/>
          <w:highlight w:val="none"/>
          <w:lang w:eastAsia="zh-CN"/>
        </w:rPr>
        <w:t>（如</w:t>
      </w:r>
      <w:r>
        <w:rPr>
          <w:rFonts w:hint="eastAsia" w:ascii="宋体" w:hAnsi="宋体" w:cs="宋体"/>
          <w:color w:val="auto"/>
          <w:sz w:val="24"/>
          <w:highlight w:val="none"/>
        </w:rPr>
        <w:t>警示筒、拖车辅助轮、清扫工具等</w:t>
      </w:r>
      <w:r>
        <w:rPr>
          <w:rFonts w:hint="eastAsia" w:ascii="宋体" w:hAnsi="宋体" w:eastAsia="宋体" w:cs="宋体"/>
          <w:bCs/>
          <w:color w:val="auto"/>
          <w:sz w:val="24"/>
          <w:highlight w:val="none"/>
          <w:lang w:eastAsia="zh-CN"/>
        </w:rPr>
        <w:t>）</w:t>
      </w:r>
      <w:r>
        <w:rPr>
          <w:rFonts w:hint="eastAsia" w:ascii="宋体" w:hAnsi="宋体" w:cs="宋体"/>
          <w:b w:val="0"/>
          <w:bCs/>
          <w:color w:val="auto"/>
          <w:sz w:val="24"/>
          <w:highlight w:val="none"/>
        </w:rPr>
        <w:t>；</w:t>
      </w:r>
      <w:r>
        <w:rPr>
          <w:rFonts w:hint="eastAsia" w:ascii="宋体" w:hAnsi="宋体" w:eastAsia="宋体" w:cs="宋体"/>
          <w:b w:val="0"/>
          <w:bCs/>
          <w:color w:val="auto"/>
          <w:sz w:val="24"/>
          <w:highlight w:val="none"/>
          <w:lang w:eastAsia="zh-CN"/>
        </w:rPr>
        <w:t>作业时须按规范流程操作；</w:t>
      </w:r>
      <w:r>
        <w:rPr>
          <w:rFonts w:hint="eastAsia" w:ascii="宋体" w:hAnsi="宋体" w:cs="宋体"/>
          <w:b w:val="0"/>
          <w:bCs/>
          <w:color w:val="auto"/>
          <w:sz w:val="24"/>
          <w:highlight w:val="none"/>
        </w:rPr>
        <w:t>做好现场残留物清理和大宗物品移位，</w:t>
      </w:r>
      <w:r>
        <w:rPr>
          <w:rFonts w:hint="eastAsia" w:ascii="宋体" w:hAnsi="宋体" w:eastAsia="宋体" w:cs="宋体"/>
          <w:bCs/>
          <w:color w:val="auto"/>
          <w:sz w:val="24"/>
          <w:highlight w:val="none"/>
          <w:lang w:eastAsia="zh-CN"/>
        </w:rPr>
        <w:t>妥善保管</w:t>
      </w:r>
      <w:r>
        <w:rPr>
          <w:rFonts w:hint="eastAsia" w:ascii="宋体" w:hAnsi="宋体" w:eastAsia="宋体" w:cs="宋体"/>
          <w:b w:val="0"/>
          <w:bCs/>
          <w:color w:val="auto"/>
          <w:sz w:val="24"/>
          <w:highlight w:val="none"/>
          <w:lang w:eastAsia="zh-CN"/>
        </w:rPr>
        <w:t>涉案</w:t>
      </w:r>
      <w:r>
        <w:rPr>
          <w:rFonts w:hint="eastAsia" w:ascii="宋体" w:hAnsi="宋体" w:eastAsia="宋体" w:cs="宋体"/>
          <w:bCs/>
          <w:color w:val="auto"/>
          <w:sz w:val="24"/>
          <w:highlight w:val="none"/>
          <w:lang w:eastAsia="zh-CN"/>
        </w:rPr>
        <w:t>车辆及物品（特别贵重或作证据保存的，需封闭保管以不受外部环境影响），保持场地内环境整洁有序，</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 w:val="0"/>
          <w:bCs/>
          <w:color w:val="auto"/>
          <w:sz w:val="24"/>
          <w:highlight w:val="none"/>
          <w:lang w:eastAsia="zh-CN"/>
        </w:rPr>
        <w:t>并</w:t>
      </w:r>
      <w:r>
        <w:rPr>
          <w:rFonts w:hint="eastAsia" w:ascii="宋体" w:hAnsi="宋体" w:cs="宋体"/>
          <w:bCs/>
          <w:color w:val="auto"/>
          <w:sz w:val="24"/>
          <w:highlight w:val="none"/>
        </w:rPr>
        <w:t>落实好安全防护措施，</w:t>
      </w:r>
      <w:r>
        <w:rPr>
          <w:rFonts w:hint="eastAsia" w:ascii="宋体" w:hAnsi="宋体" w:eastAsia="宋体" w:cs="宋体"/>
          <w:bCs/>
          <w:color w:val="auto"/>
          <w:sz w:val="24"/>
          <w:highlight w:val="none"/>
          <w:lang w:eastAsia="zh-CN"/>
        </w:rPr>
        <w:t>确保持放车单车辆及时从停车场放行。</w:t>
      </w:r>
      <w:r>
        <w:rPr>
          <w:rFonts w:hint="eastAsia" w:ascii="宋体" w:hAnsi="宋体" w:cs="宋体"/>
          <w:bCs/>
          <w:color w:val="auto"/>
          <w:sz w:val="24"/>
          <w:highlight w:val="none"/>
        </w:rPr>
        <w:t>违反规定的发现一次扣</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 xml:space="preserve">分； </w:t>
      </w:r>
    </w:p>
    <w:p w14:paraId="55F2BD75">
      <w:pPr>
        <w:numPr>
          <w:ilvl w:val="0"/>
          <w:numId w:val="0"/>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成交供应商应当做到：按照采购人要求做好台账登记，及时更新数据；按照采购人要求悬挂涉案车辆登记卡</w:t>
      </w:r>
      <w:r>
        <w:rPr>
          <w:rFonts w:hint="eastAsia" w:ascii="宋体" w:hAnsi="宋体" w:eastAsia="宋体" w:cs="宋体"/>
          <w:bCs/>
          <w:color w:val="auto"/>
          <w:sz w:val="24"/>
          <w:highlight w:val="none"/>
          <w:lang w:eastAsia="zh-CN"/>
        </w:rPr>
        <w:t>（包括评估登记卡）</w:t>
      </w:r>
      <w:r>
        <w:rPr>
          <w:rFonts w:hint="eastAsia" w:ascii="宋体" w:hAnsi="宋体" w:eastAsia="宋体" w:cs="宋体"/>
          <w:bCs/>
          <w:color w:val="auto"/>
          <w:sz w:val="24"/>
          <w:highlight w:val="none"/>
        </w:rPr>
        <w:t>；按照采购人要求在系统中入库、出库</w:t>
      </w:r>
      <w:r>
        <w:rPr>
          <w:rFonts w:hint="eastAsia" w:ascii="宋体" w:hAnsi="宋体" w:eastAsia="宋体" w:cs="宋体"/>
          <w:bCs/>
          <w:color w:val="auto"/>
          <w:sz w:val="24"/>
          <w:highlight w:val="none"/>
          <w:lang w:eastAsia="zh-CN"/>
        </w:rPr>
        <w:t>，并按要求拍照上传系统</w:t>
      </w:r>
      <w:r>
        <w:rPr>
          <w:rFonts w:hint="eastAsia" w:ascii="宋体" w:hAnsi="宋体" w:eastAsia="宋体" w:cs="宋体"/>
          <w:bCs/>
          <w:color w:val="auto"/>
          <w:sz w:val="24"/>
          <w:highlight w:val="none"/>
        </w:rPr>
        <w:t>；对采购人下属单位未提供移交凭证办理车辆移交、涉案车辆未能在系统入库导致超时预警风险等情况需在车辆进入停车场1小时内向采购单位管理人员报告；配合采购人开展涉案车辆梳理、评估、拍卖等依法处置活动；对采购人与非采购人扣车区域</w:t>
      </w:r>
      <w:r>
        <w:rPr>
          <w:rFonts w:hint="eastAsia" w:ascii="宋体" w:hAnsi="宋体" w:eastAsia="宋体" w:cs="宋体"/>
          <w:bCs/>
          <w:color w:val="auto"/>
          <w:sz w:val="24"/>
          <w:highlight w:val="none"/>
          <w:lang w:eastAsia="zh-CN"/>
        </w:rPr>
        <w:t>做好</w:t>
      </w:r>
      <w:r>
        <w:rPr>
          <w:rFonts w:hint="eastAsia" w:ascii="宋体" w:hAnsi="宋体" w:eastAsia="宋体" w:cs="宋体"/>
          <w:bCs/>
          <w:color w:val="auto"/>
          <w:sz w:val="24"/>
          <w:highlight w:val="none"/>
        </w:rPr>
        <w:t>区分</w:t>
      </w:r>
      <w:r>
        <w:rPr>
          <w:rFonts w:hint="eastAsia" w:ascii="宋体" w:hAnsi="宋体" w:eastAsia="宋体" w:cs="宋体"/>
          <w:bCs/>
          <w:color w:val="auto"/>
          <w:sz w:val="24"/>
          <w:highlight w:val="none"/>
          <w:lang w:eastAsia="zh-CN"/>
        </w:rPr>
        <w:t>，并</w:t>
      </w:r>
      <w:r>
        <w:rPr>
          <w:rFonts w:hint="eastAsia" w:ascii="宋体" w:hAnsi="宋体" w:eastAsia="宋体" w:cs="宋体"/>
          <w:bCs/>
          <w:color w:val="auto"/>
          <w:sz w:val="24"/>
          <w:highlight w:val="none"/>
        </w:rPr>
        <w:t>对非采购人扣车设置醒目标志指示。未落实上述工作的，由采购人约谈限期整改，扣</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分。</w:t>
      </w:r>
    </w:p>
    <w:p w14:paraId="5B0F6B38">
      <w:pPr>
        <w:numPr>
          <w:ilvl w:val="0"/>
          <w:numId w:val="0"/>
        </w:num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因成交供应商原因造成被施救、清障车辆</w:t>
      </w:r>
      <w:r>
        <w:rPr>
          <w:rFonts w:hint="eastAsia" w:ascii="宋体" w:hAnsi="宋体" w:eastAsia="宋体" w:cs="宋体"/>
          <w:bCs/>
          <w:color w:val="auto"/>
          <w:sz w:val="24"/>
          <w:highlight w:val="none"/>
          <w:lang w:eastAsia="zh-CN"/>
        </w:rPr>
        <w:t>或车上物品</w:t>
      </w:r>
      <w:r>
        <w:rPr>
          <w:rFonts w:hint="eastAsia" w:ascii="宋体" w:hAnsi="宋体" w:eastAsia="宋体" w:cs="宋体"/>
          <w:bCs/>
          <w:color w:val="auto"/>
          <w:sz w:val="24"/>
          <w:highlight w:val="none"/>
        </w:rPr>
        <w:t>损坏</w:t>
      </w:r>
      <w:r>
        <w:rPr>
          <w:rFonts w:hint="eastAsia" w:ascii="宋体" w:hAnsi="宋体" w:cs="宋体"/>
          <w:bCs/>
          <w:color w:val="auto"/>
          <w:sz w:val="24"/>
          <w:highlight w:val="none"/>
          <w:lang w:eastAsia="zh-CN"/>
        </w:rPr>
        <w:t>（或灭失）</w:t>
      </w:r>
      <w:r>
        <w:rPr>
          <w:rFonts w:hint="eastAsia" w:ascii="宋体" w:hAnsi="宋体" w:eastAsia="宋体" w:cs="宋体"/>
          <w:bCs/>
          <w:color w:val="auto"/>
          <w:sz w:val="24"/>
          <w:highlight w:val="none"/>
        </w:rPr>
        <w:t>的，扣</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，并由成交供应商负责对车主给予赔偿。</w:t>
      </w:r>
    </w:p>
    <w:p w14:paraId="6D92000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成交供应商</w:t>
      </w:r>
      <w:r>
        <w:rPr>
          <w:rFonts w:hint="eastAsia" w:ascii="宋体" w:hAnsi="宋体" w:eastAsia="宋体" w:cs="宋体"/>
          <w:bCs/>
          <w:color w:val="auto"/>
          <w:sz w:val="24"/>
          <w:highlight w:val="none"/>
          <w:lang w:val="en-US" w:eastAsia="zh-CN"/>
        </w:rPr>
        <w:t>无正当理由拒绝当事人自行安排的救援车辆、人员进入保管场地消除违法行为或救援车辆、人员进入场地后刁难的；未经当事人同意强制消除违法行为的；</w:t>
      </w:r>
      <w:r>
        <w:rPr>
          <w:rFonts w:hint="eastAsia" w:ascii="宋体" w:hAnsi="宋体" w:eastAsia="宋体" w:cs="宋体"/>
          <w:bCs/>
          <w:color w:val="auto"/>
          <w:sz w:val="24"/>
          <w:highlight w:val="none"/>
          <w:lang w:eastAsia="zh-CN"/>
        </w:rPr>
        <w:t>允许收费但</w:t>
      </w:r>
      <w:r>
        <w:rPr>
          <w:rFonts w:hint="eastAsia" w:ascii="宋体" w:hAnsi="宋体" w:eastAsia="宋体" w:cs="宋体"/>
          <w:bCs/>
          <w:color w:val="auto"/>
          <w:sz w:val="24"/>
          <w:highlight w:val="none"/>
        </w:rPr>
        <w:t>成交供应商</w:t>
      </w:r>
      <w:r>
        <w:rPr>
          <w:rFonts w:hint="eastAsia" w:ascii="宋体" w:hAnsi="宋体" w:eastAsia="宋体" w:cs="宋体"/>
          <w:bCs/>
          <w:color w:val="auto"/>
          <w:sz w:val="24"/>
          <w:highlight w:val="none"/>
          <w:lang w:eastAsia="zh-CN"/>
        </w:rPr>
        <w:t>未按要求办理规范手续（签订协议、提供发票等）的；</w:t>
      </w:r>
      <w:r>
        <w:rPr>
          <w:rFonts w:hint="eastAsia" w:ascii="宋体" w:hAnsi="宋体" w:eastAsia="宋体" w:cs="宋体"/>
          <w:bCs/>
          <w:color w:val="auto"/>
          <w:sz w:val="24"/>
          <w:highlight w:val="none"/>
          <w:lang w:val="en-US" w:eastAsia="zh-CN"/>
        </w:rPr>
        <w:t>为消除违法行为停车场的场内设备（吊、铲、叉车、挖掘机等）操作人员无证作业的。</w:t>
      </w:r>
      <w:r>
        <w:rPr>
          <w:rFonts w:hint="eastAsia" w:ascii="宋体" w:hAnsi="宋体" w:eastAsia="宋体" w:cs="宋体"/>
          <w:bCs/>
          <w:color w:val="auto"/>
          <w:sz w:val="24"/>
          <w:highlight w:val="none"/>
        </w:rPr>
        <w:t>由采购人约谈限期整改，扣</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w:t>
      </w:r>
    </w:p>
    <w:p w14:paraId="4684397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成交供应商应当做到从事施救、清障作业的车辆、人员须事先报采购人备案</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按照停车场服务管理要求，</w:t>
      </w:r>
      <w:r>
        <w:rPr>
          <w:rFonts w:hint="eastAsia" w:ascii="宋体" w:hAnsi="宋体" w:eastAsia="宋体" w:cs="宋体"/>
          <w:color w:val="auto"/>
          <w:sz w:val="24"/>
          <w:highlight w:val="none"/>
        </w:rPr>
        <w:t>公开上墙相关规章制度、具体工作人员及职责、投诉监督电话、收费标准等内容。未按照要求落实的，</w:t>
      </w:r>
      <w:r>
        <w:rPr>
          <w:rFonts w:hint="eastAsia" w:ascii="宋体" w:hAnsi="宋体" w:eastAsia="宋体" w:cs="宋体"/>
          <w:bCs/>
          <w:color w:val="auto"/>
          <w:sz w:val="24"/>
          <w:highlight w:val="none"/>
        </w:rPr>
        <w:t>由采购人约谈限期整改，扣10分。</w:t>
      </w:r>
    </w:p>
    <w:p w14:paraId="64F6E4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成交供应商应当做到：涉案车辆保管场地按照要求配备消防安全设施设备</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场地监控</w:t>
      </w:r>
      <w:r>
        <w:rPr>
          <w:rFonts w:hint="eastAsia" w:ascii="宋体" w:hAnsi="宋体" w:eastAsia="宋体" w:cs="宋体"/>
          <w:bCs/>
          <w:color w:val="auto"/>
          <w:sz w:val="24"/>
          <w:highlight w:val="none"/>
          <w:lang w:eastAsia="zh-CN"/>
        </w:rPr>
        <w:t>设置必须确保</w:t>
      </w:r>
      <w:r>
        <w:rPr>
          <w:rFonts w:hint="eastAsia" w:ascii="宋体" w:hAnsi="宋体" w:eastAsia="宋体" w:cs="宋体"/>
          <w:bCs/>
          <w:color w:val="auto"/>
          <w:sz w:val="24"/>
          <w:highlight w:val="none"/>
        </w:rPr>
        <w:t>全覆盖（监控设备接入采购人管理平台，</w:t>
      </w:r>
      <w:r>
        <w:rPr>
          <w:rFonts w:hint="eastAsia" w:ascii="宋体" w:hAnsi="宋体" w:eastAsia="宋体" w:cs="宋体"/>
          <w:bCs/>
          <w:color w:val="auto"/>
          <w:sz w:val="24"/>
          <w:highlight w:val="none"/>
          <w:lang w:eastAsia="zh-CN"/>
        </w:rPr>
        <w:t>且</w:t>
      </w:r>
      <w:r>
        <w:rPr>
          <w:rFonts w:hint="eastAsia" w:ascii="宋体" w:hAnsi="宋体" w:eastAsia="宋体" w:cs="宋体"/>
          <w:bCs/>
          <w:color w:val="auto"/>
          <w:sz w:val="24"/>
          <w:highlight w:val="none"/>
        </w:rPr>
        <w:t>监控记录保存时长</w:t>
      </w:r>
      <w:r>
        <w:rPr>
          <w:rFonts w:hint="eastAsia" w:ascii="宋体" w:hAnsi="宋体" w:eastAsia="宋体" w:cs="宋体"/>
          <w:bCs/>
          <w:color w:val="auto"/>
          <w:sz w:val="24"/>
          <w:highlight w:val="none"/>
          <w:lang w:eastAsia="zh-CN"/>
        </w:rPr>
        <w:t>须</w:t>
      </w:r>
      <w:r>
        <w:rPr>
          <w:rFonts w:hint="eastAsia" w:ascii="宋体" w:hAnsi="宋体" w:eastAsia="宋体" w:cs="宋体"/>
          <w:bCs/>
          <w:color w:val="auto"/>
          <w:sz w:val="24"/>
          <w:highlight w:val="none"/>
        </w:rPr>
        <w:t>不少于3个月）</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配备现场管理人员</w:t>
      </w:r>
      <w:r>
        <w:rPr>
          <w:rFonts w:hint="eastAsia" w:ascii="宋体" w:hAnsi="宋体" w:eastAsia="宋体" w:cs="宋体"/>
          <w:bCs/>
          <w:color w:val="auto"/>
          <w:sz w:val="24"/>
          <w:highlight w:val="none"/>
          <w:lang w:eastAsia="zh-CN"/>
        </w:rPr>
        <w:t>做好每天</w:t>
      </w:r>
      <w:r>
        <w:rPr>
          <w:rFonts w:hint="eastAsia" w:ascii="宋体" w:hAnsi="宋体" w:eastAsia="宋体" w:cs="宋体"/>
          <w:bCs/>
          <w:color w:val="auto"/>
          <w:sz w:val="24"/>
          <w:highlight w:val="none"/>
          <w:lang w:val="en-US" w:eastAsia="zh-CN"/>
        </w:rPr>
        <w:t>24小时</w:t>
      </w:r>
      <w:r>
        <w:rPr>
          <w:rFonts w:hint="eastAsia" w:ascii="宋体" w:hAnsi="宋体" w:eastAsia="宋体" w:cs="宋体"/>
          <w:bCs/>
          <w:color w:val="auto"/>
          <w:sz w:val="24"/>
          <w:highlight w:val="none"/>
          <w:lang w:eastAsia="zh-CN"/>
        </w:rPr>
        <w:t>安全值守巡检；每辆作业车辆须安装卫星定位装置</w:t>
      </w:r>
      <w:r>
        <w:rPr>
          <w:rFonts w:hint="eastAsia" w:ascii="宋体" w:hAnsi="宋体" w:eastAsia="宋体" w:cs="宋体"/>
          <w:bCs/>
          <w:color w:val="auto"/>
          <w:sz w:val="24"/>
          <w:highlight w:val="none"/>
        </w:rPr>
        <w:t>（接入采购人管理平台）</w:t>
      </w:r>
      <w:r>
        <w:rPr>
          <w:rFonts w:hint="eastAsia" w:ascii="宋体" w:hAnsi="宋体" w:eastAsia="宋体" w:cs="宋体"/>
          <w:bCs/>
          <w:color w:val="auto"/>
          <w:sz w:val="24"/>
          <w:highlight w:val="none"/>
          <w:lang w:eastAsia="zh-CN"/>
        </w:rPr>
        <w:t>和行驶记录仪，</w:t>
      </w:r>
      <w:r>
        <w:rPr>
          <w:rFonts w:hint="eastAsia" w:ascii="宋体" w:hAnsi="宋体" w:eastAsia="宋体" w:cs="宋体"/>
          <w:b w:val="0"/>
          <w:bCs/>
          <w:color w:val="auto"/>
          <w:sz w:val="24"/>
          <w:highlight w:val="none"/>
          <w:lang w:eastAsia="zh-CN"/>
        </w:rPr>
        <w:t>确保行车轨迹可溯源</w:t>
      </w:r>
      <w:r>
        <w:rPr>
          <w:rFonts w:hint="eastAsia" w:ascii="宋体" w:hAnsi="宋体" w:eastAsia="宋体" w:cs="宋体"/>
          <w:b w:val="0"/>
          <w:bCs/>
          <w:color w:val="auto"/>
          <w:sz w:val="24"/>
          <w:highlight w:val="none"/>
        </w:rPr>
        <w:t>。未按照要求落实的，由采购人约谈限期整改，扣15分</w:t>
      </w:r>
      <w:r>
        <w:rPr>
          <w:rFonts w:hint="eastAsia" w:ascii="宋体" w:hAnsi="宋体" w:eastAsia="宋体" w:cs="宋体"/>
          <w:b w:val="0"/>
          <w:bCs/>
          <w:color w:val="auto"/>
          <w:sz w:val="24"/>
          <w:highlight w:val="none"/>
          <w:lang w:eastAsia="zh-CN"/>
        </w:rPr>
        <w:t>。</w:t>
      </w:r>
    </w:p>
    <w:p w14:paraId="6AF9100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8、</w:t>
      </w:r>
      <w:r>
        <w:rPr>
          <w:rFonts w:hint="eastAsia" w:ascii="宋体" w:hAnsi="宋体" w:eastAsia="宋体" w:cs="宋体"/>
          <w:b w:val="0"/>
          <w:bCs/>
          <w:color w:val="auto"/>
          <w:sz w:val="24"/>
          <w:highlight w:val="none"/>
          <w:lang w:eastAsia="zh-CN"/>
        </w:rPr>
        <w:t>日常检查中发现成交供应商投入作业人员或作业车辆与备案情况不符的；缺少作业人员或</w:t>
      </w:r>
      <w:r>
        <w:rPr>
          <w:rFonts w:hint="eastAsia" w:ascii="宋体" w:hAnsi="宋体" w:eastAsia="宋体" w:cs="宋体"/>
          <w:b w:val="0"/>
          <w:bCs/>
          <w:color w:val="auto"/>
          <w:sz w:val="24"/>
          <w:highlight w:val="none"/>
          <w:lang w:val="en-US" w:eastAsia="zh-CN"/>
        </w:rPr>
        <w:t>作业车辆</w:t>
      </w:r>
      <w:r>
        <w:rPr>
          <w:rFonts w:hint="eastAsia" w:ascii="宋体" w:hAnsi="宋体" w:eastAsia="宋体" w:cs="宋体"/>
          <w:b w:val="0"/>
          <w:bCs/>
          <w:color w:val="auto"/>
          <w:sz w:val="24"/>
          <w:highlight w:val="none"/>
          <w:lang w:eastAsia="zh-CN"/>
        </w:rPr>
        <w:t>配置</w:t>
      </w:r>
      <w:r>
        <w:rPr>
          <w:rFonts w:hint="eastAsia" w:ascii="宋体" w:hAnsi="宋体" w:eastAsia="宋体" w:cs="宋体"/>
          <w:b w:val="0"/>
          <w:bCs/>
          <w:color w:val="auto"/>
          <w:sz w:val="24"/>
          <w:highlight w:val="none"/>
          <w:lang w:val="en-US" w:eastAsia="zh-CN"/>
        </w:rPr>
        <w:t>的；因成交供应商不作为原因，造成保管场地监控、作业车辆卫星定位监控断网，或造成上述接入采购人平台监控断网的。</w:t>
      </w:r>
      <w:r>
        <w:rPr>
          <w:rFonts w:hint="eastAsia" w:ascii="宋体" w:hAnsi="宋体" w:eastAsia="宋体" w:cs="宋体"/>
          <w:b w:val="0"/>
          <w:bCs/>
          <w:color w:val="auto"/>
          <w:sz w:val="24"/>
          <w:highlight w:val="none"/>
        </w:rPr>
        <w:t>由采购人约谈限期整改，扣</w:t>
      </w:r>
      <w:r>
        <w:rPr>
          <w:rFonts w:hint="eastAsia" w:ascii="宋体" w:hAnsi="宋体" w:eastAsia="宋体" w:cs="宋体"/>
          <w:b w:val="0"/>
          <w:bCs/>
          <w:color w:val="auto"/>
          <w:sz w:val="24"/>
          <w:highlight w:val="none"/>
          <w:lang w:val="en-US" w:eastAsia="zh-CN"/>
        </w:rPr>
        <w:t>20</w:t>
      </w:r>
      <w:r>
        <w:rPr>
          <w:rFonts w:hint="eastAsia" w:ascii="宋体" w:hAnsi="宋体" w:eastAsia="宋体" w:cs="宋体"/>
          <w:b w:val="0"/>
          <w:bCs/>
          <w:color w:val="auto"/>
          <w:sz w:val="24"/>
          <w:highlight w:val="none"/>
        </w:rPr>
        <w:t>分。</w:t>
      </w:r>
    </w:p>
    <w:p w14:paraId="09AE403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kern w:val="2"/>
          <w:sz w:val="24"/>
          <w:szCs w:val="22"/>
          <w:highlight w:val="none"/>
          <w:lang w:val="en-US" w:eastAsia="zh-CN" w:bidi="ar-SA"/>
        </w:rPr>
        <w:t>9、</w:t>
      </w:r>
      <w:r>
        <w:rPr>
          <w:rFonts w:hint="eastAsia" w:ascii="宋体" w:hAnsi="宋体" w:eastAsia="宋体" w:cs="宋体"/>
          <w:b w:val="0"/>
          <w:bCs/>
          <w:color w:val="auto"/>
          <w:sz w:val="24"/>
          <w:highlight w:val="none"/>
          <w:lang w:val="en-US" w:eastAsia="zh-CN"/>
        </w:rPr>
        <w:t>以上涉及限期整改项目中，成交供应商未按采购人要求实施整改的，每延迟一天在本项目扣分基础上加扣1分，直至整改至符合采购人要求为止。</w:t>
      </w:r>
    </w:p>
    <w:p w14:paraId="5C6EA4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kern w:val="2"/>
          <w:sz w:val="24"/>
          <w:szCs w:val="22"/>
          <w:highlight w:val="none"/>
          <w:lang w:val="en-US" w:eastAsia="zh-CN" w:bidi="ar-SA"/>
        </w:rPr>
        <w:t>10、</w:t>
      </w:r>
      <w:r>
        <w:rPr>
          <w:rFonts w:hint="eastAsia" w:ascii="宋体" w:hAnsi="宋体" w:eastAsia="宋体" w:cs="宋体"/>
          <w:b w:val="0"/>
          <w:bCs/>
          <w:color w:val="auto"/>
          <w:sz w:val="24"/>
          <w:highlight w:val="none"/>
        </w:rPr>
        <w:t>成交供应商有其他不规范行为的，</w:t>
      </w:r>
      <w:r>
        <w:rPr>
          <w:rFonts w:hint="eastAsia" w:ascii="宋体" w:hAnsi="宋体" w:eastAsia="宋体" w:cs="宋体"/>
          <w:b w:val="0"/>
          <w:bCs/>
          <w:color w:val="auto"/>
          <w:sz w:val="24"/>
          <w:highlight w:val="none"/>
          <w:lang w:eastAsia="zh-CN"/>
        </w:rPr>
        <w:t>视情给予扣分。</w:t>
      </w:r>
    </w:p>
    <w:p w14:paraId="6F7F13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kern w:val="2"/>
          <w:sz w:val="24"/>
          <w:szCs w:val="22"/>
          <w:highlight w:val="none"/>
          <w:lang w:val="en-US" w:eastAsia="zh-CN" w:bidi="ar-SA"/>
        </w:rPr>
        <w:t>11、</w:t>
      </w:r>
      <w:r>
        <w:rPr>
          <w:rFonts w:hint="eastAsia" w:ascii="宋体" w:hAnsi="宋体" w:eastAsia="宋体" w:cs="宋体"/>
          <w:b w:val="0"/>
          <w:bCs/>
          <w:color w:val="auto"/>
          <w:sz w:val="24"/>
          <w:highlight w:val="none"/>
        </w:rPr>
        <w:t>成交供应商不得存在：在财物保管中发生盗窃或置换涉案车辆零配件</w:t>
      </w:r>
      <w:r>
        <w:rPr>
          <w:rFonts w:hint="eastAsia" w:ascii="宋体" w:hAnsi="宋体" w:eastAsia="宋体" w:cs="宋体"/>
          <w:b w:val="0"/>
          <w:bCs/>
          <w:color w:val="auto"/>
          <w:sz w:val="24"/>
          <w:highlight w:val="none"/>
          <w:lang w:eastAsia="zh-CN"/>
        </w:rPr>
        <w:t>（电瓶、备胎等）</w:t>
      </w:r>
      <w:r>
        <w:rPr>
          <w:rFonts w:hint="eastAsia" w:ascii="宋体" w:hAnsi="宋体" w:eastAsia="宋体" w:cs="宋体"/>
          <w:b w:val="0"/>
          <w:bCs/>
          <w:color w:val="auto"/>
          <w:sz w:val="24"/>
          <w:highlight w:val="none"/>
        </w:rPr>
        <w:t>或车上物品的；私自使用被</w:t>
      </w:r>
      <w:r>
        <w:rPr>
          <w:rFonts w:hint="eastAsia" w:ascii="宋体" w:hAnsi="宋体" w:eastAsia="宋体" w:cs="宋体"/>
          <w:b w:val="0"/>
          <w:bCs/>
          <w:color w:val="auto"/>
          <w:sz w:val="24"/>
          <w:highlight w:val="none"/>
          <w:lang w:eastAsia="zh-CN"/>
        </w:rPr>
        <w:t>查扣涉案车辆</w:t>
      </w:r>
      <w:r>
        <w:rPr>
          <w:rFonts w:hint="eastAsia" w:ascii="宋体" w:hAnsi="宋体" w:eastAsia="宋体" w:cs="宋体"/>
          <w:b w:val="0"/>
          <w:bCs/>
          <w:color w:val="auto"/>
          <w:sz w:val="24"/>
          <w:highlight w:val="none"/>
        </w:rPr>
        <w:t>或车上物品的；在规费执行中违规收费的</w:t>
      </w:r>
      <w:r>
        <w:rPr>
          <w:rFonts w:hint="eastAsia" w:ascii="宋体" w:hAnsi="宋体" w:eastAsia="宋体" w:cs="宋体"/>
          <w:b w:val="0"/>
          <w:bCs/>
          <w:color w:val="auto"/>
          <w:sz w:val="24"/>
          <w:highlight w:val="none"/>
          <w:lang w:eastAsia="zh-CN"/>
        </w:rPr>
        <w:t>或乱收费的</w:t>
      </w:r>
      <w:r>
        <w:rPr>
          <w:rFonts w:hint="eastAsia" w:ascii="宋体" w:hAnsi="宋体" w:eastAsia="宋体" w:cs="宋体"/>
          <w:b w:val="0"/>
          <w:bCs/>
          <w:color w:val="auto"/>
          <w:sz w:val="24"/>
          <w:highlight w:val="none"/>
        </w:rPr>
        <w:t>；未采取有效预防措施，导致施救现场发生交通事故的，或造成涉案车辆失火引起火灾的；私自放行涉案车辆,或擅自将涉案车辆转移出停车场范围的；有其他严重后果影响的。有上述情形之一的，由采购人约谈限期整改</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每次扣</w:t>
      </w:r>
      <w:r>
        <w:rPr>
          <w:rFonts w:hint="eastAsia" w:ascii="宋体" w:hAnsi="宋体" w:eastAsia="宋体" w:cs="宋体"/>
          <w:b w:val="0"/>
          <w:bCs/>
          <w:color w:val="auto"/>
          <w:sz w:val="24"/>
          <w:highlight w:val="none"/>
          <w:lang w:val="en-US" w:eastAsia="zh-CN"/>
        </w:rPr>
        <w:t>50</w:t>
      </w:r>
      <w:r>
        <w:rPr>
          <w:rFonts w:hint="eastAsia" w:ascii="宋体" w:hAnsi="宋体" w:eastAsia="宋体" w:cs="宋体"/>
          <w:b w:val="0"/>
          <w:bCs/>
          <w:color w:val="auto"/>
          <w:sz w:val="24"/>
          <w:highlight w:val="none"/>
        </w:rPr>
        <w:t>分</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违反相关法规的追究成交供应商相应的法律责任</w:t>
      </w:r>
      <w:r>
        <w:rPr>
          <w:rFonts w:hint="eastAsia" w:ascii="宋体" w:hAnsi="宋体" w:eastAsia="宋体" w:cs="宋体"/>
          <w:b w:val="0"/>
          <w:bCs/>
          <w:color w:val="auto"/>
          <w:sz w:val="24"/>
          <w:highlight w:val="none"/>
          <w:lang w:eastAsia="zh-CN"/>
        </w:rPr>
        <w:t>。</w:t>
      </w:r>
    </w:p>
    <w:p w14:paraId="4B9959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 w:val="0"/>
          <w:bCs/>
          <w:color w:val="auto"/>
          <w:sz w:val="24"/>
          <w:highlight w:val="none"/>
          <w:lang w:eastAsia="zh-CN"/>
        </w:rPr>
        <w:t>因上述违规行为，造成</w:t>
      </w:r>
      <w:r>
        <w:rPr>
          <w:rFonts w:hint="eastAsia" w:ascii="宋体" w:hAnsi="宋体" w:eastAsia="宋体" w:cs="宋体"/>
          <w:b w:val="0"/>
          <w:bCs/>
          <w:color w:val="auto"/>
          <w:sz w:val="24"/>
          <w:highlight w:val="none"/>
        </w:rPr>
        <w:t>被当事人</w:t>
      </w:r>
      <w:r>
        <w:rPr>
          <w:rFonts w:hint="eastAsia" w:ascii="宋体" w:hAnsi="宋体" w:eastAsia="宋体" w:cs="宋体"/>
          <w:b w:val="0"/>
          <w:bCs/>
          <w:color w:val="auto"/>
          <w:sz w:val="24"/>
          <w:highlight w:val="none"/>
          <w:lang w:eastAsia="zh-CN"/>
        </w:rPr>
        <w:t>或群众</w:t>
      </w:r>
      <w:r>
        <w:rPr>
          <w:rFonts w:hint="eastAsia" w:ascii="宋体" w:hAnsi="宋体" w:eastAsia="宋体" w:cs="宋体"/>
          <w:b w:val="0"/>
          <w:bCs/>
          <w:color w:val="auto"/>
          <w:sz w:val="24"/>
          <w:highlight w:val="none"/>
        </w:rPr>
        <w:t>投诉信访、</w:t>
      </w:r>
      <w:r>
        <w:rPr>
          <w:rFonts w:hint="eastAsia" w:ascii="宋体" w:hAnsi="宋体" w:eastAsia="宋体" w:cs="宋体"/>
          <w:b w:val="0"/>
          <w:bCs/>
          <w:color w:val="auto"/>
          <w:sz w:val="24"/>
          <w:highlight w:val="none"/>
          <w:lang w:eastAsia="zh-CN"/>
        </w:rPr>
        <w:t>举报、</w:t>
      </w:r>
      <w:r>
        <w:rPr>
          <w:rFonts w:hint="eastAsia" w:ascii="宋体" w:hAnsi="宋体" w:eastAsia="宋体" w:cs="宋体"/>
          <w:b w:val="0"/>
          <w:bCs/>
          <w:color w:val="auto"/>
          <w:sz w:val="24"/>
          <w:highlight w:val="none"/>
        </w:rPr>
        <w:t>上级点名批评、媒</w:t>
      </w:r>
      <w:r>
        <w:rPr>
          <w:rFonts w:hint="eastAsia" w:ascii="宋体" w:hAnsi="宋体" w:eastAsia="宋体" w:cs="宋体"/>
          <w:color w:val="auto"/>
          <w:sz w:val="24"/>
          <w:highlight w:val="none"/>
        </w:rPr>
        <w:t>体曝光</w:t>
      </w:r>
      <w:r>
        <w:rPr>
          <w:rFonts w:hint="eastAsia" w:ascii="宋体" w:hAnsi="宋体" w:eastAsia="宋体" w:cs="宋体"/>
          <w:color w:val="auto"/>
          <w:sz w:val="24"/>
          <w:highlight w:val="none"/>
          <w:lang w:eastAsia="zh-CN"/>
        </w:rPr>
        <w:t>等</w:t>
      </w:r>
      <w:r>
        <w:rPr>
          <w:rFonts w:hint="eastAsia" w:ascii="宋体" w:hAnsi="宋体" w:eastAsia="宋体" w:cs="宋体"/>
          <w:bCs/>
          <w:color w:val="auto"/>
          <w:sz w:val="24"/>
          <w:highlight w:val="none"/>
        </w:rPr>
        <w:t>严重后果或影响的，</w:t>
      </w:r>
      <w:r>
        <w:rPr>
          <w:rFonts w:hint="eastAsia" w:ascii="宋体" w:hAnsi="宋体" w:eastAsia="宋体" w:cs="宋体"/>
          <w:color w:val="auto"/>
          <w:sz w:val="24"/>
          <w:highlight w:val="none"/>
        </w:rPr>
        <w:t>每次扣100分</w:t>
      </w:r>
      <w:r>
        <w:rPr>
          <w:rFonts w:hint="eastAsia" w:ascii="宋体" w:hAnsi="宋体" w:eastAsia="宋体" w:cs="宋体"/>
          <w:color w:val="auto"/>
          <w:sz w:val="24"/>
          <w:highlight w:val="none"/>
          <w:lang w:eastAsia="zh-CN"/>
        </w:rPr>
        <w:t>，</w:t>
      </w:r>
      <w:r>
        <w:rPr>
          <w:rFonts w:hint="eastAsia" w:ascii="宋体" w:hAnsi="宋体" w:eastAsia="宋体" w:cs="宋体"/>
          <w:bCs/>
          <w:color w:val="auto"/>
          <w:sz w:val="24"/>
          <w:highlight w:val="none"/>
        </w:rPr>
        <w:t>采购人有权单方面终止合同。</w:t>
      </w:r>
    </w:p>
    <w:p w14:paraId="75D819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12、被涉案当事人</w:t>
      </w:r>
      <w:r>
        <w:rPr>
          <w:rFonts w:hint="eastAsia" w:ascii="宋体" w:hAnsi="宋体" w:eastAsia="宋体" w:cs="宋体"/>
          <w:bCs/>
          <w:color w:val="auto"/>
          <w:sz w:val="24"/>
          <w:highlight w:val="none"/>
          <w:lang w:eastAsia="zh-CN"/>
        </w:rPr>
        <w:t>或群众</w:t>
      </w:r>
      <w:r>
        <w:rPr>
          <w:rFonts w:hint="eastAsia" w:ascii="宋体" w:hAnsi="宋体" w:eastAsia="宋体" w:cs="宋体"/>
          <w:bCs/>
          <w:color w:val="auto"/>
          <w:sz w:val="24"/>
          <w:highlight w:val="none"/>
          <w:lang w:val="en-US" w:eastAsia="zh-CN"/>
        </w:rPr>
        <w:t>投诉的，每次扣2分，投诉查证属实的，加倍扣分。</w:t>
      </w:r>
    </w:p>
    <w:p w14:paraId="2E4398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成交供应商提供的服务场所，因场地条件发生变化或管理不到位，造成不能满足采购人服务需求的，成交供应商应在一周内提出解决方案，并在一个月内完成方案实施。超出一个月未实施的，扣除当月20%服务费；因此造成该标项整体服务无法运转的，采购人可单方面终止合同，扣除成交供应商当月服务费，并没收合同履约保证金</w:t>
      </w:r>
      <w:r>
        <w:rPr>
          <w:rFonts w:hint="eastAsia" w:ascii="宋体" w:hAnsi="宋体" w:eastAsia="宋体" w:cs="宋体"/>
          <w:color w:val="auto"/>
          <w:sz w:val="24"/>
          <w:highlight w:val="none"/>
          <w:lang w:eastAsia="zh-CN"/>
        </w:rPr>
        <w:t>，并重新组织采购，在此情形下，该标段</w:t>
      </w:r>
      <w:r>
        <w:rPr>
          <w:rFonts w:hint="eastAsia" w:ascii="宋体" w:hAnsi="宋体" w:eastAsia="宋体" w:cs="宋体"/>
          <w:color w:val="auto"/>
          <w:sz w:val="24"/>
          <w:highlight w:val="none"/>
        </w:rPr>
        <w:t>成交供应商</w:t>
      </w:r>
      <w:r>
        <w:rPr>
          <w:rFonts w:hint="eastAsia" w:ascii="宋体" w:hAnsi="宋体" w:eastAsia="宋体" w:cs="宋体"/>
          <w:color w:val="auto"/>
          <w:sz w:val="24"/>
          <w:highlight w:val="none"/>
          <w:lang w:eastAsia="zh-CN"/>
        </w:rPr>
        <w:t>须承担</w:t>
      </w:r>
      <w:r>
        <w:rPr>
          <w:rFonts w:hint="eastAsia" w:ascii="宋体" w:hAnsi="宋体" w:eastAsia="宋体" w:cs="宋体"/>
          <w:color w:val="auto"/>
          <w:sz w:val="24"/>
          <w:highlight w:val="none"/>
        </w:rPr>
        <w:t>由此带来的全部损失赔偿</w:t>
      </w:r>
      <w:r>
        <w:rPr>
          <w:rFonts w:hint="eastAsia" w:ascii="宋体" w:hAnsi="宋体" w:eastAsia="宋体" w:cs="宋体"/>
          <w:color w:val="auto"/>
          <w:sz w:val="24"/>
          <w:highlight w:val="none"/>
          <w:lang w:eastAsia="zh-CN"/>
        </w:rPr>
        <w:t>（如：重新组织采购期间车辆拖移停放管理服务费的额外支出等）。</w:t>
      </w:r>
    </w:p>
    <w:p w14:paraId="44B1B05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cs="宋体"/>
          <w:b/>
          <w:bCs/>
          <w:color w:val="auto"/>
          <w:sz w:val="24"/>
          <w:highlight w:val="none"/>
        </w:rPr>
      </w:pPr>
      <w:r>
        <w:rPr>
          <w:rFonts w:hint="eastAsia" w:ascii="宋体" w:hAnsi="宋体" w:cs="宋体"/>
          <w:b/>
          <w:color w:val="auto"/>
          <w:sz w:val="28"/>
          <w:szCs w:val="28"/>
          <w:highlight w:val="none"/>
          <w:lang w:val="en-US" w:eastAsia="zh-CN"/>
        </w:rPr>
        <w:t>六</w:t>
      </w:r>
      <w:r>
        <w:rPr>
          <w:rFonts w:hint="eastAsia" w:ascii="宋体" w:hAnsi="宋体" w:cs="宋体"/>
          <w:b/>
          <w:color w:val="auto"/>
          <w:sz w:val="28"/>
          <w:szCs w:val="28"/>
          <w:highlight w:val="none"/>
        </w:rPr>
        <w:t>)</w:t>
      </w:r>
      <w:r>
        <w:rPr>
          <w:rFonts w:hint="eastAsia" w:ascii="宋体" w:hAnsi="宋体" w:cs="宋体"/>
          <w:b/>
          <w:bCs/>
          <w:color w:val="auto"/>
          <w:sz w:val="28"/>
          <w:szCs w:val="28"/>
          <w:highlight w:val="none"/>
        </w:rPr>
        <w:t>原合同现有停车量汇总表</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4"/>
          <w:highlight w:val="none"/>
          <w:lang w:val="en-US" w:eastAsia="zh-CN"/>
        </w:rPr>
        <w:t xml:space="preserve"> </w:t>
      </w:r>
    </w:p>
    <w:p w14:paraId="7A2FA9C4">
      <w:pPr>
        <w:keepNext w:val="0"/>
        <w:keepLines w:val="0"/>
        <w:pageBreakBefore w:val="0"/>
        <w:widowControl w:val="0"/>
        <w:tabs>
          <w:tab w:val="left" w:pos="2340"/>
        </w:tabs>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截止至202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lang w:val="en-US" w:eastAsia="zh-CN"/>
        </w:rPr>
        <w:t>31</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eastAsia="zh-CN"/>
        </w:rPr>
        <w:t>统计</w:t>
      </w:r>
      <w:r>
        <w:rPr>
          <w:rFonts w:hint="eastAsia" w:ascii="宋体" w:hAnsi="宋体" w:eastAsia="宋体" w:cs="宋体"/>
          <w:bCs/>
          <w:color w:val="auto"/>
          <w:sz w:val="24"/>
          <w:szCs w:val="24"/>
          <w:highlight w:val="none"/>
        </w:rPr>
        <w:t xml:space="preserve">，仅做参考，请充分考虑在报价中。  </w:t>
      </w:r>
    </w:p>
    <w:tbl>
      <w:tblPr>
        <w:tblStyle w:val="62"/>
        <w:tblW w:w="9408" w:type="dxa"/>
        <w:tblInd w:w="0" w:type="dxa"/>
        <w:shd w:val="clear" w:color="auto" w:fill="auto"/>
        <w:tblLayout w:type="autofit"/>
        <w:tblCellMar>
          <w:top w:w="0" w:type="dxa"/>
          <w:left w:w="0" w:type="dxa"/>
          <w:bottom w:w="0" w:type="dxa"/>
          <w:right w:w="0" w:type="dxa"/>
        </w:tblCellMar>
      </w:tblPr>
      <w:tblGrid>
        <w:gridCol w:w="661"/>
        <w:gridCol w:w="1986"/>
        <w:gridCol w:w="1275"/>
        <w:gridCol w:w="1260"/>
        <w:gridCol w:w="1395"/>
        <w:gridCol w:w="1668"/>
        <w:gridCol w:w="1163"/>
      </w:tblGrid>
      <w:tr w14:paraId="6A80F9DF">
        <w:tblPrEx>
          <w:shd w:val="clear" w:color="auto" w:fill="auto"/>
          <w:tblCellMar>
            <w:top w:w="0" w:type="dxa"/>
            <w:left w:w="0" w:type="dxa"/>
            <w:bottom w:w="0" w:type="dxa"/>
            <w:right w:w="0" w:type="dxa"/>
          </w:tblCellMar>
        </w:tblPrEx>
        <w:trPr>
          <w:trHeight w:val="540"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41229">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标项名称</w:t>
            </w:r>
          </w:p>
        </w:tc>
        <w:tc>
          <w:tcPr>
            <w:tcW w:w="19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65950">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停车地点</w:t>
            </w:r>
          </w:p>
        </w:tc>
        <w:tc>
          <w:tcPr>
            <w:tcW w:w="55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51CE1">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各   类   车   辆   停   车   数</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1B36A">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合计（辆）</w:t>
            </w:r>
          </w:p>
        </w:tc>
      </w:tr>
      <w:tr w14:paraId="415B922E">
        <w:tblPrEx>
          <w:shd w:val="clear" w:color="auto" w:fill="auto"/>
          <w:tblCellMar>
            <w:top w:w="0" w:type="dxa"/>
            <w:left w:w="0" w:type="dxa"/>
            <w:bottom w:w="0" w:type="dxa"/>
            <w:right w:w="0" w:type="dxa"/>
          </w:tblCellMar>
        </w:tblPrEx>
        <w:trPr>
          <w:trHeight w:val="81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1A6C9">
            <w:pPr>
              <w:jc w:val="center"/>
              <w:rPr>
                <w:rFonts w:hint="eastAsia" w:ascii="宋体" w:hAnsi="宋体" w:eastAsia="宋体" w:cs="宋体"/>
                <w:b/>
                <w:i w:val="0"/>
                <w:color w:val="auto"/>
                <w:sz w:val="24"/>
                <w:szCs w:val="24"/>
                <w:highlight w:val="none"/>
                <w:u w:val="none"/>
              </w:rPr>
            </w:pPr>
          </w:p>
        </w:tc>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ED70C">
            <w:pPr>
              <w:jc w:val="center"/>
              <w:rPr>
                <w:rFonts w:hint="eastAsia" w:ascii="宋体" w:hAnsi="宋体" w:eastAsia="宋体" w:cs="宋体"/>
                <w:b/>
                <w:i w:val="0"/>
                <w:color w:val="auto"/>
                <w:sz w:val="24"/>
                <w:szCs w:val="24"/>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B8BD6">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大型车（辆）</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D5789">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小型车（辆）</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3056E">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拖拉机及农用车（辆）</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91491">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电动车及二三轮摩托车（辆）</w:t>
            </w: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B5E90">
            <w:pPr>
              <w:jc w:val="center"/>
              <w:rPr>
                <w:rFonts w:hint="eastAsia" w:ascii="宋体" w:hAnsi="宋体" w:eastAsia="宋体" w:cs="宋体"/>
                <w:b/>
                <w:i w:val="0"/>
                <w:color w:val="auto"/>
                <w:sz w:val="24"/>
                <w:szCs w:val="24"/>
                <w:highlight w:val="none"/>
                <w:u w:val="none"/>
              </w:rPr>
            </w:pPr>
          </w:p>
        </w:tc>
      </w:tr>
      <w:tr w14:paraId="54A236DE">
        <w:tblPrEx>
          <w:shd w:val="clear" w:color="auto" w:fill="auto"/>
          <w:tblCellMar>
            <w:top w:w="0" w:type="dxa"/>
            <w:left w:w="0" w:type="dxa"/>
            <w:bottom w:w="0" w:type="dxa"/>
            <w:right w:w="0" w:type="dxa"/>
          </w:tblCellMar>
        </w:tblPrEx>
        <w:trPr>
          <w:trHeight w:val="410"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461CF">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bidi="ar"/>
              </w:rPr>
              <w:t>标项</w:t>
            </w:r>
            <w:r>
              <w:rPr>
                <w:rFonts w:hint="eastAsia" w:ascii="宋体" w:hAnsi="宋体" w:cs="宋体"/>
                <w:i w:val="0"/>
                <w:color w:val="auto"/>
                <w:kern w:val="0"/>
                <w:sz w:val="24"/>
                <w:szCs w:val="24"/>
                <w:highlight w:val="none"/>
                <w:u w:val="none"/>
                <w:lang w:val="en-US" w:eastAsia="zh-CN" w:bidi="ar"/>
              </w:rPr>
              <w:t>一</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B1CF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宁围街道二桥村老年活动室旁</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51A2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9732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6C81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E14F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1308</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C72C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1361</w:t>
            </w:r>
          </w:p>
        </w:tc>
      </w:tr>
      <w:tr w14:paraId="6E43BFCF">
        <w:tblPrEx>
          <w:shd w:val="clear" w:color="auto" w:fill="auto"/>
          <w:tblCellMar>
            <w:top w:w="0" w:type="dxa"/>
            <w:left w:w="0" w:type="dxa"/>
            <w:bottom w:w="0" w:type="dxa"/>
            <w:right w:w="0" w:type="dxa"/>
          </w:tblCellMar>
        </w:tblPrEx>
        <w:trPr>
          <w:trHeight w:val="41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6D9C1">
            <w:pPr>
              <w:jc w:val="center"/>
              <w:rPr>
                <w:rFonts w:hint="eastAsia" w:ascii="宋体" w:hAnsi="宋体" w:eastAsia="宋体" w:cs="宋体"/>
                <w:i w:val="0"/>
                <w:color w:val="auto"/>
                <w:sz w:val="24"/>
                <w:szCs w:val="24"/>
                <w:highlight w:val="none"/>
                <w:u w:val="none"/>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0864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宁围街道二桥村（鸿达路）</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8AD5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CD95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23B1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0</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685C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96</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B5B4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155</w:t>
            </w:r>
          </w:p>
        </w:tc>
      </w:tr>
      <w:tr w14:paraId="6AEB71E1">
        <w:tblPrEx>
          <w:shd w:val="clear" w:color="auto" w:fill="auto"/>
          <w:tblCellMar>
            <w:top w:w="0" w:type="dxa"/>
            <w:left w:w="0" w:type="dxa"/>
            <w:bottom w:w="0" w:type="dxa"/>
            <w:right w:w="0" w:type="dxa"/>
          </w:tblCellMar>
        </w:tblPrEx>
        <w:trPr>
          <w:trHeight w:val="41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B955C">
            <w:pPr>
              <w:jc w:val="center"/>
              <w:rPr>
                <w:rFonts w:hint="eastAsia" w:ascii="宋体" w:hAnsi="宋体" w:eastAsia="宋体" w:cs="宋体"/>
                <w:i w:val="0"/>
                <w:color w:val="auto"/>
                <w:sz w:val="24"/>
                <w:szCs w:val="24"/>
                <w:highlight w:val="none"/>
                <w:u w:val="none"/>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3690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所前镇城南村通惠南路1800号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A3A1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56E6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66</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4EF9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0</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41D8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479</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8186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545</w:t>
            </w:r>
          </w:p>
        </w:tc>
      </w:tr>
      <w:tr w14:paraId="3D7FC568">
        <w:tblPrEx>
          <w:shd w:val="clear" w:color="auto" w:fill="auto"/>
          <w:tblCellMar>
            <w:top w:w="0" w:type="dxa"/>
            <w:left w:w="0" w:type="dxa"/>
            <w:bottom w:w="0" w:type="dxa"/>
            <w:right w:w="0" w:type="dxa"/>
          </w:tblCellMar>
        </w:tblPrEx>
        <w:trPr>
          <w:trHeight w:val="41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29001">
            <w:pPr>
              <w:jc w:val="center"/>
              <w:rPr>
                <w:rFonts w:hint="eastAsia" w:ascii="宋体" w:hAnsi="宋体" w:eastAsia="宋体" w:cs="宋体"/>
                <w:i w:val="0"/>
                <w:color w:val="auto"/>
                <w:sz w:val="24"/>
                <w:szCs w:val="24"/>
                <w:highlight w:val="none"/>
                <w:u w:val="none"/>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73F7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中通万达公司南300米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DA84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A8EA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6A47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396A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191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2FF2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214</w:t>
            </w:r>
          </w:p>
        </w:tc>
      </w:tr>
      <w:tr w14:paraId="2CE00C1D">
        <w:tblPrEx>
          <w:shd w:val="clear" w:color="auto" w:fill="auto"/>
          <w:tblCellMar>
            <w:top w:w="0" w:type="dxa"/>
            <w:left w:w="0" w:type="dxa"/>
            <w:bottom w:w="0" w:type="dxa"/>
            <w:right w:w="0" w:type="dxa"/>
          </w:tblCellMar>
        </w:tblPrEx>
        <w:trPr>
          <w:trHeight w:val="41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E4D34">
            <w:pPr>
              <w:jc w:val="center"/>
              <w:rPr>
                <w:rFonts w:hint="eastAsia" w:ascii="宋体" w:hAnsi="宋体" w:eastAsia="宋体" w:cs="宋体"/>
                <w:i w:val="0"/>
                <w:color w:val="auto"/>
                <w:sz w:val="24"/>
                <w:szCs w:val="24"/>
                <w:highlight w:val="none"/>
                <w:u w:val="none"/>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25B4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小计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EAD3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5399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189</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0FE6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D915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2074</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E017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2275</w:t>
            </w:r>
          </w:p>
        </w:tc>
      </w:tr>
      <w:tr w14:paraId="75EEFAF4">
        <w:tblPrEx>
          <w:shd w:val="clear" w:color="auto" w:fill="auto"/>
          <w:tblCellMar>
            <w:top w:w="0" w:type="dxa"/>
            <w:left w:w="0" w:type="dxa"/>
            <w:bottom w:w="0" w:type="dxa"/>
            <w:right w:w="0" w:type="dxa"/>
          </w:tblCellMar>
        </w:tblPrEx>
        <w:trPr>
          <w:trHeight w:val="410"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1AF39">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bidi="ar"/>
              </w:rPr>
              <w:t>标项</w:t>
            </w:r>
            <w:r>
              <w:rPr>
                <w:rFonts w:hint="eastAsia" w:ascii="宋体" w:hAnsi="宋体" w:cs="宋体"/>
                <w:i w:val="0"/>
                <w:color w:val="auto"/>
                <w:kern w:val="0"/>
                <w:sz w:val="24"/>
                <w:szCs w:val="24"/>
                <w:highlight w:val="none"/>
                <w:u w:val="none"/>
                <w:lang w:val="en-US" w:eastAsia="zh-CN" w:bidi="ar"/>
              </w:rPr>
              <w:t>二</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3C2D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临浦镇临北村</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F35F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FEB6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CFDC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0</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D070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87</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6995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104</w:t>
            </w:r>
          </w:p>
        </w:tc>
      </w:tr>
      <w:tr w14:paraId="596E9CFD">
        <w:tblPrEx>
          <w:shd w:val="clear" w:color="auto" w:fill="auto"/>
          <w:tblCellMar>
            <w:top w:w="0" w:type="dxa"/>
            <w:left w:w="0" w:type="dxa"/>
            <w:bottom w:w="0" w:type="dxa"/>
            <w:right w:w="0" w:type="dxa"/>
          </w:tblCellMar>
        </w:tblPrEx>
        <w:trPr>
          <w:trHeight w:val="41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9325B">
            <w:pPr>
              <w:jc w:val="center"/>
              <w:rPr>
                <w:rFonts w:hint="eastAsia" w:ascii="宋体" w:hAnsi="宋体" w:eastAsia="宋体" w:cs="宋体"/>
                <w:i w:val="0"/>
                <w:color w:val="auto"/>
                <w:sz w:val="24"/>
                <w:szCs w:val="24"/>
                <w:highlight w:val="none"/>
                <w:u w:val="none"/>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3F5C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戴村镇永富村（冗里）</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96B4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5324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EACF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1FEA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577F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131</w:t>
            </w:r>
          </w:p>
        </w:tc>
      </w:tr>
      <w:tr w14:paraId="7CEA0BAD">
        <w:tblPrEx>
          <w:shd w:val="clear" w:color="auto" w:fill="auto"/>
          <w:tblCellMar>
            <w:top w:w="0" w:type="dxa"/>
            <w:left w:w="0" w:type="dxa"/>
            <w:bottom w:w="0" w:type="dxa"/>
            <w:right w:w="0" w:type="dxa"/>
          </w:tblCellMar>
        </w:tblPrEx>
        <w:trPr>
          <w:trHeight w:val="41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832C2">
            <w:pPr>
              <w:jc w:val="center"/>
              <w:rPr>
                <w:rFonts w:hint="eastAsia" w:ascii="宋体" w:hAnsi="宋体" w:eastAsia="宋体" w:cs="宋体"/>
                <w:i w:val="0"/>
                <w:color w:val="auto"/>
                <w:sz w:val="24"/>
                <w:szCs w:val="24"/>
                <w:highlight w:val="none"/>
                <w:u w:val="none"/>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E091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小计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143C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8D18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6840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5260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197</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B2D0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235</w:t>
            </w:r>
          </w:p>
        </w:tc>
      </w:tr>
      <w:tr w14:paraId="192409F8">
        <w:tblPrEx>
          <w:shd w:val="clear" w:color="auto" w:fill="auto"/>
          <w:tblCellMar>
            <w:top w:w="0" w:type="dxa"/>
            <w:left w:w="0" w:type="dxa"/>
            <w:bottom w:w="0" w:type="dxa"/>
            <w:right w:w="0" w:type="dxa"/>
          </w:tblCellMar>
        </w:tblPrEx>
        <w:trPr>
          <w:trHeight w:val="66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F604D">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总计</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AC547">
            <w:pPr>
              <w:jc w:val="center"/>
              <w:rPr>
                <w:rFonts w:hint="eastAsia" w:ascii="宋体" w:hAnsi="宋体" w:eastAsia="宋体" w:cs="宋体"/>
                <w:b/>
                <w:i w:val="0"/>
                <w:color w:val="auto"/>
                <w:sz w:val="24"/>
                <w:szCs w:val="24"/>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07C52">
            <w:pPr>
              <w:keepNext w:val="0"/>
              <w:keepLines w:val="0"/>
              <w:widowControl/>
              <w:suppressLineNumbers w:val="0"/>
              <w:jc w:val="center"/>
              <w:textAlignment w:val="center"/>
              <w:rPr>
                <w:rFonts w:hint="default" w:ascii="宋体" w:hAnsi="宋体" w:eastAsia="宋体" w:cs="宋体"/>
                <w:b/>
                <w:i w:val="0"/>
                <w:color w:val="auto"/>
                <w:sz w:val="24"/>
                <w:szCs w:val="24"/>
                <w:highlight w:val="none"/>
                <w:u w:val="none"/>
                <w:lang w:val="en-US" w:eastAsia="zh-CN"/>
              </w:rPr>
            </w:pPr>
            <w:r>
              <w:rPr>
                <w:rFonts w:hint="eastAsia" w:ascii="宋体" w:hAnsi="宋体" w:cs="宋体"/>
                <w:b/>
                <w:i w:val="0"/>
                <w:color w:val="auto"/>
                <w:sz w:val="24"/>
                <w:szCs w:val="24"/>
                <w:highlight w:val="none"/>
                <w:u w:val="none"/>
                <w:lang w:val="en-US" w:eastAsia="zh-CN"/>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5AD05">
            <w:pPr>
              <w:keepNext w:val="0"/>
              <w:keepLines w:val="0"/>
              <w:widowControl/>
              <w:suppressLineNumbers w:val="0"/>
              <w:jc w:val="center"/>
              <w:textAlignment w:val="center"/>
              <w:rPr>
                <w:rFonts w:hint="default" w:ascii="宋体" w:hAnsi="宋体" w:eastAsia="宋体" w:cs="宋体"/>
                <w:b/>
                <w:i w:val="0"/>
                <w:color w:val="auto"/>
                <w:sz w:val="24"/>
                <w:szCs w:val="24"/>
                <w:highlight w:val="none"/>
                <w:u w:val="none"/>
                <w:lang w:val="en-US" w:eastAsia="zh-CN"/>
              </w:rPr>
            </w:pPr>
            <w:r>
              <w:rPr>
                <w:rFonts w:hint="eastAsia" w:ascii="宋体" w:hAnsi="宋体" w:cs="宋体"/>
                <w:b/>
                <w:i w:val="0"/>
                <w:color w:val="auto"/>
                <w:sz w:val="24"/>
                <w:szCs w:val="24"/>
                <w:highlight w:val="none"/>
                <w:u w:val="none"/>
                <w:lang w:val="en-US" w:eastAsia="zh-CN"/>
              </w:rPr>
              <w:t>219</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48838">
            <w:pPr>
              <w:keepNext w:val="0"/>
              <w:keepLines w:val="0"/>
              <w:widowControl/>
              <w:suppressLineNumbers w:val="0"/>
              <w:jc w:val="center"/>
              <w:textAlignment w:val="center"/>
              <w:rPr>
                <w:rFonts w:hint="default" w:ascii="宋体" w:hAnsi="宋体" w:eastAsia="宋体" w:cs="宋体"/>
                <w:b/>
                <w:i w:val="0"/>
                <w:color w:val="auto"/>
                <w:sz w:val="24"/>
                <w:szCs w:val="24"/>
                <w:highlight w:val="none"/>
                <w:u w:val="none"/>
                <w:lang w:val="en-US" w:eastAsia="zh-CN"/>
              </w:rPr>
            </w:pPr>
            <w:r>
              <w:rPr>
                <w:rFonts w:hint="eastAsia" w:ascii="宋体" w:hAnsi="宋体" w:cs="宋体"/>
                <w:b/>
                <w:i w:val="0"/>
                <w:color w:val="auto"/>
                <w:sz w:val="24"/>
                <w:szCs w:val="24"/>
                <w:highlight w:val="none"/>
                <w:u w:val="none"/>
                <w:lang w:val="en-US" w:eastAsia="zh-CN"/>
              </w:rPr>
              <w:t>8</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E33DD">
            <w:pPr>
              <w:keepNext w:val="0"/>
              <w:keepLines w:val="0"/>
              <w:widowControl/>
              <w:suppressLineNumbers w:val="0"/>
              <w:jc w:val="center"/>
              <w:textAlignment w:val="center"/>
              <w:rPr>
                <w:rFonts w:hint="default" w:ascii="宋体" w:hAnsi="宋体" w:eastAsia="宋体" w:cs="宋体"/>
                <w:b/>
                <w:i w:val="0"/>
                <w:color w:val="auto"/>
                <w:sz w:val="24"/>
                <w:szCs w:val="24"/>
                <w:highlight w:val="none"/>
                <w:u w:val="none"/>
                <w:lang w:val="en-US" w:eastAsia="zh-CN"/>
              </w:rPr>
            </w:pPr>
            <w:r>
              <w:rPr>
                <w:rFonts w:hint="eastAsia" w:ascii="宋体" w:hAnsi="宋体" w:cs="宋体"/>
                <w:b/>
                <w:i w:val="0"/>
                <w:color w:val="auto"/>
                <w:sz w:val="24"/>
                <w:szCs w:val="24"/>
                <w:highlight w:val="none"/>
                <w:u w:val="none"/>
                <w:lang w:val="en-US" w:eastAsia="zh-CN"/>
              </w:rPr>
              <w:t>2271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FAD99">
            <w:pPr>
              <w:keepNext w:val="0"/>
              <w:keepLines w:val="0"/>
              <w:widowControl/>
              <w:suppressLineNumbers w:val="0"/>
              <w:jc w:val="center"/>
              <w:textAlignment w:val="center"/>
              <w:rPr>
                <w:rFonts w:hint="default" w:ascii="宋体" w:hAnsi="宋体" w:eastAsia="宋体" w:cs="宋体"/>
                <w:b/>
                <w:i w:val="0"/>
                <w:color w:val="auto"/>
                <w:sz w:val="24"/>
                <w:szCs w:val="24"/>
                <w:highlight w:val="none"/>
                <w:u w:val="none"/>
                <w:lang w:val="en-US" w:eastAsia="zh-CN"/>
              </w:rPr>
            </w:pPr>
            <w:r>
              <w:rPr>
                <w:rFonts w:hint="eastAsia" w:ascii="宋体" w:hAnsi="宋体" w:cs="宋体"/>
                <w:b/>
                <w:i w:val="0"/>
                <w:color w:val="auto"/>
                <w:sz w:val="24"/>
                <w:szCs w:val="24"/>
                <w:highlight w:val="none"/>
                <w:u w:val="none"/>
                <w:lang w:val="en-US" w:eastAsia="zh-CN"/>
              </w:rPr>
              <w:t>2510</w:t>
            </w:r>
          </w:p>
        </w:tc>
      </w:tr>
    </w:tbl>
    <w:p w14:paraId="23FE2EB4">
      <w:pPr>
        <w:tabs>
          <w:tab w:val="left" w:pos="2340"/>
        </w:tabs>
        <w:spacing w:line="360" w:lineRule="auto"/>
        <w:jc w:val="left"/>
        <w:rPr>
          <w:rFonts w:hint="eastAsia" w:ascii="宋体" w:hAnsi="宋体" w:cs="宋体"/>
          <w:bCs/>
          <w:color w:val="auto"/>
          <w:sz w:val="24"/>
          <w:highlight w:val="none"/>
          <w:lang w:val="en-US" w:eastAsia="zh-CN"/>
        </w:rPr>
      </w:pPr>
    </w:p>
    <w:p w14:paraId="28B02CDD">
      <w:pPr>
        <w:tabs>
          <w:tab w:val="left" w:pos="2340"/>
        </w:tabs>
        <w:spacing w:line="360" w:lineRule="auto"/>
        <w:ind w:firstLine="281" w:firstLineChars="100"/>
        <w:rPr>
          <w:rFonts w:hint="eastAsia" w:ascii="宋体" w:hAnsi="宋体" w:cs="宋体"/>
          <w:b/>
          <w:color w:val="auto"/>
          <w:sz w:val="24"/>
          <w:highlight w:val="none"/>
        </w:rPr>
      </w:pPr>
      <w:r>
        <w:rPr>
          <w:rFonts w:hint="eastAsia" w:ascii="宋体" w:hAnsi="宋体" w:cs="宋体"/>
          <w:b/>
          <w:color w:val="auto"/>
          <w:sz w:val="28"/>
          <w:szCs w:val="28"/>
          <w:highlight w:val="none"/>
          <w:lang w:val="en-US" w:eastAsia="zh-CN"/>
        </w:rPr>
        <w:t>七</w:t>
      </w:r>
      <w:r>
        <w:rPr>
          <w:rFonts w:hint="eastAsia" w:ascii="宋体" w:hAnsi="宋体" w:cs="宋体"/>
          <w:b/>
          <w:color w:val="auto"/>
          <w:sz w:val="28"/>
          <w:szCs w:val="28"/>
          <w:highlight w:val="none"/>
        </w:rPr>
        <w:t>）各标项具体需求</w:t>
      </w:r>
    </w:p>
    <w:p w14:paraId="2C340A05">
      <w:pPr>
        <w:pageBreakBefore w:val="0"/>
        <w:kinsoku/>
        <w:wordWrap/>
        <w:overflowPunct/>
        <w:topLinePunct w:val="0"/>
        <w:bidi w:val="0"/>
        <w:adjustRightInd/>
        <w:spacing w:line="480" w:lineRule="exact"/>
        <w:rPr>
          <w:rFonts w:hint="eastAsia" w:ascii="宋体" w:hAnsi="宋体" w:cs="宋体"/>
          <w:bCs/>
          <w:color w:val="auto"/>
          <w:sz w:val="24"/>
          <w:highlight w:val="none"/>
        </w:rPr>
      </w:pPr>
      <w:r>
        <w:rPr>
          <w:rFonts w:hint="eastAsia" w:ascii="宋体" w:hAnsi="宋体" w:cs="宋体"/>
          <w:b/>
          <w:color w:val="auto"/>
          <w:sz w:val="24"/>
          <w:highlight w:val="none"/>
        </w:rPr>
        <w:t>标项</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Cs/>
          <w:color w:val="auto"/>
          <w:sz w:val="24"/>
          <w:highlight w:val="none"/>
        </w:rPr>
        <w:t>萧山区中片道路交通违法(事故)现场清障、施救及涉案车辆停放管理等服务</w:t>
      </w:r>
    </w:p>
    <w:p w14:paraId="4E298FD4">
      <w:pPr>
        <w:pageBreakBefore w:val="0"/>
        <w:tabs>
          <w:tab w:val="left" w:pos="709"/>
        </w:tabs>
        <w:kinsoku/>
        <w:wordWrap/>
        <w:overflowPunct/>
        <w:topLinePunct w:val="0"/>
        <w:bidi w:val="0"/>
        <w:adjustRightInd/>
        <w:spacing w:line="480" w:lineRule="exact"/>
        <w:rPr>
          <w:rFonts w:ascii="宋体" w:hAnsi="宋体" w:cs="宋体"/>
          <w:b/>
          <w:color w:val="auto"/>
          <w:sz w:val="28"/>
          <w:szCs w:val="28"/>
          <w:highlight w:val="none"/>
        </w:rPr>
      </w:pPr>
      <w:r>
        <w:rPr>
          <w:rFonts w:hint="eastAsia" w:ascii="宋体" w:hAnsi="宋体" w:cs="宋体"/>
          <w:b/>
          <w:color w:val="auto"/>
          <w:sz w:val="28"/>
          <w:szCs w:val="28"/>
          <w:highlight w:val="none"/>
        </w:rPr>
        <w:t xml:space="preserve">1.技术需求： </w:t>
      </w:r>
    </w:p>
    <w:p w14:paraId="7780C1BB">
      <w:pPr>
        <w:pageBreakBefore w:val="0"/>
        <w:tabs>
          <w:tab w:val="left" w:pos="2340"/>
        </w:tabs>
        <w:kinsoku/>
        <w:wordWrap/>
        <w:overflowPunct/>
        <w:topLinePunct w:val="0"/>
        <w:bidi w:val="0"/>
        <w:adjustRightInd/>
        <w:spacing w:line="480" w:lineRule="exact"/>
        <w:ind w:firstLine="466" w:firstLineChars="200"/>
        <w:rPr>
          <w:rFonts w:ascii="宋体" w:hAnsi="宋体" w:cs="宋体"/>
          <w:b/>
          <w:color w:val="auto"/>
          <w:spacing w:val="-4"/>
          <w:sz w:val="24"/>
          <w:highlight w:val="none"/>
        </w:rPr>
      </w:pPr>
      <w:r>
        <w:rPr>
          <w:rFonts w:hint="eastAsia" w:ascii="宋体" w:hAnsi="宋体" w:cs="宋体"/>
          <w:b/>
          <w:color w:val="auto"/>
          <w:spacing w:val="-4"/>
          <w:sz w:val="24"/>
          <w:highlight w:val="none"/>
        </w:rPr>
        <w:t xml:space="preserve">（一）服务需求： </w:t>
      </w:r>
    </w:p>
    <w:p w14:paraId="7F7E9B4D">
      <w:pPr>
        <w:pageBreakBefore w:val="0"/>
        <w:tabs>
          <w:tab w:val="left" w:pos="2340"/>
        </w:tabs>
        <w:kinsoku/>
        <w:wordWrap/>
        <w:overflowPunct/>
        <w:topLinePunct w:val="0"/>
        <w:bidi w:val="0"/>
        <w:adjustRightInd/>
        <w:spacing w:line="480" w:lineRule="exact"/>
        <w:ind w:firstLine="466" w:firstLineChars="200"/>
        <w:rPr>
          <w:rFonts w:ascii="宋体" w:hAnsi="宋体" w:cs="宋体"/>
          <w:b/>
          <w:color w:val="auto"/>
          <w:spacing w:val="-4"/>
          <w:sz w:val="24"/>
          <w:highlight w:val="none"/>
        </w:rPr>
      </w:pPr>
      <w:r>
        <w:rPr>
          <w:rFonts w:hint="eastAsia" w:ascii="宋体" w:hAnsi="宋体" w:cs="宋体"/>
          <w:b/>
          <w:color w:val="auto"/>
          <w:spacing w:val="-4"/>
          <w:sz w:val="24"/>
          <w:highlight w:val="none"/>
        </w:rPr>
        <w:t xml:space="preserve"> 服务内容及范围：</w:t>
      </w:r>
    </w:p>
    <w:p w14:paraId="6A269A95">
      <w:pPr>
        <w:pageBreakBefore w:val="0"/>
        <w:tabs>
          <w:tab w:val="left" w:pos="2340"/>
        </w:tabs>
        <w:kinsoku/>
        <w:wordWrap/>
        <w:overflowPunct/>
        <w:topLinePunct w:val="0"/>
        <w:bidi w:val="0"/>
        <w:adjustRightInd/>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▲提供不少于3个点位（每个</w:t>
      </w:r>
      <w:r>
        <w:rPr>
          <w:rFonts w:hint="eastAsia" w:ascii="宋体" w:hAnsi="宋体" w:cs="宋体"/>
          <w:color w:val="auto"/>
          <w:spacing w:val="-4"/>
          <w:sz w:val="24"/>
          <w:highlight w:val="none"/>
        </w:rPr>
        <w:t>场地实际可以停车面积不少于7000㎡</w:t>
      </w:r>
      <w:r>
        <w:rPr>
          <w:rFonts w:hint="eastAsia" w:ascii="宋体" w:hAnsi="宋体" w:cs="宋体"/>
          <w:bCs/>
          <w:color w:val="auto"/>
          <w:sz w:val="24"/>
          <w:highlight w:val="none"/>
        </w:rPr>
        <w:t>）的清障、施救、车辆停放、保管服务及配套的设施设备和服务人员 。</w:t>
      </w:r>
    </w:p>
    <w:p w14:paraId="3D23555F">
      <w:pPr>
        <w:pStyle w:val="668"/>
        <w:pageBreakBefore w:val="0"/>
        <w:kinsoku/>
        <w:wordWrap/>
        <w:overflowPunct/>
        <w:topLinePunct w:val="0"/>
        <w:bidi w:val="0"/>
        <w:adjustRightInd/>
        <w:spacing w:before="120" w:line="480" w:lineRule="exact"/>
        <w:rPr>
          <w:color w:val="auto"/>
          <w:highlight w:val="none"/>
        </w:rPr>
      </w:pPr>
      <w:r>
        <w:rPr>
          <w:rFonts w:hint="eastAsia"/>
          <w:color w:val="auto"/>
          <w:highlight w:val="none"/>
        </w:rPr>
        <w:t>所投标项的停车场是属于可以合法停放机动车辆的专用停车场。</w:t>
      </w:r>
    </w:p>
    <w:p w14:paraId="4B3A39A6">
      <w:pPr>
        <w:pStyle w:val="668"/>
        <w:pageBreakBefore w:val="0"/>
        <w:kinsoku/>
        <w:wordWrap/>
        <w:overflowPunct/>
        <w:topLinePunct w:val="0"/>
        <w:bidi w:val="0"/>
        <w:adjustRightInd/>
        <w:spacing w:before="120" w:line="480" w:lineRule="exact"/>
        <w:rPr>
          <w:rFonts w:ascii="宋体" w:hAnsi="宋体" w:cs="宋体"/>
          <w:bCs/>
          <w:color w:val="auto"/>
          <w:highlight w:val="none"/>
        </w:rPr>
      </w:pPr>
      <w:r>
        <w:rPr>
          <w:rFonts w:hint="eastAsia" w:ascii="宋体" w:hAnsi="宋体" w:cs="宋体"/>
          <w:bCs/>
          <w:color w:val="auto"/>
          <w:highlight w:val="none"/>
        </w:rPr>
        <w:t>本服务包含区公安分局承担交通管理业务的***开展交通管理业务所需的服务范围；后期如下属中队（***）管辖区域调整的，按照调整后的管辖区域确定服务区域范围。</w:t>
      </w:r>
    </w:p>
    <w:p w14:paraId="604E0B9C">
      <w:pPr>
        <w:pStyle w:val="668"/>
        <w:pageBreakBefore w:val="0"/>
        <w:kinsoku/>
        <w:wordWrap/>
        <w:overflowPunct/>
        <w:topLinePunct w:val="0"/>
        <w:bidi w:val="0"/>
        <w:adjustRightInd/>
        <w:spacing w:before="120" w:line="480" w:lineRule="exact"/>
        <w:rPr>
          <w:rFonts w:ascii="宋体" w:hAnsi="宋体" w:cs="宋体"/>
          <w:bCs/>
          <w:color w:val="auto"/>
          <w:highlight w:val="none"/>
        </w:rPr>
      </w:pPr>
      <w:r>
        <w:rPr>
          <w:rFonts w:hint="eastAsia" w:ascii="宋体" w:hAnsi="宋体" w:cs="宋体"/>
          <w:bCs/>
          <w:color w:val="auto"/>
          <w:highlight w:val="none"/>
        </w:rPr>
        <w:t>提供萧山区公安分局交通警察大队“两非办”开展违法查处车辆的清障、保管服务。</w:t>
      </w:r>
    </w:p>
    <w:p w14:paraId="419E76C9">
      <w:pPr>
        <w:pageBreakBefore w:val="0"/>
        <w:tabs>
          <w:tab w:val="left" w:pos="2340"/>
        </w:tabs>
        <w:kinsoku/>
        <w:wordWrap/>
        <w:overflowPunct/>
        <w:topLinePunct w:val="0"/>
        <w:bidi w:val="0"/>
        <w:adjustRightInd/>
        <w:spacing w:line="480" w:lineRule="exact"/>
        <w:ind w:firstLine="466" w:firstLineChars="200"/>
        <w:rPr>
          <w:rFonts w:ascii="宋体" w:hAnsi="宋体" w:cs="宋体"/>
          <w:b/>
          <w:bCs/>
          <w:color w:val="auto"/>
          <w:sz w:val="24"/>
          <w:highlight w:val="none"/>
        </w:rPr>
      </w:pPr>
      <w:r>
        <w:rPr>
          <w:rFonts w:hint="eastAsia" w:ascii="宋体" w:hAnsi="宋体" w:cs="宋体"/>
          <w:b/>
          <w:bCs/>
          <w:color w:val="auto"/>
          <w:spacing w:val="-4"/>
          <w:sz w:val="24"/>
          <w:highlight w:val="none"/>
        </w:rPr>
        <w:t>（</w:t>
      </w:r>
      <w:r>
        <w:rPr>
          <w:rFonts w:hint="eastAsia" w:ascii="宋体" w:hAnsi="宋体" w:cs="宋体"/>
          <w:b/>
          <w:bCs/>
          <w:color w:val="auto"/>
          <w:sz w:val="24"/>
          <w:highlight w:val="none"/>
        </w:rPr>
        <w:t>二）土地保障要求</w:t>
      </w:r>
      <w:r>
        <w:rPr>
          <w:rFonts w:hint="eastAsia" w:ascii="宋体" w:hAnsi="宋体" w:cs="宋体"/>
          <w:b/>
          <w:color w:val="auto"/>
          <w:spacing w:val="-4"/>
          <w:sz w:val="24"/>
          <w:highlight w:val="none"/>
        </w:rPr>
        <w:t>：</w:t>
      </w:r>
    </w:p>
    <w:p w14:paraId="6576B16C">
      <w:pPr>
        <w:pageBreakBefore w:val="0"/>
        <w:tabs>
          <w:tab w:val="left" w:pos="2340"/>
        </w:tabs>
        <w:kinsoku/>
        <w:wordWrap/>
        <w:overflowPunct/>
        <w:topLinePunct w:val="0"/>
        <w:bidi w:val="0"/>
        <w:adjustRightInd/>
        <w:spacing w:line="480" w:lineRule="exact"/>
        <w:ind w:firstLine="480" w:firstLineChars="200"/>
        <w:rPr>
          <w:rFonts w:hint="eastAsia" w:ascii="宋体" w:hAnsi="宋体" w:cs="宋体"/>
          <w:bCs/>
          <w:color w:val="auto"/>
          <w:sz w:val="24"/>
          <w:highlight w:val="none"/>
          <w:lang w:eastAsia="zh-CN"/>
        </w:rPr>
      </w:pPr>
      <w:r>
        <w:rPr>
          <w:rFonts w:hint="eastAsia" w:ascii="宋体" w:hAnsi="宋体" w:cs="宋体"/>
          <w:bCs/>
          <w:color w:val="auto"/>
          <w:sz w:val="24"/>
          <w:highlight w:val="none"/>
        </w:rPr>
        <w:t>▲若场地所属情况为</w:t>
      </w:r>
      <w:r>
        <w:rPr>
          <w:rFonts w:hint="eastAsia" w:ascii="宋体" w:hAnsi="宋体" w:cs="宋体"/>
          <w:color w:val="auto"/>
          <w:spacing w:val="-4"/>
          <w:sz w:val="24"/>
          <w:highlight w:val="none"/>
        </w:rPr>
        <w:t>成交供应商</w:t>
      </w:r>
      <w:r>
        <w:rPr>
          <w:rFonts w:hint="eastAsia" w:ascii="宋体" w:hAnsi="宋体" w:cs="宋体"/>
          <w:bCs/>
          <w:color w:val="auto"/>
          <w:sz w:val="24"/>
          <w:highlight w:val="none"/>
        </w:rPr>
        <w:t>自有，需提供</w:t>
      </w:r>
      <w:r>
        <w:rPr>
          <w:rFonts w:hint="eastAsia" w:ascii="宋体" w:hAnsi="宋体" w:cs="宋体"/>
          <w:bCs/>
          <w:color w:val="auto"/>
          <w:sz w:val="24"/>
          <w:highlight w:val="none"/>
          <w:lang w:eastAsia="zh-CN"/>
        </w:rPr>
        <w:t>现场场地照片（体现整个现场周围情况的方位、场地全貌、场地停车区域、场地进出口等照片）、产权证</w:t>
      </w:r>
      <w:r>
        <w:rPr>
          <w:rFonts w:hint="eastAsia" w:ascii="宋体" w:hAnsi="宋体" w:cs="宋体"/>
          <w:bCs/>
          <w:color w:val="auto"/>
          <w:sz w:val="24"/>
          <w:highlight w:val="none"/>
        </w:rPr>
        <w:t>复印件等证明场地所属情况证明（其证明材料中须有明确的停车场地面积）；若场地所属情况为待租赁的，中标单位须承诺在中标公示发布之日起十五个工作日内完成签订场地租用协议或合同</w:t>
      </w:r>
      <w:r>
        <w:rPr>
          <w:rFonts w:hint="eastAsia" w:ascii="宋体" w:hAnsi="宋体" w:cs="宋体"/>
          <w:bCs/>
          <w:color w:val="auto"/>
          <w:sz w:val="24"/>
          <w:highlight w:val="none"/>
          <w:lang w:eastAsia="zh-CN"/>
        </w:rPr>
        <w:t>、现场场地照片（体现整个现场周围情况的方位、场地全貌、场地停车区域、场地进出口等照片），</w:t>
      </w:r>
      <w:r>
        <w:rPr>
          <w:rFonts w:hint="eastAsia" w:ascii="宋体" w:hAnsi="宋体" w:cs="宋体"/>
          <w:bCs/>
          <w:color w:val="auto"/>
          <w:sz w:val="24"/>
          <w:highlight w:val="none"/>
        </w:rPr>
        <w:t>其租赁服务期不少于本项目的服务期限；如场地已租赁且在租赁期内，中标单位同样应提供相应的租赁合同及</w:t>
      </w:r>
      <w:r>
        <w:rPr>
          <w:rFonts w:hint="eastAsia" w:ascii="宋体" w:hAnsi="宋体" w:cs="宋体"/>
          <w:color w:val="auto"/>
          <w:sz w:val="24"/>
          <w:highlight w:val="none"/>
        </w:rPr>
        <w:t>可用于机动车辆停放的政府证明</w:t>
      </w:r>
      <w:r>
        <w:rPr>
          <w:rFonts w:hint="eastAsia" w:ascii="宋体" w:hAnsi="宋体" w:cs="宋体"/>
          <w:color w:val="auto"/>
          <w:sz w:val="24"/>
          <w:highlight w:val="none"/>
          <w:lang w:eastAsia="zh-CN"/>
        </w:rPr>
        <w:t>、</w:t>
      </w:r>
      <w:r>
        <w:rPr>
          <w:rFonts w:hint="eastAsia" w:ascii="宋体" w:hAnsi="宋体" w:cs="宋体"/>
          <w:bCs/>
          <w:color w:val="auto"/>
          <w:sz w:val="24"/>
          <w:highlight w:val="none"/>
          <w:lang w:eastAsia="zh-CN"/>
        </w:rPr>
        <w:t>现场场地照片（体现整个现场周围情况的方位、场地全貌、场地停车区域、场地进出口等照片）</w:t>
      </w:r>
      <w:r>
        <w:rPr>
          <w:rFonts w:hint="eastAsia" w:ascii="宋体" w:hAnsi="宋体" w:cs="宋体"/>
          <w:bCs/>
          <w:color w:val="auto"/>
          <w:sz w:val="24"/>
          <w:highlight w:val="none"/>
        </w:rPr>
        <w:t>等证明材料（其证明材料中须有明确的停车场地面积），并保证承诺租赁服务期不少于本项目的服务期限。（承诺文件格式自拟，不提供则作无效处理）</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lang w:eastAsia="zh-CN"/>
        </w:rPr>
        <w:t>除永久农田保卫线、生态线及其他法律法规禁止使用于车辆停放的场地外，该处场地还需有明确可以用于车辆停放使用的产属证明材料（</w:t>
      </w:r>
      <w:r>
        <w:rPr>
          <w:rFonts w:hint="eastAsia" w:ascii="宋体" w:hAnsi="宋体" w:eastAsia="宋体" w:cs="宋体"/>
          <w:bCs/>
          <w:color w:val="auto"/>
          <w:sz w:val="24"/>
          <w:highlight w:val="none"/>
          <w:lang w:val="en-US" w:eastAsia="zh-CN"/>
        </w:rPr>
        <w:t>适用于机动车辆停放）</w:t>
      </w:r>
      <w:r>
        <w:rPr>
          <w:rFonts w:hint="eastAsia" w:ascii="宋体" w:hAnsi="宋体" w:cs="宋体"/>
          <w:bCs/>
          <w:color w:val="auto"/>
          <w:sz w:val="24"/>
          <w:highlight w:val="none"/>
          <w:lang w:eastAsia="zh-CN"/>
        </w:rPr>
        <w:t>。</w:t>
      </w:r>
    </w:p>
    <w:p w14:paraId="42970B6E">
      <w:pPr>
        <w:pageBreakBefore w:val="0"/>
        <w:tabs>
          <w:tab w:val="left" w:pos="2340"/>
        </w:tabs>
        <w:kinsoku/>
        <w:wordWrap/>
        <w:overflowPunct/>
        <w:topLinePunct w:val="0"/>
        <w:bidi w:val="0"/>
        <w:adjustRightInd/>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▲承诺文件中须包括场地具体点位地址，具体场地总面积及可停车面积大小，且附网上电子地图证明截图并能清楚显示场地周边道路情况。</w:t>
      </w:r>
      <w:r>
        <w:rPr>
          <w:rFonts w:hint="eastAsia" w:ascii="宋体" w:hAnsi="宋体" w:cs="宋体"/>
          <w:bCs/>
          <w:color w:val="auto"/>
          <w:sz w:val="24"/>
          <w:highlight w:val="none"/>
          <w:lang w:eastAsia="zh-CN"/>
        </w:rPr>
        <w:t>各停车场间道路行驶距离需大于</w:t>
      </w:r>
      <w:r>
        <w:rPr>
          <w:rFonts w:hint="eastAsia" w:ascii="宋体" w:hAnsi="宋体" w:cs="宋体"/>
          <w:bCs/>
          <w:color w:val="auto"/>
          <w:sz w:val="24"/>
          <w:highlight w:val="none"/>
          <w:lang w:val="en-US" w:eastAsia="zh-CN"/>
        </w:rPr>
        <w:t>10公里。</w:t>
      </w:r>
      <w:r>
        <w:rPr>
          <w:rFonts w:hint="eastAsia" w:ascii="宋体" w:hAnsi="宋体" w:cs="宋体"/>
          <w:bCs/>
          <w:color w:val="auto"/>
          <w:sz w:val="24"/>
          <w:highlight w:val="none"/>
        </w:rPr>
        <w:t>（文件格式自拟，未提供承诺文件则作无效处理）</w:t>
      </w:r>
    </w:p>
    <w:p w14:paraId="27A49EF7">
      <w:pPr>
        <w:pageBreakBefore w:val="0"/>
        <w:tabs>
          <w:tab w:val="left" w:pos="2340"/>
        </w:tabs>
        <w:kinsoku/>
        <w:wordWrap/>
        <w:overflowPunct/>
        <w:topLinePunct w:val="0"/>
        <w:bidi w:val="0"/>
        <w:adjustRightInd/>
        <w:spacing w:line="4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车辆保管场地处地理位置与周边的道路交通等应有利于车辆的进出；停车场所与其他作业区域的平面布置需合理有序。</w:t>
      </w:r>
    </w:p>
    <w:p w14:paraId="366427F2">
      <w:pPr>
        <w:pageBreakBefore w:val="0"/>
        <w:tabs>
          <w:tab w:val="left" w:pos="2340"/>
        </w:tabs>
        <w:kinsoku/>
        <w:wordWrap/>
        <w:overflowPunct/>
        <w:topLinePunct w:val="0"/>
        <w:bidi w:val="0"/>
        <w:adjustRightInd/>
        <w:spacing w:line="48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保管场地的相关基本情况说明（</w:t>
      </w:r>
      <w:r>
        <w:rPr>
          <w:rFonts w:hint="eastAsia" w:ascii="宋体" w:hAnsi="宋体" w:cs="宋体"/>
          <w:bCs/>
          <w:color w:val="auto"/>
          <w:sz w:val="24"/>
          <w:highlight w:val="none"/>
        </w:rPr>
        <w:t>在投标时提供，格式如下</w:t>
      </w:r>
      <w:r>
        <w:rPr>
          <w:rFonts w:hint="eastAsia" w:ascii="宋体" w:hAnsi="宋体" w:cs="宋体"/>
          <w:color w:val="auto"/>
          <w:sz w:val="24"/>
          <w:highlight w:val="none"/>
          <w:lang w:eastAsia="zh-CN"/>
        </w:rPr>
        <w:t>）：</w:t>
      </w:r>
    </w:p>
    <w:tbl>
      <w:tblPr>
        <w:tblStyle w:val="63"/>
        <w:tblpPr w:leftFromText="180" w:rightFromText="180" w:vertAnchor="text" w:tblpX="131"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788"/>
        <w:gridCol w:w="880"/>
        <w:gridCol w:w="1482"/>
        <w:gridCol w:w="1425"/>
        <w:gridCol w:w="1575"/>
        <w:gridCol w:w="1425"/>
        <w:gridCol w:w="1078"/>
      </w:tblGrid>
      <w:tr w14:paraId="031B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43" w:type="dxa"/>
            <w:noWrap w:val="0"/>
            <w:vAlign w:val="center"/>
          </w:tcPr>
          <w:p w14:paraId="45E84CDF">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序号</w:t>
            </w:r>
          </w:p>
        </w:tc>
        <w:tc>
          <w:tcPr>
            <w:tcW w:w="788" w:type="dxa"/>
            <w:noWrap w:val="0"/>
            <w:vAlign w:val="center"/>
          </w:tcPr>
          <w:p w14:paraId="6BAE7FAC">
            <w:pPr>
              <w:pageBreakBefore w:val="0"/>
              <w:tabs>
                <w:tab w:val="left" w:pos="2340"/>
              </w:tabs>
              <w:kinsoku/>
              <w:wordWrap/>
              <w:overflowPunct/>
              <w:topLinePunct w:val="0"/>
              <w:bidi w:val="0"/>
              <w:adjustRightInd/>
              <w:spacing w:line="480" w:lineRule="exact"/>
              <w:jc w:val="center"/>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所有人</w:t>
            </w:r>
          </w:p>
        </w:tc>
        <w:tc>
          <w:tcPr>
            <w:tcW w:w="880" w:type="dxa"/>
            <w:noWrap w:val="0"/>
            <w:vAlign w:val="center"/>
          </w:tcPr>
          <w:p w14:paraId="6AFD418A">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具体</w:t>
            </w:r>
          </w:p>
          <w:p w14:paraId="571755A1">
            <w:pPr>
              <w:pageBreakBefore w:val="0"/>
              <w:tabs>
                <w:tab w:val="left" w:pos="2340"/>
              </w:tabs>
              <w:kinsoku/>
              <w:wordWrap/>
              <w:overflowPunct/>
              <w:topLinePunct w:val="0"/>
              <w:bidi w:val="0"/>
              <w:adjustRightInd/>
              <w:spacing w:line="480" w:lineRule="exact"/>
              <w:jc w:val="center"/>
              <w:rPr>
                <w:rFonts w:hint="eastAsia" w:ascii="宋体" w:hAnsi="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位置</w:t>
            </w:r>
          </w:p>
        </w:tc>
        <w:tc>
          <w:tcPr>
            <w:tcW w:w="1482" w:type="dxa"/>
            <w:noWrap w:val="0"/>
            <w:vAlign w:val="center"/>
          </w:tcPr>
          <w:p w14:paraId="1BC767DA">
            <w:pPr>
              <w:pageBreakBefore w:val="0"/>
              <w:tabs>
                <w:tab w:val="left" w:pos="2340"/>
              </w:tabs>
              <w:kinsoku/>
              <w:wordWrap/>
              <w:overflowPunct/>
              <w:topLinePunct w:val="0"/>
              <w:bidi w:val="0"/>
              <w:adjustRightInd/>
              <w:spacing w:line="480" w:lineRule="exact"/>
              <w:jc w:val="center"/>
              <w:rPr>
                <w:rFonts w:hint="eastAsia" w:ascii="宋体" w:hAnsi="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总面积（平方米）</w:t>
            </w:r>
          </w:p>
        </w:tc>
        <w:tc>
          <w:tcPr>
            <w:tcW w:w="1425" w:type="dxa"/>
            <w:noWrap w:val="0"/>
            <w:vAlign w:val="center"/>
          </w:tcPr>
          <w:p w14:paraId="4578944D">
            <w:pPr>
              <w:pageBreakBefore w:val="0"/>
              <w:tabs>
                <w:tab w:val="left" w:pos="2340"/>
              </w:tabs>
              <w:kinsoku/>
              <w:wordWrap/>
              <w:overflowPunct/>
              <w:topLinePunct w:val="0"/>
              <w:bidi w:val="0"/>
              <w:adjustRightInd/>
              <w:spacing w:line="480" w:lineRule="exact"/>
              <w:jc w:val="center"/>
              <w:rPr>
                <w:rFonts w:hint="eastAsia" w:ascii="宋体" w:hAnsi="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可停车面积（平方米）</w:t>
            </w:r>
          </w:p>
        </w:tc>
        <w:tc>
          <w:tcPr>
            <w:tcW w:w="1575" w:type="dxa"/>
            <w:noWrap w:val="0"/>
            <w:vAlign w:val="center"/>
          </w:tcPr>
          <w:p w14:paraId="6774EE6B">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产权性质（自有</w:t>
            </w:r>
            <w:r>
              <w:rPr>
                <w:rFonts w:hint="eastAsia" w:ascii="宋体" w:hAnsi="宋体" w:eastAsia="宋体" w:cs="宋体"/>
                <w:color w:val="auto"/>
                <w:sz w:val="24"/>
                <w:highlight w:val="none"/>
                <w:vertAlign w:val="baseline"/>
                <w:lang w:eastAsia="zh-CN"/>
              </w:rPr>
              <w:t>/租赁）</w:t>
            </w:r>
          </w:p>
        </w:tc>
        <w:tc>
          <w:tcPr>
            <w:tcW w:w="1425" w:type="dxa"/>
            <w:noWrap w:val="0"/>
            <w:vAlign w:val="center"/>
          </w:tcPr>
          <w:p w14:paraId="0716FE8F">
            <w:pPr>
              <w:pageBreakBefore w:val="0"/>
              <w:tabs>
                <w:tab w:val="left" w:pos="2340"/>
              </w:tabs>
              <w:kinsoku/>
              <w:wordWrap/>
              <w:overflowPunct/>
              <w:topLinePunct w:val="0"/>
              <w:bidi w:val="0"/>
              <w:adjustRightInd/>
              <w:spacing w:line="480" w:lineRule="exact"/>
              <w:jc w:val="center"/>
              <w:rPr>
                <w:rFonts w:hint="eastAsia" w:ascii="宋体" w:hAnsi="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必备</w:t>
            </w:r>
            <w:r>
              <w:rPr>
                <w:rFonts w:hint="eastAsia" w:ascii="宋体" w:hAnsi="宋体" w:eastAsia="宋体" w:cs="宋体"/>
                <w:color w:val="auto"/>
                <w:sz w:val="24"/>
                <w:highlight w:val="none"/>
                <w:vertAlign w:val="baseline"/>
                <w:lang w:eastAsia="zh-CN"/>
              </w:rPr>
              <w:t>/额外配备</w:t>
            </w:r>
          </w:p>
        </w:tc>
        <w:tc>
          <w:tcPr>
            <w:tcW w:w="1078" w:type="dxa"/>
            <w:noWrap w:val="0"/>
            <w:vAlign w:val="center"/>
          </w:tcPr>
          <w:p w14:paraId="02EE8CFF">
            <w:pPr>
              <w:pageBreakBefore w:val="0"/>
              <w:tabs>
                <w:tab w:val="left" w:pos="2340"/>
              </w:tabs>
              <w:kinsoku/>
              <w:wordWrap/>
              <w:overflowPunct/>
              <w:topLinePunct w:val="0"/>
              <w:bidi w:val="0"/>
              <w:adjustRightInd/>
              <w:spacing w:line="480" w:lineRule="exact"/>
              <w:jc w:val="center"/>
              <w:rPr>
                <w:rFonts w:hint="eastAsia" w:ascii="宋体" w:hAnsi="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备注</w:t>
            </w:r>
          </w:p>
        </w:tc>
      </w:tr>
      <w:tr w14:paraId="5078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43" w:type="dxa"/>
            <w:noWrap w:val="0"/>
            <w:vAlign w:val="top"/>
          </w:tcPr>
          <w:p w14:paraId="59D32FA9">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788" w:type="dxa"/>
            <w:noWrap w:val="0"/>
            <w:vAlign w:val="top"/>
          </w:tcPr>
          <w:p w14:paraId="63397858">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880" w:type="dxa"/>
            <w:noWrap w:val="0"/>
            <w:vAlign w:val="top"/>
          </w:tcPr>
          <w:p w14:paraId="328241E1">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482" w:type="dxa"/>
            <w:noWrap w:val="0"/>
            <w:vAlign w:val="top"/>
          </w:tcPr>
          <w:p w14:paraId="37F7310D">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425" w:type="dxa"/>
            <w:noWrap w:val="0"/>
            <w:vAlign w:val="top"/>
          </w:tcPr>
          <w:p w14:paraId="4120E285">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575" w:type="dxa"/>
            <w:noWrap w:val="0"/>
            <w:vAlign w:val="top"/>
          </w:tcPr>
          <w:p w14:paraId="4F381DA6">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425" w:type="dxa"/>
            <w:noWrap w:val="0"/>
            <w:vAlign w:val="top"/>
          </w:tcPr>
          <w:p w14:paraId="56AB8036">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078" w:type="dxa"/>
            <w:noWrap w:val="0"/>
            <w:vAlign w:val="top"/>
          </w:tcPr>
          <w:p w14:paraId="38019203">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r>
    </w:tbl>
    <w:p w14:paraId="6F79E891">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lang w:eastAsia="zh-CN"/>
        </w:rPr>
      </w:pPr>
    </w:p>
    <w:p w14:paraId="6DB9DA6C">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注：所有人、</w:t>
      </w:r>
      <w:r>
        <w:rPr>
          <w:rFonts w:hint="eastAsia" w:ascii="宋体" w:hAnsi="宋体" w:cs="宋体"/>
          <w:color w:val="auto"/>
          <w:sz w:val="24"/>
          <w:highlight w:val="none"/>
          <w:vertAlign w:val="baseline"/>
          <w:lang w:eastAsia="zh-CN"/>
        </w:rPr>
        <w:t>总面积</w:t>
      </w:r>
      <w:r>
        <w:rPr>
          <w:rFonts w:hint="eastAsia" w:ascii="宋体" w:hAnsi="宋体" w:cs="宋体"/>
          <w:color w:val="auto"/>
          <w:sz w:val="24"/>
          <w:highlight w:val="none"/>
          <w:lang w:eastAsia="zh-CN"/>
        </w:rPr>
        <w:t>按照产权证（</w:t>
      </w:r>
      <w:r>
        <w:rPr>
          <w:rFonts w:hint="eastAsia" w:ascii="宋体" w:hAnsi="宋体" w:cs="宋体"/>
          <w:color w:val="auto"/>
          <w:sz w:val="24"/>
          <w:highlight w:val="none"/>
          <w:lang w:val="en-US" w:eastAsia="zh-CN"/>
        </w:rPr>
        <w:t>或</w:t>
      </w:r>
      <w:r>
        <w:rPr>
          <w:rFonts w:hint="eastAsia" w:ascii="宋体" w:hAnsi="宋体" w:cs="宋体"/>
          <w:color w:val="auto"/>
          <w:sz w:val="24"/>
          <w:highlight w:val="none"/>
          <w:lang w:eastAsia="zh-CN"/>
        </w:rPr>
        <w:t>租凭合同）上标注填写；具体位置按照高德地图上显示的名称填写；可停车面积按照实际测量的数据，如实填写，并提供单位书面承诺说明。场地属自有，但产权证标注非自有单位的，须有足够依据证明（购买发票、转让协议、支付凭证等）。</w:t>
      </w:r>
    </w:p>
    <w:p w14:paraId="3020E4D8">
      <w:pPr>
        <w:pageBreakBefore w:val="0"/>
        <w:tabs>
          <w:tab w:val="left" w:pos="2340"/>
        </w:tabs>
        <w:kinsoku/>
        <w:wordWrap/>
        <w:overflowPunct/>
        <w:topLinePunct w:val="0"/>
        <w:bidi w:val="0"/>
        <w:adjustRightInd/>
        <w:spacing w:line="480" w:lineRule="exact"/>
        <w:rPr>
          <w:rFonts w:ascii="宋体" w:hAnsi="宋体" w:cs="宋体"/>
          <w:b/>
          <w:bCs/>
          <w:color w:val="auto"/>
          <w:sz w:val="24"/>
          <w:highlight w:val="none"/>
        </w:rPr>
      </w:pPr>
      <w:r>
        <w:rPr>
          <w:rFonts w:hint="eastAsia" w:ascii="宋体" w:hAnsi="宋体" w:cs="宋体"/>
          <w:b/>
          <w:bCs/>
          <w:color w:val="auto"/>
          <w:sz w:val="24"/>
          <w:highlight w:val="none"/>
        </w:rPr>
        <w:t xml:space="preserve">  （三）车辆保障要求</w:t>
      </w:r>
      <w:r>
        <w:rPr>
          <w:rFonts w:hint="eastAsia" w:ascii="宋体" w:hAnsi="宋体" w:cs="宋体"/>
          <w:b/>
          <w:color w:val="auto"/>
          <w:spacing w:val="-4"/>
          <w:sz w:val="24"/>
          <w:highlight w:val="none"/>
        </w:rPr>
        <w:t>：</w:t>
      </w:r>
    </w:p>
    <w:p w14:paraId="09C7862B">
      <w:pPr>
        <w:pageBreakBefore w:val="0"/>
        <w:tabs>
          <w:tab w:val="left" w:pos="2340"/>
        </w:tabs>
        <w:kinsoku/>
        <w:wordWrap/>
        <w:overflowPunct/>
        <w:topLinePunct w:val="0"/>
        <w:bidi w:val="0"/>
        <w:adjustRightInd/>
        <w:spacing w:line="480" w:lineRule="exact"/>
        <w:ind w:firstLine="480" w:firstLineChars="200"/>
        <w:rPr>
          <w:rFonts w:ascii="宋体" w:hAnsi="宋体" w:cs="宋体"/>
          <w:b w:val="0"/>
          <w:bCs/>
          <w:color w:val="auto"/>
          <w:sz w:val="24"/>
          <w:highlight w:val="none"/>
        </w:rPr>
      </w:pPr>
      <w:r>
        <w:rPr>
          <w:rFonts w:hint="eastAsia" w:ascii="宋体" w:hAnsi="宋体" w:cs="宋体"/>
          <w:bCs/>
          <w:color w:val="auto"/>
          <w:sz w:val="24"/>
          <w:highlight w:val="none"/>
        </w:rPr>
        <w:t>▲每个点位须具有项目实施所需非载货专项作业车2辆（即黄牌拖车）、轻型货车（含轻型非载货专项作业车）1辆、叉车、铲车或挖掘机1辆（用于配合车辆在场地内卸货时使用），根据车辆行驶</w:t>
      </w:r>
      <w:r>
        <w:rPr>
          <w:rFonts w:hint="eastAsia" w:ascii="宋体" w:hAnsi="宋体" w:cs="宋体"/>
          <w:b w:val="0"/>
          <w:bCs/>
          <w:color w:val="auto"/>
          <w:sz w:val="24"/>
          <w:highlight w:val="none"/>
        </w:rPr>
        <w:t>证（含发票、合格证、登记证书）车辆类型标注进行区别，各类车使用功能根据车辆行驶证（含发票、合格证、登记证书）标注的信息及车辆照片进行区别。</w:t>
      </w:r>
    </w:p>
    <w:p w14:paraId="0235A778">
      <w:pPr>
        <w:pageBreakBefore w:val="0"/>
        <w:tabs>
          <w:tab w:val="left" w:pos="2340"/>
        </w:tabs>
        <w:kinsoku/>
        <w:wordWrap/>
        <w:overflowPunct/>
        <w:topLinePunct w:val="0"/>
        <w:bidi w:val="0"/>
        <w:adjustRightInd/>
        <w:spacing w:line="480" w:lineRule="exact"/>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▲若车辆所属情况为单位自有，需提供</w:t>
      </w:r>
      <w:r>
        <w:rPr>
          <w:rFonts w:hint="eastAsia" w:ascii="宋体" w:hAnsi="宋体" w:cs="宋体"/>
          <w:bCs/>
          <w:color w:val="auto"/>
          <w:sz w:val="24"/>
          <w:highlight w:val="none"/>
          <w:lang w:eastAsia="zh-CN"/>
        </w:rPr>
        <w:t>车辆照片（体现车辆全貌的前后侧面彩色照片）、</w:t>
      </w:r>
      <w:r>
        <w:rPr>
          <w:rFonts w:hint="eastAsia" w:ascii="宋体" w:hAnsi="宋体" w:cs="宋体"/>
          <w:bCs/>
          <w:color w:val="auto"/>
          <w:sz w:val="24"/>
          <w:highlight w:val="none"/>
        </w:rPr>
        <w:t>车辆行驶证（含</w:t>
      </w:r>
      <w:r>
        <w:rPr>
          <w:rFonts w:hint="eastAsia" w:ascii="宋体" w:hAnsi="宋体" w:cs="宋体"/>
          <w:bCs/>
          <w:color w:val="auto"/>
          <w:sz w:val="24"/>
          <w:highlight w:val="none"/>
          <w:lang w:eastAsia="zh-CN"/>
        </w:rPr>
        <w:t>发票、</w:t>
      </w:r>
      <w:r>
        <w:rPr>
          <w:rFonts w:hint="eastAsia" w:ascii="宋体" w:hAnsi="宋体" w:cs="宋体"/>
          <w:bCs/>
          <w:color w:val="auto"/>
          <w:sz w:val="24"/>
          <w:highlight w:val="none"/>
        </w:rPr>
        <w:t>合格证）复印件</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等证明车辆所属情况证明；若车辆所属情况为租赁的，需提供</w:t>
      </w:r>
      <w:r>
        <w:rPr>
          <w:rFonts w:hint="eastAsia" w:ascii="宋体" w:hAnsi="宋体" w:cs="宋体"/>
          <w:bCs/>
          <w:color w:val="auto"/>
          <w:sz w:val="24"/>
          <w:highlight w:val="none"/>
          <w:lang w:eastAsia="zh-CN"/>
        </w:rPr>
        <w:t>车辆照片（体现车辆全貌的前后侧面彩色照片）、</w:t>
      </w:r>
      <w:r>
        <w:rPr>
          <w:rFonts w:hint="eastAsia" w:ascii="宋体" w:hAnsi="宋体" w:cs="宋体"/>
          <w:bCs/>
          <w:color w:val="auto"/>
          <w:sz w:val="24"/>
          <w:highlight w:val="none"/>
        </w:rPr>
        <w:t>车辆行驶证（含合格证）复印件及租赁合同证明资料，其租赁期不得少于本项目的服务期限；如服务车辆已租赁且在租赁期内，中标单位同样应保证承诺租赁服务期不少于本项目的服务期限</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并</w:t>
      </w:r>
      <w:r>
        <w:rPr>
          <w:rFonts w:hint="eastAsia" w:ascii="宋体" w:hAnsi="宋体" w:cs="宋体"/>
          <w:bCs/>
          <w:color w:val="auto"/>
          <w:sz w:val="24"/>
          <w:highlight w:val="none"/>
        </w:rPr>
        <w:t>需提供</w:t>
      </w:r>
      <w:r>
        <w:rPr>
          <w:rFonts w:hint="eastAsia" w:ascii="宋体" w:hAnsi="宋体" w:cs="宋体"/>
          <w:bCs/>
          <w:color w:val="auto"/>
          <w:sz w:val="24"/>
          <w:highlight w:val="none"/>
          <w:lang w:eastAsia="zh-CN"/>
        </w:rPr>
        <w:t>车辆照片（体现车辆全貌的前后侧面彩色照片）、</w:t>
      </w:r>
      <w:r>
        <w:rPr>
          <w:rFonts w:hint="eastAsia" w:ascii="宋体" w:hAnsi="宋体" w:cs="宋体"/>
          <w:bCs/>
          <w:color w:val="auto"/>
          <w:sz w:val="24"/>
          <w:highlight w:val="none"/>
        </w:rPr>
        <w:t>车辆行驶证（含合格证）复印件及租赁合同证明资料。(承诺文件格式自拟，不提供则作无效处理)</w:t>
      </w:r>
    </w:p>
    <w:p w14:paraId="3D611E6B">
      <w:pPr>
        <w:pageBreakBefore w:val="0"/>
        <w:tabs>
          <w:tab w:val="left" w:pos="2340"/>
        </w:tabs>
        <w:kinsoku/>
        <w:wordWrap/>
        <w:overflowPunct/>
        <w:topLinePunct w:val="0"/>
        <w:bidi w:val="0"/>
        <w:adjustRightInd/>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施救车辆</w:t>
      </w:r>
      <w:r>
        <w:rPr>
          <w:rFonts w:hint="eastAsia" w:ascii="宋体" w:hAnsi="宋体" w:cs="宋体"/>
          <w:color w:val="auto"/>
          <w:sz w:val="24"/>
          <w:highlight w:val="none"/>
          <w:lang w:eastAsia="zh-CN"/>
        </w:rPr>
        <w:t>的相关基本情况说明</w:t>
      </w:r>
      <w:r>
        <w:rPr>
          <w:rFonts w:hint="eastAsia" w:ascii="宋体" w:hAnsi="宋体" w:cs="宋体"/>
          <w:bCs/>
          <w:color w:val="auto"/>
          <w:sz w:val="24"/>
          <w:highlight w:val="none"/>
        </w:rPr>
        <w:t>（在投标时提供，格式如下）：</w:t>
      </w:r>
    </w:p>
    <w:tbl>
      <w:tblPr>
        <w:tblStyle w:val="63"/>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733"/>
        <w:gridCol w:w="739"/>
        <w:gridCol w:w="796"/>
        <w:gridCol w:w="1060"/>
        <w:gridCol w:w="1294"/>
        <w:gridCol w:w="1566"/>
        <w:gridCol w:w="1406"/>
        <w:gridCol w:w="1059"/>
      </w:tblGrid>
      <w:tr w14:paraId="18B4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05" w:type="dxa"/>
            <w:noWrap w:val="0"/>
            <w:vAlign w:val="center"/>
          </w:tcPr>
          <w:p w14:paraId="7805E516">
            <w:pPr>
              <w:pageBreakBefore w:val="0"/>
              <w:tabs>
                <w:tab w:val="left" w:pos="2340"/>
              </w:tabs>
              <w:kinsoku/>
              <w:wordWrap/>
              <w:overflowPunct/>
              <w:topLinePunct w:val="0"/>
              <w:bidi w:val="0"/>
              <w:adjustRightInd/>
              <w:spacing w:line="480" w:lineRule="exact"/>
              <w:jc w:val="center"/>
              <w:rPr>
                <w:rFonts w:hint="eastAsia" w:ascii="宋体" w:hAnsi="宋体" w:eastAsia="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序号</w:t>
            </w:r>
          </w:p>
        </w:tc>
        <w:tc>
          <w:tcPr>
            <w:tcW w:w="733" w:type="dxa"/>
            <w:noWrap w:val="0"/>
            <w:vAlign w:val="center"/>
          </w:tcPr>
          <w:p w14:paraId="28624B5A">
            <w:pPr>
              <w:pageBreakBefore w:val="0"/>
              <w:tabs>
                <w:tab w:val="left" w:pos="2340"/>
              </w:tabs>
              <w:kinsoku/>
              <w:wordWrap/>
              <w:overflowPunct/>
              <w:topLinePunct w:val="0"/>
              <w:bidi w:val="0"/>
              <w:adjustRightInd/>
              <w:spacing w:line="480" w:lineRule="exact"/>
              <w:jc w:val="center"/>
              <w:rPr>
                <w:rFonts w:hint="eastAsia" w:ascii="宋体" w:hAnsi="宋体" w:eastAsia="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所有人</w:t>
            </w:r>
          </w:p>
        </w:tc>
        <w:tc>
          <w:tcPr>
            <w:tcW w:w="739" w:type="dxa"/>
            <w:noWrap w:val="0"/>
            <w:vAlign w:val="center"/>
          </w:tcPr>
          <w:p w14:paraId="4A212288">
            <w:pPr>
              <w:pageBreakBefore w:val="0"/>
              <w:tabs>
                <w:tab w:val="left" w:pos="2340"/>
              </w:tabs>
              <w:kinsoku/>
              <w:wordWrap/>
              <w:overflowPunct/>
              <w:topLinePunct w:val="0"/>
              <w:bidi w:val="0"/>
              <w:adjustRightInd/>
              <w:spacing w:line="480" w:lineRule="exact"/>
              <w:jc w:val="center"/>
              <w:rPr>
                <w:rFonts w:hint="eastAsia" w:ascii="宋体" w:hAnsi="宋体" w:eastAsia="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车辆类型</w:t>
            </w:r>
          </w:p>
        </w:tc>
        <w:tc>
          <w:tcPr>
            <w:tcW w:w="796" w:type="dxa"/>
            <w:noWrap w:val="0"/>
            <w:vAlign w:val="center"/>
          </w:tcPr>
          <w:p w14:paraId="2D624DE3">
            <w:pPr>
              <w:pageBreakBefore w:val="0"/>
              <w:tabs>
                <w:tab w:val="left" w:pos="2340"/>
              </w:tabs>
              <w:kinsoku/>
              <w:wordWrap/>
              <w:overflowPunct/>
              <w:topLinePunct w:val="0"/>
              <w:bidi w:val="0"/>
              <w:adjustRightInd/>
              <w:spacing w:line="480" w:lineRule="exact"/>
              <w:jc w:val="center"/>
              <w:rPr>
                <w:rFonts w:hint="eastAsia" w:ascii="宋体" w:hAnsi="宋体" w:eastAsia="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车牌号码</w:t>
            </w:r>
          </w:p>
        </w:tc>
        <w:tc>
          <w:tcPr>
            <w:tcW w:w="1060" w:type="dxa"/>
            <w:noWrap w:val="0"/>
            <w:vAlign w:val="center"/>
          </w:tcPr>
          <w:p w14:paraId="3E7BDDAE">
            <w:pPr>
              <w:pageBreakBefore w:val="0"/>
              <w:tabs>
                <w:tab w:val="left" w:pos="2340"/>
              </w:tabs>
              <w:kinsoku/>
              <w:wordWrap/>
              <w:overflowPunct/>
              <w:topLinePunct w:val="0"/>
              <w:bidi w:val="0"/>
              <w:adjustRightInd/>
              <w:spacing w:line="480" w:lineRule="exact"/>
              <w:jc w:val="center"/>
              <w:rPr>
                <w:rFonts w:hint="eastAsia" w:ascii="宋体" w:hAnsi="宋体" w:eastAsia="宋体" w:cs="宋体"/>
                <w:color w:val="auto"/>
                <w:kern w:val="2"/>
                <w:sz w:val="24"/>
                <w:szCs w:val="22"/>
                <w:highlight w:val="none"/>
                <w:vertAlign w:val="baseline"/>
                <w:lang w:val="en-US" w:eastAsia="zh-CN" w:bidi="ar-SA"/>
              </w:rPr>
            </w:pPr>
            <w:r>
              <w:rPr>
                <w:rFonts w:hint="eastAsia" w:ascii="宋体" w:hAnsi="宋体" w:eastAsia="宋体" w:cs="宋体"/>
                <w:color w:val="auto"/>
                <w:kern w:val="2"/>
                <w:sz w:val="24"/>
                <w:szCs w:val="22"/>
                <w:highlight w:val="none"/>
                <w:vertAlign w:val="baseline"/>
                <w:lang w:val="en-US" w:eastAsia="zh-CN" w:bidi="ar-SA"/>
              </w:rPr>
              <w:t>载荷（吨）</w:t>
            </w:r>
          </w:p>
        </w:tc>
        <w:tc>
          <w:tcPr>
            <w:tcW w:w="1294" w:type="dxa"/>
            <w:noWrap w:val="0"/>
            <w:vAlign w:val="center"/>
          </w:tcPr>
          <w:p w14:paraId="6BE3FC34">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使用功能</w:t>
            </w:r>
          </w:p>
        </w:tc>
        <w:tc>
          <w:tcPr>
            <w:tcW w:w="1566" w:type="dxa"/>
            <w:noWrap w:val="0"/>
            <w:vAlign w:val="center"/>
          </w:tcPr>
          <w:p w14:paraId="5F53E0C0">
            <w:pPr>
              <w:pageBreakBefore w:val="0"/>
              <w:tabs>
                <w:tab w:val="left" w:pos="2340"/>
              </w:tabs>
              <w:kinsoku/>
              <w:wordWrap/>
              <w:overflowPunct/>
              <w:topLinePunct w:val="0"/>
              <w:bidi w:val="0"/>
              <w:adjustRightInd/>
              <w:spacing w:line="480" w:lineRule="exact"/>
              <w:jc w:val="center"/>
              <w:rPr>
                <w:rFonts w:hint="eastAsia" w:ascii="宋体" w:hAnsi="宋体" w:eastAsia="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产权性质（自有</w:t>
            </w:r>
            <w:r>
              <w:rPr>
                <w:rFonts w:hint="eastAsia" w:ascii="宋体" w:hAnsi="宋体" w:eastAsia="宋体" w:cs="宋体"/>
                <w:color w:val="auto"/>
                <w:sz w:val="24"/>
                <w:highlight w:val="none"/>
                <w:vertAlign w:val="baseline"/>
                <w:lang w:eastAsia="zh-CN"/>
              </w:rPr>
              <w:t>/租赁）</w:t>
            </w:r>
          </w:p>
        </w:tc>
        <w:tc>
          <w:tcPr>
            <w:tcW w:w="1406" w:type="dxa"/>
            <w:noWrap w:val="0"/>
            <w:vAlign w:val="center"/>
          </w:tcPr>
          <w:p w14:paraId="57DFC957">
            <w:pPr>
              <w:pageBreakBefore w:val="0"/>
              <w:tabs>
                <w:tab w:val="left" w:pos="2340"/>
              </w:tabs>
              <w:kinsoku/>
              <w:wordWrap/>
              <w:overflowPunct/>
              <w:topLinePunct w:val="0"/>
              <w:bidi w:val="0"/>
              <w:adjustRightInd/>
              <w:spacing w:line="480" w:lineRule="exact"/>
              <w:jc w:val="center"/>
              <w:rPr>
                <w:rFonts w:hint="eastAsia" w:ascii="宋体" w:hAnsi="宋体" w:eastAsia="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必备</w:t>
            </w:r>
            <w:r>
              <w:rPr>
                <w:rFonts w:hint="eastAsia" w:ascii="宋体" w:hAnsi="宋体" w:eastAsia="宋体" w:cs="宋体"/>
                <w:color w:val="auto"/>
                <w:sz w:val="24"/>
                <w:highlight w:val="none"/>
                <w:vertAlign w:val="baseline"/>
                <w:lang w:eastAsia="zh-CN"/>
              </w:rPr>
              <w:t>/额外配备</w:t>
            </w:r>
          </w:p>
        </w:tc>
        <w:tc>
          <w:tcPr>
            <w:tcW w:w="1059" w:type="dxa"/>
            <w:noWrap w:val="0"/>
            <w:vAlign w:val="center"/>
          </w:tcPr>
          <w:p w14:paraId="6064FDE3">
            <w:pPr>
              <w:pageBreakBefore w:val="0"/>
              <w:tabs>
                <w:tab w:val="left" w:pos="2340"/>
              </w:tabs>
              <w:kinsoku/>
              <w:wordWrap/>
              <w:overflowPunct/>
              <w:topLinePunct w:val="0"/>
              <w:bidi w:val="0"/>
              <w:adjustRightInd/>
              <w:spacing w:line="480" w:lineRule="exact"/>
              <w:jc w:val="center"/>
              <w:rPr>
                <w:rFonts w:hint="eastAsia" w:ascii="宋体" w:hAnsi="宋体" w:eastAsia="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备注</w:t>
            </w:r>
          </w:p>
        </w:tc>
      </w:tr>
      <w:tr w14:paraId="79E5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05" w:type="dxa"/>
            <w:noWrap w:val="0"/>
            <w:vAlign w:val="top"/>
          </w:tcPr>
          <w:p w14:paraId="42B07E6D">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rPr>
            </w:pPr>
          </w:p>
        </w:tc>
        <w:tc>
          <w:tcPr>
            <w:tcW w:w="733" w:type="dxa"/>
            <w:noWrap w:val="0"/>
            <w:vAlign w:val="top"/>
          </w:tcPr>
          <w:p w14:paraId="5013C52A">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rPr>
            </w:pPr>
          </w:p>
        </w:tc>
        <w:tc>
          <w:tcPr>
            <w:tcW w:w="739" w:type="dxa"/>
            <w:noWrap w:val="0"/>
            <w:vAlign w:val="top"/>
          </w:tcPr>
          <w:p w14:paraId="3C0B56EF">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rPr>
            </w:pPr>
          </w:p>
        </w:tc>
        <w:tc>
          <w:tcPr>
            <w:tcW w:w="796" w:type="dxa"/>
            <w:noWrap w:val="0"/>
            <w:vAlign w:val="top"/>
          </w:tcPr>
          <w:p w14:paraId="6BB32DE6">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rPr>
            </w:pPr>
          </w:p>
        </w:tc>
        <w:tc>
          <w:tcPr>
            <w:tcW w:w="1060" w:type="dxa"/>
            <w:noWrap w:val="0"/>
            <w:vAlign w:val="top"/>
          </w:tcPr>
          <w:p w14:paraId="52E367A5">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rPr>
            </w:pPr>
          </w:p>
        </w:tc>
        <w:tc>
          <w:tcPr>
            <w:tcW w:w="1294" w:type="dxa"/>
            <w:noWrap w:val="0"/>
            <w:vAlign w:val="top"/>
          </w:tcPr>
          <w:p w14:paraId="6877E68F">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rPr>
            </w:pPr>
          </w:p>
        </w:tc>
        <w:tc>
          <w:tcPr>
            <w:tcW w:w="1566" w:type="dxa"/>
            <w:noWrap w:val="0"/>
            <w:vAlign w:val="top"/>
          </w:tcPr>
          <w:p w14:paraId="048F8B84">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rPr>
            </w:pPr>
          </w:p>
        </w:tc>
        <w:tc>
          <w:tcPr>
            <w:tcW w:w="1406" w:type="dxa"/>
            <w:noWrap w:val="0"/>
            <w:vAlign w:val="top"/>
          </w:tcPr>
          <w:p w14:paraId="0C91D9F9">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rPr>
            </w:pPr>
          </w:p>
        </w:tc>
        <w:tc>
          <w:tcPr>
            <w:tcW w:w="1059" w:type="dxa"/>
            <w:noWrap w:val="0"/>
            <w:vAlign w:val="top"/>
          </w:tcPr>
          <w:p w14:paraId="52BFC61C">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rPr>
            </w:pPr>
          </w:p>
        </w:tc>
      </w:tr>
    </w:tbl>
    <w:p w14:paraId="35BD777A">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注：所有人、车辆类型、车牌号码等内容按行驶证（发票、合格证）上标注填写；车辆使用功能为拖车的，</w:t>
      </w:r>
      <w:r>
        <w:rPr>
          <w:rFonts w:hint="eastAsia" w:ascii="宋体" w:hAnsi="宋体" w:eastAsia="宋体" w:cs="宋体"/>
          <w:color w:val="auto"/>
          <w:kern w:val="2"/>
          <w:sz w:val="24"/>
          <w:szCs w:val="22"/>
          <w:highlight w:val="none"/>
          <w:vertAlign w:val="baseline"/>
          <w:lang w:val="en-US" w:eastAsia="zh-CN" w:bidi="ar-SA"/>
        </w:rPr>
        <w:t>载荷为行驶证上标注的核定载质量</w:t>
      </w:r>
      <w:r>
        <w:rPr>
          <w:rFonts w:hint="eastAsia" w:ascii="宋体" w:hAnsi="宋体" w:cs="宋体"/>
          <w:color w:val="auto"/>
          <w:kern w:val="2"/>
          <w:sz w:val="24"/>
          <w:szCs w:val="22"/>
          <w:highlight w:val="none"/>
          <w:vertAlign w:val="baseline"/>
          <w:lang w:val="en-US" w:eastAsia="zh-CN" w:bidi="ar-SA"/>
        </w:rPr>
        <w:t>（</w:t>
      </w:r>
      <w:r>
        <w:rPr>
          <w:rFonts w:hint="eastAsia" w:ascii="宋体" w:hAnsi="宋体" w:eastAsia="宋体" w:cs="宋体"/>
          <w:color w:val="auto"/>
          <w:kern w:val="2"/>
          <w:sz w:val="24"/>
          <w:szCs w:val="22"/>
          <w:highlight w:val="none"/>
          <w:vertAlign w:val="baseline"/>
          <w:lang w:val="en-US" w:eastAsia="zh-CN" w:bidi="ar-SA"/>
        </w:rPr>
        <w:t>行驶证上未标注的</w:t>
      </w:r>
      <w:r>
        <w:rPr>
          <w:rFonts w:hint="eastAsia" w:ascii="宋体" w:hAnsi="宋体" w:cs="宋体"/>
          <w:color w:val="auto"/>
          <w:kern w:val="2"/>
          <w:sz w:val="24"/>
          <w:szCs w:val="22"/>
          <w:highlight w:val="none"/>
          <w:vertAlign w:val="baseline"/>
          <w:lang w:val="en-US" w:eastAsia="zh-CN" w:bidi="ar-SA"/>
        </w:rPr>
        <w:t>则</w:t>
      </w:r>
      <w:r>
        <w:rPr>
          <w:rFonts w:hint="eastAsia" w:ascii="宋体" w:hAnsi="宋体" w:eastAsia="宋体" w:cs="宋体"/>
          <w:color w:val="auto"/>
          <w:kern w:val="2"/>
          <w:sz w:val="24"/>
          <w:szCs w:val="22"/>
          <w:highlight w:val="none"/>
          <w:vertAlign w:val="baseline"/>
          <w:lang w:val="en-US" w:eastAsia="zh-CN" w:bidi="ar-SA"/>
        </w:rPr>
        <w:t>为行驶证上标注的总质量减去整备质量的数值</w:t>
      </w:r>
      <w:r>
        <w:rPr>
          <w:rFonts w:hint="eastAsia" w:ascii="宋体" w:hAnsi="宋体" w:cs="宋体"/>
          <w:color w:val="auto"/>
          <w:kern w:val="2"/>
          <w:sz w:val="24"/>
          <w:szCs w:val="22"/>
          <w:highlight w:val="none"/>
          <w:vertAlign w:val="baseline"/>
          <w:lang w:val="en-US" w:eastAsia="zh-CN" w:bidi="ar-SA"/>
        </w:rPr>
        <w:t>）</w:t>
      </w:r>
      <w:r>
        <w:rPr>
          <w:rFonts w:hint="eastAsia" w:ascii="宋体" w:hAnsi="宋体" w:eastAsia="宋体" w:cs="宋体"/>
          <w:color w:val="auto"/>
          <w:kern w:val="2"/>
          <w:sz w:val="24"/>
          <w:szCs w:val="22"/>
          <w:highlight w:val="none"/>
          <w:vertAlign w:val="baseline"/>
          <w:lang w:val="en-US" w:eastAsia="zh-CN" w:bidi="ar-SA"/>
        </w:rPr>
        <w:t>；车辆</w:t>
      </w:r>
      <w:r>
        <w:rPr>
          <w:rFonts w:hint="eastAsia" w:ascii="宋体" w:hAnsi="宋体" w:cs="宋体"/>
          <w:color w:val="auto"/>
          <w:sz w:val="24"/>
          <w:highlight w:val="none"/>
          <w:lang w:eastAsia="zh-CN"/>
        </w:rPr>
        <w:t>使用功能为吊车、叉车、铲车</w:t>
      </w:r>
      <w:r>
        <w:rPr>
          <w:rFonts w:hint="eastAsia" w:ascii="宋体" w:hAnsi="宋体" w:cs="宋体"/>
          <w:bCs/>
          <w:color w:val="auto"/>
          <w:sz w:val="24"/>
          <w:highlight w:val="none"/>
        </w:rPr>
        <w:t>或挖掘机</w:t>
      </w:r>
      <w:r>
        <w:rPr>
          <w:rFonts w:hint="eastAsia" w:ascii="宋体" w:hAnsi="宋体" w:cs="宋体"/>
          <w:color w:val="auto"/>
          <w:sz w:val="24"/>
          <w:highlight w:val="none"/>
          <w:lang w:eastAsia="zh-CN"/>
        </w:rPr>
        <w:t>的，载荷为吊、叉、铲车</w:t>
      </w:r>
      <w:r>
        <w:rPr>
          <w:rFonts w:hint="eastAsia" w:ascii="宋体" w:hAnsi="宋体" w:cs="宋体"/>
          <w:bCs/>
          <w:color w:val="auto"/>
          <w:sz w:val="24"/>
          <w:highlight w:val="none"/>
        </w:rPr>
        <w:t>或挖掘机</w:t>
      </w:r>
      <w:r>
        <w:rPr>
          <w:rFonts w:hint="eastAsia" w:ascii="宋体" w:hAnsi="宋体" w:cs="宋体"/>
          <w:color w:val="auto"/>
          <w:sz w:val="24"/>
          <w:highlight w:val="none"/>
          <w:lang w:eastAsia="zh-CN"/>
        </w:rPr>
        <w:t>所作用的吨位，如实填写，并提供显示作用吨位的铭牌或合格证照片。车辆属自有，但行驶证（发票）上所有人非自有单位的，须有足够依据证明（购买发票、转让协议、支付凭证等）。</w:t>
      </w:r>
    </w:p>
    <w:p w14:paraId="34BA3520">
      <w:pPr>
        <w:pageBreakBefore w:val="0"/>
        <w:tabs>
          <w:tab w:val="left" w:pos="2340"/>
        </w:tabs>
        <w:kinsoku/>
        <w:wordWrap/>
        <w:overflowPunct/>
        <w:topLinePunct w:val="0"/>
        <w:bidi w:val="0"/>
        <w:adjustRightInd/>
        <w:spacing w:line="480" w:lineRule="exact"/>
        <w:ind w:firstLine="466" w:firstLineChars="200"/>
        <w:rPr>
          <w:rFonts w:ascii="宋体" w:hAnsi="宋体" w:cs="宋体"/>
          <w:b/>
          <w:color w:val="auto"/>
          <w:sz w:val="24"/>
          <w:highlight w:val="none"/>
        </w:rPr>
      </w:pPr>
      <w:r>
        <w:rPr>
          <w:rFonts w:hint="eastAsia" w:ascii="宋体" w:hAnsi="宋体" w:cs="宋体"/>
          <w:b/>
          <w:bCs/>
          <w:color w:val="auto"/>
          <w:spacing w:val="-4"/>
          <w:sz w:val="24"/>
          <w:highlight w:val="none"/>
        </w:rPr>
        <w:t>（</w:t>
      </w:r>
      <w:r>
        <w:rPr>
          <w:rFonts w:hint="eastAsia" w:ascii="宋体" w:hAnsi="宋体" w:cs="宋体"/>
          <w:b/>
          <w:bCs/>
          <w:color w:val="auto"/>
          <w:sz w:val="24"/>
          <w:highlight w:val="none"/>
        </w:rPr>
        <w:t>四）人</w:t>
      </w:r>
      <w:r>
        <w:rPr>
          <w:rFonts w:hint="eastAsia" w:ascii="宋体" w:hAnsi="宋体" w:cs="宋体"/>
          <w:b/>
          <w:color w:val="auto"/>
          <w:sz w:val="24"/>
          <w:highlight w:val="none"/>
        </w:rPr>
        <w:t>员保障要求：</w:t>
      </w:r>
    </w:p>
    <w:p w14:paraId="7EA6DE7B">
      <w:pPr>
        <w:pageBreakBefore w:val="0"/>
        <w:tabs>
          <w:tab w:val="left" w:pos="2340"/>
        </w:tabs>
        <w:kinsoku/>
        <w:wordWrap/>
        <w:overflowPunct/>
        <w:topLinePunct w:val="0"/>
        <w:bidi w:val="0"/>
        <w:adjustRightInd/>
        <w:spacing w:line="480" w:lineRule="exact"/>
        <w:rPr>
          <w:rFonts w:ascii="宋体" w:hAnsi="宋体" w:cs="宋体"/>
          <w:color w:val="auto"/>
          <w:highlight w:val="none"/>
        </w:rPr>
      </w:pPr>
      <w:r>
        <w:rPr>
          <w:rFonts w:hint="eastAsia" w:ascii="宋体" w:hAnsi="宋体" w:cs="宋体"/>
          <w:color w:val="auto"/>
          <w:sz w:val="24"/>
          <w:highlight w:val="none"/>
        </w:rPr>
        <w:t xml:space="preserve">  ▲每个点位服务区域范围内必须独立配置的驾驶人员及后勤保障人员不少于8人（其中</w:t>
      </w:r>
      <w:r>
        <w:rPr>
          <w:rFonts w:hint="eastAsia" w:ascii="宋体" w:hAnsi="宋体" w:cs="宋体"/>
          <w:bCs/>
          <w:color w:val="auto"/>
          <w:sz w:val="24"/>
          <w:highlight w:val="none"/>
        </w:rPr>
        <w:t>驾驶员</w:t>
      </w:r>
      <w:r>
        <w:rPr>
          <w:rFonts w:hint="eastAsia" w:ascii="宋体" w:hAnsi="宋体" w:cs="宋体"/>
          <w:color w:val="auto"/>
          <w:sz w:val="24"/>
          <w:highlight w:val="none"/>
        </w:rPr>
        <w:t>4人</w:t>
      </w:r>
      <w:r>
        <w:rPr>
          <w:rFonts w:hint="eastAsia" w:ascii="宋体" w:hAnsi="宋体" w:cs="宋体"/>
          <w:bCs/>
          <w:color w:val="auto"/>
          <w:sz w:val="24"/>
          <w:highlight w:val="none"/>
        </w:rPr>
        <w:t>，</w:t>
      </w:r>
      <w:r>
        <w:rPr>
          <w:rFonts w:hint="eastAsia" w:ascii="宋体" w:hAnsi="宋体" w:cs="宋体"/>
          <w:color w:val="auto"/>
          <w:sz w:val="24"/>
          <w:highlight w:val="none"/>
        </w:rPr>
        <w:t>持准驾车型A2驾驶证的驾驶员不少于1名）。</w:t>
      </w:r>
    </w:p>
    <w:p w14:paraId="7EFBAB52">
      <w:pPr>
        <w:pageBreakBefore w:val="0"/>
        <w:tabs>
          <w:tab w:val="left" w:pos="2340"/>
        </w:tabs>
        <w:kinsoku/>
        <w:wordWrap/>
        <w:overflowPunct/>
        <w:topLinePunct w:val="0"/>
        <w:bidi w:val="0"/>
        <w:adjustRightInd/>
        <w:spacing w:line="480" w:lineRule="exac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Cs/>
          <w:color w:val="auto"/>
          <w:sz w:val="24"/>
          <w:highlight w:val="none"/>
          <w:lang w:eastAsia="zh-CN"/>
        </w:rPr>
        <w:t>有关人员的基本情况的说明</w:t>
      </w:r>
      <w:r>
        <w:rPr>
          <w:rFonts w:hint="eastAsia" w:ascii="宋体" w:hAnsi="宋体" w:cs="宋体"/>
          <w:bCs/>
          <w:color w:val="auto"/>
          <w:sz w:val="24"/>
          <w:highlight w:val="none"/>
        </w:rPr>
        <w:t>（在投标时提供，格式如下）：</w:t>
      </w:r>
    </w:p>
    <w:tbl>
      <w:tblPr>
        <w:tblStyle w:val="62"/>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750"/>
        <w:gridCol w:w="750"/>
        <w:gridCol w:w="731"/>
        <w:gridCol w:w="1472"/>
        <w:gridCol w:w="844"/>
        <w:gridCol w:w="975"/>
        <w:gridCol w:w="844"/>
        <w:gridCol w:w="909"/>
        <w:gridCol w:w="1359"/>
        <w:gridCol w:w="585"/>
      </w:tblGrid>
      <w:tr w14:paraId="3C50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641" w:type="dxa"/>
            <w:noWrap/>
            <w:vAlign w:val="center"/>
          </w:tcPr>
          <w:p w14:paraId="165F5325">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750" w:type="dxa"/>
            <w:noWrap/>
            <w:vAlign w:val="center"/>
          </w:tcPr>
          <w:p w14:paraId="2509E9C8">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750" w:type="dxa"/>
            <w:noWrap/>
            <w:vAlign w:val="center"/>
          </w:tcPr>
          <w:p w14:paraId="5BD72DD4">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r>
              <w:rPr>
                <w:rFonts w:hint="eastAsia" w:ascii="宋体" w:hAnsi="宋体" w:cs="宋体"/>
                <w:color w:val="auto"/>
                <w:sz w:val="24"/>
                <w:highlight w:val="none"/>
              </w:rPr>
              <w:t>性别</w:t>
            </w:r>
          </w:p>
        </w:tc>
        <w:tc>
          <w:tcPr>
            <w:tcW w:w="731" w:type="dxa"/>
            <w:noWrap/>
            <w:vAlign w:val="center"/>
          </w:tcPr>
          <w:p w14:paraId="6A9520EE">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r>
              <w:rPr>
                <w:rFonts w:hint="eastAsia" w:ascii="宋体" w:hAnsi="宋体" w:cs="宋体"/>
                <w:color w:val="auto"/>
                <w:sz w:val="24"/>
                <w:highlight w:val="none"/>
              </w:rPr>
              <w:t>身份证号</w:t>
            </w:r>
          </w:p>
        </w:tc>
        <w:tc>
          <w:tcPr>
            <w:tcW w:w="1472" w:type="dxa"/>
            <w:noWrap/>
            <w:vAlign w:val="center"/>
          </w:tcPr>
          <w:p w14:paraId="3A4CC3AF">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r>
              <w:rPr>
                <w:rFonts w:hint="eastAsia" w:ascii="宋体" w:hAnsi="宋体" w:cs="宋体"/>
                <w:color w:val="auto"/>
                <w:sz w:val="24"/>
                <w:highlight w:val="none"/>
              </w:rPr>
              <w:t>证件名称</w:t>
            </w:r>
          </w:p>
          <w:p w14:paraId="509DC32A">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r>
              <w:rPr>
                <w:rFonts w:hint="eastAsia" w:ascii="宋体" w:hAnsi="宋体" w:cs="宋体"/>
                <w:color w:val="auto"/>
                <w:sz w:val="24"/>
                <w:highlight w:val="none"/>
              </w:rPr>
              <w:t>（如：驾驶证、操作证等）</w:t>
            </w:r>
          </w:p>
        </w:tc>
        <w:tc>
          <w:tcPr>
            <w:tcW w:w="844" w:type="dxa"/>
            <w:noWrap/>
            <w:vAlign w:val="center"/>
          </w:tcPr>
          <w:p w14:paraId="62F74214">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r>
              <w:rPr>
                <w:rFonts w:hint="eastAsia" w:ascii="宋体" w:hAnsi="宋体" w:cs="宋体"/>
                <w:color w:val="auto"/>
                <w:sz w:val="24"/>
                <w:highlight w:val="none"/>
              </w:rPr>
              <w:t>证书编号</w:t>
            </w:r>
          </w:p>
        </w:tc>
        <w:tc>
          <w:tcPr>
            <w:tcW w:w="975" w:type="dxa"/>
            <w:noWrap/>
            <w:vAlign w:val="center"/>
          </w:tcPr>
          <w:p w14:paraId="0ABBE3C2">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844" w:type="dxa"/>
            <w:noWrap/>
            <w:vAlign w:val="center"/>
          </w:tcPr>
          <w:p w14:paraId="08FD0AB5">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rPr>
            </w:pPr>
            <w:r>
              <w:rPr>
                <w:rFonts w:hint="eastAsia" w:ascii="宋体" w:hAnsi="宋体" w:cs="宋体"/>
                <w:b w:val="0"/>
                <w:bCs w:val="0"/>
                <w:color w:val="auto"/>
                <w:spacing w:val="-4"/>
                <w:sz w:val="24"/>
                <w:highlight w:val="none"/>
              </w:rPr>
              <w:t>劳动合同</w:t>
            </w:r>
          </w:p>
        </w:tc>
        <w:tc>
          <w:tcPr>
            <w:tcW w:w="909" w:type="dxa"/>
            <w:noWrap/>
            <w:vAlign w:val="center"/>
          </w:tcPr>
          <w:p w14:paraId="5DDE62D5">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r>
              <w:rPr>
                <w:rFonts w:hint="eastAsia" w:ascii="宋体" w:hAnsi="宋体" w:cs="宋体"/>
                <w:color w:val="auto"/>
                <w:sz w:val="24"/>
                <w:highlight w:val="none"/>
              </w:rPr>
              <w:t>缴纳社保情况</w:t>
            </w:r>
          </w:p>
        </w:tc>
        <w:tc>
          <w:tcPr>
            <w:tcW w:w="1359" w:type="dxa"/>
            <w:noWrap/>
            <w:vAlign w:val="center"/>
          </w:tcPr>
          <w:p w14:paraId="023FBB9D">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r>
              <w:rPr>
                <w:rFonts w:hint="eastAsia" w:ascii="宋体" w:hAnsi="宋体" w:cs="宋体"/>
                <w:color w:val="auto"/>
                <w:sz w:val="24"/>
                <w:highlight w:val="none"/>
              </w:rPr>
              <w:t>驾驶员、操作人员购买人身意外险情况</w:t>
            </w:r>
          </w:p>
        </w:tc>
        <w:tc>
          <w:tcPr>
            <w:tcW w:w="585" w:type="dxa"/>
            <w:noWrap/>
            <w:vAlign w:val="center"/>
          </w:tcPr>
          <w:p w14:paraId="6478068A">
            <w:pPr>
              <w:pageBreakBefore w:val="0"/>
              <w:tabs>
                <w:tab w:val="left" w:pos="2340"/>
              </w:tabs>
              <w:kinsoku/>
              <w:wordWrap/>
              <w:overflowPunct/>
              <w:topLinePunct w:val="0"/>
              <w:bidi w:val="0"/>
              <w:adjustRightInd/>
              <w:spacing w:line="48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备注</w:t>
            </w:r>
          </w:p>
        </w:tc>
      </w:tr>
      <w:tr w14:paraId="144C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641" w:type="dxa"/>
            <w:noWrap/>
            <w:vAlign w:val="center"/>
          </w:tcPr>
          <w:p w14:paraId="2C3D9C23">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c>
          <w:tcPr>
            <w:tcW w:w="750" w:type="dxa"/>
            <w:noWrap/>
            <w:vAlign w:val="center"/>
          </w:tcPr>
          <w:p w14:paraId="117B0EAA">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c>
          <w:tcPr>
            <w:tcW w:w="750" w:type="dxa"/>
            <w:noWrap/>
            <w:vAlign w:val="center"/>
          </w:tcPr>
          <w:p w14:paraId="4C252D58">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c>
          <w:tcPr>
            <w:tcW w:w="731" w:type="dxa"/>
            <w:noWrap/>
            <w:vAlign w:val="center"/>
          </w:tcPr>
          <w:p w14:paraId="6AEC6FB7">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c>
          <w:tcPr>
            <w:tcW w:w="1472" w:type="dxa"/>
            <w:noWrap/>
            <w:vAlign w:val="center"/>
          </w:tcPr>
          <w:p w14:paraId="0F4AE406">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c>
          <w:tcPr>
            <w:tcW w:w="844" w:type="dxa"/>
            <w:noWrap/>
            <w:vAlign w:val="center"/>
          </w:tcPr>
          <w:p w14:paraId="6AF26018">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c>
          <w:tcPr>
            <w:tcW w:w="975" w:type="dxa"/>
            <w:noWrap/>
            <w:vAlign w:val="center"/>
          </w:tcPr>
          <w:p w14:paraId="348FAE00">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c>
          <w:tcPr>
            <w:tcW w:w="844" w:type="dxa"/>
            <w:noWrap/>
            <w:vAlign w:val="center"/>
          </w:tcPr>
          <w:p w14:paraId="690D06D6">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c>
          <w:tcPr>
            <w:tcW w:w="909" w:type="dxa"/>
            <w:noWrap/>
            <w:vAlign w:val="center"/>
          </w:tcPr>
          <w:p w14:paraId="33002610">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c>
          <w:tcPr>
            <w:tcW w:w="1359" w:type="dxa"/>
            <w:noWrap/>
            <w:vAlign w:val="center"/>
          </w:tcPr>
          <w:p w14:paraId="62AD0851">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c>
          <w:tcPr>
            <w:tcW w:w="585" w:type="dxa"/>
            <w:noWrap/>
            <w:vAlign w:val="center"/>
          </w:tcPr>
          <w:p w14:paraId="51231E10">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r>
    </w:tbl>
    <w:p w14:paraId="7875D4D5">
      <w:pPr>
        <w:pageBreakBefore w:val="0"/>
        <w:tabs>
          <w:tab w:val="left" w:pos="2340"/>
        </w:tabs>
        <w:kinsoku/>
        <w:wordWrap/>
        <w:overflowPunct/>
        <w:topLinePunct w:val="0"/>
        <w:bidi w:val="0"/>
        <w:adjustRightInd/>
        <w:spacing w:line="480" w:lineRule="exact"/>
        <w:rPr>
          <w:rFonts w:hint="eastAsia" w:ascii="宋体" w:hAnsi="宋体" w:cs="宋体"/>
          <w:b w:val="0"/>
          <w:bCs w:val="0"/>
          <w:color w:val="auto"/>
          <w:spacing w:val="-4"/>
          <w:sz w:val="24"/>
          <w:highlight w:val="none"/>
          <w:lang w:eastAsia="zh-CN"/>
        </w:rPr>
      </w:pPr>
      <w:r>
        <w:rPr>
          <w:rFonts w:hint="eastAsia" w:ascii="宋体" w:hAnsi="宋体" w:cs="宋体"/>
          <w:b w:val="0"/>
          <w:bCs w:val="0"/>
          <w:color w:val="auto"/>
          <w:spacing w:val="-4"/>
          <w:sz w:val="24"/>
          <w:highlight w:val="none"/>
        </w:rPr>
        <w:t>注：需提供从业人员劳动合同、</w:t>
      </w:r>
      <w:r>
        <w:rPr>
          <w:rFonts w:hint="eastAsia" w:ascii="宋体" w:hAnsi="宋体" w:cs="宋体"/>
          <w:b w:val="0"/>
          <w:bCs w:val="0"/>
          <w:color w:val="auto"/>
          <w:spacing w:val="-4"/>
          <w:sz w:val="24"/>
          <w:highlight w:val="none"/>
          <w:lang w:eastAsia="zh-CN"/>
        </w:rPr>
        <w:t>身份证、有关证书（</w:t>
      </w:r>
      <w:r>
        <w:rPr>
          <w:rFonts w:hint="eastAsia" w:ascii="宋体" w:hAnsi="宋体" w:cs="宋体"/>
          <w:b w:val="0"/>
          <w:bCs w:val="0"/>
          <w:color w:val="auto"/>
          <w:spacing w:val="-4"/>
          <w:sz w:val="24"/>
          <w:highlight w:val="none"/>
        </w:rPr>
        <w:t>驾驶证</w:t>
      </w:r>
      <w:r>
        <w:rPr>
          <w:rFonts w:hint="eastAsia" w:ascii="宋体" w:hAnsi="宋体" w:cs="宋体"/>
          <w:b w:val="0"/>
          <w:bCs w:val="0"/>
          <w:color w:val="auto"/>
          <w:spacing w:val="-4"/>
          <w:sz w:val="24"/>
          <w:highlight w:val="none"/>
          <w:lang w:eastAsia="zh-CN"/>
        </w:rPr>
        <w:t>、操作证）</w:t>
      </w:r>
      <w:r>
        <w:rPr>
          <w:rFonts w:hint="eastAsia" w:ascii="宋体" w:hAnsi="宋体" w:cs="宋体"/>
          <w:b w:val="0"/>
          <w:bCs w:val="0"/>
          <w:color w:val="auto"/>
          <w:spacing w:val="-4"/>
          <w:sz w:val="24"/>
          <w:highlight w:val="none"/>
        </w:rPr>
        <w:t>、社保证明、购买保险证明等相关材料。</w:t>
      </w:r>
      <w:r>
        <w:rPr>
          <w:rFonts w:hint="eastAsia" w:ascii="宋体" w:hAnsi="宋体" w:cs="宋体"/>
          <w:b w:val="0"/>
          <w:bCs w:val="0"/>
          <w:color w:val="auto"/>
          <w:spacing w:val="-4"/>
          <w:sz w:val="24"/>
          <w:highlight w:val="none"/>
          <w:lang w:eastAsia="zh-CN"/>
        </w:rPr>
        <w:t>如同一人具有两个或以上证书的，在证明名称和证书编号栏中分别注明。</w:t>
      </w:r>
    </w:p>
    <w:p w14:paraId="40D783F7">
      <w:pPr>
        <w:pageBreakBefore w:val="0"/>
        <w:tabs>
          <w:tab w:val="left" w:pos="2340"/>
        </w:tabs>
        <w:kinsoku/>
        <w:wordWrap/>
        <w:overflowPunct/>
        <w:topLinePunct w:val="0"/>
        <w:bidi w:val="0"/>
        <w:adjustRightInd/>
        <w:spacing w:line="480" w:lineRule="exact"/>
        <w:ind w:firstLine="466" w:firstLineChars="200"/>
        <w:rPr>
          <w:rFonts w:ascii="宋体" w:hAnsi="宋体" w:cs="宋体"/>
          <w:b/>
          <w:bCs/>
          <w:color w:val="auto"/>
          <w:sz w:val="24"/>
          <w:highlight w:val="none"/>
        </w:rPr>
      </w:pPr>
      <w:r>
        <w:rPr>
          <w:rFonts w:hint="eastAsia" w:ascii="宋体" w:hAnsi="宋体" w:cs="宋体"/>
          <w:b/>
          <w:color w:val="auto"/>
          <w:spacing w:val="-4"/>
          <w:sz w:val="24"/>
          <w:highlight w:val="none"/>
        </w:rPr>
        <w:t>（</w:t>
      </w:r>
      <w:r>
        <w:rPr>
          <w:rFonts w:hint="eastAsia" w:ascii="宋体" w:hAnsi="宋体" w:cs="宋体"/>
          <w:b/>
          <w:bCs/>
          <w:color w:val="auto"/>
          <w:sz w:val="24"/>
          <w:highlight w:val="none"/>
        </w:rPr>
        <w:t>五）通讯保障要求：</w:t>
      </w:r>
    </w:p>
    <w:p w14:paraId="257C6D0F">
      <w:pPr>
        <w:pageBreakBefore w:val="0"/>
        <w:tabs>
          <w:tab w:val="left" w:pos="2340"/>
        </w:tabs>
        <w:kinsoku/>
        <w:wordWrap/>
        <w:overflowPunct/>
        <w:topLinePunct w:val="0"/>
        <w:bidi w:val="0"/>
        <w:adjustRightInd/>
        <w:spacing w:line="48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w:t>
      </w:r>
      <w:r>
        <w:rPr>
          <w:rFonts w:hint="eastAsia" w:ascii="宋体" w:hAnsi="宋体" w:cs="宋体"/>
          <w:bCs/>
          <w:color w:val="auto"/>
          <w:sz w:val="24"/>
          <w:highlight w:val="none"/>
        </w:rPr>
        <w:t>具有与采购人通讯系统兼容的通讯网络系统及相应设备，保证成交供应商、各清障施救车辆与采购人之间的通讯需要；所有车辆必须配备卫星定位装置、行车记录仪，并保证中标后能够接入采购人的涉案停车场管理平台（须在响应文件中自行承诺，格式自拟）。</w:t>
      </w:r>
    </w:p>
    <w:p w14:paraId="4131A014">
      <w:pPr>
        <w:pageBreakBefore w:val="0"/>
        <w:tabs>
          <w:tab w:val="left" w:pos="2340"/>
        </w:tabs>
        <w:kinsoku/>
        <w:wordWrap/>
        <w:overflowPunct/>
        <w:topLinePunct w:val="0"/>
        <w:bidi w:val="0"/>
        <w:adjustRightInd/>
        <w:spacing w:line="480" w:lineRule="exact"/>
        <w:ind w:firstLine="466" w:firstLineChars="200"/>
        <w:rPr>
          <w:rFonts w:ascii="宋体" w:hAnsi="宋体" w:cs="宋体"/>
          <w:color w:val="auto"/>
          <w:sz w:val="24"/>
          <w:highlight w:val="none"/>
        </w:rPr>
      </w:pPr>
      <w:r>
        <w:rPr>
          <w:rFonts w:hint="eastAsia" w:ascii="宋体" w:hAnsi="宋体" w:cs="宋体"/>
          <w:b/>
          <w:bCs/>
          <w:color w:val="auto"/>
          <w:spacing w:val="-4"/>
          <w:sz w:val="24"/>
          <w:highlight w:val="none"/>
        </w:rPr>
        <w:t>（</w:t>
      </w:r>
      <w:r>
        <w:rPr>
          <w:rFonts w:hint="eastAsia" w:ascii="宋体" w:hAnsi="宋体" w:cs="宋体"/>
          <w:b/>
          <w:bCs/>
          <w:color w:val="auto"/>
          <w:sz w:val="24"/>
          <w:highlight w:val="none"/>
        </w:rPr>
        <w:t>六）安全保障要求：</w:t>
      </w:r>
    </w:p>
    <w:p w14:paraId="53FCD7C3">
      <w:pPr>
        <w:pageBreakBefore w:val="0"/>
        <w:tabs>
          <w:tab w:val="left" w:pos="2340"/>
        </w:tabs>
        <w:kinsoku/>
        <w:wordWrap/>
        <w:overflowPunct/>
        <w:topLinePunct w:val="0"/>
        <w:bidi w:val="0"/>
        <w:adjustRightInd/>
        <w:spacing w:line="480" w:lineRule="exact"/>
        <w:ind w:firstLine="480" w:firstLineChars="200"/>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每个点位保管场地须严格落实治安消防安全管理措施，制定相关制度，配备封闭式围墙、防盗监控系统、消防灭火设备、防火隔离通道等设施，每个点位保管场地有效意外损失保险必须在1000万元（含）以上（须在响应文件中自行承诺，格式自拟）。</w:t>
      </w:r>
    </w:p>
    <w:p w14:paraId="4BEDEE30">
      <w:pPr>
        <w:pageBreakBefore w:val="0"/>
        <w:tabs>
          <w:tab w:val="left" w:pos="2340"/>
        </w:tabs>
        <w:kinsoku/>
        <w:wordWrap/>
        <w:overflowPunct/>
        <w:topLinePunct w:val="0"/>
        <w:bidi w:val="0"/>
        <w:adjustRightInd/>
        <w:spacing w:line="48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每个点位保管场地车辆出入口必须安装道闸及监控，落实保安员24小时看管，车辆停放位区域必须安装监控,并应确保对整个保管场地的无死角监控，监控系统还必须接入采购人的视频汇聚平台（须在响应文件中自行承诺，格式自拟）。</w:t>
      </w:r>
    </w:p>
    <w:p w14:paraId="135BF07A">
      <w:pPr>
        <w:pageBreakBefore w:val="0"/>
        <w:tabs>
          <w:tab w:val="left" w:pos="2340"/>
        </w:tabs>
        <w:kinsoku/>
        <w:wordWrap/>
        <w:overflowPunct/>
        <w:topLinePunct w:val="0"/>
        <w:bidi w:val="0"/>
        <w:adjustRightInd/>
        <w:spacing w:line="480" w:lineRule="exact"/>
        <w:ind w:firstLine="466" w:firstLineChars="200"/>
        <w:rPr>
          <w:rFonts w:ascii="宋体" w:hAnsi="宋体" w:cs="宋体"/>
          <w:color w:val="auto"/>
          <w:sz w:val="24"/>
          <w:highlight w:val="none"/>
        </w:rPr>
      </w:pPr>
      <w:r>
        <w:rPr>
          <w:rFonts w:hint="eastAsia" w:ascii="宋体" w:hAnsi="宋体" w:cs="宋体"/>
          <w:b/>
          <w:bCs/>
          <w:color w:val="auto"/>
          <w:spacing w:val="-4"/>
          <w:sz w:val="24"/>
          <w:highlight w:val="none"/>
        </w:rPr>
        <w:t>（</w:t>
      </w:r>
      <w:r>
        <w:rPr>
          <w:rFonts w:hint="eastAsia" w:ascii="宋体" w:hAnsi="宋体" w:cs="宋体"/>
          <w:b/>
          <w:bCs/>
          <w:color w:val="auto"/>
          <w:sz w:val="24"/>
          <w:highlight w:val="none"/>
        </w:rPr>
        <w:t>七）称重保障要求：</w:t>
      </w:r>
    </w:p>
    <w:p w14:paraId="1D82C69B">
      <w:pPr>
        <w:pStyle w:val="668"/>
        <w:pageBreakBefore w:val="0"/>
        <w:kinsoku/>
        <w:wordWrap/>
        <w:overflowPunct/>
        <w:topLinePunct w:val="0"/>
        <w:bidi w:val="0"/>
        <w:adjustRightInd/>
        <w:spacing w:before="120" w:line="480" w:lineRule="exac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每</w:t>
      </w:r>
      <w:r>
        <w:rPr>
          <w:rFonts w:hint="eastAsia" w:ascii="宋体" w:hAnsi="宋体" w:cs="宋体"/>
          <w:color w:val="auto"/>
          <w:highlight w:val="none"/>
        </w:rPr>
        <w:t>个保管场地</w:t>
      </w:r>
      <w:r>
        <w:rPr>
          <w:rFonts w:hint="eastAsia" w:ascii="宋体" w:hAnsi="宋体" w:cs="宋体"/>
          <w:color w:val="auto"/>
          <w:highlight w:val="none"/>
          <w:lang w:eastAsia="zh-CN"/>
        </w:rPr>
        <w:t>内部必须</w:t>
      </w:r>
      <w:r>
        <w:rPr>
          <w:rFonts w:hint="eastAsia" w:ascii="宋体" w:hAnsi="宋体" w:cs="宋体"/>
          <w:bCs/>
          <w:color w:val="auto"/>
          <w:highlight w:val="none"/>
        </w:rPr>
        <w:t>配套</w:t>
      </w:r>
      <w:r>
        <w:rPr>
          <w:rFonts w:hint="eastAsia" w:ascii="宋体" w:hAnsi="宋体" w:cs="宋体"/>
          <w:color w:val="auto"/>
          <w:highlight w:val="none"/>
        </w:rPr>
        <w:t>设置过磅设备（承载不少于100吨），并</w:t>
      </w:r>
      <w:r>
        <w:rPr>
          <w:rFonts w:hint="eastAsia" w:ascii="宋体" w:hAnsi="宋体" w:cs="宋体"/>
          <w:color w:val="auto"/>
          <w:highlight w:val="none"/>
          <w:lang w:eastAsia="zh-CN"/>
        </w:rPr>
        <w:t>须</w:t>
      </w:r>
      <w:r>
        <w:rPr>
          <w:rFonts w:hint="eastAsia" w:ascii="宋体" w:hAnsi="宋体" w:cs="宋体"/>
          <w:color w:val="auto"/>
          <w:highlight w:val="none"/>
        </w:rPr>
        <w:t>经主管部门鉴定合格，同时该设备必须在监控覆盖范围内。</w:t>
      </w:r>
    </w:p>
    <w:p w14:paraId="4CA3419D">
      <w:pPr>
        <w:pStyle w:val="668"/>
        <w:pageBreakBefore w:val="0"/>
        <w:kinsoku/>
        <w:wordWrap/>
        <w:overflowPunct/>
        <w:topLinePunct w:val="0"/>
        <w:bidi w:val="0"/>
        <w:adjustRightInd/>
        <w:spacing w:before="120" w:line="480" w:lineRule="exac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bCs/>
          <w:color w:val="auto"/>
          <w:kern w:val="2"/>
          <w:sz w:val="24"/>
          <w:szCs w:val="22"/>
          <w:highlight w:val="none"/>
          <w:lang w:val="en-US" w:eastAsia="zh-CN" w:bidi="ar-SA"/>
        </w:rPr>
        <w:t>若过磅设备所属情况为单位自有，需提供设备照片（体现设备全貌的前后侧面彩色照片）、设备来源（含发票、合格证）、检定证书复印件等证明设备所属情况证明；若过磅设备所属情况为租赁的，需提供设备照片（体现设备全貌的前后侧面彩色照片）、设备来源（含发票、合格证）、检定证书复印件及租赁合同证明资料，其租赁期不得少于本项目的服务期限；如过磅设备已租赁且在租赁期内，中标单位同样应保证承诺租赁服务期不少于本项目的服务期限，并需提供设备照片（体现设备全貌的前后侧面彩色照片）、设备来源（含发票、合格证）、检定证书复印件及租赁合同证明资料。</w:t>
      </w:r>
      <w:r>
        <w:rPr>
          <w:rFonts w:hint="eastAsia" w:ascii="宋体" w:hAnsi="宋体" w:cs="宋体"/>
          <w:bCs/>
          <w:color w:val="auto"/>
          <w:sz w:val="24"/>
          <w:highlight w:val="none"/>
        </w:rPr>
        <w:t>（承诺文件格式自拟，不提供则作无效处理）</w:t>
      </w:r>
      <w:r>
        <w:rPr>
          <w:rFonts w:hint="eastAsia" w:ascii="宋体" w:hAnsi="宋体" w:cs="宋体"/>
          <w:bCs/>
          <w:color w:val="auto"/>
          <w:sz w:val="24"/>
          <w:highlight w:val="none"/>
          <w:lang w:eastAsia="zh-CN"/>
        </w:rPr>
        <w:t>。</w:t>
      </w:r>
    </w:p>
    <w:p w14:paraId="23724642">
      <w:pPr>
        <w:pageBreakBefore w:val="0"/>
        <w:tabs>
          <w:tab w:val="left" w:pos="2340"/>
        </w:tabs>
        <w:kinsoku/>
        <w:wordWrap/>
        <w:overflowPunct/>
        <w:topLinePunct w:val="0"/>
        <w:bidi w:val="0"/>
        <w:adjustRightInd/>
        <w:spacing w:line="48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过磅设备的相关基本情况说明（</w:t>
      </w:r>
      <w:r>
        <w:rPr>
          <w:rFonts w:hint="eastAsia" w:ascii="宋体" w:hAnsi="宋体" w:cs="宋体"/>
          <w:bCs/>
          <w:color w:val="auto"/>
          <w:sz w:val="24"/>
          <w:highlight w:val="none"/>
        </w:rPr>
        <w:t>在投标时提供，格式如下</w:t>
      </w:r>
      <w:r>
        <w:rPr>
          <w:rFonts w:hint="eastAsia" w:ascii="宋体" w:hAnsi="宋体" w:cs="宋体"/>
          <w:color w:val="auto"/>
          <w:sz w:val="24"/>
          <w:highlight w:val="none"/>
          <w:lang w:eastAsia="zh-CN"/>
        </w:rPr>
        <w:t>）：</w:t>
      </w:r>
    </w:p>
    <w:tbl>
      <w:tblPr>
        <w:tblStyle w:val="63"/>
        <w:tblpPr w:leftFromText="180" w:rightFromText="180" w:vertAnchor="text" w:tblpX="131"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715"/>
        <w:gridCol w:w="1062"/>
        <w:gridCol w:w="1200"/>
        <w:gridCol w:w="1399"/>
        <w:gridCol w:w="1265"/>
        <w:gridCol w:w="1660"/>
        <w:gridCol w:w="1153"/>
      </w:tblGrid>
      <w:tr w14:paraId="22BA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39" w:type="dxa"/>
            <w:noWrap w:val="0"/>
            <w:vAlign w:val="center"/>
          </w:tcPr>
          <w:p w14:paraId="5A56E7EE">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序号</w:t>
            </w:r>
          </w:p>
        </w:tc>
        <w:tc>
          <w:tcPr>
            <w:tcW w:w="715" w:type="dxa"/>
            <w:noWrap w:val="0"/>
            <w:vAlign w:val="center"/>
          </w:tcPr>
          <w:p w14:paraId="515E80D1">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所有人</w:t>
            </w:r>
          </w:p>
        </w:tc>
        <w:tc>
          <w:tcPr>
            <w:tcW w:w="1062" w:type="dxa"/>
            <w:noWrap w:val="0"/>
            <w:vAlign w:val="center"/>
          </w:tcPr>
          <w:p w14:paraId="7F8FB945">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安装位置</w:t>
            </w:r>
          </w:p>
        </w:tc>
        <w:tc>
          <w:tcPr>
            <w:tcW w:w="1200" w:type="dxa"/>
            <w:noWrap w:val="0"/>
            <w:vAlign w:val="center"/>
          </w:tcPr>
          <w:p w14:paraId="1E185918">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型号</w:t>
            </w:r>
            <w:r>
              <w:rPr>
                <w:rFonts w:hint="eastAsia" w:ascii="宋体" w:hAnsi="宋体" w:eastAsia="宋体" w:cs="宋体"/>
                <w:color w:val="auto"/>
                <w:sz w:val="24"/>
                <w:highlight w:val="none"/>
                <w:vertAlign w:val="baseline"/>
                <w:lang w:eastAsia="zh-CN"/>
              </w:rPr>
              <w:t>/</w:t>
            </w:r>
            <w:r>
              <w:rPr>
                <w:rFonts w:hint="eastAsia" w:ascii="宋体" w:hAnsi="宋体" w:cs="宋体"/>
                <w:color w:val="auto"/>
                <w:sz w:val="24"/>
                <w:highlight w:val="none"/>
                <w:vertAlign w:val="baseline"/>
                <w:lang w:eastAsia="zh-CN"/>
              </w:rPr>
              <w:t>规格</w:t>
            </w:r>
          </w:p>
        </w:tc>
        <w:tc>
          <w:tcPr>
            <w:tcW w:w="1399" w:type="dxa"/>
            <w:noWrap w:val="0"/>
            <w:vAlign w:val="center"/>
          </w:tcPr>
          <w:p w14:paraId="09E61321">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载荷（吨位）</w:t>
            </w:r>
          </w:p>
        </w:tc>
        <w:tc>
          <w:tcPr>
            <w:tcW w:w="1265" w:type="dxa"/>
            <w:noWrap w:val="0"/>
            <w:vAlign w:val="center"/>
          </w:tcPr>
          <w:p w14:paraId="2DF5042C">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检定有效期</w:t>
            </w:r>
          </w:p>
        </w:tc>
        <w:tc>
          <w:tcPr>
            <w:tcW w:w="1660" w:type="dxa"/>
            <w:noWrap w:val="0"/>
            <w:vAlign w:val="center"/>
          </w:tcPr>
          <w:p w14:paraId="6FA59838">
            <w:pPr>
              <w:pageBreakBefore w:val="0"/>
              <w:tabs>
                <w:tab w:val="left" w:pos="2340"/>
              </w:tabs>
              <w:kinsoku/>
              <w:wordWrap/>
              <w:overflowPunct/>
              <w:topLinePunct w:val="0"/>
              <w:bidi w:val="0"/>
              <w:adjustRightInd/>
              <w:spacing w:line="480" w:lineRule="exact"/>
              <w:jc w:val="center"/>
              <w:rPr>
                <w:rFonts w:hint="eastAsia" w:ascii="宋体" w:hAnsi="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产权性质（自有</w:t>
            </w:r>
            <w:r>
              <w:rPr>
                <w:rFonts w:hint="eastAsia" w:ascii="宋体" w:hAnsi="宋体" w:eastAsia="宋体" w:cs="宋体"/>
                <w:color w:val="auto"/>
                <w:sz w:val="24"/>
                <w:highlight w:val="none"/>
                <w:vertAlign w:val="baseline"/>
                <w:lang w:eastAsia="zh-CN"/>
              </w:rPr>
              <w:t>/租赁）</w:t>
            </w:r>
          </w:p>
        </w:tc>
        <w:tc>
          <w:tcPr>
            <w:tcW w:w="1153" w:type="dxa"/>
            <w:noWrap w:val="0"/>
            <w:vAlign w:val="center"/>
          </w:tcPr>
          <w:p w14:paraId="15CC96C8">
            <w:pPr>
              <w:pageBreakBefore w:val="0"/>
              <w:tabs>
                <w:tab w:val="left" w:pos="2340"/>
              </w:tabs>
              <w:kinsoku/>
              <w:wordWrap/>
              <w:overflowPunct/>
              <w:topLinePunct w:val="0"/>
              <w:bidi w:val="0"/>
              <w:adjustRightInd/>
              <w:spacing w:line="480" w:lineRule="exact"/>
              <w:jc w:val="center"/>
              <w:rPr>
                <w:rFonts w:hint="eastAsia" w:ascii="宋体" w:hAnsi="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备注</w:t>
            </w:r>
          </w:p>
        </w:tc>
      </w:tr>
      <w:tr w14:paraId="6729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39" w:type="dxa"/>
            <w:noWrap w:val="0"/>
            <w:vAlign w:val="top"/>
          </w:tcPr>
          <w:p w14:paraId="0EECFE00">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715" w:type="dxa"/>
            <w:noWrap w:val="0"/>
            <w:vAlign w:val="top"/>
          </w:tcPr>
          <w:p w14:paraId="3AFB2137">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062" w:type="dxa"/>
            <w:noWrap w:val="0"/>
            <w:vAlign w:val="top"/>
          </w:tcPr>
          <w:p w14:paraId="358966E8">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200" w:type="dxa"/>
            <w:noWrap w:val="0"/>
            <w:vAlign w:val="top"/>
          </w:tcPr>
          <w:p w14:paraId="6495FEDF">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399" w:type="dxa"/>
            <w:noWrap w:val="0"/>
            <w:vAlign w:val="top"/>
          </w:tcPr>
          <w:p w14:paraId="4601D65C">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265" w:type="dxa"/>
            <w:noWrap w:val="0"/>
            <w:vAlign w:val="top"/>
          </w:tcPr>
          <w:p w14:paraId="086B6BDB">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660" w:type="dxa"/>
            <w:noWrap w:val="0"/>
            <w:vAlign w:val="top"/>
          </w:tcPr>
          <w:p w14:paraId="3DC4126D">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153" w:type="dxa"/>
            <w:noWrap w:val="0"/>
            <w:vAlign w:val="top"/>
          </w:tcPr>
          <w:p w14:paraId="2B50FF9D">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r>
    </w:tbl>
    <w:p w14:paraId="1E92DE1D">
      <w:pPr>
        <w:pageBreakBefore w:val="0"/>
        <w:tabs>
          <w:tab w:val="left" w:pos="2340"/>
        </w:tabs>
        <w:kinsoku/>
        <w:wordWrap/>
        <w:overflowPunct/>
        <w:topLinePunct w:val="0"/>
        <w:bidi w:val="0"/>
        <w:adjustRightInd/>
        <w:spacing w:line="240" w:lineRule="auto"/>
        <w:rPr>
          <w:rFonts w:hint="eastAsia" w:ascii="宋体" w:hAnsi="宋体" w:cs="宋体"/>
          <w:color w:val="auto"/>
          <w:sz w:val="24"/>
          <w:highlight w:val="none"/>
          <w:lang w:eastAsia="zh-CN"/>
        </w:rPr>
      </w:pPr>
    </w:p>
    <w:p w14:paraId="20C290C7">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注：所有人、</w:t>
      </w:r>
      <w:r>
        <w:rPr>
          <w:rFonts w:hint="eastAsia" w:ascii="宋体" w:hAnsi="宋体" w:cs="宋体"/>
          <w:color w:val="auto"/>
          <w:sz w:val="24"/>
          <w:highlight w:val="none"/>
          <w:vertAlign w:val="baseline"/>
          <w:lang w:eastAsia="zh-CN"/>
        </w:rPr>
        <w:t>型号</w:t>
      </w:r>
      <w:r>
        <w:rPr>
          <w:rFonts w:hint="eastAsia" w:ascii="宋体" w:hAnsi="宋体" w:eastAsia="宋体" w:cs="宋体"/>
          <w:color w:val="auto"/>
          <w:sz w:val="24"/>
          <w:highlight w:val="none"/>
          <w:vertAlign w:val="baseline"/>
          <w:lang w:eastAsia="zh-CN"/>
        </w:rPr>
        <w:t>/</w:t>
      </w:r>
      <w:r>
        <w:rPr>
          <w:rFonts w:hint="eastAsia" w:ascii="宋体" w:hAnsi="宋体" w:cs="宋体"/>
          <w:color w:val="auto"/>
          <w:sz w:val="24"/>
          <w:highlight w:val="none"/>
          <w:vertAlign w:val="baseline"/>
          <w:lang w:eastAsia="zh-CN"/>
        </w:rPr>
        <w:t>规格、检定有效期等内容按照</w:t>
      </w:r>
      <w:r>
        <w:rPr>
          <w:rFonts w:hint="eastAsia" w:ascii="宋体" w:hAnsi="宋体" w:cs="宋体"/>
          <w:color w:val="auto"/>
          <w:sz w:val="24"/>
          <w:highlight w:val="none"/>
          <w:lang w:eastAsia="zh-CN"/>
        </w:rPr>
        <w:t>检定证书（发票）上标注填写，安装位置须注明安装在停车场地内部或外面。设备属于自有，但检定证书（发票）上所有人非自有单位的，须有足够依据证明（购买发票、转让协议、支付凭证等）。</w:t>
      </w:r>
    </w:p>
    <w:p w14:paraId="688545DD">
      <w:pPr>
        <w:pageBreakBefore w:val="0"/>
        <w:kinsoku/>
        <w:wordWrap/>
        <w:overflowPunct/>
        <w:topLinePunct w:val="0"/>
        <w:bidi w:val="0"/>
        <w:adjustRightInd/>
        <w:spacing w:line="480" w:lineRule="exact"/>
        <w:rPr>
          <w:rFonts w:hint="eastAsia" w:ascii="宋体" w:hAnsi="宋体" w:cs="宋体"/>
          <w:b/>
          <w:color w:val="auto"/>
          <w:sz w:val="24"/>
          <w:highlight w:val="none"/>
        </w:rPr>
      </w:pPr>
    </w:p>
    <w:p w14:paraId="407414B9">
      <w:pPr>
        <w:pageBreakBefore w:val="0"/>
        <w:kinsoku/>
        <w:wordWrap/>
        <w:overflowPunct/>
        <w:topLinePunct w:val="0"/>
        <w:bidi w:val="0"/>
        <w:adjustRightInd/>
        <w:spacing w:line="480" w:lineRule="exact"/>
        <w:rPr>
          <w:rFonts w:hint="eastAsia" w:ascii="宋体" w:hAnsi="宋体" w:cs="宋体"/>
          <w:b/>
          <w:color w:val="auto"/>
          <w:sz w:val="24"/>
          <w:highlight w:val="none"/>
        </w:rPr>
      </w:pPr>
    </w:p>
    <w:p w14:paraId="0B971D3F">
      <w:pPr>
        <w:pageBreakBefore w:val="0"/>
        <w:kinsoku/>
        <w:wordWrap/>
        <w:overflowPunct/>
        <w:topLinePunct w:val="0"/>
        <w:bidi w:val="0"/>
        <w:adjustRightInd/>
        <w:spacing w:line="480" w:lineRule="exact"/>
        <w:rPr>
          <w:rFonts w:ascii="宋体" w:hAnsi="宋体" w:cs="宋体"/>
          <w:bCs/>
          <w:color w:val="auto"/>
          <w:sz w:val="24"/>
          <w:highlight w:val="none"/>
        </w:rPr>
      </w:pPr>
      <w:r>
        <w:rPr>
          <w:rFonts w:hint="eastAsia" w:ascii="宋体" w:hAnsi="宋体" w:cs="宋体"/>
          <w:b/>
          <w:color w:val="auto"/>
          <w:sz w:val="24"/>
          <w:highlight w:val="none"/>
        </w:rPr>
        <w:t>标项</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w:t>
      </w:r>
      <w:r>
        <w:rPr>
          <w:rFonts w:hint="eastAsia" w:ascii="宋体" w:hAnsi="宋体" w:cs="宋体"/>
          <w:bCs/>
          <w:color w:val="auto"/>
          <w:sz w:val="24"/>
          <w:highlight w:val="none"/>
        </w:rPr>
        <w:t>萧山区南片道路交通违法(事故)现场清障、施救及涉案车辆停放管理等服务</w:t>
      </w:r>
    </w:p>
    <w:p w14:paraId="0CDC1C57">
      <w:pPr>
        <w:pageBreakBefore w:val="0"/>
        <w:tabs>
          <w:tab w:val="left" w:pos="709"/>
        </w:tabs>
        <w:kinsoku/>
        <w:wordWrap/>
        <w:overflowPunct/>
        <w:topLinePunct w:val="0"/>
        <w:bidi w:val="0"/>
        <w:adjustRightInd/>
        <w:spacing w:line="480" w:lineRule="exact"/>
        <w:rPr>
          <w:rFonts w:ascii="宋体" w:hAnsi="宋体" w:cs="宋体"/>
          <w:b/>
          <w:color w:val="auto"/>
          <w:sz w:val="28"/>
          <w:szCs w:val="28"/>
          <w:highlight w:val="none"/>
        </w:rPr>
      </w:pPr>
      <w:r>
        <w:rPr>
          <w:rFonts w:hint="eastAsia" w:ascii="宋体" w:hAnsi="宋体" w:cs="宋体"/>
          <w:b/>
          <w:color w:val="auto"/>
          <w:sz w:val="28"/>
          <w:szCs w:val="28"/>
          <w:highlight w:val="none"/>
        </w:rPr>
        <w:t xml:space="preserve">1.技术需求： </w:t>
      </w:r>
    </w:p>
    <w:p w14:paraId="3E7D09A7">
      <w:pPr>
        <w:keepNext w:val="0"/>
        <w:keepLines w:val="0"/>
        <w:pageBreakBefore w:val="0"/>
        <w:widowControl w:val="0"/>
        <w:tabs>
          <w:tab w:val="left" w:pos="2340"/>
        </w:tabs>
        <w:kinsoku/>
        <w:wordWrap/>
        <w:overflowPunct/>
        <w:topLinePunct w:val="0"/>
        <w:autoSpaceDE/>
        <w:autoSpaceDN/>
        <w:bidi w:val="0"/>
        <w:adjustRightInd/>
        <w:snapToGrid/>
        <w:spacing w:line="360" w:lineRule="auto"/>
        <w:ind w:firstLine="466" w:firstLineChars="200"/>
        <w:textAlignment w:val="auto"/>
        <w:rPr>
          <w:rFonts w:ascii="宋体" w:hAnsi="宋体" w:cs="宋体"/>
          <w:b/>
          <w:color w:val="auto"/>
          <w:spacing w:val="-4"/>
          <w:sz w:val="24"/>
          <w:highlight w:val="none"/>
        </w:rPr>
      </w:pPr>
      <w:r>
        <w:rPr>
          <w:rFonts w:hint="eastAsia" w:ascii="宋体" w:hAnsi="宋体" w:cs="宋体"/>
          <w:b/>
          <w:color w:val="auto"/>
          <w:spacing w:val="-4"/>
          <w:sz w:val="24"/>
          <w:highlight w:val="none"/>
        </w:rPr>
        <w:t xml:space="preserve">（一）服务需求： </w:t>
      </w:r>
    </w:p>
    <w:p w14:paraId="308AB249">
      <w:pPr>
        <w:keepNext w:val="0"/>
        <w:keepLines w:val="0"/>
        <w:pageBreakBefore w:val="0"/>
        <w:widowControl w:val="0"/>
        <w:tabs>
          <w:tab w:val="left" w:pos="2340"/>
        </w:tabs>
        <w:kinsoku/>
        <w:wordWrap/>
        <w:overflowPunct/>
        <w:topLinePunct w:val="0"/>
        <w:autoSpaceDE/>
        <w:autoSpaceDN/>
        <w:bidi w:val="0"/>
        <w:adjustRightInd/>
        <w:snapToGrid/>
        <w:spacing w:line="360" w:lineRule="auto"/>
        <w:ind w:firstLine="466" w:firstLineChars="200"/>
        <w:textAlignment w:val="auto"/>
        <w:rPr>
          <w:rFonts w:ascii="宋体" w:hAnsi="宋体" w:cs="宋体"/>
          <w:b/>
          <w:color w:val="auto"/>
          <w:spacing w:val="-4"/>
          <w:sz w:val="24"/>
          <w:highlight w:val="none"/>
        </w:rPr>
      </w:pPr>
      <w:r>
        <w:rPr>
          <w:rFonts w:hint="eastAsia" w:ascii="宋体" w:hAnsi="宋体" w:cs="宋体"/>
          <w:b/>
          <w:color w:val="auto"/>
          <w:spacing w:val="-4"/>
          <w:sz w:val="24"/>
          <w:highlight w:val="none"/>
        </w:rPr>
        <w:t xml:space="preserve"> 服务内容及范围：</w:t>
      </w:r>
    </w:p>
    <w:p w14:paraId="7A24E5D8">
      <w:pPr>
        <w:keepNext w:val="0"/>
        <w:keepLines w:val="0"/>
        <w:pageBreakBefore w:val="0"/>
        <w:widowControl w:val="0"/>
        <w:tabs>
          <w:tab w:val="left" w:pos="2340"/>
        </w:tabs>
        <w:kinsoku/>
        <w:wordWrap/>
        <w:overflowPunct/>
        <w:topLinePunct w:val="0"/>
        <w:autoSpaceDE/>
        <w:autoSpaceDN/>
        <w:bidi w:val="0"/>
        <w:adjustRightInd/>
        <w:snapToGrid/>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▲提供不少于2个点位（每个点位</w:t>
      </w:r>
      <w:r>
        <w:rPr>
          <w:rFonts w:hint="eastAsia" w:ascii="宋体" w:hAnsi="宋体" w:cs="宋体"/>
          <w:color w:val="auto"/>
          <w:spacing w:val="-4"/>
          <w:sz w:val="24"/>
          <w:highlight w:val="none"/>
        </w:rPr>
        <w:t>场地实际可以停车面积不少于5000㎡</w:t>
      </w:r>
      <w:r>
        <w:rPr>
          <w:rFonts w:hint="eastAsia" w:ascii="宋体" w:hAnsi="宋体" w:cs="宋体"/>
          <w:bCs/>
          <w:color w:val="auto"/>
          <w:sz w:val="24"/>
          <w:highlight w:val="none"/>
        </w:rPr>
        <w:t>）的清障、施救、车辆停放、保管服务及配套的设施设备和服务人员 。</w:t>
      </w:r>
    </w:p>
    <w:p w14:paraId="6F951D6B">
      <w:pPr>
        <w:pStyle w:val="668"/>
        <w:keepNext w:val="0"/>
        <w:keepLines w:val="0"/>
        <w:pageBreakBefore w:val="0"/>
        <w:widowControl w:val="0"/>
        <w:kinsoku/>
        <w:wordWrap/>
        <w:overflowPunct/>
        <w:topLinePunct w:val="0"/>
        <w:autoSpaceDE/>
        <w:autoSpaceDN/>
        <w:bidi w:val="0"/>
        <w:adjustRightInd/>
        <w:snapToGrid/>
        <w:spacing w:before="0" w:beforeLines="0" w:after="0" w:line="360" w:lineRule="auto"/>
        <w:ind w:firstLine="480" w:firstLineChars="200"/>
        <w:textAlignment w:val="auto"/>
        <w:rPr>
          <w:color w:val="auto"/>
          <w:highlight w:val="none"/>
        </w:rPr>
      </w:pPr>
      <w:r>
        <w:rPr>
          <w:rFonts w:hint="eastAsia"/>
          <w:color w:val="auto"/>
          <w:highlight w:val="none"/>
        </w:rPr>
        <w:t>所投标项的停车场是属于可以合法停放机动车辆的专用停车场。</w:t>
      </w:r>
    </w:p>
    <w:p w14:paraId="6A7BF53D">
      <w:pPr>
        <w:keepNext w:val="0"/>
        <w:keepLines w:val="0"/>
        <w:pageBreakBefore w:val="0"/>
        <w:widowControl w:val="0"/>
        <w:tabs>
          <w:tab w:val="left" w:pos="2340"/>
        </w:tabs>
        <w:kinsoku/>
        <w:wordWrap/>
        <w:overflowPunct/>
        <w:topLinePunct w:val="0"/>
        <w:autoSpaceDE/>
        <w:autoSpaceDN/>
        <w:bidi w:val="0"/>
        <w:adjustRightInd/>
        <w:snapToGrid/>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本服务包含区公安分局承担交通管理业务的***开展交通管理业务所需的服务范围；后期如下属中队（***）管辖区域调整的，按照调整后的管辖区域确定服务区域范围。</w:t>
      </w:r>
    </w:p>
    <w:p w14:paraId="298F1D55">
      <w:pPr>
        <w:pageBreakBefore w:val="0"/>
        <w:tabs>
          <w:tab w:val="left" w:pos="2340"/>
        </w:tabs>
        <w:kinsoku/>
        <w:wordWrap/>
        <w:overflowPunct/>
        <w:topLinePunct w:val="0"/>
        <w:bidi w:val="0"/>
        <w:adjustRightInd/>
        <w:spacing w:line="480" w:lineRule="exact"/>
        <w:ind w:firstLine="466" w:firstLineChars="200"/>
        <w:rPr>
          <w:rFonts w:ascii="宋体" w:hAnsi="宋体" w:cs="宋体"/>
          <w:b/>
          <w:bCs/>
          <w:color w:val="auto"/>
          <w:sz w:val="24"/>
          <w:highlight w:val="none"/>
        </w:rPr>
      </w:pPr>
      <w:r>
        <w:rPr>
          <w:rFonts w:hint="eastAsia" w:ascii="宋体" w:hAnsi="宋体" w:cs="宋体"/>
          <w:b/>
          <w:bCs/>
          <w:color w:val="auto"/>
          <w:spacing w:val="-4"/>
          <w:sz w:val="24"/>
          <w:highlight w:val="none"/>
        </w:rPr>
        <w:t>（</w:t>
      </w:r>
      <w:r>
        <w:rPr>
          <w:rFonts w:hint="eastAsia" w:ascii="宋体" w:hAnsi="宋体" w:cs="宋体"/>
          <w:b/>
          <w:bCs/>
          <w:color w:val="auto"/>
          <w:sz w:val="24"/>
          <w:highlight w:val="none"/>
        </w:rPr>
        <w:t>二）土地保障要求</w:t>
      </w:r>
      <w:r>
        <w:rPr>
          <w:rFonts w:hint="eastAsia" w:ascii="宋体" w:hAnsi="宋体" w:cs="宋体"/>
          <w:b/>
          <w:color w:val="auto"/>
          <w:spacing w:val="-4"/>
          <w:sz w:val="24"/>
          <w:highlight w:val="none"/>
        </w:rPr>
        <w:t>：</w:t>
      </w:r>
    </w:p>
    <w:p w14:paraId="32DE6728">
      <w:pPr>
        <w:pageBreakBefore w:val="0"/>
        <w:tabs>
          <w:tab w:val="left" w:pos="2340"/>
        </w:tabs>
        <w:kinsoku/>
        <w:wordWrap/>
        <w:overflowPunct/>
        <w:topLinePunct w:val="0"/>
        <w:bidi w:val="0"/>
        <w:adjustRightInd/>
        <w:spacing w:line="480" w:lineRule="exact"/>
        <w:ind w:firstLine="480" w:firstLineChars="200"/>
        <w:rPr>
          <w:rFonts w:hint="eastAsia" w:ascii="宋体" w:hAnsi="宋体" w:cs="宋体"/>
          <w:bCs/>
          <w:color w:val="auto"/>
          <w:sz w:val="24"/>
          <w:highlight w:val="none"/>
          <w:lang w:eastAsia="zh-CN"/>
        </w:rPr>
      </w:pPr>
      <w:r>
        <w:rPr>
          <w:rFonts w:hint="eastAsia" w:ascii="宋体" w:hAnsi="宋体" w:cs="宋体"/>
          <w:bCs/>
          <w:color w:val="auto"/>
          <w:sz w:val="24"/>
          <w:highlight w:val="none"/>
        </w:rPr>
        <w:t>▲若场地所属情况为</w:t>
      </w:r>
      <w:r>
        <w:rPr>
          <w:rFonts w:hint="eastAsia" w:ascii="宋体" w:hAnsi="宋体" w:cs="宋体"/>
          <w:color w:val="auto"/>
          <w:spacing w:val="-4"/>
          <w:sz w:val="24"/>
          <w:highlight w:val="none"/>
        </w:rPr>
        <w:t>成交供应商</w:t>
      </w:r>
      <w:r>
        <w:rPr>
          <w:rFonts w:hint="eastAsia" w:ascii="宋体" w:hAnsi="宋体" w:cs="宋体"/>
          <w:bCs/>
          <w:color w:val="auto"/>
          <w:sz w:val="24"/>
          <w:highlight w:val="none"/>
        </w:rPr>
        <w:t>自有，需提供</w:t>
      </w:r>
      <w:r>
        <w:rPr>
          <w:rFonts w:hint="eastAsia" w:ascii="宋体" w:hAnsi="宋体" w:cs="宋体"/>
          <w:bCs/>
          <w:color w:val="auto"/>
          <w:sz w:val="24"/>
          <w:highlight w:val="none"/>
          <w:lang w:eastAsia="zh-CN"/>
        </w:rPr>
        <w:t>现场场地照片（体现整个现场周围情况的方位、场地全貌、场地停车区域、场地进出口等照片）、产权证</w:t>
      </w:r>
      <w:r>
        <w:rPr>
          <w:rFonts w:hint="eastAsia" w:ascii="宋体" w:hAnsi="宋体" w:cs="宋体"/>
          <w:bCs/>
          <w:color w:val="auto"/>
          <w:sz w:val="24"/>
          <w:highlight w:val="none"/>
        </w:rPr>
        <w:t>复印件等证明场地所属情况证明（其证明材料中须有明确的停车场地面积）；若场地所属情况为待租赁的，中标单位须承诺在中标公示发布之日起十五个工作日内完成签订场地租用协议或合同</w:t>
      </w:r>
      <w:r>
        <w:rPr>
          <w:rFonts w:hint="eastAsia" w:ascii="宋体" w:hAnsi="宋体" w:cs="宋体"/>
          <w:bCs/>
          <w:color w:val="auto"/>
          <w:sz w:val="24"/>
          <w:highlight w:val="none"/>
          <w:lang w:eastAsia="zh-CN"/>
        </w:rPr>
        <w:t>、现场场地照片（体现整个现场周围情况的方位、场地全貌、场地停车区域、场地进出口等照片），</w:t>
      </w:r>
      <w:r>
        <w:rPr>
          <w:rFonts w:hint="eastAsia" w:ascii="宋体" w:hAnsi="宋体" w:cs="宋体"/>
          <w:bCs/>
          <w:color w:val="auto"/>
          <w:sz w:val="24"/>
          <w:highlight w:val="none"/>
        </w:rPr>
        <w:t>其租赁服务期不少于本项目的服务期限；如场地已租赁且在租赁期内，中标单位同样应提供相应的租赁合同及</w:t>
      </w:r>
      <w:r>
        <w:rPr>
          <w:rFonts w:hint="eastAsia" w:ascii="宋体" w:hAnsi="宋体" w:cs="宋体"/>
          <w:color w:val="auto"/>
          <w:sz w:val="24"/>
          <w:highlight w:val="none"/>
        </w:rPr>
        <w:t>可用于机动车辆停放的政府证明</w:t>
      </w:r>
      <w:r>
        <w:rPr>
          <w:rFonts w:hint="eastAsia" w:ascii="宋体" w:hAnsi="宋体" w:cs="宋体"/>
          <w:color w:val="auto"/>
          <w:sz w:val="24"/>
          <w:highlight w:val="none"/>
          <w:lang w:eastAsia="zh-CN"/>
        </w:rPr>
        <w:t>、</w:t>
      </w:r>
      <w:r>
        <w:rPr>
          <w:rFonts w:hint="eastAsia" w:ascii="宋体" w:hAnsi="宋体" w:cs="宋体"/>
          <w:bCs/>
          <w:color w:val="auto"/>
          <w:sz w:val="24"/>
          <w:highlight w:val="none"/>
          <w:lang w:eastAsia="zh-CN"/>
        </w:rPr>
        <w:t>现场场地照片（体现整个现场周围情况的方位、场地全貌、场地停车区域、场地进出口等照片）</w:t>
      </w:r>
      <w:r>
        <w:rPr>
          <w:rFonts w:hint="eastAsia" w:ascii="宋体" w:hAnsi="宋体" w:cs="宋体"/>
          <w:bCs/>
          <w:color w:val="auto"/>
          <w:sz w:val="24"/>
          <w:highlight w:val="none"/>
        </w:rPr>
        <w:t>等证明材料（其证明材料中须有明确的停车场地面积），并保证承诺租赁服务期不少于本项目的服务期限。（承诺文件格式自拟，不提供则作无效处理）</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lang w:eastAsia="zh-CN"/>
        </w:rPr>
        <w:t>除永久农田保卫线、生态线及其他法律法规禁止使用于车辆停放的场地外，该处场地还需有明确可以用于车辆停放使用的产属证明材料（</w:t>
      </w:r>
      <w:r>
        <w:rPr>
          <w:rFonts w:hint="eastAsia" w:ascii="宋体" w:hAnsi="宋体" w:eastAsia="宋体" w:cs="宋体"/>
          <w:bCs/>
          <w:color w:val="auto"/>
          <w:sz w:val="24"/>
          <w:highlight w:val="none"/>
          <w:lang w:val="en-US" w:eastAsia="zh-CN"/>
        </w:rPr>
        <w:t>适用于机动车辆停放）</w:t>
      </w:r>
      <w:r>
        <w:rPr>
          <w:rFonts w:hint="eastAsia" w:ascii="宋体" w:hAnsi="宋体" w:eastAsia="宋体" w:cs="宋体"/>
          <w:bCs/>
          <w:color w:val="auto"/>
          <w:sz w:val="24"/>
          <w:highlight w:val="none"/>
          <w:lang w:eastAsia="zh-CN"/>
        </w:rPr>
        <w:t>。</w:t>
      </w:r>
    </w:p>
    <w:p w14:paraId="4B6CFFAA">
      <w:pPr>
        <w:pageBreakBefore w:val="0"/>
        <w:tabs>
          <w:tab w:val="left" w:pos="2340"/>
        </w:tabs>
        <w:kinsoku/>
        <w:wordWrap/>
        <w:overflowPunct/>
        <w:topLinePunct w:val="0"/>
        <w:bidi w:val="0"/>
        <w:adjustRightInd/>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▲承诺文件中须包括场地具体点位地址，具体场地总面积及可停车面积大小，且附网上电子地图证明截图并能清楚显示场地周边道路情况。</w:t>
      </w:r>
      <w:r>
        <w:rPr>
          <w:rFonts w:hint="eastAsia" w:ascii="宋体" w:hAnsi="宋体" w:cs="宋体"/>
          <w:bCs/>
          <w:color w:val="auto"/>
          <w:sz w:val="24"/>
          <w:highlight w:val="none"/>
          <w:lang w:eastAsia="zh-CN"/>
        </w:rPr>
        <w:t>各停车场间道路行驶距离需大于</w:t>
      </w:r>
      <w:r>
        <w:rPr>
          <w:rFonts w:hint="eastAsia" w:ascii="宋体" w:hAnsi="宋体" w:cs="宋体"/>
          <w:bCs/>
          <w:color w:val="auto"/>
          <w:sz w:val="24"/>
          <w:highlight w:val="none"/>
          <w:lang w:val="en-US" w:eastAsia="zh-CN"/>
        </w:rPr>
        <w:t>15公里。</w:t>
      </w:r>
      <w:r>
        <w:rPr>
          <w:rFonts w:hint="eastAsia" w:ascii="宋体" w:hAnsi="宋体" w:cs="宋体"/>
          <w:bCs/>
          <w:color w:val="auto"/>
          <w:sz w:val="24"/>
          <w:highlight w:val="none"/>
        </w:rPr>
        <w:t>（文件格式自拟，未提供承诺文件则作无效处理）</w:t>
      </w:r>
    </w:p>
    <w:p w14:paraId="70F5CE8A">
      <w:pPr>
        <w:pageBreakBefore w:val="0"/>
        <w:tabs>
          <w:tab w:val="left" w:pos="2340"/>
        </w:tabs>
        <w:kinsoku/>
        <w:wordWrap/>
        <w:overflowPunct/>
        <w:topLinePunct w:val="0"/>
        <w:bidi w:val="0"/>
        <w:adjustRightInd/>
        <w:spacing w:line="4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车辆保管场地处地理位置与周边的道路交通等应有利于车辆的进出；停车场所与其他作业区域的平面布置需合理有序。</w:t>
      </w:r>
    </w:p>
    <w:p w14:paraId="4331392F">
      <w:pPr>
        <w:pageBreakBefore w:val="0"/>
        <w:tabs>
          <w:tab w:val="left" w:pos="2340"/>
        </w:tabs>
        <w:kinsoku/>
        <w:wordWrap/>
        <w:overflowPunct/>
        <w:topLinePunct w:val="0"/>
        <w:bidi w:val="0"/>
        <w:adjustRightInd/>
        <w:spacing w:line="48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保管场地的相关基本情况说明（</w:t>
      </w:r>
      <w:r>
        <w:rPr>
          <w:rFonts w:hint="eastAsia" w:ascii="宋体" w:hAnsi="宋体" w:cs="宋体"/>
          <w:bCs/>
          <w:color w:val="auto"/>
          <w:sz w:val="24"/>
          <w:highlight w:val="none"/>
        </w:rPr>
        <w:t>在投标时提供，格式如下</w:t>
      </w:r>
      <w:r>
        <w:rPr>
          <w:rFonts w:hint="eastAsia" w:ascii="宋体" w:hAnsi="宋体" w:cs="宋体"/>
          <w:color w:val="auto"/>
          <w:sz w:val="24"/>
          <w:highlight w:val="none"/>
          <w:lang w:eastAsia="zh-CN"/>
        </w:rPr>
        <w:t>）：</w:t>
      </w:r>
    </w:p>
    <w:tbl>
      <w:tblPr>
        <w:tblStyle w:val="63"/>
        <w:tblpPr w:leftFromText="180" w:rightFromText="180" w:vertAnchor="text" w:tblpX="131"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891"/>
        <w:gridCol w:w="880"/>
        <w:gridCol w:w="1397"/>
        <w:gridCol w:w="1566"/>
        <w:gridCol w:w="1537"/>
        <w:gridCol w:w="1238"/>
        <w:gridCol w:w="947"/>
      </w:tblGrid>
      <w:tr w14:paraId="3B5C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40" w:type="dxa"/>
            <w:noWrap w:val="0"/>
            <w:vAlign w:val="center"/>
          </w:tcPr>
          <w:p w14:paraId="134B4400">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序号</w:t>
            </w:r>
          </w:p>
        </w:tc>
        <w:tc>
          <w:tcPr>
            <w:tcW w:w="891" w:type="dxa"/>
            <w:noWrap w:val="0"/>
            <w:vAlign w:val="center"/>
          </w:tcPr>
          <w:p w14:paraId="05075C3A">
            <w:pPr>
              <w:pageBreakBefore w:val="0"/>
              <w:tabs>
                <w:tab w:val="left" w:pos="2340"/>
              </w:tabs>
              <w:kinsoku/>
              <w:wordWrap/>
              <w:overflowPunct/>
              <w:topLinePunct w:val="0"/>
              <w:bidi w:val="0"/>
              <w:adjustRightInd/>
              <w:spacing w:line="480" w:lineRule="exact"/>
              <w:jc w:val="center"/>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所有人</w:t>
            </w:r>
          </w:p>
        </w:tc>
        <w:tc>
          <w:tcPr>
            <w:tcW w:w="880" w:type="dxa"/>
            <w:noWrap w:val="0"/>
            <w:vAlign w:val="center"/>
          </w:tcPr>
          <w:p w14:paraId="68823580">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具体</w:t>
            </w:r>
          </w:p>
          <w:p w14:paraId="5D5DEBA7">
            <w:pPr>
              <w:pageBreakBefore w:val="0"/>
              <w:tabs>
                <w:tab w:val="left" w:pos="2340"/>
              </w:tabs>
              <w:kinsoku/>
              <w:wordWrap/>
              <w:overflowPunct/>
              <w:topLinePunct w:val="0"/>
              <w:bidi w:val="0"/>
              <w:adjustRightInd/>
              <w:spacing w:line="480" w:lineRule="exact"/>
              <w:jc w:val="center"/>
              <w:rPr>
                <w:rFonts w:hint="eastAsia" w:ascii="宋体" w:hAnsi="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位置</w:t>
            </w:r>
          </w:p>
        </w:tc>
        <w:tc>
          <w:tcPr>
            <w:tcW w:w="1397" w:type="dxa"/>
            <w:noWrap w:val="0"/>
            <w:vAlign w:val="center"/>
          </w:tcPr>
          <w:p w14:paraId="46DCEA37">
            <w:pPr>
              <w:pageBreakBefore w:val="0"/>
              <w:tabs>
                <w:tab w:val="left" w:pos="2340"/>
              </w:tabs>
              <w:kinsoku/>
              <w:wordWrap/>
              <w:overflowPunct/>
              <w:topLinePunct w:val="0"/>
              <w:bidi w:val="0"/>
              <w:adjustRightInd/>
              <w:spacing w:line="480" w:lineRule="exact"/>
              <w:jc w:val="center"/>
              <w:rPr>
                <w:rFonts w:hint="eastAsia" w:ascii="宋体" w:hAnsi="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总面积（平方米）</w:t>
            </w:r>
          </w:p>
        </w:tc>
        <w:tc>
          <w:tcPr>
            <w:tcW w:w="1566" w:type="dxa"/>
            <w:noWrap w:val="0"/>
            <w:vAlign w:val="center"/>
          </w:tcPr>
          <w:p w14:paraId="1B55C154">
            <w:pPr>
              <w:pageBreakBefore w:val="0"/>
              <w:tabs>
                <w:tab w:val="left" w:pos="2340"/>
              </w:tabs>
              <w:kinsoku/>
              <w:wordWrap/>
              <w:overflowPunct/>
              <w:topLinePunct w:val="0"/>
              <w:bidi w:val="0"/>
              <w:adjustRightInd/>
              <w:spacing w:line="480" w:lineRule="exact"/>
              <w:jc w:val="center"/>
              <w:rPr>
                <w:rFonts w:hint="eastAsia" w:ascii="宋体" w:hAnsi="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可停车面积（平方米）</w:t>
            </w:r>
          </w:p>
        </w:tc>
        <w:tc>
          <w:tcPr>
            <w:tcW w:w="1537" w:type="dxa"/>
            <w:noWrap w:val="0"/>
            <w:vAlign w:val="center"/>
          </w:tcPr>
          <w:p w14:paraId="759DE470">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产权性质（自有</w:t>
            </w:r>
            <w:r>
              <w:rPr>
                <w:rFonts w:hint="eastAsia" w:ascii="宋体" w:hAnsi="宋体" w:eastAsia="宋体" w:cs="宋体"/>
                <w:color w:val="auto"/>
                <w:sz w:val="24"/>
                <w:highlight w:val="none"/>
                <w:vertAlign w:val="baseline"/>
                <w:lang w:eastAsia="zh-CN"/>
              </w:rPr>
              <w:t>/租赁）</w:t>
            </w:r>
          </w:p>
        </w:tc>
        <w:tc>
          <w:tcPr>
            <w:tcW w:w="1238" w:type="dxa"/>
            <w:noWrap w:val="0"/>
            <w:vAlign w:val="center"/>
          </w:tcPr>
          <w:p w14:paraId="0D032079">
            <w:pPr>
              <w:pageBreakBefore w:val="0"/>
              <w:tabs>
                <w:tab w:val="left" w:pos="2340"/>
              </w:tabs>
              <w:kinsoku/>
              <w:wordWrap/>
              <w:overflowPunct/>
              <w:topLinePunct w:val="0"/>
              <w:bidi w:val="0"/>
              <w:adjustRightInd/>
              <w:spacing w:line="480" w:lineRule="exact"/>
              <w:jc w:val="center"/>
              <w:rPr>
                <w:rFonts w:hint="eastAsia" w:ascii="宋体" w:hAnsi="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必备</w:t>
            </w:r>
            <w:r>
              <w:rPr>
                <w:rFonts w:hint="eastAsia" w:ascii="宋体" w:hAnsi="宋体" w:eastAsia="宋体" w:cs="宋体"/>
                <w:color w:val="auto"/>
                <w:sz w:val="24"/>
                <w:highlight w:val="none"/>
                <w:vertAlign w:val="baseline"/>
                <w:lang w:eastAsia="zh-CN"/>
              </w:rPr>
              <w:t>/额外配备</w:t>
            </w:r>
          </w:p>
        </w:tc>
        <w:tc>
          <w:tcPr>
            <w:tcW w:w="947" w:type="dxa"/>
            <w:noWrap w:val="0"/>
            <w:vAlign w:val="center"/>
          </w:tcPr>
          <w:p w14:paraId="64FEF201">
            <w:pPr>
              <w:pageBreakBefore w:val="0"/>
              <w:tabs>
                <w:tab w:val="left" w:pos="2340"/>
              </w:tabs>
              <w:kinsoku/>
              <w:wordWrap/>
              <w:overflowPunct/>
              <w:topLinePunct w:val="0"/>
              <w:bidi w:val="0"/>
              <w:adjustRightInd/>
              <w:spacing w:line="480" w:lineRule="exact"/>
              <w:jc w:val="center"/>
              <w:rPr>
                <w:rFonts w:hint="eastAsia" w:ascii="宋体" w:hAnsi="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备注</w:t>
            </w:r>
          </w:p>
        </w:tc>
      </w:tr>
      <w:tr w14:paraId="56FA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40" w:type="dxa"/>
            <w:noWrap w:val="0"/>
            <w:vAlign w:val="top"/>
          </w:tcPr>
          <w:p w14:paraId="3EF69661">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891" w:type="dxa"/>
            <w:noWrap w:val="0"/>
            <w:vAlign w:val="top"/>
          </w:tcPr>
          <w:p w14:paraId="4C52E0BC">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880" w:type="dxa"/>
            <w:noWrap w:val="0"/>
            <w:vAlign w:val="top"/>
          </w:tcPr>
          <w:p w14:paraId="71B03BBC">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397" w:type="dxa"/>
            <w:noWrap w:val="0"/>
            <w:vAlign w:val="top"/>
          </w:tcPr>
          <w:p w14:paraId="2D39297C">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566" w:type="dxa"/>
            <w:noWrap w:val="0"/>
            <w:vAlign w:val="top"/>
          </w:tcPr>
          <w:p w14:paraId="277F7ADC">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537" w:type="dxa"/>
            <w:noWrap w:val="0"/>
            <w:vAlign w:val="top"/>
          </w:tcPr>
          <w:p w14:paraId="6447F249">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238" w:type="dxa"/>
            <w:noWrap w:val="0"/>
            <w:vAlign w:val="top"/>
          </w:tcPr>
          <w:p w14:paraId="6E402065">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947" w:type="dxa"/>
            <w:noWrap w:val="0"/>
            <w:vAlign w:val="top"/>
          </w:tcPr>
          <w:p w14:paraId="0FB1C51B">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r>
    </w:tbl>
    <w:p w14:paraId="71A3A71D">
      <w:pPr>
        <w:pageBreakBefore w:val="0"/>
        <w:tabs>
          <w:tab w:val="left" w:pos="2340"/>
        </w:tabs>
        <w:kinsoku/>
        <w:wordWrap/>
        <w:overflowPunct/>
        <w:topLinePunct w:val="0"/>
        <w:bidi w:val="0"/>
        <w:adjustRightInd/>
        <w:spacing w:line="240" w:lineRule="auto"/>
        <w:ind w:firstLine="0" w:firstLineChars="0"/>
        <w:rPr>
          <w:rFonts w:hint="eastAsia" w:ascii="宋体" w:hAnsi="宋体" w:cs="宋体"/>
          <w:color w:val="auto"/>
          <w:sz w:val="24"/>
          <w:highlight w:val="none"/>
          <w:lang w:val="en-US" w:eastAsia="zh-CN"/>
        </w:rPr>
      </w:pPr>
    </w:p>
    <w:p w14:paraId="57CE822D">
      <w:pPr>
        <w:pageBreakBefore w:val="0"/>
        <w:tabs>
          <w:tab w:val="left" w:pos="2340"/>
        </w:tabs>
        <w:kinsoku/>
        <w:wordWrap/>
        <w:overflowPunct/>
        <w:topLinePunct w:val="0"/>
        <w:bidi w:val="0"/>
        <w:adjustRightInd/>
        <w:spacing w:line="48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注：所有人、</w:t>
      </w:r>
      <w:r>
        <w:rPr>
          <w:rFonts w:hint="eastAsia" w:ascii="宋体" w:hAnsi="宋体" w:cs="宋体"/>
          <w:color w:val="auto"/>
          <w:sz w:val="24"/>
          <w:highlight w:val="none"/>
          <w:vertAlign w:val="baseline"/>
          <w:lang w:eastAsia="zh-CN"/>
        </w:rPr>
        <w:t>总面积</w:t>
      </w:r>
      <w:r>
        <w:rPr>
          <w:rFonts w:hint="eastAsia" w:ascii="宋体" w:hAnsi="宋体" w:cs="宋体"/>
          <w:color w:val="auto"/>
          <w:sz w:val="24"/>
          <w:highlight w:val="none"/>
          <w:lang w:eastAsia="zh-CN"/>
        </w:rPr>
        <w:t>按照产权证（</w:t>
      </w:r>
      <w:r>
        <w:rPr>
          <w:rFonts w:hint="eastAsia" w:ascii="宋体" w:hAnsi="宋体" w:cs="宋体"/>
          <w:color w:val="auto"/>
          <w:sz w:val="24"/>
          <w:highlight w:val="none"/>
          <w:lang w:val="en-US" w:eastAsia="zh-CN"/>
        </w:rPr>
        <w:t>或</w:t>
      </w:r>
      <w:r>
        <w:rPr>
          <w:rFonts w:hint="eastAsia" w:ascii="宋体" w:hAnsi="宋体" w:cs="宋体"/>
          <w:color w:val="auto"/>
          <w:sz w:val="24"/>
          <w:highlight w:val="none"/>
          <w:lang w:eastAsia="zh-CN"/>
        </w:rPr>
        <w:t>租凭合同）上标注填写；具体位置按照高德地图上显示的名称填写；可停车面积按照实际测量的数据，如实填写，并提供单位书面承诺说明。场地属自有，但产权证标注非自有单位的，须有足够依据证明（购买发票、转让协议、支付凭证等）。</w:t>
      </w:r>
    </w:p>
    <w:p w14:paraId="04B638F2">
      <w:pPr>
        <w:pageBreakBefore w:val="0"/>
        <w:tabs>
          <w:tab w:val="left" w:pos="2340"/>
        </w:tabs>
        <w:kinsoku/>
        <w:wordWrap/>
        <w:overflowPunct/>
        <w:topLinePunct w:val="0"/>
        <w:bidi w:val="0"/>
        <w:adjustRightInd/>
        <w:spacing w:line="480" w:lineRule="exact"/>
        <w:rPr>
          <w:rFonts w:ascii="宋体" w:hAnsi="宋体" w:cs="宋体"/>
          <w:b/>
          <w:bCs/>
          <w:color w:val="auto"/>
          <w:sz w:val="24"/>
          <w:highlight w:val="none"/>
        </w:rPr>
      </w:pPr>
      <w:r>
        <w:rPr>
          <w:rFonts w:hint="eastAsia" w:ascii="宋体" w:hAnsi="宋体" w:cs="宋体"/>
          <w:b/>
          <w:bCs/>
          <w:color w:val="auto"/>
          <w:sz w:val="24"/>
          <w:highlight w:val="none"/>
        </w:rPr>
        <w:t xml:space="preserve">  （三）车辆保障要求</w:t>
      </w:r>
      <w:r>
        <w:rPr>
          <w:rFonts w:hint="eastAsia" w:ascii="宋体" w:hAnsi="宋体" w:cs="宋体"/>
          <w:b/>
          <w:color w:val="auto"/>
          <w:spacing w:val="-4"/>
          <w:sz w:val="24"/>
          <w:highlight w:val="none"/>
        </w:rPr>
        <w:t>：</w:t>
      </w:r>
    </w:p>
    <w:p w14:paraId="2C214B75">
      <w:pPr>
        <w:pageBreakBefore w:val="0"/>
        <w:tabs>
          <w:tab w:val="left" w:pos="2340"/>
        </w:tabs>
        <w:kinsoku/>
        <w:wordWrap/>
        <w:overflowPunct/>
        <w:topLinePunct w:val="0"/>
        <w:bidi w:val="0"/>
        <w:adjustRightInd/>
        <w:spacing w:line="480" w:lineRule="exact"/>
        <w:ind w:firstLine="480" w:firstLineChars="200"/>
        <w:rPr>
          <w:rFonts w:ascii="宋体" w:hAnsi="宋体" w:cs="宋体"/>
          <w:b w:val="0"/>
          <w:bCs/>
          <w:color w:val="auto"/>
          <w:sz w:val="24"/>
          <w:highlight w:val="none"/>
        </w:rPr>
      </w:pPr>
      <w:r>
        <w:rPr>
          <w:rFonts w:hint="eastAsia" w:ascii="宋体" w:hAnsi="宋体" w:cs="宋体"/>
          <w:bCs/>
          <w:color w:val="auto"/>
          <w:sz w:val="24"/>
          <w:highlight w:val="none"/>
        </w:rPr>
        <w:t>▲每个点位须具有项目实施所需非载货专项作业车2辆（即黄牌拖车）、轻型货车（含轻型非载货专项作业车）1辆、叉车、铲车或挖掘机1辆（用于配合车辆在场地内卸货时使用），根据车辆行驶</w:t>
      </w:r>
      <w:r>
        <w:rPr>
          <w:rFonts w:hint="eastAsia" w:ascii="宋体" w:hAnsi="宋体" w:cs="宋体"/>
          <w:b w:val="0"/>
          <w:bCs/>
          <w:color w:val="auto"/>
          <w:sz w:val="24"/>
          <w:highlight w:val="none"/>
        </w:rPr>
        <w:t>证（含发票、合格证、登记证书）车辆类型标注进行区别，各类车使用功能根据车辆行驶证（含发票、合格证、登记证书）标注的信息及车辆照片进行区别。</w:t>
      </w:r>
    </w:p>
    <w:p w14:paraId="6A1CFD1F">
      <w:pPr>
        <w:pageBreakBefore w:val="0"/>
        <w:tabs>
          <w:tab w:val="left" w:pos="2340"/>
        </w:tabs>
        <w:kinsoku/>
        <w:wordWrap/>
        <w:overflowPunct/>
        <w:topLinePunct w:val="0"/>
        <w:bidi w:val="0"/>
        <w:adjustRightInd/>
        <w:spacing w:line="480" w:lineRule="exact"/>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▲若车辆所属情况为单位自有，需提供</w:t>
      </w:r>
      <w:r>
        <w:rPr>
          <w:rFonts w:hint="eastAsia" w:ascii="宋体" w:hAnsi="宋体" w:cs="宋体"/>
          <w:bCs/>
          <w:color w:val="auto"/>
          <w:sz w:val="24"/>
          <w:highlight w:val="none"/>
          <w:lang w:eastAsia="zh-CN"/>
        </w:rPr>
        <w:t>车辆照片（体现车辆全貌的前后侧面彩色照片）、</w:t>
      </w:r>
      <w:r>
        <w:rPr>
          <w:rFonts w:hint="eastAsia" w:ascii="宋体" w:hAnsi="宋体" w:cs="宋体"/>
          <w:bCs/>
          <w:color w:val="auto"/>
          <w:sz w:val="24"/>
          <w:highlight w:val="none"/>
        </w:rPr>
        <w:t>车辆行驶证（含</w:t>
      </w:r>
      <w:r>
        <w:rPr>
          <w:rFonts w:hint="eastAsia" w:ascii="宋体" w:hAnsi="宋体" w:cs="宋体"/>
          <w:bCs/>
          <w:color w:val="auto"/>
          <w:sz w:val="24"/>
          <w:highlight w:val="none"/>
          <w:lang w:eastAsia="zh-CN"/>
        </w:rPr>
        <w:t>发票、</w:t>
      </w:r>
      <w:r>
        <w:rPr>
          <w:rFonts w:hint="eastAsia" w:ascii="宋体" w:hAnsi="宋体" w:cs="宋体"/>
          <w:bCs/>
          <w:color w:val="auto"/>
          <w:sz w:val="24"/>
          <w:highlight w:val="none"/>
        </w:rPr>
        <w:t>合格证）复印件</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等证明车辆所属情况证明；若车辆所属情况为租赁的，需提供</w:t>
      </w:r>
      <w:r>
        <w:rPr>
          <w:rFonts w:hint="eastAsia" w:ascii="宋体" w:hAnsi="宋体" w:cs="宋体"/>
          <w:bCs/>
          <w:color w:val="auto"/>
          <w:sz w:val="24"/>
          <w:highlight w:val="none"/>
          <w:lang w:eastAsia="zh-CN"/>
        </w:rPr>
        <w:t>车辆照片（体现车辆全貌的前后侧面彩色照片）、</w:t>
      </w:r>
      <w:r>
        <w:rPr>
          <w:rFonts w:hint="eastAsia" w:ascii="宋体" w:hAnsi="宋体" w:cs="宋体"/>
          <w:bCs/>
          <w:color w:val="auto"/>
          <w:sz w:val="24"/>
          <w:highlight w:val="none"/>
        </w:rPr>
        <w:t>车辆行驶证（含合格证）复印件及租赁合同证明资料，其租赁期不得少于本项目的服务期限；如服务车辆已租赁且在租赁期内，中标单位同样应保证承诺租赁服务期不少于本项目的服务期限</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并</w:t>
      </w:r>
      <w:r>
        <w:rPr>
          <w:rFonts w:hint="eastAsia" w:ascii="宋体" w:hAnsi="宋体" w:cs="宋体"/>
          <w:bCs/>
          <w:color w:val="auto"/>
          <w:sz w:val="24"/>
          <w:highlight w:val="none"/>
        </w:rPr>
        <w:t>需提供</w:t>
      </w:r>
      <w:r>
        <w:rPr>
          <w:rFonts w:hint="eastAsia" w:ascii="宋体" w:hAnsi="宋体" w:cs="宋体"/>
          <w:bCs/>
          <w:color w:val="auto"/>
          <w:sz w:val="24"/>
          <w:highlight w:val="none"/>
          <w:lang w:eastAsia="zh-CN"/>
        </w:rPr>
        <w:t>车辆照片（体现车辆全貌的前后侧面彩色照片）、</w:t>
      </w:r>
      <w:r>
        <w:rPr>
          <w:rFonts w:hint="eastAsia" w:ascii="宋体" w:hAnsi="宋体" w:cs="宋体"/>
          <w:bCs/>
          <w:color w:val="auto"/>
          <w:sz w:val="24"/>
          <w:highlight w:val="none"/>
        </w:rPr>
        <w:t>车辆行驶证（含合格证）复印件及租赁合同证明资料</w:t>
      </w:r>
      <w:r>
        <w:rPr>
          <w:rFonts w:hint="eastAsia" w:ascii="宋体" w:hAnsi="宋体" w:cs="宋体"/>
          <w:bCs/>
          <w:color w:val="auto"/>
          <w:sz w:val="24"/>
          <w:highlight w:val="none"/>
          <w:lang w:eastAsia="zh-CN"/>
        </w:rPr>
        <w:t>。(承诺文件格式自拟，不提供则作无效处理)</w:t>
      </w:r>
    </w:p>
    <w:p w14:paraId="72A10CDE">
      <w:pPr>
        <w:pageBreakBefore w:val="0"/>
        <w:tabs>
          <w:tab w:val="left" w:pos="2340"/>
        </w:tabs>
        <w:kinsoku/>
        <w:wordWrap/>
        <w:overflowPunct/>
        <w:topLinePunct w:val="0"/>
        <w:bidi w:val="0"/>
        <w:adjustRightInd/>
        <w:spacing w:line="48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施救车辆</w:t>
      </w:r>
      <w:r>
        <w:rPr>
          <w:rFonts w:hint="eastAsia" w:ascii="宋体" w:hAnsi="宋体" w:cs="宋体"/>
          <w:color w:val="auto"/>
          <w:sz w:val="24"/>
          <w:highlight w:val="none"/>
          <w:lang w:eastAsia="zh-CN"/>
        </w:rPr>
        <w:t>的相关基本情况说明</w:t>
      </w:r>
      <w:r>
        <w:rPr>
          <w:rFonts w:hint="eastAsia" w:ascii="宋体" w:hAnsi="宋体" w:cs="宋体"/>
          <w:bCs/>
          <w:color w:val="auto"/>
          <w:sz w:val="24"/>
          <w:highlight w:val="none"/>
        </w:rPr>
        <w:t>（在投标时提供，格式如下）：</w:t>
      </w:r>
    </w:p>
    <w:tbl>
      <w:tblPr>
        <w:tblStyle w:val="63"/>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780"/>
        <w:gridCol w:w="739"/>
        <w:gridCol w:w="796"/>
        <w:gridCol w:w="911"/>
        <w:gridCol w:w="1349"/>
        <w:gridCol w:w="1631"/>
        <w:gridCol w:w="1350"/>
        <w:gridCol w:w="1116"/>
      </w:tblGrid>
      <w:tr w14:paraId="4B31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58" w:type="dxa"/>
            <w:noWrap w:val="0"/>
            <w:vAlign w:val="center"/>
          </w:tcPr>
          <w:p w14:paraId="283AD42A">
            <w:pPr>
              <w:pageBreakBefore w:val="0"/>
              <w:tabs>
                <w:tab w:val="left" w:pos="2340"/>
              </w:tabs>
              <w:kinsoku/>
              <w:wordWrap/>
              <w:overflowPunct/>
              <w:topLinePunct w:val="0"/>
              <w:bidi w:val="0"/>
              <w:adjustRightInd/>
              <w:spacing w:line="480" w:lineRule="exact"/>
              <w:jc w:val="center"/>
              <w:rPr>
                <w:rFonts w:hint="eastAsia" w:ascii="宋体" w:hAnsi="宋体" w:eastAsia="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序号</w:t>
            </w:r>
          </w:p>
        </w:tc>
        <w:tc>
          <w:tcPr>
            <w:tcW w:w="780" w:type="dxa"/>
            <w:noWrap w:val="0"/>
            <w:vAlign w:val="center"/>
          </w:tcPr>
          <w:p w14:paraId="294640DB">
            <w:pPr>
              <w:pageBreakBefore w:val="0"/>
              <w:tabs>
                <w:tab w:val="left" w:pos="2340"/>
              </w:tabs>
              <w:kinsoku/>
              <w:wordWrap/>
              <w:overflowPunct/>
              <w:topLinePunct w:val="0"/>
              <w:bidi w:val="0"/>
              <w:adjustRightInd/>
              <w:spacing w:line="480" w:lineRule="exact"/>
              <w:jc w:val="center"/>
              <w:rPr>
                <w:rFonts w:hint="eastAsia" w:ascii="宋体" w:hAnsi="宋体" w:eastAsia="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所有人</w:t>
            </w:r>
          </w:p>
        </w:tc>
        <w:tc>
          <w:tcPr>
            <w:tcW w:w="739" w:type="dxa"/>
            <w:noWrap w:val="0"/>
            <w:vAlign w:val="center"/>
          </w:tcPr>
          <w:p w14:paraId="28114859">
            <w:pPr>
              <w:pageBreakBefore w:val="0"/>
              <w:tabs>
                <w:tab w:val="left" w:pos="2340"/>
              </w:tabs>
              <w:kinsoku/>
              <w:wordWrap/>
              <w:overflowPunct/>
              <w:topLinePunct w:val="0"/>
              <w:bidi w:val="0"/>
              <w:adjustRightInd/>
              <w:spacing w:line="480" w:lineRule="exact"/>
              <w:jc w:val="center"/>
              <w:rPr>
                <w:rFonts w:hint="eastAsia" w:ascii="宋体" w:hAnsi="宋体" w:eastAsia="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车辆类型</w:t>
            </w:r>
          </w:p>
        </w:tc>
        <w:tc>
          <w:tcPr>
            <w:tcW w:w="796" w:type="dxa"/>
            <w:noWrap w:val="0"/>
            <w:vAlign w:val="center"/>
          </w:tcPr>
          <w:p w14:paraId="0B04CED2">
            <w:pPr>
              <w:pageBreakBefore w:val="0"/>
              <w:tabs>
                <w:tab w:val="left" w:pos="2340"/>
              </w:tabs>
              <w:kinsoku/>
              <w:wordWrap/>
              <w:overflowPunct/>
              <w:topLinePunct w:val="0"/>
              <w:bidi w:val="0"/>
              <w:adjustRightInd/>
              <w:spacing w:line="480" w:lineRule="exact"/>
              <w:jc w:val="center"/>
              <w:rPr>
                <w:rFonts w:hint="eastAsia" w:ascii="宋体" w:hAnsi="宋体" w:eastAsia="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车牌号码</w:t>
            </w:r>
          </w:p>
        </w:tc>
        <w:tc>
          <w:tcPr>
            <w:tcW w:w="911" w:type="dxa"/>
            <w:noWrap w:val="0"/>
            <w:vAlign w:val="center"/>
          </w:tcPr>
          <w:p w14:paraId="1C7FEFFB">
            <w:pPr>
              <w:pageBreakBefore w:val="0"/>
              <w:tabs>
                <w:tab w:val="left" w:pos="2340"/>
              </w:tabs>
              <w:kinsoku/>
              <w:wordWrap/>
              <w:overflowPunct/>
              <w:topLinePunct w:val="0"/>
              <w:bidi w:val="0"/>
              <w:adjustRightInd/>
              <w:spacing w:line="480" w:lineRule="exact"/>
              <w:jc w:val="center"/>
              <w:rPr>
                <w:rFonts w:hint="eastAsia" w:ascii="宋体" w:hAnsi="宋体" w:eastAsia="宋体" w:cs="宋体"/>
                <w:color w:val="auto"/>
                <w:kern w:val="2"/>
                <w:sz w:val="24"/>
                <w:szCs w:val="22"/>
                <w:highlight w:val="none"/>
                <w:vertAlign w:val="baseline"/>
                <w:lang w:val="en-US" w:eastAsia="zh-CN" w:bidi="ar-SA"/>
              </w:rPr>
            </w:pPr>
            <w:r>
              <w:rPr>
                <w:rFonts w:hint="eastAsia" w:ascii="宋体" w:hAnsi="宋体" w:eastAsia="宋体" w:cs="宋体"/>
                <w:color w:val="auto"/>
                <w:kern w:val="2"/>
                <w:sz w:val="24"/>
                <w:szCs w:val="22"/>
                <w:highlight w:val="none"/>
                <w:vertAlign w:val="baseline"/>
                <w:lang w:val="en-US" w:eastAsia="zh-CN" w:bidi="ar-SA"/>
              </w:rPr>
              <w:t>载荷（吨）</w:t>
            </w:r>
          </w:p>
        </w:tc>
        <w:tc>
          <w:tcPr>
            <w:tcW w:w="1349" w:type="dxa"/>
            <w:noWrap w:val="0"/>
            <w:vAlign w:val="center"/>
          </w:tcPr>
          <w:p w14:paraId="662F9A52">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使用功能</w:t>
            </w:r>
          </w:p>
        </w:tc>
        <w:tc>
          <w:tcPr>
            <w:tcW w:w="1631" w:type="dxa"/>
            <w:noWrap w:val="0"/>
            <w:vAlign w:val="center"/>
          </w:tcPr>
          <w:p w14:paraId="1FD6402C">
            <w:pPr>
              <w:pageBreakBefore w:val="0"/>
              <w:tabs>
                <w:tab w:val="left" w:pos="2340"/>
              </w:tabs>
              <w:kinsoku/>
              <w:wordWrap/>
              <w:overflowPunct/>
              <w:topLinePunct w:val="0"/>
              <w:bidi w:val="0"/>
              <w:adjustRightInd/>
              <w:spacing w:line="480" w:lineRule="exact"/>
              <w:jc w:val="center"/>
              <w:rPr>
                <w:rFonts w:hint="eastAsia" w:ascii="宋体" w:hAnsi="宋体" w:eastAsia="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产权性质（自有</w:t>
            </w:r>
            <w:r>
              <w:rPr>
                <w:rFonts w:hint="eastAsia" w:ascii="宋体" w:hAnsi="宋体" w:eastAsia="宋体" w:cs="宋体"/>
                <w:color w:val="auto"/>
                <w:sz w:val="24"/>
                <w:highlight w:val="none"/>
                <w:vertAlign w:val="baseline"/>
                <w:lang w:eastAsia="zh-CN"/>
              </w:rPr>
              <w:t>/租赁）</w:t>
            </w:r>
          </w:p>
        </w:tc>
        <w:tc>
          <w:tcPr>
            <w:tcW w:w="1350" w:type="dxa"/>
            <w:noWrap w:val="0"/>
            <w:vAlign w:val="center"/>
          </w:tcPr>
          <w:p w14:paraId="7AA235CA">
            <w:pPr>
              <w:pageBreakBefore w:val="0"/>
              <w:tabs>
                <w:tab w:val="left" w:pos="2340"/>
              </w:tabs>
              <w:kinsoku/>
              <w:wordWrap/>
              <w:overflowPunct/>
              <w:topLinePunct w:val="0"/>
              <w:bidi w:val="0"/>
              <w:adjustRightInd/>
              <w:spacing w:line="480" w:lineRule="exact"/>
              <w:jc w:val="center"/>
              <w:rPr>
                <w:rFonts w:hint="eastAsia" w:ascii="宋体" w:hAnsi="宋体" w:eastAsia="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必备</w:t>
            </w:r>
            <w:r>
              <w:rPr>
                <w:rFonts w:hint="eastAsia" w:ascii="宋体" w:hAnsi="宋体" w:eastAsia="宋体" w:cs="宋体"/>
                <w:color w:val="auto"/>
                <w:sz w:val="24"/>
                <w:highlight w:val="none"/>
                <w:vertAlign w:val="baseline"/>
                <w:lang w:eastAsia="zh-CN"/>
              </w:rPr>
              <w:t>/额外配备</w:t>
            </w:r>
          </w:p>
        </w:tc>
        <w:tc>
          <w:tcPr>
            <w:tcW w:w="1116" w:type="dxa"/>
            <w:noWrap w:val="0"/>
            <w:vAlign w:val="center"/>
          </w:tcPr>
          <w:p w14:paraId="635243BF">
            <w:pPr>
              <w:pageBreakBefore w:val="0"/>
              <w:tabs>
                <w:tab w:val="left" w:pos="2340"/>
              </w:tabs>
              <w:kinsoku/>
              <w:wordWrap/>
              <w:overflowPunct/>
              <w:topLinePunct w:val="0"/>
              <w:bidi w:val="0"/>
              <w:adjustRightInd/>
              <w:spacing w:line="480" w:lineRule="exact"/>
              <w:jc w:val="center"/>
              <w:rPr>
                <w:rFonts w:hint="eastAsia" w:ascii="宋体" w:hAnsi="宋体" w:eastAsia="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备注</w:t>
            </w:r>
          </w:p>
        </w:tc>
      </w:tr>
      <w:tr w14:paraId="5543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58" w:type="dxa"/>
            <w:noWrap w:val="0"/>
            <w:vAlign w:val="top"/>
          </w:tcPr>
          <w:p w14:paraId="3633910F">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rPr>
            </w:pPr>
          </w:p>
        </w:tc>
        <w:tc>
          <w:tcPr>
            <w:tcW w:w="780" w:type="dxa"/>
            <w:noWrap w:val="0"/>
            <w:vAlign w:val="top"/>
          </w:tcPr>
          <w:p w14:paraId="01FE9962">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rPr>
            </w:pPr>
          </w:p>
        </w:tc>
        <w:tc>
          <w:tcPr>
            <w:tcW w:w="739" w:type="dxa"/>
            <w:noWrap w:val="0"/>
            <w:vAlign w:val="top"/>
          </w:tcPr>
          <w:p w14:paraId="339AAE3D">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rPr>
            </w:pPr>
          </w:p>
        </w:tc>
        <w:tc>
          <w:tcPr>
            <w:tcW w:w="796" w:type="dxa"/>
            <w:noWrap w:val="0"/>
            <w:vAlign w:val="top"/>
          </w:tcPr>
          <w:p w14:paraId="484B2802">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rPr>
            </w:pPr>
          </w:p>
        </w:tc>
        <w:tc>
          <w:tcPr>
            <w:tcW w:w="911" w:type="dxa"/>
            <w:noWrap w:val="0"/>
            <w:vAlign w:val="top"/>
          </w:tcPr>
          <w:p w14:paraId="07E9DA7D">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rPr>
            </w:pPr>
          </w:p>
        </w:tc>
        <w:tc>
          <w:tcPr>
            <w:tcW w:w="1349" w:type="dxa"/>
            <w:noWrap w:val="0"/>
            <w:vAlign w:val="top"/>
          </w:tcPr>
          <w:p w14:paraId="4749B766">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rPr>
            </w:pPr>
          </w:p>
        </w:tc>
        <w:tc>
          <w:tcPr>
            <w:tcW w:w="1631" w:type="dxa"/>
            <w:noWrap w:val="0"/>
            <w:vAlign w:val="top"/>
          </w:tcPr>
          <w:p w14:paraId="7A7CF495">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rPr>
            </w:pPr>
          </w:p>
        </w:tc>
        <w:tc>
          <w:tcPr>
            <w:tcW w:w="1350" w:type="dxa"/>
            <w:noWrap w:val="0"/>
            <w:vAlign w:val="top"/>
          </w:tcPr>
          <w:p w14:paraId="39572415">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rPr>
            </w:pPr>
          </w:p>
        </w:tc>
        <w:tc>
          <w:tcPr>
            <w:tcW w:w="1116" w:type="dxa"/>
            <w:noWrap w:val="0"/>
            <w:vAlign w:val="top"/>
          </w:tcPr>
          <w:p w14:paraId="4DD13F7E">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rPr>
            </w:pPr>
          </w:p>
        </w:tc>
      </w:tr>
    </w:tbl>
    <w:p w14:paraId="3D2F7A3C">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注：所有人、车辆类型、车牌号码等内容按行驶证（发票、合格证）上标注填写；车辆使用功能为拖车的，</w:t>
      </w:r>
      <w:r>
        <w:rPr>
          <w:rFonts w:hint="eastAsia" w:ascii="宋体" w:hAnsi="宋体" w:eastAsia="宋体" w:cs="宋体"/>
          <w:color w:val="auto"/>
          <w:kern w:val="2"/>
          <w:sz w:val="24"/>
          <w:szCs w:val="22"/>
          <w:highlight w:val="none"/>
          <w:vertAlign w:val="baseline"/>
          <w:lang w:val="en-US" w:eastAsia="zh-CN" w:bidi="ar-SA"/>
        </w:rPr>
        <w:t>载荷为行驶证上标注的核定载质量</w:t>
      </w:r>
      <w:r>
        <w:rPr>
          <w:rFonts w:hint="eastAsia" w:ascii="宋体" w:hAnsi="宋体" w:cs="宋体"/>
          <w:color w:val="auto"/>
          <w:kern w:val="2"/>
          <w:sz w:val="24"/>
          <w:szCs w:val="22"/>
          <w:highlight w:val="none"/>
          <w:vertAlign w:val="baseline"/>
          <w:lang w:val="en-US" w:eastAsia="zh-CN" w:bidi="ar-SA"/>
        </w:rPr>
        <w:t>（</w:t>
      </w:r>
      <w:r>
        <w:rPr>
          <w:rFonts w:hint="eastAsia" w:ascii="宋体" w:hAnsi="宋体" w:eastAsia="宋体" w:cs="宋体"/>
          <w:color w:val="auto"/>
          <w:kern w:val="2"/>
          <w:sz w:val="24"/>
          <w:szCs w:val="22"/>
          <w:highlight w:val="none"/>
          <w:vertAlign w:val="baseline"/>
          <w:lang w:val="en-US" w:eastAsia="zh-CN" w:bidi="ar-SA"/>
        </w:rPr>
        <w:t>行驶证上未标注的</w:t>
      </w:r>
      <w:r>
        <w:rPr>
          <w:rFonts w:hint="eastAsia" w:ascii="宋体" w:hAnsi="宋体" w:cs="宋体"/>
          <w:color w:val="auto"/>
          <w:kern w:val="2"/>
          <w:sz w:val="24"/>
          <w:szCs w:val="22"/>
          <w:highlight w:val="none"/>
          <w:vertAlign w:val="baseline"/>
          <w:lang w:val="en-US" w:eastAsia="zh-CN" w:bidi="ar-SA"/>
        </w:rPr>
        <w:t>则</w:t>
      </w:r>
      <w:r>
        <w:rPr>
          <w:rFonts w:hint="eastAsia" w:ascii="宋体" w:hAnsi="宋体" w:eastAsia="宋体" w:cs="宋体"/>
          <w:color w:val="auto"/>
          <w:kern w:val="2"/>
          <w:sz w:val="24"/>
          <w:szCs w:val="22"/>
          <w:highlight w:val="none"/>
          <w:vertAlign w:val="baseline"/>
          <w:lang w:val="en-US" w:eastAsia="zh-CN" w:bidi="ar-SA"/>
        </w:rPr>
        <w:t>为行驶证上标注的总质量减去整备质量的数值</w:t>
      </w:r>
      <w:r>
        <w:rPr>
          <w:rFonts w:hint="eastAsia" w:ascii="宋体" w:hAnsi="宋体" w:cs="宋体"/>
          <w:color w:val="auto"/>
          <w:kern w:val="2"/>
          <w:sz w:val="24"/>
          <w:szCs w:val="22"/>
          <w:highlight w:val="none"/>
          <w:vertAlign w:val="baseline"/>
          <w:lang w:val="en-US" w:eastAsia="zh-CN" w:bidi="ar-SA"/>
        </w:rPr>
        <w:t>）</w:t>
      </w:r>
      <w:r>
        <w:rPr>
          <w:rFonts w:hint="eastAsia" w:ascii="宋体" w:hAnsi="宋体" w:eastAsia="宋体" w:cs="宋体"/>
          <w:color w:val="auto"/>
          <w:kern w:val="2"/>
          <w:sz w:val="24"/>
          <w:szCs w:val="22"/>
          <w:highlight w:val="none"/>
          <w:vertAlign w:val="baseline"/>
          <w:lang w:val="en-US" w:eastAsia="zh-CN" w:bidi="ar-SA"/>
        </w:rPr>
        <w:t>；车辆</w:t>
      </w:r>
      <w:r>
        <w:rPr>
          <w:rFonts w:hint="eastAsia" w:ascii="宋体" w:hAnsi="宋体" w:cs="宋体"/>
          <w:color w:val="auto"/>
          <w:sz w:val="24"/>
          <w:highlight w:val="none"/>
          <w:lang w:eastAsia="zh-CN"/>
        </w:rPr>
        <w:t>使用功能为吊车、叉车、铲车</w:t>
      </w:r>
      <w:r>
        <w:rPr>
          <w:rFonts w:hint="eastAsia" w:ascii="宋体" w:hAnsi="宋体" w:cs="宋体"/>
          <w:bCs/>
          <w:color w:val="auto"/>
          <w:sz w:val="24"/>
          <w:highlight w:val="none"/>
        </w:rPr>
        <w:t>或挖掘机</w:t>
      </w:r>
      <w:r>
        <w:rPr>
          <w:rFonts w:hint="eastAsia" w:ascii="宋体" w:hAnsi="宋体" w:cs="宋体"/>
          <w:color w:val="auto"/>
          <w:sz w:val="24"/>
          <w:highlight w:val="none"/>
          <w:lang w:eastAsia="zh-CN"/>
        </w:rPr>
        <w:t>的，载荷为吊、叉、铲车</w:t>
      </w:r>
      <w:r>
        <w:rPr>
          <w:rFonts w:hint="eastAsia" w:ascii="宋体" w:hAnsi="宋体" w:cs="宋体"/>
          <w:bCs/>
          <w:color w:val="auto"/>
          <w:sz w:val="24"/>
          <w:highlight w:val="none"/>
        </w:rPr>
        <w:t>或挖掘机</w:t>
      </w:r>
      <w:r>
        <w:rPr>
          <w:rFonts w:hint="eastAsia" w:ascii="宋体" w:hAnsi="宋体" w:cs="宋体"/>
          <w:color w:val="auto"/>
          <w:sz w:val="24"/>
          <w:highlight w:val="none"/>
          <w:lang w:eastAsia="zh-CN"/>
        </w:rPr>
        <w:t>所作用的吨位，如实填写，并提供显示作用吨位的铭牌或合格证照片。车辆属自有，但行驶证（发票）上所有人非自有单位的，须有足够依据证明（购买发票、转让协议、支付凭证等）。</w:t>
      </w:r>
    </w:p>
    <w:p w14:paraId="2AEFF0E4">
      <w:pPr>
        <w:pageBreakBefore w:val="0"/>
        <w:tabs>
          <w:tab w:val="left" w:pos="2340"/>
        </w:tabs>
        <w:kinsoku/>
        <w:wordWrap/>
        <w:overflowPunct/>
        <w:topLinePunct w:val="0"/>
        <w:bidi w:val="0"/>
        <w:adjustRightInd/>
        <w:spacing w:line="480" w:lineRule="exact"/>
        <w:ind w:firstLine="466" w:firstLineChars="200"/>
        <w:rPr>
          <w:rFonts w:ascii="宋体" w:hAnsi="宋体" w:cs="宋体"/>
          <w:b/>
          <w:color w:val="auto"/>
          <w:sz w:val="24"/>
          <w:highlight w:val="none"/>
        </w:rPr>
      </w:pPr>
      <w:r>
        <w:rPr>
          <w:rFonts w:hint="eastAsia" w:ascii="宋体" w:hAnsi="宋体" w:cs="宋体"/>
          <w:b/>
          <w:bCs/>
          <w:color w:val="auto"/>
          <w:spacing w:val="-4"/>
          <w:sz w:val="24"/>
          <w:highlight w:val="none"/>
        </w:rPr>
        <w:t>（</w:t>
      </w:r>
      <w:r>
        <w:rPr>
          <w:rFonts w:hint="eastAsia" w:ascii="宋体" w:hAnsi="宋体" w:cs="宋体"/>
          <w:b/>
          <w:bCs/>
          <w:color w:val="auto"/>
          <w:sz w:val="24"/>
          <w:highlight w:val="none"/>
        </w:rPr>
        <w:t>四）人</w:t>
      </w:r>
      <w:r>
        <w:rPr>
          <w:rFonts w:hint="eastAsia" w:ascii="宋体" w:hAnsi="宋体" w:cs="宋体"/>
          <w:b/>
          <w:color w:val="auto"/>
          <w:sz w:val="24"/>
          <w:highlight w:val="none"/>
        </w:rPr>
        <w:t>员保障要求：</w:t>
      </w:r>
    </w:p>
    <w:p w14:paraId="12DC63F5">
      <w:pPr>
        <w:pageBreakBefore w:val="0"/>
        <w:tabs>
          <w:tab w:val="left" w:pos="2340"/>
        </w:tabs>
        <w:kinsoku/>
        <w:wordWrap/>
        <w:overflowPunct/>
        <w:topLinePunct w:val="0"/>
        <w:bidi w:val="0"/>
        <w:adjustRightInd/>
        <w:spacing w:line="480" w:lineRule="exact"/>
        <w:rPr>
          <w:rFonts w:ascii="宋体" w:hAnsi="宋体" w:cs="宋体"/>
          <w:color w:val="auto"/>
          <w:highlight w:val="none"/>
        </w:rPr>
      </w:pPr>
      <w:r>
        <w:rPr>
          <w:rFonts w:hint="eastAsia" w:ascii="宋体" w:hAnsi="宋体" w:cs="宋体"/>
          <w:color w:val="auto"/>
          <w:sz w:val="24"/>
          <w:highlight w:val="none"/>
        </w:rPr>
        <w:t xml:space="preserve">  ▲每个点位服务区域范围内必须独立配置的驾驶人员及后勤保障人员不少于8人（其中</w:t>
      </w:r>
      <w:r>
        <w:rPr>
          <w:rFonts w:hint="eastAsia" w:ascii="宋体" w:hAnsi="宋体" w:cs="宋体"/>
          <w:bCs/>
          <w:color w:val="auto"/>
          <w:sz w:val="24"/>
          <w:highlight w:val="none"/>
        </w:rPr>
        <w:t>驾驶员</w:t>
      </w:r>
      <w:r>
        <w:rPr>
          <w:rFonts w:hint="eastAsia" w:ascii="宋体" w:hAnsi="宋体" w:cs="宋体"/>
          <w:color w:val="auto"/>
          <w:sz w:val="24"/>
          <w:highlight w:val="none"/>
        </w:rPr>
        <w:t>4人</w:t>
      </w:r>
      <w:r>
        <w:rPr>
          <w:rFonts w:hint="eastAsia" w:ascii="宋体" w:hAnsi="宋体" w:cs="宋体"/>
          <w:bCs/>
          <w:color w:val="auto"/>
          <w:sz w:val="24"/>
          <w:highlight w:val="none"/>
        </w:rPr>
        <w:t>，</w:t>
      </w:r>
      <w:r>
        <w:rPr>
          <w:rFonts w:hint="eastAsia" w:ascii="宋体" w:hAnsi="宋体" w:cs="宋体"/>
          <w:color w:val="auto"/>
          <w:sz w:val="24"/>
          <w:highlight w:val="none"/>
        </w:rPr>
        <w:t>持准驾车型A2驾驶证的驾驶员不少于1名）。</w:t>
      </w:r>
    </w:p>
    <w:p w14:paraId="4CEADAD4">
      <w:pPr>
        <w:pageBreakBefore w:val="0"/>
        <w:tabs>
          <w:tab w:val="left" w:pos="2340"/>
        </w:tabs>
        <w:kinsoku/>
        <w:wordWrap/>
        <w:overflowPunct/>
        <w:topLinePunct w:val="0"/>
        <w:bidi w:val="0"/>
        <w:adjustRightInd/>
        <w:spacing w:line="480" w:lineRule="exac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Cs/>
          <w:color w:val="auto"/>
          <w:sz w:val="24"/>
          <w:highlight w:val="none"/>
          <w:lang w:eastAsia="zh-CN"/>
        </w:rPr>
        <w:t>有关人员的基本情况的说明</w:t>
      </w:r>
      <w:r>
        <w:rPr>
          <w:rFonts w:hint="eastAsia" w:ascii="宋体" w:hAnsi="宋体" w:cs="宋体"/>
          <w:bCs/>
          <w:color w:val="auto"/>
          <w:sz w:val="24"/>
          <w:highlight w:val="none"/>
        </w:rPr>
        <w:t>（在投标时提供，格式如下）：</w:t>
      </w:r>
    </w:p>
    <w:tbl>
      <w:tblPr>
        <w:tblStyle w:val="62"/>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712"/>
        <w:gridCol w:w="741"/>
        <w:gridCol w:w="844"/>
        <w:gridCol w:w="1359"/>
        <w:gridCol w:w="909"/>
        <w:gridCol w:w="975"/>
        <w:gridCol w:w="863"/>
        <w:gridCol w:w="825"/>
        <w:gridCol w:w="1341"/>
        <w:gridCol w:w="564"/>
      </w:tblGrid>
      <w:tr w14:paraId="093E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622" w:type="dxa"/>
            <w:noWrap/>
            <w:vAlign w:val="center"/>
          </w:tcPr>
          <w:p w14:paraId="1984FBA0">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712" w:type="dxa"/>
            <w:noWrap/>
            <w:vAlign w:val="center"/>
          </w:tcPr>
          <w:p w14:paraId="1477FEF1">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741" w:type="dxa"/>
            <w:noWrap/>
            <w:vAlign w:val="center"/>
          </w:tcPr>
          <w:p w14:paraId="1B725162">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r>
              <w:rPr>
                <w:rFonts w:hint="eastAsia" w:ascii="宋体" w:hAnsi="宋体" w:cs="宋体"/>
                <w:color w:val="auto"/>
                <w:sz w:val="24"/>
                <w:highlight w:val="none"/>
              </w:rPr>
              <w:t>性别</w:t>
            </w:r>
          </w:p>
        </w:tc>
        <w:tc>
          <w:tcPr>
            <w:tcW w:w="844" w:type="dxa"/>
            <w:noWrap/>
            <w:vAlign w:val="center"/>
          </w:tcPr>
          <w:p w14:paraId="1F171359">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r>
              <w:rPr>
                <w:rFonts w:hint="eastAsia" w:ascii="宋体" w:hAnsi="宋体" w:cs="宋体"/>
                <w:color w:val="auto"/>
                <w:sz w:val="24"/>
                <w:highlight w:val="none"/>
              </w:rPr>
              <w:t>身份证号</w:t>
            </w:r>
          </w:p>
        </w:tc>
        <w:tc>
          <w:tcPr>
            <w:tcW w:w="1359" w:type="dxa"/>
            <w:noWrap/>
            <w:vAlign w:val="center"/>
          </w:tcPr>
          <w:p w14:paraId="3FE9DAB8">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r>
              <w:rPr>
                <w:rFonts w:hint="eastAsia" w:ascii="宋体" w:hAnsi="宋体" w:cs="宋体"/>
                <w:color w:val="auto"/>
                <w:sz w:val="24"/>
                <w:highlight w:val="none"/>
              </w:rPr>
              <w:t>证件名称</w:t>
            </w:r>
          </w:p>
          <w:p w14:paraId="65171F84">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r>
              <w:rPr>
                <w:rFonts w:hint="eastAsia" w:ascii="宋体" w:hAnsi="宋体" w:cs="宋体"/>
                <w:color w:val="auto"/>
                <w:sz w:val="24"/>
                <w:highlight w:val="none"/>
              </w:rPr>
              <w:t>（如：驾驶证、操作证等）</w:t>
            </w:r>
          </w:p>
        </w:tc>
        <w:tc>
          <w:tcPr>
            <w:tcW w:w="909" w:type="dxa"/>
            <w:noWrap/>
            <w:vAlign w:val="center"/>
          </w:tcPr>
          <w:p w14:paraId="6590F3BF">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r>
              <w:rPr>
                <w:rFonts w:hint="eastAsia" w:ascii="宋体" w:hAnsi="宋体" w:cs="宋体"/>
                <w:color w:val="auto"/>
                <w:sz w:val="24"/>
                <w:highlight w:val="none"/>
              </w:rPr>
              <w:t>证书编号</w:t>
            </w:r>
          </w:p>
        </w:tc>
        <w:tc>
          <w:tcPr>
            <w:tcW w:w="975" w:type="dxa"/>
            <w:noWrap/>
            <w:vAlign w:val="center"/>
          </w:tcPr>
          <w:p w14:paraId="52E464E3">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863" w:type="dxa"/>
            <w:noWrap/>
            <w:vAlign w:val="center"/>
          </w:tcPr>
          <w:p w14:paraId="6DD3E25D">
            <w:pPr>
              <w:pageBreakBefore w:val="0"/>
              <w:tabs>
                <w:tab w:val="left" w:pos="2340"/>
              </w:tabs>
              <w:kinsoku/>
              <w:wordWrap/>
              <w:overflowPunct/>
              <w:topLinePunct w:val="0"/>
              <w:bidi w:val="0"/>
              <w:adjustRightInd/>
              <w:spacing w:line="48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劳动合同</w:t>
            </w:r>
          </w:p>
        </w:tc>
        <w:tc>
          <w:tcPr>
            <w:tcW w:w="825" w:type="dxa"/>
            <w:noWrap/>
            <w:vAlign w:val="center"/>
          </w:tcPr>
          <w:p w14:paraId="181F5839">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r>
              <w:rPr>
                <w:rFonts w:hint="eastAsia" w:ascii="宋体" w:hAnsi="宋体" w:cs="宋体"/>
                <w:color w:val="auto"/>
                <w:sz w:val="24"/>
                <w:highlight w:val="none"/>
              </w:rPr>
              <w:t>缴纳社保情况</w:t>
            </w:r>
          </w:p>
        </w:tc>
        <w:tc>
          <w:tcPr>
            <w:tcW w:w="1341" w:type="dxa"/>
            <w:noWrap/>
            <w:vAlign w:val="center"/>
          </w:tcPr>
          <w:p w14:paraId="118A7B40">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r>
              <w:rPr>
                <w:rFonts w:hint="eastAsia" w:ascii="宋体" w:hAnsi="宋体" w:cs="宋体"/>
                <w:color w:val="auto"/>
                <w:sz w:val="24"/>
                <w:highlight w:val="none"/>
              </w:rPr>
              <w:t>驾驶员、操作人员购买人身意外险情况</w:t>
            </w:r>
          </w:p>
        </w:tc>
        <w:tc>
          <w:tcPr>
            <w:tcW w:w="564" w:type="dxa"/>
            <w:noWrap/>
            <w:vAlign w:val="center"/>
          </w:tcPr>
          <w:p w14:paraId="4B865F58">
            <w:pPr>
              <w:pageBreakBefore w:val="0"/>
              <w:tabs>
                <w:tab w:val="left" w:pos="2340"/>
              </w:tabs>
              <w:kinsoku/>
              <w:wordWrap/>
              <w:overflowPunct/>
              <w:topLinePunct w:val="0"/>
              <w:bidi w:val="0"/>
              <w:adjustRightInd/>
              <w:spacing w:line="48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备注</w:t>
            </w:r>
          </w:p>
        </w:tc>
      </w:tr>
      <w:tr w14:paraId="4956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622" w:type="dxa"/>
            <w:noWrap/>
            <w:vAlign w:val="center"/>
          </w:tcPr>
          <w:p w14:paraId="6E2E66E8">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c>
          <w:tcPr>
            <w:tcW w:w="712" w:type="dxa"/>
            <w:noWrap/>
            <w:vAlign w:val="center"/>
          </w:tcPr>
          <w:p w14:paraId="22EF377C">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c>
          <w:tcPr>
            <w:tcW w:w="741" w:type="dxa"/>
            <w:noWrap/>
            <w:vAlign w:val="center"/>
          </w:tcPr>
          <w:p w14:paraId="5145C0A0">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c>
          <w:tcPr>
            <w:tcW w:w="844" w:type="dxa"/>
            <w:noWrap/>
            <w:vAlign w:val="center"/>
          </w:tcPr>
          <w:p w14:paraId="7F3A71C2">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c>
          <w:tcPr>
            <w:tcW w:w="1359" w:type="dxa"/>
            <w:noWrap/>
            <w:vAlign w:val="center"/>
          </w:tcPr>
          <w:p w14:paraId="67D1D34C">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c>
          <w:tcPr>
            <w:tcW w:w="909" w:type="dxa"/>
            <w:noWrap/>
            <w:vAlign w:val="center"/>
          </w:tcPr>
          <w:p w14:paraId="6BC5499C">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c>
          <w:tcPr>
            <w:tcW w:w="975" w:type="dxa"/>
            <w:noWrap/>
            <w:vAlign w:val="center"/>
          </w:tcPr>
          <w:p w14:paraId="44A66242">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c>
          <w:tcPr>
            <w:tcW w:w="863" w:type="dxa"/>
            <w:noWrap/>
            <w:vAlign w:val="center"/>
          </w:tcPr>
          <w:p w14:paraId="4402FEC2">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c>
          <w:tcPr>
            <w:tcW w:w="825" w:type="dxa"/>
            <w:noWrap/>
            <w:vAlign w:val="center"/>
          </w:tcPr>
          <w:p w14:paraId="75B95565">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c>
          <w:tcPr>
            <w:tcW w:w="1341" w:type="dxa"/>
            <w:noWrap/>
            <w:vAlign w:val="center"/>
          </w:tcPr>
          <w:p w14:paraId="7B2941C8">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c>
          <w:tcPr>
            <w:tcW w:w="564" w:type="dxa"/>
            <w:noWrap/>
            <w:vAlign w:val="center"/>
          </w:tcPr>
          <w:p w14:paraId="7920913A">
            <w:pPr>
              <w:pageBreakBefore w:val="0"/>
              <w:tabs>
                <w:tab w:val="left" w:pos="2340"/>
              </w:tabs>
              <w:kinsoku/>
              <w:wordWrap/>
              <w:overflowPunct/>
              <w:topLinePunct w:val="0"/>
              <w:bidi w:val="0"/>
              <w:adjustRightInd/>
              <w:spacing w:line="480" w:lineRule="exact"/>
              <w:jc w:val="center"/>
              <w:rPr>
                <w:rFonts w:ascii="宋体" w:hAnsi="宋体" w:cs="宋体"/>
                <w:color w:val="auto"/>
                <w:sz w:val="24"/>
                <w:highlight w:val="none"/>
              </w:rPr>
            </w:pPr>
          </w:p>
        </w:tc>
      </w:tr>
    </w:tbl>
    <w:p w14:paraId="1E155703">
      <w:pPr>
        <w:pageBreakBefore w:val="0"/>
        <w:tabs>
          <w:tab w:val="left" w:pos="2340"/>
        </w:tabs>
        <w:kinsoku/>
        <w:wordWrap/>
        <w:overflowPunct/>
        <w:topLinePunct w:val="0"/>
        <w:bidi w:val="0"/>
        <w:adjustRightInd/>
        <w:spacing w:line="480" w:lineRule="exact"/>
        <w:rPr>
          <w:rFonts w:hint="eastAsia" w:ascii="宋体" w:hAnsi="宋体" w:cs="宋体"/>
          <w:b w:val="0"/>
          <w:bCs w:val="0"/>
          <w:color w:val="auto"/>
          <w:spacing w:val="-4"/>
          <w:sz w:val="24"/>
          <w:highlight w:val="none"/>
          <w:lang w:eastAsia="zh-CN"/>
        </w:rPr>
      </w:pPr>
      <w:r>
        <w:rPr>
          <w:rFonts w:hint="eastAsia" w:ascii="宋体" w:hAnsi="宋体" w:cs="宋体"/>
          <w:b w:val="0"/>
          <w:bCs w:val="0"/>
          <w:color w:val="auto"/>
          <w:spacing w:val="-4"/>
          <w:sz w:val="24"/>
          <w:highlight w:val="none"/>
        </w:rPr>
        <w:t>注：需提供从业人员劳动合同、</w:t>
      </w:r>
      <w:r>
        <w:rPr>
          <w:rFonts w:hint="eastAsia" w:ascii="宋体" w:hAnsi="宋体" w:cs="宋体"/>
          <w:b w:val="0"/>
          <w:bCs w:val="0"/>
          <w:color w:val="auto"/>
          <w:spacing w:val="-4"/>
          <w:sz w:val="24"/>
          <w:highlight w:val="none"/>
          <w:lang w:eastAsia="zh-CN"/>
        </w:rPr>
        <w:t>身份证、有关证书（</w:t>
      </w:r>
      <w:r>
        <w:rPr>
          <w:rFonts w:hint="eastAsia" w:ascii="宋体" w:hAnsi="宋体" w:cs="宋体"/>
          <w:b w:val="0"/>
          <w:bCs w:val="0"/>
          <w:color w:val="auto"/>
          <w:spacing w:val="-4"/>
          <w:sz w:val="24"/>
          <w:highlight w:val="none"/>
        </w:rPr>
        <w:t>驾驶证</w:t>
      </w:r>
      <w:r>
        <w:rPr>
          <w:rFonts w:hint="eastAsia" w:ascii="宋体" w:hAnsi="宋体" w:cs="宋体"/>
          <w:b w:val="0"/>
          <w:bCs w:val="0"/>
          <w:color w:val="auto"/>
          <w:spacing w:val="-4"/>
          <w:sz w:val="24"/>
          <w:highlight w:val="none"/>
          <w:lang w:eastAsia="zh-CN"/>
        </w:rPr>
        <w:t>、操作证）</w:t>
      </w:r>
      <w:r>
        <w:rPr>
          <w:rFonts w:hint="eastAsia" w:ascii="宋体" w:hAnsi="宋体" w:cs="宋体"/>
          <w:b w:val="0"/>
          <w:bCs w:val="0"/>
          <w:color w:val="auto"/>
          <w:spacing w:val="-4"/>
          <w:sz w:val="24"/>
          <w:highlight w:val="none"/>
        </w:rPr>
        <w:t>、社保证明、购买保险证明等相关材料。</w:t>
      </w:r>
      <w:r>
        <w:rPr>
          <w:rFonts w:hint="eastAsia" w:ascii="宋体" w:hAnsi="宋体" w:cs="宋体"/>
          <w:b w:val="0"/>
          <w:bCs w:val="0"/>
          <w:color w:val="auto"/>
          <w:spacing w:val="-4"/>
          <w:sz w:val="24"/>
          <w:highlight w:val="none"/>
          <w:lang w:eastAsia="zh-CN"/>
        </w:rPr>
        <w:t>如同一人具有两个或以上证书的，在证明名称和证书编号栏中分别注明。</w:t>
      </w:r>
    </w:p>
    <w:p w14:paraId="137C7344">
      <w:pPr>
        <w:pageBreakBefore w:val="0"/>
        <w:tabs>
          <w:tab w:val="left" w:pos="2340"/>
        </w:tabs>
        <w:kinsoku/>
        <w:wordWrap/>
        <w:overflowPunct/>
        <w:topLinePunct w:val="0"/>
        <w:bidi w:val="0"/>
        <w:adjustRightInd/>
        <w:spacing w:line="480" w:lineRule="exact"/>
        <w:ind w:firstLine="466" w:firstLineChars="200"/>
        <w:rPr>
          <w:rFonts w:ascii="宋体" w:hAnsi="宋体" w:cs="宋体"/>
          <w:b/>
          <w:bCs/>
          <w:color w:val="auto"/>
          <w:sz w:val="24"/>
          <w:highlight w:val="none"/>
        </w:rPr>
      </w:pPr>
      <w:r>
        <w:rPr>
          <w:rFonts w:hint="eastAsia" w:ascii="宋体" w:hAnsi="宋体" w:cs="宋体"/>
          <w:b/>
          <w:color w:val="auto"/>
          <w:spacing w:val="-4"/>
          <w:sz w:val="24"/>
          <w:highlight w:val="none"/>
        </w:rPr>
        <w:t>（</w:t>
      </w:r>
      <w:r>
        <w:rPr>
          <w:rFonts w:hint="eastAsia" w:ascii="宋体" w:hAnsi="宋体" w:cs="宋体"/>
          <w:b/>
          <w:bCs/>
          <w:color w:val="auto"/>
          <w:sz w:val="24"/>
          <w:highlight w:val="none"/>
        </w:rPr>
        <w:t>五）通讯保障要求：</w:t>
      </w:r>
    </w:p>
    <w:p w14:paraId="67C5EAAD">
      <w:pPr>
        <w:pageBreakBefore w:val="0"/>
        <w:tabs>
          <w:tab w:val="left" w:pos="2340"/>
        </w:tabs>
        <w:kinsoku/>
        <w:wordWrap/>
        <w:overflowPunct/>
        <w:topLinePunct w:val="0"/>
        <w:bidi w:val="0"/>
        <w:adjustRightInd/>
        <w:spacing w:line="48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w:t>
      </w:r>
      <w:r>
        <w:rPr>
          <w:rFonts w:hint="eastAsia" w:ascii="宋体" w:hAnsi="宋体" w:cs="宋体"/>
          <w:bCs/>
          <w:color w:val="auto"/>
          <w:sz w:val="24"/>
          <w:highlight w:val="none"/>
        </w:rPr>
        <w:t>具有与采购人通讯系统兼容的通讯网络系统及相应设备，保证成交供应商、各清障施救车辆与采购人之间的通讯需要；所有车辆必须配备卫星定位装置、行车记录仪，并保证中标后能够接入采购人的涉案停车场管理平台（须在响应文件中自行承诺，格式自拟）。</w:t>
      </w:r>
    </w:p>
    <w:p w14:paraId="0A6A8484">
      <w:pPr>
        <w:pageBreakBefore w:val="0"/>
        <w:tabs>
          <w:tab w:val="left" w:pos="2340"/>
        </w:tabs>
        <w:kinsoku/>
        <w:wordWrap/>
        <w:overflowPunct/>
        <w:topLinePunct w:val="0"/>
        <w:bidi w:val="0"/>
        <w:adjustRightInd/>
        <w:spacing w:line="480" w:lineRule="exact"/>
        <w:ind w:firstLine="466" w:firstLineChars="200"/>
        <w:rPr>
          <w:rFonts w:ascii="宋体" w:hAnsi="宋体" w:cs="宋体"/>
          <w:color w:val="auto"/>
          <w:sz w:val="24"/>
          <w:highlight w:val="none"/>
        </w:rPr>
      </w:pPr>
      <w:r>
        <w:rPr>
          <w:rFonts w:hint="eastAsia" w:ascii="宋体" w:hAnsi="宋体" w:cs="宋体"/>
          <w:b/>
          <w:bCs/>
          <w:color w:val="auto"/>
          <w:spacing w:val="-4"/>
          <w:sz w:val="24"/>
          <w:highlight w:val="none"/>
        </w:rPr>
        <w:t>（</w:t>
      </w:r>
      <w:r>
        <w:rPr>
          <w:rFonts w:hint="eastAsia" w:ascii="宋体" w:hAnsi="宋体" w:cs="宋体"/>
          <w:b/>
          <w:bCs/>
          <w:color w:val="auto"/>
          <w:sz w:val="24"/>
          <w:highlight w:val="none"/>
        </w:rPr>
        <w:t>六）安全保障要求：</w:t>
      </w:r>
    </w:p>
    <w:p w14:paraId="47AD1DC5">
      <w:pPr>
        <w:pageBreakBefore w:val="0"/>
        <w:tabs>
          <w:tab w:val="left" w:pos="2340"/>
        </w:tabs>
        <w:kinsoku/>
        <w:wordWrap/>
        <w:overflowPunct/>
        <w:topLinePunct w:val="0"/>
        <w:bidi w:val="0"/>
        <w:adjustRightInd/>
        <w:spacing w:line="480" w:lineRule="exact"/>
        <w:ind w:firstLine="480" w:firstLineChars="200"/>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每个点位保管场地须严格落实治安消防安全管理措施，制定相关制度，配备封闭式围墙、防盗监控系统、消防灭火设备、防火隔离通道等设施，每个点位保管场地有效意外损失保险必须在1000万元（含）以上（须在响应文件中自行承诺，格式自拟）。</w:t>
      </w:r>
    </w:p>
    <w:p w14:paraId="32EC98FC">
      <w:pPr>
        <w:pageBreakBefore w:val="0"/>
        <w:tabs>
          <w:tab w:val="left" w:pos="2340"/>
        </w:tabs>
        <w:kinsoku/>
        <w:wordWrap/>
        <w:overflowPunct/>
        <w:topLinePunct w:val="0"/>
        <w:bidi w:val="0"/>
        <w:adjustRightInd/>
        <w:spacing w:line="48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每个点位保管场地车辆出入口必须安装道闸及监控，落实保安员24小时看管，车辆停放位区域必须安装监控,并应确保对整个保管场地的无死角监控，监控系统还必须接入采购人的视频汇聚平台（须在响应文件中自行承诺，格式自拟）。</w:t>
      </w:r>
    </w:p>
    <w:p w14:paraId="23177D3B">
      <w:pPr>
        <w:pageBreakBefore w:val="0"/>
        <w:tabs>
          <w:tab w:val="left" w:pos="2340"/>
        </w:tabs>
        <w:kinsoku/>
        <w:wordWrap/>
        <w:overflowPunct/>
        <w:topLinePunct w:val="0"/>
        <w:bidi w:val="0"/>
        <w:adjustRightInd/>
        <w:spacing w:line="480" w:lineRule="exact"/>
        <w:ind w:firstLine="466" w:firstLineChars="200"/>
        <w:rPr>
          <w:rFonts w:ascii="宋体" w:hAnsi="宋体" w:cs="宋体"/>
          <w:color w:val="auto"/>
          <w:sz w:val="24"/>
          <w:highlight w:val="none"/>
        </w:rPr>
      </w:pPr>
      <w:r>
        <w:rPr>
          <w:rFonts w:hint="eastAsia" w:ascii="宋体" w:hAnsi="宋体" w:cs="宋体"/>
          <w:b/>
          <w:bCs/>
          <w:color w:val="auto"/>
          <w:spacing w:val="-4"/>
          <w:sz w:val="24"/>
          <w:highlight w:val="none"/>
        </w:rPr>
        <w:t>（</w:t>
      </w:r>
      <w:r>
        <w:rPr>
          <w:rFonts w:hint="eastAsia" w:ascii="宋体" w:hAnsi="宋体" w:cs="宋体"/>
          <w:b/>
          <w:bCs/>
          <w:color w:val="auto"/>
          <w:sz w:val="24"/>
          <w:highlight w:val="none"/>
        </w:rPr>
        <w:t>七）称重保障要求：</w:t>
      </w:r>
    </w:p>
    <w:p w14:paraId="6A81E44E">
      <w:pPr>
        <w:pStyle w:val="668"/>
        <w:pageBreakBefore w:val="0"/>
        <w:kinsoku/>
        <w:wordWrap/>
        <w:overflowPunct/>
        <w:topLinePunct w:val="0"/>
        <w:bidi w:val="0"/>
        <w:adjustRightInd/>
        <w:spacing w:before="120" w:line="480" w:lineRule="exac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每</w:t>
      </w:r>
      <w:r>
        <w:rPr>
          <w:rFonts w:hint="eastAsia" w:ascii="宋体" w:hAnsi="宋体" w:cs="宋体"/>
          <w:color w:val="auto"/>
          <w:highlight w:val="none"/>
        </w:rPr>
        <w:t>个保管场地</w:t>
      </w:r>
      <w:r>
        <w:rPr>
          <w:rFonts w:hint="eastAsia" w:ascii="宋体" w:hAnsi="宋体" w:cs="宋体"/>
          <w:color w:val="auto"/>
          <w:highlight w:val="none"/>
          <w:lang w:eastAsia="zh-CN"/>
        </w:rPr>
        <w:t>内部必须</w:t>
      </w:r>
      <w:r>
        <w:rPr>
          <w:rFonts w:hint="eastAsia" w:ascii="宋体" w:hAnsi="宋体" w:cs="宋体"/>
          <w:bCs/>
          <w:color w:val="auto"/>
          <w:highlight w:val="none"/>
        </w:rPr>
        <w:t>配套</w:t>
      </w:r>
      <w:r>
        <w:rPr>
          <w:rFonts w:hint="eastAsia" w:ascii="宋体" w:hAnsi="宋体" w:cs="宋体"/>
          <w:color w:val="auto"/>
          <w:highlight w:val="none"/>
        </w:rPr>
        <w:t>设置过磅设备（承载不少于100吨），并</w:t>
      </w:r>
      <w:r>
        <w:rPr>
          <w:rFonts w:hint="eastAsia" w:ascii="宋体" w:hAnsi="宋体" w:cs="宋体"/>
          <w:color w:val="auto"/>
          <w:highlight w:val="none"/>
          <w:lang w:eastAsia="zh-CN"/>
        </w:rPr>
        <w:t>须</w:t>
      </w:r>
      <w:r>
        <w:rPr>
          <w:rFonts w:hint="eastAsia" w:ascii="宋体" w:hAnsi="宋体" w:cs="宋体"/>
          <w:color w:val="auto"/>
          <w:highlight w:val="none"/>
        </w:rPr>
        <w:t>经主管部门鉴定合格，同时该设备必须在监控覆盖范围内。</w:t>
      </w:r>
    </w:p>
    <w:p w14:paraId="243F17A1">
      <w:pPr>
        <w:pStyle w:val="668"/>
        <w:pageBreakBefore w:val="0"/>
        <w:kinsoku/>
        <w:wordWrap/>
        <w:overflowPunct/>
        <w:topLinePunct w:val="0"/>
        <w:bidi w:val="0"/>
        <w:adjustRightInd/>
        <w:spacing w:before="120" w:line="480" w:lineRule="exac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bCs/>
          <w:color w:val="auto"/>
          <w:kern w:val="2"/>
          <w:sz w:val="24"/>
          <w:szCs w:val="22"/>
          <w:highlight w:val="none"/>
          <w:lang w:val="en-US" w:eastAsia="zh-CN" w:bidi="ar-SA"/>
        </w:rPr>
        <w:t>若过磅设备所属情况为单位自有，需提供设备照片（体现设备全貌的前后侧面彩色照片）、设备来源（含发票、合格证）、检定证书复印件等证明设备所属情况证明；若过磅设备所属情况为租赁的，需提供设备照片（体现设备全貌的前后侧面彩色照片）、设备来源（含发票、合格证）、检定证书复印件及租赁合同证明资料，其租赁期不得少于本项目的服务期限；如过磅设备已租赁且在租赁期内，中标单位同样应保证承诺租赁服务期不少于本项目的服务期限，并需提供设备照片（体现设备全貌的前后侧面彩色照片）、设备来源（含发票、合格证）、检定证书复印件及租赁合同证明资料。</w:t>
      </w:r>
      <w:r>
        <w:rPr>
          <w:rFonts w:hint="eastAsia" w:ascii="宋体" w:hAnsi="宋体" w:cs="宋体"/>
          <w:bCs/>
          <w:color w:val="auto"/>
          <w:sz w:val="24"/>
          <w:highlight w:val="none"/>
        </w:rPr>
        <w:t>（承诺文件格式自拟，不提供则作无效处理）</w:t>
      </w:r>
      <w:r>
        <w:rPr>
          <w:rFonts w:hint="eastAsia" w:ascii="宋体" w:hAnsi="宋体" w:cs="宋体"/>
          <w:bCs/>
          <w:color w:val="auto"/>
          <w:sz w:val="24"/>
          <w:highlight w:val="none"/>
          <w:lang w:eastAsia="zh-CN"/>
        </w:rPr>
        <w:t>。</w:t>
      </w:r>
    </w:p>
    <w:p w14:paraId="16DBE2BC">
      <w:pPr>
        <w:pageBreakBefore w:val="0"/>
        <w:tabs>
          <w:tab w:val="left" w:pos="2340"/>
        </w:tabs>
        <w:kinsoku/>
        <w:wordWrap/>
        <w:overflowPunct/>
        <w:topLinePunct w:val="0"/>
        <w:bidi w:val="0"/>
        <w:adjustRightInd/>
        <w:spacing w:line="48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过磅设备的相关基本情况说明（</w:t>
      </w:r>
      <w:r>
        <w:rPr>
          <w:rFonts w:hint="eastAsia" w:ascii="宋体" w:hAnsi="宋体" w:cs="宋体"/>
          <w:bCs/>
          <w:color w:val="auto"/>
          <w:sz w:val="24"/>
          <w:highlight w:val="none"/>
        </w:rPr>
        <w:t>在投标时提供，格式如下</w:t>
      </w:r>
      <w:r>
        <w:rPr>
          <w:rFonts w:hint="eastAsia" w:ascii="宋体" w:hAnsi="宋体" w:cs="宋体"/>
          <w:color w:val="auto"/>
          <w:sz w:val="24"/>
          <w:highlight w:val="none"/>
          <w:lang w:eastAsia="zh-CN"/>
        </w:rPr>
        <w:t>）：</w:t>
      </w:r>
    </w:p>
    <w:tbl>
      <w:tblPr>
        <w:tblStyle w:val="63"/>
        <w:tblpPr w:leftFromText="180" w:rightFromText="180" w:vertAnchor="text" w:tblpX="131"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715"/>
        <w:gridCol w:w="1062"/>
        <w:gridCol w:w="1200"/>
        <w:gridCol w:w="1258"/>
        <w:gridCol w:w="1165"/>
        <w:gridCol w:w="1629"/>
        <w:gridCol w:w="1434"/>
      </w:tblGrid>
      <w:tr w14:paraId="6AED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39" w:type="dxa"/>
            <w:noWrap w:val="0"/>
            <w:vAlign w:val="center"/>
          </w:tcPr>
          <w:p w14:paraId="18DB0D6D">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序号</w:t>
            </w:r>
          </w:p>
        </w:tc>
        <w:tc>
          <w:tcPr>
            <w:tcW w:w="715" w:type="dxa"/>
            <w:noWrap w:val="0"/>
            <w:vAlign w:val="center"/>
          </w:tcPr>
          <w:p w14:paraId="6BE76D53">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所有人</w:t>
            </w:r>
          </w:p>
        </w:tc>
        <w:tc>
          <w:tcPr>
            <w:tcW w:w="1062" w:type="dxa"/>
            <w:noWrap w:val="0"/>
            <w:vAlign w:val="center"/>
          </w:tcPr>
          <w:p w14:paraId="6121EDC3">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安装位置</w:t>
            </w:r>
          </w:p>
        </w:tc>
        <w:tc>
          <w:tcPr>
            <w:tcW w:w="1200" w:type="dxa"/>
            <w:noWrap w:val="0"/>
            <w:vAlign w:val="center"/>
          </w:tcPr>
          <w:p w14:paraId="3800B256">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型号</w:t>
            </w:r>
            <w:r>
              <w:rPr>
                <w:rFonts w:hint="eastAsia" w:ascii="宋体" w:hAnsi="宋体" w:eastAsia="宋体" w:cs="宋体"/>
                <w:color w:val="auto"/>
                <w:sz w:val="24"/>
                <w:highlight w:val="none"/>
                <w:vertAlign w:val="baseline"/>
                <w:lang w:eastAsia="zh-CN"/>
              </w:rPr>
              <w:t>/</w:t>
            </w:r>
            <w:r>
              <w:rPr>
                <w:rFonts w:hint="eastAsia" w:ascii="宋体" w:hAnsi="宋体" w:cs="宋体"/>
                <w:color w:val="auto"/>
                <w:sz w:val="24"/>
                <w:highlight w:val="none"/>
                <w:vertAlign w:val="baseline"/>
                <w:lang w:eastAsia="zh-CN"/>
              </w:rPr>
              <w:t>规格</w:t>
            </w:r>
          </w:p>
        </w:tc>
        <w:tc>
          <w:tcPr>
            <w:tcW w:w="1258" w:type="dxa"/>
            <w:noWrap w:val="0"/>
            <w:vAlign w:val="center"/>
          </w:tcPr>
          <w:p w14:paraId="52A2FC3B">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载荷（吨位）</w:t>
            </w:r>
          </w:p>
        </w:tc>
        <w:tc>
          <w:tcPr>
            <w:tcW w:w="1165" w:type="dxa"/>
            <w:noWrap w:val="0"/>
            <w:vAlign w:val="center"/>
          </w:tcPr>
          <w:p w14:paraId="1524F48E">
            <w:pPr>
              <w:pageBreakBefore w:val="0"/>
              <w:tabs>
                <w:tab w:val="left" w:pos="2340"/>
              </w:tabs>
              <w:kinsoku/>
              <w:wordWrap/>
              <w:overflowPunct/>
              <w:topLinePunct w:val="0"/>
              <w:bidi w:val="0"/>
              <w:adjustRightInd/>
              <w:spacing w:line="480" w:lineRule="exact"/>
              <w:jc w:val="center"/>
              <w:rPr>
                <w:rFonts w:hint="eastAsia" w:ascii="宋体" w:hAnsi="宋体" w:cs="宋体"/>
                <w:color w:val="auto"/>
                <w:sz w:val="24"/>
                <w:highlight w:val="none"/>
                <w:vertAlign w:val="baseline"/>
                <w:lang w:eastAsia="zh-CN"/>
              </w:rPr>
            </w:pPr>
            <w:r>
              <w:rPr>
                <w:rFonts w:hint="eastAsia" w:ascii="宋体" w:hAnsi="宋体" w:cs="宋体"/>
                <w:color w:val="auto"/>
                <w:sz w:val="24"/>
                <w:highlight w:val="none"/>
                <w:vertAlign w:val="baseline"/>
                <w:lang w:eastAsia="zh-CN"/>
              </w:rPr>
              <w:t>检定有效期</w:t>
            </w:r>
          </w:p>
        </w:tc>
        <w:tc>
          <w:tcPr>
            <w:tcW w:w="1629" w:type="dxa"/>
            <w:noWrap w:val="0"/>
            <w:vAlign w:val="center"/>
          </w:tcPr>
          <w:p w14:paraId="202AB7F6">
            <w:pPr>
              <w:pageBreakBefore w:val="0"/>
              <w:tabs>
                <w:tab w:val="left" w:pos="2340"/>
              </w:tabs>
              <w:kinsoku/>
              <w:wordWrap/>
              <w:overflowPunct/>
              <w:topLinePunct w:val="0"/>
              <w:bidi w:val="0"/>
              <w:adjustRightInd/>
              <w:spacing w:line="480" w:lineRule="exact"/>
              <w:jc w:val="center"/>
              <w:rPr>
                <w:rFonts w:hint="eastAsia" w:ascii="宋体" w:hAnsi="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产权性质（自有</w:t>
            </w:r>
            <w:r>
              <w:rPr>
                <w:rFonts w:hint="eastAsia" w:ascii="宋体" w:hAnsi="宋体" w:eastAsia="宋体" w:cs="宋体"/>
                <w:color w:val="auto"/>
                <w:sz w:val="24"/>
                <w:highlight w:val="none"/>
                <w:vertAlign w:val="baseline"/>
                <w:lang w:eastAsia="zh-CN"/>
              </w:rPr>
              <w:t>/租赁）</w:t>
            </w:r>
          </w:p>
        </w:tc>
        <w:tc>
          <w:tcPr>
            <w:tcW w:w="1434" w:type="dxa"/>
            <w:noWrap w:val="0"/>
            <w:vAlign w:val="center"/>
          </w:tcPr>
          <w:p w14:paraId="62AEE4DB">
            <w:pPr>
              <w:pageBreakBefore w:val="0"/>
              <w:tabs>
                <w:tab w:val="left" w:pos="2340"/>
              </w:tabs>
              <w:kinsoku/>
              <w:wordWrap/>
              <w:overflowPunct/>
              <w:topLinePunct w:val="0"/>
              <w:bidi w:val="0"/>
              <w:adjustRightInd/>
              <w:spacing w:line="480" w:lineRule="exact"/>
              <w:jc w:val="center"/>
              <w:rPr>
                <w:rFonts w:hint="eastAsia" w:ascii="宋体" w:hAnsi="宋体" w:cs="宋体"/>
                <w:color w:val="auto"/>
                <w:kern w:val="2"/>
                <w:sz w:val="24"/>
                <w:szCs w:val="22"/>
                <w:highlight w:val="none"/>
                <w:vertAlign w:val="baseline"/>
                <w:lang w:val="en-US" w:eastAsia="zh-CN" w:bidi="ar-SA"/>
              </w:rPr>
            </w:pPr>
            <w:r>
              <w:rPr>
                <w:rFonts w:hint="eastAsia" w:ascii="宋体" w:hAnsi="宋体" w:cs="宋体"/>
                <w:color w:val="auto"/>
                <w:sz w:val="24"/>
                <w:highlight w:val="none"/>
                <w:vertAlign w:val="baseline"/>
                <w:lang w:eastAsia="zh-CN"/>
              </w:rPr>
              <w:t>备注</w:t>
            </w:r>
          </w:p>
        </w:tc>
      </w:tr>
      <w:tr w14:paraId="2841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39" w:type="dxa"/>
            <w:noWrap w:val="0"/>
            <w:vAlign w:val="top"/>
          </w:tcPr>
          <w:p w14:paraId="4FED5D9C">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715" w:type="dxa"/>
            <w:noWrap w:val="0"/>
            <w:vAlign w:val="top"/>
          </w:tcPr>
          <w:p w14:paraId="3A4FD794">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062" w:type="dxa"/>
            <w:noWrap w:val="0"/>
            <w:vAlign w:val="top"/>
          </w:tcPr>
          <w:p w14:paraId="51D50C22">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200" w:type="dxa"/>
            <w:noWrap w:val="0"/>
            <w:vAlign w:val="top"/>
          </w:tcPr>
          <w:p w14:paraId="317C6E5A">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258" w:type="dxa"/>
            <w:noWrap w:val="0"/>
            <w:vAlign w:val="top"/>
          </w:tcPr>
          <w:p w14:paraId="2B283A5E">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165" w:type="dxa"/>
            <w:noWrap w:val="0"/>
            <w:vAlign w:val="top"/>
          </w:tcPr>
          <w:p w14:paraId="67603B8B">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629" w:type="dxa"/>
            <w:noWrap w:val="0"/>
            <w:vAlign w:val="top"/>
          </w:tcPr>
          <w:p w14:paraId="641891E0">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c>
          <w:tcPr>
            <w:tcW w:w="1434" w:type="dxa"/>
            <w:noWrap w:val="0"/>
            <w:vAlign w:val="top"/>
          </w:tcPr>
          <w:p w14:paraId="5035C7EE">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vertAlign w:val="baseline"/>
                <w:lang w:eastAsia="zh-CN"/>
              </w:rPr>
            </w:pPr>
          </w:p>
        </w:tc>
      </w:tr>
    </w:tbl>
    <w:p w14:paraId="5317987E">
      <w:pPr>
        <w:pageBreakBefore w:val="0"/>
        <w:tabs>
          <w:tab w:val="left" w:pos="2340"/>
        </w:tabs>
        <w:kinsoku/>
        <w:wordWrap/>
        <w:overflowPunct/>
        <w:topLinePunct w:val="0"/>
        <w:bidi w:val="0"/>
        <w:adjustRightInd/>
        <w:spacing w:line="240" w:lineRule="auto"/>
        <w:rPr>
          <w:rFonts w:hint="eastAsia" w:ascii="宋体" w:hAnsi="宋体" w:cs="宋体"/>
          <w:color w:val="auto"/>
          <w:sz w:val="24"/>
          <w:highlight w:val="none"/>
          <w:lang w:eastAsia="zh-CN"/>
        </w:rPr>
      </w:pPr>
    </w:p>
    <w:p w14:paraId="11E4529D">
      <w:pPr>
        <w:pageBreakBefore w:val="0"/>
        <w:tabs>
          <w:tab w:val="left" w:pos="2340"/>
        </w:tabs>
        <w:kinsoku/>
        <w:wordWrap/>
        <w:overflowPunct/>
        <w:topLinePunct w:val="0"/>
        <w:bidi w:val="0"/>
        <w:adjustRightInd/>
        <w:spacing w:line="480" w:lineRule="exac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注：所有人、</w:t>
      </w:r>
      <w:r>
        <w:rPr>
          <w:rFonts w:hint="eastAsia" w:ascii="宋体" w:hAnsi="宋体" w:cs="宋体"/>
          <w:color w:val="auto"/>
          <w:sz w:val="24"/>
          <w:highlight w:val="none"/>
          <w:vertAlign w:val="baseline"/>
          <w:lang w:eastAsia="zh-CN"/>
        </w:rPr>
        <w:t>型号</w:t>
      </w:r>
      <w:r>
        <w:rPr>
          <w:rFonts w:hint="eastAsia" w:ascii="宋体" w:hAnsi="宋体" w:eastAsia="宋体" w:cs="宋体"/>
          <w:color w:val="auto"/>
          <w:sz w:val="24"/>
          <w:highlight w:val="none"/>
          <w:vertAlign w:val="baseline"/>
          <w:lang w:eastAsia="zh-CN"/>
        </w:rPr>
        <w:t>/</w:t>
      </w:r>
      <w:r>
        <w:rPr>
          <w:rFonts w:hint="eastAsia" w:ascii="宋体" w:hAnsi="宋体" w:cs="宋体"/>
          <w:color w:val="auto"/>
          <w:sz w:val="24"/>
          <w:highlight w:val="none"/>
          <w:vertAlign w:val="baseline"/>
          <w:lang w:eastAsia="zh-CN"/>
        </w:rPr>
        <w:t>规格、检定有效期等内容按照</w:t>
      </w:r>
      <w:r>
        <w:rPr>
          <w:rFonts w:hint="eastAsia" w:ascii="宋体" w:hAnsi="宋体" w:cs="宋体"/>
          <w:color w:val="auto"/>
          <w:sz w:val="24"/>
          <w:highlight w:val="none"/>
          <w:lang w:eastAsia="zh-CN"/>
        </w:rPr>
        <w:t>检定证书（发票）上标注填写，安装位置须注明安装在停车场地内部或外面。设备属于自有，但检定证书（发票）上所有人非自有单位的，须有足够依据证明（购买发票、转让协议、支付凭证等）。</w:t>
      </w:r>
    </w:p>
    <w:p w14:paraId="55FF70BC">
      <w:pPr>
        <w:pageBreakBefore w:val="0"/>
        <w:kinsoku/>
        <w:wordWrap/>
        <w:overflowPunct/>
        <w:topLinePunct w:val="0"/>
        <w:bidi w:val="0"/>
        <w:adjustRightInd/>
        <w:spacing w:line="480" w:lineRule="exact"/>
        <w:rPr>
          <w:rFonts w:hint="eastAsia" w:ascii="宋体" w:hAnsi="宋体" w:cs="宋体"/>
          <w:b/>
          <w:color w:val="auto"/>
          <w:sz w:val="24"/>
          <w:highlight w:val="none"/>
        </w:rPr>
      </w:pPr>
    </w:p>
    <w:p w14:paraId="6FA80882">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b/>
          <w:color w:val="auto"/>
          <w:sz w:val="28"/>
          <w:szCs w:val="28"/>
          <w:highlight w:val="none"/>
        </w:rPr>
      </w:pPr>
      <w:r>
        <w:rPr>
          <w:rFonts w:hint="eastAsia" w:ascii="宋体" w:hAnsi="宋体" w:cs="宋体"/>
          <w:b/>
          <w:bCs/>
          <w:color w:val="auto"/>
          <w:sz w:val="28"/>
          <w:szCs w:val="28"/>
          <w:highlight w:val="none"/>
          <w:lang w:val="en-US" w:eastAsia="zh-CN"/>
        </w:rPr>
        <w:t>八</w:t>
      </w:r>
      <w:r>
        <w:rPr>
          <w:rFonts w:hint="eastAsia" w:ascii="宋体" w:hAnsi="宋体" w:cs="宋体"/>
          <w:b/>
          <w:bCs/>
          <w:color w:val="auto"/>
          <w:sz w:val="28"/>
          <w:szCs w:val="28"/>
          <w:highlight w:val="none"/>
        </w:rPr>
        <w:t>）</w:t>
      </w:r>
      <w:r>
        <w:rPr>
          <w:rFonts w:hint="eastAsia" w:ascii="宋体" w:hAnsi="宋体" w:cs="宋体"/>
          <w:b/>
          <w:color w:val="auto"/>
          <w:sz w:val="28"/>
          <w:szCs w:val="28"/>
          <w:highlight w:val="none"/>
        </w:rPr>
        <w:t>商务需求：</w:t>
      </w:r>
    </w:p>
    <w:p w14:paraId="52BE8C61">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服务质量承诺</w:t>
      </w:r>
    </w:p>
    <w:p w14:paraId="52B0E7F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（1）为确保服务质量及与采购人沟通联络，中标方须设置专职主管，负责对承包项目、范围、服务质量的检查监督及与采购人日常业务联系；</w:t>
      </w:r>
    </w:p>
    <w:p w14:paraId="368452A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（2）中标方需提供员工管理服务规范要求及确保服务质量达标的具体措施；</w:t>
      </w:r>
    </w:p>
    <w:p w14:paraId="3AAC5F3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（3）中标方需向采购人提供服务承诺；</w:t>
      </w:r>
    </w:p>
    <w:p w14:paraId="619F93B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（4）中标方须主动接受采购人的指导、检查、监督及协调；</w:t>
      </w:r>
    </w:p>
    <w:p w14:paraId="5311920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（5）现有服务范围内，由于调整而增加的工作量，不再增加费用。</w:t>
      </w:r>
    </w:p>
    <w:p w14:paraId="72E99DF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服务期限及地点：</w:t>
      </w:r>
    </w:p>
    <w:p w14:paraId="68DFAE9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▲（1）服务期限：自合同签订之日起一年。</w:t>
      </w:r>
    </w:p>
    <w:p w14:paraId="699CF35A">
      <w:pPr>
        <w:keepNext w:val="0"/>
        <w:keepLines w:val="0"/>
        <w:pageBreakBefore w:val="0"/>
        <w:widowControl w:val="0"/>
        <w:numPr>
          <w:ilvl w:val="0"/>
          <w:numId w:val="0"/>
        </w:numPr>
        <w:kinsoku/>
        <w:wordWrap/>
        <w:overflowPunct/>
        <w:topLinePunct w:val="0"/>
        <w:autoSpaceDE/>
        <w:autoSpaceDN/>
        <w:bidi w:val="0"/>
        <w:snapToGrid/>
        <w:spacing w:line="360" w:lineRule="auto"/>
        <w:ind w:firstLine="360" w:firstLineChars="150"/>
        <w:textAlignment w:val="auto"/>
        <w:rPr>
          <w:rFonts w:ascii="宋体" w:hAnsi="宋体" w:cs="宋体"/>
          <w:color w:val="auto"/>
          <w:sz w:val="24"/>
          <w:highlight w:val="none"/>
        </w:rPr>
      </w:pPr>
      <w:r>
        <w:rPr>
          <w:rFonts w:ascii="宋体" w:hAnsi="宋体" w:eastAsia="宋体" w:cs="宋体"/>
          <w:color w:val="auto"/>
          <w:kern w:val="2"/>
          <w:sz w:val="24"/>
          <w:szCs w:val="24"/>
          <w:highlight w:val="none"/>
          <w:lang w:val="en-US" w:eastAsia="zh-CN" w:bidi="ar-SA"/>
        </w:rPr>
        <w:t>（2）</w:t>
      </w:r>
      <w:r>
        <w:rPr>
          <w:rFonts w:hint="eastAsia" w:ascii="宋体" w:hAnsi="宋体" w:cs="宋体"/>
          <w:color w:val="auto"/>
          <w:sz w:val="24"/>
          <w:highlight w:val="none"/>
        </w:rPr>
        <w:t>服务地点：采购人指定地点。</w:t>
      </w:r>
    </w:p>
    <w:p w14:paraId="787A770B">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2"/>
          <w:sz w:val="24"/>
          <w:szCs w:val="24"/>
          <w:highlight w:val="none"/>
          <w:lang w:val="en-US" w:eastAsia="zh-CN" w:bidi="ar-SA"/>
        </w:rPr>
        <w:t>3、</w:t>
      </w:r>
      <w:r>
        <w:rPr>
          <w:rFonts w:hint="eastAsia" w:ascii="宋体" w:hAnsi="宋体" w:cs="宋体"/>
          <w:color w:val="auto"/>
          <w:sz w:val="24"/>
          <w:highlight w:val="none"/>
        </w:rPr>
        <w:t>在服务期内中标人必须严格履行合同，如中标人在服务期内违反合同约定，经考核不合格，采购单位有权提前终止合同。合同期满后，妥善处理退场移交、人员安置，如果出现劳资纠纷，责任在中标单位，与采购单位无关。</w:t>
      </w:r>
    </w:p>
    <w:p w14:paraId="0A7EF4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、投标人须按照中华人民共和国劳动法等法律法规和相关地方法规实施中标工作。</w:t>
      </w:r>
    </w:p>
    <w:p w14:paraId="479C823D">
      <w:pPr>
        <w:pStyle w:val="668"/>
        <w:keepNext w:val="0"/>
        <w:keepLines w:val="0"/>
        <w:pageBreakBefore w:val="0"/>
        <w:widowControl w:val="0"/>
        <w:kinsoku/>
        <w:wordWrap/>
        <w:overflowPunct/>
        <w:topLinePunct w:val="0"/>
        <w:autoSpaceDE/>
        <w:autoSpaceDN/>
        <w:bidi w:val="0"/>
        <w:adjustRightInd/>
        <w:snapToGrid/>
        <w:spacing w:beforeLines="0" w:after="0" w:line="360" w:lineRule="auto"/>
        <w:ind w:firstLine="480" w:firstLineChars="200"/>
        <w:textAlignment w:val="auto"/>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lang w:eastAsia="zh-CN"/>
        </w:rPr>
        <w:t>、</w:t>
      </w:r>
      <w:r>
        <w:rPr>
          <w:rFonts w:ascii="宋体" w:hAnsi="宋体" w:cs="宋体"/>
          <w:color w:val="auto"/>
          <w:highlight w:val="none"/>
        </w:rPr>
        <w:t>本项目不得转包</w:t>
      </w:r>
      <w:r>
        <w:rPr>
          <w:rFonts w:hint="eastAsia" w:ascii="宋体" w:hAnsi="宋体" w:cs="宋体"/>
          <w:color w:val="auto"/>
          <w:highlight w:val="none"/>
        </w:rPr>
        <w:t>或分包</w:t>
      </w:r>
      <w:r>
        <w:rPr>
          <w:rFonts w:ascii="宋体" w:hAnsi="宋体" w:cs="宋体"/>
          <w:color w:val="auto"/>
          <w:highlight w:val="none"/>
        </w:rPr>
        <w:t>，如若发现转包</w:t>
      </w:r>
      <w:r>
        <w:rPr>
          <w:rFonts w:hint="eastAsia" w:ascii="宋体" w:hAnsi="宋体" w:cs="宋体"/>
          <w:color w:val="auto"/>
          <w:highlight w:val="none"/>
        </w:rPr>
        <w:t>或分包</w:t>
      </w:r>
      <w:r>
        <w:rPr>
          <w:rFonts w:ascii="宋体" w:hAnsi="宋体" w:cs="宋体"/>
          <w:color w:val="auto"/>
          <w:highlight w:val="none"/>
        </w:rPr>
        <w:t>行为，采购人</w:t>
      </w:r>
      <w:r>
        <w:rPr>
          <w:rFonts w:hint="eastAsia" w:ascii="宋体" w:hAnsi="宋体" w:cs="宋体"/>
          <w:color w:val="auto"/>
          <w:highlight w:val="none"/>
          <w:lang w:eastAsia="zh-CN"/>
        </w:rPr>
        <w:t>（甲方）</w:t>
      </w:r>
      <w:r>
        <w:rPr>
          <w:rFonts w:ascii="宋体" w:hAnsi="宋体" w:cs="宋体"/>
          <w:color w:val="auto"/>
          <w:highlight w:val="none"/>
        </w:rPr>
        <w:t>有权无条件终止合同，造成的损失由乙方承担</w:t>
      </w:r>
      <w:r>
        <w:rPr>
          <w:rFonts w:hint="eastAsia" w:ascii="宋体" w:hAnsi="宋体" w:cs="宋体"/>
          <w:color w:val="auto"/>
          <w:highlight w:val="none"/>
        </w:rPr>
        <w:t>。</w:t>
      </w:r>
    </w:p>
    <w:p w14:paraId="6BD2F6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项目实施计划</w:t>
      </w:r>
    </w:p>
    <w:p w14:paraId="1A9F143C">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宋体" w:hAnsi="宋体" w:cs="宋体"/>
          <w:color w:val="auto"/>
          <w:sz w:val="24"/>
          <w:highlight w:val="none"/>
        </w:rPr>
      </w:pPr>
      <w:r>
        <w:rPr>
          <w:rFonts w:hint="eastAsia" w:ascii="宋体" w:hAnsi="宋体" w:cs="宋体"/>
          <w:color w:val="auto"/>
          <w:sz w:val="24"/>
          <w:highlight w:val="none"/>
        </w:rPr>
        <w:t xml:space="preserve">项目实施的组织工作方案:工作时间进度表、工作程序或步骤、管理和协调方法、送货方案等。 </w:t>
      </w:r>
    </w:p>
    <w:p w14:paraId="32CCDE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付款方式：</w:t>
      </w:r>
    </w:p>
    <w:p w14:paraId="0C24E9EC">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宋体" w:hAnsi="宋体" w:cs="宋体"/>
          <w:color w:val="auto"/>
          <w:sz w:val="24"/>
          <w:highlight w:val="none"/>
        </w:rPr>
      </w:pPr>
      <w:r>
        <w:rPr>
          <w:rFonts w:hint="eastAsia" w:ascii="宋体" w:hAnsi="宋体" w:cs="宋体"/>
          <w:color w:val="auto"/>
          <w:sz w:val="24"/>
          <w:highlight w:val="none"/>
        </w:rPr>
        <w:t>费用结算根据合同实际签订的起始时间按实结算。中标人在合同签订后向采购人支付中标金额的1%作为履约保证金（接受保函）；费用按每月支付一次，最后一次支付时间为合同期满以后一次性付清，履约保证金无息退还。采购人将组织代表每</w:t>
      </w:r>
      <w:r>
        <w:rPr>
          <w:rFonts w:hint="eastAsia" w:ascii="宋体" w:hAnsi="宋体" w:cs="宋体"/>
          <w:color w:val="auto"/>
          <w:sz w:val="24"/>
          <w:highlight w:val="none"/>
          <w:lang w:eastAsia="zh-CN"/>
        </w:rPr>
        <w:t>月</w:t>
      </w:r>
      <w:r>
        <w:rPr>
          <w:rFonts w:hint="eastAsia" w:ascii="宋体" w:hAnsi="宋体" w:cs="宋体"/>
          <w:color w:val="auto"/>
          <w:sz w:val="24"/>
          <w:highlight w:val="none"/>
        </w:rPr>
        <w:t>对服务人员到岗情况、工作内容及服务质量按照项目要求进行考核。</w:t>
      </w:r>
    </w:p>
    <w:p w14:paraId="30AE8044">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p>
    <w:p w14:paraId="604E85B6">
      <w:pPr>
        <w:pageBreakBefore w:val="0"/>
        <w:kinsoku/>
        <w:wordWrap/>
        <w:overflowPunct/>
        <w:topLinePunct w:val="0"/>
        <w:bidi w:val="0"/>
        <w:adjustRightInd/>
        <w:snapToGrid w:val="0"/>
        <w:spacing w:line="480" w:lineRule="exact"/>
        <w:jc w:val="left"/>
        <w:rPr>
          <w:rFonts w:ascii="宋体" w:hAnsi="宋体" w:cs="宋体"/>
          <w:color w:val="auto"/>
          <w:sz w:val="24"/>
          <w:highlight w:val="none"/>
        </w:rPr>
      </w:pPr>
    </w:p>
    <w:p w14:paraId="2CA1B731">
      <w:pPr>
        <w:pageBreakBefore w:val="0"/>
        <w:kinsoku/>
        <w:wordWrap/>
        <w:overflowPunct/>
        <w:topLinePunct w:val="0"/>
        <w:bidi w:val="0"/>
        <w:adjustRightInd/>
        <w:spacing w:line="48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12120"/>
      <w:bookmarkEnd w:id="29"/>
      <w:bookmarkStart w:id="30" w:name="_Toc184310337"/>
      <w:bookmarkEnd w:id="30"/>
      <w:bookmarkStart w:id="31" w:name="_Toc184310286"/>
      <w:bookmarkEnd w:id="31"/>
      <w:bookmarkStart w:id="32" w:name="_Toc184308085"/>
      <w:bookmarkEnd w:id="32"/>
      <w:bookmarkStart w:id="33" w:name="_Toc184314446"/>
      <w:bookmarkEnd w:id="33"/>
      <w:bookmarkStart w:id="34" w:name="_Toc184308070"/>
      <w:bookmarkEnd w:id="34"/>
      <w:bookmarkStart w:id="35" w:name="_Toc184314447"/>
      <w:bookmarkEnd w:id="35"/>
      <w:bookmarkStart w:id="36" w:name="_Toc184312124"/>
      <w:bookmarkEnd w:id="36"/>
      <w:bookmarkStart w:id="37" w:name="_Toc184312092"/>
      <w:bookmarkEnd w:id="37"/>
      <w:bookmarkStart w:id="38" w:name="_Toc184310279"/>
      <w:bookmarkEnd w:id="38"/>
      <w:bookmarkStart w:id="39" w:name="_Toc184314433"/>
      <w:bookmarkEnd w:id="39"/>
      <w:bookmarkStart w:id="40" w:name="_Toc184308089"/>
      <w:bookmarkEnd w:id="40"/>
      <w:bookmarkStart w:id="41" w:name="_Toc184314434"/>
      <w:bookmarkEnd w:id="41"/>
      <w:bookmarkStart w:id="42" w:name="_Toc184313295"/>
      <w:bookmarkEnd w:id="42"/>
      <w:bookmarkStart w:id="43" w:name="_Toc184314445"/>
      <w:bookmarkEnd w:id="43"/>
      <w:bookmarkStart w:id="44" w:name="_Toc184310335"/>
      <w:bookmarkEnd w:id="44"/>
      <w:bookmarkStart w:id="45" w:name="_Toc184308090"/>
      <w:bookmarkEnd w:id="45"/>
      <w:bookmarkStart w:id="46" w:name="_Toc184314478"/>
      <w:bookmarkEnd w:id="46"/>
      <w:bookmarkStart w:id="47" w:name="_Toc184308078"/>
      <w:bookmarkEnd w:id="47"/>
      <w:bookmarkStart w:id="48" w:name="_Toc184310325"/>
      <w:bookmarkEnd w:id="48"/>
      <w:bookmarkStart w:id="49" w:name="_Toc184314464"/>
      <w:bookmarkEnd w:id="49"/>
      <w:bookmarkStart w:id="50" w:name="_Toc184314427"/>
      <w:bookmarkEnd w:id="50"/>
      <w:bookmarkStart w:id="51" w:name="_Toc184314459"/>
      <w:bookmarkEnd w:id="51"/>
      <w:bookmarkStart w:id="52" w:name="_Toc184313296"/>
      <w:bookmarkEnd w:id="52"/>
      <w:bookmarkStart w:id="53" w:name="_Toc184312113"/>
      <w:bookmarkEnd w:id="53"/>
      <w:bookmarkStart w:id="54" w:name="_Toc184310321"/>
      <w:bookmarkEnd w:id="54"/>
      <w:bookmarkStart w:id="55" w:name="_Toc184310293"/>
      <w:bookmarkEnd w:id="55"/>
      <w:bookmarkStart w:id="56" w:name="_Toc184313253"/>
      <w:bookmarkEnd w:id="56"/>
      <w:bookmarkStart w:id="57" w:name="_Toc184308055"/>
      <w:bookmarkEnd w:id="57"/>
      <w:bookmarkStart w:id="58" w:name="_Toc184314479"/>
      <w:bookmarkEnd w:id="58"/>
      <w:bookmarkStart w:id="59" w:name="_Toc184308042"/>
      <w:bookmarkEnd w:id="59"/>
      <w:bookmarkStart w:id="60" w:name="_Toc184313285"/>
      <w:bookmarkEnd w:id="60"/>
      <w:bookmarkStart w:id="61" w:name="_Toc184312132"/>
      <w:bookmarkEnd w:id="61"/>
      <w:bookmarkStart w:id="62" w:name="_Toc184312102"/>
      <w:bookmarkEnd w:id="62"/>
      <w:bookmarkStart w:id="63" w:name="_Toc184314444"/>
      <w:bookmarkEnd w:id="63"/>
      <w:bookmarkStart w:id="64" w:name="_Toc184308108"/>
      <w:bookmarkEnd w:id="64"/>
      <w:bookmarkStart w:id="65" w:name="_Toc184312087"/>
      <w:bookmarkEnd w:id="65"/>
      <w:bookmarkStart w:id="66" w:name="_Toc184310284"/>
      <w:bookmarkEnd w:id="66"/>
      <w:bookmarkStart w:id="67" w:name="_Toc184314463"/>
      <w:bookmarkEnd w:id="67"/>
      <w:bookmarkStart w:id="68" w:name="_Toc184310329"/>
      <w:bookmarkEnd w:id="68"/>
      <w:bookmarkStart w:id="69" w:name="_Toc184310281"/>
      <w:bookmarkEnd w:id="69"/>
      <w:bookmarkStart w:id="70" w:name="_Toc184312085"/>
      <w:bookmarkEnd w:id="70"/>
      <w:bookmarkStart w:id="71" w:name="_Toc184312122"/>
      <w:bookmarkEnd w:id="71"/>
      <w:bookmarkStart w:id="72" w:name="_Toc184313300"/>
      <w:bookmarkEnd w:id="72"/>
      <w:bookmarkStart w:id="73" w:name="_Toc184310310"/>
      <w:bookmarkEnd w:id="73"/>
      <w:bookmarkStart w:id="74" w:name="_Toc184313278"/>
      <w:bookmarkEnd w:id="74"/>
      <w:bookmarkStart w:id="75" w:name="_Toc184314421"/>
      <w:bookmarkEnd w:id="75"/>
      <w:bookmarkStart w:id="76" w:name="_Toc184310305"/>
      <w:bookmarkEnd w:id="76"/>
      <w:bookmarkStart w:id="77" w:name="_Toc184308079"/>
      <w:bookmarkEnd w:id="77"/>
      <w:bookmarkStart w:id="78" w:name="_Toc184312096"/>
      <w:bookmarkEnd w:id="78"/>
      <w:bookmarkStart w:id="79" w:name="_Toc184313288"/>
      <w:bookmarkEnd w:id="79"/>
      <w:bookmarkStart w:id="80" w:name="_Toc184310317"/>
      <w:bookmarkEnd w:id="80"/>
      <w:bookmarkStart w:id="81" w:name="_Toc184312091"/>
      <w:bookmarkEnd w:id="81"/>
      <w:bookmarkStart w:id="82" w:name="_Toc184313297"/>
      <w:bookmarkEnd w:id="82"/>
      <w:bookmarkStart w:id="83" w:name="_Toc184313258"/>
      <w:bookmarkEnd w:id="83"/>
      <w:bookmarkStart w:id="84" w:name="_Toc184312068"/>
      <w:bookmarkEnd w:id="84"/>
      <w:bookmarkStart w:id="85" w:name="_Toc184310290"/>
      <w:bookmarkEnd w:id="85"/>
      <w:bookmarkStart w:id="86" w:name="_Toc184310336"/>
      <w:bookmarkEnd w:id="86"/>
      <w:bookmarkStart w:id="87" w:name="_Toc184314443"/>
      <w:bookmarkEnd w:id="87"/>
      <w:bookmarkStart w:id="88" w:name="_Toc184313255"/>
      <w:bookmarkEnd w:id="88"/>
      <w:bookmarkStart w:id="89" w:name="_Toc184313282"/>
      <w:bookmarkEnd w:id="89"/>
      <w:bookmarkStart w:id="90" w:name="_Toc184314431"/>
      <w:bookmarkEnd w:id="90"/>
      <w:bookmarkStart w:id="91" w:name="_Toc184313246"/>
      <w:bookmarkEnd w:id="91"/>
      <w:bookmarkStart w:id="92" w:name="_Toc184313280"/>
      <w:bookmarkEnd w:id="92"/>
      <w:bookmarkStart w:id="93" w:name="_Toc184313244"/>
      <w:bookmarkEnd w:id="93"/>
      <w:bookmarkStart w:id="94" w:name="_Toc184308058"/>
      <w:bookmarkEnd w:id="94"/>
      <w:bookmarkStart w:id="95" w:name="_Toc184308103"/>
      <w:bookmarkEnd w:id="95"/>
      <w:bookmarkStart w:id="96" w:name="_Toc184312112"/>
      <w:bookmarkEnd w:id="96"/>
      <w:bookmarkStart w:id="97" w:name="_Toc184313259"/>
      <w:bookmarkEnd w:id="97"/>
      <w:bookmarkStart w:id="98" w:name="_Toc184308037"/>
      <w:bookmarkEnd w:id="98"/>
      <w:bookmarkStart w:id="99" w:name="_Toc184312105"/>
      <w:bookmarkEnd w:id="99"/>
      <w:bookmarkStart w:id="100" w:name="_Toc184314473"/>
      <w:bookmarkEnd w:id="100"/>
      <w:bookmarkStart w:id="101" w:name="_Toc184310283"/>
      <w:bookmarkEnd w:id="101"/>
      <w:bookmarkStart w:id="102" w:name="_Toc184313268"/>
      <w:bookmarkEnd w:id="102"/>
      <w:bookmarkStart w:id="103" w:name="_Toc184308054"/>
      <w:bookmarkEnd w:id="103"/>
      <w:bookmarkStart w:id="104" w:name="_Toc184313305"/>
      <w:bookmarkEnd w:id="104"/>
      <w:bookmarkStart w:id="105" w:name="_Toc184313240"/>
      <w:bookmarkEnd w:id="105"/>
      <w:bookmarkStart w:id="106" w:name="_Toc184310301"/>
      <w:bookmarkEnd w:id="106"/>
      <w:bookmarkStart w:id="107" w:name="_Toc184313243"/>
      <w:bookmarkEnd w:id="107"/>
      <w:bookmarkStart w:id="108" w:name="_Toc184314437"/>
      <w:bookmarkEnd w:id="108"/>
      <w:bookmarkStart w:id="109" w:name="_Toc184313254"/>
      <w:bookmarkEnd w:id="109"/>
      <w:bookmarkStart w:id="110" w:name="_Toc184312139"/>
      <w:bookmarkEnd w:id="110"/>
      <w:bookmarkStart w:id="111" w:name="_Toc184312111"/>
      <w:bookmarkEnd w:id="111"/>
      <w:bookmarkStart w:id="112" w:name="_Toc184312137"/>
      <w:bookmarkEnd w:id="112"/>
      <w:bookmarkStart w:id="113" w:name="_Toc184308082"/>
      <w:bookmarkEnd w:id="113"/>
      <w:bookmarkStart w:id="114" w:name="_Toc184314435"/>
      <w:bookmarkEnd w:id="114"/>
      <w:bookmarkStart w:id="115" w:name="_Toc184314440"/>
      <w:bookmarkEnd w:id="115"/>
      <w:bookmarkStart w:id="116" w:name="_Toc184308044"/>
      <w:bookmarkEnd w:id="116"/>
      <w:bookmarkStart w:id="117" w:name="_Toc184310311"/>
      <w:bookmarkEnd w:id="117"/>
      <w:bookmarkStart w:id="118" w:name="_Toc184313310"/>
      <w:bookmarkEnd w:id="118"/>
      <w:bookmarkStart w:id="119" w:name="_Toc184314415"/>
      <w:bookmarkEnd w:id="119"/>
      <w:bookmarkStart w:id="120" w:name="_Toc184312098"/>
      <w:bookmarkEnd w:id="120"/>
      <w:bookmarkStart w:id="121" w:name="_Toc184310313"/>
      <w:bookmarkEnd w:id="121"/>
      <w:bookmarkStart w:id="122" w:name="_Toc184308097"/>
      <w:bookmarkEnd w:id="122"/>
      <w:bookmarkStart w:id="123" w:name="_Toc184308049"/>
      <w:bookmarkEnd w:id="123"/>
      <w:bookmarkStart w:id="124" w:name="_Toc184313274"/>
      <w:bookmarkEnd w:id="124"/>
      <w:bookmarkStart w:id="125" w:name="_Toc184314429"/>
      <w:bookmarkEnd w:id="125"/>
      <w:bookmarkStart w:id="126" w:name="_Toc184308040"/>
      <w:bookmarkEnd w:id="126"/>
      <w:bookmarkStart w:id="127" w:name="_Toc184313301"/>
      <w:bookmarkEnd w:id="127"/>
      <w:bookmarkStart w:id="128" w:name="_Toc184314412"/>
      <w:bookmarkEnd w:id="128"/>
      <w:bookmarkStart w:id="129" w:name="_Toc184313241"/>
      <w:bookmarkEnd w:id="129"/>
      <w:bookmarkStart w:id="130" w:name="_Toc184310333"/>
      <w:bookmarkEnd w:id="130"/>
      <w:bookmarkStart w:id="131" w:name="_Toc184314424"/>
      <w:bookmarkEnd w:id="131"/>
      <w:bookmarkStart w:id="132" w:name="_Toc184308056"/>
      <w:bookmarkEnd w:id="132"/>
      <w:bookmarkStart w:id="133" w:name="_Toc184312089"/>
      <w:bookmarkEnd w:id="133"/>
      <w:bookmarkStart w:id="134" w:name="_Toc184312078"/>
      <w:bookmarkEnd w:id="134"/>
      <w:bookmarkStart w:id="135" w:name="_Toc184314423"/>
      <w:bookmarkEnd w:id="135"/>
      <w:bookmarkStart w:id="136" w:name="_Toc184308101"/>
      <w:bookmarkEnd w:id="136"/>
      <w:bookmarkStart w:id="137" w:name="_Toc184308060"/>
      <w:bookmarkEnd w:id="137"/>
      <w:bookmarkStart w:id="138" w:name="_Toc184314461"/>
      <w:bookmarkEnd w:id="138"/>
      <w:bookmarkStart w:id="139" w:name="_Toc184314456"/>
      <w:bookmarkEnd w:id="139"/>
      <w:bookmarkStart w:id="140" w:name="_Toc184314476"/>
      <w:bookmarkEnd w:id="140"/>
      <w:bookmarkStart w:id="141" w:name="_Toc184310287"/>
      <w:bookmarkEnd w:id="141"/>
      <w:bookmarkStart w:id="142" w:name="_Toc184310331"/>
      <w:bookmarkEnd w:id="142"/>
      <w:bookmarkStart w:id="143" w:name="_Toc184310276"/>
      <w:bookmarkEnd w:id="143"/>
      <w:bookmarkStart w:id="144" w:name="_Toc184312084"/>
      <w:bookmarkEnd w:id="144"/>
      <w:bookmarkStart w:id="145" w:name="_Toc184313291"/>
      <w:bookmarkEnd w:id="145"/>
      <w:bookmarkStart w:id="146" w:name="_Toc184312103"/>
      <w:bookmarkEnd w:id="146"/>
      <w:bookmarkStart w:id="147" w:name="_Toc184312135"/>
      <w:bookmarkEnd w:id="147"/>
      <w:bookmarkStart w:id="148" w:name="_Toc184313298"/>
      <w:bookmarkEnd w:id="148"/>
      <w:bookmarkStart w:id="149" w:name="_Toc184310278"/>
      <w:bookmarkEnd w:id="149"/>
      <w:bookmarkStart w:id="150" w:name="_Toc184310299"/>
      <w:bookmarkEnd w:id="150"/>
      <w:bookmarkStart w:id="151" w:name="_Toc184314413"/>
      <w:bookmarkEnd w:id="151"/>
      <w:bookmarkStart w:id="152" w:name="_Toc184312128"/>
      <w:bookmarkEnd w:id="152"/>
      <w:bookmarkStart w:id="153" w:name="_Toc184310309"/>
      <w:bookmarkEnd w:id="153"/>
      <w:bookmarkStart w:id="154" w:name="_Toc184314481"/>
      <w:bookmarkEnd w:id="154"/>
      <w:bookmarkStart w:id="155" w:name="_Toc184313281"/>
      <w:bookmarkEnd w:id="155"/>
      <w:bookmarkStart w:id="156" w:name="_Toc184314480"/>
      <w:bookmarkEnd w:id="156"/>
      <w:bookmarkStart w:id="157" w:name="_Toc184314420"/>
      <w:bookmarkEnd w:id="157"/>
      <w:bookmarkStart w:id="158" w:name="_Toc184313306"/>
      <w:bookmarkEnd w:id="158"/>
      <w:bookmarkStart w:id="159" w:name="_Toc184308063"/>
      <w:bookmarkEnd w:id="159"/>
      <w:bookmarkStart w:id="160" w:name="_Toc184313239"/>
      <w:bookmarkEnd w:id="160"/>
      <w:bookmarkStart w:id="161" w:name="_Toc184314436"/>
      <w:bookmarkEnd w:id="161"/>
      <w:bookmarkStart w:id="162" w:name="_Toc184313303"/>
      <w:bookmarkEnd w:id="162"/>
      <w:bookmarkStart w:id="163" w:name="_Toc184314425"/>
      <w:bookmarkEnd w:id="163"/>
      <w:bookmarkStart w:id="164" w:name="_Toc184314410"/>
      <w:bookmarkEnd w:id="164"/>
      <w:bookmarkStart w:id="165" w:name="_Toc184312070"/>
      <w:bookmarkEnd w:id="165"/>
      <w:bookmarkStart w:id="166" w:name="_Toc184310316"/>
      <w:bookmarkEnd w:id="166"/>
      <w:bookmarkStart w:id="167" w:name="_Toc184313283"/>
      <w:bookmarkEnd w:id="167"/>
      <w:bookmarkStart w:id="168" w:name="_Toc184310324"/>
      <w:bookmarkEnd w:id="168"/>
      <w:bookmarkStart w:id="169" w:name="_Toc184310303"/>
      <w:bookmarkEnd w:id="169"/>
      <w:bookmarkStart w:id="170" w:name="_Toc184308106"/>
      <w:bookmarkEnd w:id="170"/>
      <w:bookmarkStart w:id="171" w:name="_Toc184314448"/>
      <w:bookmarkEnd w:id="171"/>
      <w:bookmarkStart w:id="172" w:name="_Toc184313264"/>
      <w:bookmarkEnd w:id="172"/>
      <w:bookmarkStart w:id="173" w:name="_Toc184310277"/>
      <w:bookmarkEnd w:id="173"/>
      <w:bookmarkStart w:id="174" w:name="_Toc184313302"/>
      <w:bookmarkEnd w:id="174"/>
      <w:bookmarkStart w:id="175" w:name="_Toc184308047"/>
      <w:bookmarkEnd w:id="175"/>
      <w:bookmarkStart w:id="176" w:name="_Toc184308036"/>
      <w:bookmarkEnd w:id="176"/>
      <w:bookmarkStart w:id="177" w:name="_Toc184314449"/>
      <w:bookmarkEnd w:id="177"/>
      <w:bookmarkStart w:id="178" w:name="_Toc184312101"/>
      <w:bookmarkEnd w:id="178"/>
      <w:bookmarkStart w:id="179" w:name="_Toc184308050"/>
      <w:bookmarkEnd w:id="179"/>
      <w:bookmarkStart w:id="180" w:name="_Toc184314438"/>
      <w:bookmarkEnd w:id="180"/>
      <w:bookmarkStart w:id="181" w:name="_Toc184314422"/>
      <w:bookmarkEnd w:id="181"/>
      <w:bookmarkStart w:id="182" w:name="_Toc184308105"/>
      <w:bookmarkEnd w:id="182"/>
      <w:bookmarkStart w:id="183" w:name="_Toc184313242"/>
      <w:bookmarkEnd w:id="183"/>
      <w:bookmarkStart w:id="184" w:name="_Toc184312095"/>
      <w:bookmarkEnd w:id="184"/>
      <w:bookmarkStart w:id="185" w:name="_Toc184308076"/>
      <w:bookmarkEnd w:id="185"/>
      <w:bookmarkStart w:id="186" w:name="_Toc184308069"/>
      <w:bookmarkEnd w:id="186"/>
      <w:bookmarkStart w:id="187" w:name="_Toc184312079"/>
      <w:bookmarkEnd w:id="187"/>
      <w:bookmarkStart w:id="188" w:name="_Toc184312138"/>
      <w:bookmarkEnd w:id="188"/>
      <w:bookmarkStart w:id="189" w:name="_Toc184314418"/>
      <w:bookmarkEnd w:id="189"/>
      <w:bookmarkStart w:id="190" w:name="_Toc184314466"/>
      <w:bookmarkEnd w:id="190"/>
      <w:bookmarkStart w:id="191" w:name="_Toc184313267"/>
      <w:bookmarkEnd w:id="191"/>
      <w:bookmarkStart w:id="192" w:name="_Toc184308039"/>
      <w:bookmarkEnd w:id="192"/>
      <w:bookmarkStart w:id="193" w:name="_Toc184310344"/>
      <w:bookmarkEnd w:id="193"/>
      <w:bookmarkStart w:id="194" w:name="_Toc184313250"/>
      <w:bookmarkEnd w:id="194"/>
      <w:bookmarkStart w:id="195" w:name="_Toc184314432"/>
      <w:bookmarkEnd w:id="195"/>
      <w:bookmarkStart w:id="196" w:name="_Toc184312072"/>
      <w:bookmarkEnd w:id="196"/>
      <w:bookmarkStart w:id="197" w:name="_Toc184313293"/>
      <w:bookmarkEnd w:id="197"/>
      <w:bookmarkStart w:id="198" w:name="_Toc184310326"/>
      <w:bookmarkEnd w:id="198"/>
      <w:bookmarkStart w:id="199" w:name="_Toc184313271"/>
      <w:bookmarkEnd w:id="199"/>
      <w:bookmarkStart w:id="200" w:name="_Toc184312071"/>
      <w:bookmarkEnd w:id="200"/>
      <w:bookmarkStart w:id="201" w:name="_Toc184314441"/>
      <w:bookmarkEnd w:id="201"/>
      <w:bookmarkStart w:id="202" w:name="_Toc184312109"/>
      <w:bookmarkEnd w:id="202"/>
      <w:bookmarkStart w:id="203" w:name="_Toc184314465"/>
      <w:bookmarkEnd w:id="203"/>
      <w:bookmarkStart w:id="204" w:name="_Toc184310330"/>
      <w:bookmarkEnd w:id="204"/>
      <w:bookmarkStart w:id="205" w:name="_Toc184310272"/>
      <w:bookmarkEnd w:id="205"/>
      <w:bookmarkStart w:id="206" w:name="_Toc184308095"/>
      <w:bookmarkEnd w:id="206"/>
      <w:bookmarkStart w:id="207" w:name="_Toc184310327"/>
      <w:bookmarkEnd w:id="207"/>
      <w:bookmarkStart w:id="208" w:name="_Toc184312076"/>
      <w:bookmarkEnd w:id="208"/>
      <w:bookmarkStart w:id="209" w:name="_Toc184314428"/>
      <w:bookmarkEnd w:id="209"/>
      <w:bookmarkStart w:id="210" w:name="_Toc184312099"/>
      <w:bookmarkEnd w:id="210"/>
      <w:bookmarkStart w:id="211" w:name="_Toc184312115"/>
      <w:bookmarkEnd w:id="211"/>
      <w:bookmarkStart w:id="212" w:name="_Toc184313304"/>
      <w:bookmarkEnd w:id="212"/>
      <w:bookmarkStart w:id="213" w:name="_Toc184308053"/>
      <w:bookmarkEnd w:id="213"/>
      <w:bookmarkStart w:id="214" w:name="_Toc184314482"/>
      <w:bookmarkEnd w:id="214"/>
      <w:bookmarkStart w:id="215" w:name="_Toc184310332"/>
      <w:bookmarkEnd w:id="215"/>
      <w:bookmarkStart w:id="216" w:name="_Toc184310312"/>
      <w:bookmarkEnd w:id="216"/>
      <w:bookmarkStart w:id="217" w:name="_Toc184314430"/>
      <w:bookmarkEnd w:id="217"/>
      <w:bookmarkStart w:id="218" w:name="_Toc184308065"/>
      <w:bookmarkEnd w:id="218"/>
      <w:bookmarkStart w:id="219" w:name="_Toc184312093"/>
      <w:bookmarkEnd w:id="219"/>
      <w:bookmarkStart w:id="220" w:name="_Toc184313294"/>
      <w:bookmarkEnd w:id="220"/>
      <w:bookmarkStart w:id="221" w:name="_Toc184310298"/>
      <w:bookmarkEnd w:id="221"/>
      <w:bookmarkStart w:id="222" w:name="_Toc184314417"/>
      <w:bookmarkEnd w:id="222"/>
      <w:bookmarkStart w:id="223" w:name="_Toc184313252"/>
      <w:bookmarkEnd w:id="223"/>
      <w:bookmarkStart w:id="224" w:name="_Toc184310319"/>
      <w:bookmarkEnd w:id="224"/>
      <w:bookmarkStart w:id="225" w:name="_Toc184313279"/>
      <w:bookmarkEnd w:id="225"/>
      <w:bookmarkStart w:id="226" w:name="_Toc184310289"/>
      <w:bookmarkEnd w:id="226"/>
      <w:bookmarkStart w:id="227" w:name="_Toc184313284"/>
      <w:bookmarkEnd w:id="227"/>
      <w:bookmarkStart w:id="228" w:name="_Toc184308092"/>
      <w:bookmarkEnd w:id="228"/>
      <w:bookmarkStart w:id="229" w:name="_Toc184308077"/>
      <w:bookmarkEnd w:id="229"/>
      <w:bookmarkStart w:id="230" w:name="_Toc184313292"/>
      <w:bookmarkEnd w:id="230"/>
      <w:bookmarkStart w:id="231" w:name="_Toc184312067"/>
      <w:bookmarkEnd w:id="231"/>
      <w:bookmarkStart w:id="232" w:name="_Toc184308057"/>
      <w:bookmarkEnd w:id="232"/>
      <w:bookmarkStart w:id="233" w:name="_Toc184310338"/>
      <w:bookmarkEnd w:id="233"/>
      <w:bookmarkStart w:id="234" w:name="_Toc184310282"/>
      <w:bookmarkEnd w:id="234"/>
      <w:bookmarkStart w:id="235" w:name="_Toc184308099"/>
      <w:bookmarkEnd w:id="235"/>
      <w:bookmarkStart w:id="236" w:name="_Toc184310339"/>
      <w:bookmarkEnd w:id="236"/>
      <w:bookmarkStart w:id="237" w:name="_Toc184313265"/>
      <w:bookmarkEnd w:id="237"/>
      <w:bookmarkStart w:id="238" w:name="_Toc184308086"/>
      <w:bookmarkEnd w:id="238"/>
      <w:bookmarkStart w:id="239" w:name="_Toc184308061"/>
      <w:bookmarkEnd w:id="239"/>
      <w:bookmarkStart w:id="240" w:name="_Toc184314411"/>
      <w:bookmarkEnd w:id="240"/>
      <w:bookmarkStart w:id="241" w:name="_Toc184308088"/>
      <w:bookmarkEnd w:id="241"/>
      <w:bookmarkStart w:id="242" w:name="_Toc184308084"/>
      <w:bookmarkEnd w:id="242"/>
      <w:bookmarkStart w:id="243" w:name="_Toc184308098"/>
      <w:bookmarkEnd w:id="243"/>
      <w:bookmarkStart w:id="244" w:name="_Toc184313289"/>
      <w:bookmarkEnd w:id="244"/>
      <w:bookmarkStart w:id="245" w:name="_Toc184310294"/>
      <w:bookmarkEnd w:id="245"/>
      <w:bookmarkStart w:id="246" w:name="_Toc184313275"/>
      <w:bookmarkEnd w:id="246"/>
      <w:bookmarkStart w:id="247" w:name="_Toc184312125"/>
      <w:bookmarkEnd w:id="247"/>
      <w:bookmarkStart w:id="248" w:name="_Toc184312104"/>
      <w:bookmarkEnd w:id="248"/>
      <w:bookmarkStart w:id="249" w:name="_Toc184308087"/>
      <w:bookmarkEnd w:id="249"/>
      <w:bookmarkStart w:id="250" w:name="_Toc184313308"/>
      <w:bookmarkEnd w:id="250"/>
      <w:bookmarkStart w:id="251" w:name="_Toc184310296"/>
      <w:bookmarkEnd w:id="251"/>
      <w:bookmarkStart w:id="252" w:name="_Toc184308093"/>
      <w:bookmarkEnd w:id="252"/>
      <w:bookmarkStart w:id="253" w:name="_Toc184312130"/>
      <w:bookmarkEnd w:id="253"/>
      <w:bookmarkStart w:id="254" w:name="_Toc184310341"/>
      <w:bookmarkEnd w:id="254"/>
      <w:bookmarkStart w:id="255" w:name="_Toc184310323"/>
      <w:bookmarkEnd w:id="255"/>
      <w:bookmarkStart w:id="256" w:name="_Toc184310300"/>
      <w:bookmarkEnd w:id="256"/>
      <w:bookmarkStart w:id="257" w:name="_Toc184313269"/>
      <w:bookmarkEnd w:id="257"/>
      <w:bookmarkStart w:id="258" w:name="_Toc184314454"/>
      <w:bookmarkEnd w:id="258"/>
      <w:bookmarkStart w:id="259" w:name="_Toc184308046"/>
      <w:bookmarkEnd w:id="259"/>
      <w:bookmarkStart w:id="260" w:name="_Toc184312088"/>
      <w:bookmarkEnd w:id="260"/>
      <w:bookmarkStart w:id="261" w:name="_Toc184312075"/>
      <w:bookmarkEnd w:id="261"/>
      <w:bookmarkStart w:id="262" w:name="_Toc184314426"/>
      <w:bookmarkEnd w:id="262"/>
      <w:bookmarkStart w:id="263" w:name="_Toc184308107"/>
      <w:bookmarkEnd w:id="263"/>
      <w:bookmarkStart w:id="264" w:name="_Toc184310273"/>
      <w:bookmarkEnd w:id="264"/>
      <w:bookmarkStart w:id="265" w:name="_Toc184312083"/>
      <w:bookmarkEnd w:id="265"/>
      <w:bookmarkStart w:id="266" w:name="_Toc184308052"/>
      <w:bookmarkEnd w:id="266"/>
      <w:bookmarkStart w:id="267" w:name="_Toc184308083"/>
      <w:bookmarkEnd w:id="267"/>
      <w:bookmarkStart w:id="268" w:name="_Toc184313247"/>
      <w:bookmarkEnd w:id="268"/>
      <w:bookmarkStart w:id="269" w:name="_Toc184312081"/>
      <w:bookmarkEnd w:id="269"/>
      <w:bookmarkStart w:id="270" w:name="_Toc184312106"/>
      <w:bookmarkEnd w:id="270"/>
      <w:bookmarkStart w:id="271" w:name="_Toc184313257"/>
      <w:bookmarkEnd w:id="271"/>
      <w:bookmarkStart w:id="272" w:name="_Toc184314451"/>
      <w:bookmarkEnd w:id="272"/>
      <w:bookmarkStart w:id="273" w:name="_Toc184308081"/>
      <w:bookmarkEnd w:id="273"/>
      <w:bookmarkStart w:id="274" w:name="_Toc184314450"/>
      <w:bookmarkEnd w:id="274"/>
      <w:bookmarkStart w:id="275" w:name="_Toc184314452"/>
      <w:bookmarkEnd w:id="275"/>
      <w:bookmarkStart w:id="276" w:name="_Toc184312097"/>
      <w:bookmarkEnd w:id="276"/>
      <w:bookmarkStart w:id="277" w:name="_Toc184310274"/>
      <w:bookmarkEnd w:id="277"/>
      <w:bookmarkStart w:id="278" w:name="_Toc184310285"/>
      <w:bookmarkEnd w:id="278"/>
      <w:bookmarkStart w:id="279" w:name="_Toc184313251"/>
      <w:bookmarkEnd w:id="279"/>
      <w:bookmarkStart w:id="280" w:name="_Toc184310314"/>
      <w:bookmarkEnd w:id="280"/>
      <w:bookmarkStart w:id="281" w:name="_Toc184310288"/>
      <w:bookmarkEnd w:id="281"/>
      <w:bookmarkStart w:id="282" w:name="_Toc184313299"/>
      <w:bookmarkEnd w:id="282"/>
      <w:bookmarkStart w:id="283" w:name="_Toc184314442"/>
      <w:bookmarkEnd w:id="283"/>
      <w:bookmarkStart w:id="284" w:name="_Toc184312107"/>
      <w:bookmarkEnd w:id="284"/>
      <w:bookmarkStart w:id="285" w:name="_Toc184312110"/>
      <w:bookmarkEnd w:id="285"/>
      <w:bookmarkStart w:id="286" w:name="_Toc184308059"/>
      <w:bookmarkEnd w:id="286"/>
      <w:bookmarkStart w:id="287" w:name="_Toc184308045"/>
      <w:bookmarkEnd w:id="287"/>
      <w:bookmarkStart w:id="288" w:name="_Toc184312086"/>
      <w:bookmarkEnd w:id="288"/>
      <w:bookmarkStart w:id="289" w:name="_Toc184314474"/>
      <w:bookmarkEnd w:id="289"/>
      <w:bookmarkStart w:id="290" w:name="_Toc184314460"/>
      <w:bookmarkEnd w:id="290"/>
      <w:bookmarkStart w:id="291" w:name="_Toc184310280"/>
      <w:bookmarkEnd w:id="291"/>
      <w:bookmarkStart w:id="292" w:name="_Toc184313277"/>
      <w:bookmarkEnd w:id="292"/>
      <w:bookmarkStart w:id="293" w:name="_Toc184312127"/>
      <w:bookmarkEnd w:id="293"/>
      <w:bookmarkStart w:id="294" w:name="_Toc184312082"/>
      <w:bookmarkEnd w:id="294"/>
      <w:bookmarkStart w:id="295" w:name="_Toc184312119"/>
      <w:bookmarkEnd w:id="295"/>
      <w:bookmarkStart w:id="296" w:name="_Toc184313286"/>
      <w:bookmarkEnd w:id="296"/>
      <w:bookmarkStart w:id="297" w:name="_Toc184308075"/>
      <w:bookmarkEnd w:id="297"/>
      <w:bookmarkStart w:id="298" w:name="_Toc184314455"/>
      <w:bookmarkEnd w:id="298"/>
      <w:bookmarkStart w:id="299" w:name="_Toc184313309"/>
      <w:bookmarkEnd w:id="299"/>
      <w:bookmarkStart w:id="300" w:name="_Toc184314471"/>
      <w:bookmarkEnd w:id="300"/>
      <w:bookmarkStart w:id="301" w:name="_Toc184312123"/>
      <w:bookmarkEnd w:id="301"/>
      <w:bookmarkStart w:id="302" w:name="_Toc184312133"/>
      <w:bookmarkEnd w:id="302"/>
      <w:bookmarkStart w:id="303" w:name="_Toc184313266"/>
      <w:bookmarkEnd w:id="303"/>
      <w:bookmarkStart w:id="304" w:name="_Toc184310307"/>
      <w:bookmarkEnd w:id="304"/>
      <w:bookmarkStart w:id="305" w:name="_Toc184314475"/>
      <w:bookmarkEnd w:id="305"/>
      <w:bookmarkStart w:id="306" w:name="_Toc184312094"/>
      <w:bookmarkEnd w:id="306"/>
      <w:bookmarkStart w:id="307" w:name="_Toc184313262"/>
      <w:bookmarkEnd w:id="307"/>
      <w:bookmarkStart w:id="308" w:name="_Toc184308038"/>
      <w:bookmarkEnd w:id="308"/>
      <w:bookmarkStart w:id="309" w:name="_Toc184308064"/>
      <w:bookmarkEnd w:id="309"/>
      <w:bookmarkStart w:id="310" w:name="_Toc184313248"/>
      <w:bookmarkEnd w:id="310"/>
      <w:bookmarkStart w:id="311" w:name="_Toc184308094"/>
      <w:bookmarkEnd w:id="311"/>
      <w:bookmarkStart w:id="312" w:name="_Toc184313245"/>
      <w:bookmarkEnd w:id="312"/>
      <w:bookmarkStart w:id="313" w:name="_Toc184310292"/>
      <w:bookmarkEnd w:id="313"/>
      <w:bookmarkStart w:id="314" w:name="_Toc184314439"/>
      <w:bookmarkEnd w:id="314"/>
      <w:bookmarkStart w:id="315" w:name="_Toc184308100"/>
      <w:bookmarkEnd w:id="315"/>
      <w:bookmarkStart w:id="316" w:name="_Toc184313256"/>
      <w:bookmarkEnd w:id="316"/>
      <w:bookmarkStart w:id="317" w:name="_Toc184310306"/>
      <w:bookmarkEnd w:id="317"/>
      <w:bookmarkStart w:id="318" w:name="_Toc184313272"/>
      <w:bookmarkEnd w:id="318"/>
      <w:bookmarkStart w:id="319" w:name="_Toc184308068"/>
      <w:bookmarkEnd w:id="319"/>
      <w:bookmarkStart w:id="320" w:name="_Toc184312126"/>
      <w:bookmarkEnd w:id="320"/>
      <w:bookmarkStart w:id="321" w:name="_Toc184314467"/>
      <w:bookmarkEnd w:id="321"/>
      <w:bookmarkStart w:id="322" w:name="_Toc184308066"/>
      <w:bookmarkEnd w:id="322"/>
      <w:bookmarkStart w:id="323" w:name="_Toc184314470"/>
      <w:bookmarkEnd w:id="323"/>
      <w:bookmarkStart w:id="324" w:name="_Toc184308041"/>
      <w:bookmarkEnd w:id="324"/>
      <w:bookmarkStart w:id="325" w:name="_Toc184314457"/>
      <w:bookmarkEnd w:id="325"/>
      <w:bookmarkStart w:id="326" w:name="_Toc184310328"/>
      <w:bookmarkEnd w:id="326"/>
      <w:bookmarkStart w:id="327" w:name="_Toc184308043"/>
      <w:bookmarkEnd w:id="327"/>
      <w:bookmarkStart w:id="328" w:name="_Toc184313260"/>
      <w:bookmarkEnd w:id="328"/>
      <w:bookmarkStart w:id="329" w:name="_Toc184310320"/>
      <w:bookmarkEnd w:id="329"/>
      <w:bookmarkStart w:id="330" w:name="_Toc184313261"/>
      <w:bookmarkEnd w:id="330"/>
      <w:bookmarkStart w:id="331" w:name="_Toc184308074"/>
      <w:bookmarkEnd w:id="331"/>
      <w:bookmarkStart w:id="332" w:name="_Toc184310334"/>
      <w:bookmarkEnd w:id="332"/>
      <w:bookmarkStart w:id="333" w:name="_Toc184310342"/>
      <w:bookmarkEnd w:id="333"/>
      <w:bookmarkStart w:id="334" w:name="_Toc184314419"/>
      <w:bookmarkEnd w:id="334"/>
      <w:bookmarkStart w:id="335" w:name="_Toc184308072"/>
      <w:bookmarkEnd w:id="335"/>
      <w:bookmarkStart w:id="336" w:name="_Toc184314458"/>
      <w:bookmarkEnd w:id="336"/>
      <w:bookmarkStart w:id="337" w:name="_Toc184312114"/>
      <w:bookmarkEnd w:id="337"/>
      <w:bookmarkStart w:id="338" w:name="_Toc184313307"/>
      <w:bookmarkEnd w:id="338"/>
      <w:bookmarkStart w:id="339" w:name="_Toc184310291"/>
      <w:bookmarkEnd w:id="339"/>
      <w:bookmarkStart w:id="340" w:name="_Toc184310315"/>
      <w:bookmarkEnd w:id="340"/>
      <w:bookmarkStart w:id="341" w:name="_Toc184312116"/>
      <w:bookmarkEnd w:id="341"/>
      <w:bookmarkStart w:id="342" w:name="_Toc184312069"/>
      <w:bookmarkEnd w:id="342"/>
      <w:bookmarkStart w:id="343" w:name="_Toc184312100"/>
      <w:bookmarkEnd w:id="343"/>
      <w:bookmarkStart w:id="344" w:name="_Toc184310297"/>
      <w:bookmarkEnd w:id="344"/>
      <w:bookmarkStart w:id="345" w:name="_Toc184308067"/>
      <w:bookmarkEnd w:id="345"/>
      <w:bookmarkStart w:id="346" w:name="_Toc184308048"/>
      <w:bookmarkEnd w:id="346"/>
      <w:bookmarkStart w:id="347" w:name="_Toc184312073"/>
      <w:bookmarkEnd w:id="347"/>
      <w:bookmarkStart w:id="348" w:name="_Toc184314414"/>
      <w:bookmarkEnd w:id="348"/>
      <w:bookmarkStart w:id="349" w:name="_Toc184314472"/>
      <w:bookmarkEnd w:id="349"/>
      <w:bookmarkStart w:id="350" w:name="_Toc184308104"/>
      <w:bookmarkEnd w:id="350"/>
      <w:bookmarkStart w:id="351" w:name="_Toc184313276"/>
      <w:bookmarkEnd w:id="351"/>
      <w:bookmarkStart w:id="352" w:name="_Toc184308071"/>
      <w:bookmarkEnd w:id="352"/>
      <w:bookmarkStart w:id="353" w:name="_Toc184313249"/>
      <w:bookmarkEnd w:id="353"/>
      <w:bookmarkStart w:id="354" w:name="_Toc184310295"/>
      <w:bookmarkEnd w:id="354"/>
      <w:bookmarkStart w:id="355" w:name="_Toc184314469"/>
      <w:bookmarkEnd w:id="355"/>
      <w:bookmarkStart w:id="356" w:name="_Toc184312129"/>
      <w:bookmarkEnd w:id="356"/>
      <w:bookmarkStart w:id="357" w:name="_Toc184313238"/>
      <w:bookmarkEnd w:id="357"/>
      <w:bookmarkStart w:id="358" w:name="_Toc184312080"/>
      <w:bookmarkEnd w:id="358"/>
      <w:bookmarkStart w:id="359" w:name="_Toc184313290"/>
      <w:bookmarkEnd w:id="359"/>
      <w:bookmarkStart w:id="360" w:name="_Toc184310275"/>
      <w:bookmarkEnd w:id="360"/>
      <w:bookmarkStart w:id="361" w:name="_Toc184312117"/>
      <w:bookmarkEnd w:id="361"/>
      <w:bookmarkStart w:id="362" w:name="_Toc184313270"/>
      <w:bookmarkEnd w:id="362"/>
      <w:bookmarkStart w:id="363" w:name="_Toc184314468"/>
      <w:bookmarkEnd w:id="363"/>
      <w:bookmarkStart w:id="364" w:name="_Toc184312074"/>
      <w:bookmarkEnd w:id="364"/>
      <w:bookmarkStart w:id="365" w:name="_Toc184308096"/>
      <w:bookmarkEnd w:id="365"/>
      <w:bookmarkStart w:id="366" w:name="_Toc184310340"/>
      <w:bookmarkEnd w:id="366"/>
      <w:bookmarkStart w:id="367" w:name="_Toc184308091"/>
      <w:bookmarkEnd w:id="367"/>
      <w:bookmarkStart w:id="368" w:name="_Toc184312090"/>
      <w:bookmarkEnd w:id="368"/>
      <w:bookmarkStart w:id="369" w:name="_Toc184312118"/>
      <w:bookmarkEnd w:id="369"/>
      <w:bookmarkStart w:id="370" w:name="_Toc184313273"/>
      <w:bookmarkEnd w:id="370"/>
      <w:bookmarkStart w:id="371" w:name="_Toc184314416"/>
      <w:bookmarkEnd w:id="371"/>
      <w:bookmarkStart w:id="372" w:name="_Toc184314453"/>
      <w:bookmarkEnd w:id="372"/>
      <w:bookmarkStart w:id="373" w:name="_Toc184314477"/>
      <w:bookmarkEnd w:id="373"/>
      <w:bookmarkStart w:id="374" w:name="_Toc184310308"/>
      <w:bookmarkEnd w:id="374"/>
      <w:bookmarkStart w:id="375" w:name="_Toc184310343"/>
      <w:bookmarkEnd w:id="375"/>
      <w:bookmarkStart w:id="376" w:name="_Toc184308073"/>
      <w:bookmarkEnd w:id="376"/>
      <w:bookmarkStart w:id="377" w:name="_Toc184312108"/>
      <w:bookmarkEnd w:id="377"/>
      <w:bookmarkStart w:id="378" w:name="_Toc184310322"/>
      <w:bookmarkEnd w:id="378"/>
      <w:bookmarkStart w:id="379" w:name="_Toc184310304"/>
      <w:bookmarkEnd w:id="379"/>
      <w:bookmarkStart w:id="380" w:name="_Toc184313263"/>
      <w:bookmarkEnd w:id="380"/>
      <w:bookmarkStart w:id="381" w:name="_Toc184310318"/>
      <w:bookmarkEnd w:id="381"/>
      <w:bookmarkStart w:id="382" w:name="_Toc184312121"/>
      <w:bookmarkEnd w:id="382"/>
      <w:bookmarkStart w:id="383" w:name="_Toc184312136"/>
      <w:bookmarkEnd w:id="383"/>
      <w:bookmarkStart w:id="384" w:name="_Toc184308080"/>
      <w:bookmarkEnd w:id="384"/>
      <w:bookmarkStart w:id="385" w:name="_Toc184313287"/>
      <w:bookmarkEnd w:id="385"/>
      <w:bookmarkStart w:id="386" w:name="_Toc184308062"/>
      <w:bookmarkEnd w:id="386"/>
      <w:bookmarkStart w:id="387" w:name="_Toc184308102"/>
      <w:bookmarkEnd w:id="387"/>
      <w:bookmarkStart w:id="388" w:name="_Toc184312131"/>
      <w:bookmarkEnd w:id="388"/>
      <w:bookmarkStart w:id="389" w:name="_Toc184308051"/>
      <w:bookmarkEnd w:id="389"/>
      <w:bookmarkStart w:id="390" w:name="_Toc184310302"/>
      <w:bookmarkEnd w:id="390"/>
      <w:bookmarkStart w:id="391" w:name="_Toc184312077"/>
      <w:bookmarkEnd w:id="391"/>
      <w:bookmarkStart w:id="392" w:name="_Toc184312134"/>
      <w:bookmarkEnd w:id="392"/>
      <w:bookmarkStart w:id="393" w:name="_Toc184314462"/>
      <w:bookmarkEnd w:id="393"/>
      <w:r>
        <w:rPr>
          <w:rFonts w:hint="eastAsia" w:ascii="宋体" w:hAnsi="宋体" w:cs="宋体"/>
          <w:b/>
          <w:color w:val="auto"/>
          <w:sz w:val="36"/>
          <w:szCs w:val="36"/>
          <w:highlight w:val="none"/>
        </w:rPr>
        <w:t>评标办法</w:t>
      </w:r>
    </w:p>
    <w:p w14:paraId="190A8822">
      <w:pPr>
        <w:pageBreakBefore w:val="0"/>
        <w:kinsoku/>
        <w:wordWrap/>
        <w:overflowPunct/>
        <w:topLinePunct w:val="0"/>
        <w:bidi w:val="0"/>
        <w:adjustRightInd/>
        <w:snapToGrid w:val="0"/>
        <w:spacing w:line="480" w:lineRule="exact"/>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0CCE26E8">
      <w:pPr>
        <w:pageBreakBefore w:val="0"/>
        <w:widowControl/>
        <w:kinsoku/>
        <w:wordWrap/>
        <w:overflowPunct/>
        <w:topLinePunct w:val="0"/>
        <w:bidi w:val="0"/>
        <w:adjustRightInd/>
        <w:spacing w:line="48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标项</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rPr>
        <w:t>：萧山区中片道路交通违法(事故)现场清障、施救及涉案车辆停放管理等服务</w:t>
      </w:r>
    </w:p>
    <w:p w14:paraId="60024D8C">
      <w:pPr>
        <w:pageBreakBefore w:val="0"/>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商务资信（7分）</w:t>
      </w:r>
    </w:p>
    <w:tbl>
      <w:tblPr>
        <w:tblStyle w:val="62"/>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367"/>
        <w:gridCol w:w="6037"/>
        <w:gridCol w:w="887"/>
        <w:gridCol w:w="1318"/>
      </w:tblGrid>
      <w:tr w14:paraId="30A7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noWrap w:val="0"/>
            <w:vAlign w:val="center"/>
          </w:tcPr>
          <w:p w14:paraId="1E8259B0">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6404" w:type="dxa"/>
            <w:gridSpan w:val="2"/>
            <w:noWrap w:val="0"/>
            <w:vAlign w:val="center"/>
          </w:tcPr>
          <w:p w14:paraId="3EB734B7">
            <w:pPr>
              <w:pageBreakBefore w:val="0"/>
              <w:widowControl/>
              <w:kinsoku/>
              <w:wordWrap/>
              <w:overflowPunct/>
              <w:topLinePunct w:val="0"/>
              <w:bidi w:val="0"/>
              <w:adjustRightInd/>
              <w:spacing w:line="480" w:lineRule="exact"/>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评分内容和标准</w:t>
            </w:r>
          </w:p>
        </w:tc>
        <w:tc>
          <w:tcPr>
            <w:tcW w:w="887" w:type="dxa"/>
            <w:noWrap w:val="0"/>
            <w:vAlign w:val="center"/>
          </w:tcPr>
          <w:p w14:paraId="0C3E9321">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分值区间</w:t>
            </w:r>
          </w:p>
        </w:tc>
        <w:tc>
          <w:tcPr>
            <w:tcW w:w="1318" w:type="dxa"/>
            <w:noWrap w:val="0"/>
            <w:vAlign w:val="center"/>
          </w:tcPr>
          <w:p w14:paraId="69ABD626">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主客观分</w:t>
            </w:r>
          </w:p>
        </w:tc>
      </w:tr>
      <w:tr w14:paraId="1CE1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vMerge w:val="restart"/>
            <w:noWrap w:val="0"/>
            <w:vAlign w:val="center"/>
          </w:tcPr>
          <w:p w14:paraId="71B0AFFD">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商务资信分（7分）</w:t>
            </w:r>
          </w:p>
        </w:tc>
        <w:tc>
          <w:tcPr>
            <w:tcW w:w="367" w:type="dxa"/>
            <w:noWrap w:val="0"/>
            <w:vAlign w:val="center"/>
          </w:tcPr>
          <w:p w14:paraId="4EC29298">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6037" w:type="dxa"/>
            <w:noWrap w:val="0"/>
            <w:vAlign w:val="center"/>
          </w:tcPr>
          <w:p w14:paraId="07CBA355">
            <w:pPr>
              <w:pageBreakBefore w:val="0"/>
              <w:widowControl/>
              <w:kinsoku/>
              <w:wordWrap/>
              <w:overflowPunct/>
              <w:topLinePunct w:val="0"/>
              <w:bidi w:val="0"/>
              <w:adjustRightInd/>
              <w:spacing w:line="480" w:lineRule="exact"/>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投标人具有：质量管理体系证书、环境管理体系证书、职业健康安全管理体系证书的（证书须在有效期内），每个得2分，最高得6分。</w:t>
            </w:r>
            <w:r>
              <w:rPr>
                <w:rFonts w:hint="eastAsia" w:ascii="宋体" w:hAnsi="宋体" w:cs="宋体"/>
                <w:b w:val="0"/>
                <w:bCs w:val="0"/>
                <w:color w:val="auto"/>
                <w:sz w:val="24"/>
                <w:szCs w:val="24"/>
                <w:highlight w:val="none"/>
                <w:lang w:eastAsia="zh-CN"/>
              </w:rPr>
              <w:t>（投标文件中提供在有效期内的认证证书复印件加盖投标人公章和全国认证认可信息公共服务平台（</w:t>
            </w:r>
            <w:r>
              <w:rPr>
                <w:rFonts w:hint="eastAsia" w:ascii="宋体" w:hAnsi="宋体" w:cs="宋体"/>
                <w:b w:val="0"/>
                <w:bCs w:val="0"/>
                <w:color w:val="auto"/>
                <w:sz w:val="24"/>
                <w:szCs w:val="24"/>
                <w:highlight w:val="none"/>
                <w:lang w:val="en-US" w:eastAsia="zh-CN"/>
              </w:rPr>
              <w:t>www.cnca.gov.cn</w:t>
            </w:r>
            <w:r>
              <w:rPr>
                <w:rFonts w:hint="eastAsia" w:ascii="宋体" w:hAnsi="宋体" w:cs="宋体"/>
                <w:b w:val="0"/>
                <w:bCs w:val="0"/>
                <w:color w:val="auto"/>
                <w:sz w:val="24"/>
                <w:szCs w:val="24"/>
                <w:highlight w:val="none"/>
                <w:lang w:eastAsia="zh-CN"/>
              </w:rPr>
              <w:t>）网页查询“有效”截图）</w:t>
            </w:r>
          </w:p>
        </w:tc>
        <w:tc>
          <w:tcPr>
            <w:tcW w:w="887" w:type="dxa"/>
            <w:noWrap w:val="0"/>
            <w:vAlign w:val="center"/>
          </w:tcPr>
          <w:p w14:paraId="5A9DD282">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0-6分</w:t>
            </w:r>
          </w:p>
        </w:tc>
        <w:tc>
          <w:tcPr>
            <w:tcW w:w="1318" w:type="dxa"/>
            <w:noWrap w:val="0"/>
            <w:vAlign w:val="center"/>
          </w:tcPr>
          <w:p w14:paraId="516B034B">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客观分</w:t>
            </w:r>
          </w:p>
        </w:tc>
      </w:tr>
      <w:tr w14:paraId="2729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92" w:type="dxa"/>
            <w:vMerge w:val="continue"/>
            <w:noWrap w:val="0"/>
            <w:vAlign w:val="top"/>
          </w:tcPr>
          <w:p w14:paraId="1586DE8B">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p>
        </w:tc>
        <w:tc>
          <w:tcPr>
            <w:tcW w:w="367" w:type="dxa"/>
            <w:noWrap w:val="0"/>
            <w:vAlign w:val="center"/>
          </w:tcPr>
          <w:p w14:paraId="07B5E101">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6037" w:type="dxa"/>
            <w:noWrap w:val="0"/>
            <w:vAlign w:val="center"/>
          </w:tcPr>
          <w:p w14:paraId="782EC82A">
            <w:pPr>
              <w:pageBreakBefore w:val="0"/>
              <w:widowControl/>
              <w:kinsoku/>
              <w:wordWrap/>
              <w:overflowPunct/>
              <w:topLinePunct w:val="0"/>
              <w:bidi w:val="0"/>
              <w:adjustRightInd/>
              <w:spacing w:line="480" w:lineRule="exac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管理经验：投标人202</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年1月1日（以合同签订时间为准）以来承担过的类似业绩进行评价；每个业绩得1分，最高得1分。</w:t>
            </w:r>
          </w:p>
          <w:p w14:paraId="6C010BE8">
            <w:pPr>
              <w:pageBreakBefore w:val="0"/>
              <w:widowControl/>
              <w:kinsoku/>
              <w:wordWrap/>
              <w:overflowPunct/>
              <w:topLinePunct w:val="0"/>
              <w:bidi w:val="0"/>
              <w:adjustRightInd/>
              <w:spacing w:line="480" w:lineRule="exac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注：（1）类似业绩是指签订过类似车辆施救等服务工作的项目；</w:t>
            </w:r>
          </w:p>
          <w:p w14:paraId="41F10F67">
            <w:pPr>
              <w:pageBreakBefore w:val="0"/>
              <w:widowControl/>
              <w:kinsoku/>
              <w:wordWrap/>
              <w:overflowPunct/>
              <w:topLinePunct w:val="0"/>
              <w:bidi w:val="0"/>
              <w:adjustRightInd/>
              <w:spacing w:line="480" w:lineRule="exact"/>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（2）投标人需提供业绩的采购合同扫描件证明材料，否则不计分。</w:t>
            </w:r>
          </w:p>
        </w:tc>
        <w:tc>
          <w:tcPr>
            <w:tcW w:w="887" w:type="dxa"/>
            <w:noWrap w:val="0"/>
            <w:vAlign w:val="center"/>
          </w:tcPr>
          <w:p w14:paraId="74E0C196">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0-1分</w:t>
            </w:r>
          </w:p>
        </w:tc>
        <w:tc>
          <w:tcPr>
            <w:tcW w:w="1318" w:type="dxa"/>
            <w:noWrap w:val="0"/>
            <w:vAlign w:val="center"/>
          </w:tcPr>
          <w:p w14:paraId="77B34EE3">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客观分</w:t>
            </w:r>
          </w:p>
        </w:tc>
      </w:tr>
    </w:tbl>
    <w:p w14:paraId="3EF27B05">
      <w:pPr>
        <w:pageBreakBefore w:val="0"/>
        <w:kinsoku/>
        <w:wordWrap/>
        <w:overflowPunct/>
        <w:topLinePunct w:val="0"/>
        <w:bidi w:val="0"/>
        <w:adjustRightInd/>
        <w:spacing w:line="480" w:lineRule="exact"/>
        <w:rPr>
          <w:rFonts w:ascii="宋体" w:hAnsi="宋体" w:cs="宋体"/>
          <w:color w:val="auto"/>
          <w:sz w:val="24"/>
          <w:szCs w:val="24"/>
          <w:highlight w:val="none"/>
        </w:rPr>
      </w:pPr>
    </w:p>
    <w:p w14:paraId="2CFAD575">
      <w:pPr>
        <w:pageBreakBefore w:val="0"/>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2、技术部分（83分）</w:t>
      </w:r>
    </w:p>
    <w:tbl>
      <w:tblPr>
        <w:tblStyle w:val="62"/>
        <w:tblpPr w:leftFromText="180" w:rightFromText="180" w:vertAnchor="text" w:horzAnchor="page" w:tblpXSpec="center" w:tblpY="307"/>
        <w:tblOverlap w:val="never"/>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35"/>
        <w:gridCol w:w="624"/>
        <w:gridCol w:w="3037"/>
        <w:gridCol w:w="3351"/>
        <w:gridCol w:w="1095"/>
        <w:gridCol w:w="779"/>
      </w:tblGrid>
      <w:tr w14:paraId="10AA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jc w:val="center"/>
        </w:trPr>
        <w:tc>
          <w:tcPr>
            <w:tcW w:w="535" w:type="dxa"/>
            <w:shd w:val="clear" w:color="auto" w:fill="FFFFFF"/>
            <w:noWrap w:val="0"/>
            <w:vAlign w:val="center"/>
          </w:tcPr>
          <w:p w14:paraId="5F33F23F">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3661" w:type="dxa"/>
            <w:gridSpan w:val="2"/>
            <w:shd w:val="clear" w:color="auto" w:fill="FFFFFF"/>
            <w:noWrap w:val="0"/>
            <w:vAlign w:val="center"/>
          </w:tcPr>
          <w:p w14:paraId="5DB55C5E">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评分内容和标准</w:t>
            </w:r>
          </w:p>
        </w:tc>
        <w:tc>
          <w:tcPr>
            <w:tcW w:w="3351" w:type="dxa"/>
            <w:shd w:val="clear" w:color="auto" w:fill="FFFFFF"/>
            <w:noWrap w:val="0"/>
            <w:vAlign w:val="center"/>
          </w:tcPr>
          <w:p w14:paraId="25DB6675">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具体描述</w:t>
            </w:r>
          </w:p>
        </w:tc>
        <w:tc>
          <w:tcPr>
            <w:tcW w:w="1095" w:type="dxa"/>
            <w:shd w:val="clear" w:color="auto" w:fill="FFFFFF"/>
            <w:noWrap w:val="0"/>
            <w:vAlign w:val="center"/>
          </w:tcPr>
          <w:p w14:paraId="39CB00EA">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分值区间</w:t>
            </w:r>
          </w:p>
        </w:tc>
        <w:tc>
          <w:tcPr>
            <w:tcW w:w="779" w:type="dxa"/>
            <w:shd w:val="clear" w:color="auto" w:fill="FFFFFF"/>
            <w:noWrap w:val="0"/>
            <w:vAlign w:val="center"/>
          </w:tcPr>
          <w:p w14:paraId="16063ED6">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主客观分</w:t>
            </w:r>
          </w:p>
        </w:tc>
      </w:tr>
      <w:tr w14:paraId="470E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35" w:type="dxa"/>
            <w:vMerge w:val="restart"/>
            <w:shd w:val="clear" w:color="auto" w:fill="FFFFFF"/>
            <w:noWrap w:val="0"/>
            <w:vAlign w:val="center"/>
          </w:tcPr>
          <w:p w14:paraId="2A8F130A">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技术部分（83分）</w:t>
            </w:r>
          </w:p>
        </w:tc>
        <w:tc>
          <w:tcPr>
            <w:tcW w:w="624" w:type="dxa"/>
            <w:shd w:val="clear" w:color="auto" w:fill="FFFFFF"/>
            <w:noWrap w:val="0"/>
            <w:vAlign w:val="center"/>
          </w:tcPr>
          <w:p w14:paraId="12B53D8D">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6388" w:type="dxa"/>
            <w:gridSpan w:val="2"/>
            <w:shd w:val="clear" w:color="auto" w:fill="FFFFFF"/>
            <w:noWrap w:val="0"/>
            <w:vAlign w:val="center"/>
          </w:tcPr>
          <w:p w14:paraId="14965693">
            <w:pPr>
              <w:pageBreakBefore w:val="0"/>
              <w:widowControl/>
              <w:numPr>
                <w:ilvl w:val="0"/>
                <w:numId w:val="0"/>
              </w:numPr>
              <w:kinsoku/>
              <w:wordWrap/>
              <w:overflowPunct/>
              <w:topLinePunct w:val="0"/>
              <w:bidi w:val="0"/>
              <w:adjustRightInd/>
              <w:spacing w:line="480" w:lineRule="exact"/>
              <w:jc w:val="left"/>
              <w:rPr>
                <w:rFonts w:ascii="宋体" w:hAnsi="宋体" w:cs="宋体"/>
                <w:color w:val="auto"/>
                <w:sz w:val="24"/>
                <w:szCs w:val="24"/>
                <w:highlight w:val="none"/>
                <w:lang w:val="zh-CN"/>
              </w:rPr>
            </w:pPr>
            <w:r>
              <w:rPr>
                <w:rFonts w:hint="eastAsia" w:ascii="宋体" w:hAnsi="宋体" w:cs="宋体"/>
                <w:color w:val="auto"/>
                <w:sz w:val="24"/>
                <w:szCs w:val="24"/>
                <w:highlight w:val="none"/>
              </w:rPr>
              <w:t>1.投标人配备的车辆保管场地的为自有的，每一处得1分，最高得4分；已租赁的，每一处得0.5分，最高得2分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eastAsia="zh-CN"/>
              </w:rPr>
              <w:t>提供车辆保管场地是否实际运行的情况说明</w:t>
            </w:r>
            <w:r>
              <w:rPr>
                <w:rFonts w:hint="eastAsia" w:ascii="宋体" w:hAnsi="宋体" w:cs="宋体"/>
                <w:color w:val="auto"/>
                <w:sz w:val="24"/>
                <w:szCs w:val="24"/>
                <w:highlight w:val="none"/>
              </w:rPr>
              <w:t>。本项合计最高得4分。</w:t>
            </w:r>
            <w:r>
              <w:rPr>
                <w:rFonts w:ascii="宋体" w:hAnsi="宋体" w:cs="宋体"/>
                <w:color w:val="auto"/>
                <w:sz w:val="24"/>
                <w:szCs w:val="24"/>
                <w:highlight w:val="none"/>
              </w:rPr>
              <w:t>提供相关有效证明文件（自有产权证书</w:t>
            </w:r>
            <w:r>
              <w:rPr>
                <w:rFonts w:hint="eastAsia" w:ascii="宋体" w:hAnsi="宋体" w:cs="宋体"/>
                <w:color w:val="auto"/>
                <w:sz w:val="24"/>
                <w:szCs w:val="24"/>
                <w:highlight w:val="none"/>
              </w:rPr>
              <w:t>或租赁协议</w:t>
            </w:r>
            <w:r>
              <w:rPr>
                <w:rFonts w:hint="eastAsia" w:ascii="仿宋_GB2312" w:hAnsi="仿宋_GB2312" w:eastAsia="仿宋_GB2312" w:cs="仿宋_GB2312"/>
                <w:b w:val="0"/>
                <w:bCs w:val="0"/>
                <w:color w:val="auto"/>
                <w:sz w:val="24"/>
                <w:szCs w:val="24"/>
                <w:highlight w:val="none"/>
                <w:lang w:eastAsia="zh-CN"/>
              </w:rPr>
              <w:t>）</w:t>
            </w:r>
          </w:p>
          <w:p w14:paraId="08B4C4B4">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实际可以停车占地总面积（各</w:t>
            </w:r>
            <w:r>
              <w:rPr>
                <w:rFonts w:hint="eastAsia" w:ascii="宋体" w:hAnsi="宋体" w:cs="宋体"/>
                <w:bCs/>
                <w:color w:val="auto"/>
                <w:sz w:val="24"/>
                <w:szCs w:val="24"/>
                <w:highlight w:val="none"/>
              </w:rPr>
              <w:t>保管场地占地</w:t>
            </w:r>
            <w:r>
              <w:rPr>
                <w:rFonts w:hint="eastAsia" w:ascii="宋体" w:hAnsi="宋体" w:cs="宋体"/>
                <w:color w:val="auto"/>
                <w:sz w:val="24"/>
                <w:szCs w:val="24"/>
                <w:highlight w:val="none"/>
                <w:lang w:val="zh-CN"/>
              </w:rPr>
              <w:t>面积之和）在</w:t>
            </w:r>
            <w:r>
              <w:rPr>
                <w:rFonts w:hint="eastAsia" w:ascii="宋体" w:hAnsi="宋体" w:cs="宋体"/>
                <w:color w:val="auto"/>
                <w:sz w:val="24"/>
                <w:szCs w:val="24"/>
                <w:highlight w:val="none"/>
              </w:rPr>
              <w:t>35</w:t>
            </w:r>
            <w:r>
              <w:rPr>
                <w:rFonts w:hint="eastAsia" w:ascii="宋体" w:hAnsi="宋体" w:cs="宋体"/>
                <w:color w:val="auto"/>
                <w:sz w:val="24"/>
                <w:szCs w:val="24"/>
                <w:highlight w:val="none"/>
                <w:lang w:val="zh-CN"/>
              </w:rPr>
              <w:t>00</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平方米到</w:t>
            </w:r>
            <w:r>
              <w:rPr>
                <w:rFonts w:hint="eastAsia" w:ascii="宋体" w:hAnsi="宋体" w:cs="宋体"/>
                <w:color w:val="auto"/>
                <w:sz w:val="24"/>
                <w:szCs w:val="24"/>
                <w:highlight w:val="none"/>
              </w:rPr>
              <w:t>40</w:t>
            </w:r>
            <w:r>
              <w:rPr>
                <w:rFonts w:hint="eastAsia" w:ascii="宋体" w:hAnsi="宋体" w:cs="宋体"/>
                <w:color w:val="auto"/>
                <w:sz w:val="24"/>
                <w:szCs w:val="24"/>
                <w:highlight w:val="none"/>
                <w:lang w:val="zh-CN"/>
              </w:rPr>
              <w:t>000平方米的，</w:t>
            </w:r>
            <w:r>
              <w:rPr>
                <w:rFonts w:hint="eastAsia" w:ascii="宋体" w:hAnsi="宋体" w:cs="宋体"/>
                <w:color w:val="auto"/>
                <w:sz w:val="24"/>
                <w:szCs w:val="24"/>
                <w:highlight w:val="none"/>
              </w:rPr>
              <w:t>得1</w:t>
            </w:r>
            <w:r>
              <w:rPr>
                <w:rFonts w:hint="eastAsia" w:ascii="宋体" w:hAnsi="宋体" w:cs="宋体"/>
                <w:color w:val="auto"/>
                <w:sz w:val="24"/>
                <w:szCs w:val="24"/>
                <w:highlight w:val="none"/>
                <w:lang w:val="zh-CN"/>
              </w:rPr>
              <w:t>分，实际可以停车总面积面积在</w:t>
            </w:r>
            <w:r>
              <w:rPr>
                <w:rFonts w:hint="eastAsia" w:ascii="宋体" w:hAnsi="宋体" w:cs="宋体"/>
                <w:color w:val="auto"/>
                <w:sz w:val="24"/>
                <w:szCs w:val="24"/>
                <w:highlight w:val="none"/>
              </w:rPr>
              <w:t>40</w:t>
            </w:r>
            <w:r>
              <w:rPr>
                <w:rFonts w:hint="eastAsia" w:ascii="宋体" w:hAnsi="宋体" w:cs="宋体"/>
                <w:color w:val="auto"/>
                <w:sz w:val="24"/>
                <w:szCs w:val="24"/>
                <w:highlight w:val="none"/>
                <w:lang w:val="zh-CN"/>
              </w:rPr>
              <w:t>00</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平方米到</w:t>
            </w:r>
            <w:r>
              <w:rPr>
                <w:rFonts w:hint="eastAsia" w:ascii="宋体" w:hAnsi="宋体" w:cs="宋体"/>
                <w:color w:val="auto"/>
                <w:sz w:val="24"/>
                <w:szCs w:val="24"/>
                <w:highlight w:val="none"/>
              </w:rPr>
              <w:t>45</w:t>
            </w:r>
            <w:r>
              <w:rPr>
                <w:rFonts w:hint="eastAsia" w:ascii="宋体" w:hAnsi="宋体" w:cs="宋体"/>
                <w:color w:val="auto"/>
                <w:sz w:val="24"/>
                <w:szCs w:val="24"/>
                <w:highlight w:val="none"/>
                <w:lang w:val="zh-CN"/>
              </w:rPr>
              <w:t>000平方</w:t>
            </w:r>
            <w:r>
              <w:rPr>
                <w:rFonts w:hint="eastAsia" w:ascii="宋体" w:hAnsi="宋体" w:cs="宋体"/>
                <w:color w:val="auto"/>
                <w:sz w:val="24"/>
                <w:szCs w:val="24"/>
                <w:highlight w:val="none"/>
              </w:rPr>
              <w:t>米得2分；</w:t>
            </w:r>
            <w:r>
              <w:rPr>
                <w:rFonts w:hint="eastAsia" w:ascii="宋体" w:hAnsi="宋体" w:cs="宋体"/>
                <w:color w:val="auto"/>
                <w:sz w:val="24"/>
                <w:szCs w:val="24"/>
                <w:highlight w:val="none"/>
                <w:lang w:val="zh-CN"/>
              </w:rPr>
              <w:t>实际可以停车总面积在</w:t>
            </w:r>
            <w:r>
              <w:rPr>
                <w:rFonts w:hint="eastAsia" w:ascii="宋体" w:hAnsi="宋体" w:cs="宋体"/>
                <w:color w:val="auto"/>
                <w:sz w:val="24"/>
                <w:szCs w:val="24"/>
                <w:highlight w:val="none"/>
              </w:rPr>
              <w:t>45</w:t>
            </w:r>
            <w:r>
              <w:rPr>
                <w:rFonts w:hint="eastAsia" w:ascii="宋体" w:hAnsi="宋体" w:cs="宋体"/>
                <w:color w:val="auto"/>
                <w:sz w:val="24"/>
                <w:szCs w:val="24"/>
                <w:highlight w:val="none"/>
                <w:lang w:val="zh-CN"/>
              </w:rPr>
              <w:t>00</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平方米到</w:t>
            </w:r>
            <w:r>
              <w:rPr>
                <w:rFonts w:hint="eastAsia" w:ascii="宋体" w:hAnsi="宋体" w:cs="宋体"/>
                <w:color w:val="auto"/>
                <w:sz w:val="24"/>
                <w:szCs w:val="24"/>
                <w:highlight w:val="none"/>
              </w:rPr>
              <w:t>500</w:t>
            </w:r>
            <w:r>
              <w:rPr>
                <w:rFonts w:hint="eastAsia" w:ascii="宋体" w:hAnsi="宋体" w:cs="宋体"/>
                <w:color w:val="auto"/>
                <w:sz w:val="24"/>
                <w:szCs w:val="24"/>
                <w:highlight w:val="none"/>
                <w:lang w:val="zh-CN"/>
              </w:rPr>
              <w:t>00平方</w:t>
            </w:r>
            <w:r>
              <w:rPr>
                <w:rFonts w:hint="eastAsia" w:ascii="宋体" w:hAnsi="宋体" w:cs="宋体"/>
                <w:color w:val="auto"/>
                <w:sz w:val="24"/>
                <w:szCs w:val="24"/>
                <w:highlight w:val="none"/>
              </w:rPr>
              <w:t>米得3分；</w:t>
            </w:r>
            <w:r>
              <w:rPr>
                <w:rFonts w:hint="eastAsia" w:ascii="宋体" w:hAnsi="宋体" w:cs="宋体"/>
                <w:color w:val="auto"/>
                <w:sz w:val="24"/>
                <w:szCs w:val="24"/>
                <w:highlight w:val="none"/>
                <w:lang w:val="zh-CN"/>
              </w:rPr>
              <w:t>实际可以停车总面积在</w:t>
            </w:r>
            <w:r>
              <w:rPr>
                <w:rFonts w:hint="eastAsia" w:ascii="宋体" w:hAnsi="宋体" w:cs="宋体"/>
                <w:color w:val="auto"/>
                <w:sz w:val="24"/>
                <w:szCs w:val="24"/>
                <w:highlight w:val="none"/>
              </w:rPr>
              <w:t>50</w:t>
            </w:r>
            <w:r>
              <w:rPr>
                <w:rFonts w:hint="eastAsia" w:ascii="宋体" w:hAnsi="宋体" w:cs="宋体"/>
                <w:color w:val="auto"/>
                <w:sz w:val="24"/>
                <w:szCs w:val="24"/>
                <w:highlight w:val="none"/>
                <w:lang w:val="zh-CN"/>
              </w:rPr>
              <w:t>0</w:t>
            </w:r>
            <w:r>
              <w:rPr>
                <w:rFonts w:hint="eastAsia" w:ascii="宋体" w:hAnsi="宋体" w:cs="宋体"/>
                <w:color w:val="auto"/>
                <w:sz w:val="24"/>
                <w:szCs w:val="24"/>
                <w:highlight w:val="none"/>
              </w:rPr>
              <w:t>01</w:t>
            </w:r>
            <w:r>
              <w:rPr>
                <w:rFonts w:hint="eastAsia" w:ascii="宋体" w:hAnsi="宋体" w:cs="宋体"/>
                <w:color w:val="auto"/>
                <w:sz w:val="24"/>
                <w:szCs w:val="24"/>
                <w:highlight w:val="none"/>
                <w:lang w:val="zh-CN"/>
              </w:rPr>
              <w:t>平方米</w:t>
            </w:r>
            <w:r>
              <w:rPr>
                <w:rFonts w:hint="eastAsia" w:ascii="宋体" w:hAnsi="宋体" w:cs="宋体"/>
                <w:color w:val="auto"/>
                <w:sz w:val="24"/>
                <w:szCs w:val="24"/>
                <w:highlight w:val="none"/>
              </w:rPr>
              <w:t>以上得4分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zh-CN"/>
              </w:rPr>
              <w:t>1 亩</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666.67 平方米）、（需提供需求中要求的相应证明材料）</w:t>
            </w:r>
          </w:p>
          <w:p w14:paraId="36121185">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3、保管场地停放车辆经当地人民政府准许，每一处得1分，最高得4分。（需提供所在地镇、街人民政府证明）</w:t>
            </w:r>
          </w:p>
        </w:tc>
        <w:tc>
          <w:tcPr>
            <w:tcW w:w="1095" w:type="dxa"/>
            <w:shd w:val="clear" w:color="auto" w:fill="FFFFFF"/>
            <w:noWrap w:val="0"/>
            <w:vAlign w:val="center"/>
          </w:tcPr>
          <w:p w14:paraId="576C9FCC">
            <w:pPr>
              <w:pageBreakBefore w:val="0"/>
              <w:widowControl/>
              <w:kinsoku/>
              <w:wordWrap/>
              <w:overflowPunct/>
              <w:topLinePunct w:val="0"/>
              <w:bidi w:val="0"/>
              <w:adjustRightInd/>
              <w:spacing w:line="48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0-12分</w:t>
            </w:r>
          </w:p>
          <w:p w14:paraId="086A64A9">
            <w:pPr>
              <w:pageBreakBefore w:val="0"/>
              <w:widowControl/>
              <w:kinsoku/>
              <w:wordWrap/>
              <w:overflowPunct/>
              <w:topLinePunct w:val="0"/>
              <w:bidi w:val="0"/>
              <w:adjustRightInd/>
              <w:spacing w:line="480" w:lineRule="exact"/>
              <w:jc w:val="center"/>
              <w:rPr>
                <w:rFonts w:hint="default" w:ascii="宋体" w:hAnsi="宋体" w:cs="宋体"/>
                <w:color w:val="auto"/>
                <w:sz w:val="24"/>
                <w:szCs w:val="24"/>
                <w:highlight w:val="none"/>
                <w:lang w:val="en-US" w:eastAsia="zh-CN"/>
              </w:rPr>
            </w:pPr>
          </w:p>
        </w:tc>
        <w:tc>
          <w:tcPr>
            <w:tcW w:w="779" w:type="dxa"/>
            <w:shd w:val="clear" w:color="auto" w:fill="FFFFFF"/>
            <w:noWrap w:val="0"/>
            <w:vAlign w:val="center"/>
          </w:tcPr>
          <w:p w14:paraId="64B15F05">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客观分</w:t>
            </w:r>
          </w:p>
        </w:tc>
      </w:tr>
      <w:tr w14:paraId="2672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7" w:hRule="atLeast"/>
          <w:jc w:val="center"/>
        </w:trPr>
        <w:tc>
          <w:tcPr>
            <w:tcW w:w="535" w:type="dxa"/>
            <w:vMerge w:val="continue"/>
            <w:shd w:val="clear" w:color="auto" w:fill="FFFFFF"/>
            <w:noWrap w:val="0"/>
            <w:vAlign w:val="center"/>
          </w:tcPr>
          <w:p w14:paraId="22E5CD31">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538E379C">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6388" w:type="dxa"/>
            <w:gridSpan w:val="2"/>
            <w:shd w:val="clear" w:color="auto" w:fill="FFFFFF"/>
            <w:noWrap w:val="0"/>
            <w:vAlign w:val="center"/>
          </w:tcPr>
          <w:p w14:paraId="7D264ABC">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zh-CN"/>
              </w:rPr>
              <w:t>在中片项目要求所在行政区划（萧山区内）停车场地平均综合分列该标项区域内不同行政区划镇、街道的，</w:t>
            </w:r>
            <w:r>
              <w:rPr>
                <w:rFonts w:hint="eastAsia" w:ascii="宋体" w:hAnsi="宋体" w:cs="宋体"/>
                <w:color w:val="auto"/>
                <w:sz w:val="24"/>
                <w:szCs w:val="24"/>
                <w:highlight w:val="none"/>
              </w:rPr>
              <w:t>得5分。场地分列 3个及以上</w:t>
            </w:r>
            <w:r>
              <w:rPr>
                <w:rFonts w:hint="eastAsia" w:ascii="宋体" w:hAnsi="宋体" w:cs="宋体"/>
                <w:color w:val="auto"/>
                <w:sz w:val="24"/>
                <w:szCs w:val="24"/>
                <w:highlight w:val="none"/>
                <w:lang w:val="zh-CN"/>
              </w:rPr>
              <w:t>不同行政区划镇、街道</w:t>
            </w:r>
            <w:r>
              <w:rPr>
                <w:rFonts w:hint="eastAsia" w:ascii="宋体" w:hAnsi="宋体" w:cs="宋体"/>
                <w:color w:val="auto"/>
                <w:sz w:val="24"/>
                <w:szCs w:val="24"/>
                <w:highlight w:val="none"/>
              </w:rPr>
              <w:t>的，得5分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场地分列2 个</w:t>
            </w:r>
            <w:r>
              <w:rPr>
                <w:rFonts w:hint="eastAsia" w:ascii="宋体" w:hAnsi="宋体" w:cs="宋体"/>
                <w:color w:val="auto"/>
                <w:sz w:val="24"/>
                <w:szCs w:val="24"/>
                <w:highlight w:val="none"/>
                <w:lang w:val="zh-CN"/>
              </w:rPr>
              <w:t>不同行政区划镇、街道</w:t>
            </w:r>
            <w:r>
              <w:rPr>
                <w:rFonts w:hint="eastAsia" w:ascii="宋体" w:hAnsi="宋体" w:cs="宋体"/>
                <w:color w:val="auto"/>
                <w:sz w:val="24"/>
                <w:szCs w:val="24"/>
                <w:highlight w:val="none"/>
              </w:rPr>
              <w:t>的，得 3 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全部场地均在同一个镇、街道的该项不得分。</w:t>
            </w:r>
          </w:p>
          <w:p w14:paraId="6051693A">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提供高德地图截图标记显示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单位提供具体场地分布情况说明）</w:t>
            </w:r>
          </w:p>
        </w:tc>
        <w:tc>
          <w:tcPr>
            <w:tcW w:w="1095" w:type="dxa"/>
            <w:shd w:val="clear" w:color="auto" w:fill="FFFFFF"/>
            <w:noWrap w:val="0"/>
            <w:vAlign w:val="center"/>
          </w:tcPr>
          <w:p w14:paraId="01D3EFE6">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0-5分</w:t>
            </w:r>
          </w:p>
        </w:tc>
        <w:tc>
          <w:tcPr>
            <w:tcW w:w="779" w:type="dxa"/>
            <w:shd w:val="clear" w:color="auto" w:fill="FFFFFF"/>
            <w:noWrap w:val="0"/>
            <w:vAlign w:val="center"/>
          </w:tcPr>
          <w:p w14:paraId="09D04977">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客观分</w:t>
            </w:r>
          </w:p>
        </w:tc>
      </w:tr>
      <w:tr w14:paraId="46F4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535" w:type="dxa"/>
            <w:vMerge w:val="continue"/>
            <w:shd w:val="clear" w:color="auto" w:fill="FFFFFF"/>
            <w:noWrap w:val="0"/>
            <w:vAlign w:val="center"/>
          </w:tcPr>
          <w:p w14:paraId="1C11FD29">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0671531C">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6388" w:type="dxa"/>
            <w:gridSpan w:val="2"/>
            <w:shd w:val="clear" w:color="auto" w:fill="FFFFFF"/>
            <w:noWrap w:val="0"/>
            <w:vAlign w:val="center"/>
          </w:tcPr>
          <w:p w14:paraId="333C96AB">
            <w:pPr>
              <w:pageBreakBefore w:val="0"/>
              <w:widowControl/>
              <w:kinsoku/>
              <w:wordWrap/>
              <w:overflowPunct/>
              <w:topLinePunct w:val="0"/>
              <w:bidi w:val="0"/>
              <w:adjustRightInd/>
              <w:spacing w:line="480" w:lineRule="exac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地磅要求：</w:t>
            </w:r>
          </w:p>
          <w:p w14:paraId="7BBE443E">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zh-CN"/>
              </w:rPr>
              <w:t>保管场地内设置鉴定合格的过磅设备要求</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100吨</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eastAsia="zh-CN"/>
              </w:rPr>
              <w:t>自有的每处得</w:t>
            </w:r>
            <w:r>
              <w:rPr>
                <w:rFonts w:hint="eastAsia" w:ascii="宋体" w:hAnsi="宋体" w:cs="宋体"/>
                <w:color w:val="auto"/>
                <w:sz w:val="24"/>
                <w:szCs w:val="24"/>
                <w:highlight w:val="none"/>
                <w:lang w:val="en-US" w:eastAsia="zh-CN"/>
              </w:rPr>
              <w:t>1分，最高得4分；租赁的减半得分。</w:t>
            </w:r>
          </w:p>
          <w:p w14:paraId="204E16C0">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如符合</w:t>
            </w:r>
            <w:r>
              <w:rPr>
                <w:rFonts w:hint="eastAsia" w:ascii="宋体" w:hAnsi="宋体" w:cs="宋体"/>
                <w:color w:val="auto"/>
                <w:sz w:val="24"/>
                <w:szCs w:val="24"/>
                <w:highlight w:val="none"/>
                <w:lang w:val="zh-CN"/>
              </w:rPr>
              <w:t>过磅设备</w:t>
            </w:r>
            <w:r>
              <w:rPr>
                <w:rFonts w:hint="eastAsia" w:ascii="仿宋_GB2312" w:hAnsi="仿宋_GB2312" w:eastAsia="仿宋_GB2312" w:cs="仿宋_GB2312"/>
                <w:color w:val="auto"/>
                <w:sz w:val="24"/>
                <w:szCs w:val="24"/>
                <w:highlight w:val="none"/>
                <w:lang w:val="zh-CN"/>
              </w:rPr>
              <w:t>&lt;</w:t>
            </w:r>
            <w:r>
              <w:rPr>
                <w:rFonts w:hint="eastAsia" w:ascii="宋体" w:hAnsi="宋体" w:cs="宋体"/>
                <w:color w:val="auto"/>
                <w:sz w:val="24"/>
                <w:szCs w:val="24"/>
                <w:highlight w:val="none"/>
              </w:rPr>
              <w:t>100吨</w:t>
            </w:r>
            <w:r>
              <w:rPr>
                <w:rFonts w:hint="eastAsia" w:ascii="宋体" w:hAnsi="宋体" w:cs="宋体"/>
                <w:color w:val="auto"/>
                <w:sz w:val="24"/>
                <w:szCs w:val="24"/>
                <w:highlight w:val="none"/>
                <w:lang w:val="en-US" w:eastAsia="zh-CN"/>
              </w:rPr>
              <w:t>、虽在保管场地内但未处于</w:t>
            </w:r>
            <w:r>
              <w:rPr>
                <w:rFonts w:hint="eastAsia" w:ascii="宋体" w:hAnsi="宋体" w:cs="宋体"/>
                <w:color w:val="auto"/>
                <w:sz w:val="24"/>
                <w:szCs w:val="24"/>
                <w:highlight w:val="none"/>
                <w:lang w:val="zh-CN"/>
              </w:rPr>
              <w:t>监控覆盖范围内情形之一的，该处不得分。</w:t>
            </w:r>
          </w:p>
          <w:p w14:paraId="752388FA">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rPr>
              <w:t>（注：需提供设备购置发票、计量检定机构出具的有效《检定证书》及能够反映承载额证明，反映有过磅设备的停车场地现场全貌、过磅设备安装位置、处于监控覆盖范围内等现场彩色照片至少</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张，其中处于监控覆盖范围内照片须从监控中拍摄）</w:t>
            </w:r>
          </w:p>
        </w:tc>
        <w:tc>
          <w:tcPr>
            <w:tcW w:w="1095" w:type="dxa"/>
            <w:shd w:val="clear" w:color="auto" w:fill="FFFFFF"/>
            <w:noWrap w:val="0"/>
            <w:vAlign w:val="center"/>
          </w:tcPr>
          <w:p w14:paraId="26A171B3">
            <w:pPr>
              <w:pageBreakBefore w:val="0"/>
              <w:widowControl/>
              <w:kinsoku/>
              <w:wordWrap/>
              <w:overflowPunct/>
              <w:topLinePunct w:val="0"/>
              <w:bidi w:val="0"/>
              <w:adjustRightInd/>
              <w:spacing w:line="480" w:lineRule="exact"/>
              <w:jc w:val="both"/>
              <w:rPr>
                <w:rFonts w:hint="eastAsia" w:ascii="宋体" w:hAnsi="宋体" w:cs="宋体"/>
                <w:color w:val="auto"/>
                <w:sz w:val="24"/>
                <w:szCs w:val="24"/>
                <w:highlight w:val="none"/>
              </w:rPr>
            </w:pPr>
          </w:p>
          <w:p w14:paraId="23BF03CA">
            <w:pPr>
              <w:pageBreakBefore w:val="0"/>
              <w:widowControl/>
              <w:kinsoku/>
              <w:wordWrap/>
              <w:overflowPunct/>
              <w:topLinePunct w:val="0"/>
              <w:bidi w:val="0"/>
              <w:adjustRightInd/>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tc>
        <w:tc>
          <w:tcPr>
            <w:tcW w:w="779" w:type="dxa"/>
            <w:shd w:val="clear" w:color="auto" w:fill="FFFFFF"/>
            <w:noWrap w:val="0"/>
            <w:vAlign w:val="center"/>
          </w:tcPr>
          <w:p w14:paraId="1459DF79">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客观分</w:t>
            </w:r>
          </w:p>
        </w:tc>
      </w:tr>
      <w:tr w14:paraId="6045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33" w:hRule="atLeast"/>
          <w:jc w:val="center"/>
        </w:trPr>
        <w:tc>
          <w:tcPr>
            <w:tcW w:w="535" w:type="dxa"/>
            <w:vMerge w:val="continue"/>
            <w:shd w:val="clear" w:color="auto" w:fill="FFFFFF"/>
            <w:noWrap w:val="0"/>
            <w:vAlign w:val="center"/>
          </w:tcPr>
          <w:p w14:paraId="29ECB1F8">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20F503AB">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6388" w:type="dxa"/>
            <w:gridSpan w:val="2"/>
            <w:shd w:val="clear" w:color="auto" w:fill="FFFFFF"/>
            <w:noWrap w:val="0"/>
            <w:vAlign w:val="top"/>
          </w:tcPr>
          <w:p w14:paraId="4E15E4B7">
            <w:pPr>
              <w:pageBreakBefore w:val="0"/>
              <w:widowControl/>
              <w:kinsoku/>
              <w:wordWrap/>
              <w:overflowPunct/>
              <w:topLinePunct w:val="0"/>
              <w:bidi w:val="0"/>
              <w:adjustRightInd/>
              <w:spacing w:line="480" w:lineRule="exact"/>
              <w:jc w:val="both"/>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人员要求：</w:t>
            </w:r>
          </w:p>
          <w:p w14:paraId="34AAD814">
            <w:pPr>
              <w:pageBreakBefore w:val="0"/>
              <w:widowControl/>
              <w:kinsoku/>
              <w:wordWrap/>
              <w:overflowPunct/>
              <w:topLinePunct w:val="0"/>
              <w:bidi w:val="0"/>
              <w:adjustRightInd/>
              <w:spacing w:line="48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投标人配备招标要求每个场地的人员以外，额外配备A1或A2驾驶证人员，每增加1人得1分，最高得</w:t>
            </w:r>
            <w:r>
              <w:rPr>
                <w:rFonts w:hint="eastAsia" w:ascii="宋体" w:hAnsi="宋体" w:cs="宋体"/>
                <w:color w:val="auto"/>
                <w:sz w:val="24"/>
                <w:szCs w:val="24"/>
                <w:highlight w:val="none"/>
                <w:lang w:val="en-US" w:eastAsia="zh-CN"/>
              </w:rPr>
              <w:t>2分</w:t>
            </w:r>
            <w:r>
              <w:rPr>
                <w:rFonts w:hint="eastAsia" w:ascii="宋体" w:hAnsi="宋体" w:cs="宋体"/>
                <w:color w:val="auto"/>
                <w:sz w:val="24"/>
                <w:szCs w:val="24"/>
                <w:highlight w:val="none"/>
                <w:lang w:val="zh-CN"/>
              </w:rPr>
              <w:t>。</w:t>
            </w:r>
          </w:p>
          <w:p w14:paraId="7F846C58">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每</w:t>
            </w:r>
            <w:r>
              <w:rPr>
                <w:rFonts w:hint="eastAsia" w:ascii="宋体" w:hAnsi="宋体" w:cs="宋体"/>
                <w:color w:val="auto"/>
                <w:sz w:val="24"/>
                <w:szCs w:val="24"/>
                <w:highlight w:val="none"/>
                <w:lang w:val="en-US" w:eastAsia="zh-CN"/>
              </w:rPr>
              <w:t>个</w:t>
            </w:r>
            <w:r>
              <w:rPr>
                <w:rFonts w:hint="eastAsia" w:ascii="宋体" w:hAnsi="宋体" w:cs="宋体"/>
                <w:color w:val="auto"/>
                <w:sz w:val="24"/>
                <w:szCs w:val="24"/>
                <w:highlight w:val="none"/>
                <w:lang w:val="zh-CN"/>
              </w:rPr>
              <w:t>点位配备的</w:t>
            </w:r>
            <w:r>
              <w:rPr>
                <w:rFonts w:hint="eastAsia" w:ascii="宋体" w:hAnsi="宋体" w:cs="宋体"/>
                <w:color w:val="auto"/>
                <w:sz w:val="24"/>
                <w:szCs w:val="24"/>
                <w:highlight w:val="none"/>
                <w:lang w:val="en-US" w:eastAsia="zh-CN"/>
              </w:rPr>
              <w:t>工作</w:t>
            </w:r>
            <w:r>
              <w:rPr>
                <w:rFonts w:hint="eastAsia" w:ascii="宋体" w:hAnsi="宋体" w:cs="宋体"/>
                <w:color w:val="auto"/>
                <w:sz w:val="24"/>
                <w:szCs w:val="24"/>
                <w:highlight w:val="none"/>
                <w:lang w:val="zh-CN"/>
              </w:rPr>
              <w:t>人员需独立</w:t>
            </w:r>
            <w:r>
              <w:rPr>
                <w:rFonts w:hint="eastAsia" w:ascii="宋体" w:hAnsi="宋体" w:cs="宋体"/>
                <w:color w:val="auto"/>
                <w:sz w:val="24"/>
                <w:szCs w:val="24"/>
                <w:highlight w:val="none"/>
                <w:lang w:val="en-US" w:eastAsia="zh-CN"/>
              </w:rPr>
              <w:t>列表</w:t>
            </w:r>
            <w:r>
              <w:rPr>
                <w:rFonts w:hint="eastAsia" w:ascii="宋体" w:hAnsi="宋体" w:cs="宋体"/>
                <w:color w:val="auto"/>
                <w:sz w:val="24"/>
                <w:szCs w:val="24"/>
                <w:highlight w:val="none"/>
                <w:lang w:val="zh-CN"/>
              </w:rPr>
              <w:t>，额外配备工作人员，每多一人</w:t>
            </w:r>
            <w:r>
              <w:rPr>
                <w:rFonts w:hint="eastAsia" w:ascii="宋体" w:hAnsi="宋体" w:cs="宋体"/>
                <w:color w:val="auto"/>
                <w:sz w:val="24"/>
                <w:szCs w:val="24"/>
                <w:highlight w:val="none"/>
                <w:lang w:val="en-US" w:eastAsia="zh-CN"/>
              </w:rPr>
              <w:t>得</w:t>
            </w:r>
            <w:r>
              <w:rPr>
                <w:rFonts w:hint="eastAsia" w:ascii="宋体" w:hAnsi="宋体" w:cs="宋体"/>
                <w:color w:val="auto"/>
                <w:sz w:val="24"/>
                <w:szCs w:val="24"/>
                <w:highlight w:val="none"/>
                <w:lang w:val="zh-CN"/>
              </w:rPr>
              <w:t>0.5分，最高得</w:t>
            </w:r>
            <w:r>
              <w:rPr>
                <w:rFonts w:hint="eastAsia" w:ascii="宋体" w:hAnsi="宋体" w:cs="宋体"/>
                <w:color w:val="auto"/>
                <w:sz w:val="24"/>
                <w:szCs w:val="24"/>
                <w:highlight w:val="none"/>
                <w:lang w:val="en-US" w:eastAsia="zh-CN"/>
              </w:rPr>
              <w:t>1分</w:t>
            </w:r>
            <w:r>
              <w:rPr>
                <w:rFonts w:hint="eastAsia" w:ascii="宋体" w:hAnsi="宋体" w:cs="宋体"/>
                <w:color w:val="auto"/>
                <w:sz w:val="24"/>
                <w:szCs w:val="24"/>
                <w:highlight w:val="none"/>
                <w:lang w:val="zh-CN"/>
              </w:rPr>
              <w:t>。</w:t>
            </w:r>
          </w:p>
          <w:p w14:paraId="44D29D68">
            <w:pPr>
              <w:pageBreakBefore w:val="0"/>
              <w:widowControl/>
              <w:kinsoku/>
              <w:wordWrap/>
              <w:overflowPunct/>
              <w:topLinePunct w:val="0"/>
              <w:bidi w:val="0"/>
              <w:adjustRightInd/>
              <w:spacing w:line="48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配备汽车式起重机作业（吊车）专业机具驾驶操作人员，每人得</w:t>
            </w:r>
            <w:r>
              <w:rPr>
                <w:rFonts w:hint="eastAsia" w:ascii="宋体" w:hAnsi="宋体" w:cs="宋体"/>
                <w:color w:val="auto"/>
                <w:sz w:val="24"/>
                <w:szCs w:val="24"/>
                <w:highlight w:val="none"/>
                <w:lang w:val="en-US" w:eastAsia="zh-CN"/>
              </w:rPr>
              <w:t>1分、最高得2分。</w:t>
            </w:r>
          </w:p>
          <w:p w14:paraId="74833A49">
            <w:pPr>
              <w:pageBreakBefore w:val="0"/>
              <w:widowControl/>
              <w:kinsoku/>
              <w:wordWrap/>
              <w:overflowPunct/>
              <w:topLinePunct w:val="0"/>
              <w:bidi w:val="0"/>
              <w:adjustRightInd/>
              <w:spacing w:line="48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配备铲车、叉车、挖掘机专业机具</w:t>
            </w:r>
            <w:r>
              <w:rPr>
                <w:rFonts w:hint="eastAsia" w:ascii="宋体" w:hAnsi="宋体" w:cs="宋体"/>
                <w:color w:val="auto"/>
                <w:sz w:val="24"/>
                <w:szCs w:val="24"/>
                <w:highlight w:val="none"/>
                <w:lang w:val="en-US" w:eastAsia="zh-CN"/>
              </w:rPr>
              <w:t>驾驶</w:t>
            </w:r>
            <w:r>
              <w:rPr>
                <w:rFonts w:hint="eastAsia" w:ascii="宋体" w:hAnsi="宋体" w:cs="宋体"/>
                <w:color w:val="auto"/>
                <w:sz w:val="24"/>
                <w:szCs w:val="24"/>
                <w:highlight w:val="none"/>
                <w:lang w:val="zh-CN"/>
              </w:rPr>
              <w:t>操作人员，每一人得</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lang w:val="zh-CN"/>
              </w:rPr>
              <w:t>分，最高得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rPr>
              <w:t>分。</w:t>
            </w:r>
          </w:p>
          <w:p w14:paraId="29170BF0">
            <w:pPr>
              <w:pageBreakBefore w:val="0"/>
              <w:widowControl/>
              <w:kinsoku/>
              <w:wordWrap/>
              <w:overflowPunct/>
              <w:topLinePunct w:val="0"/>
              <w:bidi w:val="0"/>
              <w:adjustRightInd/>
              <w:spacing w:line="480" w:lineRule="exact"/>
              <w:jc w:val="both"/>
              <w:rPr>
                <w:rFonts w:hint="eastAsia" w:ascii="宋体" w:hAnsi="宋体" w:cs="宋体"/>
                <w:b w:val="0"/>
                <w:bCs w:val="0"/>
                <w:color w:val="auto"/>
                <w:sz w:val="24"/>
                <w:szCs w:val="24"/>
                <w:highlight w:val="none"/>
                <w:lang w:val="zh-CN" w:eastAsia="zh-CN"/>
              </w:rPr>
            </w:pPr>
            <w:r>
              <w:rPr>
                <w:rFonts w:hint="eastAsia" w:ascii="宋体" w:hAnsi="宋体" w:cs="宋体"/>
                <w:color w:val="auto"/>
                <w:sz w:val="24"/>
                <w:szCs w:val="24"/>
                <w:highlight w:val="none"/>
                <w:lang w:val="zh-CN"/>
              </w:rPr>
              <w:t>注：投标人需提供相关人员的有效证明文件（有效期内的驾驶证扫描件；作业证扫描件,并提供相关人</w:t>
            </w:r>
            <w:r>
              <w:rPr>
                <w:rFonts w:hint="eastAsia" w:ascii="宋体" w:hAnsi="宋体" w:cs="宋体"/>
                <w:b w:val="0"/>
                <w:bCs w:val="0"/>
                <w:color w:val="auto"/>
                <w:sz w:val="24"/>
                <w:szCs w:val="24"/>
                <w:highlight w:val="none"/>
                <w:lang w:val="zh-CN"/>
              </w:rPr>
              <w:t>员本单位的最近三个月（</w:t>
            </w:r>
            <w:r>
              <w:rPr>
                <w:rFonts w:hint="eastAsia" w:ascii="宋体" w:hAnsi="宋体" w:cs="宋体"/>
                <w:b w:val="0"/>
                <w:bCs w:val="0"/>
                <w:color w:val="auto"/>
                <w:sz w:val="24"/>
                <w:szCs w:val="24"/>
                <w:highlight w:val="none"/>
                <w:lang w:val="en-US" w:eastAsia="zh-CN"/>
              </w:rPr>
              <w:t>2024年8月、9月、10月</w:t>
            </w:r>
            <w:r>
              <w:rPr>
                <w:rFonts w:hint="eastAsia" w:ascii="宋体" w:hAnsi="宋体" w:cs="宋体"/>
                <w:b w:val="0"/>
                <w:bCs w:val="0"/>
                <w:color w:val="auto"/>
                <w:sz w:val="24"/>
                <w:szCs w:val="24"/>
                <w:highlight w:val="none"/>
                <w:lang w:val="zh-CN"/>
              </w:rPr>
              <w:t>）中任意</w:t>
            </w:r>
            <w:r>
              <w:rPr>
                <w:rFonts w:hint="eastAsia" w:ascii="宋体" w:hAnsi="宋体" w:cs="宋体"/>
                <w:b w:val="0"/>
                <w:bCs w:val="0"/>
                <w:color w:val="auto"/>
                <w:sz w:val="24"/>
                <w:szCs w:val="24"/>
                <w:highlight w:val="none"/>
                <w:lang w:val="en-US" w:eastAsia="zh-CN"/>
              </w:rPr>
              <w:t>1个月的个人社保缴纳证明。</w:t>
            </w:r>
          </w:p>
        </w:tc>
        <w:tc>
          <w:tcPr>
            <w:tcW w:w="1095" w:type="dxa"/>
            <w:shd w:val="clear" w:color="auto" w:fill="FFFFFF"/>
            <w:noWrap w:val="0"/>
            <w:vAlign w:val="center"/>
          </w:tcPr>
          <w:p w14:paraId="7E11EC5A">
            <w:pPr>
              <w:pageBreakBefore w:val="0"/>
              <w:widowControl/>
              <w:kinsoku/>
              <w:wordWrap/>
              <w:overflowPunct/>
              <w:topLinePunct w:val="0"/>
              <w:bidi w:val="0"/>
              <w:adjustRightInd/>
              <w:spacing w:line="48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0-6分</w:t>
            </w:r>
          </w:p>
        </w:tc>
        <w:tc>
          <w:tcPr>
            <w:tcW w:w="779" w:type="dxa"/>
            <w:shd w:val="clear" w:color="auto" w:fill="FFFFFF"/>
            <w:noWrap w:val="0"/>
            <w:vAlign w:val="center"/>
          </w:tcPr>
          <w:p w14:paraId="6DA0199E">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客观分</w:t>
            </w:r>
          </w:p>
        </w:tc>
      </w:tr>
      <w:tr w14:paraId="5AFA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7" w:hRule="atLeast"/>
          <w:jc w:val="center"/>
        </w:trPr>
        <w:tc>
          <w:tcPr>
            <w:tcW w:w="535" w:type="dxa"/>
            <w:vMerge w:val="continue"/>
            <w:shd w:val="clear" w:color="auto" w:fill="FFFFFF"/>
            <w:noWrap w:val="0"/>
            <w:vAlign w:val="center"/>
          </w:tcPr>
          <w:p w14:paraId="54B35A55">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07432911">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6388" w:type="dxa"/>
            <w:gridSpan w:val="2"/>
            <w:shd w:val="clear" w:color="auto" w:fill="FFFFFF"/>
            <w:noWrap w:val="0"/>
            <w:vAlign w:val="center"/>
          </w:tcPr>
          <w:p w14:paraId="34730A43">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车辆要求：</w:t>
            </w:r>
          </w:p>
          <w:p w14:paraId="4D299641">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zh-CN"/>
              </w:rPr>
              <w:t>投标人应按招标要求配备车辆，其中车辆为自有的，每一辆得1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分，最高得</w:t>
            </w:r>
            <w:r>
              <w:rPr>
                <w:rFonts w:hint="eastAsia" w:ascii="宋体" w:hAnsi="宋体" w:cs="宋体"/>
                <w:color w:val="auto"/>
                <w:sz w:val="24"/>
                <w:szCs w:val="24"/>
                <w:highlight w:val="none"/>
                <w:lang w:val="en-US" w:eastAsia="zh-CN"/>
              </w:rPr>
              <w:t>6分</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租赁的减半得分；不符要求的不得分。</w:t>
            </w:r>
            <w:r>
              <w:rPr>
                <w:rFonts w:hint="eastAsia" w:ascii="宋体" w:hAnsi="宋体" w:cs="宋体"/>
                <w:color w:val="auto"/>
                <w:sz w:val="24"/>
                <w:szCs w:val="24"/>
                <w:highlight w:val="none"/>
                <w:lang w:val="zh-CN"/>
              </w:rPr>
              <w:t>其中配备有重型非载货专项作业车（即起重吊车，起载荷重大于60吨），自有的每一辆加</w:t>
            </w:r>
            <w:r>
              <w:rPr>
                <w:rFonts w:hint="eastAsia" w:ascii="宋体" w:hAnsi="宋体" w:cs="宋体"/>
                <w:color w:val="auto"/>
                <w:sz w:val="24"/>
                <w:szCs w:val="24"/>
                <w:highlight w:val="none"/>
                <w:lang w:val="en-US" w:eastAsia="zh-CN"/>
              </w:rPr>
              <w:t>1分</w:t>
            </w:r>
            <w:r>
              <w:rPr>
                <w:rFonts w:hint="eastAsia" w:ascii="宋体" w:hAnsi="宋体" w:cs="宋体"/>
                <w:color w:val="auto"/>
                <w:sz w:val="24"/>
                <w:szCs w:val="24"/>
                <w:highlight w:val="none"/>
                <w:lang w:val="zh-CN"/>
              </w:rPr>
              <w:t>，最高</w:t>
            </w:r>
            <w:r>
              <w:rPr>
                <w:rFonts w:hint="eastAsia" w:ascii="宋体" w:hAnsi="宋体" w:cs="宋体"/>
                <w:color w:val="auto"/>
                <w:sz w:val="24"/>
                <w:szCs w:val="24"/>
                <w:highlight w:val="none"/>
                <w:lang w:val="en-US" w:eastAsia="zh-CN"/>
              </w:rPr>
              <w:t>得</w:t>
            </w:r>
            <w:r>
              <w:rPr>
                <w:rFonts w:hint="eastAsia" w:ascii="宋体" w:hAnsi="宋体" w:cs="宋体"/>
                <w:color w:val="auto"/>
                <w:sz w:val="24"/>
                <w:szCs w:val="24"/>
                <w:highlight w:val="none"/>
                <w:lang w:val="zh-CN"/>
              </w:rPr>
              <w:t>1分；配备有大型拖车（载荷</w:t>
            </w:r>
            <w:r>
              <w:rPr>
                <w:rFonts w:hint="eastAsia" w:ascii="宋体" w:hAnsi="宋体" w:cs="宋体"/>
                <w:color w:val="auto"/>
                <w:sz w:val="24"/>
                <w:szCs w:val="24"/>
                <w:highlight w:val="none"/>
                <w:lang w:val="en-US" w:eastAsia="zh-CN"/>
              </w:rPr>
              <w:t>大于60</w:t>
            </w:r>
            <w:r>
              <w:rPr>
                <w:rFonts w:hint="eastAsia" w:ascii="宋体" w:hAnsi="宋体" w:cs="宋体"/>
                <w:color w:val="auto"/>
                <w:sz w:val="24"/>
                <w:szCs w:val="24"/>
                <w:highlight w:val="none"/>
                <w:lang w:val="zh-CN"/>
              </w:rPr>
              <w:t>吨）自有的每一辆加</w:t>
            </w:r>
            <w:r>
              <w:rPr>
                <w:rFonts w:hint="eastAsia" w:ascii="宋体" w:hAnsi="宋体" w:cs="宋体"/>
                <w:color w:val="auto"/>
                <w:sz w:val="24"/>
                <w:szCs w:val="24"/>
                <w:highlight w:val="none"/>
                <w:lang w:val="en-US" w:eastAsia="zh-CN"/>
              </w:rPr>
              <w:t>1分，</w:t>
            </w:r>
            <w:r>
              <w:rPr>
                <w:rFonts w:hint="eastAsia" w:ascii="宋体" w:hAnsi="宋体" w:cs="宋体"/>
                <w:color w:val="auto"/>
                <w:sz w:val="24"/>
                <w:szCs w:val="24"/>
                <w:highlight w:val="none"/>
                <w:lang w:val="zh-CN"/>
              </w:rPr>
              <w:t>最高</w:t>
            </w:r>
            <w:r>
              <w:rPr>
                <w:rFonts w:hint="eastAsia" w:ascii="宋体" w:hAnsi="宋体" w:cs="宋体"/>
                <w:color w:val="auto"/>
                <w:sz w:val="24"/>
                <w:szCs w:val="24"/>
                <w:highlight w:val="none"/>
                <w:lang w:val="en-US" w:eastAsia="zh-CN"/>
              </w:rPr>
              <w:t>得</w:t>
            </w:r>
            <w:r>
              <w:rPr>
                <w:rFonts w:hint="eastAsia" w:ascii="宋体" w:hAnsi="宋体" w:cs="宋体"/>
                <w:color w:val="auto"/>
                <w:sz w:val="24"/>
                <w:szCs w:val="24"/>
                <w:highlight w:val="none"/>
                <w:lang w:val="zh-CN"/>
              </w:rPr>
              <w:t>1分；</w:t>
            </w:r>
            <w:r>
              <w:rPr>
                <w:rFonts w:hint="eastAsia" w:ascii="宋体" w:hAnsi="宋体" w:cs="宋体"/>
                <w:color w:val="auto"/>
                <w:sz w:val="24"/>
                <w:szCs w:val="24"/>
                <w:highlight w:val="none"/>
                <w:lang w:val="en-US" w:eastAsia="zh-CN"/>
              </w:rPr>
              <w:t>租赁的不得分。</w:t>
            </w:r>
            <w:r>
              <w:rPr>
                <w:rFonts w:hint="eastAsia" w:ascii="宋体" w:hAnsi="宋体" w:cs="宋体"/>
                <w:color w:val="auto"/>
                <w:sz w:val="24"/>
                <w:szCs w:val="24"/>
                <w:highlight w:val="none"/>
                <w:lang w:val="zh-CN"/>
              </w:rPr>
              <w:t>本项最高得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rPr>
              <w:t>分。</w:t>
            </w:r>
          </w:p>
          <w:p w14:paraId="2E1235D5">
            <w:pPr>
              <w:pageBreakBefore w:val="0"/>
              <w:widowControl/>
              <w:kinsoku/>
              <w:wordWrap/>
              <w:overflowPunct/>
              <w:topLinePunct w:val="0"/>
              <w:bidi w:val="0"/>
              <w:adjustRightInd/>
              <w:spacing w:line="48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配备招标要求车辆以外，额外配备非载货专项作业车，自有的每增加一辆得</w:t>
            </w:r>
            <w:r>
              <w:rPr>
                <w:rFonts w:hint="eastAsia" w:ascii="宋体" w:hAnsi="宋体" w:cs="宋体"/>
                <w:color w:val="auto"/>
                <w:sz w:val="24"/>
                <w:szCs w:val="24"/>
                <w:highlight w:val="none"/>
                <w:lang w:val="en-US" w:eastAsia="zh-CN"/>
              </w:rPr>
              <w:t>0.5分</w:t>
            </w:r>
            <w:r>
              <w:rPr>
                <w:rFonts w:hint="eastAsia" w:ascii="宋体" w:hAnsi="宋体" w:cs="宋体"/>
                <w:color w:val="auto"/>
                <w:sz w:val="24"/>
                <w:szCs w:val="24"/>
                <w:highlight w:val="none"/>
                <w:lang w:val="zh-CN"/>
              </w:rPr>
              <w:t>，最高得</w:t>
            </w:r>
            <w:r>
              <w:rPr>
                <w:rFonts w:hint="eastAsia" w:ascii="宋体" w:hAnsi="宋体" w:cs="宋体"/>
                <w:color w:val="auto"/>
                <w:sz w:val="24"/>
                <w:szCs w:val="24"/>
                <w:highlight w:val="none"/>
                <w:lang w:val="en-US" w:eastAsia="zh-CN"/>
              </w:rPr>
              <w:t>1分</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租赁的减半得分；不符要求的不得分。</w:t>
            </w:r>
            <w:r>
              <w:rPr>
                <w:rFonts w:hint="eastAsia" w:ascii="宋体" w:hAnsi="宋体" w:cs="宋体"/>
                <w:color w:val="auto"/>
                <w:sz w:val="24"/>
                <w:szCs w:val="24"/>
                <w:highlight w:val="none"/>
                <w:lang w:val="zh-CN"/>
              </w:rPr>
              <w:t>本项最高得</w:t>
            </w:r>
            <w:r>
              <w:rPr>
                <w:rFonts w:hint="eastAsia" w:ascii="宋体" w:hAnsi="宋体" w:cs="宋体"/>
                <w:color w:val="auto"/>
                <w:sz w:val="24"/>
                <w:szCs w:val="24"/>
                <w:highlight w:val="none"/>
                <w:lang w:val="en-US" w:eastAsia="zh-CN"/>
              </w:rPr>
              <w:t>1分</w:t>
            </w:r>
            <w:r>
              <w:rPr>
                <w:rFonts w:hint="eastAsia" w:ascii="宋体" w:hAnsi="宋体" w:cs="宋体"/>
                <w:color w:val="auto"/>
                <w:sz w:val="24"/>
                <w:szCs w:val="24"/>
                <w:highlight w:val="none"/>
                <w:lang w:val="zh-CN"/>
              </w:rPr>
              <w:t>。</w:t>
            </w:r>
          </w:p>
          <w:p w14:paraId="4D803658">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额外配备叉车、铲车、挖掘机的，自有的每增加一辆得</w:t>
            </w:r>
            <w:r>
              <w:rPr>
                <w:rFonts w:hint="eastAsia" w:ascii="宋体" w:hAnsi="宋体" w:cs="宋体"/>
                <w:color w:val="auto"/>
                <w:sz w:val="24"/>
                <w:szCs w:val="24"/>
                <w:highlight w:val="none"/>
                <w:lang w:val="en-US" w:eastAsia="zh-CN"/>
              </w:rPr>
              <w:t>0.5分</w:t>
            </w:r>
            <w:r>
              <w:rPr>
                <w:rFonts w:hint="eastAsia" w:ascii="宋体" w:hAnsi="宋体" w:cs="宋体"/>
                <w:color w:val="auto"/>
                <w:sz w:val="24"/>
                <w:szCs w:val="24"/>
                <w:highlight w:val="none"/>
                <w:lang w:val="zh-CN"/>
              </w:rPr>
              <w:t>，最高得</w:t>
            </w:r>
            <w:r>
              <w:rPr>
                <w:rFonts w:hint="eastAsia" w:ascii="宋体" w:hAnsi="宋体" w:cs="宋体"/>
                <w:color w:val="auto"/>
                <w:sz w:val="24"/>
                <w:szCs w:val="24"/>
                <w:highlight w:val="none"/>
                <w:lang w:val="en-US" w:eastAsia="zh-CN"/>
              </w:rPr>
              <w:t>1分</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租赁的减半得分；不符要求的不得分。</w:t>
            </w:r>
            <w:r>
              <w:rPr>
                <w:rFonts w:hint="eastAsia" w:ascii="宋体" w:hAnsi="宋体" w:cs="宋体"/>
                <w:color w:val="auto"/>
                <w:sz w:val="24"/>
                <w:szCs w:val="24"/>
                <w:highlight w:val="none"/>
                <w:lang w:val="zh-CN"/>
              </w:rPr>
              <w:t>本项最高得</w:t>
            </w:r>
            <w:r>
              <w:rPr>
                <w:rFonts w:hint="eastAsia" w:ascii="宋体" w:hAnsi="宋体" w:cs="宋体"/>
                <w:color w:val="auto"/>
                <w:sz w:val="24"/>
                <w:szCs w:val="24"/>
                <w:highlight w:val="none"/>
                <w:lang w:val="en-US" w:eastAsia="zh-CN"/>
              </w:rPr>
              <w:t>1分</w:t>
            </w:r>
            <w:r>
              <w:rPr>
                <w:rFonts w:hint="eastAsia" w:ascii="宋体" w:hAnsi="宋体" w:cs="宋体"/>
                <w:color w:val="auto"/>
                <w:sz w:val="24"/>
                <w:szCs w:val="24"/>
                <w:highlight w:val="none"/>
                <w:lang w:val="zh-CN"/>
              </w:rPr>
              <w:t>。</w:t>
            </w:r>
          </w:p>
          <w:p w14:paraId="76864529">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（注：需提供车辆前后侧面拍摄的全貌照片，</w:t>
            </w:r>
            <w:r>
              <w:rPr>
                <w:rFonts w:hint="eastAsia" w:ascii="宋体" w:hAnsi="宋体" w:cs="宋体"/>
                <w:color w:val="auto"/>
                <w:sz w:val="24"/>
                <w:highlight w:val="none"/>
                <w:lang w:eastAsia="zh-CN"/>
              </w:rPr>
              <w:t>显示吊、</w:t>
            </w:r>
            <w:r>
              <w:rPr>
                <w:rFonts w:hint="eastAsia" w:ascii="宋体" w:hAnsi="宋体" w:cs="宋体"/>
                <w:color w:val="auto"/>
                <w:sz w:val="24"/>
                <w:szCs w:val="24"/>
                <w:highlight w:val="none"/>
                <w:lang w:val="zh-CN"/>
              </w:rPr>
              <w:t>叉、铲车或挖掘机</w:t>
            </w:r>
            <w:r>
              <w:rPr>
                <w:rFonts w:hint="eastAsia" w:ascii="宋体" w:hAnsi="宋体" w:cs="宋体"/>
                <w:color w:val="auto"/>
                <w:sz w:val="24"/>
                <w:highlight w:val="none"/>
                <w:lang w:eastAsia="zh-CN"/>
              </w:rPr>
              <w:t>作用吨位的铭牌或合格证照片，</w:t>
            </w:r>
            <w:r>
              <w:rPr>
                <w:rFonts w:hint="eastAsia" w:ascii="宋体" w:hAnsi="宋体" w:cs="宋体"/>
                <w:color w:val="auto"/>
                <w:sz w:val="24"/>
                <w:szCs w:val="24"/>
                <w:highlight w:val="none"/>
                <w:lang w:val="zh-CN"/>
              </w:rPr>
              <w:t>另自有车辆需提供车辆购买发票、车辆登记证书、</w:t>
            </w:r>
            <w:r>
              <w:rPr>
                <w:rFonts w:hint="eastAsia" w:ascii="宋体" w:hAnsi="宋体" w:cs="宋体"/>
                <w:color w:val="auto"/>
                <w:sz w:val="24"/>
                <w:highlight w:val="none"/>
                <w:lang w:eastAsia="zh-CN"/>
              </w:rPr>
              <w:t>转让协议、支付凭证</w:t>
            </w:r>
            <w:r>
              <w:rPr>
                <w:rFonts w:hint="eastAsia" w:ascii="宋体" w:hAnsi="宋体" w:cs="宋体"/>
                <w:color w:val="auto"/>
                <w:sz w:val="24"/>
                <w:szCs w:val="24"/>
                <w:highlight w:val="none"/>
                <w:lang w:val="zh-CN"/>
              </w:rPr>
              <w:t>或车辆行驶证；租赁车辆需要提供租赁协议及车辆购买发票等用于证明车辆合法来源的证明文件）</w:t>
            </w:r>
          </w:p>
        </w:tc>
        <w:tc>
          <w:tcPr>
            <w:tcW w:w="1095" w:type="dxa"/>
            <w:shd w:val="clear" w:color="auto" w:fill="FFFFFF"/>
            <w:noWrap w:val="0"/>
            <w:vAlign w:val="center"/>
          </w:tcPr>
          <w:p w14:paraId="2CDAD051">
            <w:pPr>
              <w:pageBreakBefore w:val="0"/>
              <w:widowControl/>
              <w:kinsoku/>
              <w:wordWrap/>
              <w:overflowPunct/>
              <w:topLinePunct w:val="0"/>
              <w:bidi w:val="0"/>
              <w:adjustRightInd/>
              <w:spacing w:line="480" w:lineRule="exact"/>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0-10分</w:t>
            </w:r>
          </w:p>
          <w:p w14:paraId="22AC6F24">
            <w:pPr>
              <w:pageBreakBefore w:val="0"/>
              <w:widowControl/>
              <w:kinsoku/>
              <w:wordWrap/>
              <w:overflowPunct/>
              <w:topLinePunct w:val="0"/>
              <w:bidi w:val="0"/>
              <w:adjustRightInd/>
              <w:spacing w:line="480" w:lineRule="exact"/>
              <w:jc w:val="center"/>
              <w:rPr>
                <w:rFonts w:hint="default" w:ascii="宋体" w:hAnsi="宋体" w:cs="宋体"/>
                <w:color w:val="auto"/>
                <w:kern w:val="0"/>
                <w:sz w:val="24"/>
                <w:szCs w:val="24"/>
                <w:highlight w:val="none"/>
                <w:lang w:val="en-US" w:eastAsia="zh-CN"/>
              </w:rPr>
            </w:pPr>
          </w:p>
        </w:tc>
        <w:tc>
          <w:tcPr>
            <w:tcW w:w="779" w:type="dxa"/>
            <w:shd w:val="clear" w:color="auto" w:fill="FFFFFF"/>
            <w:noWrap w:val="0"/>
            <w:vAlign w:val="center"/>
          </w:tcPr>
          <w:p w14:paraId="08C37FA0">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客观分</w:t>
            </w:r>
          </w:p>
        </w:tc>
      </w:tr>
      <w:tr w14:paraId="6BDB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2" w:hRule="atLeast"/>
          <w:jc w:val="center"/>
        </w:trPr>
        <w:tc>
          <w:tcPr>
            <w:tcW w:w="535" w:type="dxa"/>
            <w:vMerge w:val="continue"/>
            <w:shd w:val="clear" w:color="auto" w:fill="FFFFFF"/>
            <w:noWrap w:val="0"/>
            <w:vAlign w:val="center"/>
          </w:tcPr>
          <w:p w14:paraId="575A399C">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0B3AF829">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6388" w:type="dxa"/>
            <w:gridSpan w:val="2"/>
            <w:shd w:val="clear" w:color="auto" w:fill="FFFFFF"/>
            <w:noWrap w:val="0"/>
            <w:vAlign w:val="center"/>
          </w:tcPr>
          <w:p w14:paraId="5CC2FDD5">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根据投标人对拖移保管服务要求提出的服务方案进行评价:</w:t>
            </w:r>
          </w:p>
          <w:p w14:paraId="5EA8BC60">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服务</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能够结合拖移保管服务特点，方案</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具有针对性,有信息化管理平台可操作性规划的，</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根据项目需求情况提出详细、具体、明确的服务流程、服务方式方法、服务效果、服务成果、服务验收等</w:t>
            </w:r>
            <w:r>
              <w:rPr>
                <w:rFonts w:hint="eastAsia" w:ascii="宋体" w:hAnsi="宋体" w:cs="宋体"/>
                <w:color w:val="auto"/>
                <w:sz w:val="24"/>
                <w:szCs w:val="24"/>
                <w:highlight w:val="none"/>
                <w:lang w:val="en-US" w:eastAsia="zh-CN"/>
              </w:rPr>
              <w:t>综合评定。</w:t>
            </w:r>
            <w:r>
              <w:rPr>
                <w:rFonts w:hint="eastAsia" w:cs="Times New Roman" w:asciiTheme="minorEastAsia" w:hAnsiTheme="minorEastAsia" w:eastAsiaTheme="minorEastAsia"/>
                <w:color w:val="auto"/>
                <w:kern w:val="2"/>
                <w:sz w:val="24"/>
                <w:szCs w:val="24"/>
                <w:highlight w:val="none"/>
                <w:lang w:val="en-US" w:eastAsia="zh-CN" w:bidi="ar-SA"/>
              </w:rPr>
              <w:t>（本项分值设置为：6-5-4-3-2-1-0）</w:t>
            </w:r>
          </w:p>
        </w:tc>
        <w:tc>
          <w:tcPr>
            <w:tcW w:w="1095" w:type="dxa"/>
            <w:shd w:val="clear" w:color="auto" w:fill="FFFFFF"/>
            <w:noWrap w:val="0"/>
            <w:vAlign w:val="center"/>
          </w:tcPr>
          <w:p w14:paraId="7EC31C06">
            <w:pPr>
              <w:pageBreakBefore w:val="0"/>
              <w:widowControl/>
              <w:kinsoku/>
              <w:wordWrap/>
              <w:overflowPunct/>
              <w:topLinePunct w:val="0"/>
              <w:bidi w:val="0"/>
              <w:adjustRightInd/>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w:t>
            </w:r>
          </w:p>
          <w:p w14:paraId="6B86F44D">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p>
        </w:tc>
        <w:tc>
          <w:tcPr>
            <w:tcW w:w="779" w:type="dxa"/>
            <w:shd w:val="clear" w:color="auto" w:fill="FFFFFF"/>
            <w:noWrap w:val="0"/>
            <w:vAlign w:val="center"/>
          </w:tcPr>
          <w:p w14:paraId="1E2FF5CB">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主观分</w:t>
            </w:r>
          </w:p>
        </w:tc>
      </w:tr>
      <w:tr w14:paraId="468D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535" w:type="dxa"/>
            <w:vMerge w:val="continue"/>
            <w:shd w:val="clear" w:color="auto" w:fill="FFFFFF"/>
            <w:noWrap w:val="0"/>
            <w:vAlign w:val="center"/>
          </w:tcPr>
          <w:p w14:paraId="54C2AF49">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5C9523E5">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6388" w:type="dxa"/>
            <w:gridSpan w:val="2"/>
            <w:shd w:val="clear" w:color="auto" w:fill="FFFFFF"/>
            <w:noWrap w:val="0"/>
            <w:vAlign w:val="center"/>
          </w:tcPr>
          <w:p w14:paraId="0A117B8A">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根据投标人的服务质量保障措施进行评价:</w:t>
            </w:r>
          </w:p>
          <w:p w14:paraId="0E5F1F00">
            <w:pPr>
              <w:pageBreakBefore w:val="0"/>
              <w:widowControl/>
              <w:kinsoku/>
              <w:wordWrap/>
              <w:overflowPunct/>
              <w:topLinePunct w:val="0"/>
              <w:bidi w:val="0"/>
              <w:adjustRightInd/>
              <w:spacing w:line="480" w:lineRule="exact"/>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1.是否能提供统一的集约化服务质量保障,是否</w:t>
            </w:r>
            <w:r>
              <w:rPr>
                <w:rFonts w:hint="eastAsia" w:ascii="宋体" w:hAnsi="宋体" w:cs="宋体"/>
                <w:color w:val="auto"/>
                <w:sz w:val="24"/>
                <w:szCs w:val="24"/>
                <w:highlight w:val="none"/>
              </w:rPr>
              <w:t>有制定相应的服务质量保障措施,结合拖移保管服务特点，</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对服务过程中的关键节点有具体质量控制措施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能够确保服务质量等</w:t>
            </w:r>
            <w:r>
              <w:rPr>
                <w:rFonts w:hint="eastAsia" w:ascii="宋体" w:hAnsi="宋体" w:cs="宋体"/>
                <w:color w:val="auto"/>
                <w:sz w:val="24"/>
                <w:szCs w:val="24"/>
                <w:highlight w:val="none"/>
                <w:lang w:val="en-US" w:eastAsia="zh-CN"/>
              </w:rPr>
              <w:t>综合评定。</w:t>
            </w:r>
            <w:r>
              <w:rPr>
                <w:rFonts w:hint="eastAsia" w:cs="Times New Roman" w:asciiTheme="minorEastAsia" w:hAnsiTheme="minorEastAsia" w:eastAsiaTheme="minorEastAsia"/>
                <w:color w:val="auto"/>
                <w:kern w:val="2"/>
                <w:sz w:val="24"/>
                <w:szCs w:val="24"/>
                <w:highlight w:val="none"/>
                <w:lang w:val="en-US" w:eastAsia="zh-CN" w:bidi="ar-SA"/>
              </w:rPr>
              <w:t>（本项分值设置为：4-3-2-1-0）</w:t>
            </w:r>
          </w:p>
          <w:p w14:paraId="2BAB841D">
            <w:pPr>
              <w:pageBreakBefore w:val="0"/>
              <w:widowControl/>
              <w:kinsoku/>
              <w:wordWrap/>
              <w:overflowPunct/>
              <w:topLinePunct w:val="0"/>
              <w:bidi w:val="0"/>
              <w:adjustRightInd/>
              <w:spacing w:line="480" w:lineRule="exact"/>
              <w:rPr>
                <w:rFonts w:hint="eastAsia" w:cs="Times New Roman" w:asciiTheme="minorEastAsia" w:hAnsiTheme="minorEastAsia" w:eastAsiaTheme="minorEastAsia"/>
                <w:color w:val="auto"/>
                <w:kern w:val="2"/>
                <w:sz w:val="24"/>
                <w:szCs w:val="24"/>
                <w:highlight w:val="none"/>
                <w:lang w:val="zh-CN" w:eastAsia="zh-CN" w:bidi="ar-SA"/>
              </w:rPr>
            </w:pPr>
            <w:r>
              <w:rPr>
                <w:rFonts w:hint="eastAsia" w:ascii="宋体" w:hAnsi="宋体" w:cs="宋体"/>
                <w:color w:val="auto"/>
                <w:sz w:val="24"/>
                <w:szCs w:val="24"/>
                <w:highlight w:val="none"/>
                <w:lang w:val="en-US" w:eastAsia="zh-CN"/>
              </w:rPr>
              <w:t>2.是否</w:t>
            </w:r>
            <w:r>
              <w:rPr>
                <w:rFonts w:hint="eastAsia" w:ascii="宋体" w:hAnsi="宋体" w:cs="宋体"/>
                <w:color w:val="auto"/>
                <w:sz w:val="24"/>
                <w:szCs w:val="24"/>
                <w:highlight w:val="none"/>
              </w:rPr>
              <w:t>对服务过程中有相应</w:t>
            </w:r>
            <w:r>
              <w:rPr>
                <w:rFonts w:hint="eastAsia" w:ascii="宋体" w:hAnsi="宋体" w:cs="宋体"/>
                <w:color w:val="auto"/>
                <w:sz w:val="24"/>
                <w:szCs w:val="24"/>
                <w:highlight w:val="none"/>
                <w:lang w:val="en-US" w:eastAsia="zh-CN"/>
              </w:rPr>
              <w:t>集中</w:t>
            </w:r>
            <w:r>
              <w:rPr>
                <w:rFonts w:hint="eastAsia" w:ascii="宋体" w:hAnsi="宋体" w:cs="宋体"/>
                <w:color w:val="auto"/>
                <w:sz w:val="24"/>
                <w:szCs w:val="24"/>
                <w:highlight w:val="none"/>
              </w:rPr>
              <w:t>的人力、物力投入安排,</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有</w:t>
            </w:r>
            <w:r>
              <w:rPr>
                <w:rFonts w:hint="eastAsia" w:ascii="宋体" w:hAnsi="宋体" w:cs="宋体"/>
                <w:color w:val="auto"/>
                <w:sz w:val="24"/>
                <w:szCs w:val="24"/>
                <w:highlight w:val="none"/>
                <w:lang w:val="en-US" w:eastAsia="zh-CN"/>
              </w:rPr>
              <w:t>统一</w:t>
            </w:r>
            <w:r>
              <w:rPr>
                <w:rFonts w:hint="eastAsia" w:ascii="宋体" w:hAnsi="宋体" w:cs="宋体"/>
                <w:color w:val="auto"/>
                <w:sz w:val="24"/>
                <w:szCs w:val="24"/>
                <w:highlight w:val="none"/>
              </w:rPr>
              <w:t>完善的内部工作质量奖惩制度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能够确保服务质量等</w:t>
            </w:r>
            <w:r>
              <w:rPr>
                <w:rFonts w:hint="eastAsia" w:ascii="宋体" w:hAnsi="宋体" w:cs="宋体"/>
                <w:color w:val="auto"/>
                <w:sz w:val="24"/>
                <w:szCs w:val="24"/>
                <w:highlight w:val="none"/>
                <w:lang w:val="en-US" w:eastAsia="zh-CN"/>
              </w:rPr>
              <w:t>综合评定。</w:t>
            </w:r>
            <w:r>
              <w:rPr>
                <w:rFonts w:hint="eastAsia" w:cs="Times New Roman" w:asciiTheme="minorEastAsia" w:hAnsiTheme="minorEastAsia" w:eastAsiaTheme="minorEastAsia"/>
                <w:color w:val="auto"/>
                <w:kern w:val="2"/>
                <w:sz w:val="24"/>
                <w:szCs w:val="24"/>
                <w:highlight w:val="none"/>
                <w:lang w:val="en-US" w:eastAsia="zh-CN" w:bidi="ar-SA"/>
              </w:rPr>
              <w:t>（本项分值设置为：4-3-2-1-0）</w:t>
            </w:r>
          </w:p>
        </w:tc>
        <w:tc>
          <w:tcPr>
            <w:tcW w:w="1095" w:type="dxa"/>
            <w:shd w:val="clear" w:color="auto" w:fill="FFFFFF"/>
            <w:noWrap w:val="0"/>
            <w:vAlign w:val="center"/>
          </w:tcPr>
          <w:p w14:paraId="430F34AB">
            <w:pPr>
              <w:pageBreakBefore w:val="0"/>
              <w:widowControl/>
              <w:kinsoku/>
              <w:wordWrap/>
              <w:overflowPunct/>
              <w:topLinePunct w:val="0"/>
              <w:bidi w:val="0"/>
              <w:adjustRightInd/>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w:t>
            </w:r>
          </w:p>
          <w:p w14:paraId="68D12F0E">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p>
        </w:tc>
        <w:tc>
          <w:tcPr>
            <w:tcW w:w="779" w:type="dxa"/>
            <w:shd w:val="clear" w:color="auto" w:fill="FFFFFF"/>
            <w:noWrap w:val="0"/>
            <w:vAlign w:val="center"/>
          </w:tcPr>
          <w:p w14:paraId="09258BF0">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主观分</w:t>
            </w:r>
          </w:p>
        </w:tc>
      </w:tr>
      <w:tr w14:paraId="3203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535" w:type="dxa"/>
            <w:vMerge w:val="continue"/>
            <w:shd w:val="clear" w:color="auto" w:fill="FFFFFF"/>
            <w:noWrap w:val="0"/>
            <w:vAlign w:val="center"/>
          </w:tcPr>
          <w:p w14:paraId="26324AB2">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06B575BE">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6388" w:type="dxa"/>
            <w:gridSpan w:val="2"/>
            <w:shd w:val="clear" w:color="auto" w:fill="FFFFFF"/>
            <w:noWrap w:val="0"/>
            <w:vAlign w:val="center"/>
          </w:tcPr>
          <w:p w14:paraId="05CAAF4F">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根据投标人的服务风险防控措施进行评价:</w:t>
            </w:r>
          </w:p>
          <w:p w14:paraId="6DB3175B">
            <w:pPr>
              <w:pageBreakBefore w:val="0"/>
              <w:widowControl/>
              <w:kinsoku/>
              <w:wordWrap/>
              <w:overflowPunct/>
              <w:topLinePunct w:val="0"/>
              <w:bidi w:val="0"/>
              <w:adjustRightInd/>
              <w:spacing w:line="480" w:lineRule="exact"/>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1.是否</w:t>
            </w:r>
            <w:r>
              <w:rPr>
                <w:rFonts w:hint="eastAsia" w:ascii="宋体" w:hAnsi="宋体" w:cs="宋体"/>
                <w:color w:val="auto"/>
                <w:sz w:val="24"/>
                <w:szCs w:val="24"/>
                <w:highlight w:val="none"/>
              </w:rPr>
              <w:t>有对服务过程中各节点可能出现的风险有事先预估评判,并制定相应的服务风险防控措施,能够避免风险或出现风险能及时有效处理的等</w:t>
            </w:r>
            <w:r>
              <w:rPr>
                <w:rFonts w:hint="eastAsia" w:ascii="宋体" w:hAnsi="宋体" w:cs="宋体"/>
                <w:color w:val="auto"/>
                <w:sz w:val="24"/>
                <w:szCs w:val="24"/>
                <w:highlight w:val="none"/>
                <w:lang w:val="en-US" w:eastAsia="zh-CN"/>
              </w:rPr>
              <w:t>综合评定。</w:t>
            </w:r>
            <w:r>
              <w:rPr>
                <w:rFonts w:hint="eastAsia" w:cs="Times New Roman" w:asciiTheme="minorEastAsia" w:hAnsiTheme="minorEastAsia" w:eastAsiaTheme="minorEastAsia"/>
                <w:color w:val="auto"/>
                <w:kern w:val="2"/>
                <w:sz w:val="24"/>
                <w:szCs w:val="24"/>
                <w:highlight w:val="none"/>
                <w:lang w:val="en-US" w:eastAsia="zh-CN" w:bidi="ar-SA"/>
              </w:rPr>
              <w:t>（本项分值设置为：5-4-3-2-1-0）</w:t>
            </w:r>
          </w:p>
          <w:p w14:paraId="02331F85">
            <w:pPr>
              <w:pageBreakBefore w:val="0"/>
              <w:widowControl/>
              <w:kinsoku/>
              <w:wordWrap/>
              <w:overflowPunct/>
              <w:topLinePunct w:val="0"/>
              <w:bidi w:val="0"/>
              <w:adjustRightInd/>
              <w:spacing w:line="480" w:lineRule="exact"/>
              <w:rPr>
                <w:rFonts w:hint="eastAsia" w:cs="Times New Roman" w:asciiTheme="minorEastAsia" w:hAnsiTheme="minorEastAsia" w:eastAsiaTheme="minorEastAsia"/>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2.是否</w:t>
            </w:r>
            <w:r>
              <w:rPr>
                <w:rFonts w:hint="eastAsia" w:ascii="宋体" w:hAnsi="宋体" w:eastAsia="宋体" w:cs="宋体"/>
                <w:color w:val="auto"/>
                <w:sz w:val="24"/>
                <w:szCs w:val="24"/>
                <w:highlight w:val="none"/>
              </w:rPr>
              <w:t>有相应</w:t>
            </w:r>
            <w:r>
              <w:rPr>
                <w:rFonts w:hint="eastAsia" w:ascii="宋体" w:hAnsi="宋体" w:eastAsia="宋体" w:cs="宋体"/>
                <w:color w:val="auto"/>
                <w:sz w:val="24"/>
                <w:szCs w:val="24"/>
                <w:highlight w:val="none"/>
                <w:lang w:val="en-US" w:eastAsia="zh-CN"/>
              </w:rPr>
              <w:t>集中</w:t>
            </w:r>
            <w:r>
              <w:rPr>
                <w:rFonts w:hint="eastAsia" w:ascii="宋体" w:hAnsi="宋体" w:eastAsia="宋体" w:cs="宋体"/>
                <w:color w:val="auto"/>
                <w:sz w:val="24"/>
                <w:szCs w:val="24"/>
                <w:highlight w:val="none"/>
              </w:rPr>
              <w:t>的人力、物力投入安排,</w:t>
            </w:r>
            <w:r>
              <w:rPr>
                <w:rFonts w:hint="eastAsia" w:ascii="宋体" w:hAnsi="宋体" w:eastAsia="宋体" w:cs="宋体"/>
                <w:color w:val="auto"/>
                <w:sz w:val="24"/>
                <w:szCs w:val="24"/>
                <w:highlight w:val="none"/>
                <w:lang w:val="en-US" w:eastAsia="zh-CN"/>
              </w:rPr>
              <w:t>是否有统一完善合理的</w:t>
            </w:r>
            <w:r>
              <w:rPr>
                <w:rFonts w:hint="eastAsia" w:ascii="宋体" w:hAnsi="宋体" w:eastAsia="宋体" w:cs="宋体"/>
                <w:b w:val="0"/>
                <w:bCs w:val="0"/>
                <w:color w:val="auto"/>
                <w:sz w:val="24"/>
                <w:szCs w:val="24"/>
                <w:highlight w:val="none"/>
              </w:rPr>
              <w:t>职业培训制度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人员考核制度</w:t>
            </w:r>
            <w:r>
              <w:rPr>
                <w:rFonts w:hint="eastAsia" w:ascii="宋体" w:hAnsi="宋体" w:eastAsia="宋体" w:cs="宋体"/>
                <w:b w:val="0"/>
                <w:bCs w:val="0"/>
                <w:color w:val="auto"/>
                <w:sz w:val="24"/>
                <w:szCs w:val="24"/>
                <w:highlight w:val="none"/>
                <w:lang w:val="en-US" w:eastAsia="zh-CN"/>
              </w:rPr>
              <w:t>和</w:t>
            </w:r>
            <w:r>
              <w:rPr>
                <w:rFonts w:hint="eastAsia" w:ascii="宋体" w:hAnsi="宋体" w:eastAsia="宋体" w:cs="宋体"/>
                <w:b w:val="0"/>
                <w:bCs w:val="0"/>
                <w:color w:val="auto"/>
                <w:sz w:val="24"/>
                <w:szCs w:val="24"/>
                <w:highlight w:val="none"/>
              </w:rPr>
              <w:t>执业质量控制制度</w:t>
            </w:r>
            <w:r>
              <w:rPr>
                <w:rFonts w:hint="eastAsia" w:ascii="宋体" w:hAnsi="宋体" w:eastAsia="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lang w:eastAsia="zh-CN"/>
              </w:rPr>
              <w:t>，</w:t>
            </w:r>
            <w:r>
              <w:rPr>
                <w:rFonts w:hint="eastAsia" w:ascii="宋体" w:hAnsi="宋体" w:cs="宋体"/>
                <w:color w:val="auto"/>
                <w:sz w:val="24"/>
                <w:szCs w:val="24"/>
                <w:highlight w:val="none"/>
              </w:rPr>
              <w:t>能够避免风险或出现风险能及时有效处理的等</w:t>
            </w:r>
            <w:r>
              <w:rPr>
                <w:rFonts w:hint="eastAsia" w:ascii="宋体" w:hAnsi="宋体" w:cs="宋体"/>
                <w:color w:val="auto"/>
                <w:sz w:val="24"/>
                <w:szCs w:val="24"/>
                <w:highlight w:val="none"/>
                <w:lang w:val="en-US" w:eastAsia="zh-CN"/>
              </w:rPr>
              <w:t>综合评定。</w:t>
            </w:r>
            <w:r>
              <w:rPr>
                <w:rFonts w:hint="eastAsia" w:cs="Times New Roman" w:asciiTheme="minorEastAsia" w:hAnsiTheme="minorEastAsia" w:eastAsiaTheme="minorEastAsia"/>
                <w:color w:val="auto"/>
                <w:kern w:val="2"/>
                <w:sz w:val="24"/>
                <w:szCs w:val="24"/>
                <w:highlight w:val="none"/>
                <w:lang w:val="en-US" w:eastAsia="zh-CN" w:bidi="ar-SA"/>
              </w:rPr>
              <w:t>（本项分值设置为：5-4-3-2-1-0）</w:t>
            </w:r>
          </w:p>
        </w:tc>
        <w:tc>
          <w:tcPr>
            <w:tcW w:w="1095" w:type="dxa"/>
            <w:shd w:val="clear" w:color="auto" w:fill="FFFFFF"/>
            <w:noWrap w:val="0"/>
            <w:vAlign w:val="center"/>
          </w:tcPr>
          <w:p w14:paraId="5078C87F">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tc>
        <w:tc>
          <w:tcPr>
            <w:tcW w:w="779" w:type="dxa"/>
            <w:shd w:val="clear" w:color="auto" w:fill="FFFFFF"/>
            <w:noWrap w:val="0"/>
            <w:vAlign w:val="center"/>
          </w:tcPr>
          <w:p w14:paraId="49844818">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主观分</w:t>
            </w:r>
          </w:p>
        </w:tc>
      </w:tr>
      <w:tr w14:paraId="1324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35" w:type="dxa"/>
            <w:vMerge w:val="continue"/>
            <w:shd w:val="clear" w:color="auto" w:fill="FFFFFF"/>
            <w:noWrap w:val="0"/>
            <w:vAlign w:val="center"/>
          </w:tcPr>
          <w:p w14:paraId="34017DE2">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75525BD2">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6388" w:type="dxa"/>
            <w:gridSpan w:val="2"/>
            <w:shd w:val="clear" w:color="auto" w:fill="FFFFFF"/>
            <w:noWrap w:val="0"/>
            <w:vAlign w:val="center"/>
          </w:tcPr>
          <w:p w14:paraId="489B05B4">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内部管理情况：</w:t>
            </w:r>
          </w:p>
          <w:p w14:paraId="2A2C9D7E">
            <w:pPr>
              <w:pageBreakBefore w:val="0"/>
              <w:widowControl/>
              <w:kinsoku/>
              <w:wordWrap/>
              <w:overflowPunct/>
              <w:topLinePunct w:val="0"/>
              <w:bidi w:val="0"/>
              <w:adjustRightInd/>
              <w:spacing w:line="480" w:lineRule="exact"/>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内部管理制度和质量控制标准情况，是否具有相关规章制度和保障措施，</w:t>
            </w:r>
            <w:r>
              <w:rPr>
                <w:rFonts w:hint="eastAsia" w:ascii="宋体" w:hAnsi="宋体" w:cs="宋体"/>
                <w:color w:val="auto"/>
                <w:sz w:val="24"/>
                <w:szCs w:val="24"/>
                <w:highlight w:val="none"/>
                <w:lang w:val="en-US" w:eastAsia="zh-CN"/>
              </w:rPr>
              <w:t>是否落实有</w:t>
            </w:r>
            <w:r>
              <w:rPr>
                <w:rFonts w:hint="eastAsia" w:ascii="宋体" w:hAnsi="宋体" w:cs="宋体"/>
                <w:color w:val="auto"/>
                <w:sz w:val="24"/>
                <w:szCs w:val="24"/>
                <w:highlight w:val="none"/>
              </w:rPr>
              <w:t>统一管理的</w:t>
            </w:r>
            <w:r>
              <w:rPr>
                <w:rFonts w:hint="eastAsia" w:ascii="宋体" w:hAnsi="宋体" w:cs="宋体"/>
                <w:color w:val="auto"/>
                <w:sz w:val="24"/>
                <w:szCs w:val="24"/>
                <w:highlight w:val="none"/>
                <w:lang w:val="en-US" w:eastAsia="zh-CN"/>
              </w:rPr>
              <w:t>集约</w:t>
            </w:r>
            <w:r>
              <w:rPr>
                <w:rFonts w:hint="eastAsia" w:ascii="宋体" w:hAnsi="宋体" w:cs="宋体"/>
                <w:color w:val="auto"/>
                <w:sz w:val="24"/>
                <w:szCs w:val="24"/>
                <w:highlight w:val="none"/>
              </w:rPr>
              <w:t>化管理机制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视制度和措施的详细、优秀情况评价。</w:t>
            </w:r>
            <w:r>
              <w:rPr>
                <w:rFonts w:hint="eastAsia" w:cs="Times New Roman" w:asciiTheme="minorEastAsia" w:hAnsiTheme="minorEastAsia" w:eastAsiaTheme="minorEastAsia"/>
                <w:color w:val="auto"/>
                <w:kern w:val="2"/>
                <w:sz w:val="24"/>
                <w:szCs w:val="24"/>
                <w:highlight w:val="none"/>
                <w:lang w:val="en-US" w:eastAsia="zh-CN" w:bidi="ar-SA"/>
              </w:rPr>
              <w:t>（本项分值设置为：5-4-3-2-1-0）</w:t>
            </w:r>
          </w:p>
          <w:p w14:paraId="748BA8B6">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实行信息化管理等情况：视公司信息化管理程度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管理是否科学合理等</w:t>
            </w:r>
            <w:r>
              <w:rPr>
                <w:rFonts w:hint="eastAsia" w:ascii="宋体" w:hAnsi="宋体" w:cs="宋体"/>
                <w:color w:val="auto"/>
                <w:sz w:val="24"/>
                <w:szCs w:val="24"/>
                <w:highlight w:val="none"/>
              </w:rPr>
              <w:t>评价。</w:t>
            </w:r>
            <w:r>
              <w:rPr>
                <w:rFonts w:hint="eastAsia" w:cs="Times New Roman" w:asciiTheme="minorEastAsia" w:hAnsiTheme="minorEastAsia" w:eastAsiaTheme="minorEastAsia"/>
                <w:color w:val="auto"/>
                <w:kern w:val="2"/>
                <w:sz w:val="24"/>
                <w:szCs w:val="24"/>
                <w:highlight w:val="none"/>
                <w:lang w:val="en-US" w:eastAsia="zh-CN" w:bidi="ar-SA"/>
              </w:rPr>
              <w:t>（本项分值设置为：5-4-3-2-1-0）</w:t>
            </w:r>
          </w:p>
        </w:tc>
        <w:tc>
          <w:tcPr>
            <w:tcW w:w="1095" w:type="dxa"/>
            <w:shd w:val="clear" w:color="auto" w:fill="FFFFFF"/>
            <w:noWrap w:val="0"/>
            <w:vAlign w:val="center"/>
          </w:tcPr>
          <w:p w14:paraId="1E47C72B">
            <w:pPr>
              <w:pageBreakBefore w:val="0"/>
              <w:widowControl/>
              <w:kinsoku/>
              <w:wordWrap/>
              <w:overflowPunct/>
              <w:topLinePunct w:val="0"/>
              <w:bidi w:val="0"/>
              <w:adjustRightInd/>
              <w:spacing w:line="48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0-10分</w:t>
            </w:r>
          </w:p>
        </w:tc>
        <w:tc>
          <w:tcPr>
            <w:tcW w:w="779" w:type="dxa"/>
            <w:shd w:val="clear" w:color="auto" w:fill="FFFFFF"/>
            <w:noWrap w:val="0"/>
            <w:vAlign w:val="center"/>
          </w:tcPr>
          <w:p w14:paraId="73501C1D">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主观分</w:t>
            </w:r>
          </w:p>
        </w:tc>
      </w:tr>
      <w:tr w14:paraId="64AF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3" w:hRule="atLeast"/>
          <w:jc w:val="center"/>
        </w:trPr>
        <w:tc>
          <w:tcPr>
            <w:tcW w:w="535" w:type="dxa"/>
            <w:vMerge w:val="continue"/>
            <w:shd w:val="clear" w:color="auto" w:fill="FFFFFF"/>
            <w:noWrap w:val="0"/>
            <w:vAlign w:val="center"/>
          </w:tcPr>
          <w:p w14:paraId="587C8DDF">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57EF10F3">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6388" w:type="dxa"/>
            <w:gridSpan w:val="2"/>
            <w:shd w:val="clear" w:color="auto" w:fill="FFFFFF"/>
            <w:noWrap w:val="0"/>
            <w:vAlign w:val="center"/>
          </w:tcPr>
          <w:p w14:paraId="3ADDB879">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根据投标人提供的现场清障，车辆施救、拖移及扣留车辆停放管理服务方案进行评价:</w:t>
            </w:r>
          </w:p>
          <w:p w14:paraId="26F826CC">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方案</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具有针对性,有信息化管理平台可操作性规划的，</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根据项目需求情况提出详细、具体、明确的服务流程、服务方式方法、服务效果、服务成果、服务验收等，</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阐述服务方案场景应用等功能描述的等</w:t>
            </w:r>
            <w:r>
              <w:rPr>
                <w:rFonts w:hint="eastAsia" w:ascii="宋体" w:hAnsi="宋体" w:cs="宋体"/>
                <w:color w:val="auto"/>
                <w:sz w:val="24"/>
                <w:szCs w:val="24"/>
                <w:highlight w:val="none"/>
                <w:lang w:val="en-US" w:eastAsia="zh-CN"/>
              </w:rPr>
              <w:t>综合评定。</w:t>
            </w:r>
            <w:r>
              <w:rPr>
                <w:rFonts w:hint="eastAsia" w:cs="Times New Roman" w:asciiTheme="minorEastAsia" w:hAnsiTheme="minorEastAsia" w:eastAsiaTheme="minorEastAsia"/>
                <w:color w:val="auto"/>
                <w:kern w:val="2"/>
                <w:sz w:val="24"/>
                <w:szCs w:val="24"/>
                <w:highlight w:val="none"/>
                <w:lang w:val="en-US" w:eastAsia="zh-CN" w:bidi="ar-SA"/>
              </w:rPr>
              <w:t>（本项分值设置为：4-3-2-1-0）</w:t>
            </w:r>
          </w:p>
        </w:tc>
        <w:tc>
          <w:tcPr>
            <w:tcW w:w="1095" w:type="dxa"/>
            <w:shd w:val="clear" w:color="auto" w:fill="FFFFFF"/>
            <w:noWrap w:val="0"/>
            <w:vAlign w:val="center"/>
          </w:tcPr>
          <w:p w14:paraId="3F16510B">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tc>
        <w:tc>
          <w:tcPr>
            <w:tcW w:w="779" w:type="dxa"/>
            <w:shd w:val="clear" w:color="auto" w:fill="FFFFFF"/>
            <w:noWrap w:val="0"/>
            <w:vAlign w:val="center"/>
          </w:tcPr>
          <w:p w14:paraId="0B86C4E9">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主观分</w:t>
            </w:r>
          </w:p>
        </w:tc>
      </w:tr>
      <w:tr w14:paraId="6257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35" w:type="dxa"/>
            <w:vMerge w:val="continue"/>
            <w:shd w:val="clear" w:color="auto" w:fill="FFFFFF"/>
            <w:noWrap w:val="0"/>
            <w:vAlign w:val="center"/>
          </w:tcPr>
          <w:p w14:paraId="00A248D9">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37B42A68">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6388" w:type="dxa"/>
            <w:gridSpan w:val="2"/>
            <w:shd w:val="clear" w:color="auto" w:fill="FFFFFF"/>
            <w:noWrap w:val="0"/>
            <w:vAlign w:val="center"/>
          </w:tcPr>
          <w:p w14:paraId="2A6E0378">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lang w:val="zh-CN"/>
              </w:rPr>
              <w:t>应急预案：根据</w:t>
            </w:r>
            <w:r>
              <w:rPr>
                <w:rFonts w:hint="eastAsia" w:ascii="宋体" w:hAnsi="宋体" w:cs="宋体"/>
                <w:color w:val="auto"/>
                <w:sz w:val="24"/>
                <w:szCs w:val="24"/>
                <w:highlight w:val="none"/>
              </w:rPr>
              <w:t>拖移保管服务的特殊要求</w:t>
            </w:r>
            <w:r>
              <w:rPr>
                <w:rFonts w:hint="eastAsia" w:ascii="宋体" w:hAnsi="宋体" w:cs="宋体"/>
                <w:color w:val="auto"/>
                <w:sz w:val="24"/>
                <w:szCs w:val="24"/>
                <w:highlight w:val="none"/>
                <w:lang w:val="zh-CN"/>
              </w:rPr>
              <w:t>，提出应急情况，包括设备在发生紧急情况下的应急预案以及当服务人员不足或需要调整更换时的详细应急预案是否全面性、合理性、周密性、可操作性等方面</w:t>
            </w:r>
            <w:r>
              <w:rPr>
                <w:rFonts w:hint="eastAsia" w:ascii="宋体" w:hAnsi="宋体" w:cs="宋体"/>
                <w:color w:val="auto"/>
                <w:sz w:val="24"/>
                <w:szCs w:val="24"/>
                <w:highlight w:val="none"/>
                <w:lang w:val="en-US" w:eastAsia="zh-CN"/>
              </w:rPr>
              <w:t>综合评定。</w:t>
            </w:r>
            <w:r>
              <w:rPr>
                <w:rFonts w:hint="eastAsia" w:cs="Times New Roman" w:asciiTheme="minorEastAsia" w:hAnsiTheme="minorEastAsia" w:eastAsiaTheme="minorEastAsia"/>
                <w:color w:val="auto"/>
                <w:kern w:val="2"/>
                <w:sz w:val="24"/>
                <w:szCs w:val="24"/>
                <w:highlight w:val="none"/>
                <w:lang w:val="en-US" w:eastAsia="zh-CN" w:bidi="ar-SA"/>
              </w:rPr>
              <w:t>（本项分值设置为：4-3-2-1-0）</w:t>
            </w:r>
          </w:p>
        </w:tc>
        <w:tc>
          <w:tcPr>
            <w:tcW w:w="1095" w:type="dxa"/>
            <w:shd w:val="clear" w:color="auto" w:fill="FFFFFF"/>
            <w:noWrap w:val="0"/>
            <w:vAlign w:val="center"/>
          </w:tcPr>
          <w:p w14:paraId="6E19D2FB">
            <w:pPr>
              <w:pageBreakBefore w:val="0"/>
              <w:widowControl/>
              <w:kinsoku/>
              <w:wordWrap/>
              <w:overflowPunct/>
              <w:topLinePunct w:val="0"/>
              <w:bidi w:val="0"/>
              <w:adjustRightInd/>
              <w:spacing w:line="480" w:lineRule="exact"/>
              <w:jc w:val="both"/>
              <w:rPr>
                <w:rFonts w:hint="eastAsia" w:ascii="宋体" w:hAnsi="宋体" w:cs="宋体"/>
                <w:color w:val="auto"/>
                <w:kern w:val="0"/>
                <w:sz w:val="24"/>
                <w:szCs w:val="24"/>
                <w:highlight w:val="none"/>
              </w:rPr>
            </w:pPr>
          </w:p>
          <w:p w14:paraId="4B3DB149">
            <w:pPr>
              <w:pageBreakBefore w:val="0"/>
              <w:widowControl/>
              <w:kinsoku/>
              <w:wordWrap/>
              <w:overflowPunct/>
              <w:topLinePunct w:val="0"/>
              <w:bidi w:val="0"/>
              <w:adjustRightInd/>
              <w:spacing w:line="48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0-4分</w:t>
            </w:r>
          </w:p>
        </w:tc>
        <w:tc>
          <w:tcPr>
            <w:tcW w:w="779" w:type="dxa"/>
            <w:shd w:val="clear" w:color="auto" w:fill="FFFFFF"/>
            <w:noWrap w:val="0"/>
            <w:vAlign w:val="center"/>
          </w:tcPr>
          <w:p w14:paraId="632562B9">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主观分</w:t>
            </w:r>
          </w:p>
        </w:tc>
      </w:tr>
      <w:tr w14:paraId="2E9A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21" w:hRule="atLeast"/>
          <w:jc w:val="center"/>
        </w:trPr>
        <w:tc>
          <w:tcPr>
            <w:tcW w:w="535" w:type="dxa"/>
            <w:vMerge w:val="continue"/>
            <w:shd w:val="clear" w:color="auto" w:fill="FFFFFF"/>
            <w:noWrap w:val="0"/>
            <w:vAlign w:val="center"/>
          </w:tcPr>
          <w:p w14:paraId="4439D66D">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26C273AA">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6388" w:type="dxa"/>
            <w:gridSpan w:val="2"/>
            <w:shd w:val="clear" w:color="auto" w:fill="FFFFFF"/>
            <w:noWrap w:val="0"/>
            <w:vAlign w:val="center"/>
          </w:tcPr>
          <w:p w14:paraId="747E67B7">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lang w:val="zh-CN"/>
              </w:rPr>
              <w:t>保证进度和项目完成的方案和措施是否具有详细、科学、合理的培训计划、培训内容、时间段等情况</w:t>
            </w:r>
            <w:r>
              <w:rPr>
                <w:rFonts w:hint="eastAsia" w:ascii="宋体" w:hAnsi="宋体" w:cs="宋体"/>
                <w:color w:val="auto"/>
                <w:sz w:val="24"/>
                <w:szCs w:val="24"/>
                <w:highlight w:val="none"/>
                <w:lang w:val="en-US" w:eastAsia="zh-CN"/>
              </w:rPr>
              <w:t>综合评定。</w:t>
            </w:r>
            <w:r>
              <w:rPr>
                <w:rFonts w:hint="eastAsia" w:cs="Times New Roman" w:asciiTheme="minorEastAsia" w:hAnsiTheme="minorEastAsia" w:eastAsiaTheme="minorEastAsia"/>
                <w:color w:val="auto"/>
                <w:kern w:val="2"/>
                <w:sz w:val="24"/>
                <w:szCs w:val="24"/>
                <w:highlight w:val="none"/>
                <w:lang w:val="en-US" w:eastAsia="zh-CN" w:bidi="ar-SA"/>
              </w:rPr>
              <w:t>（本项分值设置为：4-3-2-1-0）</w:t>
            </w:r>
          </w:p>
        </w:tc>
        <w:tc>
          <w:tcPr>
            <w:tcW w:w="1095" w:type="dxa"/>
            <w:shd w:val="clear" w:color="auto" w:fill="FFFFFF"/>
            <w:noWrap w:val="0"/>
            <w:vAlign w:val="center"/>
          </w:tcPr>
          <w:p w14:paraId="1EE9448E">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0-</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分</w:t>
            </w:r>
          </w:p>
        </w:tc>
        <w:tc>
          <w:tcPr>
            <w:tcW w:w="779" w:type="dxa"/>
            <w:shd w:val="clear" w:color="auto" w:fill="FFFFFF"/>
            <w:noWrap w:val="0"/>
            <w:vAlign w:val="center"/>
          </w:tcPr>
          <w:p w14:paraId="5A5D71CE">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主观分</w:t>
            </w:r>
          </w:p>
        </w:tc>
      </w:tr>
    </w:tbl>
    <w:p w14:paraId="10C31DE2">
      <w:pPr>
        <w:pageBreakBefore w:val="0"/>
        <w:kinsoku/>
        <w:wordWrap/>
        <w:overflowPunct/>
        <w:topLinePunct w:val="0"/>
        <w:bidi w:val="0"/>
        <w:adjustRightInd/>
        <w:spacing w:line="240" w:lineRule="auto"/>
        <w:rPr>
          <w:rFonts w:ascii="宋体" w:hAnsi="宋体" w:cs="宋体"/>
          <w:color w:val="auto"/>
          <w:sz w:val="24"/>
          <w:szCs w:val="24"/>
          <w:highlight w:val="none"/>
        </w:rPr>
      </w:pPr>
    </w:p>
    <w:p w14:paraId="1BEE02D6">
      <w:pPr>
        <w:pageBreakBefore w:val="0"/>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3.价格分（10分）</w:t>
      </w:r>
    </w:p>
    <w:tbl>
      <w:tblPr>
        <w:tblStyle w:val="62"/>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7205"/>
      </w:tblGrid>
      <w:tr w14:paraId="3A5C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14" w:type="dxa"/>
            <w:tcBorders>
              <w:top w:val="single" w:color="auto" w:sz="4" w:space="0"/>
              <w:left w:val="single" w:color="auto" w:sz="4" w:space="0"/>
              <w:bottom w:val="single" w:color="auto" w:sz="4" w:space="0"/>
              <w:right w:val="single" w:color="auto" w:sz="4" w:space="0"/>
            </w:tcBorders>
            <w:noWrap/>
            <w:vAlign w:val="center"/>
          </w:tcPr>
          <w:p w14:paraId="51ADD7D4">
            <w:pPr>
              <w:pageBreakBefore w:val="0"/>
              <w:widowControl/>
              <w:kinsoku/>
              <w:wordWrap/>
              <w:overflowPunct/>
              <w:topLinePunct w:val="0"/>
              <w:autoSpaceDE w:val="0"/>
              <w:autoSpaceDN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价格权值</w:t>
            </w:r>
          </w:p>
        </w:tc>
        <w:tc>
          <w:tcPr>
            <w:tcW w:w="7205" w:type="dxa"/>
            <w:tcBorders>
              <w:top w:val="single" w:color="auto" w:sz="4" w:space="0"/>
              <w:left w:val="single" w:color="auto" w:sz="4" w:space="0"/>
              <w:bottom w:val="single" w:color="auto" w:sz="4" w:space="0"/>
              <w:right w:val="single" w:color="auto" w:sz="4" w:space="0"/>
            </w:tcBorders>
            <w:noWrap/>
            <w:vAlign w:val="center"/>
          </w:tcPr>
          <w:p w14:paraId="4B7E5F61">
            <w:pPr>
              <w:pageBreakBefore w:val="0"/>
              <w:widowControl/>
              <w:kinsoku/>
              <w:wordWrap/>
              <w:overflowPunct/>
              <w:topLinePunct w:val="0"/>
              <w:autoSpaceDE w:val="0"/>
              <w:autoSpaceDN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计算方法</w:t>
            </w:r>
          </w:p>
        </w:tc>
      </w:tr>
      <w:tr w14:paraId="2403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4" w:type="dxa"/>
            <w:tcBorders>
              <w:top w:val="single" w:color="auto" w:sz="4" w:space="0"/>
              <w:left w:val="single" w:color="auto" w:sz="4" w:space="0"/>
              <w:bottom w:val="single" w:color="auto" w:sz="4" w:space="0"/>
              <w:right w:val="single" w:color="auto" w:sz="4" w:space="0"/>
            </w:tcBorders>
            <w:noWrap/>
            <w:vAlign w:val="center"/>
          </w:tcPr>
          <w:p w14:paraId="34DAC16D">
            <w:pPr>
              <w:pageBreakBefore w:val="0"/>
              <w:widowControl/>
              <w:kinsoku/>
              <w:wordWrap/>
              <w:overflowPunct/>
              <w:topLinePunct w:val="0"/>
              <w:autoSpaceDE w:val="0"/>
              <w:autoSpaceDN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价格权值=0.10</w:t>
            </w:r>
          </w:p>
        </w:tc>
        <w:tc>
          <w:tcPr>
            <w:tcW w:w="7205" w:type="dxa"/>
            <w:tcBorders>
              <w:top w:val="single" w:color="auto" w:sz="4" w:space="0"/>
              <w:left w:val="single" w:color="auto" w:sz="4" w:space="0"/>
              <w:bottom w:val="single" w:color="auto" w:sz="4" w:space="0"/>
              <w:right w:val="single" w:color="auto" w:sz="4" w:space="0"/>
            </w:tcBorders>
            <w:noWrap/>
            <w:vAlign w:val="center"/>
          </w:tcPr>
          <w:p w14:paraId="69071083">
            <w:pPr>
              <w:pageBreakBefore w:val="0"/>
              <w:widowControl/>
              <w:kinsoku/>
              <w:wordWrap/>
              <w:overflowPunct/>
              <w:topLinePunct w:val="0"/>
              <w:autoSpaceDE w:val="0"/>
              <w:autoSpaceDN w:val="0"/>
              <w:bidi w:val="0"/>
              <w:adjustRightInd/>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有效投标报价的最低价作为评标基准价，其最低报价为满分；</w:t>
            </w:r>
          </w:p>
          <w:p w14:paraId="5496DC56">
            <w:pPr>
              <w:pageBreakBefore w:val="0"/>
              <w:widowControl/>
              <w:kinsoku/>
              <w:wordWrap/>
              <w:overflowPunct/>
              <w:topLinePunct w:val="0"/>
              <w:autoSpaceDE w:val="0"/>
              <w:autoSpaceDN w:val="0"/>
              <w:bidi w:val="0"/>
              <w:adjustRightInd/>
              <w:spacing w:line="480" w:lineRule="exact"/>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投标报价得分=(评标基准价／投标报价)×价格权值×100；</w:t>
            </w:r>
          </w:p>
          <w:p w14:paraId="25392253">
            <w:pPr>
              <w:pageBreakBefore w:val="0"/>
              <w:widowControl/>
              <w:kinsoku/>
              <w:wordWrap/>
              <w:overflowPunct/>
              <w:topLinePunct w:val="0"/>
              <w:autoSpaceDE w:val="0"/>
              <w:autoSpaceDN w:val="0"/>
              <w:bidi w:val="0"/>
              <w:adjustRightInd/>
              <w:spacing w:line="480" w:lineRule="exact"/>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（计算得分保留小数点后2位）</w:t>
            </w:r>
          </w:p>
          <w:p w14:paraId="643708AF">
            <w:pPr>
              <w:pageBreakBefore w:val="0"/>
              <w:widowControl/>
              <w:kinsoku/>
              <w:wordWrap/>
              <w:overflowPunct/>
              <w:topLinePunct w:val="0"/>
              <w:autoSpaceDE w:val="0"/>
              <w:autoSpaceDN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评标过程中，不得去掉报价中的最高报价和最低报价。</w:t>
            </w:r>
          </w:p>
        </w:tc>
      </w:tr>
    </w:tbl>
    <w:p w14:paraId="42DD4CC0">
      <w:pPr>
        <w:pageBreakBefore w:val="0"/>
        <w:widowControl/>
        <w:kinsoku/>
        <w:wordWrap/>
        <w:overflowPunct/>
        <w:topLinePunct w:val="0"/>
        <w:bidi w:val="0"/>
        <w:adjustRightInd/>
        <w:spacing w:line="48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标项</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rPr>
        <w:t>：萧山区南片道路交通违法(事故)现场清障、施救及涉案车辆停放管理等服务</w:t>
      </w:r>
    </w:p>
    <w:p w14:paraId="04E957B7">
      <w:pPr>
        <w:pageBreakBefore w:val="0"/>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商务资信（7分）</w:t>
      </w:r>
    </w:p>
    <w:tbl>
      <w:tblPr>
        <w:tblStyle w:val="62"/>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367"/>
        <w:gridCol w:w="6037"/>
        <w:gridCol w:w="887"/>
        <w:gridCol w:w="1446"/>
      </w:tblGrid>
      <w:tr w14:paraId="6A52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noWrap w:val="0"/>
            <w:vAlign w:val="center"/>
          </w:tcPr>
          <w:p w14:paraId="5518E896">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6404" w:type="dxa"/>
            <w:gridSpan w:val="2"/>
            <w:noWrap w:val="0"/>
            <w:vAlign w:val="center"/>
          </w:tcPr>
          <w:p w14:paraId="7678235C">
            <w:pPr>
              <w:pageBreakBefore w:val="0"/>
              <w:widowControl/>
              <w:kinsoku/>
              <w:wordWrap/>
              <w:overflowPunct/>
              <w:topLinePunct w:val="0"/>
              <w:bidi w:val="0"/>
              <w:adjustRightInd/>
              <w:spacing w:line="480" w:lineRule="exact"/>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评分内容和标准</w:t>
            </w:r>
          </w:p>
        </w:tc>
        <w:tc>
          <w:tcPr>
            <w:tcW w:w="887" w:type="dxa"/>
            <w:noWrap w:val="0"/>
            <w:vAlign w:val="center"/>
          </w:tcPr>
          <w:p w14:paraId="735FB876">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分值区间</w:t>
            </w:r>
          </w:p>
        </w:tc>
        <w:tc>
          <w:tcPr>
            <w:tcW w:w="1446" w:type="dxa"/>
            <w:noWrap w:val="0"/>
            <w:vAlign w:val="center"/>
          </w:tcPr>
          <w:p w14:paraId="2DCC4F6B">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主客观分</w:t>
            </w:r>
          </w:p>
        </w:tc>
      </w:tr>
      <w:tr w14:paraId="2E5E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92" w:type="dxa"/>
            <w:vMerge w:val="restart"/>
            <w:noWrap w:val="0"/>
            <w:vAlign w:val="center"/>
          </w:tcPr>
          <w:p w14:paraId="0EB34A81">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商务资信分（</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p>
        </w:tc>
        <w:tc>
          <w:tcPr>
            <w:tcW w:w="367" w:type="dxa"/>
            <w:noWrap w:val="0"/>
            <w:vAlign w:val="center"/>
          </w:tcPr>
          <w:p w14:paraId="0B6D937F">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6037" w:type="dxa"/>
            <w:noWrap w:val="0"/>
            <w:vAlign w:val="center"/>
          </w:tcPr>
          <w:p w14:paraId="1B5E0FB4">
            <w:pPr>
              <w:pageBreakBefore w:val="0"/>
              <w:widowControl/>
              <w:kinsoku/>
              <w:wordWrap/>
              <w:overflowPunct/>
              <w:topLinePunct w:val="0"/>
              <w:bidi w:val="0"/>
              <w:adjustRightInd/>
              <w:spacing w:line="4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投标人具有：质量管理体系证书、环境管理体系证书、职业健康安全管理体系证书的（证书须在有效期内），每个得2分，最高得</w:t>
            </w:r>
            <w:r>
              <w:rPr>
                <w:rFonts w:hint="eastAsia" w:ascii="宋体" w:hAnsi="宋体" w:cs="宋体"/>
                <w:b w:val="0"/>
                <w:bCs w:val="0"/>
                <w:color w:val="auto"/>
                <w:sz w:val="24"/>
                <w:szCs w:val="24"/>
                <w:highlight w:val="none"/>
              </w:rPr>
              <w:t>6分。</w:t>
            </w:r>
            <w:r>
              <w:rPr>
                <w:rFonts w:hint="eastAsia" w:ascii="宋体" w:hAnsi="宋体" w:cs="宋体"/>
                <w:b w:val="0"/>
                <w:bCs w:val="0"/>
                <w:color w:val="auto"/>
                <w:sz w:val="24"/>
                <w:szCs w:val="24"/>
                <w:highlight w:val="none"/>
                <w:lang w:eastAsia="zh-CN"/>
              </w:rPr>
              <w:t>（投标文件中提供在有效期内的认证证书复印件加盖投标人公章和全国认证认可信息公共服务平台（</w:t>
            </w:r>
            <w:r>
              <w:rPr>
                <w:rFonts w:hint="eastAsia" w:ascii="宋体" w:hAnsi="宋体" w:cs="宋体"/>
                <w:b w:val="0"/>
                <w:bCs w:val="0"/>
                <w:color w:val="auto"/>
                <w:sz w:val="24"/>
                <w:szCs w:val="24"/>
                <w:highlight w:val="none"/>
                <w:lang w:val="en-US" w:eastAsia="zh-CN"/>
              </w:rPr>
              <w:t>www.cnca.gov.cn</w:t>
            </w:r>
            <w:r>
              <w:rPr>
                <w:rFonts w:hint="eastAsia" w:ascii="宋体" w:hAnsi="宋体" w:cs="宋体"/>
                <w:b w:val="0"/>
                <w:bCs w:val="0"/>
                <w:color w:val="auto"/>
                <w:sz w:val="24"/>
                <w:szCs w:val="24"/>
                <w:highlight w:val="none"/>
                <w:lang w:eastAsia="zh-CN"/>
              </w:rPr>
              <w:t>）网页查询“有效”截图）</w:t>
            </w:r>
          </w:p>
        </w:tc>
        <w:tc>
          <w:tcPr>
            <w:tcW w:w="887" w:type="dxa"/>
            <w:noWrap w:val="0"/>
            <w:vAlign w:val="center"/>
          </w:tcPr>
          <w:p w14:paraId="7E93C1E5">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0-6分</w:t>
            </w:r>
          </w:p>
        </w:tc>
        <w:tc>
          <w:tcPr>
            <w:tcW w:w="1446" w:type="dxa"/>
            <w:noWrap w:val="0"/>
            <w:vAlign w:val="center"/>
          </w:tcPr>
          <w:p w14:paraId="30379EC3">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客观分</w:t>
            </w:r>
          </w:p>
        </w:tc>
      </w:tr>
      <w:tr w14:paraId="3DD0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92" w:type="dxa"/>
            <w:vMerge w:val="continue"/>
            <w:noWrap w:val="0"/>
            <w:vAlign w:val="top"/>
          </w:tcPr>
          <w:p w14:paraId="3EE709AA">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p>
        </w:tc>
        <w:tc>
          <w:tcPr>
            <w:tcW w:w="367" w:type="dxa"/>
            <w:noWrap w:val="0"/>
            <w:vAlign w:val="center"/>
          </w:tcPr>
          <w:p w14:paraId="21FD854F">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6037" w:type="dxa"/>
            <w:noWrap w:val="0"/>
            <w:vAlign w:val="center"/>
          </w:tcPr>
          <w:p w14:paraId="2C6EE960">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管理经验：投标人202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年1月1日（以合同签订时间为准）以来承担过的类似业绩进行评价；每个业绩得1分，最高得1分。</w:t>
            </w:r>
          </w:p>
          <w:p w14:paraId="65966134">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注：（1）类似业绩是指签订过类似车辆施救等服务工作的项目；</w:t>
            </w:r>
          </w:p>
          <w:p w14:paraId="6F3CF30C">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（2）投标人需提供业绩的采购合同扫描件证明材料，否则不计分。</w:t>
            </w:r>
          </w:p>
        </w:tc>
        <w:tc>
          <w:tcPr>
            <w:tcW w:w="887" w:type="dxa"/>
            <w:noWrap w:val="0"/>
            <w:vAlign w:val="center"/>
          </w:tcPr>
          <w:p w14:paraId="76D7629F">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0-1分</w:t>
            </w:r>
          </w:p>
        </w:tc>
        <w:tc>
          <w:tcPr>
            <w:tcW w:w="1446" w:type="dxa"/>
            <w:noWrap w:val="0"/>
            <w:vAlign w:val="center"/>
          </w:tcPr>
          <w:p w14:paraId="7676F1A7">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客观分</w:t>
            </w:r>
          </w:p>
        </w:tc>
      </w:tr>
    </w:tbl>
    <w:p w14:paraId="2E6D0B12">
      <w:pPr>
        <w:pageBreakBefore w:val="0"/>
        <w:kinsoku/>
        <w:wordWrap/>
        <w:overflowPunct/>
        <w:topLinePunct w:val="0"/>
        <w:bidi w:val="0"/>
        <w:adjustRightInd/>
        <w:spacing w:line="480" w:lineRule="exact"/>
        <w:rPr>
          <w:rFonts w:ascii="宋体" w:hAnsi="宋体" w:cs="宋体"/>
          <w:color w:val="auto"/>
          <w:sz w:val="24"/>
          <w:szCs w:val="24"/>
          <w:highlight w:val="none"/>
        </w:rPr>
      </w:pPr>
    </w:p>
    <w:p w14:paraId="19517CA5">
      <w:pPr>
        <w:pageBreakBefore w:val="0"/>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2、技术部分（83分）</w:t>
      </w:r>
    </w:p>
    <w:tbl>
      <w:tblPr>
        <w:tblStyle w:val="62"/>
        <w:tblpPr w:leftFromText="180" w:rightFromText="180" w:vertAnchor="text" w:horzAnchor="page" w:tblpXSpec="center" w:tblpY="307"/>
        <w:tblOverlap w:val="never"/>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35"/>
        <w:gridCol w:w="624"/>
        <w:gridCol w:w="3037"/>
        <w:gridCol w:w="3394"/>
        <w:gridCol w:w="831"/>
        <w:gridCol w:w="1000"/>
      </w:tblGrid>
      <w:tr w14:paraId="0D7B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17" w:hRule="atLeast"/>
          <w:jc w:val="center"/>
        </w:trPr>
        <w:tc>
          <w:tcPr>
            <w:tcW w:w="535" w:type="dxa"/>
            <w:shd w:val="clear" w:color="auto" w:fill="FFFFFF"/>
            <w:noWrap w:val="0"/>
            <w:vAlign w:val="center"/>
          </w:tcPr>
          <w:p w14:paraId="6B67CE4E">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3661" w:type="dxa"/>
            <w:gridSpan w:val="2"/>
            <w:shd w:val="clear" w:color="auto" w:fill="FFFFFF"/>
            <w:noWrap w:val="0"/>
            <w:vAlign w:val="center"/>
          </w:tcPr>
          <w:p w14:paraId="03063228">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评分内容和标准</w:t>
            </w:r>
          </w:p>
        </w:tc>
        <w:tc>
          <w:tcPr>
            <w:tcW w:w="3394" w:type="dxa"/>
            <w:shd w:val="clear" w:color="auto" w:fill="FFFFFF"/>
            <w:noWrap w:val="0"/>
            <w:vAlign w:val="center"/>
          </w:tcPr>
          <w:p w14:paraId="47976DAD">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具体描述</w:t>
            </w:r>
          </w:p>
        </w:tc>
        <w:tc>
          <w:tcPr>
            <w:tcW w:w="831" w:type="dxa"/>
            <w:shd w:val="clear" w:color="auto" w:fill="FFFFFF"/>
            <w:noWrap w:val="0"/>
            <w:vAlign w:val="center"/>
          </w:tcPr>
          <w:p w14:paraId="6759D15B">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分值区间</w:t>
            </w:r>
          </w:p>
        </w:tc>
        <w:tc>
          <w:tcPr>
            <w:tcW w:w="1000" w:type="dxa"/>
            <w:shd w:val="clear" w:color="auto" w:fill="FFFFFF"/>
            <w:noWrap w:val="0"/>
            <w:vAlign w:val="center"/>
          </w:tcPr>
          <w:p w14:paraId="77F64820">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主客观分</w:t>
            </w:r>
          </w:p>
        </w:tc>
      </w:tr>
      <w:tr w14:paraId="4EDD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2" w:hRule="atLeast"/>
          <w:jc w:val="center"/>
        </w:trPr>
        <w:tc>
          <w:tcPr>
            <w:tcW w:w="535" w:type="dxa"/>
            <w:vMerge w:val="restart"/>
            <w:shd w:val="clear" w:color="auto" w:fill="FFFFFF"/>
            <w:noWrap w:val="0"/>
            <w:vAlign w:val="center"/>
          </w:tcPr>
          <w:p w14:paraId="3C0604CB">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技术部分（</w:t>
            </w:r>
            <w:r>
              <w:rPr>
                <w:rFonts w:hint="eastAsia" w:ascii="宋体" w:hAnsi="宋体" w:cs="宋体"/>
                <w:color w:val="auto"/>
                <w:sz w:val="24"/>
                <w:szCs w:val="24"/>
                <w:highlight w:val="none"/>
                <w:lang w:val="en-US" w:eastAsia="zh-CN"/>
              </w:rPr>
              <w:t>83</w:t>
            </w:r>
            <w:r>
              <w:rPr>
                <w:rFonts w:hint="eastAsia" w:ascii="宋体" w:hAnsi="宋体" w:cs="宋体"/>
                <w:color w:val="auto"/>
                <w:sz w:val="24"/>
                <w:szCs w:val="24"/>
                <w:highlight w:val="none"/>
              </w:rPr>
              <w:t>分）</w:t>
            </w:r>
          </w:p>
        </w:tc>
        <w:tc>
          <w:tcPr>
            <w:tcW w:w="624" w:type="dxa"/>
            <w:shd w:val="clear" w:color="auto" w:fill="FFFFFF"/>
            <w:noWrap w:val="0"/>
            <w:vAlign w:val="center"/>
          </w:tcPr>
          <w:p w14:paraId="50A2D824">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6431" w:type="dxa"/>
            <w:gridSpan w:val="2"/>
            <w:shd w:val="clear" w:color="auto" w:fill="FFFFFF"/>
            <w:noWrap w:val="0"/>
            <w:vAlign w:val="center"/>
          </w:tcPr>
          <w:p w14:paraId="05873854">
            <w:pPr>
              <w:pageBreakBefore w:val="0"/>
              <w:widowControl/>
              <w:kinsoku/>
              <w:wordWrap/>
              <w:overflowPunct/>
              <w:topLinePunct w:val="0"/>
              <w:bidi w:val="0"/>
              <w:adjustRightInd/>
              <w:spacing w:line="480" w:lineRule="exact"/>
              <w:rPr>
                <w:rFonts w:ascii="宋体" w:hAnsi="宋体" w:cs="宋体"/>
                <w:color w:val="auto"/>
                <w:sz w:val="24"/>
                <w:szCs w:val="24"/>
                <w:highlight w:val="none"/>
                <w:lang w:val="zh-CN"/>
              </w:rPr>
            </w:pPr>
            <w:r>
              <w:rPr>
                <w:rFonts w:hint="eastAsia" w:ascii="宋体" w:hAnsi="宋体" w:cs="宋体"/>
                <w:color w:val="auto"/>
                <w:sz w:val="24"/>
                <w:szCs w:val="24"/>
                <w:highlight w:val="none"/>
              </w:rPr>
              <w:t>1.投标人配备的车辆保管场地的为自有的，每一处得1分，最高得4分；已租赁的，每一处得0.5分，最高得2分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eastAsia="zh-CN"/>
              </w:rPr>
              <w:t>提供车辆保管场地是否实际运行的情况说明</w:t>
            </w:r>
            <w:r>
              <w:rPr>
                <w:rFonts w:hint="eastAsia" w:ascii="宋体" w:hAnsi="宋体" w:cs="宋体"/>
                <w:color w:val="auto"/>
                <w:sz w:val="24"/>
                <w:szCs w:val="24"/>
                <w:highlight w:val="none"/>
              </w:rPr>
              <w:t>。本项合计最高得4分。</w:t>
            </w:r>
            <w:r>
              <w:rPr>
                <w:rFonts w:ascii="宋体" w:hAnsi="宋体" w:cs="宋体"/>
                <w:color w:val="auto"/>
                <w:sz w:val="24"/>
                <w:szCs w:val="24"/>
                <w:highlight w:val="none"/>
              </w:rPr>
              <w:t>提供相关有效证明文件（自有产权证书</w:t>
            </w:r>
            <w:r>
              <w:rPr>
                <w:rFonts w:hint="eastAsia" w:ascii="宋体" w:hAnsi="宋体" w:cs="宋体"/>
                <w:color w:val="auto"/>
                <w:sz w:val="24"/>
                <w:szCs w:val="24"/>
                <w:highlight w:val="none"/>
              </w:rPr>
              <w:t>或租赁协议</w:t>
            </w:r>
            <w:r>
              <w:rPr>
                <w:rFonts w:hint="eastAsia" w:ascii="仿宋_GB2312" w:hAnsi="仿宋_GB2312" w:eastAsia="仿宋_GB2312" w:cs="仿宋_GB2312"/>
                <w:b w:val="0"/>
                <w:bCs w:val="0"/>
                <w:color w:val="auto"/>
                <w:sz w:val="24"/>
                <w:szCs w:val="24"/>
                <w:highlight w:val="none"/>
                <w:lang w:eastAsia="zh-CN"/>
              </w:rPr>
              <w:t>）</w:t>
            </w:r>
          </w:p>
          <w:p w14:paraId="42748B02">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实际可以停车占地总面积（各</w:t>
            </w:r>
            <w:r>
              <w:rPr>
                <w:rFonts w:hint="eastAsia" w:ascii="宋体" w:hAnsi="宋体" w:cs="宋体"/>
                <w:bCs/>
                <w:color w:val="auto"/>
                <w:sz w:val="24"/>
                <w:szCs w:val="24"/>
                <w:highlight w:val="none"/>
              </w:rPr>
              <w:t>保管场地占地</w:t>
            </w:r>
            <w:r>
              <w:rPr>
                <w:rFonts w:hint="eastAsia" w:ascii="宋体" w:hAnsi="宋体" w:cs="宋体"/>
                <w:color w:val="auto"/>
                <w:sz w:val="24"/>
                <w:szCs w:val="24"/>
                <w:highlight w:val="none"/>
                <w:lang w:val="zh-CN"/>
              </w:rPr>
              <w:t>面积之和）在</w:t>
            </w:r>
            <w:r>
              <w:rPr>
                <w:rFonts w:hint="eastAsia" w:ascii="宋体" w:hAnsi="宋体" w:cs="宋体"/>
                <w:color w:val="auto"/>
                <w:sz w:val="24"/>
                <w:szCs w:val="24"/>
                <w:highlight w:val="none"/>
              </w:rPr>
              <w:t>15</w:t>
            </w:r>
            <w:r>
              <w:rPr>
                <w:rFonts w:hint="eastAsia" w:ascii="宋体" w:hAnsi="宋体" w:cs="宋体"/>
                <w:color w:val="auto"/>
                <w:sz w:val="24"/>
                <w:szCs w:val="24"/>
                <w:highlight w:val="none"/>
                <w:lang w:val="zh-CN"/>
              </w:rPr>
              <w:t>00</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平方米到</w:t>
            </w:r>
            <w:r>
              <w:rPr>
                <w:rFonts w:hint="eastAsia" w:ascii="宋体" w:hAnsi="宋体" w:cs="宋体"/>
                <w:color w:val="auto"/>
                <w:sz w:val="24"/>
                <w:szCs w:val="24"/>
                <w:highlight w:val="none"/>
              </w:rPr>
              <w:t>18000</w:t>
            </w:r>
            <w:r>
              <w:rPr>
                <w:rFonts w:hint="eastAsia" w:ascii="宋体" w:hAnsi="宋体" w:cs="宋体"/>
                <w:color w:val="auto"/>
                <w:sz w:val="24"/>
                <w:szCs w:val="24"/>
                <w:highlight w:val="none"/>
                <w:lang w:val="zh-CN"/>
              </w:rPr>
              <w:t>平方米的，</w:t>
            </w:r>
            <w:r>
              <w:rPr>
                <w:rFonts w:hint="eastAsia" w:ascii="宋体" w:hAnsi="宋体" w:cs="宋体"/>
                <w:color w:val="auto"/>
                <w:sz w:val="24"/>
                <w:szCs w:val="24"/>
                <w:highlight w:val="none"/>
              </w:rPr>
              <w:t>得1</w:t>
            </w:r>
            <w:r>
              <w:rPr>
                <w:rFonts w:hint="eastAsia" w:ascii="宋体" w:hAnsi="宋体" w:cs="宋体"/>
                <w:color w:val="auto"/>
                <w:sz w:val="24"/>
                <w:szCs w:val="24"/>
                <w:highlight w:val="none"/>
                <w:lang w:val="zh-CN"/>
              </w:rPr>
              <w:t>分，实际可以停车总面积面积在</w:t>
            </w: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00</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平方米到</w:t>
            </w:r>
            <w:r>
              <w:rPr>
                <w:rFonts w:hint="eastAsia" w:ascii="宋体" w:hAnsi="宋体" w:cs="宋体"/>
                <w:color w:val="auto"/>
                <w:sz w:val="24"/>
                <w:szCs w:val="24"/>
                <w:highlight w:val="none"/>
              </w:rPr>
              <w:t>21</w:t>
            </w:r>
            <w:r>
              <w:rPr>
                <w:rFonts w:hint="eastAsia" w:ascii="宋体" w:hAnsi="宋体" w:cs="宋体"/>
                <w:color w:val="auto"/>
                <w:sz w:val="24"/>
                <w:szCs w:val="24"/>
                <w:highlight w:val="none"/>
                <w:lang w:val="zh-CN"/>
              </w:rPr>
              <w:t>000平方</w:t>
            </w:r>
            <w:r>
              <w:rPr>
                <w:rFonts w:hint="eastAsia" w:ascii="宋体" w:hAnsi="宋体" w:cs="宋体"/>
                <w:color w:val="auto"/>
                <w:sz w:val="24"/>
                <w:szCs w:val="24"/>
                <w:highlight w:val="none"/>
              </w:rPr>
              <w:t>米得2分；</w:t>
            </w:r>
            <w:r>
              <w:rPr>
                <w:rFonts w:hint="eastAsia" w:ascii="宋体" w:hAnsi="宋体" w:cs="宋体"/>
                <w:color w:val="auto"/>
                <w:sz w:val="24"/>
                <w:szCs w:val="24"/>
                <w:highlight w:val="none"/>
                <w:lang w:val="zh-CN"/>
              </w:rPr>
              <w:t>实际可以停车总面积在</w:t>
            </w:r>
            <w:r>
              <w:rPr>
                <w:rFonts w:hint="eastAsia" w:ascii="宋体" w:hAnsi="宋体" w:cs="宋体"/>
                <w:color w:val="auto"/>
                <w:sz w:val="24"/>
                <w:szCs w:val="24"/>
                <w:highlight w:val="none"/>
              </w:rPr>
              <w:t>21</w:t>
            </w:r>
            <w:r>
              <w:rPr>
                <w:rFonts w:hint="eastAsia" w:ascii="宋体" w:hAnsi="宋体" w:cs="宋体"/>
                <w:color w:val="auto"/>
                <w:sz w:val="24"/>
                <w:szCs w:val="24"/>
                <w:highlight w:val="none"/>
                <w:lang w:val="zh-CN"/>
              </w:rPr>
              <w:t>00</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平方米到</w:t>
            </w:r>
            <w:r>
              <w:rPr>
                <w:rFonts w:hint="eastAsia" w:ascii="宋体" w:hAnsi="宋体" w:cs="宋体"/>
                <w:color w:val="auto"/>
                <w:sz w:val="24"/>
                <w:szCs w:val="24"/>
                <w:highlight w:val="none"/>
              </w:rPr>
              <w:t>240</w:t>
            </w:r>
            <w:r>
              <w:rPr>
                <w:rFonts w:hint="eastAsia" w:ascii="宋体" w:hAnsi="宋体" w:cs="宋体"/>
                <w:color w:val="auto"/>
                <w:sz w:val="24"/>
                <w:szCs w:val="24"/>
                <w:highlight w:val="none"/>
                <w:lang w:val="zh-CN"/>
              </w:rPr>
              <w:t>00平方</w:t>
            </w:r>
            <w:r>
              <w:rPr>
                <w:rFonts w:hint="eastAsia" w:ascii="宋体" w:hAnsi="宋体" w:cs="宋体"/>
                <w:color w:val="auto"/>
                <w:sz w:val="24"/>
                <w:szCs w:val="24"/>
                <w:highlight w:val="none"/>
              </w:rPr>
              <w:t>米得3分；</w:t>
            </w:r>
            <w:r>
              <w:rPr>
                <w:rFonts w:hint="eastAsia" w:ascii="宋体" w:hAnsi="宋体" w:cs="宋体"/>
                <w:color w:val="auto"/>
                <w:sz w:val="24"/>
                <w:szCs w:val="24"/>
                <w:highlight w:val="none"/>
                <w:lang w:val="zh-CN"/>
              </w:rPr>
              <w:t>实际可以停车总面积在</w:t>
            </w:r>
            <w:r>
              <w:rPr>
                <w:rFonts w:hint="eastAsia" w:ascii="宋体" w:hAnsi="宋体" w:cs="宋体"/>
                <w:color w:val="auto"/>
                <w:sz w:val="24"/>
                <w:szCs w:val="24"/>
                <w:highlight w:val="none"/>
              </w:rPr>
              <w:t>24</w:t>
            </w:r>
            <w:r>
              <w:rPr>
                <w:rFonts w:hint="eastAsia" w:ascii="宋体" w:hAnsi="宋体" w:cs="宋体"/>
                <w:color w:val="auto"/>
                <w:sz w:val="24"/>
                <w:szCs w:val="24"/>
                <w:highlight w:val="none"/>
                <w:lang w:val="zh-CN"/>
              </w:rPr>
              <w:t>0</w:t>
            </w:r>
            <w:r>
              <w:rPr>
                <w:rFonts w:hint="eastAsia" w:ascii="宋体" w:hAnsi="宋体" w:cs="宋体"/>
                <w:color w:val="auto"/>
                <w:sz w:val="24"/>
                <w:szCs w:val="24"/>
                <w:highlight w:val="none"/>
              </w:rPr>
              <w:t>01</w:t>
            </w:r>
            <w:r>
              <w:rPr>
                <w:rFonts w:hint="eastAsia" w:ascii="宋体" w:hAnsi="宋体" w:cs="宋体"/>
                <w:color w:val="auto"/>
                <w:sz w:val="24"/>
                <w:szCs w:val="24"/>
                <w:highlight w:val="none"/>
                <w:lang w:val="zh-CN"/>
              </w:rPr>
              <w:t>平方米</w:t>
            </w:r>
            <w:r>
              <w:rPr>
                <w:rFonts w:hint="eastAsia" w:ascii="宋体" w:hAnsi="宋体" w:cs="宋体"/>
                <w:color w:val="auto"/>
                <w:sz w:val="24"/>
                <w:szCs w:val="24"/>
                <w:highlight w:val="none"/>
              </w:rPr>
              <w:t>以上得4分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zh-CN"/>
              </w:rPr>
              <w:t>1 亩</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666.67 平方米）、（需提供需求中要求的相应证明材料）</w:t>
            </w:r>
          </w:p>
          <w:p w14:paraId="335DB3DC">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3、保管场地停放车辆经当地人民政府准许，每一处得2分，最高得4分。（需提供所在地镇、街人民政府证明）</w:t>
            </w:r>
          </w:p>
        </w:tc>
        <w:tc>
          <w:tcPr>
            <w:tcW w:w="831" w:type="dxa"/>
            <w:shd w:val="clear" w:color="auto" w:fill="FFFFFF"/>
            <w:noWrap w:val="0"/>
            <w:vAlign w:val="center"/>
          </w:tcPr>
          <w:p w14:paraId="0973FCBC">
            <w:pPr>
              <w:pageBreakBefore w:val="0"/>
              <w:widowControl/>
              <w:kinsoku/>
              <w:wordWrap/>
              <w:overflowPunct/>
              <w:topLinePunct w:val="0"/>
              <w:bidi w:val="0"/>
              <w:adjustRightInd/>
              <w:spacing w:line="48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0-12分</w:t>
            </w:r>
          </w:p>
          <w:p w14:paraId="0809CBA0">
            <w:pPr>
              <w:pageBreakBefore w:val="0"/>
              <w:widowControl/>
              <w:kinsoku/>
              <w:wordWrap/>
              <w:overflowPunct/>
              <w:topLinePunct w:val="0"/>
              <w:bidi w:val="0"/>
              <w:adjustRightInd/>
              <w:spacing w:line="480" w:lineRule="exact"/>
              <w:jc w:val="center"/>
              <w:rPr>
                <w:rFonts w:hint="default" w:ascii="宋体" w:hAnsi="宋体" w:cs="宋体"/>
                <w:color w:val="auto"/>
                <w:sz w:val="24"/>
                <w:szCs w:val="24"/>
                <w:highlight w:val="none"/>
                <w:lang w:val="en-US" w:eastAsia="zh-CN"/>
              </w:rPr>
            </w:pPr>
          </w:p>
        </w:tc>
        <w:tc>
          <w:tcPr>
            <w:tcW w:w="1000" w:type="dxa"/>
            <w:shd w:val="clear" w:color="auto" w:fill="FFFFFF"/>
            <w:noWrap w:val="0"/>
            <w:vAlign w:val="center"/>
          </w:tcPr>
          <w:p w14:paraId="2506437B">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客观分</w:t>
            </w:r>
          </w:p>
        </w:tc>
      </w:tr>
      <w:tr w14:paraId="5F3D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169" w:hRule="atLeast"/>
          <w:jc w:val="center"/>
        </w:trPr>
        <w:tc>
          <w:tcPr>
            <w:tcW w:w="535" w:type="dxa"/>
            <w:vMerge w:val="continue"/>
            <w:shd w:val="clear" w:color="auto" w:fill="FFFFFF"/>
            <w:noWrap w:val="0"/>
            <w:vAlign w:val="center"/>
          </w:tcPr>
          <w:p w14:paraId="688FB03F">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30AF4590">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6431" w:type="dxa"/>
            <w:gridSpan w:val="2"/>
            <w:shd w:val="clear" w:color="auto" w:fill="FFFFFF"/>
            <w:noWrap w:val="0"/>
            <w:vAlign w:val="center"/>
          </w:tcPr>
          <w:p w14:paraId="7953E1AB">
            <w:pPr>
              <w:pageBreakBefore w:val="0"/>
              <w:widowControl/>
              <w:kinsoku/>
              <w:wordWrap/>
              <w:overflowPunct/>
              <w:topLinePunct w:val="0"/>
              <w:bidi w:val="0"/>
              <w:adjustRightInd/>
              <w:spacing w:line="480" w:lineRule="exac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在南片项目要求所在行政区划（萧山区内）停车场地平均综合分列该标项区域内不同行政区划镇、街道的，</w:t>
            </w:r>
            <w:r>
              <w:rPr>
                <w:rFonts w:hint="eastAsia" w:ascii="宋体" w:hAnsi="宋体" w:cs="宋体"/>
                <w:color w:val="auto"/>
                <w:sz w:val="24"/>
                <w:szCs w:val="24"/>
                <w:highlight w:val="none"/>
              </w:rPr>
              <w:t>得5分</w:t>
            </w:r>
            <w:r>
              <w:rPr>
                <w:rFonts w:hint="eastAsia" w:ascii="宋体" w:hAnsi="宋体" w:eastAsia="宋体" w:cs="宋体"/>
                <w:color w:val="auto"/>
                <w:sz w:val="24"/>
                <w:szCs w:val="24"/>
                <w:highlight w:val="none"/>
                <w:lang w:val="zh-CN"/>
              </w:rPr>
              <w:t>。全部场地均在同一个镇、街道的该项不得分。</w:t>
            </w:r>
          </w:p>
          <w:p w14:paraId="2269A42D">
            <w:pPr>
              <w:pageBreakBefore w:val="0"/>
              <w:widowControl/>
              <w:kinsoku/>
              <w:wordWrap/>
              <w:overflowPunct/>
              <w:topLinePunct w:val="0"/>
              <w:bidi w:val="0"/>
              <w:adjustRightInd/>
              <w:spacing w:line="480" w:lineRule="exact"/>
              <w:rPr>
                <w:rFonts w:ascii="宋体" w:hAnsi="宋体" w:cs="宋体"/>
                <w:color w:val="auto"/>
                <w:sz w:val="24"/>
                <w:szCs w:val="24"/>
                <w:highlight w:val="none"/>
                <w:lang w:val="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提供高德地图截图标记显示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单位提供具体场地分布情况说明）</w:t>
            </w:r>
          </w:p>
        </w:tc>
        <w:tc>
          <w:tcPr>
            <w:tcW w:w="831" w:type="dxa"/>
            <w:shd w:val="clear" w:color="auto" w:fill="FFFFFF"/>
            <w:noWrap w:val="0"/>
            <w:vAlign w:val="center"/>
          </w:tcPr>
          <w:p w14:paraId="3088284C">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0-5分</w:t>
            </w:r>
          </w:p>
        </w:tc>
        <w:tc>
          <w:tcPr>
            <w:tcW w:w="1000" w:type="dxa"/>
            <w:shd w:val="clear" w:color="auto" w:fill="FFFFFF"/>
            <w:noWrap w:val="0"/>
            <w:vAlign w:val="center"/>
          </w:tcPr>
          <w:p w14:paraId="6D083D4E">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客观分</w:t>
            </w:r>
          </w:p>
        </w:tc>
      </w:tr>
      <w:tr w14:paraId="352C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7" w:hRule="atLeast"/>
          <w:jc w:val="center"/>
        </w:trPr>
        <w:tc>
          <w:tcPr>
            <w:tcW w:w="535" w:type="dxa"/>
            <w:vMerge w:val="continue"/>
            <w:shd w:val="clear" w:color="auto" w:fill="FFFFFF"/>
            <w:noWrap w:val="0"/>
            <w:vAlign w:val="center"/>
          </w:tcPr>
          <w:p w14:paraId="65AD87C5">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713D14A5">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6431" w:type="dxa"/>
            <w:gridSpan w:val="2"/>
            <w:shd w:val="clear" w:color="auto" w:fill="FFFFFF"/>
            <w:noWrap w:val="0"/>
            <w:vAlign w:val="center"/>
          </w:tcPr>
          <w:p w14:paraId="30012E2A">
            <w:pPr>
              <w:pageBreakBefore w:val="0"/>
              <w:widowControl/>
              <w:kinsoku/>
              <w:wordWrap/>
              <w:overflowPunct/>
              <w:topLinePunct w:val="0"/>
              <w:bidi w:val="0"/>
              <w:adjustRightInd/>
              <w:spacing w:line="480" w:lineRule="exac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地磅要求：</w:t>
            </w:r>
          </w:p>
          <w:p w14:paraId="4106C0C5">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zh-CN"/>
              </w:rPr>
              <w:t>保管场地内设置鉴定合格的过磅设备要求</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100吨</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eastAsia="zh-CN"/>
              </w:rPr>
              <w:t>自有的每处得</w:t>
            </w:r>
            <w:r>
              <w:rPr>
                <w:rFonts w:hint="eastAsia" w:ascii="宋体" w:hAnsi="宋体" w:cs="宋体"/>
                <w:color w:val="auto"/>
                <w:sz w:val="24"/>
                <w:szCs w:val="24"/>
                <w:highlight w:val="none"/>
                <w:lang w:val="en-US" w:eastAsia="zh-CN"/>
              </w:rPr>
              <w:t>1分，最高得4分；租赁的减半得分。</w:t>
            </w:r>
          </w:p>
          <w:p w14:paraId="5E6BADD4">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如符合</w:t>
            </w:r>
            <w:r>
              <w:rPr>
                <w:rFonts w:hint="eastAsia" w:ascii="宋体" w:hAnsi="宋体" w:cs="宋体"/>
                <w:color w:val="auto"/>
                <w:sz w:val="24"/>
                <w:szCs w:val="24"/>
                <w:highlight w:val="none"/>
                <w:lang w:val="zh-CN"/>
              </w:rPr>
              <w:t>过磅设备</w:t>
            </w:r>
            <w:r>
              <w:rPr>
                <w:rFonts w:hint="eastAsia" w:ascii="仿宋_GB2312" w:hAnsi="仿宋_GB2312" w:eastAsia="仿宋_GB2312" w:cs="仿宋_GB2312"/>
                <w:color w:val="auto"/>
                <w:sz w:val="24"/>
                <w:szCs w:val="24"/>
                <w:highlight w:val="none"/>
                <w:lang w:val="zh-CN"/>
              </w:rPr>
              <w:t>&lt;</w:t>
            </w:r>
            <w:r>
              <w:rPr>
                <w:rFonts w:hint="eastAsia" w:ascii="宋体" w:hAnsi="宋体" w:cs="宋体"/>
                <w:color w:val="auto"/>
                <w:sz w:val="24"/>
                <w:szCs w:val="24"/>
                <w:highlight w:val="none"/>
              </w:rPr>
              <w:t>100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虽在保管场地内但未处于</w:t>
            </w:r>
            <w:r>
              <w:rPr>
                <w:rFonts w:hint="eastAsia" w:ascii="宋体" w:hAnsi="宋体" w:cs="宋体"/>
                <w:color w:val="auto"/>
                <w:sz w:val="24"/>
                <w:szCs w:val="24"/>
                <w:highlight w:val="none"/>
                <w:lang w:val="zh-CN"/>
              </w:rPr>
              <w:t>监控覆盖范围内情形之一的，该处不得分。</w:t>
            </w:r>
          </w:p>
          <w:p w14:paraId="63D07F7B">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rPr>
              <w:t>（注：需提供设备购置发票、计量检定机构出具的有效《检定证书》及能够反映承载额证明，反映有过磅设备的停车场地现场全貌、过磅设备安装位置、处于监控覆盖范围内等现场彩色照片至少</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张，其中处于监控覆盖范围内照片须从监控中拍摄）</w:t>
            </w:r>
          </w:p>
        </w:tc>
        <w:tc>
          <w:tcPr>
            <w:tcW w:w="831" w:type="dxa"/>
            <w:shd w:val="clear" w:color="auto" w:fill="FFFFFF"/>
            <w:noWrap w:val="0"/>
            <w:vAlign w:val="center"/>
          </w:tcPr>
          <w:p w14:paraId="420BC55F">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tc>
        <w:tc>
          <w:tcPr>
            <w:tcW w:w="1000" w:type="dxa"/>
            <w:shd w:val="clear" w:color="auto" w:fill="FFFFFF"/>
            <w:noWrap w:val="0"/>
            <w:vAlign w:val="center"/>
          </w:tcPr>
          <w:p w14:paraId="7C0433C8">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客观分</w:t>
            </w:r>
          </w:p>
        </w:tc>
      </w:tr>
      <w:tr w14:paraId="64CA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4" w:hRule="atLeast"/>
          <w:jc w:val="center"/>
        </w:trPr>
        <w:tc>
          <w:tcPr>
            <w:tcW w:w="535" w:type="dxa"/>
            <w:vMerge w:val="continue"/>
            <w:shd w:val="clear" w:color="auto" w:fill="FFFFFF"/>
            <w:noWrap w:val="0"/>
            <w:vAlign w:val="center"/>
          </w:tcPr>
          <w:p w14:paraId="243E0978">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487EF524">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6431" w:type="dxa"/>
            <w:gridSpan w:val="2"/>
            <w:shd w:val="clear" w:color="auto" w:fill="FFFFFF"/>
            <w:noWrap w:val="0"/>
            <w:vAlign w:val="top"/>
          </w:tcPr>
          <w:p w14:paraId="698FC557">
            <w:pPr>
              <w:pageBreakBefore w:val="0"/>
              <w:widowControl/>
              <w:kinsoku/>
              <w:wordWrap/>
              <w:overflowPunct/>
              <w:topLinePunct w:val="0"/>
              <w:bidi w:val="0"/>
              <w:adjustRightInd/>
              <w:spacing w:line="480" w:lineRule="exact"/>
              <w:jc w:val="both"/>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人员要求：</w:t>
            </w:r>
          </w:p>
          <w:p w14:paraId="28BE8B68">
            <w:pPr>
              <w:pageBreakBefore w:val="0"/>
              <w:widowControl/>
              <w:kinsoku/>
              <w:wordWrap/>
              <w:overflowPunct/>
              <w:topLinePunct w:val="0"/>
              <w:bidi w:val="0"/>
              <w:adjustRightInd/>
              <w:spacing w:line="48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投标人配备招标要求每个场地的人员以外，额外配备A1或A2驾驶证人员，每增加1人得1分，最高得</w:t>
            </w:r>
            <w:r>
              <w:rPr>
                <w:rFonts w:hint="eastAsia" w:ascii="宋体" w:hAnsi="宋体" w:cs="宋体"/>
                <w:color w:val="auto"/>
                <w:sz w:val="24"/>
                <w:szCs w:val="24"/>
                <w:highlight w:val="none"/>
                <w:lang w:val="en-US" w:eastAsia="zh-CN"/>
              </w:rPr>
              <w:t>2分</w:t>
            </w:r>
            <w:r>
              <w:rPr>
                <w:rFonts w:hint="eastAsia" w:ascii="宋体" w:hAnsi="宋体" w:cs="宋体"/>
                <w:color w:val="auto"/>
                <w:sz w:val="24"/>
                <w:szCs w:val="24"/>
                <w:highlight w:val="none"/>
                <w:lang w:val="zh-CN"/>
              </w:rPr>
              <w:t>。</w:t>
            </w:r>
          </w:p>
          <w:p w14:paraId="3F9F2659">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每</w:t>
            </w:r>
            <w:r>
              <w:rPr>
                <w:rFonts w:hint="eastAsia" w:ascii="宋体" w:hAnsi="宋体" w:cs="宋体"/>
                <w:color w:val="auto"/>
                <w:sz w:val="24"/>
                <w:szCs w:val="24"/>
                <w:highlight w:val="none"/>
                <w:lang w:val="en-US" w:eastAsia="zh-CN"/>
              </w:rPr>
              <w:t>个</w:t>
            </w:r>
            <w:r>
              <w:rPr>
                <w:rFonts w:hint="eastAsia" w:ascii="宋体" w:hAnsi="宋体" w:cs="宋体"/>
                <w:color w:val="auto"/>
                <w:sz w:val="24"/>
                <w:szCs w:val="24"/>
                <w:highlight w:val="none"/>
                <w:lang w:val="zh-CN"/>
              </w:rPr>
              <w:t>点位配备的</w:t>
            </w:r>
            <w:r>
              <w:rPr>
                <w:rFonts w:hint="eastAsia" w:ascii="宋体" w:hAnsi="宋体" w:cs="宋体"/>
                <w:color w:val="auto"/>
                <w:sz w:val="24"/>
                <w:szCs w:val="24"/>
                <w:highlight w:val="none"/>
                <w:lang w:val="en-US" w:eastAsia="zh-CN"/>
              </w:rPr>
              <w:t>工作</w:t>
            </w:r>
            <w:r>
              <w:rPr>
                <w:rFonts w:hint="eastAsia" w:ascii="宋体" w:hAnsi="宋体" w:cs="宋体"/>
                <w:color w:val="auto"/>
                <w:sz w:val="24"/>
                <w:szCs w:val="24"/>
                <w:highlight w:val="none"/>
                <w:lang w:val="zh-CN"/>
              </w:rPr>
              <w:t>人员需独立</w:t>
            </w:r>
            <w:r>
              <w:rPr>
                <w:rFonts w:hint="eastAsia" w:ascii="宋体" w:hAnsi="宋体" w:cs="宋体"/>
                <w:color w:val="auto"/>
                <w:sz w:val="24"/>
                <w:szCs w:val="24"/>
                <w:highlight w:val="none"/>
                <w:lang w:val="en-US" w:eastAsia="zh-CN"/>
              </w:rPr>
              <w:t>列表</w:t>
            </w:r>
            <w:r>
              <w:rPr>
                <w:rFonts w:hint="eastAsia" w:ascii="宋体" w:hAnsi="宋体" w:cs="宋体"/>
                <w:color w:val="auto"/>
                <w:sz w:val="24"/>
                <w:szCs w:val="24"/>
                <w:highlight w:val="none"/>
                <w:lang w:val="zh-CN"/>
              </w:rPr>
              <w:t>，额外配备工作人员，每多一人</w:t>
            </w:r>
            <w:r>
              <w:rPr>
                <w:rFonts w:hint="eastAsia" w:ascii="宋体" w:hAnsi="宋体" w:cs="宋体"/>
                <w:color w:val="auto"/>
                <w:sz w:val="24"/>
                <w:szCs w:val="24"/>
                <w:highlight w:val="none"/>
                <w:lang w:val="en-US" w:eastAsia="zh-CN"/>
              </w:rPr>
              <w:t>得</w:t>
            </w:r>
            <w:r>
              <w:rPr>
                <w:rFonts w:hint="eastAsia" w:ascii="宋体" w:hAnsi="宋体" w:cs="宋体"/>
                <w:color w:val="auto"/>
                <w:sz w:val="24"/>
                <w:szCs w:val="24"/>
                <w:highlight w:val="none"/>
                <w:lang w:val="zh-CN"/>
              </w:rPr>
              <w:t>0.5分，最高得</w:t>
            </w:r>
            <w:r>
              <w:rPr>
                <w:rFonts w:hint="eastAsia" w:ascii="宋体" w:hAnsi="宋体" w:cs="宋体"/>
                <w:color w:val="auto"/>
                <w:sz w:val="24"/>
                <w:szCs w:val="24"/>
                <w:highlight w:val="none"/>
                <w:lang w:val="en-US" w:eastAsia="zh-CN"/>
              </w:rPr>
              <w:t>1分</w:t>
            </w:r>
            <w:r>
              <w:rPr>
                <w:rFonts w:hint="eastAsia" w:ascii="宋体" w:hAnsi="宋体" w:cs="宋体"/>
                <w:color w:val="auto"/>
                <w:sz w:val="24"/>
                <w:szCs w:val="24"/>
                <w:highlight w:val="none"/>
                <w:lang w:val="zh-CN"/>
              </w:rPr>
              <w:t>。</w:t>
            </w:r>
          </w:p>
          <w:p w14:paraId="1D24177F">
            <w:pPr>
              <w:pageBreakBefore w:val="0"/>
              <w:widowControl/>
              <w:kinsoku/>
              <w:wordWrap/>
              <w:overflowPunct/>
              <w:topLinePunct w:val="0"/>
              <w:bidi w:val="0"/>
              <w:adjustRightInd/>
              <w:spacing w:line="48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配备汽车式起重机作业（吊车）专业机具驾驶操作人员，每人得</w:t>
            </w:r>
            <w:r>
              <w:rPr>
                <w:rFonts w:hint="eastAsia" w:ascii="宋体" w:hAnsi="宋体" w:cs="宋体"/>
                <w:color w:val="auto"/>
                <w:sz w:val="24"/>
                <w:szCs w:val="24"/>
                <w:highlight w:val="none"/>
                <w:lang w:val="en-US" w:eastAsia="zh-CN"/>
              </w:rPr>
              <w:t>1分、最高得2分。</w:t>
            </w:r>
          </w:p>
          <w:p w14:paraId="63660FC2">
            <w:pPr>
              <w:pageBreakBefore w:val="0"/>
              <w:widowControl/>
              <w:kinsoku/>
              <w:wordWrap/>
              <w:overflowPunct/>
              <w:topLinePunct w:val="0"/>
              <w:bidi w:val="0"/>
              <w:adjustRightInd/>
              <w:spacing w:line="48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配备铲车、叉车、挖掘机专业机具</w:t>
            </w:r>
            <w:r>
              <w:rPr>
                <w:rFonts w:hint="eastAsia" w:ascii="宋体" w:hAnsi="宋体" w:cs="宋体"/>
                <w:color w:val="auto"/>
                <w:sz w:val="24"/>
                <w:szCs w:val="24"/>
                <w:highlight w:val="none"/>
                <w:lang w:val="en-US" w:eastAsia="zh-CN"/>
              </w:rPr>
              <w:t>驾驶</w:t>
            </w:r>
            <w:r>
              <w:rPr>
                <w:rFonts w:hint="eastAsia" w:ascii="宋体" w:hAnsi="宋体" w:cs="宋体"/>
                <w:color w:val="auto"/>
                <w:sz w:val="24"/>
                <w:szCs w:val="24"/>
                <w:highlight w:val="none"/>
                <w:lang w:val="zh-CN"/>
              </w:rPr>
              <w:t>操作人员，每一人得</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lang w:val="zh-CN"/>
              </w:rPr>
              <w:t>分，最高得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rPr>
              <w:t>分。</w:t>
            </w:r>
          </w:p>
          <w:p w14:paraId="63267238">
            <w:pPr>
              <w:pageBreakBefore w:val="0"/>
              <w:widowControl/>
              <w:kinsoku/>
              <w:wordWrap/>
              <w:overflowPunct/>
              <w:topLinePunct w:val="0"/>
              <w:bidi w:val="0"/>
              <w:adjustRightInd/>
              <w:spacing w:line="480" w:lineRule="exact"/>
              <w:jc w:val="both"/>
              <w:rPr>
                <w:rFonts w:hint="eastAsia" w:ascii="宋体" w:hAnsi="宋体" w:eastAsia="宋体" w:cs="宋体"/>
                <w:b w:val="0"/>
                <w:bCs w:val="0"/>
                <w:color w:val="auto"/>
                <w:kern w:val="2"/>
                <w:sz w:val="24"/>
                <w:szCs w:val="24"/>
                <w:highlight w:val="none"/>
                <w:lang w:val="zh-CN" w:eastAsia="zh-CN" w:bidi="ar-SA"/>
              </w:rPr>
            </w:pPr>
            <w:r>
              <w:rPr>
                <w:rFonts w:hint="eastAsia" w:ascii="宋体" w:hAnsi="宋体" w:cs="宋体"/>
                <w:color w:val="auto"/>
                <w:sz w:val="24"/>
                <w:szCs w:val="24"/>
                <w:highlight w:val="none"/>
                <w:lang w:val="zh-CN"/>
              </w:rPr>
              <w:t>注：投标人需提供相关人员的有效证明文件（有效期内的驾驶证扫描件；作业证扫描件,并提供相关人</w:t>
            </w:r>
            <w:r>
              <w:rPr>
                <w:rFonts w:hint="eastAsia" w:ascii="宋体" w:hAnsi="宋体" w:cs="宋体"/>
                <w:b w:val="0"/>
                <w:bCs w:val="0"/>
                <w:color w:val="auto"/>
                <w:sz w:val="24"/>
                <w:szCs w:val="24"/>
                <w:highlight w:val="none"/>
                <w:lang w:val="zh-CN"/>
              </w:rPr>
              <w:t>员本单位的最近三个月（</w:t>
            </w:r>
            <w:r>
              <w:rPr>
                <w:rFonts w:hint="eastAsia" w:ascii="宋体" w:hAnsi="宋体" w:cs="宋体"/>
                <w:b w:val="0"/>
                <w:bCs w:val="0"/>
                <w:color w:val="auto"/>
                <w:sz w:val="24"/>
                <w:szCs w:val="24"/>
                <w:highlight w:val="none"/>
                <w:lang w:val="en-US" w:eastAsia="zh-CN"/>
              </w:rPr>
              <w:t>2024年8月、9月、10月</w:t>
            </w:r>
            <w:r>
              <w:rPr>
                <w:rFonts w:hint="eastAsia" w:ascii="宋体" w:hAnsi="宋体" w:cs="宋体"/>
                <w:b w:val="0"/>
                <w:bCs w:val="0"/>
                <w:color w:val="auto"/>
                <w:sz w:val="24"/>
                <w:szCs w:val="24"/>
                <w:highlight w:val="none"/>
                <w:lang w:val="zh-CN"/>
              </w:rPr>
              <w:t>）中任意</w:t>
            </w:r>
            <w:r>
              <w:rPr>
                <w:rFonts w:hint="eastAsia" w:ascii="宋体" w:hAnsi="宋体" w:cs="宋体"/>
                <w:b w:val="0"/>
                <w:bCs w:val="0"/>
                <w:color w:val="auto"/>
                <w:sz w:val="24"/>
                <w:szCs w:val="24"/>
                <w:highlight w:val="none"/>
                <w:lang w:val="en-US" w:eastAsia="zh-CN"/>
              </w:rPr>
              <w:t>1个月的个人社保缴纳证明。</w:t>
            </w:r>
          </w:p>
        </w:tc>
        <w:tc>
          <w:tcPr>
            <w:tcW w:w="831" w:type="dxa"/>
            <w:shd w:val="clear" w:color="auto" w:fill="FFFFFF"/>
            <w:noWrap w:val="0"/>
            <w:vAlign w:val="center"/>
          </w:tcPr>
          <w:p w14:paraId="2648FE4C">
            <w:pPr>
              <w:pageBreakBefore w:val="0"/>
              <w:widowControl/>
              <w:kinsoku/>
              <w:wordWrap/>
              <w:overflowPunct/>
              <w:topLinePunct w:val="0"/>
              <w:bidi w:val="0"/>
              <w:adjustRightInd/>
              <w:spacing w:line="48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0-6分</w:t>
            </w:r>
          </w:p>
        </w:tc>
        <w:tc>
          <w:tcPr>
            <w:tcW w:w="1000" w:type="dxa"/>
            <w:shd w:val="clear" w:color="auto" w:fill="FFFFFF"/>
            <w:noWrap w:val="0"/>
            <w:vAlign w:val="center"/>
          </w:tcPr>
          <w:p w14:paraId="4B6751BD">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客观分</w:t>
            </w:r>
          </w:p>
        </w:tc>
      </w:tr>
      <w:tr w14:paraId="7091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7" w:hRule="atLeast"/>
          <w:jc w:val="center"/>
        </w:trPr>
        <w:tc>
          <w:tcPr>
            <w:tcW w:w="535" w:type="dxa"/>
            <w:vMerge w:val="continue"/>
            <w:shd w:val="clear" w:color="auto" w:fill="FFFFFF"/>
            <w:noWrap w:val="0"/>
            <w:vAlign w:val="center"/>
          </w:tcPr>
          <w:p w14:paraId="3B869BB8">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0DA7BEB5">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6431" w:type="dxa"/>
            <w:gridSpan w:val="2"/>
            <w:shd w:val="clear" w:color="auto" w:fill="FFFFFF"/>
            <w:noWrap w:val="0"/>
            <w:vAlign w:val="center"/>
          </w:tcPr>
          <w:p w14:paraId="76FD628C">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车辆要求：</w:t>
            </w:r>
          </w:p>
          <w:p w14:paraId="0BAC63A7">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zh-CN"/>
              </w:rPr>
              <w:t>投标人应按招标要求配备车辆，其中车辆为自有的，每一辆得1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分，最高得</w:t>
            </w:r>
            <w:r>
              <w:rPr>
                <w:rFonts w:hint="eastAsia" w:ascii="宋体" w:hAnsi="宋体" w:cs="宋体"/>
                <w:color w:val="auto"/>
                <w:sz w:val="24"/>
                <w:szCs w:val="24"/>
                <w:highlight w:val="none"/>
                <w:lang w:val="en-US" w:eastAsia="zh-CN"/>
              </w:rPr>
              <w:t>6分</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租赁的减半得分；不符要求的不得分。</w:t>
            </w:r>
            <w:r>
              <w:rPr>
                <w:rFonts w:hint="eastAsia" w:ascii="宋体" w:hAnsi="宋体" w:cs="宋体"/>
                <w:color w:val="auto"/>
                <w:sz w:val="24"/>
                <w:szCs w:val="24"/>
                <w:highlight w:val="none"/>
                <w:lang w:val="zh-CN"/>
              </w:rPr>
              <w:t>其中配备有重型非载货专项作业车（即起重吊车，起载荷重大于60吨），自有的每一辆加</w:t>
            </w:r>
            <w:r>
              <w:rPr>
                <w:rFonts w:hint="eastAsia" w:ascii="宋体" w:hAnsi="宋体" w:cs="宋体"/>
                <w:color w:val="auto"/>
                <w:sz w:val="24"/>
                <w:szCs w:val="24"/>
                <w:highlight w:val="none"/>
                <w:lang w:val="en-US" w:eastAsia="zh-CN"/>
              </w:rPr>
              <w:t>1分</w:t>
            </w:r>
            <w:r>
              <w:rPr>
                <w:rFonts w:hint="eastAsia" w:ascii="宋体" w:hAnsi="宋体" w:cs="宋体"/>
                <w:color w:val="auto"/>
                <w:sz w:val="24"/>
                <w:szCs w:val="24"/>
                <w:highlight w:val="none"/>
                <w:lang w:val="zh-CN"/>
              </w:rPr>
              <w:t>，</w:t>
            </w:r>
            <w:r>
              <w:rPr>
                <w:rFonts w:hint="eastAsia" w:ascii="宋体" w:hAnsi="宋体" w:cs="宋体"/>
                <w:i w:val="0"/>
                <w:iCs w:val="0"/>
                <w:color w:val="auto"/>
                <w:sz w:val="24"/>
                <w:szCs w:val="24"/>
                <w:highlight w:val="none"/>
                <w:lang w:val="zh-CN"/>
              </w:rPr>
              <w:t>最高</w:t>
            </w:r>
            <w:r>
              <w:rPr>
                <w:rFonts w:hint="eastAsia" w:ascii="宋体" w:hAnsi="宋体" w:cs="宋体"/>
                <w:i w:val="0"/>
                <w:iCs w:val="0"/>
                <w:color w:val="auto"/>
                <w:sz w:val="24"/>
                <w:szCs w:val="24"/>
                <w:highlight w:val="none"/>
                <w:lang w:val="en-US" w:eastAsia="zh-CN"/>
              </w:rPr>
              <w:t>得</w:t>
            </w:r>
            <w:r>
              <w:rPr>
                <w:rFonts w:hint="eastAsia" w:ascii="宋体" w:hAnsi="宋体" w:cs="宋体"/>
                <w:i w:val="0"/>
                <w:iCs w:val="0"/>
                <w:color w:val="auto"/>
                <w:sz w:val="24"/>
                <w:szCs w:val="24"/>
                <w:highlight w:val="none"/>
                <w:lang w:val="zh-CN"/>
              </w:rPr>
              <w:t>1分；</w:t>
            </w:r>
            <w:r>
              <w:rPr>
                <w:rFonts w:hint="eastAsia" w:ascii="宋体" w:hAnsi="宋体" w:cs="宋体"/>
                <w:color w:val="auto"/>
                <w:sz w:val="24"/>
                <w:szCs w:val="24"/>
                <w:highlight w:val="none"/>
                <w:lang w:val="zh-CN"/>
              </w:rPr>
              <w:t>配备有大型拖车（载荷</w:t>
            </w:r>
            <w:r>
              <w:rPr>
                <w:rFonts w:hint="eastAsia" w:ascii="宋体" w:hAnsi="宋体" w:cs="宋体"/>
                <w:color w:val="auto"/>
                <w:sz w:val="24"/>
                <w:szCs w:val="24"/>
                <w:highlight w:val="none"/>
                <w:lang w:val="en-US" w:eastAsia="zh-CN"/>
              </w:rPr>
              <w:t>大于60</w:t>
            </w:r>
            <w:r>
              <w:rPr>
                <w:rFonts w:hint="eastAsia" w:ascii="宋体" w:hAnsi="宋体" w:cs="宋体"/>
                <w:color w:val="auto"/>
                <w:sz w:val="24"/>
                <w:szCs w:val="24"/>
                <w:highlight w:val="none"/>
                <w:lang w:val="zh-CN"/>
              </w:rPr>
              <w:t>吨）自有的每一辆加</w:t>
            </w:r>
            <w:r>
              <w:rPr>
                <w:rFonts w:hint="eastAsia" w:ascii="宋体" w:hAnsi="宋体" w:cs="宋体"/>
                <w:color w:val="auto"/>
                <w:sz w:val="24"/>
                <w:szCs w:val="24"/>
                <w:highlight w:val="none"/>
                <w:lang w:val="en-US" w:eastAsia="zh-CN"/>
              </w:rPr>
              <w:t>1分，</w:t>
            </w:r>
            <w:r>
              <w:rPr>
                <w:rFonts w:hint="eastAsia" w:ascii="宋体" w:hAnsi="宋体" w:cs="宋体"/>
                <w:color w:val="auto"/>
                <w:sz w:val="24"/>
                <w:szCs w:val="24"/>
                <w:highlight w:val="none"/>
                <w:lang w:val="zh-CN"/>
              </w:rPr>
              <w:t>最高</w:t>
            </w:r>
            <w:r>
              <w:rPr>
                <w:rFonts w:hint="eastAsia" w:ascii="宋体" w:hAnsi="宋体" w:cs="宋体"/>
                <w:color w:val="auto"/>
                <w:sz w:val="24"/>
                <w:szCs w:val="24"/>
                <w:highlight w:val="none"/>
                <w:lang w:val="en-US" w:eastAsia="zh-CN"/>
              </w:rPr>
              <w:t>得1</w:t>
            </w:r>
            <w:r>
              <w:rPr>
                <w:rFonts w:hint="eastAsia" w:ascii="宋体" w:hAnsi="宋体" w:cs="宋体"/>
                <w:color w:val="auto"/>
                <w:sz w:val="24"/>
                <w:szCs w:val="24"/>
                <w:highlight w:val="none"/>
                <w:lang w:val="zh-CN"/>
              </w:rPr>
              <w:t>分；</w:t>
            </w:r>
            <w:r>
              <w:rPr>
                <w:rFonts w:hint="eastAsia" w:ascii="宋体" w:hAnsi="宋体" w:cs="宋体"/>
                <w:color w:val="auto"/>
                <w:sz w:val="24"/>
                <w:szCs w:val="24"/>
                <w:highlight w:val="none"/>
                <w:lang w:val="en-US" w:eastAsia="zh-CN"/>
              </w:rPr>
              <w:t>租赁的不得分。</w:t>
            </w:r>
            <w:r>
              <w:rPr>
                <w:rFonts w:hint="eastAsia" w:ascii="宋体" w:hAnsi="宋体" w:cs="宋体"/>
                <w:color w:val="auto"/>
                <w:sz w:val="24"/>
                <w:szCs w:val="24"/>
                <w:highlight w:val="none"/>
                <w:lang w:val="zh-CN"/>
              </w:rPr>
              <w:t>本项最高得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rPr>
              <w:t>分。</w:t>
            </w:r>
          </w:p>
          <w:p w14:paraId="655401EF">
            <w:pPr>
              <w:pageBreakBefore w:val="0"/>
              <w:widowControl/>
              <w:kinsoku/>
              <w:wordWrap/>
              <w:overflowPunct/>
              <w:topLinePunct w:val="0"/>
              <w:bidi w:val="0"/>
              <w:adjustRightInd/>
              <w:spacing w:line="48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配备招标要求车辆以外，额外配备非载货专项作业车，自有的每增加一辆得</w:t>
            </w:r>
            <w:r>
              <w:rPr>
                <w:rFonts w:hint="eastAsia" w:ascii="宋体" w:hAnsi="宋体" w:cs="宋体"/>
                <w:color w:val="auto"/>
                <w:sz w:val="24"/>
                <w:szCs w:val="24"/>
                <w:highlight w:val="none"/>
                <w:lang w:val="en-US" w:eastAsia="zh-CN"/>
              </w:rPr>
              <w:t>0.5分</w:t>
            </w:r>
            <w:r>
              <w:rPr>
                <w:rFonts w:hint="eastAsia" w:ascii="宋体" w:hAnsi="宋体" w:cs="宋体"/>
                <w:color w:val="auto"/>
                <w:sz w:val="24"/>
                <w:szCs w:val="24"/>
                <w:highlight w:val="none"/>
                <w:lang w:val="zh-CN"/>
              </w:rPr>
              <w:t>，最高得</w:t>
            </w:r>
            <w:r>
              <w:rPr>
                <w:rFonts w:hint="eastAsia" w:ascii="宋体" w:hAnsi="宋体" w:cs="宋体"/>
                <w:color w:val="auto"/>
                <w:sz w:val="24"/>
                <w:szCs w:val="24"/>
                <w:highlight w:val="none"/>
                <w:lang w:val="en-US" w:eastAsia="zh-CN"/>
              </w:rPr>
              <w:t>1分</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租赁的减半得分；不符要求的不得分。</w:t>
            </w:r>
            <w:r>
              <w:rPr>
                <w:rFonts w:hint="eastAsia" w:ascii="宋体" w:hAnsi="宋体" w:cs="宋体"/>
                <w:color w:val="auto"/>
                <w:sz w:val="24"/>
                <w:szCs w:val="24"/>
                <w:highlight w:val="none"/>
                <w:lang w:val="zh-CN"/>
              </w:rPr>
              <w:t>本项最高得</w:t>
            </w:r>
            <w:r>
              <w:rPr>
                <w:rFonts w:hint="eastAsia" w:ascii="宋体" w:hAnsi="宋体" w:cs="宋体"/>
                <w:color w:val="auto"/>
                <w:sz w:val="24"/>
                <w:szCs w:val="24"/>
                <w:highlight w:val="none"/>
                <w:lang w:val="en-US" w:eastAsia="zh-CN"/>
              </w:rPr>
              <w:t>1分</w:t>
            </w:r>
            <w:r>
              <w:rPr>
                <w:rFonts w:hint="eastAsia" w:ascii="宋体" w:hAnsi="宋体" w:cs="宋体"/>
                <w:color w:val="auto"/>
                <w:sz w:val="24"/>
                <w:szCs w:val="24"/>
                <w:highlight w:val="none"/>
                <w:lang w:val="zh-CN"/>
              </w:rPr>
              <w:t>。</w:t>
            </w:r>
          </w:p>
          <w:p w14:paraId="69A97DB3">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额外配备叉车、铲车、挖掘机的，自有的每增加一辆得</w:t>
            </w:r>
            <w:r>
              <w:rPr>
                <w:rFonts w:hint="eastAsia" w:ascii="宋体" w:hAnsi="宋体" w:cs="宋体"/>
                <w:color w:val="auto"/>
                <w:sz w:val="24"/>
                <w:szCs w:val="24"/>
                <w:highlight w:val="none"/>
                <w:lang w:val="en-US" w:eastAsia="zh-CN"/>
              </w:rPr>
              <w:t>0.5分</w:t>
            </w:r>
            <w:r>
              <w:rPr>
                <w:rFonts w:hint="eastAsia" w:ascii="宋体" w:hAnsi="宋体" w:cs="宋体"/>
                <w:color w:val="auto"/>
                <w:sz w:val="24"/>
                <w:szCs w:val="24"/>
                <w:highlight w:val="none"/>
                <w:lang w:val="zh-CN"/>
              </w:rPr>
              <w:t>，最高得</w:t>
            </w:r>
            <w:r>
              <w:rPr>
                <w:rFonts w:hint="eastAsia" w:ascii="宋体" w:hAnsi="宋体" w:cs="宋体"/>
                <w:color w:val="auto"/>
                <w:sz w:val="24"/>
                <w:szCs w:val="24"/>
                <w:highlight w:val="none"/>
                <w:lang w:val="en-US" w:eastAsia="zh-CN"/>
              </w:rPr>
              <w:t>1分</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租赁的减半得分；不符要求的不得分。</w:t>
            </w:r>
            <w:r>
              <w:rPr>
                <w:rFonts w:hint="eastAsia" w:ascii="宋体" w:hAnsi="宋体" w:cs="宋体"/>
                <w:color w:val="auto"/>
                <w:sz w:val="24"/>
                <w:szCs w:val="24"/>
                <w:highlight w:val="none"/>
                <w:lang w:val="zh-CN"/>
              </w:rPr>
              <w:t>本项最高得</w:t>
            </w:r>
            <w:r>
              <w:rPr>
                <w:rFonts w:hint="eastAsia" w:ascii="宋体" w:hAnsi="宋体" w:cs="宋体"/>
                <w:color w:val="auto"/>
                <w:sz w:val="24"/>
                <w:szCs w:val="24"/>
                <w:highlight w:val="none"/>
                <w:lang w:val="en-US" w:eastAsia="zh-CN"/>
              </w:rPr>
              <w:t>1分</w:t>
            </w:r>
            <w:r>
              <w:rPr>
                <w:rFonts w:hint="eastAsia" w:ascii="宋体" w:hAnsi="宋体" w:cs="宋体"/>
                <w:color w:val="auto"/>
                <w:sz w:val="24"/>
                <w:szCs w:val="24"/>
                <w:highlight w:val="none"/>
                <w:lang w:val="zh-CN"/>
              </w:rPr>
              <w:t>。</w:t>
            </w:r>
          </w:p>
          <w:p w14:paraId="48E17D9D">
            <w:pPr>
              <w:pageBreakBefore w:val="0"/>
              <w:widowControl/>
              <w:kinsoku/>
              <w:wordWrap/>
              <w:overflowPunct/>
              <w:topLinePunct w:val="0"/>
              <w:bidi w:val="0"/>
              <w:adjustRightInd/>
              <w:spacing w:line="48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（注：需提供车辆前后侧面拍摄的全貌照片，</w:t>
            </w:r>
            <w:r>
              <w:rPr>
                <w:rFonts w:hint="eastAsia" w:ascii="宋体" w:hAnsi="宋体" w:cs="宋体"/>
                <w:color w:val="auto"/>
                <w:sz w:val="24"/>
                <w:highlight w:val="none"/>
                <w:lang w:eastAsia="zh-CN"/>
              </w:rPr>
              <w:t>显示吊、</w:t>
            </w:r>
            <w:r>
              <w:rPr>
                <w:rFonts w:hint="eastAsia" w:ascii="宋体" w:hAnsi="宋体" w:cs="宋体"/>
                <w:color w:val="auto"/>
                <w:sz w:val="24"/>
                <w:szCs w:val="24"/>
                <w:highlight w:val="none"/>
                <w:lang w:val="zh-CN"/>
              </w:rPr>
              <w:t>叉、铲车或挖掘机</w:t>
            </w:r>
            <w:r>
              <w:rPr>
                <w:rFonts w:hint="eastAsia" w:ascii="宋体" w:hAnsi="宋体" w:cs="宋体"/>
                <w:color w:val="auto"/>
                <w:sz w:val="24"/>
                <w:highlight w:val="none"/>
                <w:lang w:eastAsia="zh-CN"/>
              </w:rPr>
              <w:t>作用吨位的铭牌或合格证照片，</w:t>
            </w:r>
            <w:r>
              <w:rPr>
                <w:rFonts w:hint="eastAsia" w:ascii="宋体" w:hAnsi="宋体" w:cs="宋体"/>
                <w:color w:val="auto"/>
                <w:sz w:val="24"/>
                <w:szCs w:val="24"/>
                <w:highlight w:val="none"/>
                <w:lang w:val="zh-CN"/>
              </w:rPr>
              <w:t>另自有车辆需提供车辆购买发票、车辆登记证书、</w:t>
            </w:r>
            <w:r>
              <w:rPr>
                <w:rFonts w:hint="eastAsia" w:ascii="宋体" w:hAnsi="宋体" w:cs="宋体"/>
                <w:color w:val="auto"/>
                <w:sz w:val="24"/>
                <w:highlight w:val="none"/>
                <w:lang w:eastAsia="zh-CN"/>
              </w:rPr>
              <w:t>转让协议、支付凭证</w:t>
            </w:r>
            <w:r>
              <w:rPr>
                <w:rFonts w:hint="eastAsia" w:ascii="宋体" w:hAnsi="宋体" w:cs="宋体"/>
                <w:color w:val="auto"/>
                <w:sz w:val="24"/>
                <w:szCs w:val="24"/>
                <w:highlight w:val="none"/>
                <w:lang w:val="zh-CN"/>
              </w:rPr>
              <w:t>或车辆行驶证；租赁车辆需要提供租赁协议及车辆购买发票等用于证明车辆合法来源的证明文件）</w:t>
            </w:r>
          </w:p>
        </w:tc>
        <w:tc>
          <w:tcPr>
            <w:tcW w:w="831" w:type="dxa"/>
            <w:shd w:val="clear" w:color="auto" w:fill="FFFFFF"/>
            <w:noWrap w:val="0"/>
            <w:vAlign w:val="center"/>
          </w:tcPr>
          <w:p w14:paraId="2300FC32">
            <w:pPr>
              <w:pageBreakBefore w:val="0"/>
              <w:widowControl/>
              <w:kinsoku/>
              <w:wordWrap/>
              <w:overflowPunct/>
              <w:topLinePunct w:val="0"/>
              <w:bidi w:val="0"/>
              <w:adjustRightInd/>
              <w:spacing w:line="480" w:lineRule="exact"/>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0-10分</w:t>
            </w:r>
          </w:p>
          <w:p w14:paraId="51ED500A">
            <w:pPr>
              <w:pageBreakBefore w:val="0"/>
              <w:widowControl/>
              <w:kinsoku/>
              <w:wordWrap/>
              <w:overflowPunct/>
              <w:topLinePunct w:val="0"/>
              <w:bidi w:val="0"/>
              <w:adjustRightInd/>
              <w:spacing w:line="480" w:lineRule="exact"/>
              <w:jc w:val="center"/>
              <w:rPr>
                <w:rFonts w:hint="default" w:ascii="宋体" w:hAnsi="宋体" w:cs="宋体"/>
                <w:color w:val="auto"/>
                <w:kern w:val="0"/>
                <w:sz w:val="24"/>
                <w:szCs w:val="24"/>
                <w:highlight w:val="none"/>
                <w:lang w:val="en-US" w:eastAsia="zh-CN"/>
              </w:rPr>
            </w:pPr>
          </w:p>
        </w:tc>
        <w:tc>
          <w:tcPr>
            <w:tcW w:w="1000" w:type="dxa"/>
            <w:shd w:val="clear" w:color="auto" w:fill="FFFFFF"/>
            <w:noWrap w:val="0"/>
            <w:vAlign w:val="center"/>
          </w:tcPr>
          <w:p w14:paraId="2AAEFEBE">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客观分</w:t>
            </w:r>
          </w:p>
        </w:tc>
      </w:tr>
      <w:tr w14:paraId="694E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70" w:hRule="atLeast"/>
          <w:jc w:val="center"/>
        </w:trPr>
        <w:tc>
          <w:tcPr>
            <w:tcW w:w="535" w:type="dxa"/>
            <w:vMerge w:val="continue"/>
            <w:shd w:val="clear" w:color="auto" w:fill="FFFFFF"/>
            <w:noWrap w:val="0"/>
            <w:vAlign w:val="center"/>
          </w:tcPr>
          <w:p w14:paraId="140AADA0">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032479D7">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6431" w:type="dxa"/>
            <w:gridSpan w:val="2"/>
            <w:shd w:val="clear" w:color="auto" w:fill="FFFFFF"/>
            <w:noWrap w:val="0"/>
            <w:vAlign w:val="center"/>
          </w:tcPr>
          <w:p w14:paraId="37D68B3C">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根据投标人对拖移保管服务要求提出的服务方案进行评价:</w:t>
            </w:r>
          </w:p>
          <w:p w14:paraId="3E0D11CC">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服务</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能够结合拖移保管服务特点，方案</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具有针对性,有信息化管理平台可操作性规划的，</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根据项目需求情况提出详细、具体、明确的服务流程、服务方式方法、服务效果、服务成果、服务验收等</w:t>
            </w:r>
            <w:r>
              <w:rPr>
                <w:rFonts w:hint="eastAsia" w:ascii="宋体" w:hAnsi="宋体" w:cs="宋体"/>
                <w:color w:val="auto"/>
                <w:sz w:val="24"/>
                <w:szCs w:val="24"/>
                <w:highlight w:val="none"/>
                <w:lang w:val="en-US" w:eastAsia="zh-CN"/>
              </w:rPr>
              <w:t>综合评定。</w:t>
            </w:r>
            <w:r>
              <w:rPr>
                <w:rFonts w:hint="eastAsia" w:cs="Times New Roman" w:asciiTheme="minorEastAsia" w:hAnsiTheme="minorEastAsia" w:eastAsiaTheme="minorEastAsia"/>
                <w:color w:val="auto"/>
                <w:kern w:val="2"/>
                <w:sz w:val="24"/>
                <w:szCs w:val="24"/>
                <w:highlight w:val="none"/>
                <w:lang w:val="en-US" w:eastAsia="zh-CN" w:bidi="ar-SA"/>
              </w:rPr>
              <w:t>（本项分值设置为：6-5-4-3-2-1-0）</w:t>
            </w:r>
          </w:p>
        </w:tc>
        <w:tc>
          <w:tcPr>
            <w:tcW w:w="831" w:type="dxa"/>
            <w:shd w:val="clear" w:color="auto" w:fill="FFFFFF"/>
            <w:noWrap w:val="0"/>
            <w:vAlign w:val="center"/>
          </w:tcPr>
          <w:p w14:paraId="51410B6F">
            <w:pPr>
              <w:pageBreakBefore w:val="0"/>
              <w:widowControl/>
              <w:kinsoku/>
              <w:wordWrap/>
              <w:overflowPunct/>
              <w:topLinePunct w:val="0"/>
              <w:bidi w:val="0"/>
              <w:adjustRightInd/>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w:t>
            </w:r>
          </w:p>
          <w:p w14:paraId="44F8D3FF">
            <w:pPr>
              <w:pageBreakBefore w:val="0"/>
              <w:widowControl/>
              <w:kinsoku/>
              <w:wordWrap/>
              <w:overflowPunct/>
              <w:topLinePunct w:val="0"/>
              <w:bidi w:val="0"/>
              <w:adjustRightInd/>
              <w:spacing w:line="480" w:lineRule="exact"/>
              <w:jc w:val="center"/>
              <w:rPr>
                <w:rFonts w:hint="default" w:ascii="宋体" w:hAnsi="宋体" w:eastAsia="宋体" w:cs="宋体"/>
                <w:color w:val="auto"/>
                <w:sz w:val="24"/>
                <w:szCs w:val="24"/>
                <w:highlight w:val="none"/>
                <w:lang w:val="en-US" w:eastAsia="zh-CN"/>
              </w:rPr>
            </w:pPr>
          </w:p>
        </w:tc>
        <w:tc>
          <w:tcPr>
            <w:tcW w:w="1000" w:type="dxa"/>
            <w:shd w:val="clear" w:color="auto" w:fill="FFFFFF"/>
            <w:noWrap w:val="0"/>
            <w:vAlign w:val="center"/>
          </w:tcPr>
          <w:p w14:paraId="26C7D43E">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主观分</w:t>
            </w:r>
          </w:p>
        </w:tc>
      </w:tr>
      <w:tr w14:paraId="6A90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535" w:type="dxa"/>
            <w:vMerge w:val="continue"/>
            <w:shd w:val="clear" w:color="auto" w:fill="FFFFFF"/>
            <w:noWrap w:val="0"/>
            <w:vAlign w:val="center"/>
          </w:tcPr>
          <w:p w14:paraId="7255316A">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71911AD2">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6431" w:type="dxa"/>
            <w:gridSpan w:val="2"/>
            <w:shd w:val="clear" w:color="auto" w:fill="FFFFFF"/>
            <w:noWrap w:val="0"/>
            <w:vAlign w:val="center"/>
          </w:tcPr>
          <w:p w14:paraId="57D358C2">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根据投标人的服务质量保障措施进行评价:</w:t>
            </w:r>
          </w:p>
          <w:p w14:paraId="47F50D82">
            <w:pPr>
              <w:pageBreakBefore w:val="0"/>
              <w:widowControl/>
              <w:kinsoku/>
              <w:wordWrap/>
              <w:overflowPunct/>
              <w:topLinePunct w:val="0"/>
              <w:bidi w:val="0"/>
              <w:adjustRightInd/>
              <w:spacing w:line="480" w:lineRule="exact"/>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1.是否能提供统一的集约化服务质量保障,是否</w:t>
            </w:r>
            <w:r>
              <w:rPr>
                <w:rFonts w:hint="eastAsia" w:ascii="宋体" w:hAnsi="宋体" w:cs="宋体"/>
                <w:color w:val="auto"/>
                <w:sz w:val="24"/>
                <w:szCs w:val="24"/>
                <w:highlight w:val="none"/>
              </w:rPr>
              <w:t>有制定相应的服务质量保障措施,结合拖移保管服务特点，</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对服务过程中的关键节点有具体质量控制措施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能够确保服务质量等</w:t>
            </w:r>
            <w:r>
              <w:rPr>
                <w:rFonts w:hint="eastAsia" w:ascii="宋体" w:hAnsi="宋体" w:cs="宋体"/>
                <w:color w:val="auto"/>
                <w:sz w:val="24"/>
                <w:szCs w:val="24"/>
                <w:highlight w:val="none"/>
                <w:lang w:val="en-US" w:eastAsia="zh-CN"/>
              </w:rPr>
              <w:t>综合评定。</w:t>
            </w:r>
            <w:r>
              <w:rPr>
                <w:rFonts w:hint="eastAsia" w:cs="Times New Roman" w:asciiTheme="minorEastAsia" w:hAnsiTheme="minorEastAsia" w:eastAsiaTheme="minorEastAsia"/>
                <w:color w:val="auto"/>
                <w:kern w:val="2"/>
                <w:sz w:val="24"/>
                <w:szCs w:val="24"/>
                <w:highlight w:val="none"/>
                <w:lang w:val="en-US" w:eastAsia="zh-CN" w:bidi="ar-SA"/>
              </w:rPr>
              <w:t>（本项分值设置为：4-3-2-1-0）</w:t>
            </w:r>
          </w:p>
          <w:p w14:paraId="168F9EB5">
            <w:pPr>
              <w:pageBreakBefore w:val="0"/>
              <w:widowControl/>
              <w:kinsoku/>
              <w:wordWrap/>
              <w:overflowPunct/>
              <w:topLinePunct w:val="0"/>
              <w:bidi w:val="0"/>
              <w:adjustRightInd/>
              <w:spacing w:line="480" w:lineRule="exact"/>
              <w:rPr>
                <w:rFonts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2.是否</w:t>
            </w:r>
            <w:r>
              <w:rPr>
                <w:rFonts w:hint="eastAsia" w:ascii="宋体" w:hAnsi="宋体" w:cs="宋体"/>
                <w:color w:val="auto"/>
                <w:sz w:val="24"/>
                <w:szCs w:val="24"/>
                <w:highlight w:val="none"/>
              </w:rPr>
              <w:t>对服务过程中有相应</w:t>
            </w:r>
            <w:r>
              <w:rPr>
                <w:rFonts w:hint="eastAsia" w:ascii="宋体" w:hAnsi="宋体" w:cs="宋体"/>
                <w:color w:val="auto"/>
                <w:sz w:val="24"/>
                <w:szCs w:val="24"/>
                <w:highlight w:val="none"/>
                <w:lang w:val="en-US" w:eastAsia="zh-CN"/>
              </w:rPr>
              <w:t>集中</w:t>
            </w:r>
            <w:r>
              <w:rPr>
                <w:rFonts w:hint="eastAsia" w:ascii="宋体" w:hAnsi="宋体" w:cs="宋体"/>
                <w:color w:val="auto"/>
                <w:sz w:val="24"/>
                <w:szCs w:val="24"/>
                <w:highlight w:val="none"/>
              </w:rPr>
              <w:t>的人力、物力投入安排,</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有</w:t>
            </w:r>
            <w:r>
              <w:rPr>
                <w:rFonts w:hint="eastAsia" w:ascii="宋体" w:hAnsi="宋体" w:cs="宋体"/>
                <w:color w:val="auto"/>
                <w:sz w:val="24"/>
                <w:szCs w:val="24"/>
                <w:highlight w:val="none"/>
                <w:lang w:val="en-US" w:eastAsia="zh-CN"/>
              </w:rPr>
              <w:t>统一</w:t>
            </w:r>
            <w:r>
              <w:rPr>
                <w:rFonts w:hint="eastAsia" w:ascii="宋体" w:hAnsi="宋体" w:cs="宋体"/>
                <w:color w:val="auto"/>
                <w:sz w:val="24"/>
                <w:szCs w:val="24"/>
                <w:highlight w:val="none"/>
              </w:rPr>
              <w:t>完善的内部工作质量奖惩制度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能够确保服务质量等</w:t>
            </w:r>
            <w:r>
              <w:rPr>
                <w:rFonts w:hint="eastAsia" w:ascii="宋体" w:hAnsi="宋体" w:cs="宋体"/>
                <w:color w:val="auto"/>
                <w:sz w:val="24"/>
                <w:szCs w:val="24"/>
                <w:highlight w:val="none"/>
                <w:lang w:val="en-US" w:eastAsia="zh-CN"/>
              </w:rPr>
              <w:t>综合评定。</w:t>
            </w:r>
            <w:r>
              <w:rPr>
                <w:rFonts w:hint="eastAsia" w:cs="Times New Roman" w:asciiTheme="minorEastAsia" w:hAnsiTheme="minorEastAsia" w:eastAsiaTheme="minorEastAsia"/>
                <w:color w:val="auto"/>
                <w:kern w:val="2"/>
                <w:sz w:val="24"/>
                <w:szCs w:val="24"/>
                <w:highlight w:val="none"/>
                <w:lang w:val="en-US" w:eastAsia="zh-CN" w:bidi="ar-SA"/>
              </w:rPr>
              <w:t>（本项分值设置为：4-3-2-1-0）</w:t>
            </w:r>
          </w:p>
        </w:tc>
        <w:tc>
          <w:tcPr>
            <w:tcW w:w="831" w:type="dxa"/>
            <w:shd w:val="clear" w:color="auto" w:fill="FFFFFF"/>
            <w:noWrap w:val="0"/>
            <w:vAlign w:val="center"/>
          </w:tcPr>
          <w:p w14:paraId="48A3BF04">
            <w:pPr>
              <w:pageBreakBefore w:val="0"/>
              <w:widowControl/>
              <w:kinsoku/>
              <w:wordWrap/>
              <w:overflowPunct/>
              <w:topLinePunct w:val="0"/>
              <w:bidi w:val="0"/>
              <w:adjustRightInd/>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w:t>
            </w:r>
          </w:p>
          <w:p w14:paraId="6DF8821B">
            <w:pPr>
              <w:pageBreakBefore w:val="0"/>
              <w:widowControl/>
              <w:kinsoku/>
              <w:wordWrap/>
              <w:overflowPunct/>
              <w:topLinePunct w:val="0"/>
              <w:bidi w:val="0"/>
              <w:adjustRightInd/>
              <w:spacing w:line="480" w:lineRule="exact"/>
              <w:jc w:val="center"/>
              <w:rPr>
                <w:rFonts w:hint="eastAsia" w:ascii="宋体" w:hAnsi="宋体" w:cs="宋体"/>
                <w:color w:val="auto"/>
                <w:sz w:val="24"/>
                <w:szCs w:val="24"/>
                <w:highlight w:val="none"/>
              </w:rPr>
            </w:pPr>
          </w:p>
        </w:tc>
        <w:tc>
          <w:tcPr>
            <w:tcW w:w="1000" w:type="dxa"/>
            <w:shd w:val="clear" w:color="auto" w:fill="FFFFFF"/>
            <w:noWrap w:val="0"/>
            <w:vAlign w:val="center"/>
          </w:tcPr>
          <w:p w14:paraId="21C0E7F9">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主观分</w:t>
            </w:r>
          </w:p>
        </w:tc>
      </w:tr>
      <w:tr w14:paraId="623C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535" w:type="dxa"/>
            <w:vMerge w:val="continue"/>
            <w:shd w:val="clear" w:color="auto" w:fill="FFFFFF"/>
            <w:noWrap w:val="0"/>
            <w:vAlign w:val="center"/>
          </w:tcPr>
          <w:p w14:paraId="10E20299">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38731BCD">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6431" w:type="dxa"/>
            <w:gridSpan w:val="2"/>
            <w:shd w:val="clear" w:color="auto" w:fill="FFFFFF"/>
            <w:noWrap w:val="0"/>
            <w:vAlign w:val="center"/>
          </w:tcPr>
          <w:p w14:paraId="77988D84">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根据投标人的服务风险防控措施进行评价:</w:t>
            </w:r>
          </w:p>
          <w:p w14:paraId="27756020">
            <w:pPr>
              <w:pageBreakBefore w:val="0"/>
              <w:widowControl/>
              <w:kinsoku/>
              <w:wordWrap/>
              <w:overflowPunct/>
              <w:topLinePunct w:val="0"/>
              <w:bidi w:val="0"/>
              <w:adjustRightInd/>
              <w:spacing w:line="480" w:lineRule="exact"/>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1.是否</w:t>
            </w:r>
            <w:r>
              <w:rPr>
                <w:rFonts w:hint="eastAsia" w:ascii="宋体" w:hAnsi="宋体" w:cs="宋体"/>
                <w:color w:val="auto"/>
                <w:sz w:val="24"/>
                <w:szCs w:val="24"/>
                <w:highlight w:val="none"/>
              </w:rPr>
              <w:t>有对服务过程中各节点可能出现的风险有事先预估评判,并制定相应的服务风险防控措施,能够避免风险或出现风险能及时有效处理的等</w:t>
            </w:r>
            <w:r>
              <w:rPr>
                <w:rFonts w:hint="eastAsia" w:ascii="宋体" w:hAnsi="宋体" w:cs="宋体"/>
                <w:color w:val="auto"/>
                <w:sz w:val="24"/>
                <w:szCs w:val="24"/>
                <w:highlight w:val="none"/>
                <w:lang w:val="en-US" w:eastAsia="zh-CN"/>
              </w:rPr>
              <w:t>综合评定。</w:t>
            </w:r>
            <w:r>
              <w:rPr>
                <w:rFonts w:hint="eastAsia" w:cs="Times New Roman" w:asciiTheme="minorEastAsia" w:hAnsiTheme="minorEastAsia" w:eastAsiaTheme="minorEastAsia"/>
                <w:color w:val="auto"/>
                <w:kern w:val="2"/>
                <w:sz w:val="24"/>
                <w:szCs w:val="24"/>
                <w:highlight w:val="none"/>
                <w:lang w:val="en-US" w:eastAsia="zh-CN" w:bidi="ar-SA"/>
              </w:rPr>
              <w:t>（本项分值设置为：5-4-3-2-1-0）</w:t>
            </w:r>
          </w:p>
          <w:p w14:paraId="22357389">
            <w:pPr>
              <w:pageBreakBefore w:val="0"/>
              <w:widowControl/>
              <w:kinsoku/>
              <w:wordWrap/>
              <w:overflowPunct/>
              <w:topLinePunct w:val="0"/>
              <w:bidi w:val="0"/>
              <w:adjustRightInd/>
              <w:spacing w:line="480" w:lineRule="exact"/>
              <w:rPr>
                <w:rFonts w:ascii="宋体" w:hAnsi="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2.是否</w:t>
            </w:r>
            <w:r>
              <w:rPr>
                <w:rFonts w:hint="eastAsia" w:ascii="宋体" w:hAnsi="宋体" w:eastAsia="宋体" w:cs="宋体"/>
                <w:color w:val="auto"/>
                <w:sz w:val="24"/>
                <w:szCs w:val="24"/>
                <w:highlight w:val="none"/>
              </w:rPr>
              <w:t>有相应</w:t>
            </w:r>
            <w:r>
              <w:rPr>
                <w:rFonts w:hint="eastAsia" w:ascii="宋体" w:hAnsi="宋体" w:eastAsia="宋体" w:cs="宋体"/>
                <w:color w:val="auto"/>
                <w:sz w:val="24"/>
                <w:szCs w:val="24"/>
                <w:highlight w:val="none"/>
                <w:lang w:val="en-US" w:eastAsia="zh-CN"/>
              </w:rPr>
              <w:t>集中</w:t>
            </w:r>
            <w:r>
              <w:rPr>
                <w:rFonts w:hint="eastAsia" w:ascii="宋体" w:hAnsi="宋体" w:eastAsia="宋体" w:cs="宋体"/>
                <w:color w:val="auto"/>
                <w:sz w:val="24"/>
                <w:szCs w:val="24"/>
                <w:highlight w:val="none"/>
              </w:rPr>
              <w:t>的人力、物力投入安排,</w:t>
            </w:r>
            <w:r>
              <w:rPr>
                <w:rFonts w:hint="eastAsia" w:ascii="宋体" w:hAnsi="宋体" w:eastAsia="宋体" w:cs="宋体"/>
                <w:color w:val="auto"/>
                <w:sz w:val="24"/>
                <w:szCs w:val="24"/>
                <w:highlight w:val="none"/>
                <w:lang w:val="en-US" w:eastAsia="zh-CN"/>
              </w:rPr>
              <w:t>是否有统一完善合理的</w:t>
            </w:r>
            <w:r>
              <w:rPr>
                <w:rFonts w:hint="eastAsia" w:ascii="宋体" w:hAnsi="宋体" w:eastAsia="宋体" w:cs="宋体"/>
                <w:b w:val="0"/>
                <w:bCs w:val="0"/>
                <w:color w:val="auto"/>
                <w:sz w:val="24"/>
                <w:szCs w:val="24"/>
                <w:highlight w:val="none"/>
              </w:rPr>
              <w:t>职业培训制度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人员考核制度</w:t>
            </w:r>
            <w:r>
              <w:rPr>
                <w:rFonts w:hint="eastAsia" w:ascii="宋体" w:hAnsi="宋体" w:eastAsia="宋体" w:cs="宋体"/>
                <w:b w:val="0"/>
                <w:bCs w:val="0"/>
                <w:color w:val="auto"/>
                <w:sz w:val="24"/>
                <w:szCs w:val="24"/>
                <w:highlight w:val="none"/>
                <w:lang w:val="en-US" w:eastAsia="zh-CN"/>
              </w:rPr>
              <w:t>和</w:t>
            </w:r>
            <w:r>
              <w:rPr>
                <w:rFonts w:hint="eastAsia" w:ascii="宋体" w:hAnsi="宋体" w:eastAsia="宋体" w:cs="宋体"/>
                <w:b w:val="0"/>
                <w:bCs w:val="0"/>
                <w:color w:val="auto"/>
                <w:sz w:val="24"/>
                <w:szCs w:val="24"/>
                <w:highlight w:val="none"/>
              </w:rPr>
              <w:t>执业质量控制制度</w:t>
            </w:r>
            <w:r>
              <w:rPr>
                <w:rFonts w:hint="eastAsia" w:ascii="宋体" w:hAnsi="宋体" w:eastAsia="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lang w:eastAsia="zh-CN"/>
              </w:rPr>
              <w:t>，</w:t>
            </w:r>
            <w:r>
              <w:rPr>
                <w:rFonts w:hint="eastAsia" w:ascii="宋体" w:hAnsi="宋体" w:cs="宋体"/>
                <w:color w:val="auto"/>
                <w:sz w:val="24"/>
                <w:szCs w:val="24"/>
                <w:highlight w:val="none"/>
              </w:rPr>
              <w:t>能够避免风险或出现风险能及时有效处理的等</w:t>
            </w:r>
            <w:r>
              <w:rPr>
                <w:rFonts w:hint="eastAsia" w:ascii="宋体" w:hAnsi="宋体" w:cs="宋体"/>
                <w:color w:val="auto"/>
                <w:sz w:val="24"/>
                <w:szCs w:val="24"/>
                <w:highlight w:val="none"/>
                <w:lang w:val="en-US" w:eastAsia="zh-CN"/>
              </w:rPr>
              <w:t>综合评定。</w:t>
            </w:r>
            <w:r>
              <w:rPr>
                <w:rFonts w:hint="eastAsia" w:cs="Times New Roman" w:asciiTheme="minorEastAsia" w:hAnsiTheme="minorEastAsia" w:eastAsiaTheme="minorEastAsia"/>
                <w:color w:val="auto"/>
                <w:kern w:val="2"/>
                <w:sz w:val="24"/>
                <w:szCs w:val="24"/>
                <w:highlight w:val="none"/>
                <w:lang w:val="en-US" w:eastAsia="zh-CN" w:bidi="ar-SA"/>
              </w:rPr>
              <w:t>（本项分值设置为：5-4-3-2-1-0）</w:t>
            </w:r>
          </w:p>
        </w:tc>
        <w:tc>
          <w:tcPr>
            <w:tcW w:w="831" w:type="dxa"/>
            <w:shd w:val="clear" w:color="auto" w:fill="FFFFFF"/>
            <w:noWrap w:val="0"/>
            <w:vAlign w:val="center"/>
          </w:tcPr>
          <w:p w14:paraId="5CE6158E">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tc>
        <w:tc>
          <w:tcPr>
            <w:tcW w:w="1000" w:type="dxa"/>
            <w:shd w:val="clear" w:color="auto" w:fill="FFFFFF"/>
            <w:noWrap w:val="0"/>
            <w:vAlign w:val="center"/>
          </w:tcPr>
          <w:p w14:paraId="3B94E64A">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主观分</w:t>
            </w:r>
          </w:p>
        </w:tc>
      </w:tr>
      <w:tr w14:paraId="6099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36" w:hRule="atLeast"/>
          <w:jc w:val="center"/>
        </w:trPr>
        <w:tc>
          <w:tcPr>
            <w:tcW w:w="535" w:type="dxa"/>
            <w:vMerge w:val="continue"/>
            <w:shd w:val="clear" w:color="auto" w:fill="FFFFFF"/>
            <w:noWrap w:val="0"/>
            <w:vAlign w:val="center"/>
          </w:tcPr>
          <w:p w14:paraId="27C830B9">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3FF4F87F">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6431" w:type="dxa"/>
            <w:gridSpan w:val="2"/>
            <w:shd w:val="clear" w:color="auto" w:fill="FFFFFF"/>
            <w:noWrap w:val="0"/>
            <w:vAlign w:val="center"/>
          </w:tcPr>
          <w:p w14:paraId="218AD487">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内部管理情况：</w:t>
            </w:r>
          </w:p>
          <w:p w14:paraId="28B048C6">
            <w:pPr>
              <w:pageBreakBefore w:val="0"/>
              <w:widowControl/>
              <w:kinsoku/>
              <w:wordWrap/>
              <w:overflowPunct/>
              <w:topLinePunct w:val="0"/>
              <w:bidi w:val="0"/>
              <w:adjustRightInd/>
              <w:spacing w:line="480" w:lineRule="exact"/>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内部管理制度和质量控制标准情况，是否具有相关规章制度和保障措施，</w:t>
            </w:r>
            <w:r>
              <w:rPr>
                <w:rFonts w:hint="eastAsia" w:ascii="宋体" w:hAnsi="宋体" w:cs="宋体"/>
                <w:color w:val="auto"/>
                <w:sz w:val="24"/>
                <w:szCs w:val="24"/>
                <w:highlight w:val="none"/>
                <w:lang w:val="en-US" w:eastAsia="zh-CN"/>
              </w:rPr>
              <w:t>是否落实有</w:t>
            </w:r>
            <w:r>
              <w:rPr>
                <w:rFonts w:hint="eastAsia" w:ascii="宋体" w:hAnsi="宋体" w:cs="宋体"/>
                <w:color w:val="auto"/>
                <w:sz w:val="24"/>
                <w:szCs w:val="24"/>
                <w:highlight w:val="none"/>
              </w:rPr>
              <w:t>统一管理的</w:t>
            </w:r>
            <w:r>
              <w:rPr>
                <w:rFonts w:hint="eastAsia" w:ascii="宋体" w:hAnsi="宋体" w:cs="宋体"/>
                <w:color w:val="auto"/>
                <w:sz w:val="24"/>
                <w:szCs w:val="24"/>
                <w:highlight w:val="none"/>
                <w:lang w:val="en-US" w:eastAsia="zh-CN"/>
              </w:rPr>
              <w:t>集约</w:t>
            </w:r>
            <w:r>
              <w:rPr>
                <w:rFonts w:hint="eastAsia" w:ascii="宋体" w:hAnsi="宋体" w:cs="宋体"/>
                <w:color w:val="auto"/>
                <w:sz w:val="24"/>
                <w:szCs w:val="24"/>
                <w:highlight w:val="none"/>
              </w:rPr>
              <w:t>化管理机制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视制度和措施的详细、优秀情况评价。</w:t>
            </w:r>
            <w:r>
              <w:rPr>
                <w:rFonts w:hint="eastAsia" w:cs="Times New Roman" w:asciiTheme="minorEastAsia" w:hAnsiTheme="minorEastAsia" w:eastAsiaTheme="minorEastAsia"/>
                <w:color w:val="auto"/>
                <w:kern w:val="2"/>
                <w:sz w:val="24"/>
                <w:szCs w:val="24"/>
                <w:highlight w:val="none"/>
                <w:lang w:val="en-US" w:eastAsia="zh-CN" w:bidi="ar-SA"/>
              </w:rPr>
              <w:t>（本项分值设置为：5-4-3-2-1-0）</w:t>
            </w:r>
          </w:p>
          <w:p w14:paraId="27EF510E">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实行信息化管理等情况：视公司信息化管理程度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管理是否科学合理等</w:t>
            </w:r>
            <w:r>
              <w:rPr>
                <w:rFonts w:hint="eastAsia" w:ascii="宋体" w:hAnsi="宋体" w:cs="宋体"/>
                <w:color w:val="auto"/>
                <w:sz w:val="24"/>
                <w:szCs w:val="24"/>
                <w:highlight w:val="none"/>
              </w:rPr>
              <w:t>评价。</w:t>
            </w:r>
            <w:r>
              <w:rPr>
                <w:rFonts w:hint="eastAsia" w:cs="Times New Roman" w:asciiTheme="minorEastAsia" w:hAnsiTheme="minorEastAsia" w:eastAsiaTheme="minorEastAsia"/>
                <w:color w:val="auto"/>
                <w:kern w:val="2"/>
                <w:sz w:val="24"/>
                <w:szCs w:val="24"/>
                <w:highlight w:val="none"/>
                <w:lang w:val="en-US" w:eastAsia="zh-CN" w:bidi="ar-SA"/>
              </w:rPr>
              <w:t>（本项分值设置为：5-4-3-2-1-0）</w:t>
            </w:r>
          </w:p>
        </w:tc>
        <w:tc>
          <w:tcPr>
            <w:tcW w:w="831" w:type="dxa"/>
            <w:shd w:val="clear" w:color="auto" w:fill="FFFFFF"/>
            <w:noWrap w:val="0"/>
            <w:vAlign w:val="center"/>
          </w:tcPr>
          <w:p w14:paraId="5F798496">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0-10分</w:t>
            </w:r>
          </w:p>
        </w:tc>
        <w:tc>
          <w:tcPr>
            <w:tcW w:w="1000" w:type="dxa"/>
            <w:shd w:val="clear" w:color="auto" w:fill="FFFFFF"/>
            <w:noWrap w:val="0"/>
            <w:vAlign w:val="center"/>
          </w:tcPr>
          <w:p w14:paraId="0748ADD6">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主观分</w:t>
            </w:r>
          </w:p>
        </w:tc>
      </w:tr>
      <w:tr w14:paraId="1FBB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6" w:hRule="atLeast"/>
          <w:jc w:val="center"/>
        </w:trPr>
        <w:tc>
          <w:tcPr>
            <w:tcW w:w="535" w:type="dxa"/>
            <w:vMerge w:val="continue"/>
            <w:shd w:val="clear" w:color="auto" w:fill="FFFFFF"/>
            <w:noWrap w:val="0"/>
            <w:vAlign w:val="center"/>
          </w:tcPr>
          <w:p w14:paraId="52B8C9DB">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03A26B34">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6431" w:type="dxa"/>
            <w:gridSpan w:val="2"/>
            <w:shd w:val="clear" w:color="auto" w:fill="FFFFFF"/>
            <w:noWrap w:val="0"/>
            <w:vAlign w:val="center"/>
          </w:tcPr>
          <w:p w14:paraId="12AC4AC8">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根据投标人提供的现场清障，车辆施救、拖移及扣留车辆停放管理服务方案进行评价:</w:t>
            </w:r>
          </w:p>
          <w:p w14:paraId="1C0123FB">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方案</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具有针对性,有信息化管理平台可操作性规划的，</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根据项目需求情况提出详细、具体、明确的服务流程、服务方式方法、服务效果、服务成果、服务验收等，</w:t>
            </w:r>
            <w:r>
              <w:rPr>
                <w:rFonts w:hint="eastAsia" w:ascii="宋体" w:hAnsi="宋体" w:cs="宋体"/>
                <w:color w:val="auto"/>
                <w:sz w:val="24"/>
                <w:szCs w:val="24"/>
                <w:highlight w:val="none"/>
                <w:lang w:val="en-US" w:eastAsia="zh-CN"/>
              </w:rPr>
              <w:t>是否</w:t>
            </w:r>
            <w:r>
              <w:rPr>
                <w:rFonts w:hint="eastAsia" w:ascii="宋体" w:hAnsi="宋体" w:cs="宋体"/>
                <w:color w:val="auto"/>
                <w:sz w:val="24"/>
                <w:szCs w:val="24"/>
                <w:highlight w:val="none"/>
              </w:rPr>
              <w:t>阐述服务方案场景应用等功能描述的等</w:t>
            </w:r>
            <w:r>
              <w:rPr>
                <w:rFonts w:hint="eastAsia" w:ascii="宋体" w:hAnsi="宋体" w:cs="宋体"/>
                <w:color w:val="auto"/>
                <w:sz w:val="24"/>
                <w:szCs w:val="24"/>
                <w:highlight w:val="none"/>
                <w:lang w:val="en-US" w:eastAsia="zh-CN"/>
              </w:rPr>
              <w:t>综合评定。</w:t>
            </w:r>
            <w:r>
              <w:rPr>
                <w:rFonts w:hint="eastAsia" w:cs="Times New Roman" w:asciiTheme="minorEastAsia" w:hAnsiTheme="minorEastAsia" w:eastAsiaTheme="minorEastAsia"/>
                <w:color w:val="auto"/>
                <w:kern w:val="2"/>
                <w:sz w:val="24"/>
                <w:szCs w:val="24"/>
                <w:highlight w:val="none"/>
                <w:lang w:val="en-US" w:eastAsia="zh-CN" w:bidi="ar-SA"/>
              </w:rPr>
              <w:t>（本项分值设置为：4-3-2-1-0）</w:t>
            </w:r>
          </w:p>
        </w:tc>
        <w:tc>
          <w:tcPr>
            <w:tcW w:w="831" w:type="dxa"/>
            <w:shd w:val="clear" w:color="auto" w:fill="FFFFFF"/>
            <w:noWrap w:val="0"/>
            <w:vAlign w:val="center"/>
          </w:tcPr>
          <w:p w14:paraId="2006E88F">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tc>
        <w:tc>
          <w:tcPr>
            <w:tcW w:w="1000" w:type="dxa"/>
            <w:shd w:val="clear" w:color="auto" w:fill="FFFFFF"/>
            <w:noWrap w:val="0"/>
            <w:vAlign w:val="center"/>
          </w:tcPr>
          <w:p w14:paraId="4401DA50">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主观分</w:t>
            </w:r>
          </w:p>
        </w:tc>
      </w:tr>
      <w:tr w14:paraId="03FA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56" w:hRule="atLeast"/>
          <w:jc w:val="center"/>
        </w:trPr>
        <w:tc>
          <w:tcPr>
            <w:tcW w:w="535" w:type="dxa"/>
            <w:vMerge w:val="continue"/>
            <w:shd w:val="clear" w:color="auto" w:fill="FFFFFF"/>
            <w:noWrap w:val="0"/>
            <w:vAlign w:val="center"/>
          </w:tcPr>
          <w:p w14:paraId="605D7917">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68969089">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6431" w:type="dxa"/>
            <w:gridSpan w:val="2"/>
            <w:shd w:val="clear" w:color="auto" w:fill="FFFFFF"/>
            <w:noWrap w:val="0"/>
            <w:vAlign w:val="center"/>
          </w:tcPr>
          <w:p w14:paraId="0B5B89E6">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lang w:val="zh-CN"/>
              </w:rPr>
              <w:t>应急预案：根据</w:t>
            </w:r>
            <w:r>
              <w:rPr>
                <w:rFonts w:hint="eastAsia" w:ascii="宋体" w:hAnsi="宋体" w:cs="宋体"/>
                <w:color w:val="auto"/>
                <w:sz w:val="24"/>
                <w:szCs w:val="24"/>
                <w:highlight w:val="none"/>
              </w:rPr>
              <w:t>拖移保管服务的特殊要求</w:t>
            </w:r>
            <w:r>
              <w:rPr>
                <w:rFonts w:hint="eastAsia" w:ascii="宋体" w:hAnsi="宋体" w:cs="宋体"/>
                <w:color w:val="auto"/>
                <w:sz w:val="24"/>
                <w:szCs w:val="24"/>
                <w:highlight w:val="none"/>
                <w:lang w:val="zh-CN"/>
              </w:rPr>
              <w:t>，提出应急情况，包括设备在发生紧急情况下的应急预案以及当服务人员不足或需要调整更换时的详细应急预案是否全面性、合理性、周密性、可操作性等方面</w:t>
            </w:r>
            <w:r>
              <w:rPr>
                <w:rFonts w:hint="eastAsia" w:ascii="宋体" w:hAnsi="宋体" w:cs="宋体"/>
                <w:color w:val="auto"/>
                <w:sz w:val="24"/>
                <w:szCs w:val="24"/>
                <w:highlight w:val="none"/>
                <w:lang w:val="en-US" w:eastAsia="zh-CN"/>
              </w:rPr>
              <w:t>综合评定。</w:t>
            </w:r>
            <w:r>
              <w:rPr>
                <w:rFonts w:hint="eastAsia" w:cs="Times New Roman" w:asciiTheme="minorEastAsia" w:hAnsiTheme="minorEastAsia" w:eastAsiaTheme="minorEastAsia"/>
                <w:color w:val="auto"/>
                <w:kern w:val="2"/>
                <w:sz w:val="24"/>
                <w:szCs w:val="24"/>
                <w:highlight w:val="none"/>
                <w:lang w:val="en-US" w:eastAsia="zh-CN" w:bidi="ar-SA"/>
              </w:rPr>
              <w:t>（本项分值设置为：4-3</w:t>
            </w:r>
            <w:bookmarkStart w:id="505" w:name="_GoBack"/>
            <w:bookmarkEnd w:id="505"/>
            <w:r>
              <w:rPr>
                <w:rFonts w:hint="eastAsia" w:cs="Times New Roman" w:asciiTheme="minorEastAsia" w:hAnsiTheme="minorEastAsia" w:eastAsiaTheme="minorEastAsia"/>
                <w:color w:val="auto"/>
                <w:kern w:val="2"/>
                <w:sz w:val="24"/>
                <w:szCs w:val="24"/>
                <w:highlight w:val="none"/>
                <w:lang w:val="en-US" w:eastAsia="zh-CN" w:bidi="ar-SA"/>
              </w:rPr>
              <w:t>-2-1-0）</w:t>
            </w:r>
          </w:p>
        </w:tc>
        <w:tc>
          <w:tcPr>
            <w:tcW w:w="831" w:type="dxa"/>
            <w:shd w:val="clear" w:color="auto" w:fill="FFFFFF"/>
            <w:noWrap w:val="0"/>
            <w:vAlign w:val="center"/>
          </w:tcPr>
          <w:p w14:paraId="01B81834">
            <w:pPr>
              <w:pageBreakBefore w:val="0"/>
              <w:widowControl/>
              <w:kinsoku/>
              <w:wordWrap/>
              <w:overflowPunct/>
              <w:topLinePunct w:val="0"/>
              <w:bidi w:val="0"/>
              <w:adjustRightInd/>
              <w:spacing w:line="480" w:lineRule="exact"/>
              <w:jc w:val="both"/>
              <w:rPr>
                <w:rFonts w:hint="eastAsia" w:ascii="宋体" w:hAnsi="宋体" w:cs="宋体"/>
                <w:color w:val="auto"/>
                <w:kern w:val="0"/>
                <w:sz w:val="24"/>
                <w:szCs w:val="24"/>
                <w:highlight w:val="none"/>
              </w:rPr>
            </w:pPr>
          </w:p>
          <w:p w14:paraId="5B6FF539">
            <w:pPr>
              <w:pageBreakBefore w:val="0"/>
              <w:widowControl/>
              <w:kinsoku/>
              <w:wordWrap/>
              <w:overflowPunct/>
              <w:topLinePunct w:val="0"/>
              <w:bidi w:val="0"/>
              <w:adjustRightInd/>
              <w:spacing w:line="48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0-4分</w:t>
            </w:r>
          </w:p>
        </w:tc>
        <w:tc>
          <w:tcPr>
            <w:tcW w:w="1000" w:type="dxa"/>
            <w:shd w:val="clear" w:color="auto" w:fill="FFFFFF"/>
            <w:noWrap w:val="0"/>
            <w:vAlign w:val="center"/>
          </w:tcPr>
          <w:p w14:paraId="7B0E04FB">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主观分</w:t>
            </w:r>
          </w:p>
        </w:tc>
      </w:tr>
      <w:tr w14:paraId="612F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535" w:type="dxa"/>
            <w:vMerge w:val="continue"/>
            <w:shd w:val="clear" w:color="auto" w:fill="FFFFFF"/>
            <w:noWrap w:val="0"/>
            <w:vAlign w:val="center"/>
          </w:tcPr>
          <w:p w14:paraId="5F7487F1">
            <w:pPr>
              <w:pageBreakBefore w:val="0"/>
              <w:widowControl/>
              <w:kinsoku/>
              <w:wordWrap/>
              <w:overflowPunct/>
              <w:topLinePunct w:val="0"/>
              <w:bidi w:val="0"/>
              <w:adjustRightInd/>
              <w:spacing w:line="480" w:lineRule="exact"/>
              <w:rPr>
                <w:rFonts w:ascii="宋体" w:hAnsi="宋体" w:cs="宋体"/>
                <w:color w:val="auto"/>
                <w:sz w:val="24"/>
                <w:szCs w:val="24"/>
                <w:highlight w:val="none"/>
              </w:rPr>
            </w:pPr>
          </w:p>
        </w:tc>
        <w:tc>
          <w:tcPr>
            <w:tcW w:w="624" w:type="dxa"/>
            <w:shd w:val="clear" w:color="auto" w:fill="FFFFFF"/>
            <w:noWrap w:val="0"/>
            <w:vAlign w:val="center"/>
          </w:tcPr>
          <w:p w14:paraId="446CF02C">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6431" w:type="dxa"/>
            <w:gridSpan w:val="2"/>
            <w:shd w:val="clear" w:color="auto" w:fill="FFFFFF"/>
            <w:noWrap w:val="0"/>
            <w:vAlign w:val="center"/>
          </w:tcPr>
          <w:p w14:paraId="7DD2EE90">
            <w:pPr>
              <w:pageBreakBefore w:val="0"/>
              <w:widowControl/>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lang w:val="zh-CN"/>
              </w:rPr>
              <w:t>保证进度和项目完成的方案和措施是否具有详细、科学、合理的培训计划、培训内容、时间段等情况</w:t>
            </w:r>
            <w:r>
              <w:rPr>
                <w:rFonts w:hint="eastAsia" w:ascii="宋体" w:hAnsi="宋体" w:cs="宋体"/>
                <w:color w:val="auto"/>
                <w:sz w:val="24"/>
                <w:szCs w:val="24"/>
                <w:highlight w:val="none"/>
                <w:lang w:val="en-US" w:eastAsia="zh-CN"/>
              </w:rPr>
              <w:t>综合评定。</w:t>
            </w:r>
            <w:r>
              <w:rPr>
                <w:rFonts w:hint="eastAsia" w:cs="Times New Roman" w:asciiTheme="minorEastAsia" w:hAnsiTheme="minorEastAsia" w:eastAsiaTheme="minorEastAsia"/>
                <w:color w:val="auto"/>
                <w:kern w:val="2"/>
                <w:sz w:val="24"/>
                <w:szCs w:val="24"/>
                <w:highlight w:val="none"/>
                <w:lang w:val="en-US" w:eastAsia="zh-CN" w:bidi="ar-SA"/>
              </w:rPr>
              <w:t>（本项分值设置为：4-3-2-1-0）</w:t>
            </w:r>
          </w:p>
        </w:tc>
        <w:tc>
          <w:tcPr>
            <w:tcW w:w="831" w:type="dxa"/>
            <w:shd w:val="clear" w:color="auto" w:fill="FFFFFF"/>
            <w:noWrap w:val="0"/>
            <w:vAlign w:val="center"/>
          </w:tcPr>
          <w:p w14:paraId="50889850">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0-</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分</w:t>
            </w:r>
          </w:p>
        </w:tc>
        <w:tc>
          <w:tcPr>
            <w:tcW w:w="1000" w:type="dxa"/>
            <w:shd w:val="clear" w:color="auto" w:fill="FFFFFF"/>
            <w:noWrap w:val="0"/>
            <w:vAlign w:val="center"/>
          </w:tcPr>
          <w:p w14:paraId="118131E7">
            <w:pPr>
              <w:pageBreakBefore w:val="0"/>
              <w:widowControl/>
              <w:kinsoku/>
              <w:wordWrap/>
              <w:overflowPunct/>
              <w:topLinePunct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主观分</w:t>
            </w:r>
          </w:p>
        </w:tc>
      </w:tr>
    </w:tbl>
    <w:p w14:paraId="0EA489AB">
      <w:pPr>
        <w:pageBreakBefore w:val="0"/>
        <w:kinsoku/>
        <w:wordWrap/>
        <w:overflowPunct/>
        <w:topLinePunct w:val="0"/>
        <w:bidi w:val="0"/>
        <w:adjustRightInd/>
        <w:spacing w:line="240" w:lineRule="auto"/>
        <w:rPr>
          <w:rFonts w:ascii="宋体" w:hAnsi="宋体" w:cs="宋体"/>
          <w:color w:val="auto"/>
          <w:sz w:val="24"/>
          <w:szCs w:val="24"/>
          <w:highlight w:val="none"/>
        </w:rPr>
      </w:pPr>
    </w:p>
    <w:p w14:paraId="68343018">
      <w:pPr>
        <w:pageBreakBefore w:val="0"/>
        <w:kinsoku/>
        <w:wordWrap/>
        <w:overflowPunct/>
        <w:topLinePunct w:val="0"/>
        <w:bidi w:val="0"/>
        <w:adjustRightInd/>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3.价格分（10分）</w:t>
      </w:r>
    </w:p>
    <w:tbl>
      <w:tblPr>
        <w:tblStyle w:val="62"/>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7106"/>
      </w:tblGrid>
      <w:tr w14:paraId="1820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16" w:type="dxa"/>
            <w:tcBorders>
              <w:top w:val="single" w:color="auto" w:sz="4" w:space="0"/>
              <w:left w:val="single" w:color="auto" w:sz="4" w:space="0"/>
              <w:bottom w:val="single" w:color="auto" w:sz="4" w:space="0"/>
              <w:right w:val="single" w:color="auto" w:sz="4" w:space="0"/>
            </w:tcBorders>
            <w:noWrap/>
            <w:vAlign w:val="center"/>
          </w:tcPr>
          <w:p w14:paraId="67BA2A96">
            <w:pPr>
              <w:pageBreakBefore w:val="0"/>
              <w:widowControl/>
              <w:kinsoku/>
              <w:wordWrap/>
              <w:overflowPunct/>
              <w:topLinePunct w:val="0"/>
              <w:autoSpaceDE w:val="0"/>
              <w:autoSpaceDN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价格权值</w:t>
            </w:r>
          </w:p>
        </w:tc>
        <w:tc>
          <w:tcPr>
            <w:tcW w:w="7106" w:type="dxa"/>
            <w:tcBorders>
              <w:top w:val="single" w:color="auto" w:sz="4" w:space="0"/>
              <w:left w:val="single" w:color="auto" w:sz="4" w:space="0"/>
              <w:bottom w:val="single" w:color="auto" w:sz="4" w:space="0"/>
              <w:right w:val="single" w:color="auto" w:sz="4" w:space="0"/>
            </w:tcBorders>
            <w:noWrap/>
            <w:vAlign w:val="center"/>
          </w:tcPr>
          <w:p w14:paraId="576A5491">
            <w:pPr>
              <w:pageBreakBefore w:val="0"/>
              <w:widowControl/>
              <w:kinsoku/>
              <w:wordWrap/>
              <w:overflowPunct/>
              <w:topLinePunct w:val="0"/>
              <w:autoSpaceDE w:val="0"/>
              <w:autoSpaceDN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计算方法</w:t>
            </w:r>
          </w:p>
        </w:tc>
      </w:tr>
      <w:tr w14:paraId="1123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316" w:type="dxa"/>
            <w:tcBorders>
              <w:top w:val="single" w:color="auto" w:sz="4" w:space="0"/>
              <w:left w:val="single" w:color="auto" w:sz="4" w:space="0"/>
              <w:bottom w:val="single" w:color="auto" w:sz="4" w:space="0"/>
              <w:right w:val="single" w:color="auto" w:sz="4" w:space="0"/>
            </w:tcBorders>
            <w:noWrap/>
            <w:vAlign w:val="center"/>
          </w:tcPr>
          <w:p w14:paraId="07B2CEA8">
            <w:pPr>
              <w:pageBreakBefore w:val="0"/>
              <w:widowControl/>
              <w:kinsoku/>
              <w:wordWrap/>
              <w:overflowPunct/>
              <w:topLinePunct w:val="0"/>
              <w:autoSpaceDE w:val="0"/>
              <w:autoSpaceDN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价格权值=0.10</w:t>
            </w:r>
          </w:p>
        </w:tc>
        <w:tc>
          <w:tcPr>
            <w:tcW w:w="7106" w:type="dxa"/>
            <w:tcBorders>
              <w:top w:val="single" w:color="auto" w:sz="4" w:space="0"/>
              <w:left w:val="single" w:color="auto" w:sz="4" w:space="0"/>
              <w:bottom w:val="single" w:color="auto" w:sz="4" w:space="0"/>
              <w:right w:val="single" w:color="auto" w:sz="4" w:space="0"/>
            </w:tcBorders>
            <w:noWrap/>
            <w:vAlign w:val="center"/>
          </w:tcPr>
          <w:p w14:paraId="2143AB43">
            <w:pPr>
              <w:pageBreakBefore w:val="0"/>
              <w:widowControl/>
              <w:kinsoku/>
              <w:wordWrap/>
              <w:overflowPunct/>
              <w:topLinePunct w:val="0"/>
              <w:autoSpaceDE w:val="0"/>
              <w:autoSpaceDN w:val="0"/>
              <w:bidi w:val="0"/>
              <w:adjustRightInd/>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有效投标报价的最低价作为评标基准价，其最低报价为满分；</w:t>
            </w:r>
          </w:p>
          <w:p w14:paraId="3BA0204E">
            <w:pPr>
              <w:pageBreakBefore w:val="0"/>
              <w:widowControl/>
              <w:kinsoku/>
              <w:wordWrap/>
              <w:overflowPunct/>
              <w:topLinePunct w:val="0"/>
              <w:autoSpaceDE w:val="0"/>
              <w:autoSpaceDN w:val="0"/>
              <w:bidi w:val="0"/>
              <w:adjustRightInd/>
              <w:spacing w:line="480" w:lineRule="exact"/>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投标报价得分=(评标基准价／投标报价)×价格权值×100；</w:t>
            </w:r>
          </w:p>
          <w:p w14:paraId="161D9B30">
            <w:pPr>
              <w:pageBreakBefore w:val="0"/>
              <w:widowControl/>
              <w:kinsoku/>
              <w:wordWrap/>
              <w:overflowPunct/>
              <w:topLinePunct w:val="0"/>
              <w:autoSpaceDE w:val="0"/>
              <w:autoSpaceDN w:val="0"/>
              <w:bidi w:val="0"/>
              <w:adjustRightInd/>
              <w:spacing w:line="480" w:lineRule="exact"/>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（计算得分保留小数点后2位）</w:t>
            </w:r>
          </w:p>
          <w:p w14:paraId="3030AB83">
            <w:pPr>
              <w:pageBreakBefore w:val="0"/>
              <w:widowControl/>
              <w:kinsoku/>
              <w:wordWrap/>
              <w:overflowPunct/>
              <w:topLinePunct w:val="0"/>
              <w:autoSpaceDE w:val="0"/>
              <w:autoSpaceDN w:val="0"/>
              <w:bidi w:val="0"/>
              <w:adjustRightInd/>
              <w:spacing w:line="4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评标过程中，不得去掉报价中的最高报价和最低报价。</w:t>
            </w:r>
          </w:p>
        </w:tc>
      </w:tr>
    </w:tbl>
    <w:p w14:paraId="26CB8ED4">
      <w:pPr>
        <w:pageBreakBefore w:val="0"/>
        <w:kinsoku/>
        <w:wordWrap/>
        <w:overflowPunct/>
        <w:topLinePunct w:val="0"/>
        <w:bidi w:val="0"/>
        <w:adjustRightInd/>
        <w:spacing w:line="240" w:lineRule="auto"/>
        <w:rPr>
          <w:rFonts w:hint="eastAsia" w:ascii="宋体" w:hAnsi="宋体" w:cs="宋体"/>
          <w:color w:val="auto"/>
          <w:highlight w:val="none"/>
        </w:rPr>
      </w:pPr>
    </w:p>
    <w:p w14:paraId="21F0BC36">
      <w:pPr>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14:paraId="34D68BD8">
      <w:pPr>
        <w:spacing w:line="360" w:lineRule="auto"/>
        <w:rPr>
          <w:rFonts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w:t>
      </w:r>
      <w:r>
        <w:rPr>
          <w:rFonts w:ascii="宋体" w:hAnsi="宋体" w:cs="宋体"/>
          <w:color w:val="auto"/>
          <w:sz w:val="24"/>
          <w:highlight w:val="none"/>
        </w:rPr>
        <w:t>，提供营业执照及身份证</w:t>
      </w:r>
      <w:r>
        <w:rPr>
          <w:rFonts w:hint="eastAsia" w:ascii="宋体" w:hAnsi="宋体" w:cs="宋体"/>
          <w:color w:val="auto"/>
          <w:sz w:val="24"/>
          <w:highlight w:val="none"/>
        </w:rPr>
        <w:t>。</w:t>
      </w:r>
    </w:p>
    <w:p w14:paraId="1E384D2B">
      <w:pPr>
        <w:spacing w:line="360" w:lineRule="auto"/>
        <w:rPr>
          <w:rFonts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27A5AB9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8A5DDF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9009829">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325F7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EFBC54B">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7539FDE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31BCDF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7B7C99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A68B8B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A666AD2">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D7212F9">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09D291E">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5B3A43D">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C3B6F61">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3F883DC">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927B5A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66639E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8D105FF">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24AB253">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425F1B4">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E86796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F49A3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w:t>
      </w:r>
      <w:r>
        <w:rPr>
          <w:rFonts w:hint="eastAsia" w:ascii="宋体" w:hAnsi="宋体" w:cs="宋体"/>
          <w:bCs/>
          <w:color w:val="auto"/>
          <w:kern w:val="0"/>
          <w:sz w:val="24"/>
          <w:highlight w:val="none"/>
        </w:rPr>
        <w:t>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CB0E51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88FC805">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8C958A">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60B324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168ED9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079A8D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024D8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584AC8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0D0E39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436AA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63A4A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860A4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7154BE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E7571E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9422D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EF677D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2B46F36A">
      <w:pPr>
        <w:spacing w:line="360" w:lineRule="auto"/>
        <w:ind w:firstLine="480" w:firstLineChars="200"/>
        <w:rPr>
          <w:color w:val="auto"/>
          <w:highlight w:val="none"/>
        </w:rPr>
      </w:pPr>
      <w:r>
        <w:rPr>
          <w:rFonts w:hint="eastAsia" w:ascii="宋体" w:hAnsi="宋体" w:cs="宋体"/>
          <w:color w:val="auto"/>
          <w:kern w:val="0"/>
          <w:sz w:val="24"/>
          <w:highlight w:val="none"/>
        </w:rPr>
        <w:t>4.2.14 投标文件不满足招标文件的实质性要求的；</w:t>
      </w:r>
    </w:p>
    <w:p w14:paraId="48C8164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25C00C39">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0441F77">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690D6D8">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29706EC3">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90CA037">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71340744">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4791CC7">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A0C648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14FD188">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7D8E123">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2F509C3">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96EE018">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5BC06A3">
      <w:pPr>
        <w:spacing w:line="360" w:lineRule="auto"/>
        <w:ind w:firstLine="420"/>
        <w:outlineLvl w:val="0"/>
        <w:rPr>
          <w:rFonts w:cs="宋体"/>
          <w:color w:val="auto"/>
          <w:highlight w:val="none"/>
        </w:rPr>
      </w:pPr>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color w:val="auto"/>
          <w:sz w:val="24"/>
          <w:highlight w:val="none"/>
        </w:rPr>
        <w:t>5</w:t>
      </w:r>
      <w:r>
        <w:rPr>
          <w:rFonts w:hint="eastAsia" w:cs="宋体"/>
          <w:color w:val="auto"/>
          <w:sz w:val="24"/>
          <w:highlight w:val="none"/>
        </w:rPr>
        <w:t>政府采购当事人有其他违反政府采购法或者政府采购法实施条例等法律法规规定的行为，经改正后仍然影响或者可能影响中标结果或者依法被认定为中标无效的，依照7.1-7.4规定处理。</w:t>
      </w:r>
    </w:p>
    <w:p w14:paraId="55DFA8A9">
      <w:pPr>
        <w:rPr>
          <w:rFonts w:cs="宋体"/>
          <w:color w:val="auto"/>
          <w:highlight w:val="none"/>
        </w:rPr>
      </w:pPr>
      <w:r>
        <w:rPr>
          <w:rFonts w:hint="eastAsia" w:cs="宋体"/>
          <w:color w:val="auto"/>
          <w:highlight w:val="none"/>
        </w:rPr>
        <w:br w:type="page"/>
      </w:r>
    </w:p>
    <w:p w14:paraId="068CD00C">
      <w:pPr>
        <w:numPr>
          <w:ilvl w:val="0"/>
          <w:numId w:val="11"/>
        </w:num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14:paraId="0F4E314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EBE0BF2">
      <w:pPr>
        <w:pStyle w:val="4"/>
        <w:ind w:left="0" w:firstLine="0"/>
        <w:rPr>
          <w:color w:val="auto"/>
          <w:highlight w:val="none"/>
        </w:rPr>
      </w:pPr>
    </w:p>
    <w:p w14:paraId="0454D20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4FB488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3BFC9781">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AE33586">
      <w:pPr>
        <w:spacing w:before="120" w:line="22" w:lineRule="atLeast"/>
        <w:rPr>
          <w:rFonts w:ascii="宋体" w:hAnsi="宋体" w:cs="宋体"/>
          <w:color w:val="auto"/>
          <w:sz w:val="24"/>
          <w:highlight w:val="none"/>
        </w:rPr>
      </w:pPr>
    </w:p>
    <w:p w14:paraId="7F0CD606">
      <w:pPr>
        <w:pStyle w:val="4"/>
        <w:rPr>
          <w:color w:val="auto"/>
          <w:highlight w:val="none"/>
        </w:rPr>
      </w:pPr>
    </w:p>
    <w:p w14:paraId="34DA3840">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3863D79">
      <w:pPr>
        <w:pStyle w:val="596"/>
        <w:spacing w:before="120" w:line="22" w:lineRule="atLeast"/>
        <w:rPr>
          <w:rFonts w:ascii="宋体" w:hAnsi="宋体" w:eastAsia="宋体" w:cs="宋体"/>
          <w:color w:val="auto"/>
          <w:szCs w:val="24"/>
          <w:highlight w:val="none"/>
        </w:rPr>
      </w:pPr>
    </w:p>
    <w:p w14:paraId="04AD720F">
      <w:pPr>
        <w:pStyle w:val="596"/>
        <w:spacing w:before="120" w:line="22" w:lineRule="atLeast"/>
        <w:rPr>
          <w:rFonts w:ascii="宋体" w:hAnsi="宋体" w:eastAsia="宋体" w:cs="宋体"/>
          <w:color w:val="auto"/>
          <w:szCs w:val="24"/>
          <w:highlight w:val="none"/>
        </w:rPr>
      </w:pPr>
    </w:p>
    <w:p w14:paraId="0119B1C2">
      <w:pPr>
        <w:rPr>
          <w:rFonts w:ascii="宋体" w:hAnsi="宋体" w:cs="宋体"/>
          <w:color w:val="auto"/>
          <w:sz w:val="24"/>
          <w:highlight w:val="none"/>
        </w:rPr>
      </w:pPr>
    </w:p>
    <w:p w14:paraId="404288E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30C0982">
      <w:pPr>
        <w:spacing w:before="120" w:line="22" w:lineRule="atLeast"/>
        <w:rPr>
          <w:rFonts w:ascii="宋体" w:hAnsi="宋体" w:cs="宋体"/>
          <w:color w:val="auto"/>
          <w:sz w:val="24"/>
          <w:highlight w:val="none"/>
        </w:rPr>
      </w:pPr>
    </w:p>
    <w:p w14:paraId="6A7C300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07B40CB">
      <w:pPr>
        <w:spacing w:before="120" w:line="22" w:lineRule="atLeast"/>
        <w:rPr>
          <w:rFonts w:ascii="宋体" w:hAnsi="宋体" w:cs="宋体"/>
          <w:color w:val="auto"/>
          <w:sz w:val="24"/>
          <w:highlight w:val="none"/>
        </w:rPr>
      </w:pPr>
    </w:p>
    <w:p w14:paraId="5CEE7A1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D5AE4F">
      <w:pPr>
        <w:spacing w:before="120" w:line="22" w:lineRule="atLeast"/>
        <w:rPr>
          <w:rFonts w:ascii="宋体" w:hAnsi="宋体" w:cs="宋体"/>
          <w:color w:val="auto"/>
          <w:sz w:val="24"/>
          <w:highlight w:val="none"/>
        </w:rPr>
      </w:pPr>
    </w:p>
    <w:p w14:paraId="4AF5B32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46E1732">
      <w:pPr>
        <w:rPr>
          <w:rFonts w:ascii="宋体" w:hAnsi="宋体" w:cs="宋体"/>
          <w:b/>
          <w:color w:val="auto"/>
          <w:sz w:val="24"/>
          <w:highlight w:val="none"/>
        </w:rPr>
      </w:pPr>
      <w:r>
        <w:rPr>
          <w:rFonts w:ascii="宋体" w:hAnsi="宋体" w:cs="宋体"/>
          <w:b/>
          <w:color w:val="auto"/>
          <w:sz w:val="24"/>
          <w:highlight w:val="none"/>
        </w:rPr>
        <w:br w:type="page"/>
      </w:r>
    </w:p>
    <w:p w14:paraId="5463B82D">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3C520EB">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1972ED7B">
      <w:pPr>
        <w:spacing w:line="560" w:lineRule="exact"/>
        <w:ind w:firstLine="482" w:firstLineChars="200"/>
        <w:outlineLvl w:val="0"/>
        <w:rPr>
          <w:rFonts w:ascii="宋体" w:hAnsi="宋体"/>
          <w:color w:val="auto"/>
          <w:sz w:val="24"/>
          <w:highlight w:val="none"/>
        </w:rPr>
      </w:pPr>
      <w:bookmarkStart w:id="394" w:name="_Toc15367"/>
      <w:bookmarkStart w:id="395" w:name="_Toc22967"/>
      <w:bookmarkStart w:id="396" w:name="_Toc19273"/>
      <w:bookmarkStart w:id="397" w:name="_Toc20421"/>
      <w:bookmarkStart w:id="398"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4"/>
      <w:bookmarkEnd w:id="395"/>
      <w:bookmarkEnd w:id="396"/>
      <w:bookmarkEnd w:id="397"/>
      <w:bookmarkEnd w:id="398"/>
    </w:p>
    <w:p w14:paraId="109E17B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008E1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076702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55E729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B29819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BCF168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C9A9ECA">
      <w:pPr>
        <w:spacing w:line="560" w:lineRule="exact"/>
        <w:ind w:firstLine="482" w:firstLineChars="200"/>
        <w:outlineLvl w:val="0"/>
        <w:rPr>
          <w:rFonts w:ascii="宋体" w:hAnsi="宋体"/>
          <w:b/>
          <w:color w:val="auto"/>
          <w:sz w:val="24"/>
          <w:highlight w:val="none"/>
        </w:rPr>
      </w:pPr>
      <w:bookmarkStart w:id="399" w:name="_Toc2918"/>
      <w:bookmarkStart w:id="400" w:name="_Toc18585"/>
      <w:bookmarkStart w:id="401" w:name="_Toc6311"/>
      <w:bookmarkStart w:id="402" w:name="_Toc6773"/>
      <w:bookmarkStart w:id="403"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399"/>
      <w:bookmarkEnd w:id="400"/>
      <w:bookmarkEnd w:id="401"/>
      <w:bookmarkEnd w:id="402"/>
      <w:bookmarkEnd w:id="403"/>
    </w:p>
    <w:p w14:paraId="2ED8AA4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52BA2D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B4CA34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9AD4B1A">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3E5BC95D">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7DB30E57">
      <w:pPr>
        <w:spacing w:line="560" w:lineRule="exact"/>
        <w:ind w:firstLine="480" w:firstLineChars="200"/>
        <w:rPr>
          <w:rFonts w:ascii="宋体" w:hAnsi="宋体" w:cs="宋体"/>
          <w:color w:val="auto"/>
          <w:sz w:val="24"/>
          <w:highlight w:val="none"/>
          <w:u w:val="single"/>
        </w:rPr>
      </w:pPr>
      <w:bookmarkStart w:id="404" w:name="_Toc4929"/>
      <w:bookmarkStart w:id="405" w:name="_Toc21124"/>
      <w:bookmarkStart w:id="406" w:name="_Toc13918"/>
      <w:bookmarkStart w:id="407" w:name="_Toc1386"/>
      <w:bookmarkStart w:id="408"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E7417A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EB5ED3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462B5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4"/>
      <w:bookmarkEnd w:id="405"/>
      <w:bookmarkEnd w:id="406"/>
      <w:bookmarkEnd w:id="407"/>
      <w:bookmarkEnd w:id="408"/>
    </w:p>
    <w:p w14:paraId="2FDA845C">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58DAFC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7B3E2B1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6CF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300AA5">
            <w:pPr>
              <w:pStyle w:val="31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04C8E67">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2391C82E">
            <w:pPr>
              <w:pStyle w:val="317"/>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69D1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4452CA">
            <w:pPr>
              <w:pStyle w:val="317"/>
              <w:spacing w:line="560" w:lineRule="exact"/>
              <w:ind w:firstLine="200"/>
              <w:jc w:val="center"/>
              <w:rPr>
                <w:rFonts w:hAnsi="宋体"/>
                <w:color w:val="auto"/>
                <w:sz w:val="24"/>
                <w:szCs w:val="24"/>
                <w:highlight w:val="none"/>
              </w:rPr>
            </w:pPr>
          </w:p>
        </w:tc>
        <w:tc>
          <w:tcPr>
            <w:tcW w:w="3402" w:type="dxa"/>
            <w:vAlign w:val="center"/>
          </w:tcPr>
          <w:p w14:paraId="45CE57C4">
            <w:pPr>
              <w:pStyle w:val="317"/>
              <w:spacing w:line="560" w:lineRule="exact"/>
              <w:ind w:firstLine="200"/>
              <w:jc w:val="center"/>
              <w:rPr>
                <w:rFonts w:hAnsi="宋体"/>
                <w:color w:val="auto"/>
                <w:sz w:val="24"/>
                <w:szCs w:val="24"/>
                <w:highlight w:val="none"/>
              </w:rPr>
            </w:pPr>
          </w:p>
        </w:tc>
        <w:tc>
          <w:tcPr>
            <w:tcW w:w="2552" w:type="dxa"/>
            <w:vAlign w:val="center"/>
          </w:tcPr>
          <w:p w14:paraId="3102BFED">
            <w:pPr>
              <w:pStyle w:val="317"/>
              <w:spacing w:line="560" w:lineRule="exact"/>
              <w:ind w:firstLine="200"/>
              <w:jc w:val="center"/>
              <w:rPr>
                <w:rFonts w:hAnsi="宋体"/>
                <w:color w:val="auto"/>
                <w:sz w:val="24"/>
                <w:szCs w:val="24"/>
                <w:highlight w:val="none"/>
              </w:rPr>
            </w:pPr>
          </w:p>
        </w:tc>
      </w:tr>
      <w:tr w14:paraId="1154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0382F3">
            <w:pPr>
              <w:pStyle w:val="317"/>
              <w:spacing w:line="560" w:lineRule="exact"/>
              <w:ind w:firstLine="200"/>
              <w:jc w:val="center"/>
              <w:rPr>
                <w:rFonts w:hAnsi="宋体"/>
                <w:color w:val="auto"/>
                <w:sz w:val="24"/>
                <w:szCs w:val="24"/>
                <w:highlight w:val="none"/>
              </w:rPr>
            </w:pPr>
          </w:p>
        </w:tc>
        <w:tc>
          <w:tcPr>
            <w:tcW w:w="3402" w:type="dxa"/>
            <w:vAlign w:val="center"/>
          </w:tcPr>
          <w:p w14:paraId="1FFE90C2">
            <w:pPr>
              <w:pStyle w:val="317"/>
              <w:spacing w:line="560" w:lineRule="exact"/>
              <w:ind w:firstLine="200"/>
              <w:jc w:val="center"/>
              <w:rPr>
                <w:rFonts w:hAnsi="宋体"/>
                <w:color w:val="auto"/>
                <w:sz w:val="24"/>
                <w:szCs w:val="24"/>
                <w:highlight w:val="none"/>
              </w:rPr>
            </w:pPr>
          </w:p>
        </w:tc>
        <w:tc>
          <w:tcPr>
            <w:tcW w:w="2552" w:type="dxa"/>
            <w:vAlign w:val="center"/>
          </w:tcPr>
          <w:p w14:paraId="0E87F603">
            <w:pPr>
              <w:pStyle w:val="317"/>
              <w:spacing w:line="560" w:lineRule="exact"/>
              <w:ind w:firstLine="200"/>
              <w:jc w:val="center"/>
              <w:rPr>
                <w:rFonts w:hAnsi="宋体"/>
                <w:color w:val="auto"/>
                <w:sz w:val="24"/>
                <w:szCs w:val="24"/>
                <w:highlight w:val="none"/>
              </w:rPr>
            </w:pPr>
          </w:p>
        </w:tc>
      </w:tr>
      <w:tr w14:paraId="101C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03334B">
            <w:pPr>
              <w:pStyle w:val="317"/>
              <w:spacing w:line="560" w:lineRule="exact"/>
              <w:ind w:firstLine="200"/>
              <w:jc w:val="center"/>
              <w:rPr>
                <w:rFonts w:hAnsi="宋体"/>
                <w:color w:val="auto"/>
                <w:sz w:val="24"/>
                <w:szCs w:val="24"/>
                <w:highlight w:val="none"/>
              </w:rPr>
            </w:pPr>
          </w:p>
        </w:tc>
        <w:tc>
          <w:tcPr>
            <w:tcW w:w="3402" w:type="dxa"/>
            <w:vAlign w:val="center"/>
          </w:tcPr>
          <w:p w14:paraId="22B4FE47">
            <w:pPr>
              <w:pStyle w:val="317"/>
              <w:spacing w:line="560" w:lineRule="exact"/>
              <w:ind w:firstLine="200"/>
              <w:jc w:val="center"/>
              <w:rPr>
                <w:rFonts w:hAnsi="宋体"/>
                <w:color w:val="auto"/>
                <w:sz w:val="24"/>
                <w:szCs w:val="24"/>
                <w:highlight w:val="none"/>
              </w:rPr>
            </w:pPr>
          </w:p>
        </w:tc>
        <w:tc>
          <w:tcPr>
            <w:tcW w:w="2552" w:type="dxa"/>
            <w:vAlign w:val="center"/>
          </w:tcPr>
          <w:p w14:paraId="0BF643F5">
            <w:pPr>
              <w:pStyle w:val="317"/>
              <w:spacing w:line="560" w:lineRule="exact"/>
              <w:ind w:firstLine="200"/>
              <w:jc w:val="center"/>
              <w:rPr>
                <w:rFonts w:hAnsi="宋体"/>
                <w:color w:val="auto"/>
                <w:sz w:val="24"/>
                <w:szCs w:val="24"/>
                <w:highlight w:val="none"/>
              </w:rPr>
            </w:pPr>
          </w:p>
        </w:tc>
      </w:tr>
      <w:tr w14:paraId="43F0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1FDF61">
            <w:pPr>
              <w:pStyle w:val="317"/>
              <w:spacing w:line="560" w:lineRule="exact"/>
              <w:ind w:firstLine="200"/>
              <w:jc w:val="center"/>
              <w:rPr>
                <w:rFonts w:hAnsi="宋体"/>
                <w:color w:val="auto"/>
                <w:sz w:val="24"/>
                <w:szCs w:val="24"/>
                <w:highlight w:val="none"/>
              </w:rPr>
            </w:pPr>
          </w:p>
        </w:tc>
        <w:tc>
          <w:tcPr>
            <w:tcW w:w="3402" w:type="dxa"/>
            <w:vAlign w:val="center"/>
          </w:tcPr>
          <w:p w14:paraId="586CAE0E">
            <w:pPr>
              <w:pStyle w:val="317"/>
              <w:spacing w:line="560" w:lineRule="exact"/>
              <w:ind w:firstLine="200"/>
              <w:jc w:val="center"/>
              <w:rPr>
                <w:rFonts w:hAnsi="宋体"/>
                <w:color w:val="auto"/>
                <w:sz w:val="24"/>
                <w:szCs w:val="24"/>
                <w:highlight w:val="none"/>
              </w:rPr>
            </w:pPr>
          </w:p>
        </w:tc>
        <w:tc>
          <w:tcPr>
            <w:tcW w:w="2552" w:type="dxa"/>
            <w:vAlign w:val="center"/>
          </w:tcPr>
          <w:p w14:paraId="2E229E43">
            <w:pPr>
              <w:pStyle w:val="317"/>
              <w:spacing w:line="560" w:lineRule="exact"/>
              <w:ind w:firstLine="200"/>
              <w:jc w:val="center"/>
              <w:rPr>
                <w:rFonts w:hAnsi="宋体"/>
                <w:color w:val="auto"/>
                <w:sz w:val="24"/>
                <w:szCs w:val="24"/>
                <w:highlight w:val="none"/>
              </w:rPr>
            </w:pPr>
          </w:p>
        </w:tc>
      </w:tr>
      <w:tr w14:paraId="333C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738E17D">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016B13E">
            <w:pPr>
              <w:pStyle w:val="317"/>
              <w:spacing w:line="560" w:lineRule="exact"/>
              <w:ind w:firstLine="200"/>
              <w:jc w:val="center"/>
              <w:rPr>
                <w:rFonts w:hAnsi="宋体"/>
                <w:color w:val="auto"/>
                <w:sz w:val="24"/>
                <w:szCs w:val="24"/>
                <w:highlight w:val="none"/>
              </w:rPr>
            </w:pPr>
          </w:p>
        </w:tc>
      </w:tr>
    </w:tbl>
    <w:p w14:paraId="264AF589">
      <w:pPr>
        <w:spacing w:line="560" w:lineRule="exact"/>
        <w:ind w:firstLine="480" w:firstLineChars="200"/>
        <w:rPr>
          <w:rFonts w:ascii="宋体" w:hAnsi="宋体"/>
          <w:color w:val="auto"/>
          <w:sz w:val="24"/>
          <w:highlight w:val="none"/>
        </w:rPr>
      </w:pPr>
      <w:bookmarkStart w:id="409" w:name="_Toc30158"/>
      <w:bookmarkStart w:id="410" w:name="_Toc14993"/>
      <w:bookmarkStart w:id="411" w:name="_Toc26916"/>
      <w:bookmarkStart w:id="412" w:name="_Toc30506"/>
      <w:bookmarkStart w:id="413"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1C5B9508">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9"/>
    <w:bookmarkEnd w:id="410"/>
    <w:bookmarkEnd w:id="411"/>
    <w:bookmarkEnd w:id="412"/>
    <w:bookmarkEnd w:id="413"/>
    <w:p w14:paraId="724C07CC">
      <w:pPr>
        <w:pStyle w:val="957"/>
        <w:spacing w:before="0" w:beforeAutospacing="0" w:after="0" w:afterAutospacing="0" w:line="360" w:lineRule="auto"/>
        <w:ind w:firstLine="480"/>
        <w:rPr>
          <w:b/>
          <w:color w:val="auto"/>
          <w:highlight w:val="none"/>
        </w:rPr>
      </w:pPr>
      <w:bookmarkStart w:id="414" w:name="_Toc3625"/>
      <w:bookmarkStart w:id="415" w:name="_Toc31421"/>
      <w:bookmarkStart w:id="416" w:name="_Toc4760"/>
      <w:bookmarkStart w:id="417" w:name="_Toc11108"/>
      <w:bookmarkStart w:id="418" w:name="_Toc8772"/>
      <w:r>
        <w:rPr>
          <w:rFonts w:hint="eastAsia"/>
          <w:b/>
          <w:color w:val="auto"/>
          <w:highlight w:val="none"/>
        </w:rPr>
        <w:t>1.4履约保证金</w:t>
      </w:r>
    </w:p>
    <w:p w14:paraId="787068E2">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F8BAEF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A0FC38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F6EB405">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2FEEA0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63A6D6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1620421A">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F7A08A8">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03C72BA">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938F85D">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F5D1AF2">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A1C2B1C">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2D322F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137F5E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4"/>
      <w:bookmarkEnd w:id="415"/>
      <w:bookmarkEnd w:id="416"/>
      <w:bookmarkEnd w:id="417"/>
      <w:bookmarkEnd w:id="418"/>
    </w:p>
    <w:p w14:paraId="0ED2B28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BF68E0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1A0EE4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E8C0991">
      <w:pPr>
        <w:spacing w:line="560" w:lineRule="exact"/>
        <w:ind w:firstLine="480" w:firstLineChars="200"/>
        <w:outlineLvl w:val="0"/>
        <w:rPr>
          <w:rFonts w:ascii="宋体" w:hAnsi="宋体"/>
          <w:bCs/>
          <w:color w:val="auto"/>
          <w:sz w:val="24"/>
          <w:highlight w:val="none"/>
        </w:rPr>
      </w:pPr>
      <w:bookmarkStart w:id="419" w:name="_Toc8586"/>
      <w:bookmarkStart w:id="420" w:name="_Toc24662"/>
      <w:bookmarkStart w:id="421" w:name="_Toc2375"/>
      <w:bookmarkStart w:id="422" w:name="_Toc3079"/>
      <w:bookmarkStart w:id="423"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055E016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551290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6578FB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0A55C8">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19"/>
      <w:bookmarkEnd w:id="420"/>
      <w:bookmarkEnd w:id="421"/>
      <w:bookmarkEnd w:id="422"/>
      <w:bookmarkEnd w:id="423"/>
    </w:p>
    <w:p w14:paraId="79C0A2D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26DB668C">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E63987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B4194C6">
      <w:pPr>
        <w:spacing w:line="560" w:lineRule="exact"/>
        <w:ind w:firstLine="480" w:firstLineChars="200"/>
        <w:rPr>
          <w:rFonts w:ascii="宋体" w:hAnsi="宋体" w:cs="宋体"/>
          <w:color w:val="auto"/>
          <w:sz w:val="24"/>
          <w:highlight w:val="none"/>
        </w:rPr>
      </w:pPr>
      <w:bookmarkStart w:id="424" w:name="_Toc32454"/>
      <w:bookmarkStart w:id="425" w:name="_Toc18683"/>
      <w:bookmarkStart w:id="426" w:name="_Toc9497"/>
      <w:bookmarkStart w:id="427" w:name="_Toc26807"/>
      <w:bookmarkStart w:id="428"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F1A8F0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CECA8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966B9AC">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4"/>
    <w:bookmarkEnd w:id="425"/>
    <w:bookmarkEnd w:id="426"/>
    <w:bookmarkEnd w:id="427"/>
    <w:bookmarkEnd w:id="428"/>
    <w:p w14:paraId="5D8D55B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16A38D7A">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3CC3F13">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08A9F69">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96D303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71FCC7A1">
      <w:pPr>
        <w:spacing w:line="560" w:lineRule="exact"/>
        <w:ind w:firstLine="480" w:firstLineChars="200"/>
        <w:rPr>
          <w:rFonts w:ascii="宋体" w:hAnsi="宋体"/>
          <w:color w:val="auto"/>
          <w:sz w:val="24"/>
          <w:highlight w:val="none"/>
          <w:lang w:val="zh-CN"/>
        </w:rPr>
      </w:pPr>
      <w:r>
        <w:rPr>
          <w:rFonts w:hint="eastAsia" w:ascii="宋体" w:hAnsi="宋体" w:cs="宋体"/>
          <w:color w:val="auto"/>
          <w:sz w:val="24"/>
          <w:highlight w:val="none"/>
        </w:rPr>
        <w:t>本合同自双方当事人盖章签字时生效。</w:t>
      </w:r>
    </w:p>
    <w:p w14:paraId="0EC39DDB">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87DE8B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4048715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407F1D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D7CF79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F17BD2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6AAF296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280D413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C25CAB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7F90015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C0B2486">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73A1A63">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1CF18AD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5CDE36E">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2E500FC">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7C8F868">
      <w:pPr>
        <w:spacing w:line="560" w:lineRule="exact"/>
        <w:ind w:firstLine="482" w:firstLineChars="200"/>
        <w:outlineLvl w:val="0"/>
        <w:rPr>
          <w:rFonts w:ascii="宋体" w:hAnsi="宋体"/>
          <w:b/>
          <w:color w:val="auto"/>
          <w:sz w:val="24"/>
          <w:highlight w:val="none"/>
        </w:rPr>
      </w:pPr>
      <w:bookmarkStart w:id="429" w:name="_Toc19680"/>
      <w:bookmarkStart w:id="430" w:name="_Toc5228"/>
      <w:bookmarkStart w:id="431" w:name="_Toc25079"/>
      <w:bookmarkStart w:id="432" w:name="_Toc14021"/>
      <w:bookmarkStart w:id="433" w:name="_Toc31297"/>
      <w:r>
        <w:rPr>
          <w:rFonts w:ascii="宋体" w:hAnsi="宋体"/>
          <w:b/>
          <w:color w:val="auto"/>
          <w:sz w:val="24"/>
          <w:highlight w:val="none"/>
        </w:rPr>
        <w:t>2.1 定义</w:t>
      </w:r>
      <w:bookmarkEnd w:id="429"/>
      <w:bookmarkEnd w:id="430"/>
      <w:bookmarkEnd w:id="431"/>
      <w:bookmarkEnd w:id="432"/>
      <w:bookmarkEnd w:id="433"/>
    </w:p>
    <w:p w14:paraId="47A71C93">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2503D59">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5169C3F5">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16D5D32">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86916A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38F5B8A">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7986610">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F3CEB75">
      <w:pPr>
        <w:spacing w:line="560" w:lineRule="exact"/>
        <w:ind w:firstLine="482" w:firstLineChars="200"/>
        <w:outlineLvl w:val="0"/>
        <w:rPr>
          <w:rFonts w:ascii="宋体" w:hAnsi="宋体"/>
          <w:b/>
          <w:color w:val="auto"/>
          <w:sz w:val="24"/>
          <w:highlight w:val="none"/>
        </w:rPr>
      </w:pPr>
      <w:bookmarkStart w:id="434" w:name="_Toc31402"/>
      <w:bookmarkStart w:id="435" w:name="_Toc3769"/>
      <w:bookmarkStart w:id="436" w:name="_Toc23289"/>
      <w:bookmarkStart w:id="437" w:name="_Toc19539"/>
      <w:bookmarkStart w:id="438" w:name="_Toc16752"/>
      <w:r>
        <w:rPr>
          <w:rFonts w:ascii="宋体" w:hAnsi="宋体"/>
          <w:b/>
          <w:color w:val="auto"/>
          <w:sz w:val="24"/>
          <w:highlight w:val="none"/>
        </w:rPr>
        <w:t>2.2 技术规范</w:t>
      </w:r>
      <w:bookmarkEnd w:id="434"/>
      <w:bookmarkEnd w:id="435"/>
      <w:bookmarkEnd w:id="436"/>
      <w:bookmarkEnd w:id="437"/>
      <w:bookmarkEnd w:id="438"/>
    </w:p>
    <w:p w14:paraId="4249EEC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2C81C858">
      <w:pPr>
        <w:spacing w:line="560" w:lineRule="exact"/>
        <w:ind w:firstLine="482" w:firstLineChars="200"/>
        <w:outlineLvl w:val="0"/>
        <w:rPr>
          <w:rFonts w:ascii="宋体" w:hAnsi="宋体"/>
          <w:b/>
          <w:color w:val="auto"/>
          <w:sz w:val="24"/>
          <w:highlight w:val="none"/>
        </w:rPr>
      </w:pPr>
      <w:bookmarkStart w:id="439" w:name="_Toc13673"/>
      <w:bookmarkStart w:id="440" w:name="_Toc12412"/>
      <w:bookmarkStart w:id="441" w:name="_Toc4133"/>
      <w:bookmarkStart w:id="442" w:name="_Toc27945"/>
      <w:bookmarkStart w:id="443" w:name="_Toc9161"/>
      <w:r>
        <w:rPr>
          <w:rFonts w:ascii="宋体" w:hAnsi="宋体"/>
          <w:b/>
          <w:color w:val="auto"/>
          <w:sz w:val="24"/>
          <w:highlight w:val="none"/>
        </w:rPr>
        <w:t>2.3 知识产权</w:t>
      </w:r>
      <w:bookmarkEnd w:id="439"/>
      <w:bookmarkEnd w:id="440"/>
      <w:bookmarkEnd w:id="441"/>
      <w:bookmarkEnd w:id="442"/>
      <w:bookmarkEnd w:id="443"/>
    </w:p>
    <w:p w14:paraId="3C512CB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816D8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21A0477">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5C6A3639">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26FFB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75C09CF">
      <w:pPr>
        <w:spacing w:line="560" w:lineRule="exact"/>
        <w:ind w:firstLine="482" w:firstLineChars="200"/>
        <w:outlineLvl w:val="0"/>
        <w:rPr>
          <w:rFonts w:ascii="宋体" w:hAnsi="宋体"/>
          <w:b/>
          <w:color w:val="auto"/>
          <w:sz w:val="24"/>
          <w:highlight w:val="none"/>
        </w:rPr>
      </w:pPr>
      <w:bookmarkStart w:id="444" w:name="_Toc26555"/>
      <w:bookmarkStart w:id="445" w:name="_Toc32670"/>
      <w:bookmarkStart w:id="446" w:name="_Toc31233"/>
      <w:bookmarkStart w:id="447" w:name="_Toc22011"/>
      <w:bookmarkStart w:id="448" w:name="_Toc15447"/>
      <w:r>
        <w:rPr>
          <w:rFonts w:ascii="宋体" w:hAnsi="宋体"/>
          <w:b/>
          <w:color w:val="auto"/>
          <w:sz w:val="24"/>
          <w:highlight w:val="none"/>
        </w:rPr>
        <w:t>2.5 结算方式和付款条件</w:t>
      </w:r>
      <w:bookmarkEnd w:id="444"/>
      <w:bookmarkEnd w:id="445"/>
      <w:bookmarkEnd w:id="446"/>
      <w:bookmarkEnd w:id="447"/>
      <w:bookmarkEnd w:id="448"/>
    </w:p>
    <w:p w14:paraId="03BF27B1">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555CEC7">
      <w:pPr>
        <w:spacing w:line="560" w:lineRule="exact"/>
        <w:ind w:firstLine="482" w:firstLineChars="200"/>
        <w:outlineLvl w:val="0"/>
        <w:rPr>
          <w:rFonts w:ascii="宋体" w:hAnsi="宋体"/>
          <w:b/>
          <w:color w:val="auto"/>
          <w:sz w:val="24"/>
          <w:highlight w:val="none"/>
        </w:rPr>
      </w:pPr>
      <w:bookmarkStart w:id="449" w:name="_Toc13467"/>
      <w:bookmarkStart w:id="450" w:name="_Toc18990"/>
      <w:bookmarkStart w:id="451" w:name="_Toc30507"/>
      <w:bookmarkStart w:id="452" w:name="_Toc16163"/>
      <w:bookmarkStart w:id="453" w:name="_Toc13154"/>
      <w:r>
        <w:rPr>
          <w:rFonts w:ascii="宋体" w:hAnsi="宋体"/>
          <w:b/>
          <w:color w:val="auto"/>
          <w:sz w:val="24"/>
          <w:highlight w:val="none"/>
        </w:rPr>
        <w:t>2.6 技术资料和保密义务</w:t>
      </w:r>
      <w:bookmarkEnd w:id="449"/>
      <w:bookmarkEnd w:id="450"/>
      <w:bookmarkEnd w:id="451"/>
      <w:bookmarkEnd w:id="452"/>
      <w:bookmarkEnd w:id="453"/>
    </w:p>
    <w:p w14:paraId="3B9D8FC5">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285EA39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184B41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66771B4">
      <w:pPr>
        <w:spacing w:line="560" w:lineRule="exact"/>
        <w:ind w:firstLine="482" w:firstLineChars="200"/>
        <w:outlineLvl w:val="0"/>
        <w:rPr>
          <w:rFonts w:ascii="宋体" w:hAnsi="宋体"/>
          <w:b/>
          <w:color w:val="auto"/>
          <w:sz w:val="24"/>
          <w:highlight w:val="none"/>
        </w:rPr>
      </w:pPr>
      <w:bookmarkStart w:id="45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4"/>
    </w:p>
    <w:p w14:paraId="37C4205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0B661D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CC462E5">
      <w:pPr>
        <w:spacing w:line="560" w:lineRule="exact"/>
        <w:ind w:firstLine="482" w:firstLineChars="200"/>
        <w:outlineLvl w:val="0"/>
        <w:rPr>
          <w:rFonts w:ascii="宋体" w:hAnsi="宋体"/>
          <w:b/>
          <w:color w:val="auto"/>
          <w:sz w:val="24"/>
          <w:highlight w:val="none"/>
        </w:rPr>
      </w:pPr>
      <w:bookmarkStart w:id="45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5"/>
    </w:p>
    <w:p w14:paraId="51F71E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15B259B2">
      <w:pPr>
        <w:spacing w:line="560" w:lineRule="exact"/>
        <w:ind w:firstLine="482" w:firstLineChars="200"/>
        <w:outlineLvl w:val="0"/>
        <w:rPr>
          <w:rFonts w:ascii="宋体" w:hAnsi="宋体"/>
          <w:b/>
          <w:color w:val="auto"/>
          <w:sz w:val="24"/>
          <w:highlight w:val="none"/>
        </w:rPr>
      </w:pPr>
      <w:bookmarkStart w:id="45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6"/>
    </w:p>
    <w:p w14:paraId="679CFFB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647ED48">
      <w:pPr>
        <w:spacing w:line="560" w:lineRule="exact"/>
        <w:ind w:firstLine="482" w:firstLineChars="200"/>
        <w:outlineLvl w:val="0"/>
        <w:rPr>
          <w:rFonts w:ascii="宋体" w:hAnsi="宋体"/>
          <w:b/>
          <w:color w:val="auto"/>
          <w:sz w:val="24"/>
          <w:highlight w:val="none"/>
        </w:rPr>
      </w:pPr>
      <w:bookmarkStart w:id="457" w:name="_Toc21830"/>
      <w:bookmarkStart w:id="458" w:name="_Toc26689"/>
      <w:bookmarkStart w:id="459" w:name="_Toc23368"/>
      <w:bookmarkStart w:id="460" w:name="_Toc10663"/>
      <w:bookmarkStart w:id="461" w:name="_Toc42"/>
      <w:r>
        <w:rPr>
          <w:rFonts w:ascii="宋体" w:hAnsi="宋体"/>
          <w:b/>
          <w:color w:val="auto"/>
          <w:sz w:val="24"/>
          <w:highlight w:val="none"/>
        </w:rPr>
        <w:t>2.10 合同转让和分包</w:t>
      </w:r>
      <w:bookmarkEnd w:id="457"/>
      <w:bookmarkEnd w:id="458"/>
      <w:bookmarkEnd w:id="459"/>
      <w:bookmarkEnd w:id="460"/>
      <w:bookmarkEnd w:id="461"/>
    </w:p>
    <w:p w14:paraId="0A8781AE">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548C1E7">
      <w:pPr>
        <w:spacing w:line="560" w:lineRule="exact"/>
        <w:ind w:firstLine="482" w:firstLineChars="200"/>
        <w:outlineLvl w:val="0"/>
        <w:rPr>
          <w:rFonts w:ascii="宋体" w:hAnsi="宋体"/>
          <w:b/>
          <w:color w:val="auto"/>
          <w:sz w:val="24"/>
          <w:highlight w:val="none"/>
        </w:rPr>
      </w:pPr>
      <w:bookmarkStart w:id="462" w:name="_Toc4720"/>
      <w:bookmarkStart w:id="463" w:name="_Toc32494"/>
      <w:bookmarkStart w:id="464" w:name="_Toc26633"/>
      <w:bookmarkStart w:id="465" w:name="_Toc25571"/>
      <w:bookmarkStart w:id="466" w:name="_Toc14371"/>
      <w:r>
        <w:rPr>
          <w:rFonts w:ascii="宋体" w:hAnsi="宋体"/>
          <w:b/>
          <w:color w:val="auto"/>
          <w:sz w:val="24"/>
          <w:highlight w:val="none"/>
        </w:rPr>
        <w:t>2.11 不可抗力</w:t>
      </w:r>
      <w:bookmarkEnd w:id="462"/>
      <w:bookmarkEnd w:id="463"/>
      <w:bookmarkEnd w:id="464"/>
      <w:bookmarkEnd w:id="465"/>
      <w:bookmarkEnd w:id="466"/>
    </w:p>
    <w:p w14:paraId="2163F95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480FD2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4C34ED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218646DF">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000FC6F">
      <w:pPr>
        <w:spacing w:line="560" w:lineRule="exact"/>
        <w:ind w:firstLine="482" w:firstLineChars="200"/>
        <w:outlineLvl w:val="0"/>
        <w:rPr>
          <w:rFonts w:ascii="宋体" w:hAnsi="宋体"/>
          <w:b/>
          <w:color w:val="auto"/>
          <w:sz w:val="24"/>
          <w:highlight w:val="none"/>
        </w:rPr>
      </w:pPr>
      <w:bookmarkStart w:id="467" w:name="_Toc3638"/>
      <w:bookmarkStart w:id="468" w:name="_Toc25783"/>
      <w:bookmarkStart w:id="469" w:name="_Toc23854"/>
      <w:bookmarkStart w:id="470" w:name="_Toc14115"/>
      <w:bookmarkStart w:id="471" w:name="_Toc24465"/>
      <w:r>
        <w:rPr>
          <w:rFonts w:ascii="宋体" w:hAnsi="宋体"/>
          <w:b/>
          <w:color w:val="auto"/>
          <w:sz w:val="24"/>
          <w:highlight w:val="none"/>
        </w:rPr>
        <w:t>2.12 税费</w:t>
      </w:r>
      <w:bookmarkEnd w:id="467"/>
      <w:bookmarkEnd w:id="468"/>
      <w:bookmarkEnd w:id="469"/>
      <w:bookmarkEnd w:id="470"/>
      <w:bookmarkEnd w:id="471"/>
    </w:p>
    <w:p w14:paraId="2AFC52AB">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A4D0AF8">
      <w:pPr>
        <w:spacing w:line="560" w:lineRule="exact"/>
        <w:ind w:firstLine="482" w:firstLineChars="200"/>
        <w:outlineLvl w:val="0"/>
        <w:rPr>
          <w:rFonts w:ascii="宋体" w:hAnsi="宋体"/>
          <w:b/>
          <w:color w:val="auto"/>
          <w:sz w:val="24"/>
          <w:highlight w:val="none"/>
        </w:rPr>
      </w:pPr>
      <w:bookmarkStart w:id="472" w:name="_Toc14814"/>
      <w:bookmarkStart w:id="473" w:name="_Toc26883"/>
      <w:bookmarkStart w:id="474" w:name="_Toc25525"/>
      <w:bookmarkStart w:id="475" w:name="_Toc30105"/>
      <w:bookmarkStart w:id="476" w:name="_Toc7315"/>
      <w:r>
        <w:rPr>
          <w:rFonts w:ascii="宋体" w:hAnsi="宋体"/>
          <w:b/>
          <w:color w:val="auto"/>
          <w:sz w:val="24"/>
          <w:highlight w:val="none"/>
        </w:rPr>
        <w:t>2.13 乙方破产</w:t>
      </w:r>
      <w:bookmarkEnd w:id="472"/>
      <w:bookmarkEnd w:id="473"/>
      <w:bookmarkEnd w:id="474"/>
      <w:bookmarkEnd w:id="475"/>
      <w:bookmarkEnd w:id="476"/>
    </w:p>
    <w:p w14:paraId="56A948DA">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3047D710">
      <w:pPr>
        <w:spacing w:line="560" w:lineRule="exact"/>
        <w:ind w:firstLine="482" w:firstLineChars="200"/>
        <w:outlineLvl w:val="0"/>
        <w:rPr>
          <w:rFonts w:ascii="宋体" w:hAnsi="宋体"/>
          <w:b/>
          <w:color w:val="auto"/>
          <w:sz w:val="24"/>
          <w:highlight w:val="none"/>
        </w:rPr>
      </w:pPr>
      <w:bookmarkStart w:id="477" w:name="_Toc2016"/>
      <w:bookmarkStart w:id="478" w:name="_Toc1123"/>
      <w:bookmarkStart w:id="479" w:name="_Toc23323"/>
      <w:r>
        <w:rPr>
          <w:rFonts w:ascii="宋体" w:hAnsi="宋体"/>
          <w:b/>
          <w:color w:val="auto"/>
          <w:sz w:val="24"/>
          <w:highlight w:val="none"/>
        </w:rPr>
        <w:t>2.14 合同中止、终止</w:t>
      </w:r>
      <w:bookmarkEnd w:id="477"/>
      <w:bookmarkEnd w:id="478"/>
      <w:bookmarkEnd w:id="479"/>
    </w:p>
    <w:p w14:paraId="4B3502F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49D00E54">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7837958">
      <w:pPr>
        <w:spacing w:line="560" w:lineRule="exact"/>
        <w:ind w:firstLine="482" w:firstLineChars="200"/>
        <w:outlineLvl w:val="0"/>
        <w:rPr>
          <w:rFonts w:ascii="宋体" w:hAnsi="宋体"/>
          <w:b/>
          <w:color w:val="auto"/>
          <w:sz w:val="24"/>
          <w:highlight w:val="none"/>
        </w:rPr>
      </w:pPr>
      <w:bookmarkStart w:id="480" w:name="_Toc17363"/>
      <w:bookmarkStart w:id="481" w:name="_Toc14525"/>
      <w:bookmarkStart w:id="482" w:name="_Toc1969"/>
      <w:r>
        <w:rPr>
          <w:rFonts w:ascii="宋体" w:hAnsi="宋体"/>
          <w:b/>
          <w:color w:val="auto"/>
          <w:sz w:val="24"/>
          <w:highlight w:val="none"/>
        </w:rPr>
        <w:t>2.15 检验和验收</w:t>
      </w:r>
      <w:bookmarkEnd w:id="480"/>
      <w:bookmarkEnd w:id="481"/>
      <w:bookmarkEnd w:id="482"/>
    </w:p>
    <w:p w14:paraId="31A09DC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A46970E">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C6F242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5E0DB82">
      <w:pPr>
        <w:spacing w:line="560" w:lineRule="exact"/>
        <w:ind w:firstLine="482" w:firstLineChars="200"/>
        <w:outlineLvl w:val="0"/>
        <w:rPr>
          <w:rFonts w:ascii="宋体" w:hAnsi="宋体"/>
          <w:b/>
          <w:color w:val="auto"/>
          <w:sz w:val="24"/>
          <w:highlight w:val="none"/>
        </w:rPr>
      </w:pPr>
      <w:bookmarkStart w:id="483" w:name="_Toc25198"/>
      <w:bookmarkStart w:id="484" w:name="_Toc2308"/>
      <w:bookmarkStart w:id="485" w:name="_Toc12666"/>
      <w:bookmarkStart w:id="486" w:name="_Toc31892"/>
      <w:bookmarkStart w:id="487" w:name="_Toc9808"/>
      <w:r>
        <w:rPr>
          <w:rFonts w:ascii="宋体" w:hAnsi="宋体"/>
          <w:b/>
          <w:color w:val="auto"/>
          <w:sz w:val="24"/>
          <w:highlight w:val="none"/>
        </w:rPr>
        <w:t>2.16 通知和送达</w:t>
      </w:r>
      <w:bookmarkEnd w:id="483"/>
      <w:bookmarkEnd w:id="484"/>
      <w:bookmarkEnd w:id="485"/>
      <w:bookmarkEnd w:id="486"/>
      <w:bookmarkEnd w:id="487"/>
    </w:p>
    <w:p w14:paraId="4E0F9067">
      <w:pPr>
        <w:spacing w:line="560" w:lineRule="exact"/>
        <w:ind w:firstLine="480" w:firstLineChars="200"/>
        <w:rPr>
          <w:rFonts w:ascii="宋体" w:hAnsi="宋体"/>
          <w:color w:val="auto"/>
          <w:sz w:val="24"/>
          <w:highlight w:val="none"/>
        </w:rPr>
      </w:pPr>
      <w:bookmarkStart w:id="488" w:name="_Toc18401"/>
      <w:bookmarkStart w:id="48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1C8DC6AD">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8"/>
      <w:bookmarkEnd w:id="489"/>
    </w:p>
    <w:p w14:paraId="2D542AF6">
      <w:pPr>
        <w:spacing w:line="560" w:lineRule="exact"/>
        <w:ind w:firstLine="482" w:firstLineChars="200"/>
        <w:outlineLvl w:val="0"/>
        <w:rPr>
          <w:rFonts w:ascii="宋体" w:hAnsi="宋体"/>
          <w:b/>
          <w:color w:val="auto"/>
          <w:sz w:val="24"/>
          <w:highlight w:val="none"/>
        </w:rPr>
      </w:pPr>
      <w:bookmarkStart w:id="490" w:name="_Toc12254"/>
      <w:bookmarkStart w:id="491" w:name="_Toc5063"/>
      <w:bookmarkStart w:id="492" w:name="_Toc28906"/>
      <w:bookmarkStart w:id="493" w:name="_Toc27644"/>
      <w:bookmarkStart w:id="494"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0"/>
      <w:bookmarkEnd w:id="491"/>
      <w:bookmarkEnd w:id="492"/>
      <w:bookmarkEnd w:id="493"/>
      <w:bookmarkEnd w:id="494"/>
    </w:p>
    <w:p w14:paraId="45E31AAA">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A65996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8714AA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0119539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700F26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84CD24E">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9FADC19">
      <w:pPr>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75EE1F26">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694A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E4777A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6F004D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3024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574C94">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24613B2B">
            <w:pPr>
              <w:spacing w:line="360" w:lineRule="auto"/>
              <w:rPr>
                <w:rFonts w:ascii="宋体" w:hAnsi="宋体" w:cs="宋体"/>
                <w:color w:val="auto"/>
                <w:sz w:val="24"/>
                <w:highlight w:val="none"/>
              </w:rPr>
            </w:pPr>
          </w:p>
        </w:tc>
      </w:tr>
      <w:tr w14:paraId="0809D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68455D">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3DEDD3D5">
            <w:pPr>
              <w:spacing w:line="360" w:lineRule="auto"/>
              <w:rPr>
                <w:rFonts w:ascii="宋体" w:hAnsi="宋体" w:cs="宋体"/>
                <w:color w:val="auto"/>
                <w:sz w:val="24"/>
                <w:highlight w:val="none"/>
              </w:rPr>
            </w:pPr>
          </w:p>
        </w:tc>
      </w:tr>
      <w:tr w14:paraId="23DB8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84CD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0C8C4D9E">
            <w:pPr>
              <w:spacing w:line="360" w:lineRule="auto"/>
              <w:rPr>
                <w:rFonts w:ascii="宋体" w:hAnsi="宋体" w:cs="宋体"/>
                <w:color w:val="auto"/>
                <w:sz w:val="24"/>
                <w:highlight w:val="none"/>
              </w:rPr>
            </w:pPr>
          </w:p>
        </w:tc>
      </w:tr>
      <w:tr w14:paraId="13544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70E611">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643C47A4">
            <w:pPr>
              <w:spacing w:line="360" w:lineRule="auto"/>
              <w:rPr>
                <w:rFonts w:ascii="宋体" w:hAnsi="宋体" w:cs="宋体"/>
                <w:color w:val="auto"/>
                <w:sz w:val="24"/>
                <w:highlight w:val="none"/>
              </w:rPr>
            </w:pPr>
          </w:p>
        </w:tc>
      </w:tr>
      <w:tr w14:paraId="7C09E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2A7D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227AD281">
            <w:pPr>
              <w:spacing w:line="360" w:lineRule="auto"/>
              <w:rPr>
                <w:rFonts w:ascii="宋体" w:hAnsi="宋体" w:cs="宋体"/>
                <w:color w:val="auto"/>
                <w:sz w:val="24"/>
                <w:highlight w:val="none"/>
              </w:rPr>
            </w:pPr>
          </w:p>
        </w:tc>
      </w:tr>
      <w:tr w14:paraId="14E0A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ACBB63">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4282695E">
            <w:pPr>
              <w:spacing w:line="360" w:lineRule="auto"/>
              <w:rPr>
                <w:rFonts w:ascii="宋体" w:hAnsi="宋体" w:cs="宋体"/>
                <w:color w:val="auto"/>
                <w:sz w:val="24"/>
                <w:highlight w:val="none"/>
              </w:rPr>
            </w:pPr>
          </w:p>
        </w:tc>
      </w:tr>
      <w:tr w14:paraId="1883B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A83E93">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11124B26">
            <w:pPr>
              <w:spacing w:line="360" w:lineRule="auto"/>
              <w:rPr>
                <w:rFonts w:ascii="宋体" w:hAnsi="宋体" w:cs="宋体"/>
                <w:color w:val="auto"/>
                <w:sz w:val="24"/>
                <w:highlight w:val="none"/>
              </w:rPr>
            </w:pPr>
          </w:p>
        </w:tc>
      </w:tr>
      <w:tr w14:paraId="5CB03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BF60D4">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58A55703">
            <w:pPr>
              <w:spacing w:line="360" w:lineRule="auto"/>
              <w:rPr>
                <w:rFonts w:ascii="宋体" w:hAnsi="宋体" w:cs="宋体"/>
                <w:color w:val="auto"/>
                <w:sz w:val="24"/>
                <w:highlight w:val="none"/>
              </w:rPr>
            </w:pPr>
          </w:p>
        </w:tc>
      </w:tr>
      <w:tr w14:paraId="677B6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5B08E3">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1E8ECA6A">
            <w:pPr>
              <w:spacing w:line="360" w:lineRule="auto"/>
              <w:rPr>
                <w:rFonts w:ascii="宋体" w:hAnsi="宋体" w:cs="宋体"/>
                <w:color w:val="auto"/>
                <w:sz w:val="24"/>
                <w:highlight w:val="none"/>
              </w:rPr>
            </w:pPr>
          </w:p>
        </w:tc>
      </w:tr>
      <w:tr w14:paraId="2BF39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50F6D6">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5CBD89F5">
            <w:pPr>
              <w:spacing w:line="360" w:lineRule="auto"/>
              <w:rPr>
                <w:rFonts w:ascii="宋体" w:hAnsi="宋体" w:cs="宋体"/>
                <w:color w:val="auto"/>
                <w:sz w:val="24"/>
                <w:highlight w:val="none"/>
              </w:rPr>
            </w:pPr>
          </w:p>
        </w:tc>
      </w:tr>
      <w:tr w14:paraId="7BF91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B23EBC">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6EC7A66A">
            <w:pPr>
              <w:spacing w:line="360" w:lineRule="auto"/>
              <w:rPr>
                <w:rFonts w:ascii="宋体" w:hAnsi="宋体" w:cs="宋体"/>
                <w:color w:val="auto"/>
                <w:sz w:val="24"/>
                <w:highlight w:val="none"/>
              </w:rPr>
            </w:pPr>
          </w:p>
        </w:tc>
      </w:tr>
      <w:tr w14:paraId="3A1A8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EFB9E7">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6A6D8397">
            <w:pPr>
              <w:spacing w:line="360" w:lineRule="auto"/>
              <w:rPr>
                <w:rFonts w:ascii="宋体" w:hAnsi="宋体" w:cs="宋体"/>
                <w:color w:val="auto"/>
                <w:sz w:val="24"/>
                <w:highlight w:val="none"/>
              </w:rPr>
            </w:pPr>
          </w:p>
        </w:tc>
      </w:tr>
      <w:tr w14:paraId="42F93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E16A02">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22503473">
            <w:pPr>
              <w:spacing w:line="360" w:lineRule="auto"/>
              <w:rPr>
                <w:rFonts w:ascii="宋体" w:hAnsi="宋体" w:cs="宋体"/>
                <w:color w:val="auto"/>
                <w:sz w:val="24"/>
                <w:highlight w:val="none"/>
              </w:rPr>
            </w:pPr>
          </w:p>
        </w:tc>
      </w:tr>
      <w:tr w14:paraId="56CAC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01EC90">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07C5E82F">
            <w:pPr>
              <w:spacing w:line="360" w:lineRule="auto"/>
              <w:rPr>
                <w:rFonts w:ascii="宋体" w:hAnsi="宋体" w:cs="宋体"/>
                <w:color w:val="auto"/>
                <w:sz w:val="24"/>
                <w:highlight w:val="none"/>
              </w:rPr>
            </w:pPr>
          </w:p>
        </w:tc>
      </w:tr>
      <w:tr w14:paraId="472A7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3166DC">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258F9865">
            <w:pPr>
              <w:spacing w:line="360" w:lineRule="auto"/>
              <w:rPr>
                <w:rFonts w:ascii="宋体" w:hAnsi="宋体" w:cs="宋体"/>
                <w:color w:val="auto"/>
                <w:sz w:val="24"/>
                <w:highlight w:val="none"/>
              </w:rPr>
            </w:pPr>
          </w:p>
        </w:tc>
      </w:tr>
      <w:tr w14:paraId="61CC9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DD82C0">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66EBCD30">
            <w:pPr>
              <w:spacing w:line="360" w:lineRule="auto"/>
              <w:ind w:left="-420" w:leftChars="-200" w:right="-420" w:rightChars="-200" w:firstLine="480" w:firstLineChars="200"/>
              <w:rPr>
                <w:rFonts w:ascii="宋体" w:hAnsi="宋体" w:cs="宋体"/>
                <w:color w:val="auto"/>
                <w:sz w:val="24"/>
                <w:highlight w:val="none"/>
              </w:rPr>
            </w:pPr>
          </w:p>
        </w:tc>
      </w:tr>
      <w:tr w14:paraId="3A07E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CF576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303EF14E">
            <w:pPr>
              <w:spacing w:line="360" w:lineRule="auto"/>
              <w:ind w:left="-420" w:leftChars="-200" w:right="-420" w:rightChars="-200" w:firstLine="480" w:firstLineChars="200"/>
              <w:rPr>
                <w:rFonts w:ascii="宋体" w:hAnsi="宋体" w:cs="宋体"/>
                <w:color w:val="auto"/>
                <w:sz w:val="24"/>
                <w:highlight w:val="none"/>
              </w:rPr>
            </w:pPr>
          </w:p>
        </w:tc>
      </w:tr>
      <w:tr w14:paraId="7DEE1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F1AB9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14F3B0F6">
            <w:pPr>
              <w:spacing w:line="360" w:lineRule="auto"/>
              <w:rPr>
                <w:rFonts w:ascii="宋体" w:hAnsi="宋体" w:cs="宋体"/>
                <w:color w:val="auto"/>
                <w:sz w:val="24"/>
                <w:highlight w:val="none"/>
              </w:rPr>
            </w:pPr>
          </w:p>
        </w:tc>
      </w:tr>
      <w:tr w14:paraId="5531D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DB7F1C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222FEFB8">
            <w:pPr>
              <w:spacing w:line="360" w:lineRule="auto"/>
              <w:rPr>
                <w:rFonts w:ascii="宋体" w:hAnsi="宋体" w:cs="宋体"/>
                <w:color w:val="auto"/>
                <w:sz w:val="24"/>
                <w:highlight w:val="none"/>
              </w:rPr>
            </w:pPr>
          </w:p>
        </w:tc>
      </w:tr>
      <w:tr w14:paraId="03038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6FDE6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679ED20B">
            <w:pPr>
              <w:spacing w:line="360" w:lineRule="auto"/>
              <w:rPr>
                <w:rFonts w:ascii="宋体" w:hAnsi="宋体" w:cs="宋体"/>
                <w:color w:val="auto"/>
                <w:sz w:val="24"/>
                <w:highlight w:val="none"/>
              </w:rPr>
            </w:pPr>
          </w:p>
        </w:tc>
      </w:tr>
      <w:tr w14:paraId="5CFA6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DC336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6EF75D9D">
            <w:pPr>
              <w:spacing w:line="360" w:lineRule="auto"/>
              <w:rPr>
                <w:rFonts w:ascii="宋体" w:hAnsi="宋体" w:cs="宋体"/>
                <w:color w:val="auto"/>
                <w:sz w:val="24"/>
                <w:highlight w:val="none"/>
              </w:rPr>
            </w:pPr>
          </w:p>
        </w:tc>
      </w:tr>
      <w:tr w14:paraId="068A1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B90642B">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2A18EA11">
            <w:pPr>
              <w:spacing w:line="360" w:lineRule="auto"/>
              <w:rPr>
                <w:rFonts w:ascii="宋体" w:hAnsi="宋体" w:cs="宋体"/>
                <w:color w:val="auto"/>
                <w:sz w:val="24"/>
                <w:highlight w:val="none"/>
              </w:rPr>
            </w:pPr>
          </w:p>
        </w:tc>
      </w:tr>
    </w:tbl>
    <w:p w14:paraId="15C9736B">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2BF6F3F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26"/>
      <w:r>
        <w:rPr>
          <w:rFonts w:hint="eastAsia" w:ascii="宋体" w:hAnsi="宋体" w:cs="宋体"/>
          <w:b/>
          <w:color w:val="auto"/>
          <w:sz w:val="36"/>
          <w:szCs w:val="20"/>
          <w:highlight w:val="none"/>
        </w:rPr>
        <w:t xml:space="preserve"> </w:t>
      </w:r>
      <w:bookmarkEnd w:id="27"/>
      <w:r>
        <w:rPr>
          <w:rFonts w:hint="eastAsia" w:ascii="宋体" w:hAnsi="宋体" w:cs="宋体"/>
          <w:b/>
          <w:color w:val="auto"/>
          <w:sz w:val="36"/>
          <w:szCs w:val="20"/>
          <w:highlight w:val="none"/>
        </w:rPr>
        <w:t>应提交的有关格式范例</w:t>
      </w:r>
    </w:p>
    <w:p w14:paraId="2D368423">
      <w:pPr>
        <w:spacing w:line="360" w:lineRule="auto"/>
        <w:jc w:val="center"/>
        <w:outlineLvl w:val="0"/>
        <w:rPr>
          <w:rFonts w:ascii="宋体" w:hAnsi="宋体" w:cs="宋体"/>
          <w:b/>
          <w:color w:val="auto"/>
          <w:kern w:val="0"/>
          <w:sz w:val="36"/>
          <w:szCs w:val="36"/>
          <w:highlight w:val="none"/>
        </w:rPr>
      </w:pPr>
    </w:p>
    <w:p w14:paraId="661343E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3A21A7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AD87BAB">
      <w:pPr>
        <w:spacing w:line="360" w:lineRule="auto"/>
        <w:jc w:val="center"/>
        <w:outlineLvl w:val="0"/>
        <w:rPr>
          <w:rFonts w:ascii="宋体" w:hAnsi="宋体" w:cs="宋体"/>
          <w:b/>
          <w:color w:val="auto"/>
          <w:kern w:val="0"/>
          <w:sz w:val="36"/>
          <w:szCs w:val="36"/>
          <w:highlight w:val="none"/>
        </w:rPr>
      </w:pPr>
    </w:p>
    <w:p w14:paraId="333D317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C42A84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0A0BF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16C48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60081DA">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B354B3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0646A2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4C6B5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116A91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B4426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5FC3B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8F816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3D3F6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9A8D0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6D21C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DF153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F4D39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2F570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A6AD6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93EDA4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A712F22">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2181C20">
      <w:pPr>
        <w:snapToGrid w:val="0"/>
        <w:spacing w:line="360" w:lineRule="auto"/>
        <w:ind w:right="480" w:firstLine="559" w:firstLineChars="233"/>
        <w:jc w:val="left"/>
        <w:rPr>
          <w:rFonts w:ascii="宋体" w:hAnsi="宋体" w:cs="宋体"/>
          <w:color w:val="auto"/>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3E6BEFD">
      <w:pPr>
        <w:widowControl/>
        <w:spacing w:line="360" w:lineRule="auto"/>
        <w:ind w:firstLine="643" w:firstLineChars="200"/>
        <w:jc w:val="center"/>
        <w:rPr>
          <w:rFonts w:hint="eastAsia" w:ascii="宋体" w:hAnsi="宋体" w:cs="宋体"/>
          <w:b/>
          <w:color w:val="auto"/>
          <w:kern w:val="0"/>
          <w:sz w:val="32"/>
          <w:szCs w:val="32"/>
          <w:highlight w:val="none"/>
        </w:rPr>
      </w:pPr>
    </w:p>
    <w:p w14:paraId="7FD3613B">
      <w:pPr>
        <w:widowControl/>
        <w:spacing w:line="360" w:lineRule="auto"/>
        <w:ind w:firstLine="643" w:firstLineChars="200"/>
        <w:jc w:val="center"/>
        <w:rPr>
          <w:rFonts w:hint="eastAsia" w:ascii="宋体" w:hAnsi="宋体" w:cs="宋体"/>
          <w:b/>
          <w:color w:val="auto"/>
          <w:kern w:val="0"/>
          <w:sz w:val="32"/>
          <w:szCs w:val="32"/>
          <w:highlight w:val="none"/>
        </w:rPr>
      </w:pPr>
    </w:p>
    <w:p w14:paraId="00684A10">
      <w:pPr>
        <w:widowControl/>
        <w:spacing w:line="360" w:lineRule="auto"/>
        <w:ind w:firstLine="643" w:firstLineChars="200"/>
        <w:jc w:val="center"/>
        <w:rPr>
          <w:rFonts w:hint="eastAsia" w:ascii="宋体" w:hAnsi="宋体" w:cs="宋体"/>
          <w:b/>
          <w:color w:val="auto"/>
          <w:kern w:val="0"/>
          <w:sz w:val="32"/>
          <w:szCs w:val="32"/>
          <w:highlight w:val="none"/>
        </w:rPr>
      </w:pPr>
    </w:p>
    <w:p w14:paraId="6297E49E">
      <w:pPr>
        <w:widowControl/>
        <w:spacing w:line="360" w:lineRule="auto"/>
        <w:ind w:firstLine="643" w:firstLineChars="200"/>
        <w:jc w:val="center"/>
        <w:rPr>
          <w:rFonts w:hint="eastAsia" w:ascii="宋体" w:hAnsi="宋体" w:cs="宋体"/>
          <w:b/>
          <w:color w:val="auto"/>
          <w:kern w:val="0"/>
          <w:sz w:val="32"/>
          <w:szCs w:val="32"/>
          <w:highlight w:val="none"/>
        </w:rPr>
      </w:pPr>
    </w:p>
    <w:p w14:paraId="1FDDF13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35A43A1">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FF85144">
      <w:pPr>
        <w:pStyle w:val="2"/>
      </w:pPr>
    </w:p>
    <w:p w14:paraId="1A582BB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7A0C5B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6AB6A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47C5B1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2B728BF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4C7B06C">
      <w:pPr>
        <w:pStyle w:val="2"/>
      </w:pPr>
    </w:p>
    <w:p w14:paraId="57C2633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1A9A99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55DC99D">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8CDED2E">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7E351EF">
      <w:pPr>
        <w:spacing w:line="360" w:lineRule="auto"/>
        <w:jc w:val="center"/>
        <w:outlineLvl w:val="0"/>
        <w:rPr>
          <w:rFonts w:ascii="宋体" w:hAnsi="宋体" w:cs="宋体"/>
          <w:b/>
          <w:color w:val="auto"/>
          <w:kern w:val="0"/>
          <w:sz w:val="24"/>
          <w:highlight w:val="none"/>
        </w:rPr>
      </w:pPr>
    </w:p>
    <w:p w14:paraId="2E5D8B2C">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66DF9D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highlight w:val="none"/>
          <w:lang w:val="en-US" w:eastAsia="zh-CN"/>
        </w:rPr>
        <w:t xml:space="preserve">  </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20857B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13C9058">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BD1677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highlight w:val="none"/>
          <w:lang w:val="en-US" w:eastAsia="zh-CN"/>
        </w:rPr>
        <w:t xml:space="preserve">   </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FA9361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5265B8D">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358716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BB2BE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4784A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B1199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12043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BA485A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85FD3E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D76DF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5" w:name="_Hlk101257010"/>
      <w:r>
        <w:rPr>
          <w:rFonts w:hint="eastAsia" w:ascii="宋体" w:hAnsi="宋体" w:cs="宋体"/>
          <w:color w:val="auto"/>
          <w:sz w:val="24"/>
          <w:highlight w:val="none"/>
        </w:rPr>
        <w:t>（如果有)</w:t>
      </w:r>
      <w:bookmarkEnd w:id="495"/>
      <w:r>
        <w:rPr>
          <w:rFonts w:hint="eastAsia" w:ascii="宋体" w:hAnsi="宋体" w:cs="宋体"/>
          <w:snapToGrid w:val="0"/>
          <w:color w:val="auto"/>
          <w:kern w:val="28"/>
          <w:sz w:val="24"/>
          <w:szCs w:val="20"/>
          <w:highlight w:val="none"/>
        </w:rPr>
        <w:t>；</w:t>
      </w:r>
    </w:p>
    <w:p w14:paraId="6577F2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D3EA49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0652A4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A93E2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35C963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904554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07EA7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4A892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B93755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D1B81B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BD36CA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A505A1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9DEF3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2CACB1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DBDF2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204A7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1A801C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2778E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33D15D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B860D0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604B87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57ECEB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2CEC4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3F32F4B">
      <w:pPr>
        <w:snapToGrid w:val="0"/>
        <w:spacing w:line="360" w:lineRule="auto"/>
        <w:ind w:left="420" w:leftChars="200" w:firstLine="4200" w:firstLineChars="1750"/>
        <w:rPr>
          <w:rFonts w:ascii="宋体" w:hAnsi="宋体" w:cs="宋体"/>
          <w:color w:val="auto"/>
          <w:kern w:val="0"/>
          <w:sz w:val="24"/>
          <w:highlight w:val="none"/>
          <w:u w:val="single"/>
        </w:rPr>
      </w:pPr>
    </w:p>
    <w:p w14:paraId="3A7CCA1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88C052">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3C5E15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E7210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56CB318">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6B3F8BA8">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195C043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1DDF74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668244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EC183A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10529D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ED52027">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3B00FDF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E14D98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1F70BB3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43F3C6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0CCBE3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D956C32">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939C68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04DBE1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12CFA7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7CE7EA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F50476D">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5358ABD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D31B11B">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C5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13A7F8A">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D5C3393">
            <w:pPr>
              <w:pStyle w:val="146"/>
              <w:adjustRightInd w:val="0"/>
              <w:spacing w:line="360" w:lineRule="auto"/>
              <w:rPr>
                <w:rFonts w:hAnsi="宋体" w:cs="宋体"/>
                <w:bCs/>
                <w:color w:val="auto"/>
                <w:sz w:val="24"/>
                <w:highlight w:val="none"/>
              </w:rPr>
            </w:pPr>
          </w:p>
        </w:tc>
      </w:tr>
    </w:tbl>
    <w:p w14:paraId="2F90E22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C33A87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28D3DC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1873E7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B73983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418547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6BF66BE">
      <w:pPr>
        <w:snapToGrid w:val="0"/>
        <w:spacing w:line="360" w:lineRule="auto"/>
        <w:rPr>
          <w:rFonts w:ascii="宋体" w:hAnsi="宋体" w:cs="宋体"/>
          <w:color w:val="auto"/>
          <w:kern w:val="0"/>
          <w:sz w:val="24"/>
          <w:highlight w:val="none"/>
        </w:rPr>
      </w:pPr>
    </w:p>
    <w:p w14:paraId="7D2F536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6D6B262">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C81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86F9A4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410C4B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AA97E8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46014D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F4D178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559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827EAF">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20D652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DF46A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934CD00">
            <w:pPr>
              <w:rPr>
                <w:rFonts w:ascii="宋体" w:hAnsi="宋体" w:cs="宋体"/>
                <w:color w:val="auto"/>
                <w:sz w:val="24"/>
                <w:highlight w:val="none"/>
              </w:rPr>
            </w:pPr>
          </w:p>
          <w:p w14:paraId="34354BC8">
            <w:pPr>
              <w:rPr>
                <w:rFonts w:ascii="宋体" w:hAnsi="宋体" w:cs="宋体"/>
                <w:color w:val="auto"/>
                <w:sz w:val="24"/>
                <w:highlight w:val="none"/>
              </w:rPr>
            </w:pPr>
            <w:r>
              <w:rPr>
                <w:rFonts w:hint="eastAsia" w:ascii="宋体" w:hAnsi="宋体" w:cs="宋体"/>
                <w:color w:val="auto"/>
                <w:sz w:val="24"/>
                <w:highlight w:val="none"/>
              </w:rPr>
              <w:t>见投标文件</w:t>
            </w:r>
          </w:p>
          <w:p w14:paraId="23B45D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81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ADCAF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AC5574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724D63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C565EA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A5B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6C3FFD">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563ED11B">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633A7C4">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259D61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301C27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53363C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BBA330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B90737A">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8A3B16A">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1DC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E2A1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5CEBB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6FE6C82">
            <w:pPr>
              <w:spacing w:line="360" w:lineRule="auto"/>
              <w:jc w:val="center"/>
              <w:rPr>
                <w:rFonts w:ascii="宋体" w:hAnsi="宋体" w:cs="宋体"/>
                <w:b/>
                <w:color w:val="auto"/>
                <w:sz w:val="24"/>
                <w:highlight w:val="none"/>
              </w:rPr>
            </w:pPr>
          </w:p>
          <w:p w14:paraId="5180FD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7BDDA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EB5849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5AC3A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3C60154">
            <w:pPr>
              <w:spacing w:line="360" w:lineRule="auto"/>
              <w:jc w:val="center"/>
              <w:rPr>
                <w:rFonts w:ascii="宋体" w:hAnsi="宋体" w:cs="宋体"/>
                <w:b/>
                <w:color w:val="auto"/>
                <w:sz w:val="24"/>
                <w:highlight w:val="none"/>
              </w:rPr>
            </w:pPr>
          </w:p>
          <w:p w14:paraId="64D6F7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96A40FF">
            <w:pPr>
              <w:spacing w:line="360" w:lineRule="auto"/>
              <w:jc w:val="center"/>
              <w:rPr>
                <w:rFonts w:ascii="宋体" w:hAnsi="宋体" w:cs="宋体"/>
                <w:b/>
                <w:color w:val="auto"/>
                <w:sz w:val="24"/>
                <w:highlight w:val="none"/>
              </w:rPr>
            </w:pPr>
          </w:p>
        </w:tc>
      </w:tr>
      <w:tr w14:paraId="6C96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45C7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A0D512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126ABF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CB6FE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0CB6C5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6A5FFC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1FA31CB">
            <w:pPr>
              <w:spacing w:line="360" w:lineRule="auto"/>
              <w:jc w:val="center"/>
              <w:rPr>
                <w:rFonts w:ascii="宋体" w:hAnsi="宋体" w:cs="宋体"/>
                <w:color w:val="auto"/>
                <w:sz w:val="24"/>
                <w:highlight w:val="none"/>
              </w:rPr>
            </w:pPr>
          </w:p>
        </w:tc>
      </w:tr>
      <w:tr w14:paraId="3F1F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DBC2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04E2DD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64DE17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AAEE4D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DF27EA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5A17A5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BFB35C4">
            <w:pPr>
              <w:spacing w:line="360" w:lineRule="auto"/>
              <w:jc w:val="center"/>
              <w:rPr>
                <w:rFonts w:ascii="宋体" w:hAnsi="宋体" w:cs="宋体"/>
                <w:color w:val="auto"/>
                <w:sz w:val="24"/>
                <w:highlight w:val="none"/>
              </w:rPr>
            </w:pPr>
          </w:p>
        </w:tc>
      </w:tr>
      <w:tr w14:paraId="1FAF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86D4D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8918C1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8DCB82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B00F69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F82C1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16E746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2B72FC8">
            <w:pPr>
              <w:spacing w:line="360" w:lineRule="auto"/>
              <w:jc w:val="center"/>
              <w:rPr>
                <w:rFonts w:ascii="宋体" w:hAnsi="宋体" w:cs="宋体"/>
                <w:color w:val="auto"/>
                <w:sz w:val="24"/>
                <w:highlight w:val="none"/>
              </w:rPr>
            </w:pPr>
          </w:p>
        </w:tc>
      </w:tr>
    </w:tbl>
    <w:p w14:paraId="0BEFFA5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137F7BD">
      <w:pPr>
        <w:jc w:val="center"/>
        <w:rPr>
          <w:rFonts w:ascii="宋体" w:hAnsi="宋体" w:cs="宋体"/>
          <w:b/>
          <w:color w:val="auto"/>
          <w:kern w:val="0"/>
          <w:sz w:val="32"/>
          <w:szCs w:val="32"/>
          <w:highlight w:val="none"/>
        </w:rPr>
      </w:pPr>
    </w:p>
    <w:p w14:paraId="08E7C7B9">
      <w:pPr>
        <w:jc w:val="center"/>
        <w:rPr>
          <w:rFonts w:ascii="宋体" w:hAnsi="宋体" w:cs="宋体"/>
          <w:b/>
          <w:color w:val="auto"/>
          <w:kern w:val="0"/>
          <w:sz w:val="32"/>
          <w:szCs w:val="32"/>
          <w:highlight w:val="none"/>
        </w:rPr>
      </w:pPr>
    </w:p>
    <w:p w14:paraId="106EBBD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935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60BA4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3E863B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D54023D">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F6415AD">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2DF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F99BC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5E9F79C">
            <w:pPr>
              <w:jc w:val="center"/>
              <w:rPr>
                <w:rFonts w:ascii="宋体" w:hAnsi="宋体" w:cs="宋体"/>
                <w:b/>
                <w:color w:val="auto"/>
                <w:kern w:val="0"/>
                <w:sz w:val="32"/>
                <w:szCs w:val="32"/>
                <w:highlight w:val="none"/>
              </w:rPr>
            </w:pPr>
          </w:p>
        </w:tc>
        <w:tc>
          <w:tcPr>
            <w:tcW w:w="3546" w:type="dxa"/>
          </w:tcPr>
          <w:p w14:paraId="39A02C25">
            <w:pPr>
              <w:jc w:val="center"/>
              <w:rPr>
                <w:rFonts w:ascii="宋体" w:hAnsi="宋体" w:cs="宋体"/>
                <w:b/>
                <w:color w:val="auto"/>
                <w:kern w:val="0"/>
                <w:sz w:val="32"/>
                <w:szCs w:val="32"/>
                <w:highlight w:val="none"/>
              </w:rPr>
            </w:pPr>
          </w:p>
        </w:tc>
        <w:tc>
          <w:tcPr>
            <w:tcW w:w="1276" w:type="dxa"/>
          </w:tcPr>
          <w:p w14:paraId="70A8E7A3">
            <w:pPr>
              <w:jc w:val="center"/>
              <w:rPr>
                <w:rFonts w:ascii="宋体" w:hAnsi="宋体" w:cs="宋体"/>
                <w:b/>
                <w:color w:val="auto"/>
                <w:kern w:val="0"/>
                <w:sz w:val="32"/>
                <w:szCs w:val="32"/>
                <w:highlight w:val="none"/>
              </w:rPr>
            </w:pPr>
          </w:p>
        </w:tc>
      </w:tr>
      <w:tr w14:paraId="2EC2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C480D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4D621F5">
            <w:pPr>
              <w:jc w:val="center"/>
              <w:rPr>
                <w:rFonts w:ascii="宋体" w:hAnsi="宋体" w:cs="宋体"/>
                <w:b/>
                <w:color w:val="auto"/>
                <w:kern w:val="0"/>
                <w:sz w:val="32"/>
                <w:szCs w:val="32"/>
                <w:highlight w:val="none"/>
              </w:rPr>
            </w:pPr>
          </w:p>
        </w:tc>
        <w:tc>
          <w:tcPr>
            <w:tcW w:w="3546" w:type="dxa"/>
          </w:tcPr>
          <w:p w14:paraId="44F401D3">
            <w:pPr>
              <w:jc w:val="center"/>
              <w:rPr>
                <w:rFonts w:ascii="宋体" w:hAnsi="宋体" w:cs="宋体"/>
                <w:b/>
                <w:color w:val="auto"/>
                <w:kern w:val="0"/>
                <w:sz w:val="32"/>
                <w:szCs w:val="32"/>
                <w:highlight w:val="none"/>
              </w:rPr>
            </w:pPr>
          </w:p>
        </w:tc>
        <w:tc>
          <w:tcPr>
            <w:tcW w:w="1276" w:type="dxa"/>
          </w:tcPr>
          <w:p w14:paraId="1CEE0D1F">
            <w:pPr>
              <w:jc w:val="center"/>
              <w:rPr>
                <w:rFonts w:ascii="宋体" w:hAnsi="宋体" w:cs="宋体"/>
                <w:b/>
                <w:color w:val="auto"/>
                <w:kern w:val="0"/>
                <w:sz w:val="32"/>
                <w:szCs w:val="32"/>
                <w:highlight w:val="none"/>
              </w:rPr>
            </w:pPr>
          </w:p>
        </w:tc>
      </w:tr>
      <w:tr w14:paraId="187D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E91E7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4099763">
            <w:pPr>
              <w:jc w:val="center"/>
              <w:rPr>
                <w:rFonts w:ascii="宋体" w:hAnsi="宋体" w:cs="宋体"/>
                <w:b/>
                <w:color w:val="auto"/>
                <w:kern w:val="0"/>
                <w:sz w:val="32"/>
                <w:szCs w:val="32"/>
                <w:highlight w:val="none"/>
              </w:rPr>
            </w:pPr>
          </w:p>
        </w:tc>
        <w:tc>
          <w:tcPr>
            <w:tcW w:w="3546" w:type="dxa"/>
          </w:tcPr>
          <w:p w14:paraId="625AECB3">
            <w:pPr>
              <w:jc w:val="center"/>
              <w:rPr>
                <w:rFonts w:ascii="宋体" w:hAnsi="宋体" w:cs="宋体"/>
                <w:b/>
                <w:color w:val="auto"/>
                <w:kern w:val="0"/>
                <w:sz w:val="32"/>
                <w:szCs w:val="32"/>
                <w:highlight w:val="none"/>
              </w:rPr>
            </w:pPr>
          </w:p>
        </w:tc>
        <w:tc>
          <w:tcPr>
            <w:tcW w:w="1276" w:type="dxa"/>
          </w:tcPr>
          <w:p w14:paraId="1AC2DCFE">
            <w:pPr>
              <w:jc w:val="center"/>
              <w:rPr>
                <w:rFonts w:ascii="宋体" w:hAnsi="宋体" w:cs="宋体"/>
                <w:b/>
                <w:color w:val="auto"/>
                <w:kern w:val="0"/>
                <w:sz w:val="32"/>
                <w:szCs w:val="32"/>
                <w:highlight w:val="none"/>
              </w:rPr>
            </w:pPr>
          </w:p>
        </w:tc>
      </w:tr>
    </w:tbl>
    <w:p w14:paraId="2CAAE3A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CD3E39D">
      <w:pPr>
        <w:jc w:val="center"/>
        <w:rPr>
          <w:rFonts w:ascii="宋体" w:hAnsi="宋体" w:cs="宋体"/>
          <w:b/>
          <w:color w:val="auto"/>
          <w:kern w:val="0"/>
          <w:sz w:val="32"/>
          <w:szCs w:val="32"/>
          <w:highlight w:val="none"/>
        </w:rPr>
      </w:pPr>
    </w:p>
    <w:p w14:paraId="1ED1B1E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604F99">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316CF45">
      <w:pPr>
        <w:widowControl/>
        <w:adjustRightInd/>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3ED84E7">
      <w:pPr>
        <w:snapToGrid w:val="0"/>
        <w:spacing w:line="360" w:lineRule="auto"/>
        <w:rPr>
          <w:rFonts w:ascii="宋体" w:hAnsi="宋体" w:cs="宋体"/>
          <w:color w:val="auto"/>
          <w:sz w:val="24"/>
          <w:highlight w:val="none"/>
        </w:rPr>
      </w:pPr>
    </w:p>
    <w:p w14:paraId="6A9F467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355EAF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7621B0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6052B2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8CD73A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094E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0FC091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02E4EB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B8E8A4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2A8E20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950BF8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F68D26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2A2C9F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C297DD1">
      <w:pPr>
        <w:spacing w:line="360" w:lineRule="auto"/>
        <w:jc w:val="center"/>
        <w:rPr>
          <w:rFonts w:ascii="宋体" w:hAnsi="宋体" w:cs="宋体"/>
          <w:b/>
          <w:bCs/>
          <w:color w:val="auto"/>
          <w:sz w:val="24"/>
          <w:highlight w:val="none"/>
        </w:rPr>
      </w:pPr>
    </w:p>
    <w:p w14:paraId="1EF0DEF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9E12A2">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61078FCA">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DC2E11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6E34AB7">
      <w:pPr>
        <w:spacing w:line="360" w:lineRule="auto"/>
        <w:jc w:val="center"/>
        <w:outlineLvl w:val="0"/>
        <w:rPr>
          <w:rFonts w:ascii="宋体" w:hAnsi="宋体" w:cs="宋体"/>
          <w:b/>
          <w:color w:val="auto"/>
          <w:kern w:val="0"/>
          <w:sz w:val="36"/>
          <w:szCs w:val="36"/>
          <w:highlight w:val="none"/>
        </w:rPr>
      </w:pPr>
    </w:p>
    <w:p w14:paraId="623E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666FBE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C0E5A04">
      <w:pPr>
        <w:rPr>
          <w:rFonts w:hint="eastAsia" w:ascii="宋体" w:hAnsi="宋体" w:eastAsia="宋体" w:cs="宋体"/>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191"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594FA073">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E8610F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8CB3A2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A7AB93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CEB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09A4B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05EA66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41ED7459">
            <w:pPr>
              <w:spacing w:line="360" w:lineRule="auto"/>
              <w:jc w:val="center"/>
              <w:rPr>
                <w:rFonts w:ascii="宋体" w:hAnsi="宋体" w:cs="宋体"/>
                <w:b/>
                <w:color w:val="auto"/>
                <w:sz w:val="24"/>
                <w:highlight w:val="none"/>
              </w:rPr>
            </w:pPr>
          </w:p>
          <w:p w14:paraId="403C58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2C5889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05BD6B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60342E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121E2757">
            <w:pPr>
              <w:spacing w:line="360" w:lineRule="auto"/>
              <w:jc w:val="center"/>
              <w:rPr>
                <w:rFonts w:ascii="宋体" w:hAnsi="宋体" w:cs="宋体"/>
                <w:b/>
                <w:color w:val="auto"/>
                <w:sz w:val="24"/>
                <w:highlight w:val="none"/>
              </w:rPr>
            </w:pPr>
          </w:p>
          <w:p w14:paraId="0C29A61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42AB4CE">
            <w:pPr>
              <w:spacing w:line="360" w:lineRule="auto"/>
              <w:jc w:val="center"/>
              <w:rPr>
                <w:rFonts w:ascii="宋体" w:hAnsi="宋体" w:cs="宋体"/>
                <w:b/>
                <w:color w:val="auto"/>
                <w:sz w:val="24"/>
                <w:highlight w:val="none"/>
              </w:rPr>
            </w:pPr>
          </w:p>
          <w:p w14:paraId="464EC8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8DDA131">
            <w:pPr>
              <w:spacing w:line="360" w:lineRule="auto"/>
              <w:jc w:val="center"/>
              <w:rPr>
                <w:rFonts w:ascii="宋体" w:hAnsi="宋体" w:cs="宋体"/>
                <w:b/>
                <w:color w:val="auto"/>
                <w:sz w:val="24"/>
                <w:highlight w:val="none"/>
              </w:rPr>
            </w:pPr>
          </w:p>
        </w:tc>
      </w:tr>
      <w:tr w14:paraId="3BAB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8089E3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52C66E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48D5F76">
            <w:pPr>
              <w:snapToGrid w:val="0"/>
              <w:spacing w:line="360" w:lineRule="auto"/>
              <w:jc w:val="center"/>
              <w:rPr>
                <w:rFonts w:ascii="宋体" w:hAnsi="宋体" w:cs="宋体"/>
                <w:color w:val="auto"/>
                <w:sz w:val="24"/>
                <w:highlight w:val="none"/>
              </w:rPr>
            </w:pPr>
          </w:p>
        </w:tc>
        <w:tc>
          <w:tcPr>
            <w:tcW w:w="2410" w:type="dxa"/>
            <w:vAlign w:val="center"/>
          </w:tcPr>
          <w:p w14:paraId="2B0319C2">
            <w:pPr>
              <w:snapToGrid w:val="0"/>
              <w:spacing w:line="360" w:lineRule="auto"/>
              <w:jc w:val="center"/>
              <w:rPr>
                <w:rFonts w:ascii="宋体" w:hAnsi="宋体" w:cs="宋体"/>
                <w:color w:val="auto"/>
                <w:sz w:val="24"/>
                <w:highlight w:val="none"/>
              </w:rPr>
            </w:pPr>
          </w:p>
        </w:tc>
        <w:tc>
          <w:tcPr>
            <w:tcW w:w="2268" w:type="dxa"/>
            <w:vAlign w:val="center"/>
          </w:tcPr>
          <w:p w14:paraId="62B4C837">
            <w:pPr>
              <w:snapToGrid w:val="0"/>
              <w:spacing w:line="360" w:lineRule="auto"/>
              <w:jc w:val="center"/>
              <w:rPr>
                <w:rFonts w:ascii="宋体" w:hAnsi="宋体" w:cs="宋体"/>
                <w:color w:val="auto"/>
                <w:sz w:val="24"/>
                <w:highlight w:val="none"/>
              </w:rPr>
            </w:pPr>
          </w:p>
        </w:tc>
        <w:tc>
          <w:tcPr>
            <w:tcW w:w="2126" w:type="dxa"/>
            <w:vAlign w:val="center"/>
          </w:tcPr>
          <w:p w14:paraId="1DE607C4">
            <w:pPr>
              <w:spacing w:line="360" w:lineRule="auto"/>
              <w:jc w:val="center"/>
              <w:rPr>
                <w:rFonts w:ascii="宋体" w:hAnsi="宋体" w:cs="宋体"/>
                <w:color w:val="auto"/>
                <w:sz w:val="24"/>
                <w:highlight w:val="none"/>
              </w:rPr>
            </w:pPr>
          </w:p>
        </w:tc>
        <w:tc>
          <w:tcPr>
            <w:tcW w:w="2127" w:type="dxa"/>
          </w:tcPr>
          <w:p w14:paraId="3857F2AA">
            <w:pPr>
              <w:spacing w:line="360" w:lineRule="auto"/>
              <w:jc w:val="center"/>
              <w:rPr>
                <w:rFonts w:ascii="宋体" w:hAnsi="宋体" w:cs="宋体"/>
                <w:color w:val="auto"/>
                <w:sz w:val="24"/>
                <w:highlight w:val="none"/>
              </w:rPr>
            </w:pPr>
          </w:p>
        </w:tc>
        <w:tc>
          <w:tcPr>
            <w:tcW w:w="2126" w:type="dxa"/>
            <w:vAlign w:val="center"/>
          </w:tcPr>
          <w:p w14:paraId="1235D4FE">
            <w:pPr>
              <w:spacing w:line="360" w:lineRule="auto"/>
              <w:jc w:val="center"/>
              <w:rPr>
                <w:rFonts w:ascii="宋体" w:hAnsi="宋体" w:cs="宋体"/>
                <w:color w:val="auto"/>
                <w:sz w:val="24"/>
                <w:highlight w:val="none"/>
              </w:rPr>
            </w:pPr>
          </w:p>
        </w:tc>
      </w:tr>
      <w:tr w14:paraId="3E21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1E65D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2AC5D8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4E22C61">
            <w:pPr>
              <w:snapToGrid w:val="0"/>
              <w:spacing w:line="360" w:lineRule="auto"/>
              <w:jc w:val="center"/>
              <w:rPr>
                <w:rFonts w:ascii="宋体" w:hAnsi="宋体" w:cs="宋体"/>
                <w:color w:val="auto"/>
                <w:sz w:val="24"/>
                <w:highlight w:val="none"/>
              </w:rPr>
            </w:pPr>
          </w:p>
        </w:tc>
        <w:tc>
          <w:tcPr>
            <w:tcW w:w="2410" w:type="dxa"/>
            <w:vAlign w:val="center"/>
          </w:tcPr>
          <w:p w14:paraId="30F68E69">
            <w:pPr>
              <w:snapToGrid w:val="0"/>
              <w:spacing w:line="360" w:lineRule="auto"/>
              <w:jc w:val="center"/>
              <w:rPr>
                <w:rFonts w:ascii="宋体" w:hAnsi="宋体" w:cs="宋体"/>
                <w:color w:val="auto"/>
                <w:sz w:val="24"/>
                <w:highlight w:val="none"/>
              </w:rPr>
            </w:pPr>
          </w:p>
        </w:tc>
        <w:tc>
          <w:tcPr>
            <w:tcW w:w="2268" w:type="dxa"/>
            <w:vAlign w:val="center"/>
          </w:tcPr>
          <w:p w14:paraId="6AD30B7D">
            <w:pPr>
              <w:snapToGrid w:val="0"/>
              <w:spacing w:line="360" w:lineRule="auto"/>
              <w:jc w:val="center"/>
              <w:rPr>
                <w:rFonts w:ascii="宋体" w:hAnsi="宋体" w:cs="宋体"/>
                <w:color w:val="auto"/>
                <w:sz w:val="24"/>
                <w:highlight w:val="none"/>
              </w:rPr>
            </w:pPr>
          </w:p>
        </w:tc>
        <w:tc>
          <w:tcPr>
            <w:tcW w:w="2126" w:type="dxa"/>
            <w:vAlign w:val="center"/>
          </w:tcPr>
          <w:p w14:paraId="4741C114">
            <w:pPr>
              <w:spacing w:line="360" w:lineRule="auto"/>
              <w:jc w:val="center"/>
              <w:rPr>
                <w:rFonts w:ascii="宋体" w:hAnsi="宋体" w:cs="宋体"/>
                <w:color w:val="auto"/>
                <w:sz w:val="24"/>
                <w:highlight w:val="none"/>
              </w:rPr>
            </w:pPr>
          </w:p>
        </w:tc>
        <w:tc>
          <w:tcPr>
            <w:tcW w:w="2127" w:type="dxa"/>
          </w:tcPr>
          <w:p w14:paraId="6EBDF349">
            <w:pPr>
              <w:spacing w:line="360" w:lineRule="auto"/>
              <w:jc w:val="center"/>
              <w:rPr>
                <w:rFonts w:ascii="宋体" w:hAnsi="宋体" w:cs="宋体"/>
                <w:color w:val="auto"/>
                <w:sz w:val="24"/>
                <w:highlight w:val="none"/>
              </w:rPr>
            </w:pPr>
          </w:p>
        </w:tc>
        <w:tc>
          <w:tcPr>
            <w:tcW w:w="2126" w:type="dxa"/>
            <w:vAlign w:val="center"/>
          </w:tcPr>
          <w:p w14:paraId="0ED055FB">
            <w:pPr>
              <w:spacing w:line="360" w:lineRule="auto"/>
              <w:jc w:val="center"/>
              <w:rPr>
                <w:rFonts w:ascii="宋体" w:hAnsi="宋体" w:cs="宋体"/>
                <w:color w:val="auto"/>
                <w:sz w:val="24"/>
                <w:highlight w:val="none"/>
              </w:rPr>
            </w:pPr>
          </w:p>
        </w:tc>
      </w:tr>
      <w:tr w14:paraId="1852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CD8DF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81A0FC4">
            <w:pPr>
              <w:snapToGrid w:val="0"/>
              <w:spacing w:line="360" w:lineRule="auto"/>
              <w:jc w:val="center"/>
              <w:rPr>
                <w:rFonts w:ascii="宋体" w:hAnsi="宋体" w:cs="宋体"/>
                <w:color w:val="auto"/>
                <w:sz w:val="24"/>
                <w:highlight w:val="none"/>
              </w:rPr>
            </w:pPr>
          </w:p>
        </w:tc>
        <w:tc>
          <w:tcPr>
            <w:tcW w:w="2268" w:type="dxa"/>
            <w:vAlign w:val="center"/>
          </w:tcPr>
          <w:p w14:paraId="5D199071">
            <w:pPr>
              <w:snapToGrid w:val="0"/>
              <w:spacing w:line="360" w:lineRule="auto"/>
              <w:jc w:val="center"/>
              <w:rPr>
                <w:rFonts w:ascii="宋体" w:hAnsi="宋体" w:cs="宋体"/>
                <w:color w:val="auto"/>
                <w:sz w:val="24"/>
                <w:highlight w:val="none"/>
              </w:rPr>
            </w:pPr>
          </w:p>
        </w:tc>
        <w:tc>
          <w:tcPr>
            <w:tcW w:w="2410" w:type="dxa"/>
            <w:vAlign w:val="center"/>
          </w:tcPr>
          <w:p w14:paraId="15C1CCE5">
            <w:pPr>
              <w:snapToGrid w:val="0"/>
              <w:spacing w:line="360" w:lineRule="auto"/>
              <w:jc w:val="center"/>
              <w:rPr>
                <w:rFonts w:ascii="宋体" w:hAnsi="宋体" w:cs="宋体"/>
                <w:color w:val="auto"/>
                <w:sz w:val="24"/>
                <w:highlight w:val="none"/>
              </w:rPr>
            </w:pPr>
          </w:p>
        </w:tc>
        <w:tc>
          <w:tcPr>
            <w:tcW w:w="2268" w:type="dxa"/>
            <w:vAlign w:val="center"/>
          </w:tcPr>
          <w:p w14:paraId="20744463">
            <w:pPr>
              <w:snapToGrid w:val="0"/>
              <w:spacing w:line="360" w:lineRule="auto"/>
              <w:jc w:val="center"/>
              <w:rPr>
                <w:rFonts w:ascii="宋体" w:hAnsi="宋体" w:cs="宋体"/>
                <w:color w:val="auto"/>
                <w:sz w:val="24"/>
                <w:highlight w:val="none"/>
              </w:rPr>
            </w:pPr>
          </w:p>
        </w:tc>
        <w:tc>
          <w:tcPr>
            <w:tcW w:w="2126" w:type="dxa"/>
            <w:vAlign w:val="center"/>
          </w:tcPr>
          <w:p w14:paraId="32C36586">
            <w:pPr>
              <w:spacing w:line="360" w:lineRule="auto"/>
              <w:jc w:val="center"/>
              <w:rPr>
                <w:rFonts w:ascii="宋体" w:hAnsi="宋体" w:cs="宋体"/>
                <w:color w:val="auto"/>
                <w:sz w:val="24"/>
                <w:highlight w:val="none"/>
              </w:rPr>
            </w:pPr>
          </w:p>
        </w:tc>
        <w:tc>
          <w:tcPr>
            <w:tcW w:w="2127" w:type="dxa"/>
          </w:tcPr>
          <w:p w14:paraId="420BFF57">
            <w:pPr>
              <w:spacing w:line="360" w:lineRule="auto"/>
              <w:jc w:val="center"/>
              <w:rPr>
                <w:rFonts w:ascii="宋体" w:hAnsi="宋体" w:cs="宋体"/>
                <w:color w:val="auto"/>
                <w:sz w:val="24"/>
                <w:highlight w:val="none"/>
              </w:rPr>
            </w:pPr>
          </w:p>
        </w:tc>
        <w:tc>
          <w:tcPr>
            <w:tcW w:w="2126" w:type="dxa"/>
            <w:vAlign w:val="center"/>
          </w:tcPr>
          <w:p w14:paraId="58FA1ECA">
            <w:pPr>
              <w:spacing w:line="360" w:lineRule="auto"/>
              <w:jc w:val="center"/>
              <w:rPr>
                <w:rFonts w:ascii="宋体" w:hAnsi="宋体" w:cs="宋体"/>
                <w:color w:val="auto"/>
                <w:sz w:val="24"/>
                <w:highlight w:val="none"/>
              </w:rPr>
            </w:pPr>
          </w:p>
        </w:tc>
      </w:tr>
      <w:tr w14:paraId="64C2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2191F8">
            <w:pPr>
              <w:spacing w:line="360" w:lineRule="auto"/>
              <w:jc w:val="center"/>
              <w:rPr>
                <w:rFonts w:ascii="宋体" w:hAnsi="宋体" w:cs="宋体"/>
                <w:color w:val="auto"/>
                <w:sz w:val="24"/>
                <w:highlight w:val="none"/>
              </w:rPr>
            </w:pPr>
          </w:p>
        </w:tc>
        <w:tc>
          <w:tcPr>
            <w:tcW w:w="992" w:type="dxa"/>
            <w:vAlign w:val="center"/>
          </w:tcPr>
          <w:p w14:paraId="5DE0E67D">
            <w:pPr>
              <w:snapToGrid w:val="0"/>
              <w:spacing w:line="360" w:lineRule="auto"/>
              <w:jc w:val="center"/>
              <w:rPr>
                <w:rFonts w:ascii="宋体" w:hAnsi="宋体" w:cs="宋体"/>
                <w:color w:val="auto"/>
                <w:sz w:val="24"/>
                <w:highlight w:val="none"/>
              </w:rPr>
            </w:pPr>
          </w:p>
        </w:tc>
        <w:tc>
          <w:tcPr>
            <w:tcW w:w="2268" w:type="dxa"/>
            <w:vAlign w:val="center"/>
          </w:tcPr>
          <w:p w14:paraId="4B72E1E0">
            <w:pPr>
              <w:snapToGrid w:val="0"/>
              <w:spacing w:line="360" w:lineRule="auto"/>
              <w:jc w:val="center"/>
              <w:rPr>
                <w:rFonts w:ascii="宋体" w:hAnsi="宋体" w:cs="宋体"/>
                <w:color w:val="auto"/>
                <w:sz w:val="24"/>
                <w:highlight w:val="none"/>
              </w:rPr>
            </w:pPr>
          </w:p>
        </w:tc>
        <w:tc>
          <w:tcPr>
            <w:tcW w:w="2410" w:type="dxa"/>
            <w:vAlign w:val="center"/>
          </w:tcPr>
          <w:p w14:paraId="189752FD">
            <w:pPr>
              <w:snapToGrid w:val="0"/>
              <w:spacing w:line="360" w:lineRule="auto"/>
              <w:jc w:val="center"/>
              <w:rPr>
                <w:rFonts w:ascii="宋体" w:hAnsi="宋体" w:cs="宋体"/>
                <w:color w:val="auto"/>
                <w:sz w:val="24"/>
                <w:highlight w:val="none"/>
              </w:rPr>
            </w:pPr>
          </w:p>
        </w:tc>
        <w:tc>
          <w:tcPr>
            <w:tcW w:w="2268" w:type="dxa"/>
            <w:vAlign w:val="center"/>
          </w:tcPr>
          <w:p w14:paraId="2612D788">
            <w:pPr>
              <w:snapToGrid w:val="0"/>
              <w:spacing w:line="360" w:lineRule="auto"/>
              <w:jc w:val="center"/>
              <w:rPr>
                <w:rFonts w:ascii="宋体" w:hAnsi="宋体" w:cs="宋体"/>
                <w:color w:val="auto"/>
                <w:sz w:val="24"/>
                <w:highlight w:val="none"/>
              </w:rPr>
            </w:pPr>
          </w:p>
        </w:tc>
        <w:tc>
          <w:tcPr>
            <w:tcW w:w="2126" w:type="dxa"/>
            <w:vAlign w:val="center"/>
          </w:tcPr>
          <w:p w14:paraId="53802E6F">
            <w:pPr>
              <w:spacing w:line="360" w:lineRule="auto"/>
              <w:jc w:val="center"/>
              <w:rPr>
                <w:rFonts w:ascii="宋体" w:hAnsi="宋体" w:cs="宋体"/>
                <w:color w:val="auto"/>
                <w:sz w:val="24"/>
                <w:highlight w:val="none"/>
              </w:rPr>
            </w:pPr>
          </w:p>
        </w:tc>
        <w:tc>
          <w:tcPr>
            <w:tcW w:w="2127" w:type="dxa"/>
          </w:tcPr>
          <w:p w14:paraId="01BC3E46">
            <w:pPr>
              <w:spacing w:line="360" w:lineRule="auto"/>
              <w:jc w:val="center"/>
              <w:rPr>
                <w:rFonts w:ascii="宋体" w:hAnsi="宋体" w:cs="宋体"/>
                <w:color w:val="auto"/>
                <w:sz w:val="24"/>
                <w:highlight w:val="none"/>
              </w:rPr>
            </w:pPr>
          </w:p>
        </w:tc>
        <w:tc>
          <w:tcPr>
            <w:tcW w:w="2126" w:type="dxa"/>
            <w:vAlign w:val="center"/>
          </w:tcPr>
          <w:p w14:paraId="3104C1E6">
            <w:pPr>
              <w:spacing w:line="360" w:lineRule="auto"/>
              <w:jc w:val="center"/>
              <w:rPr>
                <w:rFonts w:ascii="宋体" w:hAnsi="宋体" w:cs="宋体"/>
                <w:color w:val="auto"/>
                <w:sz w:val="24"/>
                <w:highlight w:val="none"/>
              </w:rPr>
            </w:pPr>
          </w:p>
        </w:tc>
      </w:tr>
      <w:tr w14:paraId="3EF7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48C56A">
            <w:pPr>
              <w:spacing w:line="360" w:lineRule="auto"/>
              <w:jc w:val="center"/>
              <w:rPr>
                <w:rFonts w:ascii="宋体" w:hAnsi="宋体" w:cs="宋体"/>
                <w:color w:val="auto"/>
                <w:sz w:val="24"/>
                <w:highlight w:val="none"/>
              </w:rPr>
            </w:pPr>
          </w:p>
        </w:tc>
        <w:tc>
          <w:tcPr>
            <w:tcW w:w="992" w:type="dxa"/>
            <w:vAlign w:val="center"/>
          </w:tcPr>
          <w:p w14:paraId="1E5D1193">
            <w:pPr>
              <w:snapToGrid w:val="0"/>
              <w:spacing w:line="360" w:lineRule="auto"/>
              <w:jc w:val="center"/>
              <w:rPr>
                <w:rFonts w:ascii="宋体" w:hAnsi="宋体" w:cs="宋体"/>
                <w:color w:val="auto"/>
                <w:sz w:val="24"/>
                <w:highlight w:val="none"/>
              </w:rPr>
            </w:pPr>
          </w:p>
        </w:tc>
        <w:tc>
          <w:tcPr>
            <w:tcW w:w="2268" w:type="dxa"/>
            <w:vAlign w:val="center"/>
          </w:tcPr>
          <w:p w14:paraId="2D384EC6">
            <w:pPr>
              <w:snapToGrid w:val="0"/>
              <w:spacing w:line="360" w:lineRule="auto"/>
              <w:jc w:val="center"/>
              <w:rPr>
                <w:rFonts w:ascii="宋体" w:hAnsi="宋体" w:cs="宋体"/>
                <w:color w:val="auto"/>
                <w:sz w:val="24"/>
                <w:highlight w:val="none"/>
              </w:rPr>
            </w:pPr>
          </w:p>
        </w:tc>
        <w:tc>
          <w:tcPr>
            <w:tcW w:w="2410" w:type="dxa"/>
            <w:vAlign w:val="center"/>
          </w:tcPr>
          <w:p w14:paraId="5393F34F">
            <w:pPr>
              <w:snapToGrid w:val="0"/>
              <w:spacing w:line="360" w:lineRule="auto"/>
              <w:jc w:val="center"/>
              <w:rPr>
                <w:rFonts w:ascii="宋体" w:hAnsi="宋体" w:cs="宋体"/>
                <w:color w:val="auto"/>
                <w:sz w:val="24"/>
                <w:highlight w:val="none"/>
              </w:rPr>
            </w:pPr>
          </w:p>
        </w:tc>
        <w:tc>
          <w:tcPr>
            <w:tcW w:w="2268" w:type="dxa"/>
            <w:vAlign w:val="center"/>
          </w:tcPr>
          <w:p w14:paraId="0600C8E5">
            <w:pPr>
              <w:snapToGrid w:val="0"/>
              <w:spacing w:line="360" w:lineRule="auto"/>
              <w:jc w:val="center"/>
              <w:rPr>
                <w:rFonts w:ascii="宋体" w:hAnsi="宋体" w:cs="宋体"/>
                <w:color w:val="auto"/>
                <w:sz w:val="24"/>
                <w:highlight w:val="none"/>
              </w:rPr>
            </w:pPr>
          </w:p>
        </w:tc>
        <w:tc>
          <w:tcPr>
            <w:tcW w:w="2126" w:type="dxa"/>
            <w:vAlign w:val="center"/>
          </w:tcPr>
          <w:p w14:paraId="0544F1C7">
            <w:pPr>
              <w:spacing w:line="360" w:lineRule="auto"/>
              <w:jc w:val="center"/>
              <w:rPr>
                <w:rFonts w:ascii="宋体" w:hAnsi="宋体" w:cs="宋体"/>
                <w:color w:val="auto"/>
                <w:sz w:val="24"/>
                <w:highlight w:val="none"/>
              </w:rPr>
            </w:pPr>
          </w:p>
        </w:tc>
        <w:tc>
          <w:tcPr>
            <w:tcW w:w="2127" w:type="dxa"/>
          </w:tcPr>
          <w:p w14:paraId="4A2D0822">
            <w:pPr>
              <w:spacing w:line="360" w:lineRule="auto"/>
              <w:jc w:val="center"/>
              <w:rPr>
                <w:rFonts w:ascii="宋体" w:hAnsi="宋体" w:cs="宋体"/>
                <w:color w:val="auto"/>
                <w:sz w:val="24"/>
                <w:highlight w:val="none"/>
              </w:rPr>
            </w:pPr>
          </w:p>
        </w:tc>
        <w:tc>
          <w:tcPr>
            <w:tcW w:w="2126" w:type="dxa"/>
            <w:vAlign w:val="center"/>
          </w:tcPr>
          <w:p w14:paraId="74FBFC7F">
            <w:pPr>
              <w:spacing w:line="360" w:lineRule="auto"/>
              <w:jc w:val="center"/>
              <w:rPr>
                <w:rFonts w:ascii="宋体" w:hAnsi="宋体" w:cs="宋体"/>
                <w:color w:val="auto"/>
                <w:sz w:val="24"/>
                <w:highlight w:val="none"/>
              </w:rPr>
            </w:pPr>
          </w:p>
        </w:tc>
      </w:tr>
      <w:tr w14:paraId="3FFE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6845D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2F40260F">
            <w:pPr>
              <w:spacing w:line="360" w:lineRule="auto"/>
              <w:jc w:val="center"/>
              <w:rPr>
                <w:rFonts w:ascii="宋体" w:hAnsi="宋体" w:cs="宋体"/>
                <w:color w:val="auto"/>
                <w:sz w:val="24"/>
                <w:highlight w:val="none"/>
              </w:rPr>
            </w:pPr>
          </w:p>
        </w:tc>
      </w:tr>
      <w:tr w14:paraId="4346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D127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E15633F">
            <w:pPr>
              <w:spacing w:line="360" w:lineRule="auto"/>
              <w:jc w:val="center"/>
              <w:rPr>
                <w:rFonts w:ascii="宋体" w:hAnsi="宋体" w:cs="宋体"/>
                <w:color w:val="auto"/>
                <w:sz w:val="24"/>
                <w:highlight w:val="none"/>
              </w:rPr>
            </w:pPr>
          </w:p>
        </w:tc>
      </w:tr>
    </w:tbl>
    <w:p w14:paraId="4122A493">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2CB74E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748FEA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1A27ED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48618B3">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F86F19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5、特别说明：▲供应商报价低于项目预算50%的，应当在报价文件中详细阐述不影响产品质量或者诚信履约的具体原因，未做阐述说明的，投标无效。</w:t>
      </w:r>
    </w:p>
    <w:p w14:paraId="55BE91B9">
      <w:pPr>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482CA4DF">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1A23D423">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0C1C618">
      <w:pPr>
        <w:rPr>
          <w:color w:val="auto"/>
          <w:highlight w:val="none"/>
        </w:rPr>
      </w:pPr>
      <w:r>
        <w:rPr>
          <w:rFonts w:hint="eastAsia" w:ascii="宋体" w:hAnsi="宋体" w:cs="宋体"/>
          <w:b/>
          <w:color w:val="auto"/>
          <w:sz w:val="24"/>
          <w:highlight w:val="none"/>
        </w:rPr>
        <w:br w:type="page"/>
      </w:r>
    </w:p>
    <w:p w14:paraId="5D123AAF">
      <w:pPr>
        <w:pStyle w:val="3"/>
        <w:keepNext w:val="0"/>
        <w:keepLines w:val="0"/>
        <w:pageBreakBefore/>
        <w:widowControl/>
        <w:spacing w:before="100" w:beforeAutospacing="1" w:after="100" w:afterAutospacing="1"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附件</w:t>
      </w:r>
    </w:p>
    <w:p w14:paraId="67D0D85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AEEDFB1">
      <w:pPr>
        <w:spacing w:line="360" w:lineRule="auto"/>
        <w:jc w:val="center"/>
        <w:rPr>
          <w:rFonts w:ascii="宋体" w:hAnsi="宋体" w:cs="宋体"/>
          <w:b/>
          <w:color w:val="auto"/>
          <w:spacing w:val="6"/>
          <w:sz w:val="32"/>
          <w:szCs w:val="32"/>
          <w:highlight w:val="none"/>
        </w:rPr>
      </w:pPr>
      <w:bookmarkStart w:id="496" w:name="OLE_LINK14"/>
      <w:bookmarkStart w:id="497" w:name="OLE_LINK13"/>
      <w:r>
        <w:rPr>
          <w:rFonts w:hint="eastAsia" w:ascii="宋体" w:hAnsi="宋体" w:cs="宋体"/>
          <w:b/>
          <w:color w:val="auto"/>
          <w:spacing w:val="6"/>
          <w:sz w:val="32"/>
          <w:szCs w:val="32"/>
          <w:highlight w:val="none"/>
        </w:rPr>
        <w:t>残疾人福利性单位声明函</w:t>
      </w:r>
    </w:p>
    <w:bookmarkEnd w:id="496"/>
    <w:bookmarkEnd w:id="497"/>
    <w:p w14:paraId="411AEC3E">
      <w:pPr>
        <w:spacing w:line="360" w:lineRule="auto"/>
        <w:rPr>
          <w:rFonts w:ascii="宋体" w:hAnsi="宋体" w:cs="宋体"/>
          <w:b/>
          <w:color w:val="auto"/>
          <w:spacing w:val="6"/>
          <w:sz w:val="30"/>
          <w:szCs w:val="30"/>
          <w:highlight w:val="none"/>
        </w:rPr>
      </w:pPr>
    </w:p>
    <w:p w14:paraId="58677E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A7746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D861301">
      <w:pPr>
        <w:spacing w:line="360" w:lineRule="auto"/>
        <w:ind w:firstLine="480" w:firstLineChars="200"/>
        <w:rPr>
          <w:rFonts w:ascii="宋体" w:hAnsi="宋体" w:cs="宋体"/>
          <w:color w:val="auto"/>
          <w:sz w:val="24"/>
          <w:highlight w:val="none"/>
        </w:rPr>
      </w:pPr>
    </w:p>
    <w:p w14:paraId="739202C2">
      <w:pPr>
        <w:spacing w:line="360" w:lineRule="auto"/>
        <w:ind w:firstLine="480" w:firstLineChars="200"/>
        <w:rPr>
          <w:rFonts w:ascii="宋体" w:hAnsi="宋体" w:cs="宋体"/>
          <w:color w:val="auto"/>
          <w:sz w:val="24"/>
          <w:highlight w:val="none"/>
        </w:rPr>
      </w:pPr>
    </w:p>
    <w:p w14:paraId="5EA0EBD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77B71E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579D3A6">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56D118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FEDE3A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F15C9A3">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40FFE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D3948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5B8721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43B55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D4A26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051A83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252E9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B13C3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50EE05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A2A1C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D7D41C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0110BA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19D98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F08069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3C965D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12BC09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A35A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B1D4B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A5A6C9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FFC65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04289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17CE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EE7553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4475FC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94901E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E919BA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BC5F0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33B73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C709C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C7CB7D5">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0F0D25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AAA8827">
      <w:pPr>
        <w:spacing w:line="360" w:lineRule="auto"/>
        <w:jc w:val="center"/>
        <w:rPr>
          <w:rFonts w:ascii="宋体" w:hAnsi="宋体" w:cs="宋体"/>
          <w:b/>
          <w:color w:val="auto"/>
          <w:sz w:val="24"/>
          <w:highlight w:val="none"/>
        </w:rPr>
      </w:pPr>
    </w:p>
    <w:p w14:paraId="1595870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B2D12C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FCEDB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928ACE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77C94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9D23D87">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C26FA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3D8A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DBD45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7D46A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8960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CD2FE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0F1802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AEC2E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F7C4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A1D8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8EDF0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999AA7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12B249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18E176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F901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762467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F3FC9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727377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FE3AA8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3EBAD4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5C5372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9CF8A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8292A4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686E93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43E073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666519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5BD2BC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投诉事项2</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20E6F58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50A722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0C57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B15E0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FCE2EB5">
      <w:pPr>
        <w:spacing w:line="360" w:lineRule="auto"/>
        <w:rPr>
          <w:rFonts w:ascii="宋体" w:hAnsi="宋体" w:cs="宋体"/>
          <w:b/>
          <w:color w:val="auto"/>
          <w:sz w:val="24"/>
          <w:highlight w:val="none"/>
        </w:rPr>
      </w:pPr>
      <w:r>
        <w:rPr>
          <w:rFonts w:hint="eastAsia" w:ascii="宋体" w:hAnsi="宋体" w:cs="宋体"/>
          <w:color w:val="auto"/>
          <w:sz w:val="24"/>
          <w:highlight w:val="none"/>
        </w:rPr>
        <w:t xml:space="preserve">日期：    </w:t>
      </w:r>
    </w:p>
    <w:p w14:paraId="06E7600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E13548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D9A0B2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88F6E1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63D87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5E1628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F874E5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D43D2A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6580947">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667A71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E19DDB7">
      <w:pPr>
        <w:spacing w:line="360" w:lineRule="auto"/>
        <w:rPr>
          <w:rFonts w:ascii="宋体" w:hAnsi="宋体" w:cs="宋体"/>
          <w:color w:val="auto"/>
          <w:sz w:val="24"/>
          <w:highlight w:val="none"/>
          <w:u w:val="single"/>
        </w:rPr>
      </w:pPr>
    </w:p>
    <w:p w14:paraId="30DF3F38">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295C19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6C887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E2EC756">
      <w:pPr>
        <w:spacing w:line="360" w:lineRule="auto"/>
        <w:ind w:firstLine="494"/>
        <w:rPr>
          <w:rFonts w:ascii="宋体" w:hAnsi="宋体" w:cs="宋体"/>
          <w:color w:val="auto"/>
          <w:sz w:val="24"/>
          <w:highlight w:val="none"/>
        </w:rPr>
      </w:pPr>
    </w:p>
    <w:p w14:paraId="3D5DAB31">
      <w:pPr>
        <w:spacing w:line="360" w:lineRule="auto"/>
        <w:ind w:firstLine="494"/>
        <w:rPr>
          <w:rFonts w:ascii="宋体" w:hAnsi="宋体" w:cs="宋体"/>
          <w:color w:val="auto"/>
          <w:sz w:val="24"/>
          <w:highlight w:val="none"/>
        </w:rPr>
      </w:pPr>
    </w:p>
    <w:p w14:paraId="20194F59">
      <w:pPr>
        <w:spacing w:line="360" w:lineRule="auto"/>
        <w:rPr>
          <w:rFonts w:ascii="宋体" w:hAnsi="宋体" w:cs="宋体"/>
          <w:color w:val="auto"/>
          <w:sz w:val="24"/>
          <w:highlight w:val="none"/>
        </w:rPr>
      </w:pPr>
    </w:p>
    <w:p w14:paraId="7C8A7C7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655286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31E4974">
      <w:pPr>
        <w:rPr>
          <w:rFonts w:ascii="宋体" w:hAnsi="宋体" w:cs="宋体"/>
          <w:color w:val="auto"/>
          <w:sz w:val="24"/>
          <w:highlight w:val="none"/>
        </w:rPr>
      </w:pPr>
      <w:r>
        <w:rPr>
          <w:rFonts w:hint="eastAsia" w:ascii="宋体" w:hAnsi="宋体" w:cs="宋体"/>
          <w:b/>
          <w:bCs/>
          <w:color w:val="auto"/>
          <w:sz w:val="24"/>
          <w:highlight w:val="none"/>
        </w:rPr>
        <w:t>附：</w:t>
      </w:r>
    </w:p>
    <w:p w14:paraId="367DD9CA">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6C282E7">
      <w:pPr>
        <w:autoSpaceDE w:val="0"/>
        <w:autoSpaceDN w:val="0"/>
        <w:jc w:val="center"/>
        <w:rPr>
          <w:rFonts w:ascii="宋体" w:hAnsi="宋体" w:cs="宋体"/>
          <w:b/>
          <w:color w:val="auto"/>
          <w:spacing w:val="6"/>
          <w:sz w:val="32"/>
          <w:szCs w:val="32"/>
          <w:highlight w:val="none"/>
        </w:rPr>
      </w:pPr>
    </w:p>
    <w:p w14:paraId="7825AED8">
      <w:pPr>
        <w:autoSpaceDE w:val="0"/>
        <w:autoSpaceDN w:val="0"/>
        <w:jc w:val="center"/>
        <w:rPr>
          <w:rFonts w:ascii="宋体" w:hAnsi="宋体" w:cs="宋体"/>
          <w:b/>
          <w:color w:val="auto"/>
          <w:spacing w:val="6"/>
          <w:sz w:val="32"/>
          <w:szCs w:val="32"/>
          <w:highlight w:val="none"/>
        </w:rPr>
      </w:pPr>
    </w:p>
    <w:p w14:paraId="53C8745B">
      <w:pPr>
        <w:autoSpaceDE w:val="0"/>
        <w:autoSpaceDN w:val="0"/>
        <w:jc w:val="center"/>
        <w:rPr>
          <w:rFonts w:ascii="宋体" w:hAnsi="宋体" w:cs="宋体"/>
          <w:b/>
          <w:color w:val="auto"/>
          <w:spacing w:val="6"/>
          <w:sz w:val="32"/>
          <w:szCs w:val="32"/>
          <w:highlight w:val="none"/>
        </w:rPr>
      </w:pPr>
    </w:p>
    <w:p w14:paraId="655075A8">
      <w:pPr>
        <w:autoSpaceDE w:val="0"/>
        <w:autoSpaceDN w:val="0"/>
        <w:jc w:val="center"/>
        <w:rPr>
          <w:rFonts w:ascii="宋体" w:hAnsi="宋体" w:cs="宋体"/>
          <w:b/>
          <w:color w:val="auto"/>
          <w:spacing w:val="6"/>
          <w:sz w:val="32"/>
          <w:szCs w:val="32"/>
          <w:highlight w:val="none"/>
        </w:rPr>
      </w:pPr>
    </w:p>
    <w:p w14:paraId="5317FDD3">
      <w:pPr>
        <w:autoSpaceDE w:val="0"/>
        <w:autoSpaceDN w:val="0"/>
        <w:jc w:val="center"/>
        <w:rPr>
          <w:rFonts w:ascii="宋体" w:hAnsi="宋体" w:cs="宋体"/>
          <w:b/>
          <w:color w:val="auto"/>
          <w:spacing w:val="6"/>
          <w:sz w:val="32"/>
          <w:szCs w:val="32"/>
          <w:highlight w:val="none"/>
        </w:rPr>
      </w:pPr>
    </w:p>
    <w:p w14:paraId="58B5D04F">
      <w:pPr>
        <w:autoSpaceDE w:val="0"/>
        <w:autoSpaceDN w:val="0"/>
        <w:jc w:val="center"/>
        <w:rPr>
          <w:rFonts w:ascii="宋体" w:hAnsi="宋体" w:cs="宋体"/>
          <w:b/>
          <w:color w:val="auto"/>
          <w:spacing w:val="6"/>
          <w:sz w:val="32"/>
          <w:szCs w:val="32"/>
          <w:highlight w:val="none"/>
        </w:rPr>
      </w:pPr>
    </w:p>
    <w:p w14:paraId="5047D35C">
      <w:pPr>
        <w:autoSpaceDE w:val="0"/>
        <w:autoSpaceDN w:val="0"/>
        <w:jc w:val="center"/>
        <w:rPr>
          <w:rFonts w:ascii="宋体" w:hAnsi="宋体" w:cs="宋体"/>
          <w:b/>
          <w:color w:val="auto"/>
          <w:spacing w:val="6"/>
          <w:sz w:val="32"/>
          <w:szCs w:val="32"/>
          <w:highlight w:val="none"/>
        </w:rPr>
      </w:pPr>
    </w:p>
    <w:p w14:paraId="61C4D99E">
      <w:pPr>
        <w:autoSpaceDE w:val="0"/>
        <w:autoSpaceDN w:val="0"/>
        <w:jc w:val="center"/>
        <w:rPr>
          <w:rFonts w:ascii="宋体" w:hAnsi="宋体" w:cs="宋体"/>
          <w:b/>
          <w:color w:val="auto"/>
          <w:spacing w:val="6"/>
          <w:sz w:val="32"/>
          <w:szCs w:val="32"/>
          <w:highlight w:val="none"/>
        </w:rPr>
      </w:pPr>
    </w:p>
    <w:p w14:paraId="0D4AD034">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702D1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356C20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2B631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5A278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0A2C0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2A1CB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09586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74874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E2010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AE7C8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EE9B7F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99"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99"/>
      <w:r>
        <w:rPr>
          <w:rFonts w:hint="eastAsia" w:ascii="宋体" w:hAnsi="宋体" w:cs="宋体"/>
          <w:b/>
          <w:color w:val="auto"/>
          <w:kern w:val="0"/>
          <w:sz w:val="24"/>
          <w:highlight w:val="none"/>
          <w:lang w:val="zh-CN"/>
        </w:rPr>
        <w:t>）</w:t>
      </w:r>
    </w:p>
    <w:p w14:paraId="1D33214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0"/>
    </w:p>
    <w:p w14:paraId="752B0A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74063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83498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45910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C167C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D9DC3F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5B1E2A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8ADF186">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5A9BB8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0154E3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841DB74">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866D44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6C14C4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0C509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E3F6C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B7665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6043C72">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FA61528">
      <w:pPr>
        <w:rPr>
          <w:color w:val="auto"/>
          <w:highlight w:val="none"/>
        </w:rPr>
      </w:pPr>
      <w:r>
        <w:rPr>
          <w:rFonts w:hint="eastAsia"/>
          <w:color w:val="auto"/>
          <w:highlight w:val="none"/>
          <w:lang w:val="zh-CN"/>
        </w:rPr>
        <w:t xml:space="preserve"> </w:t>
      </w:r>
    </w:p>
    <w:p w14:paraId="2DC0EE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60782D9">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BBBCF9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C4C37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F505A6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59CEC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B4312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29BB9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A59F8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A84ECD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AC3EC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DB307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FE876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D6CE4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63D2B6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EBBEE2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52E9E1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C896E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75AB87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980B57">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694532D3">
      <w:pPr>
        <w:spacing w:line="360" w:lineRule="auto"/>
        <w:jc w:val="left"/>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w:t>
      </w:r>
      <w:r>
        <w:rPr>
          <w:rFonts w:ascii="宋体" w:hAnsi="宋体" w:cs="宋体"/>
          <w:b/>
          <w:color w:val="auto"/>
          <w:sz w:val="32"/>
          <w:szCs w:val="18"/>
          <w:highlight w:val="none"/>
        </w:rPr>
        <w:t>7</w:t>
      </w:r>
      <w:r>
        <w:rPr>
          <w:rFonts w:hint="eastAsia" w:ascii="宋体" w:hAnsi="宋体" w:cs="宋体"/>
          <w:b/>
          <w:color w:val="auto"/>
          <w:sz w:val="32"/>
          <w:szCs w:val="18"/>
          <w:highlight w:val="none"/>
        </w:rPr>
        <w:t>：中小企业声明函</w:t>
      </w:r>
    </w:p>
    <w:p w14:paraId="5FD860E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654857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C414EB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11E210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655513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4109C9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56D2F3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8872060">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027381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F009E7D">
      <w:pPr>
        <w:spacing w:line="360" w:lineRule="auto"/>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从业人员、营业收入、资产总额填报上一年度数据</w:t>
      </w:r>
      <w:r>
        <w:rPr>
          <w:rFonts w:hint="eastAsia" w:ascii="宋体" w:hAnsi="宋体" w:cs="宋体"/>
          <w:color w:val="auto"/>
          <w:sz w:val="18"/>
          <w:szCs w:val="18"/>
          <w:highlight w:val="none"/>
          <w:lang w:eastAsia="zh-CN"/>
        </w:rPr>
        <w:t>。</w:t>
      </w:r>
    </w:p>
    <w:p w14:paraId="29DC8B9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278BDC54">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right="420" w:firstLine="480" w:firstLineChars="200"/>
        <w:textAlignment w:val="auto"/>
        <w:rPr>
          <w:rFonts w:hint="eastAsia" w:ascii="宋体" w:hAnsi="宋体" w:cs="宋体"/>
          <w:b/>
          <w:bCs/>
          <w:color w:val="auto"/>
          <w:sz w:val="24"/>
          <w:highlight w:val="none"/>
          <w:shd w:val="clear" w:color="auto" w:fill="auto"/>
          <w:lang w:eastAsia="zh-CN"/>
        </w:rPr>
      </w:pPr>
      <w:r>
        <w:rPr>
          <w:rFonts w:hint="eastAsia" w:ascii="宋体" w:hAnsi="宋体" w:cs="宋体"/>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cs="宋体"/>
          <w:color w:val="auto"/>
          <w:sz w:val="24"/>
          <w:highlight w:val="none"/>
          <w:lang w:eastAsia="zh-CN"/>
        </w:rPr>
        <w:t>。</w:t>
      </w:r>
    </w:p>
    <w:p w14:paraId="1C129416">
      <w:pPr>
        <w:keepNext w:val="0"/>
        <w:keepLines w:val="0"/>
        <w:pageBreakBefore w:val="0"/>
        <w:widowControl w:val="0"/>
        <w:kinsoku/>
        <w:wordWrap/>
        <w:overflowPunct/>
        <w:topLinePunct w:val="0"/>
        <w:autoSpaceDE/>
        <w:autoSpaceDN/>
        <w:bidi w:val="0"/>
        <w:adjustRightInd w:val="0"/>
        <w:snapToGrid/>
        <w:spacing w:line="360" w:lineRule="auto"/>
        <w:textAlignment w:val="auto"/>
        <w:rPr>
          <w:color w:val="auto"/>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color w:val="auto"/>
          <w:highlight w:val="none"/>
        </w:rPr>
        <w:br w:type="page"/>
      </w:r>
    </w:p>
    <w:p w14:paraId="201F06AC">
      <w:pPr>
        <w:pStyle w:val="4"/>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样品（演示）授权委托书</w:t>
      </w:r>
    </w:p>
    <w:p w14:paraId="6FC9A74E">
      <w:pPr>
        <w:jc w:val="center"/>
        <w:rPr>
          <w:color w:val="auto"/>
          <w:sz w:val="40"/>
          <w:highlight w:val="none"/>
        </w:rPr>
      </w:pPr>
      <w:r>
        <w:rPr>
          <w:rFonts w:hint="eastAsia"/>
          <w:color w:val="auto"/>
          <w:sz w:val="40"/>
          <w:highlight w:val="none"/>
        </w:rPr>
        <w:t>样品（演示）授权委托书</w:t>
      </w:r>
    </w:p>
    <w:p w14:paraId="0602E293">
      <w:pPr>
        <w:jc w:val="center"/>
        <w:rPr>
          <w:color w:val="auto"/>
          <w:sz w:val="40"/>
          <w:highlight w:val="none"/>
        </w:rPr>
      </w:pPr>
    </w:p>
    <w:p w14:paraId="5F1EB640">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1B96433A">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1043CD5F">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2739AB85">
      <w:pPr>
        <w:snapToGrid w:val="0"/>
        <w:spacing w:line="360" w:lineRule="auto"/>
        <w:rPr>
          <w:rFonts w:cs="仿宋"/>
          <w:color w:val="auto"/>
          <w:highlight w:val="none"/>
          <w:lang w:val="zh-CN"/>
        </w:rPr>
      </w:pPr>
      <w:r>
        <w:rPr>
          <w:rFonts w:hint="eastAsia" w:cs="仿宋"/>
          <w:color w:val="auto"/>
          <w:highlight w:val="none"/>
          <w:lang w:val="zh-CN"/>
        </w:rPr>
        <w:t xml:space="preserve">  </w:t>
      </w:r>
    </w:p>
    <w:p w14:paraId="679E8A6B">
      <w:pPr>
        <w:snapToGrid w:val="0"/>
        <w:spacing w:line="360" w:lineRule="auto"/>
        <w:rPr>
          <w:rFonts w:cs="仿宋"/>
          <w:color w:val="auto"/>
          <w:highlight w:val="none"/>
        </w:rPr>
      </w:pPr>
      <w:r>
        <w:rPr>
          <w:rFonts w:hint="eastAsia" w:cs="仿宋"/>
          <w:color w:val="auto"/>
          <w:highlight w:val="none"/>
          <w:lang w:val="zh-CN"/>
        </w:rPr>
        <w:t xml:space="preserve">    特此告知。</w:t>
      </w:r>
    </w:p>
    <w:p w14:paraId="18E8A562">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352F3F4B">
      <w:pPr>
        <w:snapToGrid w:val="0"/>
        <w:spacing w:line="360" w:lineRule="auto"/>
        <w:rPr>
          <w:rFonts w:cs="仿宋"/>
          <w:color w:val="auto"/>
          <w:highlight w:val="none"/>
        </w:rPr>
      </w:pPr>
      <w:r>
        <w:rPr>
          <w:rFonts w:hint="eastAsia" w:cs="仿宋"/>
          <w:color w:val="auto"/>
          <w:highlight w:val="none"/>
          <w:lang w:val="zh-CN"/>
        </w:rPr>
        <w:t xml:space="preserve">                                                  </w:t>
      </w:r>
    </w:p>
    <w:p w14:paraId="68E10AAA">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546DFA9D">
      <w:pPr>
        <w:snapToGrid w:val="0"/>
        <w:spacing w:line="360" w:lineRule="auto"/>
        <w:ind w:right="240"/>
        <w:jc w:val="right"/>
        <w:rPr>
          <w:rFonts w:cs="仿宋"/>
          <w:color w:val="auto"/>
          <w:highlight w:val="none"/>
          <w:lang w:val="zh-CN"/>
        </w:rPr>
      </w:pPr>
    </w:p>
    <w:p w14:paraId="249CD1B3">
      <w:pPr>
        <w:snapToGrid w:val="0"/>
        <w:spacing w:line="360" w:lineRule="auto"/>
        <w:ind w:right="1920"/>
        <w:rPr>
          <w:rFonts w:cs="仿宋"/>
          <w:color w:val="auto"/>
          <w:highlight w:val="none"/>
          <w:lang w:val="zh-CN"/>
        </w:rPr>
      </w:pPr>
    </w:p>
    <w:p w14:paraId="4BF0F0AE">
      <w:pPr>
        <w:snapToGrid w:val="0"/>
        <w:spacing w:line="360" w:lineRule="auto"/>
        <w:ind w:right="240"/>
        <w:jc w:val="right"/>
        <w:rPr>
          <w:rFonts w:cs="仿宋"/>
          <w:color w:val="auto"/>
          <w:highlight w:val="none"/>
          <w:lang w:val="zh-CN"/>
        </w:rPr>
      </w:pPr>
    </w:p>
    <w:p w14:paraId="6D322D27">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384A51D4">
      <w:pPr>
        <w:snapToGrid w:val="0"/>
        <w:spacing w:line="360" w:lineRule="auto"/>
        <w:ind w:right="240"/>
        <w:rPr>
          <w:rFonts w:cs="仿宋"/>
          <w:color w:val="auto"/>
          <w:highlight w:val="none"/>
          <w:lang w:val="zh-CN"/>
        </w:rPr>
      </w:pPr>
    </w:p>
    <w:p w14:paraId="4B621B90">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2C4A1B73">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52C7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F521E">
    <w:pPr>
      <w:pStyle w:val="39"/>
      <w:framePr w:wrap="around" w:vAnchor="text" w:hAnchor="margin" w:xAlign="right" w:y="1"/>
      <w:rPr>
        <w:rStyle w:val="72"/>
      </w:rPr>
    </w:pPr>
    <w:r>
      <w:fldChar w:fldCharType="begin"/>
    </w:r>
    <w:r>
      <w:rPr>
        <w:rStyle w:val="72"/>
      </w:rPr>
      <w:instrText xml:space="preserve">PAGE  </w:instrText>
    </w:r>
    <w:r>
      <w:fldChar w:fldCharType="end"/>
    </w:r>
  </w:p>
  <w:p w14:paraId="65F7B9C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3C1A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131845147"/>
    <w:bookmarkStart w:id="502" w:name="_Toc36110187"/>
    <w:bookmarkStart w:id="503" w:name="_Toc91899912"/>
    <w:bookmarkStart w:id="504" w:name="_Toc164085800"/>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EF578">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E9E1">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00000003"/>
    <w:multiLevelType w:val="multilevel"/>
    <w:tmpl w:val="00000003"/>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6B565E"/>
    <w:multiLevelType w:val="singleLevel"/>
    <w:tmpl w:val="166B565E"/>
    <w:lvl w:ilvl="0" w:tentative="0">
      <w:start w:val="1"/>
      <w:numFmt w:val="decimal"/>
      <w:suff w:val="nothing"/>
      <w:lvlText w:val="（%1）"/>
      <w:lvlJc w:val="left"/>
    </w:lvl>
  </w:abstractNum>
  <w:abstractNum w:abstractNumId="9">
    <w:nsid w:val="49505333"/>
    <w:multiLevelType w:val="singleLevel"/>
    <w:tmpl w:val="49505333"/>
    <w:lvl w:ilvl="0" w:tentative="0">
      <w:start w:val="2"/>
      <w:numFmt w:val="chineseCounting"/>
      <w:suff w:val="nothing"/>
      <w:lvlText w:val="%1）"/>
      <w:lvlJc w:val="left"/>
      <w:rPr>
        <w:rFonts w:hint="eastAsia"/>
      </w:rPr>
    </w:lvl>
  </w:abstractNum>
  <w:abstractNum w:abstractNumId="10">
    <w:nsid w:val="57FF7EC6"/>
    <w:multiLevelType w:val="singleLevel"/>
    <w:tmpl w:val="57FF7EC6"/>
    <w:lvl w:ilvl="0" w:tentative="0">
      <w:start w:val="15"/>
      <w:numFmt w:val="decimal"/>
      <w:suff w:val="space"/>
      <w:lvlText w:val="%1."/>
      <w:lvlJc w:val="left"/>
    </w:lvl>
  </w:abstractNum>
  <w:abstractNum w:abstractNumId="11">
    <w:nsid w:val="75BE8EC7"/>
    <w:multiLevelType w:val="singleLevel"/>
    <w:tmpl w:val="75BE8EC7"/>
    <w:lvl w:ilvl="0" w:tentative="0">
      <w:start w:val="1"/>
      <w:numFmt w:val="decimal"/>
      <w:suff w:val="nothing"/>
      <w:lvlText w:val="%1、"/>
      <w:lvlJc w:val="left"/>
    </w:lvl>
  </w:abstractNum>
  <w:num w:numId="1">
    <w:abstractNumId w:val="8"/>
  </w:num>
  <w:num w:numId="2">
    <w:abstractNumId w:val="2"/>
  </w:num>
  <w:num w:numId="3">
    <w:abstractNumId w:val="6"/>
  </w:num>
  <w:num w:numId="4">
    <w:abstractNumId w:val="5"/>
  </w:num>
  <w:num w:numId="5">
    <w:abstractNumId w:val="10"/>
  </w:num>
  <w:num w:numId="6">
    <w:abstractNumId w:val="4"/>
  </w:num>
  <w:num w:numId="7">
    <w:abstractNumId w:val="1"/>
  </w:num>
  <w:num w:numId="8">
    <w:abstractNumId w:val="0"/>
  </w:num>
  <w:num w:numId="9">
    <w:abstractNumId w:val="7"/>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687703"/>
    <w:rsid w:val="019F7441"/>
    <w:rsid w:val="01B37585"/>
    <w:rsid w:val="01CD7566"/>
    <w:rsid w:val="01D55165"/>
    <w:rsid w:val="01DF6BF8"/>
    <w:rsid w:val="01EC2C57"/>
    <w:rsid w:val="025F0711"/>
    <w:rsid w:val="026B2E25"/>
    <w:rsid w:val="02824D4D"/>
    <w:rsid w:val="02DC4B10"/>
    <w:rsid w:val="02DD76CE"/>
    <w:rsid w:val="02F36323"/>
    <w:rsid w:val="02F5619C"/>
    <w:rsid w:val="0326446A"/>
    <w:rsid w:val="032D5555"/>
    <w:rsid w:val="036634D2"/>
    <w:rsid w:val="039447DF"/>
    <w:rsid w:val="03DD35E4"/>
    <w:rsid w:val="04076900"/>
    <w:rsid w:val="041A5A3B"/>
    <w:rsid w:val="042311BA"/>
    <w:rsid w:val="042A28FC"/>
    <w:rsid w:val="042B157A"/>
    <w:rsid w:val="04473600"/>
    <w:rsid w:val="048F763B"/>
    <w:rsid w:val="049F330E"/>
    <w:rsid w:val="04AA775C"/>
    <w:rsid w:val="04AF1889"/>
    <w:rsid w:val="04F66F48"/>
    <w:rsid w:val="05043453"/>
    <w:rsid w:val="05251E14"/>
    <w:rsid w:val="05A16594"/>
    <w:rsid w:val="05A7762D"/>
    <w:rsid w:val="05C52703"/>
    <w:rsid w:val="060E5941"/>
    <w:rsid w:val="06110FAF"/>
    <w:rsid w:val="06493CA7"/>
    <w:rsid w:val="065A6178"/>
    <w:rsid w:val="066F1CF3"/>
    <w:rsid w:val="06930BB8"/>
    <w:rsid w:val="07245D42"/>
    <w:rsid w:val="07264C62"/>
    <w:rsid w:val="0764344E"/>
    <w:rsid w:val="076F17EB"/>
    <w:rsid w:val="0779354C"/>
    <w:rsid w:val="078801B7"/>
    <w:rsid w:val="07AA637F"/>
    <w:rsid w:val="07D23EB1"/>
    <w:rsid w:val="08061376"/>
    <w:rsid w:val="080F390B"/>
    <w:rsid w:val="08452D77"/>
    <w:rsid w:val="08602EE2"/>
    <w:rsid w:val="086401F8"/>
    <w:rsid w:val="08751CAA"/>
    <w:rsid w:val="087E4C40"/>
    <w:rsid w:val="08A871D0"/>
    <w:rsid w:val="08D66AD6"/>
    <w:rsid w:val="08DA33A3"/>
    <w:rsid w:val="08E80F13"/>
    <w:rsid w:val="09335624"/>
    <w:rsid w:val="0944690F"/>
    <w:rsid w:val="09535675"/>
    <w:rsid w:val="095A2027"/>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155CE0"/>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E083C"/>
    <w:rsid w:val="0E5604B2"/>
    <w:rsid w:val="0E6D5D79"/>
    <w:rsid w:val="0E9D0089"/>
    <w:rsid w:val="0EB803EE"/>
    <w:rsid w:val="0EF94D4B"/>
    <w:rsid w:val="0F1B7B63"/>
    <w:rsid w:val="0F4958DC"/>
    <w:rsid w:val="0F515DF7"/>
    <w:rsid w:val="0F596BA8"/>
    <w:rsid w:val="0F6248D2"/>
    <w:rsid w:val="0F693536"/>
    <w:rsid w:val="0F7B0511"/>
    <w:rsid w:val="0F7B76D9"/>
    <w:rsid w:val="0F816ACD"/>
    <w:rsid w:val="0F9832DB"/>
    <w:rsid w:val="0FA50879"/>
    <w:rsid w:val="0FBF3FD2"/>
    <w:rsid w:val="0FBF7FF3"/>
    <w:rsid w:val="100E1475"/>
    <w:rsid w:val="10646583"/>
    <w:rsid w:val="107D4B15"/>
    <w:rsid w:val="108A3C80"/>
    <w:rsid w:val="10C26171"/>
    <w:rsid w:val="10F33360"/>
    <w:rsid w:val="10FC16EA"/>
    <w:rsid w:val="110F1D40"/>
    <w:rsid w:val="11136B0B"/>
    <w:rsid w:val="11266F33"/>
    <w:rsid w:val="114F7C08"/>
    <w:rsid w:val="11561326"/>
    <w:rsid w:val="118963A1"/>
    <w:rsid w:val="11AE4CBE"/>
    <w:rsid w:val="11C6522A"/>
    <w:rsid w:val="11E104CC"/>
    <w:rsid w:val="11E20309"/>
    <w:rsid w:val="12255233"/>
    <w:rsid w:val="12530213"/>
    <w:rsid w:val="127723A9"/>
    <w:rsid w:val="12862074"/>
    <w:rsid w:val="12883966"/>
    <w:rsid w:val="129E45B4"/>
    <w:rsid w:val="12D81596"/>
    <w:rsid w:val="12EF1A32"/>
    <w:rsid w:val="13072A44"/>
    <w:rsid w:val="130D31FD"/>
    <w:rsid w:val="1340403C"/>
    <w:rsid w:val="135F4BE2"/>
    <w:rsid w:val="139B1A0A"/>
    <w:rsid w:val="139D25C7"/>
    <w:rsid w:val="13BF3CE4"/>
    <w:rsid w:val="141008D8"/>
    <w:rsid w:val="14125FE6"/>
    <w:rsid w:val="142179C9"/>
    <w:rsid w:val="146D271E"/>
    <w:rsid w:val="14982588"/>
    <w:rsid w:val="149A5AD9"/>
    <w:rsid w:val="14A7619D"/>
    <w:rsid w:val="14FC60B6"/>
    <w:rsid w:val="150536C3"/>
    <w:rsid w:val="150C1963"/>
    <w:rsid w:val="151447A0"/>
    <w:rsid w:val="151C4634"/>
    <w:rsid w:val="15237771"/>
    <w:rsid w:val="154A6454"/>
    <w:rsid w:val="15762120"/>
    <w:rsid w:val="15C10692"/>
    <w:rsid w:val="161B669A"/>
    <w:rsid w:val="1632430B"/>
    <w:rsid w:val="16A8729C"/>
    <w:rsid w:val="16B33777"/>
    <w:rsid w:val="16BC70A7"/>
    <w:rsid w:val="16C6339E"/>
    <w:rsid w:val="172F2D79"/>
    <w:rsid w:val="172F7CA7"/>
    <w:rsid w:val="17557BEF"/>
    <w:rsid w:val="17907E34"/>
    <w:rsid w:val="17D349C1"/>
    <w:rsid w:val="17F17FFA"/>
    <w:rsid w:val="18131D1F"/>
    <w:rsid w:val="18221F62"/>
    <w:rsid w:val="1830729E"/>
    <w:rsid w:val="1870062C"/>
    <w:rsid w:val="18817102"/>
    <w:rsid w:val="18830A15"/>
    <w:rsid w:val="18852B28"/>
    <w:rsid w:val="188B5321"/>
    <w:rsid w:val="188B7B07"/>
    <w:rsid w:val="18952734"/>
    <w:rsid w:val="189746FE"/>
    <w:rsid w:val="189E35C3"/>
    <w:rsid w:val="18EA7287"/>
    <w:rsid w:val="19932372"/>
    <w:rsid w:val="199E386A"/>
    <w:rsid w:val="19A20DD5"/>
    <w:rsid w:val="19AE03F1"/>
    <w:rsid w:val="19BC2548"/>
    <w:rsid w:val="19F142E2"/>
    <w:rsid w:val="1A071A03"/>
    <w:rsid w:val="1A1F16AE"/>
    <w:rsid w:val="1A3B5C77"/>
    <w:rsid w:val="1A750A6F"/>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CA4388D"/>
    <w:rsid w:val="1D266CE1"/>
    <w:rsid w:val="1D3963AF"/>
    <w:rsid w:val="1D5B32BB"/>
    <w:rsid w:val="1D6A673C"/>
    <w:rsid w:val="1D7E2045"/>
    <w:rsid w:val="1D9247AE"/>
    <w:rsid w:val="1DB567EC"/>
    <w:rsid w:val="1DF51A98"/>
    <w:rsid w:val="1DFF3EF7"/>
    <w:rsid w:val="1E3D060F"/>
    <w:rsid w:val="1E3F7D2E"/>
    <w:rsid w:val="1E4134E4"/>
    <w:rsid w:val="1E5062B3"/>
    <w:rsid w:val="1E523514"/>
    <w:rsid w:val="1E714A66"/>
    <w:rsid w:val="1E802593"/>
    <w:rsid w:val="1E8B6156"/>
    <w:rsid w:val="1E925102"/>
    <w:rsid w:val="1E984D2C"/>
    <w:rsid w:val="1EA703CC"/>
    <w:rsid w:val="1EB7330C"/>
    <w:rsid w:val="1EBF367A"/>
    <w:rsid w:val="1EF02DBA"/>
    <w:rsid w:val="1F0A0FF3"/>
    <w:rsid w:val="1F5771FF"/>
    <w:rsid w:val="1FAC341E"/>
    <w:rsid w:val="1FD52DD5"/>
    <w:rsid w:val="1FE868A9"/>
    <w:rsid w:val="20034907"/>
    <w:rsid w:val="20173E4B"/>
    <w:rsid w:val="204E48BC"/>
    <w:rsid w:val="208921B3"/>
    <w:rsid w:val="20973DEB"/>
    <w:rsid w:val="20B26522"/>
    <w:rsid w:val="20B44310"/>
    <w:rsid w:val="211116EB"/>
    <w:rsid w:val="216133FC"/>
    <w:rsid w:val="2185666F"/>
    <w:rsid w:val="21863561"/>
    <w:rsid w:val="21D56769"/>
    <w:rsid w:val="21E52EF3"/>
    <w:rsid w:val="21FB5D7B"/>
    <w:rsid w:val="22015E94"/>
    <w:rsid w:val="220B1C3D"/>
    <w:rsid w:val="221D1D20"/>
    <w:rsid w:val="22334A87"/>
    <w:rsid w:val="22A047A2"/>
    <w:rsid w:val="22BE6801"/>
    <w:rsid w:val="22CF0F38"/>
    <w:rsid w:val="233500BF"/>
    <w:rsid w:val="23377FF7"/>
    <w:rsid w:val="236B425F"/>
    <w:rsid w:val="23836192"/>
    <w:rsid w:val="23901F29"/>
    <w:rsid w:val="239C0061"/>
    <w:rsid w:val="23B26890"/>
    <w:rsid w:val="23B908A4"/>
    <w:rsid w:val="23CE2F9E"/>
    <w:rsid w:val="23E95BEF"/>
    <w:rsid w:val="23FD0064"/>
    <w:rsid w:val="24465B9C"/>
    <w:rsid w:val="245375B0"/>
    <w:rsid w:val="24642C0A"/>
    <w:rsid w:val="24B22173"/>
    <w:rsid w:val="24B95AD9"/>
    <w:rsid w:val="24BE24DA"/>
    <w:rsid w:val="24CF5825"/>
    <w:rsid w:val="24D663E6"/>
    <w:rsid w:val="24D77F2B"/>
    <w:rsid w:val="24F627AC"/>
    <w:rsid w:val="2504136D"/>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EA5F12"/>
    <w:rsid w:val="28333E1D"/>
    <w:rsid w:val="28454BD6"/>
    <w:rsid w:val="28455253"/>
    <w:rsid w:val="28551971"/>
    <w:rsid w:val="285B1C53"/>
    <w:rsid w:val="2875476A"/>
    <w:rsid w:val="289F7086"/>
    <w:rsid w:val="28C32028"/>
    <w:rsid w:val="28CC490F"/>
    <w:rsid w:val="28DE40AA"/>
    <w:rsid w:val="28FC05AD"/>
    <w:rsid w:val="29345E77"/>
    <w:rsid w:val="294C65AD"/>
    <w:rsid w:val="29806583"/>
    <w:rsid w:val="298B3C4C"/>
    <w:rsid w:val="29957315"/>
    <w:rsid w:val="29A720F8"/>
    <w:rsid w:val="29DA63EF"/>
    <w:rsid w:val="29F26D24"/>
    <w:rsid w:val="2A104310"/>
    <w:rsid w:val="2A15033F"/>
    <w:rsid w:val="2A1662C1"/>
    <w:rsid w:val="2A1C7367"/>
    <w:rsid w:val="2A2815FA"/>
    <w:rsid w:val="2A6D6092"/>
    <w:rsid w:val="2A7D76B4"/>
    <w:rsid w:val="2B277573"/>
    <w:rsid w:val="2B2D7144"/>
    <w:rsid w:val="2B437463"/>
    <w:rsid w:val="2B5D2C79"/>
    <w:rsid w:val="2B7807EE"/>
    <w:rsid w:val="2B9B0460"/>
    <w:rsid w:val="2BA50BF7"/>
    <w:rsid w:val="2BBF00EC"/>
    <w:rsid w:val="2BC37CFD"/>
    <w:rsid w:val="2BD3459E"/>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2208F9"/>
    <w:rsid w:val="30733ACD"/>
    <w:rsid w:val="308C3862"/>
    <w:rsid w:val="309379D8"/>
    <w:rsid w:val="30A270F7"/>
    <w:rsid w:val="30DF1478"/>
    <w:rsid w:val="30EC586F"/>
    <w:rsid w:val="313E50E0"/>
    <w:rsid w:val="314550B7"/>
    <w:rsid w:val="316867E0"/>
    <w:rsid w:val="319C6071"/>
    <w:rsid w:val="31AC537E"/>
    <w:rsid w:val="31E3679B"/>
    <w:rsid w:val="31E732FD"/>
    <w:rsid w:val="32517576"/>
    <w:rsid w:val="32BA306B"/>
    <w:rsid w:val="32BE5C2C"/>
    <w:rsid w:val="32FB6478"/>
    <w:rsid w:val="33263B3F"/>
    <w:rsid w:val="336963EB"/>
    <w:rsid w:val="33816EEB"/>
    <w:rsid w:val="33B928EA"/>
    <w:rsid w:val="33EB55CD"/>
    <w:rsid w:val="33EC4C02"/>
    <w:rsid w:val="33F12F68"/>
    <w:rsid w:val="340D2360"/>
    <w:rsid w:val="3410665D"/>
    <w:rsid w:val="34211214"/>
    <w:rsid w:val="342E63AB"/>
    <w:rsid w:val="34950E68"/>
    <w:rsid w:val="34986E94"/>
    <w:rsid w:val="34AF62C9"/>
    <w:rsid w:val="34CB4388"/>
    <w:rsid w:val="34F860CC"/>
    <w:rsid w:val="34FA6E12"/>
    <w:rsid w:val="35246EC1"/>
    <w:rsid w:val="354D7158"/>
    <w:rsid w:val="358D5588"/>
    <w:rsid w:val="363A3B40"/>
    <w:rsid w:val="365302AE"/>
    <w:rsid w:val="365E28A7"/>
    <w:rsid w:val="36607A0A"/>
    <w:rsid w:val="366854D4"/>
    <w:rsid w:val="366E227C"/>
    <w:rsid w:val="366F2E0D"/>
    <w:rsid w:val="367B6A5C"/>
    <w:rsid w:val="36A74ADA"/>
    <w:rsid w:val="36AD60D5"/>
    <w:rsid w:val="36B224F9"/>
    <w:rsid w:val="36EC0CC9"/>
    <w:rsid w:val="373F410B"/>
    <w:rsid w:val="37EE7094"/>
    <w:rsid w:val="38296C89"/>
    <w:rsid w:val="383002EB"/>
    <w:rsid w:val="38586797"/>
    <w:rsid w:val="38BC0149"/>
    <w:rsid w:val="38D87D1C"/>
    <w:rsid w:val="39312419"/>
    <w:rsid w:val="39416E46"/>
    <w:rsid w:val="395462F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771FCD"/>
    <w:rsid w:val="3C9568F7"/>
    <w:rsid w:val="3CCE23CB"/>
    <w:rsid w:val="3CD17D17"/>
    <w:rsid w:val="3CDB255C"/>
    <w:rsid w:val="3D107AC3"/>
    <w:rsid w:val="3D3C7F39"/>
    <w:rsid w:val="3D440F09"/>
    <w:rsid w:val="3D4504A0"/>
    <w:rsid w:val="3D8734BB"/>
    <w:rsid w:val="3D9A11D4"/>
    <w:rsid w:val="3DA16D89"/>
    <w:rsid w:val="3DA364BE"/>
    <w:rsid w:val="3DC04A24"/>
    <w:rsid w:val="3DE041CB"/>
    <w:rsid w:val="3E0D48F6"/>
    <w:rsid w:val="3E151A9D"/>
    <w:rsid w:val="3E1868B4"/>
    <w:rsid w:val="3E3363C7"/>
    <w:rsid w:val="3E377251"/>
    <w:rsid w:val="3E42664B"/>
    <w:rsid w:val="3E5A7334"/>
    <w:rsid w:val="3E7B5D6B"/>
    <w:rsid w:val="3E843E66"/>
    <w:rsid w:val="3E8F51FE"/>
    <w:rsid w:val="3E926F87"/>
    <w:rsid w:val="3E9A59DE"/>
    <w:rsid w:val="3EAF4836"/>
    <w:rsid w:val="3EBE5498"/>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2F2E76"/>
    <w:rsid w:val="418F0D2A"/>
    <w:rsid w:val="41D01505"/>
    <w:rsid w:val="42474939"/>
    <w:rsid w:val="424C3C57"/>
    <w:rsid w:val="42613FF3"/>
    <w:rsid w:val="42660D96"/>
    <w:rsid w:val="428667D2"/>
    <w:rsid w:val="42CD1CE0"/>
    <w:rsid w:val="42E1381E"/>
    <w:rsid w:val="42ED6459"/>
    <w:rsid w:val="42F81E2D"/>
    <w:rsid w:val="42FC73CE"/>
    <w:rsid w:val="42FE58DD"/>
    <w:rsid w:val="43174B3D"/>
    <w:rsid w:val="434B790E"/>
    <w:rsid w:val="4360274F"/>
    <w:rsid w:val="43977AB6"/>
    <w:rsid w:val="43A3342B"/>
    <w:rsid w:val="43C77C27"/>
    <w:rsid w:val="43DE09EE"/>
    <w:rsid w:val="44002FAD"/>
    <w:rsid w:val="449101DD"/>
    <w:rsid w:val="44BC0EC5"/>
    <w:rsid w:val="44DE1391"/>
    <w:rsid w:val="451B225C"/>
    <w:rsid w:val="452410C9"/>
    <w:rsid w:val="45317DFB"/>
    <w:rsid w:val="456D3CE4"/>
    <w:rsid w:val="4579042C"/>
    <w:rsid w:val="457F0571"/>
    <w:rsid w:val="45851176"/>
    <w:rsid w:val="45C63B94"/>
    <w:rsid w:val="460E7DA5"/>
    <w:rsid w:val="46422483"/>
    <w:rsid w:val="464B69A4"/>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52158"/>
    <w:rsid w:val="489A0361"/>
    <w:rsid w:val="48B819A3"/>
    <w:rsid w:val="48B94FF3"/>
    <w:rsid w:val="48C90054"/>
    <w:rsid w:val="48E37AAB"/>
    <w:rsid w:val="48E704DA"/>
    <w:rsid w:val="48FD4B4C"/>
    <w:rsid w:val="490A68E0"/>
    <w:rsid w:val="491055FE"/>
    <w:rsid w:val="49382AE4"/>
    <w:rsid w:val="495F5B3E"/>
    <w:rsid w:val="496F77D7"/>
    <w:rsid w:val="497654FD"/>
    <w:rsid w:val="49B64211"/>
    <w:rsid w:val="49E56AF9"/>
    <w:rsid w:val="49F6167F"/>
    <w:rsid w:val="4A064FA0"/>
    <w:rsid w:val="4A16615C"/>
    <w:rsid w:val="4A4424D7"/>
    <w:rsid w:val="4A9A7306"/>
    <w:rsid w:val="4AB82D0F"/>
    <w:rsid w:val="4AEB7664"/>
    <w:rsid w:val="4AFD7C19"/>
    <w:rsid w:val="4B0567D1"/>
    <w:rsid w:val="4B236AAE"/>
    <w:rsid w:val="4B363761"/>
    <w:rsid w:val="4B3A3706"/>
    <w:rsid w:val="4B707271"/>
    <w:rsid w:val="4B9739F7"/>
    <w:rsid w:val="4BEE2503"/>
    <w:rsid w:val="4C245A30"/>
    <w:rsid w:val="4CB6685F"/>
    <w:rsid w:val="4CC367FE"/>
    <w:rsid w:val="4D077F3C"/>
    <w:rsid w:val="4D123355"/>
    <w:rsid w:val="4D2770F7"/>
    <w:rsid w:val="4D2A3B31"/>
    <w:rsid w:val="4D312C52"/>
    <w:rsid w:val="4D905305"/>
    <w:rsid w:val="4D964A72"/>
    <w:rsid w:val="4D9C1254"/>
    <w:rsid w:val="4E451F2B"/>
    <w:rsid w:val="4E50267E"/>
    <w:rsid w:val="4E793892"/>
    <w:rsid w:val="4E800872"/>
    <w:rsid w:val="4EC569ED"/>
    <w:rsid w:val="4ED50EA1"/>
    <w:rsid w:val="4EEC050C"/>
    <w:rsid w:val="4F104EC3"/>
    <w:rsid w:val="4F47354A"/>
    <w:rsid w:val="4F563CC4"/>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E71EE"/>
    <w:rsid w:val="53544462"/>
    <w:rsid w:val="5397158E"/>
    <w:rsid w:val="54013861"/>
    <w:rsid w:val="54487265"/>
    <w:rsid w:val="544D6070"/>
    <w:rsid w:val="5453568F"/>
    <w:rsid w:val="54605E1E"/>
    <w:rsid w:val="54B3506A"/>
    <w:rsid w:val="54CA0D16"/>
    <w:rsid w:val="54DD4057"/>
    <w:rsid w:val="54E7490F"/>
    <w:rsid w:val="550764A4"/>
    <w:rsid w:val="550B2BF6"/>
    <w:rsid w:val="55214EB5"/>
    <w:rsid w:val="552B174F"/>
    <w:rsid w:val="55364EFD"/>
    <w:rsid w:val="555D4828"/>
    <w:rsid w:val="557A4C8B"/>
    <w:rsid w:val="558931E1"/>
    <w:rsid w:val="55923347"/>
    <w:rsid w:val="55925180"/>
    <w:rsid w:val="55983B1B"/>
    <w:rsid w:val="55A8376B"/>
    <w:rsid w:val="55DC29B6"/>
    <w:rsid w:val="55DD4241"/>
    <w:rsid w:val="566B6D1E"/>
    <w:rsid w:val="56C854A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CE14FD"/>
    <w:rsid w:val="58E363A9"/>
    <w:rsid w:val="59233F27"/>
    <w:rsid w:val="595E1678"/>
    <w:rsid w:val="596D5BD4"/>
    <w:rsid w:val="597E3DD8"/>
    <w:rsid w:val="59C26B25"/>
    <w:rsid w:val="59D92186"/>
    <w:rsid w:val="59F80043"/>
    <w:rsid w:val="5A09252F"/>
    <w:rsid w:val="5A0B2778"/>
    <w:rsid w:val="5A2A7C7B"/>
    <w:rsid w:val="5A3E2560"/>
    <w:rsid w:val="5A5D3B6E"/>
    <w:rsid w:val="5A637A76"/>
    <w:rsid w:val="5A6D33BA"/>
    <w:rsid w:val="5A792B1F"/>
    <w:rsid w:val="5A874767"/>
    <w:rsid w:val="5AA85BE2"/>
    <w:rsid w:val="5AAD6F28"/>
    <w:rsid w:val="5AC41561"/>
    <w:rsid w:val="5AD63A24"/>
    <w:rsid w:val="5B2E1A1D"/>
    <w:rsid w:val="5B433C96"/>
    <w:rsid w:val="5B843A1C"/>
    <w:rsid w:val="5B873E3F"/>
    <w:rsid w:val="5BCC20C3"/>
    <w:rsid w:val="5C02690E"/>
    <w:rsid w:val="5C196DA7"/>
    <w:rsid w:val="5C2A048C"/>
    <w:rsid w:val="5C80234E"/>
    <w:rsid w:val="5C8A680C"/>
    <w:rsid w:val="5D0C4701"/>
    <w:rsid w:val="5D0F0395"/>
    <w:rsid w:val="5D221076"/>
    <w:rsid w:val="5D397964"/>
    <w:rsid w:val="5D543F38"/>
    <w:rsid w:val="5D5A391C"/>
    <w:rsid w:val="5D5F10C0"/>
    <w:rsid w:val="5D845EA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8D0B82"/>
    <w:rsid w:val="5FCC5339"/>
    <w:rsid w:val="5FE34A5B"/>
    <w:rsid w:val="5FFE1E36"/>
    <w:rsid w:val="601A422B"/>
    <w:rsid w:val="60232584"/>
    <w:rsid w:val="607330CE"/>
    <w:rsid w:val="60825176"/>
    <w:rsid w:val="609F2AC4"/>
    <w:rsid w:val="60F65306"/>
    <w:rsid w:val="60FA2EE8"/>
    <w:rsid w:val="61054A27"/>
    <w:rsid w:val="610A52BC"/>
    <w:rsid w:val="611D2366"/>
    <w:rsid w:val="61421856"/>
    <w:rsid w:val="615227C4"/>
    <w:rsid w:val="61654E3F"/>
    <w:rsid w:val="6182292A"/>
    <w:rsid w:val="619F7F92"/>
    <w:rsid w:val="61A63211"/>
    <w:rsid w:val="61F94C26"/>
    <w:rsid w:val="62000E56"/>
    <w:rsid w:val="6200468F"/>
    <w:rsid w:val="624327CD"/>
    <w:rsid w:val="624F3E49"/>
    <w:rsid w:val="62632286"/>
    <w:rsid w:val="62885958"/>
    <w:rsid w:val="62C27B96"/>
    <w:rsid w:val="62F40B65"/>
    <w:rsid w:val="62F835B8"/>
    <w:rsid w:val="62FC2CFE"/>
    <w:rsid w:val="63024505"/>
    <w:rsid w:val="634D51A7"/>
    <w:rsid w:val="635600A5"/>
    <w:rsid w:val="635B1DB5"/>
    <w:rsid w:val="63711FED"/>
    <w:rsid w:val="63880DDC"/>
    <w:rsid w:val="638D750D"/>
    <w:rsid w:val="63AC6CC0"/>
    <w:rsid w:val="63B374DF"/>
    <w:rsid w:val="64055776"/>
    <w:rsid w:val="642108EC"/>
    <w:rsid w:val="64240056"/>
    <w:rsid w:val="643A3D28"/>
    <w:rsid w:val="643E143A"/>
    <w:rsid w:val="64491666"/>
    <w:rsid w:val="648B6EEF"/>
    <w:rsid w:val="64C158BF"/>
    <w:rsid w:val="64CE2EAA"/>
    <w:rsid w:val="653C3090"/>
    <w:rsid w:val="655F16CC"/>
    <w:rsid w:val="657607C4"/>
    <w:rsid w:val="65854376"/>
    <w:rsid w:val="658767BE"/>
    <w:rsid w:val="65892531"/>
    <w:rsid w:val="66195831"/>
    <w:rsid w:val="662E75B1"/>
    <w:rsid w:val="66342C2E"/>
    <w:rsid w:val="663E784C"/>
    <w:rsid w:val="668B6A45"/>
    <w:rsid w:val="66F372EF"/>
    <w:rsid w:val="67011F07"/>
    <w:rsid w:val="672F3F24"/>
    <w:rsid w:val="673E055F"/>
    <w:rsid w:val="67542D87"/>
    <w:rsid w:val="67551CE3"/>
    <w:rsid w:val="679C0639"/>
    <w:rsid w:val="67A22552"/>
    <w:rsid w:val="67B22DCC"/>
    <w:rsid w:val="67BE71AA"/>
    <w:rsid w:val="67D90273"/>
    <w:rsid w:val="67DE5875"/>
    <w:rsid w:val="67E55852"/>
    <w:rsid w:val="67EB1AB4"/>
    <w:rsid w:val="67FA1285"/>
    <w:rsid w:val="68551F4F"/>
    <w:rsid w:val="6869C340"/>
    <w:rsid w:val="687C10C9"/>
    <w:rsid w:val="68840C16"/>
    <w:rsid w:val="68872541"/>
    <w:rsid w:val="68876EFB"/>
    <w:rsid w:val="68884654"/>
    <w:rsid w:val="689F444F"/>
    <w:rsid w:val="68A65864"/>
    <w:rsid w:val="68B96DBB"/>
    <w:rsid w:val="68CA2805"/>
    <w:rsid w:val="68E937A3"/>
    <w:rsid w:val="691664E5"/>
    <w:rsid w:val="693E15D3"/>
    <w:rsid w:val="695157D0"/>
    <w:rsid w:val="69627681"/>
    <w:rsid w:val="6977531D"/>
    <w:rsid w:val="69AB6DFC"/>
    <w:rsid w:val="69CC2BFF"/>
    <w:rsid w:val="69CE6E20"/>
    <w:rsid w:val="69F5671A"/>
    <w:rsid w:val="69FD55B8"/>
    <w:rsid w:val="6A0B1C62"/>
    <w:rsid w:val="6A2406C8"/>
    <w:rsid w:val="6A445335"/>
    <w:rsid w:val="6ADE0BD1"/>
    <w:rsid w:val="6AE96859"/>
    <w:rsid w:val="6B147746"/>
    <w:rsid w:val="6B22378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BE53FE"/>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894543"/>
    <w:rsid w:val="75C17839"/>
    <w:rsid w:val="75D20F1D"/>
    <w:rsid w:val="75DA2C18"/>
    <w:rsid w:val="75F54412"/>
    <w:rsid w:val="760F1D33"/>
    <w:rsid w:val="761D08E0"/>
    <w:rsid w:val="765D347C"/>
    <w:rsid w:val="76826699"/>
    <w:rsid w:val="76B4114C"/>
    <w:rsid w:val="76C87133"/>
    <w:rsid w:val="76CD08D5"/>
    <w:rsid w:val="76DB0DCF"/>
    <w:rsid w:val="76DB4B92"/>
    <w:rsid w:val="77052AA4"/>
    <w:rsid w:val="770FEEE6"/>
    <w:rsid w:val="77136511"/>
    <w:rsid w:val="77340A39"/>
    <w:rsid w:val="77351FD0"/>
    <w:rsid w:val="77472422"/>
    <w:rsid w:val="777F31F2"/>
    <w:rsid w:val="77D1700D"/>
    <w:rsid w:val="77D73344"/>
    <w:rsid w:val="77EC04CC"/>
    <w:rsid w:val="783B7D77"/>
    <w:rsid w:val="78775729"/>
    <w:rsid w:val="78A42DB0"/>
    <w:rsid w:val="78A656AB"/>
    <w:rsid w:val="78B2245C"/>
    <w:rsid w:val="78E0091E"/>
    <w:rsid w:val="78E172CC"/>
    <w:rsid w:val="78EA1D1F"/>
    <w:rsid w:val="78FD502C"/>
    <w:rsid w:val="7904172F"/>
    <w:rsid w:val="790F7E27"/>
    <w:rsid w:val="792A231A"/>
    <w:rsid w:val="79316829"/>
    <w:rsid w:val="797E66A9"/>
    <w:rsid w:val="798518A4"/>
    <w:rsid w:val="79A97383"/>
    <w:rsid w:val="79B80F53"/>
    <w:rsid w:val="79E27E8B"/>
    <w:rsid w:val="79F850CE"/>
    <w:rsid w:val="79FD443C"/>
    <w:rsid w:val="7A1D1975"/>
    <w:rsid w:val="7A3E5150"/>
    <w:rsid w:val="7A4670D6"/>
    <w:rsid w:val="7A534B63"/>
    <w:rsid w:val="7A615382"/>
    <w:rsid w:val="7A63515A"/>
    <w:rsid w:val="7A67303B"/>
    <w:rsid w:val="7AAB1D04"/>
    <w:rsid w:val="7ABA4368"/>
    <w:rsid w:val="7AD05746"/>
    <w:rsid w:val="7B257FFD"/>
    <w:rsid w:val="7B273D20"/>
    <w:rsid w:val="7B343476"/>
    <w:rsid w:val="7B5A2978"/>
    <w:rsid w:val="7B5A7E4C"/>
    <w:rsid w:val="7B667AF9"/>
    <w:rsid w:val="7B7468F8"/>
    <w:rsid w:val="7B7A6E08"/>
    <w:rsid w:val="7B8F7973"/>
    <w:rsid w:val="7BE61DA8"/>
    <w:rsid w:val="7BED62BE"/>
    <w:rsid w:val="7BEE0103"/>
    <w:rsid w:val="7C0861C2"/>
    <w:rsid w:val="7C0A0FE4"/>
    <w:rsid w:val="7C254906"/>
    <w:rsid w:val="7C444D20"/>
    <w:rsid w:val="7C590818"/>
    <w:rsid w:val="7C7C10F6"/>
    <w:rsid w:val="7C853BEA"/>
    <w:rsid w:val="7C881368"/>
    <w:rsid w:val="7CE27788"/>
    <w:rsid w:val="7D0C32F1"/>
    <w:rsid w:val="7D0F408D"/>
    <w:rsid w:val="7D491C6C"/>
    <w:rsid w:val="7D5429C0"/>
    <w:rsid w:val="7D6B2EAC"/>
    <w:rsid w:val="7D6E6D43"/>
    <w:rsid w:val="7D8E5EC0"/>
    <w:rsid w:val="7DA13E52"/>
    <w:rsid w:val="7DA63EE4"/>
    <w:rsid w:val="7DB57A34"/>
    <w:rsid w:val="7DE60973"/>
    <w:rsid w:val="7DEF0916"/>
    <w:rsid w:val="7E1E5218"/>
    <w:rsid w:val="7E3F316F"/>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0"/>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93</Pages>
  <Words>15583</Words>
  <Characters>16810</Characters>
  <Lines>295</Lines>
  <Paragraphs>83</Paragraphs>
  <TotalTime>66</TotalTime>
  <ScaleCrop>false</ScaleCrop>
  <LinksUpToDate>false</LinksUpToDate>
  <CharactersWithSpaces>17207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w</cp:lastModifiedBy>
  <cp:lastPrinted>2024-10-21T09:29:00Z</cp:lastPrinted>
  <dcterms:modified xsi:type="dcterms:W3CDTF">2024-12-18T13:38:26Z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7CC3B7853223100FD2031667E0B452C8</vt:lpwstr>
  </property>
</Properties>
</file>