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pageBreakBefore w:val="0"/>
        <w:kinsoku/>
        <w:wordWrap/>
        <w:topLinePunct w:val="0"/>
        <w:bidi w:val="0"/>
        <w:spacing w:line="360" w:lineRule="auto"/>
        <w:ind w:left="0" w:leftChars="0" w:firstLine="0" w:firstLineChars="0"/>
      </w:pPr>
    </w:p>
    <w:p>
      <w:pPr>
        <w:keepNext w:val="0"/>
        <w:keepLines w:val="0"/>
        <w:pageBreakBefore w:val="0"/>
        <w:kinsoku/>
        <w:wordWrap/>
        <w:topLinePunct w:val="0"/>
        <w:bidi w:val="0"/>
        <w:spacing w:line="360" w:lineRule="auto"/>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spacing w:val="79"/>
          <w:sz w:val="52"/>
          <w:szCs w:val="52"/>
          <w:lang w:eastAsia="zh-CN"/>
        </w:rPr>
      </w:pPr>
      <w:r>
        <w:rPr>
          <w:rFonts w:hint="eastAsia" w:ascii="宋体" w:hAnsi="宋体" w:eastAsia="宋体" w:cs="宋体"/>
          <w:bCs/>
          <w:spacing w:val="79"/>
          <w:sz w:val="52"/>
          <w:szCs w:val="52"/>
          <w:lang w:eastAsia="zh-CN"/>
        </w:rPr>
        <w:t>2024年本岛红绿灯一体化</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spacing w:val="79"/>
          <w:sz w:val="52"/>
          <w:szCs w:val="52"/>
          <w:lang w:eastAsia="zh-CN"/>
        </w:rPr>
      </w:pPr>
      <w:r>
        <w:rPr>
          <w:rFonts w:hint="eastAsia" w:ascii="宋体" w:hAnsi="宋体" w:eastAsia="宋体" w:cs="宋体"/>
          <w:bCs/>
          <w:spacing w:val="79"/>
          <w:sz w:val="52"/>
          <w:szCs w:val="52"/>
          <w:lang w:eastAsia="zh-CN"/>
        </w:rPr>
        <w:t>维保项目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eastAsia="宋体" w:cs="宋体"/>
          <w:bCs/>
          <w:spacing w:val="79"/>
          <w:sz w:val="52"/>
          <w:szCs w:val="52"/>
          <w:lang w:eastAsia="zh-CN"/>
        </w:rPr>
      </w:pPr>
    </w:p>
    <w:p>
      <w:pPr>
        <w:pStyle w:val="7"/>
        <w:keepNext w:val="0"/>
        <w:keepLines w:val="0"/>
        <w:pageBreakBefore w:val="0"/>
        <w:kinsoku/>
        <w:wordWrap/>
        <w:topLinePunct w:val="0"/>
        <w:bidi w:val="0"/>
        <w:spacing w:line="360" w:lineRule="auto"/>
        <w:rPr>
          <w:rFonts w:hint="eastAsia"/>
          <w:lang w:eastAsia="zh-CN"/>
        </w:rPr>
      </w:pPr>
    </w:p>
    <w:p>
      <w:pPr>
        <w:pStyle w:val="11"/>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rPr>
          <w:rFonts w:hAnsi="宋体" w:eastAsia="宋体" w:cs="宋体"/>
          <w:b/>
          <w:sz w:val="84"/>
          <w:szCs w:val="84"/>
        </w:rPr>
      </w:pPr>
      <w:r>
        <w:rPr>
          <w:rFonts w:hint="eastAsia" w:hAnsi="宋体" w:eastAsia="宋体" w:cs="宋体"/>
          <w:bCs/>
          <w:sz w:val="84"/>
          <w:szCs w:val="84"/>
        </w:rPr>
        <w:t>招标文件</w:t>
      </w:r>
    </w:p>
    <w:p>
      <w:pPr>
        <w:pStyle w:val="11"/>
        <w:keepNext w:val="0"/>
        <w:keepLines w:val="0"/>
        <w:pageBreakBefore w:val="0"/>
        <w:kinsoku/>
        <w:wordWrap/>
        <w:topLinePunct w:val="0"/>
        <w:bidi w:val="0"/>
        <w:snapToGrid w:val="0"/>
        <w:spacing w:before="120" w:after="120" w:line="360" w:lineRule="auto"/>
        <w:rPr>
          <w:rFonts w:hAnsi="宋体" w:eastAsia="宋体" w:cs="宋体"/>
          <w:b/>
          <w:sz w:val="24"/>
          <w:szCs w:val="24"/>
        </w:rPr>
      </w:pPr>
    </w:p>
    <w:p>
      <w:pPr>
        <w:pStyle w:val="71"/>
        <w:keepNext w:val="0"/>
        <w:keepLines w:val="0"/>
        <w:pageBreakBefore w:val="0"/>
        <w:widowControl w:val="0"/>
        <w:kinsoku/>
        <w:wordWrap/>
        <w:topLinePunct w:val="0"/>
        <w:bidi w:val="0"/>
        <w:spacing w:line="360" w:lineRule="auto"/>
        <w:rPr>
          <w:rFonts w:ascii="宋体" w:hAnsi="宋体" w:cs="宋体"/>
          <w:szCs w:val="24"/>
        </w:rPr>
      </w:pPr>
    </w:p>
    <w:p>
      <w:pPr>
        <w:pStyle w:val="71"/>
        <w:keepNext w:val="0"/>
        <w:keepLines w:val="0"/>
        <w:pageBreakBefore w:val="0"/>
        <w:widowControl w:val="0"/>
        <w:kinsoku/>
        <w:wordWrap/>
        <w:topLinePunct w:val="0"/>
        <w:bidi w:val="0"/>
        <w:spacing w:line="720" w:lineRule="auto"/>
        <w:ind w:firstLine="1680" w:firstLineChars="600"/>
        <w:rPr>
          <w:rFonts w:ascii="宋体" w:hAnsi="宋体" w:cs="宋体"/>
          <w:sz w:val="28"/>
          <w:szCs w:val="28"/>
        </w:rPr>
      </w:pPr>
      <w:r>
        <w:rPr>
          <w:rFonts w:hint="eastAsia" w:ascii="宋体" w:hAnsi="宋体" w:cs="宋体"/>
          <w:sz w:val="28"/>
          <w:szCs w:val="28"/>
        </w:rPr>
        <w:t>项目编号：0773-2441GNZSFWGK6123</w:t>
      </w:r>
    </w:p>
    <w:p>
      <w:pPr>
        <w:pStyle w:val="71"/>
        <w:keepNext w:val="0"/>
        <w:keepLines w:val="0"/>
        <w:pageBreakBefore w:val="0"/>
        <w:widowControl w:val="0"/>
        <w:kinsoku/>
        <w:wordWrap/>
        <w:topLinePunct w:val="0"/>
        <w:bidi w:val="0"/>
        <w:spacing w:line="720" w:lineRule="auto"/>
        <w:ind w:firstLine="1680" w:firstLineChars="600"/>
        <w:rPr>
          <w:rFonts w:hint="default" w:ascii="宋体" w:hAnsi="宋体" w:eastAsia="宋体" w:cs="宋体"/>
          <w:sz w:val="28"/>
          <w:szCs w:val="28"/>
          <w:lang w:val="en-US" w:eastAsia="zh-CN"/>
        </w:rPr>
      </w:pPr>
      <w:r>
        <w:rPr>
          <w:rFonts w:hint="eastAsia" w:ascii="宋体" w:hAnsi="宋体" w:cs="宋体"/>
          <w:sz w:val="28"/>
          <w:szCs w:val="28"/>
        </w:rPr>
        <w:t>项目名称：</w:t>
      </w:r>
      <w:r>
        <w:rPr>
          <w:rFonts w:hint="eastAsia" w:ascii="宋体" w:hAnsi="宋体" w:cs="宋体"/>
          <w:sz w:val="28"/>
          <w:szCs w:val="28"/>
          <w:lang w:eastAsia="zh-CN"/>
        </w:rPr>
        <w:t>2024年本岛红绿灯一体化维保项目</w:t>
      </w:r>
    </w:p>
    <w:p>
      <w:pPr>
        <w:keepNext w:val="0"/>
        <w:keepLines w:val="0"/>
        <w:pageBreakBefore w:val="0"/>
        <w:kinsoku/>
        <w:wordWrap/>
        <w:topLinePunct w:val="0"/>
        <w:bidi w:val="0"/>
        <w:spacing w:line="720" w:lineRule="auto"/>
        <w:ind w:firstLine="1680" w:firstLineChars="600"/>
        <w:rPr>
          <w:rFonts w:hint="eastAsia" w:ascii="宋体" w:hAnsi="宋体" w:cs="宋体"/>
          <w:sz w:val="28"/>
          <w:szCs w:val="28"/>
          <w:lang w:eastAsia="zh-CN"/>
        </w:rPr>
      </w:pPr>
      <w:r>
        <w:rPr>
          <w:rFonts w:hint="eastAsia" w:ascii="宋体" w:hAnsi="宋体" w:cs="宋体"/>
          <w:sz w:val="28"/>
          <w:szCs w:val="28"/>
        </w:rPr>
        <w:t>采 购 人：</w:t>
      </w:r>
      <w:r>
        <w:rPr>
          <w:rFonts w:hint="eastAsia" w:ascii="宋体" w:hAnsi="宋体" w:cs="宋体"/>
          <w:sz w:val="28"/>
          <w:szCs w:val="28"/>
          <w:lang w:eastAsia="zh-CN"/>
        </w:rPr>
        <w:t>舟山市公安局交通警察支队</w:t>
      </w:r>
      <w:r>
        <w:rPr>
          <w:rFonts w:hint="eastAsia" w:ascii="宋体" w:hAnsi="宋体" w:cs="宋体"/>
          <w:sz w:val="28"/>
          <w:szCs w:val="28"/>
        </w:rPr>
        <w:t>（盖章）</w:t>
      </w:r>
    </w:p>
    <w:p>
      <w:pPr>
        <w:keepNext w:val="0"/>
        <w:keepLines w:val="0"/>
        <w:pageBreakBefore w:val="0"/>
        <w:kinsoku/>
        <w:wordWrap/>
        <w:topLinePunct w:val="0"/>
        <w:bidi w:val="0"/>
        <w:spacing w:line="720" w:lineRule="auto"/>
        <w:ind w:firstLine="1680" w:firstLineChars="600"/>
        <w:rPr>
          <w:rFonts w:ascii="宋体" w:hAnsi="宋体" w:cs="宋体"/>
          <w:sz w:val="28"/>
          <w:szCs w:val="28"/>
        </w:rPr>
      </w:pPr>
      <w:r>
        <w:rPr>
          <w:rFonts w:hint="eastAsia" w:ascii="宋体" w:hAnsi="宋体" w:cs="宋体"/>
          <w:sz w:val="28"/>
          <w:szCs w:val="28"/>
        </w:rPr>
        <w:t>代理机构：中金招标有限责任公司（盖章）</w:t>
      </w:r>
    </w:p>
    <w:p>
      <w:pPr>
        <w:pStyle w:val="11"/>
        <w:keepNext w:val="0"/>
        <w:keepLines w:val="0"/>
        <w:pageBreakBefore w:val="0"/>
        <w:kinsoku/>
        <w:wordWrap/>
        <w:topLinePunct w:val="0"/>
        <w:bidi w:val="0"/>
        <w:spacing w:before="120" w:after="120" w:line="720" w:lineRule="auto"/>
        <w:ind w:firstLine="1680" w:firstLineChars="600"/>
        <w:rPr>
          <w:rFonts w:hAnsi="宋体" w:eastAsia="宋体" w:cs="宋体"/>
          <w:sz w:val="28"/>
          <w:szCs w:val="28"/>
        </w:rPr>
      </w:pPr>
      <w:r>
        <w:rPr>
          <w:rFonts w:hint="eastAsia" w:hAnsi="宋体" w:eastAsia="宋体" w:cs="宋体"/>
          <w:bCs/>
          <w:sz w:val="28"/>
          <w:szCs w:val="28"/>
        </w:rPr>
        <w:t>日    期：二〇二</w:t>
      </w:r>
      <w:r>
        <w:rPr>
          <w:rFonts w:hint="eastAsia" w:hAnsi="宋体" w:eastAsia="宋体" w:cs="宋体"/>
          <w:bCs/>
          <w:sz w:val="28"/>
          <w:szCs w:val="28"/>
          <w:lang w:val="en-US" w:eastAsia="zh-CN"/>
        </w:rPr>
        <w:t>四</w:t>
      </w:r>
      <w:r>
        <w:rPr>
          <w:rFonts w:hint="eastAsia" w:hAnsi="宋体" w:eastAsia="宋体" w:cs="宋体"/>
          <w:bCs/>
          <w:sz w:val="28"/>
          <w:szCs w:val="28"/>
        </w:rPr>
        <w:t>年</w:t>
      </w:r>
      <w:r>
        <w:rPr>
          <w:rFonts w:hint="eastAsia" w:hAnsi="宋体" w:eastAsia="宋体" w:cs="宋体"/>
          <w:bCs/>
          <w:sz w:val="28"/>
          <w:szCs w:val="28"/>
          <w:lang w:val="en-US" w:eastAsia="zh-CN"/>
        </w:rPr>
        <w:t>十一</w:t>
      </w:r>
      <w:r>
        <w:rPr>
          <w:rFonts w:hint="eastAsia" w:hAnsi="宋体" w:eastAsia="宋体" w:cs="宋体"/>
          <w:bCs/>
          <w:sz w:val="28"/>
          <w:szCs w:val="28"/>
        </w:rPr>
        <w:t>月</w:t>
      </w:r>
    </w:p>
    <w:p>
      <w:pPr>
        <w:pStyle w:val="11"/>
        <w:keepNext w:val="0"/>
        <w:keepLines w:val="0"/>
        <w:pageBreakBefore w:val="0"/>
        <w:kinsoku/>
        <w:wordWrap/>
        <w:topLinePunct w:val="0"/>
        <w:bidi w:val="0"/>
        <w:spacing w:before="120" w:after="120" w:line="360" w:lineRule="auto"/>
        <w:rPr>
          <w:rFonts w:hAnsi="宋体" w:eastAsia="宋体" w:cs="宋体"/>
          <w:sz w:val="24"/>
          <w:szCs w:val="24"/>
        </w:rPr>
      </w:pPr>
    </w:p>
    <w:p>
      <w:pPr>
        <w:pStyle w:val="11"/>
        <w:keepNext w:val="0"/>
        <w:keepLines w:val="0"/>
        <w:pageBreakBefore w:val="0"/>
        <w:kinsoku/>
        <w:wordWrap/>
        <w:topLinePunct w:val="0"/>
        <w:bidi w:val="0"/>
        <w:spacing w:before="120" w:after="120" w:line="360" w:lineRule="auto"/>
        <w:jc w:val="center"/>
        <w:rPr>
          <w:rFonts w:hAnsi="宋体" w:eastAsia="宋体" w:cs="宋体"/>
          <w:sz w:val="36"/>
          <w:szCs w:val="36"/>
        </w:rPr>
        <w:sectPr>
          <w:headerReference r:id="rId4" w:type="first"/>
          <w:footerReference r:id="rId6" w:type="first"/>
          <w:headerReference r:id="rId3" w:type="default"/>
          <w:footerReference r:id="rId5" w:type="default"/>
          <w:pgSz w:w="11906" w:h="16838"/>
          <w:pgMar w:top="1531" w:right="1191" w:bottom="737" w:left="1191" w:header="851" w:footer="584"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11"/>
        <w:keepNext w:val="0"/>
        <w:keepLines w:val="0"/>
        <w:pageBreakBefore w:val="0"/>
        <w:kinsoku/>
        <w:wordWrap/>
        <w:topLinePunct w:val="0"/>
        <w:bidi w:val="0"/>
        <w:spacing w:before="120" w:after="120" w:line="360" w:lineRule="auto"/>
        <w:jc w:val="center"/>
        <w:outlineLvl w:val="0"/>
        <w:rPr>
          <w:rFonts w:hAnsi="宋体" w:eastAsia="宋体" w:cs="宋体"/>
          <w:sz w:val="36"/>
          <w:szCs w:val="36"/>
        </w:rPr>
      </w:pPr>
      <w:r>
        <w:rPr>
          <w:rFonts w:hint="eastAsia" w:hAnsi="宋体" w:eastAsia="宋体" w:cs="宋体"/>
          <w:sz w:val="36"/>
          <w:szCs w:val="36"/>
        </w:rPr>
        <w:t>目    录</w:t>
      </w:r>
    </w:p>
    <w:p>
      <w:pPr>
        <w:keepNext w:val="0"/>
        <w:keepLines w:val="0"/>
        <w:pageBreakBefore w:val="0"/>
        <w:kinsoku/>
        <w:wordWrap/>
        <w:topLinePunct w:val="0"/>
        <w:bidi w:val="0"/>
        <w:spacing w:before="120" w:line="360" w:lineRule="auto"/>
        <w:ind w:firstLine="840" w:firstLineChars="300"/>
        <w:outlineLvl w:val="9"/>
        <w:rPr>
          <w:rFonts w:hint="eastAsia" w:ascii="宋体" w:hAnsi="宋体" w:cs="宋体"/>
          <w:sz w:val="28"/>
          <w:szCs w:val="28"/>
        </w:rPr>
      </w:pPr>
      <w:bookmarkStart w:id="0" w:name="_Toc25024"/>
      <w:r>
        <w:rPr>
          <w:rFonts w:hint="eastAsia" w:ascii="宋体" w:hAnsi="宋体" w:cs="宋体"/>
          <w:sz w:val="28"/>
          <w:szCs w:val="28"/>
        </w:rPr>
        <w:t>第一章  招标公告</w:t>
      </w:r>
      <w:bookmarkEnd w:id="0"/>
    </w:p>
    <w:p>
      <w:pPr>
        <w:keepNext w:val="0"/>
        <w:keepLines w:val="0"/>
        <w:pageBreakBefore w:val="0"/>
        <w:kinsoku/>
        <w:wordWrap/>
        <w:topLinePunct w:val="0"/>
        <w:bidi w:val="0"/>
        <w:spacing w:before="120" w:line="360" w:lineRule="auto"/>
        <w:ind w:firstLine="840" w:firstLineChars="300"/>
        <w:rPr>
          <w:rFonts w:ascii="宋体" w:hAnsi="宋体" w:cs="宋体"/>
          <w:sz w:val="28"/>
          <w:szCs w:val="28"/>
        </w:rPr>
      </w:pPr>
      <w:r>
        <w:rPr>
          <w:rFonts w:hint="eastAsia" w:ascii="宋体" w:hAnsi="宋体" w:cs="宋体"/>
          <w:sz w:val="28"/>
          <w:szCs w:val="28"/>
        </w:rPr>
        <w:t>第二章  采购需求</w:t>
      </w:r>
    </w:p>
    <w:p>
      <w:pPr>
        <w:keepNext w:val="0"/>
        <w:keepLines w:val="0"/>
        <w:pageBreakBefore w:val="0"/>
        <w:kinsoku/>
        <w:wordWrap/>
        <w:topLinePunct w:val="0"/>
        <w:bidi w:val="0"/>
        <w:spacing w:before="120" w:line="360" w:lineRule="auto"/>
        <w:ind w:firstLine="840" w:firstLineChars="300"/>
        <w:rPr>
          <w:rFonts w:ascii="宋体" w:hAnsi="宋体" w:cs="宋体"/>
          <w:sz w:val="28"/>
          <w:szCs w:val="28"/>
        </w:rPr>
      </w:pPr>
      <w:r>
        <w:rPr>
          <w:rFonts w:hint="eastAsia" w:ascii="宋体" w:hAnsi="宋体" w:cs="宋体"/>
          <w:sz w:val="28"/>
          <w:szCs w:val="28"/>
        </w:rPr>
        <w:t>第三章  投标人须知</w:t>
      </w:r>
    </w:p>
    <w:p>
      <w:pPr>
        <w:keepNext w:val="0"/>
        <w:keepLines w:val="0"/>
        <w:pageBreakBefore w:val="0"/>
        <w:kinsoku/>
        <w:wordWrap/>
        <w:topLinePunct w:val="0"/>
        <w:bidi w:val="0"/>
        <w:spacing w:before="120" w:line="360" w:lineRule="auto"/>
        <w:ind w:firstLine="1960" w:firstLineChars="700"/>
        <w:rPr>
          <w:rFonts w:ascii="宋体" w:hAnsi="宋体" w:cs="宋体"/>
          <w:sz w:val="28"/>
          <w:szCs w:val="28"/>
        </w:rPr>
      </w:pPr>
      <w:r>
        <w:rPr>
          <w:rFonts w:hint="eastAsia" w:ascii="宋体" w:hAnsi="宋体" w:cs="宋体"/>
          <w:sz w:val="28"/>
          <w:szCs w:val="28"/>
        </w:rPr>
        <w:t xml:space="preserve">前附表 </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一、总 则</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二、招标文件</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三、投标文件的编制</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四、开标</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五、评标</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六、废标</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七、定标</w:t>
      </w:r>
    </w:p>
    <w:p>
      <w:pPr>
        <w:keepNext w:val="0"/>
        <w:keepLines w:val="0"/>
        <w:pageBreakBefore w:val="0"/>
        <w:kinsoku/>
        <w:wordWrap/>
        <w:topLinePunct w:val="0"/>
        <w:bidi w:val="0"/>
        <w:spacing w:before="120" w:line="360" w:lineRule="auto"/>
        <w:ind w:firstLine="1400" w:firstLineChars="500"/>
        <w:rPr>
          <w:rFonts w:ascii="宋体" w:hAnsi="宋体" w:cs="宋体"/>
          <w:sz w:val="28"/>
          <w:szCs w:val="28"/>
        </w:rPr>
      </w:pPr>
      <w:r>
        <w:rPr>
          <w:rFonts w:hint="eastAsia" w:ascii="宋体" w:hAnsi="宋体" w:cs="宋体"/>
          <w:sz w:val="28"/>
          <w:szCs w:val="28"/>
        </w:rPr>
        <w:t>八、合同授予</w:t>
      </w:r>
    </w:p>
    <w:p>
      <w:pPr>
        <w:keepNext w:val="0"/>
        <w:keepLines w:val="0"/>
        <w:pageBreakBefore w:val="0"/>
        <w:kinsoku/>
        <w:wordWrap/>
        <w:topLinePunct w:val="0"/>
        <w:bidi w:val="0"/>
        <w:spacing w:before="120" w:line="360" w:lineRule="auto"/>
        <w:ind w:firstLine="840" w:firstLineChars="300"/>
        <w:rPr>
          <w:rFonts w:ascii="宋体" w:hAnsi="宋体" w:cs="宋体"/>
          <w:sz w:val="28"/>
          <w:szCs w:val="28"/>
        </w:rPr>
      </w:pPr>
      <w:r>
        <w:rPr>
          <w:rFonts w:hint="eastAsia" w:ascii="宋体" w:hAnsi="宋体" w:cs="宋体"/>
          <w:sz w:val="28"/>
          <w:szCs w:val="28"/>
        </w:rPr>
        <w:t>第四章  评标办法及标准</w:t>
      </w:r>
    </w:p>
    <w:p>
      <w:pPr>
        <w:keepNext w:val="0"/>
        <w:keepLines w:val="0"/>
        <w:pageBreakBefore w:val="0"/>
        <w:kinsoku/>
        <w:wordWrap/>
        <w:topLinePunct w:val="0"/>
        <w:bidi w:val="0"/>
        <w:spacing w:before="120" w:line="360" w:lineRule="auto"/>
        <w:ind w:firstLine="840" w:firstLineChars="300"/>
        <w:rPr>
          <w:rFonts w:ascii="宋体" w:hAnsi="宋体" w:cs="宋体"/>
          <w:sz w:val="28"/>
          <w:szCs w:val="28"/>
        </w:rPr>
      </w:pPr>
      <w:r>
        <w:rPr>
          <w:rFonts w:hint="eastAsia" w:ascii="宋体" w:hAnsi="宋体" w:cs="宋体"/>
          <w:sz w:val="28"/>
          <w:szCs w:val="28"/>
        </w:rPr>
        <w:t>第五章  合同主要条款</w:t>
      </w:r>
    </w:p>
    <w:p>
      <w:pPr>
        <w:keepNext w:val="0"/>
        <w:keepLines w:val="0"/>
        <w:pageBreakBefore w:val="0"/>
        <w:kinsoku/>
        <w:wordWrap/>
        <w:topLinePunct w:val="0"/>
        <w:bidi w:val="0"/>
        <w:spacing w:before="120" w:line="360" w:lineRule="auto"/>
        <w:ind w:firstLine="840" w:firstLineChars="300"/>
        <w:rPr>
          <w:rFonts w:ascii="宋体" w:hAnsi="宋体" w:cs="宋体"/>
          <w:sz w:val="24"/>
          <w:szCs w:val="24"/>
        </w:rPr>
      </w:pPr>
      <w:r>
        <w:rPr>
          <w:rFonts w:hint="eastAsia" w:ascii="宋体" w:hAnsi="宋体" w:cs="宋体"/>
          <w:sz w:val="28"/>
          <w:szCs w:val="28"/>
        </w:rPr>
        <w:t>第六章  投标文件组成</w:t>
      </w:r>
    </w:p>
    <w:p>
      <w:pPr>
        <w:keepNext w:val="0"/>
        <w:keepLines w:val="0"/>
        <w:pageBreakBefore w:val="0"/>
        <w:kinsoku/>
        <w:wordWrap/>
        <w:topLinePunct w:val="0"/>
        <w:bidi w:val="0"/>
        <w:spacing w:line="360" w:lineRule="auto"/>
        <w:jc w:val="center"/>
        <w:outlineLvl w:val="9"/>
        <w:rPr>
          <w:rFonts w:ascii="宋体" w:hAnsi="宋体" w:cs="宋体"/>
          <w:b/>
          <w:sz w:val="28"/>
          <w:szCs w:val="28"/>
        </w:rPr>
        <w:sectPr>
          <w:headerReference r:id="rId7" w:type="first"/>
          <w:footerReference r:id="rId9" w:type="first"/>
          <w:footerReference r:id="rId8" w:type="default"/>
          <w:pgSz w:w="11906" w:h="16838"/>
          <w:pgMar w:top="1531" w:right="992" w:bottom="737" w:left="992" w:header="851" w:footer="584" w:gutter="0"/>
          <w:pgBorders>
            <w:top w:val="none" w:sz="0" w:space="0"/>
            <w:left w:val="none" w:sz="0" w:space="0"/>
            <w:bottom w:val="none" w:sz="0" w:space="0"/>
            <w:right w:val="none" w:sz="0" w:space="0"/>
          </w:pgBorders>
          <w:pgNumType w:fmt="decimal" w:start="1"/>
          <w:cols w:space="720" w:num="1"/>
          <w:docGrid w:type="lines" w:linePitch="312" w:charSpace="0"/>
        </w:sectPr>
      </w:pPr>
      <w:bookmarkStart w:id="1" w:name="OLE_LINK1"/>
    </w:p>
    <w:p>
      <w:pPr>
        <w:keepNext w:val="0"/>
        <w:keepLines w:val="0"/>
        <w:pageBreakBefore w:val="0"/>
        <w:kinsoku/>
        <w:wordWrap/>
        <w:overflowPunct/>
        <w:topLinePunct w:val="0"/>
        <w:bidi w:val="0"/>
        <w:snapToGrid/>
        <w:spacing w:line="360" w:lineRule="auto"/>
        <w:jc w:val="center"/>
        <w:outlineLvl w:val="0"/>
        <w:rPr>
          <w:rFonts w:hint="eastAsia" w:ascii="宋体" w:hAnsi="宋体" w:eastAsia="宋体" w:cs="宋体"/>
          <w:b/>
          <w:sz w:val="28"/>
          <w:szCs w:val="28"/>
        </w:rPr>
      </w:pPr>
      <w:bookmarkStart w:id="2" w:name="_Toc31135"/>
      <w:r>
        <w:rPr>
          <w:rFonts w:hint="eastAsia" w:ascii="宋体" w:hAnsi="宋体" w:eastAsia="宋体" w:cs="宋体"/>
          <w:b/>
          <w:sz w:val="28"/>
          <w:szCs w:val="28"/>
        </w:rPr>
        <w:t xml:space="preserve">第一章 </w:t>
      </w:r>
      <w:bookmarkStart w:id="3" w:name="OLE_LINK3"/>
      <w:r>
        <w:rPr>
          <w:rFonts w:hint="eastAsia" w:ascii="宋体" w:hAnsi="宋体" w:eastAsia="宋体" w:cs="宋体"/>
          <w:b/>
          <w:sz w:val="28"/>
          <w:szCs w:val="28"/>
        </w:rPr>
        <w:t xml:space="preserve"> </w:t>
      </w:r>
      <w:bookmarkStart w:id="4" w:name="OLE_LINK4"/>
      <w:bookmarkStart w:id="5" w:name="OLE_LINK2"/>
      <w:r>
        <w:rPr>
          <w:rFonts w:hint="eastAsia" w:ascii="宋体" w:hAnsi="宋体" w:eastAsia="宋体" w:cs="宋体"/>
          <w:b/>
          <w:sz w:val="28"/>
          <w:szCs w:val="28"/>
        </w:rPr>
        <w:t>招标公告</w:t>
      </w:r>
      <w:bookmarkEnd w:id="2"/>
    </w:p>
    <w:bookmarkEnd w:id="1"/>
    <w:bookmarkEnd w:id="3"/>
    <w:bookmarkEnd w:id="4"/>
    <w:bookmarkEnd w:id="5"/>
    <w:tbl>
      <w:tblPr>
        <w:tblStyle w:val="26"/>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项目概况</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20" w:firstLineChars="200"/>
              <w:textAlignment w:val="auto"/>
              <w:rPr>
                <w:rStyle w:val="28"/>
                <w:rFonts w:hint="eastAsia" w:ascii="宋体" w:hAnsi="宋体" w:eastAsia="宋体" w:cs="宋体"/>
                <w:i w:val="0"/>
                <w:iCs w:val="0"/>
                <w:caps w:val="0"/>
                <w:color w:val="000000"/>
                <w:spacing w:val="0"/>
                <w:sz w:val="21"/>
                <w:szCs w:val="21"/>
                <w:vertAlign w:val="baseline"/>
              </w:rPr>
            </w:pPr>
            <w:r>
              <w:rPr>
                <w:rFonts w:hint="eastAsia" w:ascii="仿宋" w:hAnsi="仿宋" w:eastAsia="仿宋" w:cs="仿宋"/>
                <w:i w:val="0"/>
                <w:iCs w:val="0"/>
                <w:caps w:val="0"/>
                <w:color w:val="000000"/>
                <w:spacing w:val="0"/>
                <w:sz w:val="21"/>
                <w:szCs w:val="21"/>
              </w:rPr>
              <w:t>2024年本岛红绿灯一体化维保项目招标项目的潜在投标人应在浙江政府采购网http://zfcg.czt.zj.gov.cn/（用“政采云”注册账号、密码登录系统后获取招标文件）获取（下载）招标文件，并于2024年11月28日 09:00（北京时间）前递交（上传）投标文件</w:t>
            </w:r>
            <w:r>
              <w:rPr>
                <w:rFonts w:hint="eastAsia" w:ascii="仿宋" w:hAnsi="仿宋" w:eastAsia="仿宋" w:cs="仿宋"/>
                <w:i w:val="0"/>
                <w:iCs w:val="0"/>
                <w:caps w:val="0"/>
                <w:color w:val="000000"/>
                <w:spacing w:val="0"/>
                <w:sz w:val="27"/>
                <w:szCs w:val="27"/>
              </w:rPr>
              <w:t>。</w:t>
            </w:r>
          </w:p>
        </w:tc>
      </w:tr>
    </w:tbl>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bookmarkStart w:id="6" w:name="_Toc22190"/>
      <w:r>
        <w:rPr>
          <w:rStyle w:val="28"/>
          <w:rFonts w:hint="eastAsia" w:ascii="宋体" w:hAnsi="宋体" w:eastAsia="宋体" w:cs="宋体"/>
          <w:i w:val="0"/>
          <w:iCs w:val="0"/>
          <w:caps w:val="0"/>
          <w:color w:val="000000"/>
          <w:spacing w:val="0"/>
          <w:sz w:val="21"/>
          <w:szCs w:val="21"/>
        </w:rPr>
        <w:t>一、项目基本情况</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项目编号：0773-2441GNZSFWGK6123</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项目名称：2024年本岛红绿灯一体化维保项目</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预算金额（元）：2577000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最高限价（元）：/</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    </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标项名称:2024年本岛红绿灯一体化维保项目</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数量:不限</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预算金额（元）:2577000</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简要规格描述或项目基本概况介绍、用途：详见采购合同</w:t>
      </w:r>
      <w:r>
        <w:rPr>
          <w:rFonts w:hint="eastAsia" w:ascii="宋体" w:hAnsi="宋体" w:eastAsia="宋体" w:cs="宋体"/>
          <w:i w:val="0"/>
          <w:iCs w:val="0"/>
          <w:caps w:val="0"/>
          <w:color w:val="000000"/>
          <w:spacing w:val="0"/>
          <w:sz w:val="21"/>
          <w:szCs w:val="21"/>
          <w:shd w:val="clear" w:fill="F7F7F7"/>
        </w:rPr>
        <w:br w:type="textWrapping"/>
      </w:r>
      <w:r>
        <w:rPr>
          <w:rFonts w:hint="eastAsia" w:ascii="宋体" w:hAnsi="宋体" w:eastAsia="宋体" w:cs="宋体"/>
          <w:i w:val="0"/>
          <w:iCs w:val="0"/>
          <w:caps w:val="0"/>
          <w:color w:val="000000"/>
          <w:spacing w:val="0"/>
          <w:sz w:val="21"/>
          <w:szCs w:val="21"/>
          <w:shd w:val="clear" w:fill="F7F7F7"/>
        </w:rPr>
        <w:t>    备注：</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合同履约期限：标项 1，服务期为2024年12月7日至2025年12月6日</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本项目（是）接受联合体投标。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60" w:lineRule="auto"/>
        <w:ind w:left="0" w:right="0"/>
        <w:textAlignment w:val="auto"/>
        <w:rPr>
          <w:rFonts w:hint="eastAsia" w:ascii="宋体" w:hAnsi="宋体" w:eastAsia="宋体" w:cs="宋体"/>
          <w:sz w:val="21"/>
          <w:szCs w:val="21"/>
        </w:rPr>
      </w:pPr>
      <w:r>
        <w:rPr>
          <w:rStyle w:val="28"/>
          <w:rFonts w:hint="eastAsia" w:ascii="宋体" w:hAnsi="宋体" w:eastAsia="宋体" w:cs="宋体"/>
          <w:i w:val="0"/>
          <w:iCs w:val="0"/>
          <w:caps w:val="0"/>
          <w:color w:val="000000"/>
          <w:spacing w:val="0"/>
          <w:sz w:val="21"/>
          <w:szCs w:val="21"/>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落实政府采购政策需满足的资格要求：标项1：要求以联合体形式参加，提供联合协议和中小企业声明函，联合协议中中小企业合同金额达到40%，其中小微企业合同金额应当达到70%；如果供应商本身提供所有标的均由中小企业制造、承建或承接，并相应达到了前述比例要求，视同符合了资格条件，无需再与其他中小企业组成联合体参加政府采购活动，无需提供联合体协议。</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3.本项目的特定资格要求：无</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8"/>
          <w:rFonts w:hint="eastAsia" w:ascii="宋体" w:hAnsi="宋体" w:eastAsia="宋体" w:cs="宋体"/>
          <w:i w:val="0"/>
          <w:iCs w:val="0"/>
          <w:caps w:val="0"/>
          <w:color w:val="000000"/>
          <w:spacing w:val="0"/>
          <w:sz w:val="21"/>
          <w:szCs w:val="21"/>
        </w:rPr>
        <w:t>三、获取招标文件</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时间：/至2024年11月28日，每天上午00:00至12:00，下午12:00至23:59（北京时间，线上获取法定节假日均可，线下获取文件法定节假日除外）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地点（网址）：浙江政府采购网http://zfcg.czt.zj.gov.cn/（用“政采云”注册账号、密码登录系统后获取招标文件）</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售价（元）：0</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8"/>
          <w:rFonts w:hint="eastAsia" w:ascii="宋体" w:hAnsi="宋体" w:eastAsia="宋体" w:cs="宋体"/>
          <w:i w:val="0"/>
          <w:iCs w:val="0"/>
          <w:caps w:val="0"/>
          <w:color w:val="000000"/>
          <w:spacing w:val="0"/>
          <w:sz w:val="21"/>
          <w:szCs w:val="21"/>
        </w:rPr>
        <w:t>四、提交投标文件截止时间、开标时间和地点</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提交投标文件截止时间：2024年11月28日 09:00（北京时间）</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投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张学睿；联系方式：13758010405）。</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开标时间：2024年11月28日 09:00</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开标地点（网址）：舟山市新城翁山路555号四楼舟山市公共资源交易中心（大宗商品交易中心同幢西边）</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8"/>
          <w:rFonts w:hint="eastAsia" w:ascii="宋体" w:hAnsi="宋体" w:eastAsia="宋体" w:cs="宋体"/>
          <w:i w:val="0"/>
          <w:iCs w:val="0"/>
          <w:caps w:val="0"/>
          <w:color w:val="000000"/>
          <w:spacing w:val="0"/>
          <w:sz w:val="21"/>
          <w:szCs w:val="21"/>
        </w:rPr>
        <w:t>五、采购意向公开链接</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Style w:val="33"/>
          <w:rFonts w:hint="eastAsia" w:ascii="宋体" w:hAnsi="宋体" w:eastAsia="宋体" w:cs="宋体"/>
          <w:i w:val="0"/>
          <w:iCs w:val="0"/>
          <w:caps w:val="0"/>
          <w:color w:val="000000"/>
          <w:spacing w:val="0"/>
          <w:sz w:val="21"/>
          <w:szCs w:val="21"/>
        </w:rPr>
        <w:t>https://zfcg.czt.zj.gov.cn/luban/detail?parentId=600007&amp;articleId=sEOPf77uFxzo/vpJr2YFaQ==&amp;utm=web-micro-app-back-front.6da13629.0.0.6c71fe909cd211ef99d1cb63d4f68f2c</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8"/>
          <w:rFonts w:hint="eastAsia" w:ascii="宋体" w:hAnsi="宋体" w:eastAsia="宋体" w:cs="宋体"/>
          <w:i w:val="0"/>
          <w:iCs w:val="0"/>
          <w:caps w:val="0"/>
          <w:color w:val="000000"/>
          <w:spacing w:val="0"/>
          <w:sz w:val="21"/>
          <w:szCs w:val="21"/>
        </w:rPr>
        <w:t>六、公告期限</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自本公告发布之日起5个工作日。</w:t>
      </w: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8"/>
          <w:rFonts w:hint="eastAsia" w:ascii="宋体" w:hAnsi="宋体" w:eastAsia="宋体" w:cs="宋体"/>
          <w:i w:val="0"/>
          <w:iCs w:val="0"/>
          <w:caps w:val="0"/>
          <w:color w:val="000000"/>
          <w:spacing w:val="0"/>
          <w:sz w:val="21"/>
          <w:szCs w:val="21"/>
        </w:rPr>
        <w:t>七、其他补充事宜</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p>
    <w:p>
      <w:pPr>
        <w:pStyle w:val="2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28"/>
          <w:rFonts w:hint="eastAsia" w:ascii="宋体" w:hAnsi="宋体" w:eastAsia="宋体" w:cs="宋体"/>
          <w:i w:val="0"/>
          <w:iCs w:val="0"/>
          <w:caps w:val="0"/>
          <w:color w:val="000000"/>
          <w:spacing w:val="0"/>
          <w:sz w:val="21"/>
          <w:szCs w:val="21"/>
        </w:rPr>
        <w:t>八、对本次采购提出询问、质疑、投诉，请按以下方式联系</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1.采购人信息</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称：舟山市公安局交通警察支队</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址：舟山市定海区临城海天大道399号</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项目联系人（询问）：王彬</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项目联系方式（询问）：0580-2087731</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质疑联系人：黄思波</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质疑联系方式：13758011627</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称：中金招标有限责任公司</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址：舟山市定海区海天大道998号知青创客428室</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项目联系人（询问）：张学睿</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项目联系方式（询问）：0580-2083003/13758010405</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质疑联系人：蔡真鹏</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质疑联系方式：19106800108</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 </w:t>
      </w:r>
      <w:r>
        <w:rPr>
          <w:rStyle w:val="33"/>
          <w:rFonts w:hint="eastAsia" w:ascii="宋体" w:hAnsi="宋体" w:eastAsia="宋体" w:cs="宋体"/>
          <w:i w:val="0"/>
          <w:iCs w:val="0"/>
          <w:caps w:val="0"/>
          <w:color w:val="000000"/>
          <w:spacing w:val="0"/>
          <w:sz w:val="21"/>
          <w:szCs w:val="21"/>
        </w:rPr>
        <w:t>同级政府采购监督管理部门</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址：舟山市财政局</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真：0580-2282591</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人：王女士</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监督投诉电话：0580-2282591</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CA问题联系电话（人工）：汇信CA 400-888-4636；天谷CA 400-087-8198。</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kinsoku/>
        <w:wordWrap/>
        <w:overflowPunct/>
        <w:topLinePunct w:val="0"/>
        <w:bidi w:val="0"/>
        <w:snapToGrid/>
        <w:spacing w:line="360" w:lineRule="auto"/>
        <w:jc w:val="center"/>
        <w:outlineLvl w:val="0"/>
        <w:rPr>
          <w:rFonts w:hint="eastAsia" w:ascii="宋体" w:hAnsi="宋体" w:eastAsia="宋体" w:cs="宋体"/>
          <w:b/>
          <w:bCs/>
          <w:kern w:val="0"/>
          <w:sz w:val="21"/>
          <w:szCs w:val="21"/>
          <w:highlight w:val="none"/>
          <w:lang w:val="zh-CN" w:bidi="zh-CN"/>
        </w:rPr>
      </w:pPr>
      <w:r>
        <w:rPr>
          <w:rFonts w:hint="eastAsia" w:ascii="宋体" w:hAnsi="宋体" w:eastAsia="宋体" w:cs="宋体"/>
          <w:b/>
          <w:sz w:val="28"/>
          <w:szCs w:val="28"/>
        </w:rPr>
        <w:t>第二章 采购需求</w:t>
      </w:r>
      <w:bookmarkEnd w:id="6"/>
      <w:bookmarkStart w:id="7" w:name="_Toc6775"/>
    </w:p>
    <w:p>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一、项目</w:t>
      </w:r>
      <w:r>
        <w:rPr>
          <w:rFonts w:hint="eastAsia" w:ascii="宋体" w:hAnsi="宋体" w:eastAsia="宋体" w:cs="宋体"/>
          <w:b/>
          <w:bCs/>
          <w:kern w:val="0"/>
          <w:sz w:val="21"/>
          <w:szCs w:val="21"/>
          <w:highlight w:val="none"/>
          <w:lang w:val="en-US" w:bidi="zh-CN"/>
        </w:rPr>
        <w:t>概况</w:t>
      </w:r>
      <w:r>
        <w:rPr>
          <w:rFonts w:hint="eastAsia" w:ascii="宋体" w:hAnsi="宋体" w:eastAsia="宋体" w:cs="宋体"/>
          <w:b/>
          <w:bCs/>
          <w:kern w:val="0"/>
          <w:sz w:val="21"/>
          <w:szCs w:val="21"/>
          <w:highlight w:val="none"/>
          <w:lang w:val="zh-CN" w:bidi="zh-CN"/>
        </w:rPr>
        <w:t xml:space="preserve"> </w:t>
      </w:r>
    </w:p>
    <w:p>
      <w:pPr>
        <w:keepNext w:val="0"/>
        <w:keepLines w:val="0"/>
        <w:pageBreakBefore w:val="0"/>
        <w:widowControl w:val="0"/>
        <w:tabs>
          <w:tab w:val="left" w:pos="1702"/>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bCs/>
          <w:kern w:val="0"/>
          <w:sz w:val="21"/>
          <w:szCs w:val="21"/>
          <w:highlight w:val="none"/>
          <w:lang w:val="en-US" w:eastAsia="zh-CN" w:bidi="zh-CN"/>
        </w:rPr>
      </w:pPr>
      <w:r>
        <w:rPr>
          <w:rFonts w:hint="eastAsia" w:ascii="宋体" w:hAnsi="宋体" w:eastAsia="宋体" w:cs="宋体"/>
          <w:kern w:val="0"/>
          <w:sz w:val="21"/>
          <w:szCs w:val="21"/>
          <w:highlight w:val="none"/>
          <w:lang w:val="en-US" w:eastAsia="zh-CN" w:bidi="zh-CN"/>
        </w:rPr>
        <w:t>项目为舟山</w:t>
      </w:r>
      <w:r>
        <w:rPr>
          <w:rFonts w:hint="eastAsia" w:ascii="宋体" w:hAnsi="宋体" w:eastAsia="宋体" w:cs="宋体"/>
          <w:kern w:val="0"/>
          <w:sz w:val="21"/>
          <w:szCs w:val="21"/>
          <w:highlight w:val="none"/>
          <w:lang w:bidi="zh-CN"/>
        </w:rPr>
        <w:t>本岛区域内</w:t>
      </w:r>
      <w:r>
        <w:rPr>
          <w:rFonts w:hint="eastAsia" w:ascii="宋体" w:hAnsi="宋体" w:eastAsia="宋体" w:cs="宋体"/>
          <w:kern w:val="0"/>
          <w:sz w:val="21"/>
          <w:szCs w:val="21"/>
          <w:highlight w:val="none"/>
          <w:lang w:eastAsia="zh-CN" w:bidi="zh-CN"/>
        </w:rPr>
        <w:t>（含金塘、长白、六横、朱家尖、普陀山）所有</w:t>
      </w:r>
      <w:r>
        <w:rPr>
          <w:rFonts w:hint="eastAsia" w:ascii="宋体" w:hAnsi="宋体" w:eastAsia="宋体" w:cs="宋体"/>
          <w:kern w:val="0"/>
          <w:sz w:val="21"/>
          <w:szCs w:val="21"/>
          <w:highlight w:val="none"/>
          <w:lang w:bidi="zh-CN"/>
        </w:rPr>
        <w:t>路口</w:t>
      </w:r>
      <w:r>
        <w:rPr>
          <w:rFonts w:hint="eastAsia" w:ascii="宋体" w:hAnsi="宋体" w:eastAsia="宋体" w:cs="宋体"/>
          <w:kern w:val="0"/>
          <w:sz w:val="21"/>
          <w:szCs w:val="21"/>
          <w:highlight w:val="none"/>
          <w:lang w:eastAsia="zh-CN" w:bidi="zh-CN"/>
        </w:rPr>
        <w:t>红绿灯</w:t>
      </w:r>
      <w:r>
        <w:rPr>
          <w:rFonts w:hint="eastAsia" w:ascii="宋体" w:hAnsi="宋体" w:eastAsia="宋体" w:cs="宋体"/>
          <w:kern w:val="0"/>
          <w:sz w:val="21"/>
          <w:szCs w:val="21"/>
          <w:highlight w:val="none"/>
          <w:lang w:bidi="zh-CN"/>
        </w:rPr>
        <w:t>的维修保养</w:t>
      </w:r>
      <w:r>
        <w:rPr>
          <w:rFonts w:hint="eastAsia" w:ascii="宋体" w:hAnsi="宋体" w:eastAsia="宋体" w:cs="宋体"/>
          <w:kern w:val="0"/>
          <w:sz w:val="21"/>
          <w:szCs w:val="21"/>
          <w:highlight w:val="none"/>
          <w:lang w:eastAsia="zh-CN" w:bidi="zh-CN"/>
        </w:rPr>
        <w:t>和改造</w:t>
      </w:r>
      <w:r>
        <w:rPr>
          <w:rFonts w:hint="eastAsia" w:ascii="宋体" w:hAnsi="宋体" w:eastAsia="宋体" w:cs="宋体"/>
          <w:kern w:val="0"/>
          <w:sz w:val="21"/>
          <w:szCs w:val="21"/>
          <w:highlight w:val="none"/>
          <w:lang w:bidi="zh-CN"/>
        </w:rPr>
        <w:t>工作。为了进一步完善健全交通管理工作，提高</w:t>
      </w:r>
      <w:r>
        <w:rPr>
          <w:rFonts w:hint="eastAsia" w:ascii="宋体" w:hAnsi="宋体" w:eastAsia="宋体" w:cs="宋体"/>
          <w:kern w:val="0"/>
          <w:sz w:val="21"/>
          <w:szCs w:val="21"/>
          <w:highlight w:val="none"/>
          <w:lang w:eastAsia="zh-CN" w:bidi="zh-CN"/>
        </w:rPr>
        <w:t>红绿灯</w:t>
      </w:r>
      <w:r>
        <w:rPr>
          <w:rFonts w:hint="eastAsia" w:ascii="宋体" w:hAnsi="宋体" w:eastAsia="宋体" w:cs="宋体"/>
          <w:kern w:val="0"/>
          <w:sz w:val="21"/>
          <w:szCs w:val="21"/>
          <w:highlight w:val="none"/>
          <w:lang w:bidi="zh-CN"/>
        </w:rPr>
        <w:t>管理工作效率，提升</w:t>
      </w:r>
      <w:r>
        <w:rPr>
          <w:rFonts w:hint="eastAsia" w:ascii="宋体" w:hAnsi="宋体" w:eastAsia="宋体" w:cs="宋体"/>
          <w:kern w:val="0"/>
          <w:sz w:val="21"/>
          <w:szCs w:val="21"/>
          <w:highlight w:val="none"/>
          <w:lang w:val="en-US" w:bidi="zh-CN"/>
        </w:rPr>
        <w:t>设备</w:t>
      </w:r>
      <w:r>
        <w:rPr>
          <w:rFonts w:hint="eastAsia" w:ascii="宋体" w:hAnsi="宋体" w:eastAsia="宋体" w:cs="宋体"/>
          <w:kern w:val="0"/>
          <w:sz w:val="21"/>
          <w:szCs w:val="21"/>
          <w:highlight w:val="none"/>
          <w:lang w:bidi="zh-CN"/>
        </w:rPr>
        <w:t>完好率，及时解决交通信号灯在实际运行中出现的问题，舟山市公安局交通警察支队为本岛区域内</w:t>
      </w:r>
      <w:r>
        <w:rPr>
          <w:rFonts w:hint="eastAsia" w:ascii="宋体" w:hAnsi="宋体" w:eastAsia="宋体" w:cs="宋体"/>
          <w:kern w:val="0"/>
          <w:sz w:val="21"/>
          <w:szCs w:val="21"/>
          <w:highlight w:val="none"/>
          <w:lang w:eastAsia="zh-CN" w:bidi="zh-CN"/>
        </w:rPr>
        <w:t>所有</w:t>
      </w:r>
      <w:r>
        <w:rPr>
          <w:rFonts w:hint="eastAsia" w:ascii="宋体" w:hAnsi="宋体" w:eastAsia="宋体" w:cs="宋体"/>
          <w:kern w:val="0"/>
          <w:sz w:val="21"/>
          <w:szCs w:val="21"/>
          <w:highlight w:val="none"/>
          <w:lang w:bidi="zh-CN"/>
        </w:rPr>
        <w:t>路口</w:t>
      </w:r>
      <w:r>
        <w:rPr>
          <w:rFonts w:hint="eastAsia" w:ascii="宋体" w:hAnsi="宋体" w:eastAsia="宋体" w:cs="宋体"/>
          <w:kern w:val="0"/>
          <w:sz w:val="21"/>
          <w:szCs w:val="21"/>
          <w:highlight w:val="none"/>
          <w:lang w:eastAsia="zh-CN" w:bidi="zh-CN"/>
        </w:rPr>
        <w:t>红绿灯</w:t>
      </w:r>
      <w:r>
        <w:rPr>
          <w:rFonts w:hint="eastAsia" w:ascii="宋体" w:hAnsi="宋体" w:eastAsia="宋体" w:cs="宋体"/>
          <w:kern w:val="0"/>
          <w:sz w:val="21"/>
          <w:szCs w:val="21"/>
          <w:highlight w:val="none"/>
          <w:lang w:bidi="zh-CN"/>
        </w:rPr>
        <w:t>采购维修保养</w:t>
      </w:r>
      <w:r>
        <w:rPr>
          <w:rFonts w:hint="eastAsia" w:ascii="宋体" w:hAnsi="宋体" w:eastAsia="宋体" w:cs="宋体"/>
          <w:kern w:val="0"/>
          <w:sz w:val="21"/>
          <w:szCs w:val="21"/>
          <w:highlight w:val="none"/>
          <w:lang w:eastAsia="zh-CN" w:bidi="zh-CN"/>
        </w:rPr>
        <w:t>和</w:t>
      </w:r>
      <w:r>
        <w:rPr>
          <w:rFonts w:hint="eastAsia" w:ascii="宋体" w:hAnsi="宋体" w:eastAsia="宋体" w:cs="宋体"/>
          <w:kern w:val="0"/>
          <w:sz w:val="21"/>
          <w:szCs w:val="21"/>
          <w:highlight w:val="none"/>
          <w:lang w:val="en-US" w:eastAsia="zh-CN" w:bidi="zh-CN"/>
        </w:rPr>
        <w:t>按需维保建设</w:t>
      </w:r>
      <w:r>
        <w:rPr>
          <w:rFonts w:hint="eastAsia" w:ascii="宋体" w:hAnsi="宋体" w:eastAsia="宋体" w:cs="宋体"/>
          <w:kern w:val="0"/>
          <w:sz w:val="21"/>
          <w:szCs w:val="21"/>
          <w:highlight w:val="none"/>
          <w:lang w:bidi="zh-CN"/>
        </w:rPr>
        <w:t>服务。内容包括</w:t>
      </w:r>
      <w:r>
        <w:rPr>
          <w:rFonts w:hint="eastAsia" w:ascii="宋体" w:hAnsi="宋体" w:eastAsia="宋体" w:cs="宋体"/>
          <w:kern w:val="0"/>
          <w:sz w:val="21"/>
          <w:szCs w:val="21"/>
          <w:highlight w:val="none"/>
          <w:lang w:eastAsia="zh-CN" w:bidi="zh-CN"/>
        </w:rPr>
        <w:t>区域内所有</w:t>
      </w:r>
      <w:r>
        <w:rPr>
          <w:rFonts w:hint="eastAsia" w:ascii="宋体" w:hAnsi="宋体" w:eastAsia="宋体" w:cs="宋体"/>
          <w:kern w:val="0"/>
          <w:sz w:val="21"/>
          <w:szCs w:val="21"/>
          <w:highlight w:val="none"/>
          <w:lang w:val="en-US" w:eastAsia="zh-CN" w:bidi="zh-CN"/>
        </w:rPr>
        <w:t>路口红绿灯</w:t>
      </w:r>
      <w:r>
        <w:rPr>
          <w:rFonts w:hint="eastAsia" w:ascii="宋体" w:hAnsi="宋体" w:eastAsia="宋体" w:cs="宋体"/>
          <w:kern w:val="0"/>
          <w:sz w:val="21"/>
          <w:szCs w:val="21"/>
          <w:highlight w:val="none"/>
          <w:lang w:eastAsia="zh-CN" w:bidi="zh-CN"/>
        </w:rPr>
        <w:t>的</w:t>
      </w:r>
      <w:r>
        <w:rPr>
          <w:rFonts w:hint="eastAsia" w:ascii="宋体" w:hAnsi="宋体" w:eastAsia="宋体" w:cs="宋体"/>
          <w:kern w:val="0"/>
          <w:sz w:val="21"/>
          <w:szCs w:val="21"/>
          <w:highlight w:val="none"/>
          <w:lang w:bidi="zh-CN"/>
        </w:rPr>
        <w:t>日常巡检</w:t>
      </w:r>
      <w:r>
        <w:rPr>
          <w:rFonts w:hint="eastAsia" w:ascii="宋体" w:hAnsi="宋体" w:eastAsia="宋体" w:cs="宋体"/>
          <w:kern w:val="0"/>
          <w:sz w:val="21"/>
          <w:szCs w:val="21"/>
          <w:highlight w:val="none"/>
          <w:lang w:eastAsia="zh-CN" w:bidi="zh-CN"/>
        </w:rPr>
        <w:t>，过质期保红绿灯</w:t>
      </w:r>
      <w:r>
        <w:rPr>
          <w:rFonts w:hint="eastAsia" w:ascii="宋体" w:hAnsi="宋体" w:eastAsia="宋体" w:cs="宋体"/>
          <w:kern w:val="0"/>
          <w:sz w:val="21"/>
          <w:szCs w:val="21"/>
          <w:highlight w:val="none"/>
          <w:lang w:val="en-US" w:eastAsia="zh-CN" w:bidi="zh-CN"/>
        </w:rPr>
        <w:t>及附属</w:t>
      </w:r>
      <w:r>
        <w:rPr>
          <w:rFonts w:hint="eastAsia" w:ascii="宋体" w:hAnsi="宋体" w:eastAsia="宋体" w:cs="宋体"/>
          <w:kern w:val="0"/>
          <w:sz w:val="21"/>
          <w:szCs w:val="21"/>
          <w:highlight w:val="none"/>
          <w:lang w:bidi="zh-CN"/>
        </w:rPr>
        <w:t>设备</w:t>
      </w:r>
      <w:r>
        <w:rPr>
          <w:rFonts w:hint="eastAsia" w:ascii="宋体" w:hAnsi="宋体" w:eastAsia="宋体" w:cs="宋体"/>
          <w:kern w:val="0"/>
          <w:sz w:val="21"/>
          <w:szCs w:val="21"/>
          <w:highlight w:val="none"/>
          <w:lang w:eastAsia="zh-CN" w:bidi="zh-CN"/>
        </w:rPr>
        <w:t>（现有的</w:t>
      </w:r>
      <w:r>
        <w:rPr>
          <w:rFonts w:hint="eastAsia" w:ascii="宋体" w:hAnsi="宋体" w:eastAsia="宋体" w:cs="宋体"/>
          <w:kern w:val="0"/>
          <w:sz w:val="21"/>
          <w:szCs w:val="21"/>
          <w:highlight w:val="none"/>
          <w:lang w:val="en-US" w:eastAsia="zh-CN" w:bidi="zh-CN"/>
        </w:rPr>
        <w:t>415个以及在合同期间新增过保红绿灯、红绿灯路口附属的97个流量感知设备）的</w:t>
      </w:r>
      <w:r>
        <w:rPr>
          <w:rFonts w:hint="eastAsia" w:ascii="宋体" w:hAnsi="宋体" w:eastAsia="宋体" w:cs="宋体"/>
          <w:sz w:val="21"/>
          <w:szCs w:val="21"/>
        </w:rPr>
        <w:t>日常维修</w:t>
      </w:r>
      <w:r>
        <w:rPr>
          <w:rFonts w:hint="eastAsia" w:ascii="宋体" w:hAnsi="宋体" w:eastAsia="宋体" w:cs="宋体"/>
          <w:kern w:val="0"/>
          <w:sz w:val="21"/>
          <w:szCs w:val="21"/>
          <w:highlight w:val="none"/>
          <w:lang w:bidi="zh-CN"/>
        </w:rPr>
        <w:t>、</w:t>
      </w:r>
      <w:r>
        <w:rPr>
          <w:rFonts w:hint="eastAsia" w:ascii="宋体" w:hAnsi="宋体" w:eastAsia="宋体" w:cs="宋体"/>
          <w:kern w:val="0"/>
          <w:sz w:val="21"/>
          <w:szCs w:val="21"/>
          <w:highlight w:val="none"/>
          <w:lang w:val="en-US" w:eastAsia="zh-CN" w:bidi="zh-CN"/>
        </w:rPr>
        <w:t>处理更换下来的损坏部件</w:t>
      </w:r>
      <w:r>
        <w:rPr>
          <w:rFonts w:hint="eastAsia" w:ascii="宋体" w:hAnsi="宋体" w:eastAsia="宋体" w:cs="宋体"/>
          <w:kern w:val="0"/>
          <w:sz w:val="21"/>
          <w:szCs w:val="21"/>
          <w:highlight w:val="none"/>
          <w:lang w:bidi="zh-CN"/>
        </w:rPr>
        <w:t>、应急抢修、</w:t>
      </w:r>
      <w:r>
        <w:rPr>
          <w:rFonts w:hint="eastAsia" w:ascii="宋体" w:hAnsi="宋体" w:eastAsia="宋体" w:cs="宋体"/>
          <w:sz w:val="21"/>
          <w:szCs w:val="21"/>
        </w:rPr>
        <w:t>突发事件维护</w:t>
      </w:r>
      <w:r>
        <w:rPr>
          <w:rFonts w:hint="eastAsia" w:ascii="宋体" w:hAnsi="宋体" w:eastAsia="宋体" w:cs="宋体"/>
          <w:kern w:val="0"/>
          <w:sz w:val="21"/>
          <w:szCs w:val="21"/>
          <w:highlight w:val="none"/>
          <w:lang w:bidi="zh-CN"/>
        </w:rPr>
        <w:t>等</w:t>
      </w:r>
      <w:r>
        <w:rPr>
          <w:rFonts w:hint="eastAsia" w:ascii="宋体" w:hAnsi="宋体" w:eastAsia="宋体" w:cs="宋体"/>
          <w:kern w:val="0"/>
          <w:sz w:val="21"/>
          <w:szCs w:val="21"/>
          <w:highlight w:val="none"/>
          <w:lang w:val="en-US" w:bidi="zh-CN"/>
        </w:rPr>
        <w:t>服务</w:t>
      </w:r>
      <w:r>
        <w:rPr>
          <w:rFonts w:hint="eastAsia" w:ascii="宋体" w:hAnsi="宋体" w:eastAsia="宋体" w:cs="宋体"/>
          <w:kern w:val="0"/>
          <w:sz w:val="21"/>
          <w:szCs w:val="21"/>
          <w:highlight w:val="none"/>
          <w:lang w:bidi="zh-CN"/>
        </w:rPr>
        <w:t>，</w:t>
      </w:r>
      <w:r>
        <w:rPr>
          <w:rFonts w:hint="eastAsia" w:ascii="宋体" w:hAnsi="宋体" w:eastAsia="宋体" w:cs="宋体"/>
          <w:kern w:val="0"/>
          <w:sz w:val="21"/>
          <w:szCs w:val="21"/>
          <w:highlight w:val="none"/>
          <w:lang w:eastAsia="zh-CN" w:bidi="zh-CN"/>
        </w:rPr>
        <w:t>以及</w:t>
      </w:r>
      <w:r>
        <w:rPr>
          <w:rFonts w:hint="eastAsia" w:ascii="宋体" w:hAnsi="宋体" w:eastAsia="宋体" w:cs="宋体"/>
          <w:sz w:val="21"/>
          <w:szCs w:val="21"/>
        </w:rPr>
        <w:t>信号灯、标志、标线配套设施</w:t>
      </w:r>
      <w:r>
        <w:rPr>
          <w:rFonts w:hint="eastAsia" w:ascii="宋体" w:hAnsi="宋体" w:eastAsia="宋体" w:cs="宋体"/>
          <w:kern w:val="0"/>
          <w:sz w:val="21"/>
          <w:szCs w:val="21"/>
        </w:rPr>
        <w:t>按需维保建设</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highlight w:val="none"/>
          <w:lang w:bidi="zh-CN"/>
        </w:rPr>
        <w:t>。服务期限为1年</w:t>
      </w:r>
      <w:r>
        <w:rPr>
          <w:rFonts w:hint="eastAsia" w:ascii="宋体" w:hAnsi="宋体" w:eastAsia="宋体" w:cs="宋体"/>
          <w:kern w:val="0"/>
          <w:sz w:val="21"/>
          <w:szCs w:val="21"/>
          <w:highlight w:val="none"/>
          <w:lang w:eastAsia="zh-CN" w:bidi="zh-CN"/>
        </w:rPr>
        <w:t>，</w:t>
      </w:r>
      <w:r>
        <w:rPr>
          <w:rFonts w:hint="eastAsia" w:ascii="宋体" w:hAnsi="宋体" w:eastAsia="宋体" w:cs="宋体"/>
          <w:kern w:val="0"/>
          <w:sz w:val="21"/>
          <w:szCs w:val="21"/>
          <w:highlight w:val="none"/>
          <w:lang w:bidi="zh-CN"/>
        </w:rPr>
        <w:t>维护单位在合同履行期间必须接受舟山市公安局交通警察支队的监督管理。</w:t>
      </w:r>
    </w:p>
    <w:p>
      <w:pPr>
        <w:keepNext w:val="0"/>
        <w:keepLines w:val="0"/>
        <w:pageBreakBefore w:val="0"/>
        <w:widowControl w:val="0"/>
        <w:kinsoku/>
        <w:wordWrap/>
        <w:overflowPunct/>
        <w:topLinePunct w:val="0"/>
        <w:bidi w:val="0"/>
        <w:adjustRightInd/>
        <w:snapToGrid/>
        <w:spacing w:line="360" w:lineRule="auto"/>
        <w:textAlignment w:val="auto"/>
        <w:outlineLvl w:val="1"/>
        <w:rPr>
          <w:rFonts w:hint="eastAsia" w:ascii="宋体" w:hAnsi="宋体" w:eastAsia="宋体" w:cs="宋体"/>
          <w:b/>
          <w:bCs/>
          <w:kern w:val="0"/>
          <w:sz w:val="21"/>
          <w:szCs w:val="21"/>
          <w:highlight w:val="none"/>
          <w:lang w:val="en-US" w:eastAsia="zh-CN" w:bidi="zh-CN"/>
        </w:rPr>
      </w:pPr>
      <w:r>
        <w:rPr>
          <w:rFonts w:hint="eastAsia" w:ascii="宋体" w:hAnsi="宋体" w:eastAsia="宋体" w:cs="宋体"/>
          <w:b/>
          <w:bCs/>
          <w:kern w:val="0"/>
          <w:sz w:val="21"/>
          <w:szCs w:val="21"/>
          <w:highlight w:val="none"/>
          <w:lang w:val="en-US" w:eastAsia="zh-CN" w:bidi="zh-CN"/>
        </w:rPr>
        <w:t>二、采购清单</w:t>
      </w:r>
    </w:p>
    <w:tbl>
      <w:tblPr>
        <w:tblStyle w:val="26"/>
        <w:tblW w:w="9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2100"/>
        <w:gridCol w:w="965"/>
        <w:gridCol w:w="963"/>
        <w:gridCol w:w="1039"/>
        <w:gridCol w:w="3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4" w:type="dxa"/>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100"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建设内容</w:t>
            </w:r>
          </w:p>
        </w:tc>
        <w:tc>
          <w:tcPr>
            <w:tcW w:w="965" w:type="dxa"/>
            <w:tcBorders>
              <w:left w:val="single" w:color="auto" w:sz="4" w:space="0"/>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63" w:type="dxa"/>
            <w:tcBorders>
              <w:lef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1039"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质保期</w:t>
            </w:r>
          </w:p>
        </w:tc>
        <w:tc>
          <w:tcPr>
            <w:tcW w:w="3899"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4" w:type="dxa"/>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2100"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红绿灯维修保养</w:t>
            </w:r>
          </w:p>
        </w:tc>
        <w:tc>
          <w:tcPr>
            <w:tcW w:w="965" w:type="dxa"/>
            <w:tcBorders>
              <w:left w:val="single" w:color="auto" w:sz="4" w:space="0"/>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963" w:type="dxa"/>
            <w:tcBorders>
              <w:lef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w:t>
            </w:r>
          </w:p>
        </w:tc>
        <w:tc>
          <w:tcPr>
            <w:tcW w:w="1039"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c>
          <w:tcPr>
            <w:tcW w:w="3899"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该部分</w:t>
            </w:r>
            <w:r>
              <w:rPr>
                <w:rFonts w:hint="eastAsia" w:ascii="宋体" w:hAnsi="宋体" w:eastAsia="宋体" w:cs="宋体"/>
                <w:b w:val="0"/>
                <w:bCs w:val="0"/>
                <w:sz w:val="21"/>
                <w:szCs w:val="21"/>
                <w:highlight w:val="none"/>
                <w:lang w:val="en-US" w:eastAsia="zh-CN"/>
              </w:rPr>
              <w:t>最高限价：1</w:t>
            </w:r>
            <w:r>
              <w:rPr>
                <w:rFonts w:hint="eastAsia" w:ascii="宋体" w:hAnsi="宋体" w:cs="宋体"/>
                <w:b w:val="0"/>
                <w:bCs w:val="0"/>
                <w:sz w:val="21"/>
                <w:szCs w:val="21"/>
                <w:highlight w:val="none"/>
                <w:lang w:val="en-US" w:eastAsia="zh-CN"/>
              </w:rPr>
              <w:t>57.7</w:t>
            </w:r>
            <w:r>
              <w:rPr>
                <w:rFonts w:hint="eastAsia" w:ascii="宋体" w:hAnsi="宋体" w:eastAsia="宋体" w:cs="宋体"/>
                <w:b w:val="0"/>
                <w:bCs w:val="0"/>
                <w:sz w:val="21"/>
                <w:szCs w:val="21"/>
                <w:highlight w:val="none"/>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94" w:type="dxa"/>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2100"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信号灯、标志、标线配套设施</w:t>
            </w:r>
            <w:r>
              <w:rPr>
                <w:rFonts w:hint="eastAsia" w:ascii="宋体" w:hAnsi="宋体" w:eastAsia="宋体" w:cs="宋体"/>
                <w:kern w:val="0"/>
                <w:sz w:val="21"/>
                <w:szCs w:val="21"/>
              </w:rPr>
              <w:t>按需维保建设</w:t>
            </w:r>
          </w:p>
        </w:tc>
        <w:tc>
          <w:tcPr>
            <w:tcW w:w="965" w:type="dxa"/>
            <w:tcBorders>
              <w:left w:val="single" w:color="auto" w:sz="4" w:space="0"/>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963" w:type="dxa"/>
            <w:tcBorders>
              <w:lef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w:t>
            </w:r>
          </w:p>
        </w:tc>
        <w:tc>
          <w:tcPr>
            <w:tcW w:w="1039"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c>
          <w:tcPr>
            <w:tcW w:w="3899" w:type="dxa"/>
            <w:tcBorders>
              <w:right w:val="single" w:color="auto" w:sz="4" w:space="0"/>
            </w:tcBorders>
            <w:noWrap w:val="0"/>
            <w:vAlign w:val="center"/>
          </w:tcPr>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该部分</w:t>
            </w:r>
            <w:r>
              <w:rPr>
                <w:rFonts w:hint="eastAsia" w:ascii="宋体" w:hAnsi="宋体" w:eastAsia="宋体" w:cs="宋体"/>
                <w:b w:val="0"/>
                <w:bCs w:val="0"/>
                <w:sz w:val="21"/>
                <w:szCs w:val="21"/>
                <w:highlight w:val="none"/>
                <w:lang w:val="en-US" w:eastAsia="zh-CN"/>
              </w:rPr>
              <w:t>单价最高限价：</w:t>
            </w:r>
          </w:p>
          <w:p>
            <w:pPr>
              <w:keepNext w:val="0"/>
              <w:keepLines w:val="0"/>
              <w:pageBreakBefore w:val="0"/>
              <w:tabs>
                <w:tab w:val="left" w:pos="3720"/>
              </w:tabs>
              <w:kinsoku/>
              <w:wordWrap/>
              <w:overflowPunct/>
              <w:topLinePunct w:val="0"/>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详见红绿灯改造服务内容（表3）</w:t>
            </w:r>
          </w:p>
        </w:tc>
      </w:tr>
    </w:tbl>
    <w:p>
      <w:pPr>
        <w:pStyle w:val="35"/>
        <w:keepNext w:val="0"/>
        <w:keepLines w:val="0"/>
        <w:pageBreakBefore w:val="0"/>
        <w:kinsoku/>
        <w:wordWrap/>
        <w:overflowPunct/>
        <w:topLinePunct w:val="0"/>
        <w:bidi w:val="0"/>
        <w:snapToGrid/>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1、投标报价：投标人针对以上建设内容的最高限价填报统一折扣率；</w:t>
      </w:r>
    </w:p>
    <w:p>
      <w:pPr>
        <w:pStyle w:val="35"/>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2、红绿灯维修保养部分合同总价=总价最高限价×中标折扣率；</w:t>
      </w:r>
    </w:p>
    <w:p>
      <w:pPr>
        <w:pStyle w:val="35"/>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kern w:val="0"/>
          <w:sz w:val="21"/>
          <w:szCs w:val="21"/>
          <w:highlight w:val="none"/>
          <w:lang w:val="en-US" w:eastAsia="zh-CN" w:bidi="zh-CN"/>
        </w:rPr>
      </w:pPr>
      <w:r>
        <w:rPr>
          <w:rFonts w:hint="eastAsia" w:ascii="宋体" w:hAnsi="宋体" w:eastAsia="宋体" w:cs="宋体"/>
          <w:b/>
          <w:bCs/>
          <w:sz w:val="21"/>
          <w:szCs w:val="21"/>
          <w:highlight w:val="none"/>
          <w:lang w:val="en-US" w:eastAsia="zh-CN"/>
        </w:rPr>
        <w:t>3、信号灯、标志、标线配套设施按需维保建设合同单价=单价最高限价×中标折扣率，根据实际数量结算。</w:t>
      </w:r>
    </w:p>
    <w:p>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1"/>
          <w:szCs w:val="21"/>
          <w:highlight w:val="none"/>
          <w:lang w:val="en-US" w:eastAsia="zh-CN" w:bidi="zh-CN"/>
        </w:rPr>
      </w:pPr>
      <w:r>
        <w:rPr>
          <w:rFonts w:hint="eastAsia" w:ascii="宋体" w:hAnsi="宋体" w:eastAsia="宋体" w:cs="宋体"/>
          <w:b/>
          <w:bCs/>
          <w:kern w:val="0"/>
          <w:sz w:val="21"/>
          <w:szCs w:val="21"/>
          <w:highlight w:val="none"/>
          <w:lang w:val="en-US" w:eastAsia="zh-CN" w:bidi="zh-CN"/>
        </w:rPr>
        <w:t>三、红绿灯维修保养服务内容</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一）日常巡检</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1.巡检频率</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每月对每个路口的信号灯及其附属设施巡检不少于1次，发现信号灯及其附属设施故障后及时报告并修复。</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2.巡检要求</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（1）确保每个巡护的路口交通信号灯及其附属设施24小时正常运行。</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（2）确保信号灯及其附属设施灯具、杆件、机箱内外干净规范整洁、设施完好，机箱门关闭锁好，标识牌清晰完整。</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3.巡检内容</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（1）检查信号灯有无缺灯，路口信号灯是否运转正常且有无灯具老化、残缺或有色差现象。</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（2）检查灯具是否齐全，有无歪斜。信号灯帽檐、裙边是否松动、破损。</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（3）检查杆件是否歪斜，有无被刮蹭或被撞现象；观察孔盖板是否齐全，有无其他无经许可搭载的设备。信号灯是否被遮挡现象。</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（4）检查电缆井是否有塌陷、井圈外露、井盖破碎等。</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（5）检查管线是否外露或因施工被拆除、损毁。</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（6）检查机箱、电源箱门是否关好，有无被撬、被撞。电源和网络是否正常运行。</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（7）检查信号控制机控制箱内设备的工作情况。</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.特殊巡检</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（1）道路改造、市政建设及工程抢险影响信号灯及其附属设施正常运行时的现场巡检。</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（2）重要节假日、大型活动期间，特定巡检、维修、维护、清洁、保养。</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）日常维修</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1.系统本身故障</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（1）设备在日常巡检发现设备故障或存在影响系统正常运行的安全等问题，均需登记备案或发微信工作群，并尽量当场解决。</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（2）对采购人发现并通知的设备异常情况，投标人需在规定时间内达现场处理，反馈处理情况登记备案或发微信工作群。</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（3）现场不能解决的问题，须在24小时内恢复，在更换备件后24小时内仍然无法恢复的，需向采购人管理人员汇报，并在采购人规定时间内解决。</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（4）每个故障的处理情况，更换设备情况（设备型号等），均需造册登记，以供采购人检查。</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（5）在道路施工、交通流量变化等原因需在路口增设临时信号灯的，投标人应配合各大队做好临时信号灯的配时及维护工作，每天对临时信号灯进行巡查，确保临时信号灯能正常使用。</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）应急抢修</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1．投标人须设立专线电话，并安排专职维护人员实行24小时值班，当信号灯及其附属设施出现故障时，负责接收通知（包括网络通知、短信通知、电话通知及书面通知等）。</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2.响应时间：城区路口1小时、农村路口2小时到达现场进行维护，一般故障3小时、电源故障6小时内修复，网络故障1日内修复（管道不通、运营商因素及外部因素除外）。</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3.应急抢修时应随车携带一体化UPS或燃油发电机，如因停电原因造成交通信号灯无法使用，投标人须在最短时间内恢复信号灯；路口设置临时信号灯的，根据交通流量对临时信号灯的配时进行调整。</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）突发事件维护</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对因交通事故及台风天气(区域大面积破坏或单个信号灯路口基本达到半报废需重建的除外)造成的信号灯损坏进行维护抢修。投标人在收到通知后应按应急抢修要求进行维护抢修，损坏严重当场无法修复的应及时汇报交警相关部门，放置临时信号灯，非管道问题应在24小时内修复。</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突发事件引起的事故维修要及时将相关情况发至交警微信群，如因交通事故引起的要建立相关追溯台帐，交警支队应安排相关部门或所属大队对肇事者进行追查、协调，全面协助施工单位向肇事者追缴修复信号灯的所需费用。如特殊情况无法追查、追缴由交警相关部门在追溯台帐签字确认。</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）重大事件报告制度</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在系统巡检及维护中，发现重大事件必须第一时间以电话的形式上报，维护人员应迅速赶往突发事件现场，立即对现场进行处理并判断该事件为一般突发事件或重大突发事件，要求20分钟内给出相应对的措施，杜绝事态发展的扩大，以最大的程度降低损失。</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重大事件报告范围</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1.出现重大设备故障影响重大保卫或活动任务正常进行的，无法在规定的维修时间内修复。</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2.因不可抗力等突发原因，如停电、光缆通信中断和雷暴雨、台风等灾害性天气等，造成一定数量设备不能正常，多个设备损坏严重，报废或无法修复的。</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3.出现危及人身安全、设备安全的问题或出现事故征兆等异常情况。</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4.发生设备、工程车辆以及人身安全事故。</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5.上级部门、上级领导下达的指示、要求、处置后的情况。</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6.其它需要报告的事件。</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）维护服务要求</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1.维护车辆配备：要求投标人至少配备2辆带升降平台功能的专用维护车辆。</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2.维护人员配备：要求投标人至少配备4名专业维护人员，其中至少2名具备电工操作证。</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损坏配件处理</w:t>
      </w:r>
      <w:r>
        <w:rPr>
          <w:rFonts w:hint="eastAsia" w:ascii="宋体" w:hAnsi="宋体" w:eastAsia="宋体" w:cs="宋体"/>
          <w:sz w:val="21"/>
          <w:szCs w:val="21"/>
        </w:rPr>
        <w:t>：要求</w:t>
      </w:r>
      <w:r>
        <w:rPr>
          <w:rFonts w:hint="eastAsia" w:ascii="宋体" w:hAnsi="宋体" w:eastAsia="宋体" w:cs="宋体"/>
          <w:sz w:val="21"/>
          <w:szCs w:val="21"/>
          <w:lang w:val="en-US" w:eastAsia="zh-CN"/>
        </w:rPr>
        <w:t>自行处理维保更换下来的损坏部件，不占用</w:t>
      </w:r>
      <w:r>
        <w:rPr>
          <w:rFonts w:hint="eastAsia" w:ascii="宋体" w:hAnsi="宋体" w:eastAsia="宋体" w:cs="宋体"/>
          <w:sz w:val="21"/>
          <w:szCs w:val="21"/>
        </w:rPr>
        <w:t>采购人</w:t>
      </w:r>
      <w:r>
        <w:rPr>
          <w:rFonts w:hint="eastAsia" w:ascii="宋体" w:hAnsi="宋体" w:eastAsia="宋体" w:cs="宋体"/>
          <w:sz w:val="21"/>
          <w:szCs w:val="21"/>
          <w:lang w:val="en-US" w:eastAsia="zh-CN"/>
        </w:rPr>
        <w:t>仓库等场地。</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）维护考核</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1.采购人按照投标人售后服务承诺的故障修复时间进行抽查，每个超过一小时扣维护服务费50元。</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2.采购人按照投标人售后服务承诺的对设备故障修复情况进行抽查，未修复完成的每一次路口扣维护服务费500元。</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3.每月1次路口信号灯及其附属设施巡检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在巡检后24小时内，被抽查发现非突发性故障（如外观破损、灯盘遮挡等）巡检未发现的，</w:t>
      </w:r>
      <w:r>
        <w:rPr>
          <w:rFonts w:hint="eastAsia" w:ascii="宋体" w:hAnsi="宋体" w:eastAsia="宋体" w:cs="宋体"/>
          <w:sz w:val="21"/>
          <w:szCs w:val="21"/>
        </w:rPr>
        <w:t>每一</w:t>
      </w:r>
      <w:r>
        <w:rPr>
          <w:rFonts w:hint="eastAsia" w:ascii="宋体" w:hAnsi="宋体" w:eastAsia="宋体" w:cs="宋体"/>
          <w:sz w:val="21"/>
          <w:szCs w:val="21"/>
          <w:lang w:val="en-US" w:eastAsia="zh-CN"/>
        </w:rPr>
        <w:t>处</w:t>
      </w:r>
      <w:r>
        <w:rPr>
          <w:rFonts w:hint="eastAsia" w:ascii="宋体" w:hAnsi="宋体" w:eastAsia="宋体" w:cs="宋体"/>
          <w:sz w:val="21"/>
          <w:szCs w:val="21"/>
        </w:rPr>
        <w:t>扣维护服务费500元。</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.因投标人未按合同规定履行维护义务，由此发生责任事故的，由投标人承担相应的法律责任。</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.采购人有权按照投标人售后服务承诺及合同文件的要求对其他维护事项进行考核及处罚。</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.处罚款从维护服务费中扣除。</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）非维护管养范围</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1.路口信号灯、信号机及附属设施的升级改造等方面工作由采购人从其它项目中安排实施。</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2.在质保期内的信号灯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以及</w:t>
      </w:r>
      <w:r>
        <w:rPr>
          <w:rFonts w:hint="eastAsia" w:ascii="宋体" w:hAnsi="宋体" w:eastAsia="宋体" w:cs="宋体"/>
          <w:sz w:val="21"/>
          <w:szCs w:val="21"/>
        </w:rPr>
        <w:t>新建路口且管理权未移交至交警支队的信号灯</w:t>
      </w:r>
      <w:r>
        <w:rPr>
          <w:rFonts w:hint="eastAsia" w:ascii="宋体" w:hAnsi="宋体" w:eastAsia="宋体" w:cs="宋体"/>
          <w:sz w:val="21"/>
          <w:szCs w:val="21"/>
          <w:lang w:eastAsia="zh-CN"/>
        </w:rPr>
        <w:t>，</w:t>
      </w:r>
      <w:r>
        <w:rPr>
          <w:rFonts w:hint="eastAsia" w:ascii="宋体" w:hAnsi="宋体" w:eastAsia="宋体" w:cs="宋体"/>
          <w:sz w:val="21"/>
          <w:szCs w:val="21"/>
        </w:rPr>
        <w:t>由原建设单位或原施工单位自行负责。</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道路改造、市政建设或是其它单位施工原因引起的信号灯损坏、故障由交警部门协调相关责任方进行维护并修复到正常使用状态，维护管养方应配合公安部门做好现场取证和估价工作，登记好设备损坏清单，并根据采购人的业务需求提供技术支持和经费预算清单。同时维护管养单位有权有义务对责任方的修复状态进行监督，以确保后续信号灯可以正常使用。</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九</w:t>
      </w:r>
      <w:r>
        <w:rPr>
          <w:rFonts w:hint="eastAsia" w:ascii="宋体" w:hAnsi="宋体" w:eastAsia="宋体" w:cs="宋体"/>
          <w:sz w:val="21"/>
          <w:szCs w:val="21"/>
        </w:rPr>
        <w:t>）红绿灯维保服务时间</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红绿灯维保服务的时间</w:t>
      </w:r>
      <w:r>
        <w:rPr>
          <w:rFonts w:hint="eastAsia" w:ascii="宋体" w:hAnsi="宋体" w:cs="宋体"/>
          <w:sz w:val="21"/>
          <w:szCs w:val="21"/>
          <w:lang w:eastAsia="zh-CN"/>
        </w:rPr>
        <w:t>：</w:t>
      </w:r>
      <w:r>
        <w:rPr>
          <w:rFonts w:hint="eastAsia" w:ascii="宋体" w:hAnsi="宋体" w:eastAsia="宋体" w:cs="宋体"/>
          <w:sz w:val="21"/>
          <w:szCs w:val="21"/>
        </w:rPr>
        <w:t>2024年12月7日至2025年12月6日。</w:t>
      </w:r>
    </w:p>
    <w:p>
      <w:pPr>
        <w:keepNext w:val="0"/>
        <w:keepLines w:val="0"/>
        <w:pageBreakBefore w:val="0"/>
        <w:kinsoku/>
        <w:wordWrap/>
        <w:overflowPunct/>
        <w:topLinePunct w:val="0"/>
        <w:bidi w:val="0"/>
        <w:snapToGrid/>
        <w:spacing w:line="360" w:lineRule="auto"/>
        <w:outlineLvl w:val="9"/>
        <w:rPr>
          <w:rFonts w:hint="eastAsia" w:ascii="宋体" w:hAnsi="宋体" w:eastAsia="宋体" w:cs="宋体"/>
          <w:b/>
          <w:bCs/>
          <w:kern w:val="0"/>
          <w:sz w:val="21"/>
          <w:szCs w:val="21"/>
          <w:highlight w:val="none"/>
          <w:lang w:val="en-US" w:eastAsia="zh-CN" w:bidi="zh-CN"/>
        </w:rPr>
      </w:pPr>
      <w:r>
        <w:rPr>
          <w:rFonts w:hint="eastAsia" w:ascii="宋体" w:hAnsi="宋体" w:eastAsia="宋体" w:cs="宋体"/>
          <w:b/>
          <w:bCs/>
          <w:kern w:val="0"/>
          <w:sz w:val="21"/>
          <w:szCs w:val="21"/>
          <w:highlight w:val="none"/>
          <w:lang w:val="en-US" w:eastAsia="zh-CN" w:bidi="zh-CN"/>
        </w:rPr>
        <w:t>附</w:t>
      </w:r>
      <w:r>
        <w:rPr>
          <w:rFonts w:hint="eastAsia" w:ascii="宋体" w:hAnsi="宋体" w:cs="宋体"/>
          <w:b/>
          <w:bCs/>
          <w:kern w:val="0"/>
          <w:sz w:val="21"/>
          <w:szCs w:val="21"/>
          <w:highlight w:val="none"/>
          <w:lang w:val="en-US" w:eastAsia="zh-CN" w:bidi="zh-CN"/>
        </w:rPr>
        <w:t>一</w:t>
      </w:r>
      <w:r>
        <w:rPr>
          <w:rFonts w:hint="eastAsia" w:ascii="宋体" w:hAnsi="宋体" w:eastAsia="宋体" w:cs="宋体"/>
          <w:b/>
          <w:bCs/>
          <w:kern w:val="0"/>
          <w:sz w:val="21"/>
          <w:szCs w:val="21"/>
          <w:highlight w:val="none"/>
          <w:lang w:val="en-US" w:eastAsia="zh-CN" w:bidi="zh-CN"/>
        </w:rPr>
        <w:t>：过质保期红绿灯明细表（表1，合同期内新增过保点位也一并纳入维修保养范围）</w:t>
      </w:r>
    </w:p>
    <w:tbl>
      <w:tblPr>
        <w:tblStyle w:val="25"/>
        <w:tblW w:w="9572" w:type="dxa"/>
        <w:tblInd w:w="0" w:type="dxa"/>
        <w:shd w:val="clear" w:color="auto" w:fill="auto"/>
        <w:tblLayout w:type="fixed"/>
        <w:tblCellMar>
          <w:top w:w="0" w:type="dxa"/>
          <w:left w:w="0" w:type="dxa"/>
          <w:bottom w:w="0" w:type="dxa"/>
          <w:right w:w="0" w:type="dxa"/>
        </w:tblCellMar>
      </w:tblPr>
      <w:tblGrid>
        <w:gridCol w:w="785"/>
        <w:gridCol w:w="4713"/>
        <w:gridCol w:w="2030"/>
        <w:gridCol w:w="2044"/>
      </w:tblGrid>
      <w:tr>
        <w:tblPrEx>
          <w:tblCellMar>
            <w:top w:w="0" w:type="dxa"/>
            <w:left w:w="0" w:type="dxa"/>
            <w:bottom w:w="0" w:type="dxa"/>
            <w:right w:w="0" w:type="dxa"/>
          </w:tblCellMar>
        </w:tblPrEx>
        <w:trPr>
          <w:trHeight w:val="5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路口名称</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所属区域</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启用时间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海天大道与气象台路（汽车连）</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海天大道与文化路（外环1号岗）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海天大道与东皋路（外环小红绿灯）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海天大道与蟠洋山路（外环2号岗）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海天大道与长城花园</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海天大道与昌国路（外环3号岗）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海天大道与东河路（外环4号岗）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海天大道与东瀛路（外环5号岗）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海天大道与颐景园路（外环6号岗）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海天大道与双拥路（外环7号岗）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海天大道与新桥路（外环8号岗）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海天大道与市党校路口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解放西路与商业街（商业街岗）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解放西路与环城西路（西门岗）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解放西路与人民中路（中心岗）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解放东路与芙蓉洲路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解放东路与环城东路（东门岗）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环城南路与商业街（海关岗）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环城南路与环城西路（海司岗）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环城南路与人民南路（观音岗）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环城南路与和平路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环城南路与环城东路（东港岗）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环城南路与东河路（东河桥岗）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环城南路与东山路（东山岗）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环城东路与昌国路（昌国岗）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环城东路与蓬莱路（明珠岗）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环城东路与横河路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人民南路与卫海路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人民南路与东海东路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沿港东路与和平路（海滨公园岗）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沿港东路与环城东路（海滨桥岗）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青垒头路与纺织厂路（纺织厂岗）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青垒头路与弘生大道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弘生大道与东山路（东山隧道岗）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新桥路与东河路（五叉路岗）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新桥路与东瀛路（东瀛岗）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新桥路与畚金路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新桥路与颐景园路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东瀛路凯虹广场门口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人民北路与昌国路（区府岗）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人民北路与环城北路（环北岗）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文化路与环城北路（文化岗）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文化路与学院路（海院小红绿灯）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文化路与气象台路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环城北路与腾坑湾路（隧道东）</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白虎山路与尾山路（隧道西）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西山路与尾山路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东皋路与海院路（海院岗）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东皋路与海院北路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东皋路与定北线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定马线与大西岙</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定马线与城北村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双小线与72省道（南善桥）</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双桥高速出口（双坝1号）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双坝线与双小线（双坝2号）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双坝线与鸭岑线（双坝3号）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双坝线与外山头村（三农市场）</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双坝线与翁州大道（双坝4号）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双坝线与定马线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双坝线与定海六中（六中岗）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G329与72省道（坝桥岗）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G329与虹桥路口（虹桥岗）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海天大道与青岭路（龙马环卫公司）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海天大道与盐河路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滨海大道与航标路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滨海大道与金鸡路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滨海大道与海龙路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滨海大道与盐河路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滨海大道与海天大道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翁洲大道与海天大道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翁洲大道与建胜路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翁洲大道与盐河路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翁洲大道与海龙路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翁洲大道与金鸡北路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翁洲大道与航标路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鸭岑线与鸭螺线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鸭岑线与螺头岭路口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鸭岑线与双联村路口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鸭岑线与盐仓养老院路口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鸭岑线与临欣路（亿洋气体公司）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鸭岑线与7412工厂路口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鸭岑线与港欣路（驾考中心）</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鸭岑线与海新村路口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鸭岑线与三农市场西路口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鸭岑线与汽车城路口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鸭岑线与小老线（老塘山隧道东）</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鸭岑线老塘山隧道西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鸭岑线岑港高速进口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鸭岑线岑港高速出口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鸭东线与新司前街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鸭东线与涨次路口（富翅门大桥下）</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鸭东线与碇下线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鸭东线与烟墩高速口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鸭东线与碇次村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鸭东线与小沙加油站</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鸭东线与东契路（大沙村）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鸭东线与西岑线（创园大道）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创园大道与滨河路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鸭东线与源丰路（海丰码头)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鸭东线与南毛线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双小线骆家互通</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定马线虹桥互通</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定马线小船岙路口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S321与茅岭路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S321与茅叉线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盐河路与定胜路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盐河路与东升路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盐河路与锦园路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建胜路与下湾路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定海（盐仓）</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G329与皋泄村（胜建公交站）</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G329与三华线（弄口红绿灯）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G329与新73省道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G329与梅山路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G329与潮面村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兴泉路与白泉路（白泉大转盘）</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兴泉路与定北线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兴泉路与电厂路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人民路与电厂路（白泉交警中队）</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新73省道与沙外线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新73省道技师学院路口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新73省道与定北线（方岭隧道北）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新73省道与河东陈家？</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新73省道与万毛线（方岭隧道南）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鸭东线与马沙线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鸭东线与马北线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鸭东线与定马线（三江码头）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鸭东线与三华线（天籁路）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鸭东线与姚家</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鸭东线与揽州路（西码头）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干平线与小白线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揽州路与天籁路 （干览镇政府）</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揽州路与规划二路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揽州路与兴业路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兴港路与海兴路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兴港路与海港路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兴港路与金铂园路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兴业路与规划一路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兴业路与规划二路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定海（干榄）</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鸭东线与柯梅村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鸭东线与万浪线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鸭东线与兴泉路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鸭东线与电厂路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鸭东线与新73省道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鸭东线与弘禄大道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鸭东线与迎宾大道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鸭东线与大成九路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鸭东线与鹤扬路（北钓线）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鸭东线与育才路(北蝉小学）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鸭东线与临北线（北蝉洪家）</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长白街与兴岛路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定海（长白岛）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定马线与白马街（白马大酒店）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定马线与三江工业园区</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定马线与茅叉线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定马线与东西快速连接线路口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马北线与干马线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c>
          <w:tcPr>
            <w:tcW w:w="47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新马大道与弘禄大道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新马大道与迎宾大道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新马大道与大成九路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自贸大道与迎宾大道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自贸大道与大成十一路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自贸大道与北钓线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自贸大道与通港一路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自贸大道与通港五路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定海（白泉）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沥柳线与沥小线（刘家契凉亭)</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沥小线与穆东线（半塘胡家）</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沥大线与林大线（大浦口）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甬金路与西堠路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沥大线与和丰路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甬金路与吉祥路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甬金路与大丰路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大丰路与吉祥路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大浦口集装箱码头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乱外线与沙塘路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沥大线与政府路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定海（金塘）</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双拥路与阳光路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定海（城区）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浙海大长峙校区北门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蕙兰路与桃源路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海大北路与马鞍路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长峙中路与海大北路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长峙东路新城大桥南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长峙中路与丹枫路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丹枫路与蕙兰路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丹枫路与叠翠路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新城（长峙岛）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弘生大道与兴东路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弘生大道与黎明路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弘生大道与兴国路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弘生大道与兴海路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海天大道与三华线（三官堂）</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海天大道与兴东路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海天大道与弘生大道（黄土岭岗）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海天大道与浙大路（惠明桥岗）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海天大道沧海新村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海天大道与高云路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海天大道与临长路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海天大道与长升路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海天大道与金岛路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海天大道与千岛路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海天大道与港岛路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海天大道与绿岛路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海天大道与富丽岛路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海天大道与海力生路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海天大道与新花路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海天大道与新园路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海天大道与新益路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海天大道与东海西路（勾山金融大厦）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海天大道与板桥路（平阳浦）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浦西大道与黄稚街(河津广场)</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东海西路与明珠路（华隆大厦）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千岛路与滨海大道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千岛路与海宇道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千岛路与定沈路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千岛路与翁山路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千岛路与桃湾路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千岛路与新城大道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千岛路与怡岛路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海月道与体育路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海宇道与海城路（市府北门）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海宇道与体育路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海宇道与怡岛路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海宇道与港岛路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海宇道与绿岛路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定沈路与惠民路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定沈路与高云路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定沈路与临长路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定沈路与长升路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定沈路与金岛路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定沈路与合兴路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定沈路与港岛路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定沈路与绿岛路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定沈路与泽普路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定沈路与富丽岛路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翁山路与临长路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翁山路与金岛路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翁山路与合兴路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翁山路与港岛路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翁山路与红茅山路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翁山路与绿岛路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桃湾路与中湾路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桃湾路与金岛路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桃湾路与体育路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桃湾路与怡岛路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新城大道与浙大路（新城隧道西）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新城大道与高云路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新城大道与临长路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新城大道与金岛路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新城大道与港岛路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新城大道与红茅山路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新城大道与绿岛路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新城大道与富丽岛路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新城大道与荷花村路口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新城大道与庙前街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新城大道与新园路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富丽岛路与规划路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中湾路与小青湾路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临长路与桃湾路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临长路与小青湾路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临长路与体育路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临长路与旌旗山路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临长路与怡岛路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临长路与万荣村路口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G329与全家（上寺弄）</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G329与毛北线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G329与临长路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G329与千岛路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G329与港岛路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G329与南山路（明珠小学）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G329与临螺线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G329与山头黄</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G329与新园路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滨海大道与浙大路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滨海大道与临长路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滨海大道与长升路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滨海大道与新苗路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滨海大道与金岛路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滨海大道与港岛路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滨海大道与绿岛路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滨海大道与富丽岛路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滨海大道与海力生路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浙大路与惠飞路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浙大路与求是路（浙大北门）</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新育路与黄稚街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新园路与三大线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新园路与庙前街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金岛路与怡岛路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金岛路与旌旗山路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金岛路与体育路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金岛路与田螺峙路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长升路与文昌路（舟山广电)</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新城（临城）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绿岛路与万阳路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绿岛路舟山一小北校区</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怡岛路与新碶头路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环岛南路与经二路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环岛南路与经十三路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环岛南路与经十四路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环岛南路与经二十八路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纬十五路与经二路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纬十五路与经二十八路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纬八路与经二十八路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新城（千岛）</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新育路与新驰路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新蕙路与新驰路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新蕙路与新晨路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卢塔线与南岙路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卢塔线与芦花村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G329与卢塔线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G329与岑东线（普陀城北加油站岗）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G329与兴北东路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G329与海天大道（普陀城北岗）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海天大道与新驰路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海天大道与新塘路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海天大道与沈芦线（天吴隧道北）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沈芦公路与舵岙路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沈芦公路与次一路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岭陀道与学运路（城北汽车站）</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北向疏港公路与卢塔线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北向疏港公路与观张线（城北中队）</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北向疏港公路与岑东线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北向疏港公路与田园综合体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北向疏港公路与田园综合体西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北向疏港公路与临螺线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兴北东路与匝道交叉口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展茅加油站</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展茅临螺线鱿鱼市场门口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普陀（城北）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海天大道与海莲路（山水人家）</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海天大道与海印路（欧尚）</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海莲路与中昌街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海莲路与灵秀街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海莲路与金城街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海莲路与昌正街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海莲路与麒麟街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海莲路与文康街（普陀中学）</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海莲路与兴港大道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海莲路与莲洋街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海莲路与潮音街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海莲路与观潮街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海印路与中昌街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海印路与灵秀街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海印路与金城街（体育馆）</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海印路与香榭街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海印路与昌正街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海印路与麒麟街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海印路与文康街(普陀医院)</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海印路与兴港大道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海印北路莲洋街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海华路与昌正街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海华路与金城街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海华路与灵秀街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海洲路与晨晖街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海洲路与中昌街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海洲路与灵秀街(交警大队)</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海州路与金城街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海洲路与海天大道</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海州路与昌正街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海洲路与莲洋街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普陀（东港）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莲桥路与鲁洲路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莲桥路与鲁中路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鲁洲路与鲁川路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鲁洲路与鲁滨路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鲁滨路与鲁中路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东海西路与平渔路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东海西路与板桥路(三大线)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东海西路与中沙头(水产码头)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东海西路与大茶湾路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东海中路与兴建路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东海中路与渔市大街（蒲湾二区）</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374</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东海中路与中洲路（蒲湾一区）</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东海中路与船厂路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东海中路与食品厂路（原交通局）</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东海中路与岭陀隧道（新大地）</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东海中路与菜市路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东海东路与新街路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东海东路与东河路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兴建路与渔市大街</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382</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兴建路与船厂路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兴建路与食品厂路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滨港路与船厂路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滨港路与食品厂路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滨港路与菜市路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滨港路与东河路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滨港路与中兴路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389</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滨海大道与新园路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滨海大道与海博路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滨海大道与大干车渡码头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滨海大道与金外滩</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滨海大道与墩头路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普陀（沈家门）</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六横外涨线山西村</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六横大脉坑路口（沙岙码头）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三八路与台沙线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397</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三八路与崇文路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398</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三八路与六横路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399</w:t>
            </w:r>
          </w:p>
        </w:tc>
        <w:tc>
          <w:tcPr>
            <w:tcW w:w="471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台沙线与六横路（客运中心）</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台沙线与外涨线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401</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台沙线与孙干线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台沙线与田岙路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403</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台沙线与保丰路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普陀（六横）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G329与开化公路2(绿城真如湾)</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405</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G329与香莲路（镇北路）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G329与银鹰路（凉樟线）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407</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G329与庆丰路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G329与龙眼路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409</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G329与朱乌线</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410</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S310(开化公路)与支线1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411</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莲花路与学院路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412</w:t>
            </w:r>
          </w:p>
        </w:tc>
        <w:tc>
          <w:tcPr>
            <w:tcW w:w="4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莲花路与银鹰路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413</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莲花路与香莲路</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414</w:t>
            </w:r>
          </w:p>
        </w:tc>
        <w:tc>
          <w:tcPr>
            <w:tcW w:w="47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普陀山百步沙红绿灯</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普陀山</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2020年前</w:t>
            </w:r>
          </w:p>
        </w:tc>
      </w:tr>
      <w:tr>
        <w:tblPrEx>
          <w:shd w:val="clear" w:color="auto" w:fill="auto"/>
          <w:tblCellMar>
            <w:top w:w="0" w:type="dxa"/>
            <w:left w:w="0" w:type="dxa"/>
            <w:bottom w:w="0" w:type="dxa"/>
            <w:right w:w="0" w:type="dxa"/>
          </w:tblCellMar>
        </w:tblPrEx>
        <w:trPr>
          <w:trHeight w:val="4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415</w:t>
            </w:r>
          </w:p>
        </w:tc>
        <w:tc>
          <w:tcPr>
            <w:tcW w:w="4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S310(开化公路)与西岙码头</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朱家尖</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r>
    </w:tbl>
    <w:p>
      <w:pPr>
        <w:pStyle w:val="34"/>
        <w:keepNext w:val="0"/>
        <w:keepLines w:val="0"/>
        <w:pageBreakBefore w:val="0"/>
        <w:kinsoku/>
        <w:wordWrap/>
        <w:overflowPunct/>
        <w:topLinePunct w:val="0"/>
        <w:bidi w:val="0"/>
        <w:snapToGrid/>
        <w:spacing w:line="360" w:lineRule="auto"/>
        <w:rPr>
          <w:rFonts w:hint="eastAsia" w:ascii="宋体" w:hAnsi="宋体" w:eastAsia="宋体" w:cs="宋体"/>
          <w:sz w:val="21"/>
          <w:szCs w:val="21"/>
          <w:lang w:val="en-US" w:eastAsia="zh-CN"/>
        </w:rPr>
      </w:pPr>
    </w:p>
    <w:p>
      <w:pPr>
        <w:keepNext w:val="0"/>
        <w:keepLines w:val="0"/>
        <w:pageBreakBefore w:val="0"/>
        <w:tabs>
          <w:tab w:val="left" w:pos="3720"/>
        </w:tabs>
        <w:kinsoku/>
        <w:wordWrap/>
        <w:overflowPunct/>
        <w:topLinePunct w:val="0"/>
        <w:bidi w:val="0"/>
        <w:snapToGrid/>
        <w:spacing w:line="360" w:lineRule="auto"/>
        <w:jc w:val="left"/>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附二：红绿灯路口附属的97个流量感知设备明细表（表2）</w:t>
      </w:r>
    </w:p>
    <w:tbl>
      <w:tblPr>
        <w:tblStyle w:val="25"/>
        <w:tblW w:w="9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4140"/>
        <w:gridCol w:w="1862"/>
        <w:gridCol w:w="1593"/>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安装位置</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所属区域</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检测器类型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海天大道与昌国路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定海（城区）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东西快速路舟山西点位</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定海（双桥）</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双桥高速出口(双坝1号)</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定海（双桥）</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金塘大桥29K+800进出</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定海（金塘）</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海天大道与海莲路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普陀（东港）</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海天大道与G329（城北岗）</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芦塔线与G329国道</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芦塔线与芦花村</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鸭东线与芦塔线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海天大道应家湾卡口(城北岗东)</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东西快速路徐家互通卡口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海天大道与临长路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新城（临城）</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海天大道与长升路东</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新城（临城）</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海天大道与高云路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新城（临城）</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海天大道与弘生大道</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新城（临城）</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海天大道与千岛路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新城（千岛）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海天大道与东海西路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新城（千岛）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千岛路与翁山路南</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新城（千岛）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千岛路与新城大道南</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新城（千岛）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长峙东路与新城大桥南</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新城（长峙岛）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长峙岛新城大桥南进出岛</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新城（长峙岛）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长峙岛茶山大桥南进岛方向</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新城（长峙岛）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蜈蚣峙停车场东港方向进出口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蜈蚣峙停车场南沙方向进出口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松帽尖停车场进出口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蜈蚣峙停车场普渡路进出口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朱家尖大桥西(龙门架)</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朱家尖大桥东(卡口)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朱家尖朱乌线威斯汀酒店东</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朱家尖329国道八一宾馆卡口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朱家尖S310西岙码头红绿灯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岱山双合高速口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岱山</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金塘大桥29K+800入舟</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定海（金塘）</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激光交调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金塘大桥29K+800入舟</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定海（金塘）</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朱家尖大桥进出岛辅道</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朱家尖</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鸭岑线与鸭螺线交叉口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定海（双桥）</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结构化轻卡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滨海大道与海天大道</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定海（双桥）</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结构化轻卡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翁洲大道与航标路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定海（双桥）</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结构化轻卡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芦塔线芦花街</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定海凯虹小红绿灯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定海（城区）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新桥路与东河路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定海（城区）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海天大道与新驰路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普陀（城北）</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海天大道与三大线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普陀（沈家门）</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海天大道与东海西路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新城（千岛）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海天大道与新花路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新城（千岛）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海天大道与千岛路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新城（千岛）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海天大道与金岛路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新城（临城）</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海天大道与长升路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新城（临城）</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海天大道与临长路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新城（临城）</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海天大道与昌国路</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定海（城区）</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多算法相机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pPr>
        <w:keepNext w:val="0"/>
        <w:keepLines w:val="0"/>
        <w:pageBreakBefore w:val="0"/>
        <w:kinsoku/>
        <w:wordWrap/>
        <w:overflowPunct/>
        <w:topLinePunct w:val="0"/>
        <w:bidi w:val="0"/>
        <w:snapToGrid/>
        <w:spacing w:line="360" w:lineRule="auto"/>
        <w:outlineLvl w:val="1"/>
        <w:rPr>
          <w:rFonts w:hint="eastAsia" w:ascii="宋体" w:hAnsi="宋体" w:eastAsia="宋体" w:cs="宋体"/>
          <w:b/>
          <w:sz w:val="21"/>
          <w:szCs w:val="21"/>
          <w:lang w:eastAsia="zh-CN"/>
        </w:rPr>
      </w:pPr>
      <w:r>
        <w:rPr>
          <w:rFonts w:hint="eastAsia" w:ascii="宋体" w:hAnsi="宋体" w:eastAsia="宋体" w:cs="宋体"/>
          <w:b/>
          <w:bCs/>
          <w:kern w:val="0"/>
          <w:sz w:val="21"/>
          <w:szCs w:val="21"/>
          <w:highlight w:val="none"/>
          <w:lang w:val="en-US" w:eastAsia="zh-CN" w:bidi="zh-CN"/>
        </w:rPr>
        <w:t>四、</w:t>
      </w:r>
      <w:r>
        <w:rPr>
          <w:rFonts w:hint="eastAsia" w:ascii="宋体" w:hAnsi="宋体" w:eastAsia="宋体" w:cs="宋体"/>
          <w:b/>
          <w:bCs/>
          <w:sz w:val="21"/>
          <w:szCs w:val="21"/>
        </w:rPr>
        <w:t>信号灯、标志、标线配套设施按</w:t>
      </w:r>
      <w:r>
        <w:rPr>
          <w:rFonts w:hint="eastAsia" w:ascii="宋体" w:hAnsi="宋体" w:eastAsia="宋体" w:cs="宋体"/>
          <w:b/>
          <w:sz w:val="21"/>
          <w:szCs w:val="21"/>
        </w:rPr>
        <w:t>需维保建设</w:t>
      </w:r>
      <w:r>
        <w:rPr>
          <w:rFonts w:hint="eastAsia" w:ascii="宋体" w:hAnsi="宋体" w:eastAsia="宋体" w:cs="宋体"/>
          <w:b/>
          <w:sz w:val="21"/>
          <w:szCs w:val="21"/>
          <w:lang w:val="en-US" w:eastAsia="zh-CN"/>
        </w:rPr>
        <w:t>服务</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对本岛（不含岱山、嵊泗）区域的信号灯、标志、标线配套设施等62个单项根据实际需要实施维保建设。</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1.实施建设维保说明</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信号灯、标志、标线配套设施清单内容及数量均为按需建设维保配套，按实际签证，服务期完成后统一审核结算。该项整体年度实施预算100万元（投标人对该项费用在报价中不得调整），投标人需根据评分要求报整体</w:t>
      </w:r>
      <w:r>
        <w:rPr>
          <w:rFonts w:hint="eastAsia" w:ascii="宋体" w:hAnsi="宋体" w:cs="宋体"/>
          <w:sz w:val="21"/>
          <w:szCs w:val="21"/>
          <w:lang w:val="en-US" w:eastAsia="zh-CN"/>
        </w:rPr>
        <w:t>折扣率</w:t>
      </w:r>
      <w:r>
        <w:rPr>
          <w:rFonts w:hint="eastAsia" w:ascii="宋体" w:hAnsi="宋体" w:eastAsia="宋体" w:cs="宋体"/>
          <w:sz w:val="21"/>
          <w:szCs w:val="21"/>
        </w:rPr>
        <w:t>。</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2.维保建设服务时间</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信号灯、标志、标线配套设施按需维保建设服务的时间为，</w:t>
      </w:r>
      <w:r>
        <w:rPr>
          <w:rFonts w:hint="eastAsia" w:ascii="宋体" w:hAnsi="宋体" w:eastAsia="宋体" w:cs="宋体"/>
          <w:sz w:val="21"/>
          <w:szCs w:val="21"/>
          <w:highlight w:val="none"/>
        </w:rPr>
        <w:t>2024年12月7日至2025年12月6日</w:t>
      </w:r>
      <w:r>
        <w:rPr>
          <w:rFonts w:hint="eastAsia" w:ascii="宋体" w:hAnsi="宋体" w:eastAsia="宋体" w:cs="宋体"/>
          <w:sz w:val="21"/>
          <w:szCs w:val="21"/>
        </w:rPr>
        <w:t>。</w:t>
      </w:r>
      <w:r>
        <w:rPr>
          <w:rFonts w:hint="eastAsia" w:ascii="宋体" w:hAnsi="宋体" w:eastAsia="宋体" w:cs="宋体"/>
          <w:sz w:val="21"/>
          <w:szCs w:val="21"/>
          <w:lang w:val="en-US" w:eastAsia="zh-CN"/>
        </w:rPr>
        <w:t>具体单项</w:t>
      </w:r>
      <w:r>
        <w:rPr>
          <w:rFonts w:hint="eastAsia" w:ascii="宋体" w:hAnsi="宋体" w:eastAsia="宋体" w:cs="宋体"/>
          <w:sz w:val="21"/>
          <w:szCs w:val="21"/>
        </w:rPr>
        <w:t>清单如下</w:t>
      </w:r>
      <w:r>
        <w:rPr>
          <w:rFonts w:hint="eastAsia" w:ascii="宋体" w:hAnsi="宋体" w:eastAsia="宋体" w:cs="宋体"/>
          <w:sz w:val="21"/>
          <w:szCs w:val="21"/>
          <w:lang w:eastAsia="zh-CN"/>
        </w:rPr>
        <w:t>：</w:t>
      </w:r>
    </w:p>
    <w:p>
      <w:pPr>
        <w:keepNext w:val="0"/>
        <w:keepLines w:val="0"/>
        <w:pageBreakBefore w:val="0"/>
        <w:tabs>
          <w:tab w:val="left" w:pos="3720"/>
        </w:tabs>
        <w:kinsoku/>
        <w:wordWrap/>
        <w:overflowPunct/>
        <w:topLinePunct w:val="0"/>
        <w:bidi w:val="0"/>
        <w:snapToGrid/>
        <w:spacing w:line="360" w:lineRule="auto"/>
        <w:jc w:val="left"/>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附：信号灯、标志、标线配套设施按需维保建设单项价格明细表（表3）</w:t>
      </w:r>
    </w:p>
    <w:tbl>
      <w:tblPr>
        <w:tblStyle w:val="25"/>
        <w:tblW w:w="9566" w:type="dxa"/>
        <w:tblInd w:w="0" w:type="dxa"/>
        <w:tblLayout w:type="fixed"/>
        <w:tblCellMar>
          <w:top w:w="0" w:type="dxa"/>
          <w:left w:w="0" w:type="dxa"/>
          <w:bottom w:w="0" w:type="dxa"/>
          <w:right w:w="0" w:type="dxa"/>
        </w:tblCellMar>
      </w:tblPr>
      <w:tblGrid>
        <w:gridCol w:w="512"/>
        <w:gridCol w:w="1915"/>
        <w:gridCol w:w="2319"/>
        <w:gridCol w:w="481"/>
        <w:gridCol w:w="1111"/>
        <w:gridCol w:w="3228"/>
      </w:tblGrid>
      <w:tr>
        <w:tblPrEx>
          <w:tblCellMar>
            <w:top w:w="0" w:type="dxa"/>
            <w:left w:w="0" w:type="dxa"/>
            <w:bottom w:w="0" w:type="dxa"/>
            <w:right w:w="0" w:type="dxa"/>
          </w:tblCellMar>
        </w:tblPrEx>
        <w:trPr>
          <w:trHeight w:val="53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序号</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材料名称</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规格型号要求</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单位</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
                <w:kern w:val="0"/>
                <w:sz w:val="21"/>
                <w:szCs w:val="21"/>
              </w:rPr>
            </w:pPr>
            <w:r>
              <w:rPr>
                <w:rFonts w:hint="eastAsia" w:ascii="宋体" w:hAnsi="宋体" w:eastAsia="宋体" w:cs="宋体"/>
                <w:b/>
                <w:kern w:val="0"/>
                <w:sz w:val="21"/>
                <w:szCs w:val="21"/>
              </w:rPr>
              <w:t>单项预算价（元）</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备注</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信号灯壳体</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Φ400×3 铝压铸</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组</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795</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需与舟山现有信号灯壳一致，相匹配，包括配套的遮阳帽、装饰板</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信号灯灯盘</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Φ400，开关电源，恒流稳压</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片</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596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需与舟山现有信号灯盘一致，相匹配；不分满盘、箭头、自行车，也不分红黄绿</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信号灯壳体</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Φ300×2 铝压铸</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组</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596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需与舟山现有信号灯壳一致，相匹配，包括配套的遮阳帽、装饰板</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信号灯灯盘</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Φ300，开关电源，恒流稳压</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片</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50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与现有信号灯盘一致，相匹配；不分满盘、箭头、自行车、人行，也不分红黄绿，含电源模块，不含控制板</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箱式一体化303人行灯</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Φ300*3个单元，开关电源，恒流稳压。定制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组</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300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与海天大道现有的一致，不分直角、圆角、双面、单面。双面的一套=2组</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单8倒计时灯盘</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Φ400/Φ300，开关电源，恒流稳压</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片</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990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与舟山现有信号灯盘一致，相匹配；不分满盘、箭头、自行车等</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7</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待行区显示屏</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双路信号双屏显</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300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大小、尺寸可根据路口实际情况需要进行定制</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8</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可变车道显示屏</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220V供电型，蓝底反光膜，白色箭头</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5415</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常规900*1100，大小、尺寸可根据路口实际情况需要进行定制</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信号机</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rPr>
              <w:t>F型机、海康威视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大华</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29212</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F型机裸机，不含配电箱、电器附件等</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配电箱</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rPr>
              <w:t>E、F型配电箱及海康威视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大华</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5846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304不锈钢，恒温风扇，含LED智能报警桩等所有附件</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远程通讯设备</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远程通讯模块</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813.4</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与舟山现有的一致</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信号机维修配件</w:t>
            </w:r>
            <w:r>
              <w:rPr>
                <w:rFonts w:hint="eastAsia" w:ascii="宋体" w:hAnsi="宋体" w:eastAsia="宋体" w:cs="宋体"/>
                <w:kern w:val="0"/>
                <w:sz w:val="21"/>
                <w:szCs w:val="21"/>
                <w:lang w:val="en-US" w:eastAsia="zh-CN"/>
              </w:rPr>
              <w:t>1</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E型机主板外模块</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1963</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除主板以外其它板卡</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13</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信号机维修配件</w:t>
            </w:r>
            <w:r>
              <w:rPr>
                <w:rFonts w:hint="eastAsia" w:ascii="宋体" w:hAnsi="宋体" w:eastAsia="宋体" w:cs="宋体"/>
                <w:kern w:val="0"/>
                <w:sz w:val="21"/>
                <w:szCs w:val="21"/>
                <w:lang w:val="en-US" w:eastAsia="zh-CN"/>
              </w:rPr>
              <w:t>2</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F型机、海康</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大华</w:t>
            </w:r>
            <w:r>
              <w:rPr>
                <w:rFonts w:hint="eastAsia" w:ascii="宋体" w:hAnsi="宋体" w:eastAsia="宋体" w:cs="宋体"/>
                <w:kern w:val="0"/>
                <w:sz w:val="21"/>
                <w:szCs w:val="21"/>
              </w:rPr>
              <w:t>的板卡模块</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3958</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信号机维修配件</w:t>
            </w:r>
            <w:r>
              <w:rPr>
                <w:rFonts w:hint="eastAsia" w:ascii="宋体" w:hAnsi="宋体" w:eastAsia="宋体" w:cs="宋体"/>
                <w:kern w:val="0"/>
                <w:sz w:val="21"/>
                <w:szCs w:val="21"/>
                <w:lang w:val="en-US" w:eastAsia="zh-CN"/>
              </w:rPr>
              <w:t>3</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E型机主板卡等模块</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5100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包括主板、5块输出板的主控制单板芯片等（带GPS）</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信号灯电源模块</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200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不分灯盘、颜色种类，含开关电源</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16</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信号灯控制板</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666.4</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人行灯、显示屏等所用的微电脑控制的主控制板</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17</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遮阳帽</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铝合金，防紫外线喷塑</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片</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87</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信号灯、人行灯的遮阳帽、装饰板等</w:t>
            </w:r>
          </w:p>
        </w:tc>
      </w:tr>
      <w:tr>
        <w:tblPrEx>
          <w:tblCellMar>
            <w:top w:w="0" w:type="dxa"/>
            <w:left w:w="0" w:type="dxa"/>
            <w:bottom w:w="0" w:type="dxa"/>
            <w:right w:w="0" w:type="dxa"/>
          </w:tblCellMar>
        </w:tblPrEx>
        <w:trPr>
          <w:trHeight w:val="52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18</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交换机</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网络交换机</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75</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4端口或8端口</w:t>
            </w:r>
          </w:p>
        </w:tc>
      </w:tr>
      <w:tr>
        <w:tblPrEx>
          <w:tblCellMar>
            <w:top w:w="0" w:type="dxa"/>
            <w:left w:w="0" w:type="dxa"/>
            <w:bottom w:w="0" w:type="dxa"/>
            <w:right w:w="0" w:type="dxa"/>
          </w:tblCellMar>
        </w:tblPrEx>
        <w:trPr>
          <w:trHeight w:val="4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19</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稳压器</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2000W以上</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1300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0</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远程控制信号线1</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户外双层超5类专用网线</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远程控制信号线2</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信号灯专用，KVV4芯×1.5mm2</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2</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远程控制信号线3</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信号灯专用，KVV7芯×1.5mm2</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3</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远程控制信号线4</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信号灯专用，KVV10芯×1.5mm2</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4</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远程控制信号线5</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信号灯电源专用，YJV2×4mm2</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5</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远程控制信号线6</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信号灯电源专用，YJV2×104mm2</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远程控制信号线7</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电子警察电源专用，RVV2×2.5mm2</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远程控制信号线8</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光缆,6芯以上，含熔纤、尾纤、终端盒等费用</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含运费</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28</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人行横道灯杆</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Φ114/89，热镀锌喷塑处理</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050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不分单叉双叉等规格</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29</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辅助灯杆</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Φ165*5000，热镀锌喷塑处理</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250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0</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信号灯/电警八角杆</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主杆7米，横杆5～10米，热镀锌喷塑处理</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13987</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1</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信号灯双横臂杆</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Φ273东港式样，热镀锌喷塑处理</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21985</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2</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人行灯杆基础</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座</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615</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3</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辅助灯杆基础</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座</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230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4</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八角杆基础</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座</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4230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5</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配电箱基础</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座</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500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36</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非过路管道</w:t>
            </w:r>
            <w:r>
              <w:rPr>
                <w:rFonts w:hint="eastAsia" w:ascii="宋体" w:hAnsi="宋体" w:eastAsia="宋体" w:cs="宋体"/>
                <w:kern w:val="0"/>
                <w:sz w:val="21"/>
                <w:szCs w:val="21"/>
              </w:rPr>
              <w:t>敷设</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≥Φ50尼龙管敷设</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44.1</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37</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过路管道</w:t>
            </w:r>
            <w:r>
              <w:rPr>
                <w:rFonts w:hint="eastAsia" w:ascii="宋体" w:hAnsi="宋体" w:eastAsia="宋体" w:cs="宋体"/>
                <w:kern w:val="0"/>
                <w:sz w:val="21"/>
                <w:szCs w:val="21"/>
              </w:rPr>
              <w:t>敷设</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Φ114钢管或Φ80顶管敷设</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米</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177</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38</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窨井1</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复合材料</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686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窨井2</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铁窨井</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980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0</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信号灯支架系列</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热镀锌、定制</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290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包括抱箍、螺栓等</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1</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小设施拆除</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信号灯、摄像机、雷视、小立杆等无须起重机械辅助作业即可完成的小设施的拆除</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196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小设施安装</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信号灯、摄像机、雷视、小立杆等无须起重机械辅助作业即可完成的小设施的安装</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196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3</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信号机及机柜拆除</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信号机及配电箱的拆除，每1个信号机点位算1项</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230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4</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信号机及机柜安装</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信号机安装、接线等，每1个信号机点位算1项</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920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5</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大型设施拆除</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Φ140以上杆件、大型标志牌等需起重机械辅助作业方可完成的大型设施的拆除</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1200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大型设施安装</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Φ140以上杆件、大型标志牌等需起重机械辅助作业方可完成的大型设施的安装</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1600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移动式信号灯</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Φ250多相位，40W</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val="en-US" w:eastAsia="zh-CN"/>
              </w:rPr>
              <w:t>200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移动式信号灯专用电池</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12V，17AH</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196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移动式信号灯专用太阳能板</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12V，40W</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片</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860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0</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移动式信号灯专用控制器</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移动式信号灯使用的控制器</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eastAsia="宋体" w:cs="宋体"/>
                <w:color w:val="000000"/>
                <w:kern w:val="0"/>
                <w:sz w:val="21"/>
                <w:szCs w:val="21"/>
              </w:rPr>
              <w:t>14</w:t>
            </w:r>
            <w:r>
              <w:rPr>
                <w:rFonts w:hint="eastAsia" w:ascii="宋体" w:hAnsi="宋体" w:cs="宋体"/>
                <w:color w:val="000000"/>
                <w:kern w:val="0"/>
                <w:sz w:val="21"/>
                <w:szCs w:val="21"/>
                <w:lang w:val="en-US" w:eastAsia="zh-CN"/>
              </w:rPr>
              <w:t>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小杆件油漆</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Φ140（含）以下的单立杆，金属漆</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default" w:ascii="宋体" w:hAnsi="宋体" w:eastAsia="宋体" w:cs="宋体"/>
                <w:kern w:val="0"/>
                <w:sz w:val="21"/>
                <w:szCs w:val="21"/>
                <w:lang w:val="en-US" w:eastAsia="zh-CN"/>
              </w:rPr>
            </w:pPr>
            <w:r>
              <w:rPr>
                <w:rFonts w:hint="eastAsia" w:ascii="宋体" w:hAnsi="宋体" w:cs="宋体"/>
                <w:color w:val="000000"/>
                <w:kern w:val="0"/>
                <w:sz w:val="21"/>
                <w:szCs w:val="21"/>
                <w:lang w:val="en-US" w:eastAsia="zh-CN"/>
              </w:rPr>
              <w:t>374</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2</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大杆件油漆</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Φ140以上或带横臂杆件，金属漆</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980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3</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标志牌改字</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零星标志的底膜不变，文字图案更换</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80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包括原版面的文字图案清除</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4</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标志牌改版面</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零星标志的底膜和文字图案更换</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00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包括原版面的文字图案清除</w:t>
            </w: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5</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零星标志牌</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IV类进口反光膜</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640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热熔标线施划</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热熔型，零星的标线施划</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常温标线施划</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常温型，零星的标线施划</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6</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600" w:hRule="atLeast"/>
        </w:trPr>
        <w:tc>
          <w:tcPr>
            <w:tcW w:w="5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19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标线清除</w:t>
            </w:r>
          </w:p>
        </w:tc>
        <w:tc>
          <w:tcPr>
            <w:tcW w:w="2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零星老旧标线打磨清除或水洗</w:t>
            </w:r>
          </w:p>
        </w:tc>
        <w:tc>
          <w:tcPr>
            <w:tcW w:w="4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平方</w:t>
            </w:r>
          </w:p>
        </w:tc>
        <w:tc>
          <w:tcPr>
            <w:tcW w:w="11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bidi w:val="0"/>
              <w:snapToGrid/>
              <w:spacing w:line="360" w:lineRule="auto"/>
              <w:jc w:val="center"/>
              <w:textAlignment w:val="center"/>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0</w:t>
            </w:r>
          </w:p>
        </w:tc>
        <w:tc>
          <w:tcPr>
            <w:tcW w:w="32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kern w:val="0"/>
                <w:sz w:val="21"/>
                <w:szCs w:val="21"/>
              </w:rPr>
            </w:pPr>
          </w:p>
        </w:tc>
      </w:tr>
    </w:tbl>
    <w:p>
      <w:pPr>
        <w:keepNext w:val="0"/>
        <w:keepLines w:val="0"/>
        <w:pageBreakBefore w:val="0"/>
        <w:widowControl w:val="0"/>
        <w:tabs>
          <w:tab w:val="left" w:pos="3720"/>
        </w:tabs>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highlight w:val="none"/>
          <w:lang w:val="en-US" w:eastAsia="zh-CN" w:bidi="zh-CN"/>
        </w:rPr>
      </w:pPr>
      <w:r>
        <w:rPr>
          <w:rFonts w:hint="eastAsia" w:ascii="宋体" w:hAnsi="宋体" w:eastAsia="宋体" w:cs="宋体"/>
          <w:sz w:val="21"/>
          <w:szCs w:val="21"/>
        </w:rPr>
        <w:t>合同生效以及具备实施条件后7个工作日内，支付合同</w:t>
      </w:r>
      <w:r>
        <w:rPr>
          <w:rFonts w:hint="eastAsia" w:ascii="宋体" w:hAnsi="宋体" w:eastAsia="宋体" w:cs="宋体"/>
          <w:sz w:val="21"/>
          <w:szCs w:val="21"/>
          <w:lang w:val="en-US" w:eastAsia="zh-CN"/>
        </w:rPr>
        <w:t>中红绿灯维修保养服务</w:t>
      </w:r>
      <w:r>
        <w:rPr>
          <w:rFonts w:hint="eastAsia" w:ascii="宋体" w:hAnsi="宋体" w:eastAsia="宋体" w:cs="宋体"/>
          <w:sz w:val="21"/>
          <w:szCs w:val="21"/>
        </w:rPr>
        <w:t>金额的70%做为预付款</w:t>
      </w:r>
      <w:r>
        <w:rPr>
          <w:rFonts w:hint="eastAsia" w:ascii="宋体" w:hAnsi="宋体" w:eastAsia="宋体" w:cs="宋体"/>
          <w:sz w:val="21"/>
          <w:szCs w:val="21"/>
          <w:lang w:eastAsia="zh-CN"/>
        </w:rPr>
        <w:t>。</w:t>
      </w:r>
      <w:r>
        <w:rPr>
          <w:rFonts w:hint="eastAsia" w:ascii="宋体" w:hAnsi="宋体" w:eastAsia="宋体" w:cs="宋体"/>
          <w:sz w:val="21"/>
          <w:szCs w:val="21"/>
        </w:rPr>
        <w:t>项目完成验收且通过内部审计后，自收到发票后7个工作日内，支付项目剩余费用，最终项目结算费用</w:t>
      </w:r>
      <w:r>
        <w:rPr>
          <w:rFonts w:hint="eastAsia" w:ascii="宋体" w:hAnsi="宋体" w:eastAsia="宋体" w:cs="宋体"/>
          <w:b w:val="0"/>
          <w:bCs w:val="0"/>
          <w:kern w:val="0"/>
          <w:sz w:val="21"/>
          <w:szCs w:val="21"/>
          <w:highlight w:val="none"/>
          <w:lang w:val="en-US" w:eastAsia="zh-CN" w:bidi="zh-CN"/>
        </w:rPr>
        <w:t>由内部审计确定。</w:t>
      </w:r>
    </w:p>
    <w:p>
      <w:pPr>
        <w:keepNext w:val="0"/>
        <w:keepLines w:val="0"/>
        <w:pageBreakBefore w:val="0"/>
        <w:kinsoku/>
        <w:wordWrap/>
        <w:overflowPunct/>
        <w:topLinePunct w:val="0"/>
        <w:bidi w:val="0"/>
        <w:snapToGrid/>
        <w:spacing w:line="360" w:lineRule="auto"/>
        <w:outlineLvl w:val="1"/>
        <w:rPr>
          <w:rFonts w:hint="eastAsia" w:ascii="宋体" w:hAnsi="宋体" w:eastAsia="宋体" w:cs="宋体"/>
          <w:b/>
          <w:bCs/>
          <w:kern w:val="0"/>
          <w:sz w:val="21"/>
          <w:szCs w:val="21"/>
          <w:highlight w:val="none"/>
          <w:lang w:val="en-US" w:eastAsia="zh-CN" w:bidi="zh-CN"/>
        </w:rPr>
      </w:pPr>
      <w:r>
        <w:rPr>
          <w:rFonts w:hint="eastAsia" w:ascii="宋体" w:hAnsi="宋体" w:eastAsia="宋体" w:cs="宋体"/>
          <w:b/>
          <w:bCs/>
          <w:kern w:val="0"/>
          <w:sz w:val="21"/>
          <w:szCs w:val="21"/>
          <w:highlight w:val="none"/>
          <w:lang w:val="en-US" w:eastAsia="zh-CN" w:bidi="zh-CN"/>
        </w:rPr>
        <w:t>六、其他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0"/>
          <w:sz w:val="21"/>
          <w:szCs w:val="21"/>
          <w:highlight w:val="none"/>
          <w:lang w:val="en-US" w:eastAsia="zh-CN" w:bidi="zh-CN"/>
        </w:rPr>
      </w:pPr>
      <w:r>
        <w:rPr>
          <w:rFonts w:hint="eastAsia" w:ascii="宋体" w:hAnsi="宋体" w:eastAsia="宋体" w:cs="宋体"/>
          <w:b w:val="0"/>
          <w:bCs w:val="0"/>
          <w:kern w:val="0"/>
          <w:sz w:val="21"/>
          <w:szCs w:val="21"/>
          <w:highlight w:val="none"/>
          <w:lang w:val="en-US" w:eastAsia="zh-CN" w:bidi="zh-CN"/>
        </w:rPr>
        <w:t>1、投标人应对招标、实施、操作等过程中采取保密和安全措施，因投标人造成的不良影响和损失，投标人应承担相应责任。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采购人认为投标人提供的产品和服务不能满足需求，可否决、终止本次采购。</w:t>
      </w:r>
    </w:p>
    <w:p>
      <w:pPr>
        <w:rPr>
          <w:rFonts w:hint="eastAsia" w:ascii="宋体" w:hAnsi="宋体" w:cs="宋体"/>
          <w:b/>
          <w:sz w:val="28"/>
          <w:szCs w:val="28"/>
        </w:rPr>
      </w:pPr>
      <w:r>
        <w:rPr>
          <w:rFonts w:hint="eastAsia" w:ascii="宋体" w:hAnsi="宋体" w:cs="宋体"/>
          <w:b/>
          <w:sz w:val="28"/>
          <w:szCs w:val="28"/>
        </w:rPr>
        <w:br w:type="page"/>
      </w:r>
    </w:p>
    <w:p>
      <w:pPr>
        <w:keepNext w:val="0"/>
        <w:keepLines w:val="0"/>
        <w:pageBreakBefore w:val="0"/>
        <w:kinsoku/>
        <w:wordWrap/>
        <w:topLinePunct w:val="0"/>
        <w:bidi w:val="0"/>
        <w:spacing w:line="360" w:lineRule="auto"/>
        <w:jc w:val="center"/>
        <w:outlineLvl w:val="0"/>
        <w:rPr>
          <w:rFonts w:ascii="宋体" w:hAnsi="宋体" w:cs="宋体"/>
          <w:b/>
          <w:sz w:val="28"/>
          <w:szCs w:val="28"/>
        </w:rPr>
      </w:pPr>
      <w:r>
        <w:rPr>
          <w:rFonts w:hint="eastAsia" w:ascii="宋体" w:hAnsi="宋体" w:cs="宋体"/>
          <w:b/>
          <w:sz w:val="28"/>
          <w:szCs w:val="28"/>
        </w:rPr>
        <w:t>第三章  投标人须知</w:t>
      </w:r>
      <w:bookmarkEnd w:id="7"/>
    </w:p>
    <w:p>
      <w:pPr>
        <w:keepNext w:val="0"/>
        <w:keepLines w:val="0"/>
        <w:pageBreakBefore w:val="0"/>
        <w:kinsoku/>
        <w:wordWrap/>
        <w:overflowPunct/>
        <w:topLinePunct w:val="0"/>
        <w:bidi w:val="0"/>
        <w:snapToGrid w:val="0"/>
        <w:spacing w:line="360" w:lineRule="auto"/>
        <w:jc w:val="center"/>
        <w:outlineLvl w:val="1"/>
        <w:rPr>
          <w:sz w:val="28"/>
          <w:szCs w:val="28"/>
        </w:rPr>
      </w:pPr>
      <w:r>
        <w:rPr>
          <w:rFonts w:hint="eastAsia" w:ascii="宋体" w:hAnsi="宋体" w:cs="宋体"/>
          <w:b/>
          <w:sz w:val="28"/>
          <w:szCs w:val="28"/>
        </w:rPr>
        <w:t>前附表</w:t>
      </w:r>
    </w:p>
    <w:tbl>
      <w:tblPr>
        <w:tblStyle w:val="25"/>
        <w:tblpPr w:leftFromText="180" w:rightFromText="180" w:vertAnchor="text" w:horzAnchor="page" w:tblpX="962" w:tblpY="313"/>
        <w:tblOverlap w:val="never"/>
        <w:tblW w:w="10081"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757"/>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413" w:type="dxa"/>
            <w:gridSpan w:val="2"/>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项目名称</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2024年本岛红绿灯一体化维保项目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采购人名称</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舟山市公安局交通警察支队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采购内容</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详见</w:t>
            </w:r>
            <w:r>
              <w:rPr>
                <w:rFonts w:hint="eastAsia" w:ascii="宋体" w:hAnsi="宋体" w:eastAsia="宋体" w:cs="宋体"/>
                <w:bCs/>
                <w:sz w:val="21"/>
                <w:szCs w:val="21"/>
                <w:highlight w:val="none"/>
                <w:lang w:val="en-US" w:eastAsia="zh-CN"/>
              </w:rPr>
              <w:t>采购</w:t>
            </w:r>
            <w:r>
              <w:rPr>
                <w:rFonts w:hint="eastAsia" w:ascii="宋体" w:hAnsi="宋体" w:eastAsia="宋体" w:cs="宋体"/>
                <w:bCs/>
                <w:sz w:val="21"/>
                <w:szCs w:val="21"/>
                <w:highlight w:val="none"/>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4</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预算金额</w:t>
            </w:r>
          </w:p>
        </w:tc>
        <w:tc>
          <w:tcPr>
            <w:tcW w:w="7656" w:type="dxa"/>
            <w:shd w:val="clear" w:color="auto" w:fill="FFFFFF"/>
            <w:vAlign w:val="center"/>
          </w:tcPr>
          <w:p>
            <w:pPr>
              <w:keepNext w:val="0"/>
              <w:keepLines w:val="0"/>
              <w:pageBreakBefore w:val="0"/>
              <w:widowControl/>
              <w:kinsoku/>
              <w:wordWrap/>
              <w:overflowPunct/>
              <w:topLinePunct w:val="0"/>
              <w:bidi w:val="0"/>
              <w:spacing w:line="360" w:lineRule="auto"/>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57.7</w:t>
            </w:r>
            <w:r>
              <w:rPr>
                <w:rFonts w:hint="eastAsia" w:ascii="宋体" w:hAnsi="宋体" w:eastAsia="宋体" w:cs="宋体"/>
                <w:color w:val="00000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5</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en-US" w:eastAsia="zh-CN"/>
              </w:rPr>
              <w:t>服务期限</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6</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投标有效期</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90日</w:t>
            </w:r>
            <w:r>
              <w:rPr>
                <w:rFonts w:hint="eastAsia" w:ascii="宋体" w:hAnsi="宋体" w:eastAsia="宋体" w:cs="宋体"/>
                <w:sz w:val="21"/>
                <w:szCs w:val="21"/>
                <w:highlight w:val="none"/>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7</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评标办法</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8</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付款方式</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9</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投标报价</w:t>
            </w:r>
          </w:p>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与相关费用</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1.投标人所投报的投标报价为投标人所能承受的整个项目的一次性最终最低合同总价，包括完成本项目工作内容所需的一切费用。合同总价不得超过本项目对应的最高限价</w:t>
            </w:r>
            <w:r>
              <w:rPr>
                <w:rFonts w:hint="eastAsia" w:ascii="宋体" w:hAnsi="宋体" w:eastAsia="宋体" w:cs="宋体"/>
                <w:sz w:val="21"/>
                <w:szCs w:val="21"/>
                <w:highlight w:val="none"/>
                <w:lang w:val="en-US" w:eastAsia="zh-CN"/>
              </w:rPr>
              <w:t>或预算金额</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2.按国家规定由中标人缴纳的各种税收已包含在投标总价内，由中标人向税务机关缴纳相关费用。</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3.投标人应承担其参加本招标活动自身所发生的费用。</w:t>
            </w:r>
          </w:p>
          <w:p>
            <w:pPr>
              <w:keepNext w:val="0"/>
              <w:keepLines w:val="0"/>
              <w:pageBreakBefore w:val="0"/>
              <w:kinsoku/>
              <w:wordWrap/>
              <w:overflowPunct/>
              <w:topLinePunct w:val="0"/>
              <w:bidi w:val="0"/>
              <w:spacing w:line="360" w:lineRule="auto"/>
              <w:rPr>
                <w:rFonts w:hint="eastAsia" w:ascii="宋体" w:hAnsi="宋体" w:eastAsia="宋体" w:cs="宋体"/>
                <w:sz w:val="21"/>
                <w:szCs w:val="21"/>
                <w:lang w:val="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zh-CN"/>
              </w:rPr>
              <w:t>中标人须缴纳招标代理服务费，招标代理服务收费标准金额为：</w:t>
            </w:r>
            <w:r>
              <w:rPr>
                <w:rFonts w:hint="eastAsia" w:ascii="宋体" w:hAnsi="宋体" w:eastAsia="宋体" w:cs="宋体"/>
                <w:sz w:val="21"/>
                <w:szCs w:val="21"/>
              </w:rPr>
              <w:t>根据项目中标价进行计算，100万元以下部分按1.2%计算，100-500万元部分按0.</w:t>
            </w:r>
            <w:r>
              <w:rPr>
                <w:rFonts w:hint="eastAsia" w:ascii="宋体" w:hAnsi="宋体" w:cs="宋体"/>
                <w:sz w:val="21"/>
                <w:szCs w:val="21"/>
                <w:lang w:val="en-US" w:eastAsia="zh-CN"/>
              </w:rPr>
              <w:t>64</w:t>
            </w:r>
            <w:r>
              <w:rPr>
                <w:rFonts w:hint="eastAsia" w:ascii="宋体" w:hAnsi="宋体" w:eastAsia="宋体" w:cs="宋体"/>
                <w:sz w:val="21"/>
                <w:szCs w:val="21"/>
              </w:rPr>
              <w:t>%计算，最低收费6000元</w:t>
            </w:r>
            <w:r>
              <w:rPr>
                <w:rFonts w:hint="eastAsia" w:ascii="宋体" w:hAnsi="宋体" w:eastAsia="宋体" w:cs="宋体"/>
                <w:sz w:val="21"/>
                <w:szCs w:val="21"/>
                <w:lang w:val="zh-CN"/>
              </w:rPr>
              <w:t>。</w:t>
            </w:r>
            <w:r>
              <w:rPr>
                <w:rFonts w:hint="eastAsia" w:ascii="宋体" w:hAnsi="宋体" w:eastAsia="宋体" w:cs="宋体"/>
                <w:sz w:val="21"/>
                <w:szCs w:val="21"/>
              </w:rPr>
              <w:t>支付方式及时间为：中标通知书发出时一次性支付给招标代理机构。</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收款单位名称：中金招标有限责任公司舟山分公司</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开户银行：中国建设银行股份有限公司舟山新城支行</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银行账号：3300 1706 2550 5300 3969</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5.中标、成交供应商放弃中标、成交资格导致重新采购的，承担支付代理费和专家评审费等费用在内的赔偿责任。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10</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投标文件的组成</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本项目实行网上投标。</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投标人应准备电子投标文件、以介质存储的数据电文形式的备份投标文件：</w:t>
            </w:r>
          </w:p>
          <w:p>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（1）电子投标文件，按政采云供应商项目采购-电子招投标操作指南及本招标文件要求制作，加密并递交。</w:t>
            </w:r>
          </w:p>
          <w:p>
            <w:pPr>
              <w:pStyle w:val="9"/>
              <w:keepNext w:val="0"/>
              <w:keepLines w:val="0"/>
              <w:pageBreakBefore w:val="0"/>
              <w:kinsoku/>
              <w:wordWrap/>
              <w:overflowPunct/>
              <w:topLinePunct w:val="0"/>
              <w:bidi w:val="0"/>
              <w:spacing w:after="0" w:line="36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（2）以介质存储的数据电文形式的备份投标文件，按政采云供应商项目采购-电子招投标操作指南中制作的电子投标文件，以DVD光盘或U盘形式提供。数量为1份。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11</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开标地点</w:t>
            </w:r>
          </w:p>
        </w:tc>
        <w:tc>
          <w:tcPr>
            <w:tcW w:w="7656" w:type="dxa"/>
            <w:shd w:val="clear" w:color="auto" w:fill="FFFFFF"/>
            <w:vAlign w:val="center"/>
          </w:tcPr>
          <w:p>
            <w:pPr>
              <w:keepNext w:val="0"/>
              <w:keepLines w:val="0"/>
              <w:pageBreakBefore w:val="0"/>
              <w:kinsoku/>
              <w:wordWrap/>
              <w:overflowPunct/>
              <w:topLinePunct w:val="0"/>
              <w:bidi w:val="0"/>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
                <w:kern w:val="0"/>
                <w:sz w:val="21"/>
                <w:szCs w:val="21"/>
                <w:highlight w:val="none"/>
              </w:rPr>
              <w:t>舟山市新城翁山路555号四楼舟山市公共资源交易中心（大宗商品交易中心同幢西边）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12</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投标文件的递交</w:t>
            </w:r>
          </w:p>
        </w:tc>
        <w:tc>
          <w:tcPr>
            <w:tcW w:w="7656" w:type="dxa"/>
            <w:shd w:val="clear" w:color="auto" w:fill="FFFFFF"/>
            <w:vAlign w:val="center"/>
          </w:tcPr>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eastAsia="宋体" w:cs="宋体"/>
                <w:sz w:val="21"/>
                <w:szCs w:val="21"/>
                <w:highlight w:val="none"/>
                <w:lang w:val="en-US" w:eastAsia="zh-CN"/>
              </w:rPr>
              <w:t>张学睿、梅洁</w:t>
            </w: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val="en-US" w:eastAsia="zh-CN"/>
              </w:rPr>
              <w:t>13758010405、13388440851</w:t>
            </w:r>
            <w:r>
              <w:rPr>
                <w:rFonts w:hint="eastAsia" w:ascii="宋体" w:hAnsi="宋体" w:eastAsia="宋体" w:cs="宋体"/>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投标人递交备份投标文件时，如出现下列情况之一的，将被拒收：</w:t>
            </w:r>
          </w:p>
          <w:p>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1、未按规定密封或标记的投标文件；</w:t>
            </w:r>
          </w:p>
          <w:p>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2、由于包装不妥，在送交途中严重破损或失散的；</w:t>
            </w:r>
          </w:p>
          <w:p>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3、超过投标截止时间送达的。</w:t>
            </w:r>
          </w:p>
          <w:p>
            <w:pPr>
              <w:keepNext w:val="0"/>
              <w:keepLines w:val="0"/>
              <w:pageBreakBefore w:val="0"/>
              <w:kinsoku/>
              <w:wordWrap/>
              <w:overflowPunct/>
              <w:topLinePunct w:val="0"/>
              <w:autoSpaceDE w:val="0"/>
              <w:autoSpaceDN w:val="0"/>
              <w:bidi w:val="0"/>
              <w:snapToGrid w:val="0"/>
              <w:spacing w:line="360" w:lineRule="auto"/>
              <w:ind w:firstLine="420" w:firstLineChars="200"/>
              <w:jc w:val="left"/>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4、仅提供备份投标文件的。</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当发生解密失败或未按时解密的，投标人提供了备份投标文件的，以备份投标文件为依据，否则视为投标文件撤回。投标文件已按时解密的，备份投标文件自动失效。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13</w:t>
            </w:r>
          </w:p>
        </w:tc>
        <w:tc>
          <w:tcPr>
            <w:tcW w:w="1743" w:type="dxa"/>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投标文件提交截止时间及开标时间</w:t>
            </w:r>
          </w:p>
        </w:tc>
        <w:tc>
          <w:tcPr>
            <w:tcW w:w="7656" w:type="dxa"/>
            <w:shd w:val="clear" w:color="auto" w:fill="FFFFFF"/>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202</w:t>
            </w:r>
            <w:r>
              <w:rPr>
                <w:rFonts w:hint="eastAsia" w:ascii="宋体" w:hAnsi="宋体" w:eastAsia="宋体" w:cs="宋体"/>
                <w:b/>
                <w:kern w:val="0"/>
                <w:sz w:val="21"/>
                <w:szCs w:val="21"/>
                <w:highlight w:val="none"/>
                <w:lang w:val="en-US" w:eastAsia="zh-CN"/>
              </w:rPr>
              <w:t>4</w:t>
            </w:r>
            <w:r>
              <w:rPr>
                <w:rFonts w:hint="eastAsia" w:ascii="宋体" w:hAnsi="宋体" w:eastAsia="宋体" w:cs="宋体"/>
                <w:b/>
                <w:kern w:val="0"/>
                <w:sz w:val="21"/>
                <w:szCs w:val="21"/>
                <w:highlight w:val="none"/>
              </w:rPr>
              <w:t>年</w:t>
            </w:r>
            <w:r>
              <w:rPr>
                <w:rFonts w:hint="eastAsia" w:ascii="宋体" w:hAnsi="宋体" w:cs="宋体"/>
                <w:b/>
                <w:kern w:val="0"/>
                <w:sz w:val="21"/>
                <w:szCs w:val="21"/>
                <w:highlight w:val="none"/>
                <w:lang w:val="en-US" w:eastAsia="zh-CN"/>
              </w:rPr>
              <w:t>11</w:t>
            </w:r>
            <w:r>
              <w:rPr>
                <w:rFonts w:hint="eastAsia" w:ascii="宋体" w:hAnsi="宋体" w:eastAsia="宋体" w:cs="宋体"/>
                <w:b/>
                <w:kern w:val="0"/>
                <w:sz w:val="21"/>
                <w:szCs w:val="21"/>
                <w:highlight w:val="none"/>
              </w:rPr>
              <w:t>月</w:t>
            </w:r>
            <w:r>
              <w:rPr>
                <w:rFonts w:hint="eastAsia" w:ascii="宋体" w:hAnsi="宋体" w:cs="宋体"/>
                <w:b/>
                <w:kern w:val="0"/>
                <w:sz w:val="21"/>
                <w:szCs w:val="21"/>
                <w:highlight w:val="none"/>
                <w:lang w:val="en-US" w:eastAsia="zh-CN"/>
              </w:rPr>
              <w:t>28</w:t>
            </w:r>
            <w:r>
              <w:rPr>
                <w:rFonts w:hint="eastAsia" w:ascii="宋体" w:hAnsi="宋体" w:eastAsia="宋体" w:cs="宋体"/>
                <w:b/>
                <w:kern w:val="0"/>
                <w:sz w:val="21"/>
                <w:szCs w:val="21"/>
                <w:highlight w:val="none"/>
              </w:rPr>
              <w:t>日</w:t>
            </w:r>
            <w:r>
              <w:rPr>
                <w:rFonts w:hint="eastAsia" w:ascii="宋体" w:hAnsi="宋体" w:eastAsia="宋体" w:cs="宋体"/>
                <w:b/>
                <w:kern w:val="0"/>
                <w:sz w:val="21"/>
                <w:szCs w:val="21"/>
                <w:highlight w:val="none"/>
                <w:lang w:val="en-US" w:eastAsia="zh-CN"/>
              </w:rPr>
              <w:t>0</w:t>
            </w:r>
            <w:r>
              <w:rPr>
                <w:rFonts w:hint="eastAsia" w:ascii="宋体" w:hAnsi="宋体" w:cs="宋体"/>
                <w:b/>
                <w:kern w:val="0"/>
                <w:sz w:val="21"/>
                <w:szCs w:val="21"/>
                <w:highlight w:val="none"/>
                <w:lang w:val="en-US" w:eastAsia="zh-CN"/>
              </w:rPr>
              <w:t>9</w:t>
            </w:r>
            <w:r>
              <w:rPr>
                <w:rFonts w:hint="eastAsia" w:ascii="宋体" w:hAnsi="宋体" w:eastAsia="宋体" w:cs="宋体"/>
                <w:b/>
                <w:kern w:val="0"/>
                <w:sz w:val="21"/>
                <w:szCs w:val="21"/>
                <w:highlight w:val="none"/>
              </w:rPr>
              <w:t>:</w:t>
            </w:r>
            <w:r>
              <w:rPr>
                <w:rFonts w:hint="eastAsia" w:ascii="宋体" w:hAnsi="宋体" w:eastAsia="宋体" w:cs="宋体"/>
                <w:b/>
                <w:kern w:val="0"/>
                <w:sz w:val="21"/>
                <w:szCs w:val="21"/>
                <w:highlight w:val="none"/>
                <w:lang w:val="en-US" w:eastAsia="zh-CN"/>
              </w:rPr>
              <w:t>00</w:t>
            </w:r>
            <w:r>
              <w:rPr>
                <w:rFonts w:hint="eastAsia" w:ascii="宋体" w:hAnsi="宋体" w:eastAsia="宋体" w:cs="宋体"/>
                <w:b/>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626" w:type="dxa"/>
            <w:vMerge w:val="restart"/>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cs="宋体"/>
                <w:b/>
                <w:sz w:val="21"/>
                <w:szCs w:val="21"/>
                <w:lang w:val="en-US" w:eastAsia="zh-CN"/>
              </w:rPr>
              <w:t>14</w:t>
            </w:r>
          </w:p>
        </w:tc>
        <w:tc>
          <w:tcPr>
            <w:tcW w:w="1743" w:type="dxa"/>
            <w:vMerge w:val="restart"/>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中小企业</w:t>
            </w:r>
          </w:p>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扶持政策</w:t>
            </w:r>
          </w:p>
        </w:tc>
        <w:tc>
          <w:tcPr>
            <w:tcW w:w="7656" w:type="dxa"/>
            <w:shd w:val="clear" w:color="auto" w:fill="FFFFFF"/>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本项目不允许转包。</w:t>
            </w:r>
          </w:p>
          <w:p>
            <w:pPr>
              <w:keepNext w:val="0"/>
              <w:keepLines w:val="0"/>
              <w:pageBreakBefore w:val="0"/>
              <w:kinsoku/>
              <w:wordWrap/>
              <w:overflowPunct/>
              <w:topLinePunct w:val="0"/>
              <w:bidi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626" w:type="dxa"/>
            <w:vMerge w:val="continue"/>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p>
        </w:tc>
        <w:tc>
          <w:tcPr>
            <w:tcW w:w="1743" w:type="dxa"/>
            <w:vMerge w:val="continue"/>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p>
        </w:tc>
        <w:tc>
          <w:tcPr>
            <w:tcW w:w="7656" w:type="dxa"/>
            <w:shd w:val="clear" w:color="auto" w:fill="FFFFFF"/>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b/>
                <w:kern w:val="0"/>
                <w:sz w:val="21"/>
                <w:szCs w:val="21"/>
                <w:highlight w:val="none"/>
                <w:lang w:eastAsia="zh-CN"/>
              </w:rPr>
            </w:pPr>
            <w:r>
              <w:rPr>
                <w:rFonts w:hint="eastAsia" w:ascii="宋体" w:hAnsi="宋体" w:eastAsia="宋体" w:cs="宋体"/>
                <w:b/>
                <w:kern w:val="0"/>
                <w:sz w:val="21"/>
                <w:szCs w:val="21"/>
                <w:highlight w:val="none"/>
              </w:rPr>
              <w:t>本项目采购标的对应的中小企业划分标准所属行业：其他未列明行业</w:t>
            </w:r>
            <w:r>
              <w:rPr>
                <w:rFonts w:hint="eastAsia" w:ascii="宋体" w:hAnsi="宋体" w:cs="宋体"/>
                <w:b/>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626" w:type="dxa"/>
            <w:vMerge w:val="continue"/>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p>
        </w:tc>
        <w:tc>
          <w:tcPr>
            <w:tcW w:w="1743" w:type="dxa"/>
            <w:vMerge w:val="continue"/>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p>
        </w:tc>
        <w:tc>
          <w:tcPr>
            <w:tcW w:w="7656" w:type="dxa"/>
            <w:shd w:val="clear" w:color="auto" w:fill="FFFFFF"/>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本项目为</w:t>
            </w:r>
            <w:r>
              <w:rPr>
                <w:rFonts w:hint="eastAsia" w:ascii="宋体" w:hAnsi="宋体" w:eastAsia="宋体" w:cs="宋体"/>
                <w:b/>
                <w:kern w:val="0"/>
                <w:sz w:val="21"/>
                <w:szCs w:val="21"/>
                <w:highlight w:val="none"/>
                <w:lang w:val="en-US" w:eastAsia="zh-CN"/>
              </w:rPr>
              <w:t>服务类</w:t>
            </w:r>
            <w:r>
              <w:rPr>
                <w:rFonts w:hint="eastAsia" w:ascii="宋体" w:hAnsi="宋体" w:eastAsia="宋体" w:cs="宋体"/>
                <w:b/>
                <w:kern w:val="0"/>
                <w:sz w:val="21"/>
                <w:szCs w:val="21"/>
                <w:highlight w:val="none"/>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626" w:type="dxa"/>
            <w:vMerge w:val="continue"/>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p>
        </w:tc>
        <w:tc>
          <w:tcPr>
            <w:tcW w:w="1743" w:type="dxa"/>
            <w:vMerge w:val="continue"/>
            <w:shd w:val="clear" w:color="auto" w:fill="E0E0E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highlight w:val="none"/>
              </w:rPr>
            </w:pPr>
          </w:p>
        </w:tc>
        <w:tc>
          <w:tcPr>
            <w:tcW w:w="7656" w:type="dxa"/>
            <w:shd w:val="clear" w:color="auto" w:fill="FFFFFF"/>
            <w:vAlign w:val="center"/>
          </w:tcPr>
          <w:p>
            <w:pPr>
              <w:keepNext w:val="0"/>
              <w:keepLines w:val="0"/>
              <w:pageBreakBefore w:val="0"/>
              <w:kinsoku/>
              <w:wordWrap/>
              <w:overflowPunct/>
              <w:topLinePunct w:val="0"/>
              <w:bidi w:val="0"/>
              <w:spacing w:line="360" w:lineRule="auto"/>
              <w:jc w:val="left"/>
              <w:rPr>
                <w:rFonts w:hint="eastAsia" w:ascii="宋体" w:hAnsi="宋体" w:eastAsia="宋体" w:cs="宋体"/>
                <w:b/>
                <w:kern w:val="0"/>
                <w:sz w:val="21"/>
                <w:szCs w:val="21"/>
              </w:rPr>
            </w:pPr>
            <w:r>
              <w:rPr>
                <w:rFonts w:hint="eastAsia" w:ascii="宋体" w:hAnsi="宋体" w:cs="宋体"/>
                <w:b/>
                <w:kern w:val="0"/>
                <w:sz w:val="21"/>
                <w:szCs w:val="21"/>
                <w:lang w:val="en-US" w:eastAsia="zh-CN"/>
              </w:rPr>
              <w:t>一、</w:t>
            </w:r>
            <w:r>
              <w:rPr>
                <w:rFonts w:hint="eastAsia" w:ascii="宋体" w:hAnsi="宋体" w:eastAsia="宋体" w:cs="宋体"/>
                <w:b/>
                <w:kern w:val="0"/>
                <w:sz w:val="21"/>
                <w:szCs w:val="21"/>
              </w:rPr>
              <w:t>根据《政府采购促进中小企业发展管理办法》（财库[2020]46号）规定：</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符合中小企业划分标准的个体工商户，在政府采购活动中视同中小企业。</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2、在政府采购活动中，供应商提供的货物、工程或者服务符合下列情形的，享受本办法规定的中小企业扶持政策：</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（1）在货物采购项目中，货物由中小企业制造，即货物由中小企业生产且使用该中小企业商号或者注册商标；</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（2）在工程采购项目中，工程由中小企业承建，即工程施工单位为中小企业； </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（3）在服务采购项目中，服务由中小企业承接，即提供服务的人员为中小企业依照《中华人民共和国劳动合同法》订立劳动合同的从业人员。 </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在货物采购项目中，供应商提供的货物既有中小企业制造货物，也有大型企业制造货物的，不享受本办法规定的中小企业扶持政策。</w:t>
            </w:r>
          </w:p>
          <w:p>
            <w:pPr>
              <w:keepNext w:val="0"/>
              <w:keepLines w:val="0"/>
              <w:pageBreakBefore w:val="0"/>
              <w:kinsoku/>
              <w:wordWrap/>
              <w:overflowPunct/>
              <w:topLinePunct w:val="0"/>
              <w:bidi w:val="0"/>
              <w:spacing w:line="360" w:lineRule="auto"/>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3、在政府采购活动中，监狱企业、残疾人福利性单位视同小型、微型企业，享受本办法规定的中小企业扶持政策；监狱企业、残疾人福利性单位属于小型、微型企业的，不重复享受政策。</w:t>
            </w:r>
          </w:p>
          <w:p>
            <w:pPr>
              <w:keepNext w:val="0"/>
              <w:keepLines w:val="0"/>
              <w:pageBreakBefore w:val="0"/>
              <w:kinsoku/>
              <w:wordWrap/>
              <w:overflowPunct/>
              <w:topLinePunct w:val="0"/>
              <w:bidi w:val="0"/>
              <w:spacing w:line="360" w:lineRule="auto"/>
              <w:jc w:val="left"/>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二、</w:t>
            </w:r>
            <w:r>
              <w:rPr>
                <w:rFonts w:hint="eastAsia" w:ascii="宋体" w:hAnsi="宋体" w:eastAsia="宋体" w:cs="宋体"/>
                <w:b/>
                <w:kern w:val="0"/>
                <w:sz w:val="21"/>
                <w:szCs w:val="21"/>
                <w:highlight w:val="none"/>
              </w:rPr>
              <w:t>本项目中小企业扶持政策：</w:t>
            </w:r>
          </w:p>
          <w:p>
            <w:pPr>
              <w:spacing w:line="300" w:lineRule="auto"/>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评审中价格扣除政策】根据《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对符合规定的小微企业报价按优惠幅度</w:t>
            </w:r>
            <w:r>
              <w:rPr>
                <w:rFonts w:hint="eastAsia" w:ascii="宋体" w:hAnsi="宋体" w:eastAsia="宋体" w:cs="宋体"/>
                <w:b/>
                <w:bCs/>
                <w:color w:val="auto"/>
                <w:highlight w:val="none"/>
                <w:u w:val="none"/>
                <w:lang w:val="en-US" w:eastAsia="zh-CN"/>
              </w:rPr>
              <w:t>10</w:t>
            </w:r>
            <w:r>
              <w:rPr>
                <w:rFonts w:hint="eastAsia" w:ascii="宋体" w:hAnsi="宋体" w:eastAsia="宋体" w:cs="宋体"/>
                <w:b/>
                <w:bCs/>
                <w:color w:val="auto"/>
                <w:highlight w:val="none"/>
              </w:rPr>
              <w:t>%给予扣除，用扣除后的价格参加评审；</w:t>
            </w:r>
            <w:r>
              <w:rPr>
                <w:rFonts w:hint="eastAsia" w:ascii="宋体" w:hAnsi="宋体" w:eastAsia="宋体" w:cs="宋体"/>
                <w:b/>
                <w:bCs/>
                <w:highlight w:val="none"/>
              </w:rPr>
              <w:t>对于联合体协议约定小微企业的合同份额占到合同总金额30%以上的，对联合体或者大中型企业的报价原则上按最高优惠幅度</w:t>
            </w:r>
            <w:r>
              <w:rPr>
                <w:rFonts w:hint="eastAsia" w:ascii="宋体" w:hAnsi="宋体" w:eastAsia="宋体" w:cs="宋体"/>
                <w:b/>
                <w:bCs/>
                <w:highlight w:val="none"/>
                <w:lang w:val="en-US" w:eastAsia="zh-CN"/>
              </w:rPr>
              <w:t>4</w:t>
            </w:r>
            <w:r>
              <w:rPr>
                <w:rFonts w:hint="eastAsia" w:ascii="宋体" w:hAnsi="宋体" w:eastAsia="宋体" w:cs="宋体"/>
                <w:b/>
                <w:bCs/>
                <w:highlight w:val="none"/>
              </w:rPr>
              <w:t>%给予扣除，用扣除后的价格参加评审</w:t>
            </w:r>
            <w:r>
              <w:rPr>
                <w:rFonts w:hint="eastAsia" w:ascii="宋体" w:hAnsi="宋体" w:eastAsia="宋体" w:cs="宋体"/>
                <w:b/>
                <w:bCs/>
                <w:highlight w:val="none"/>
                <w:lang w:eastAsia="zh-CN"/>
              </w:rPr>
              <w:t>：</w:t>
            </w:r>
          </w:p>
          <w:p>
            <w:pPr>
              <w:spacing w:line="30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（1）小微企业须提供《中小企业声明函》，附在</w:t>
            </w:r>
            <w:r>
              <w:rPr>
                <w:rFonts w:hint="eastAsia" w:ascii="宋体" w:hAnsi="宋体" w:eastAsia="宋体" w:cs="宋体"/>
                <w:b/>
                <w:bCs/>
                <w:color w:val="auto"/>
                <w:highlight w:val="none"/>
                <w:lang w:eastAsia="zh-CN"/>
              </w:rPr>
              <w:t>资格证明</w:t>
            </w:r>
            <w:r>
              <w:rPr>
                <w:rFonts w:hint="eastAsia" w:ascii="宋体" w:hAnsi="宋体" w:eastAsia="宋体" w:cs="宋体"/>
                <w:b/>
                <w:bCs/>
                <w:color w:val="auto"/>
                <w:highlight w:val="none"/>
              </w:rPr>
              <w:t>文件内，否则不享受评审中价格扣除政策；</w:t>
            </w:r>
          </w:p>
          <w:p>
            <w:pPr>
              <w:spacing w:line="30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（2）监狱企业须提供由省级以上监狱管理局、戒毒管理局（含新疆生产建设兵团）出具的属于监狱企业的证明文件，附在</w:t>
            </w:r>
            <w:r>
              <w:rPr>
                <w:rFonts w:hint="eastAsia" w:ascii="宋体" w:hAnsi="宋体" w:eastAsia="宋体" w:cs="宋体"/>
                <w:b/>
                <w:bCs/>
                <w:color w:val="auto"/>
                <w:highlight w:val="none"/>
                <w:lang w:eastAsia="zh-CN"/>
              </w:rPr>
              <w:t>资格证明</w:t>
            </w:r>
            <w:r>
              <w:rPr>
                <w:rFonts w:hint="eastAsia" w:ascii="宋体" w:hAnsi="宋体" w:eastAsia="宋体" w:cs="宋体"/>
                <w:b/>
                <w:bCs/>
                <w:color w:val="auto"/>
                <w:highlight w:val="none"/>
              </w:rPr>
              <w:t>文件内，否则不享受评审中价格扣除政策；</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（3）残疾人福利性单位须提供《残疾人福利性单位声明函》，附在</w:t>
            </w:r>
            <w:r>
              <w:rPr>
                <w:rFonts w:hint="eastAsia" w:ascii="宋体" w:hAnsi="宋体" w:eastAsia="宋体" w:cs="宋体"/>
                <w:b/>
                <w:bCs/>
                <w:color w:val="auto"/>
                <w:highlight w:val="none"/>
                <w:lang w:eastAsia="zh-CN"/>
              </w:rPr>
              <w:t>资格证明</w:t>
            </w:r>
            <w:r>
              <w:rPr>
                <w:rFonts w:hint="eastAsia" w:ascii="宋体" w:hAnsi="宋体" w:eastAsia="宋体" w:cs="宋体"/>
                <w:b/>
                <w:bCs/>
                <w:color w:val="auto"/>
                <w:highlight w:val="none"/>
              </w:rPr>
              <w:t>文件内，否则不享受评审中价格扣除政策。</w:t>
            </w:r>
          </w:p>
          <w:p>
            <w:pPr>
              <w:spacing w:line="300" w:lineRule="auto"/>
              <w:jc w:val="left"/>
              <w:rPr>
                <w:rFonts w:hint="eastAsia" w:ascii="宋体" w:hAnsi="宋体" w:eastAsia="宋体" w:cs="宋体"/>
                <w:b/>
                <w:kern w:val="0"/>
                <w:sz w:val="21"/>
                <w:szCs w:val="21"/>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lang w:eastAsia="zh-CN"/>
              </w:rPr>
              <w:t>）</w:t>
            </w:r>
            <w:r>
              <w:rPr>
                <w:rFonts w:hint="eastAsia" w:ascii="宋体" w:hAnsi="宋体" w:eastAsia="宋体" w:cs="宋体"/>
                <w:b/>
                <w:bCs/>
              </w:rPr>
              <w:t>大中型企业和其他自然人、法人或者其他组织与小型、微型企业组成联合体共同参加非专门面向中小企业的政府采购活动。联合协议中约定，小型、微型企业的协议合同金额占到联合体协议合同总金额30%以上的，</w:t>
            </w:r>
            <w:r>
              <w:rPr>
                <w:rFonts w:hint="eastAsia" w:ascii="宋体" w:hAnsi="宋体" w:eastAsia="宋体" w:cs="宋体"/>
                <w:b/>
                <w:bCs/>
                <w:highlight w:val="none"/>
              </w:rPr>
              <w:t>可给予联合体</w:t>
            </w:r>
            <w:r>
              <w:rPr>
                <w:rFonts w:hint="eastAsia" w:ascii="宋体" w:hAnsi="宋体" w:eastAsia="宋体" w:cs="宋体"/>
                <w:b/>
                <w:bCs/>
                <w:highlight w:val="none"/>
                <w:lang w:val="en-US" w:eastAsia="zh-CN"/>
              </w:rPr>
              <w:t>4</w:t>
            </w:r>
            <w:r>
              <w:rPr>
                <w:rFonts w:hint="eastAsia" w:ascii="宋体" w:hAnsi="宋体" w:eastAsia="宋体" w:cs="宋体"/>
                <w:b/>
                <w:bCs/>
                <w:highlight w:val="none"/>
              </w:rPr>
              <w:t>%的价格</w:t>
            </w:r>
            <w:r>
              <w:rPr>
                <w:rFonts w:hint="eastAsia" w:ascii="宋体" w:hAnsi="宋体" w:eastAsia="宋体" w:cs="宋体"/>
                <w:b/>
                <w:bCs/>
              </w:rPr>
              <w:t>扣除，扣除后的价格作为最终投标报价（此最终投标报价仅作为价格分计算）。联合体各方均为小型、微型企业的，联合体视同为小型、微型企业。组成联合体的大中型企业和其他自然人、法人或者其他组织，与小型、微型企业之间不得存在投资关系。</w:t>
            </w:r>
          </w:p>
        </w:tc>
      </w:tr>
    </w:tbl>
    <w:p>
      <w:pPr>
        <w:pStyle w:val="78"/>
        <w:keepNext w:val="0"/>
        <w:keepLines w:val="0"/>
        <w:pageBreakBefore w:val="0"/>
        <w:kinsoku/>
        <w:wordWrap/>
        <w:overflowPunct/>
        <w:topLinePunct w:val="0"/>
        <w:bidi w:val="0"/>
        <w:spacing w:line="360" w:lineRule="auto"/>
        <w:ind w:left="0" w:leftChars="0" w:firstLine="0" w:firstLineChars="0"/>
        <w:rPr>
          <w:rFonts w:hint="eastAsia" w:ascii="宋体" w:hAnsi="宋体" w:eastAsia="宋体" w:cs="宋体"/>
          <w:sz w:val="21"/>
          <w:szCs w:val="21"/>
        </w:rPr>
      </w:pP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r>
        <w:rPr>
          <w:rFonts w:hint="eastAsia" w:ascii="宋体" w:hAnsi="宋体" w:eastAsia="宋体" w:cs="宋体"/>
          <w:b/>
          <w:sz w:val="21"/>
          <w:szCs w:val="21"/>
        </w:rPr>
        <w:br w:type="page"/>
      </w:r>
      <w:bookmarkStart w:id="8" w:name="_Toc20057"/>
      <w:r>
        <w:rPr>
          <w:rFonts w:hint="eastAsia" w:ascii="宋体" w:hAnsi="宋体" w:eastAsia="宋体" w:cs="宋体"/>
          <w:b/>
          <w:sz w:val="21"/>
          <w:szCs w:val="21"/>
        </w:rPr>
        <w:t>一、总  则</w:t>
      </w:r>
      <w:bookmarkEnd w:id="8"/>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9" w:name="_Toc1026"/>
      <w:r>
        <w:rPr>
          <w:rFonts w:hint="eastAsia" w:ascii="宋体" w:hAnsi="宋体" w:eastAsia="宋体" w:cs="宋体"/>
          <w:b/>
          <w:sz w:val="21"/>
          <w:szCs w:val="21"/>
        </w:rPr>
        <w:t>（一）适用范围</w:t>
      </w:r>
      <w:bookmarkEnd w:id="9"/>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本招标文件适用于本次项目的评标、定标、验收、合同履约、付款等（法律、法规另有规定的，从其规定）。</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10" w:name="_Toc13384"/>
      <w:r>
        <w:rPr>
          <w:rFonts w:hint="eastAsia" w:ascii="宋体" w:hAnsi="宋体" w:eastAsia="宋体" w:cs="宋体"/>
          <w:b/>
          <w:sz w:val="21"/>
          <w:szCs w:val="21"/>
        </w:rPr>
        <w:t>（二）定义</w:t>
      </w:r>
      <w:bookmarkEnd w:id="10"/>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1、“采购人”系指组织本次采购的单位：舟山市公安局交通警察支队</w:t>
      </w:r>
      <w:r>
        <w:rPr>
          <w:rFonts w:hint="eastAsia" w:ascii="宋体" w:hAnsi="宋体" w:eastAsia="宋体" w:cs="宋体"/>
          <w:sz w:val="21"/>
          <w:szCs w:val="21"/>
          <w:lang w:eastAsia="zh-CN"/>
        </w:rPr>
        <w:t>。</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2、“采购代理机构”系指中金招标有限责任公司。</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3、“投标人”系指向采购代理机构提交投标文件的供应商。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4、“中标人”系指经评审小组评定，且审查通过，并经公示无异议的合格投标人。</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5、“投标人代表”系指全权代表投标人参加本次投标活动并签署投标文件的人，如果投标人代表不是投标人的法定代表人，须提供《法定代表人授权函》。</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6、“产品”系指供方按招标文件规定，须向采购人提供的一切产品、保险、税金、备品备件、工具、手册及其它有关技术资料和材料。</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7、“服务”系指招标文件规定投标人须承担的安装、调试、技术协助、校准、培训、数据服务以及其他类似的义务。</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8、“项目”系指投标人按招标文件规定向采购人提供的产品和服务。</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9、“书面形式”包括信函、传真、快递、电报等。</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11" w:name="_Toc8227"/>
      <w:r>
        <w:rPr>
          <w:rFonts w:hint="eastAsia" w:ascii="宋体" w:hAnsi="宋体" w:eastAsia="宋体" w:cs="宋体"/>
          <w:b/>
          <w:sz w:val="21"/>
          <w:szCs w:val="21"/>
        </w:rPr>
        <w:t>（三）采购方式</w:t>
      </w:r>
      <w:bookmarkEnd w:id="11"/>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本次采用公开招标方式进行。</w:t>
      </w:r>
    </w:p>
    <w:p>
      <w:pPr>
        <w:pStyle w:val="11"/>
        <w:keepNext w:val="0"/>
        <w:keepLines w:val="0"/>
        <w:pageBreakBefore w:val="0"/>
        <w:kinsoku/>
        <w:wordWrap/>
        <w:overflowPunct/>
        <w:topLinePunct w:val="0"/>
        <w:bidi w:val="0"/>
        <w:snapToGrid w:val="0"/>
        <w:spacing w:line="360" w:lineRule="auto"/>
        <w:ind w:firstLine="422" w:firstLineChars="200"/>
        <w:outlineLvl w:val="9"/>
        <w:rPr>
          <w:rFonts w:hint="default" w:ascii="宋体" w:hAnsi="宋体" w:eastAsia="宋体" w:cs="宋体"/>
          <w:b/>
          <w:sz w:val="21"/>
          <w:szCs w:val="21"/>
          <w:lang w:val="en-US" w:eastAsia="zh-CN"/>
        </w:rPr>
      </w:pPr>
      <w:bookmarkStart w:id="12" w:name="_Toc21821"/>
      <w:r>
        <w:rPr>
          <w:rFonts w:hint="eastAsia" w:ascii="宋体" w:hAnsi="宋体" w:eastAsia="宋体" w:cs="宋体"/>
          <w:b/>
          <w:sz w:val="21"/>
          <w:szCs w:val="21"/>
        </w:rPr>
        <w:t>（四）</w:t>
      </w:r>
      <w:bookmarkEnd w:id="12"/>
      <w:r>
        <w:rPr>
          <w:rFonts w:hint="eastAsia" w:ascii="宋体" w:hAnsi="宋体" w:eastAsia="宋体" w:cs="宋体"/>
          <w:b/>
          <w:sz w:val="21"/>
          <w:szCs w:val="21"/>
        </w:rPr>
        <w:t>预算金额</w:t>
      </w:r>
      <w:r>
        <w:rPr>
          <w:rFonts w:hint="eastAsia" w:hAnsi="宋体" w:eastAsia="宋体" w:cs="宋体"/>
          <w:b/>
          <w:sz w:val="21"/>
          <w:szCs w:val="21"/>
          <w:lang w:val="en-US" w:eastAsia="zh-CN"/>
        </w:rPr>
        <w:t>及最高限价</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本项目预算金额为</w:t>
      </w:r>
      <w:r>
        <w:rPr>
          <w:rFonts w:hint="eastAsia" w:ascii="宋体" w:hAnsi="宋体" w:cs="宋体"/>
          <w:bCs/>
          <w:sz w:val="21"/>
          <w:szCs w:val="21"/>
          <w:lang w:val="en-US" w:eastAsia="zh-CN"/>
        </w:rPr>
        <w:t>257.7</w:t>
      </w:r>
      <w:r>
        <w:rPr>
          <w:rFonts w:hint="eastAsia" w:ascii="宋体" w:hAnsi="宋体" w:eastAsia="宋体" w:cs="宋体"/>
          <w:bCs/>
          <w:sz w:val="21"/>
          <w:szCs w:val="21"/>
        </w:rPr>
        <w:t>万元，</w:t>
      </w:r>
      <w:r>
        <w:rPr>
          <w:rFonts w:hint="eastAsia" w:ascii="宋体" w:hAnsi="宋体" w:cs="宋体"/>
          <w:bCs/>
          <w:sz w:val="21"/>
          <w:szCs w:val="21"/>
          <w:lang w:val="en-US" w:eastAsia="zh-CN"/>
        </w:rPr>
        <w:t>其中</w:t>
      </w:r>
      <w:r>
        <w:rPr>
          <w:rFonts w:hint="eastAsia" w:ascii="宋体" w:hAnsi="宋体" w:eastAsia="宋体" w:cs="宋体"/>
          <w:bCs/>
          <w:sz w:val="21"/>
          <w:szCs w:val="21"/>
        </w:rPr>
        <w:t>红绿灯维修保养部分最高限价：1</w:t>
      </w:r>
      <w:r>
        <w:rPr>
          <w:rFonts w:hint="eastAsia" w:ascii="宋体" w:hAnsi="宋体" w:cs="宋体"/>
          <w:bCs/>
          <w:sz w:val="21"/>
          <w:szCs w:val="21"/>
          <w:lang w:val="en-US" w:eastAsia="zh-CN"/>
        </w:rPr>
        <w:t>57.7</w:t>
      </w:r>
      <w:r>
        <w:rPr>
          <w:rFonts w:hint="eastAsia" w:ascii="宋体" w:hAnsi="宋体" w:eastAsia="宋体" w:cs="宋体"/>
          <w:bCs/>
          <w:sz w:val="21"/>
          <w:szCs w:val="21"/>
        </w:rPr>
        <w:t>万元</w:t>
      </w:r>
      <w:r>
        <w:rPr>
          <w:rFonts w:hint="eastAsia" w:ascii="宋体" w:hAnsi="宋体" w:cs="宋体"/>
          <w:bCs/>
          <w:sz w:val="21"/>
          <w:szCs w:val="21"/>
          <w:lang w:eastAsia="zh-CN"/>
        </w:rPr>
        <w:t>；信号灯、标志、标线配套设施按需维保建设</w:t>
      </w:r>
      <w:r>
        <w:rPr>
          <w:rFonts w:hint="eastAsia" w:ascii="宋体" w:hAnsi="宋体" w:eastAsia="宋体" w:cs="宋体"/>
          <w:bCs/>
          <w:sz w:val="21"/>
          <w:szCs w:val="21"/>
        </w:rPr>
        <w:t>部分单价最高限价详见红绿灯改造服务内容（表3）</w:t>
      </w:r>
      <w:r>
        <w:rPr>
          <w:rFonts w:hint="eastAsia" w:ascii="宋体" w:hAnsi="宋体" w:cs="宋体"/>
          <w:bCs/>
          <w:sz w:val="21"/>
          <w:szCs w:val="21"/>
          <w:lang w:eastAsia="zh-CN"/>
        </w:rPr>
        <w:t>，</w:t>
      </w:r>
      <w:r>
        <w:rPr>
          <w:rFonts w:hint="eastAsia" w:ascii="宋体" w:hAnsi="宋体" w:eastAsia="宋体" w:cs="宋体"/>
          <w:bCs/>
          <w:sz w:val="21"/>
          <w:szCs w:val="21"/>
        </w:rPr>
        <w:t>超过作投标无效处理。</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13" w:name="_Toc16346"/>
      <w:r>
        <w:rPr>
          <w:rFonts w:hint="eastAsia" w:ascii="宋体" w:hAnsi="宋体" w:eastAsia="宋体" w:cs="宋体"/>
          <w:b/>
          <w:sz w:val="21"/>
          <w:szCs w:val="21"/>
        </w:rPr>
        <w:t>（五）联合体投标</w:t>
      </w:r>
      <w:bookmarkEnd w:id="13"/>
    </w:p>
    <w:p>
      <w:pPr>
        <w:snapToGrid w:val="0"/>
        <w:spacing w:line="360" w:lineRule="auto"/>
        <w:ind w:firstLine="420" w:firstLineChars="200"/>
        <w:rPr>
          <w:rFonts w:hint="eastAsia" w:ascii="宋体" w:hAnsi="宋体" w:cs="宋体"/>
          <w:bCs/>
          <w:szCs w:val="21"/>
          <w:lang w:val="en-US" w:eastAsia="zh-CN"/>
        </w:rPr>
      </w:pPr>
      <w:bookmarkStart w:id="14" w:name="_Toc18033"/>
      <w:r>
        <w:rPr>
          <w:rFonts w:hint="eastAsia" w:ascii="宋体" w:hAnsi="宋体" w:cs="宋体"/>
          <w:bCs/>
          <w:szCs w:val="21"/>
        </w:rPr>
        <w:t>本项目接受联合体投标，但组成联合体的供应商最多两个。</w:t>
      </w:r>
      <w:r>
        <w:rPr>
          <w:rFonts w:hint="eastAsia" w:ascii="宋体" w:hAnsi="宋体" w:cs="宋体"/>
          <w:bCs/>
          <w:szCs w:val="21"/>
          <w:lang w:val="en-US" w:eastAsia="zh-CN"/>
        </w:rPr>
        <w:t>要求以联合体形式参加，提供联合协议和中小企业声明函，联合协议中中小企业合同金额达到40%，其中小微企业合同金额应当达到70%；如果供应商本身提供所有标的均由中小企业制造、承建或承接，并相应达到了前述比例要求，视同符合了资格条件，无需再与其他中小企业组成联合体参加政府采购活动，无需提供联合体协议。</w:t>
      </w:r>
    </w:p>
    <w:p>
      <w:pPr>
        <w:snapToGrid w:val="0"/>
        <w:spacing w:line="360" w:lineRule="auto"/>
        <w:ind w:firstLine="420" w:firstLineChars="200"/>
        <w:rPr>
          <w:rFonts w:ascii="宋体" w:hAnsi="宋体" w:cs="宋体"/>
          <w:bCs/>
          <w:szCs w:val="21"/>
        </w:rPr>
      </w:pPr>
      <w:r>
        <w:rPr>
          <w:rFonts w:hint="eastAsia" w:ascii="宋体" w:hAnsi="宋体" w:cs="宋体"/>
          <w:bCs/>
          <w:szCs w:val="21"/>
        </w:rPr>
        <w:t>本项目以联合体形式参加政府采购活动，联合体各方均为中小企业的，联合体视同中小企业；其中，联合体各方均为小微企业的，联合体视同小微企业；需提供《中小企业声明函》。参加联合体的供应商应当在投标文件中提交《联合体协议书》，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（六）转包与分包</w:t>
      </w:r>
      <w:bookmarkEnd w:id="14"/>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1、本项目不允许转包。</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2、本项目不允许分包。</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15" w:name="_Toc29395"/>
      <w:r>
        <w:rPr>
          <w:rFonts w:hint="eastAsia" w:ascii="宋体" w:hAnsi="宋体" w:eastAsia="宋体" w:cs="宋体"/>
          <w:b/>
          <w:sz w:val="21"/>
          <w:szCs w:val="21"/>
        </w:rPr>
        <w:t>（七）投标费用</w:t>
      </w:r>
      <w:bookmarkEnd w:id="15"/>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不论投标结果如何，投标人均应自行承担所有与投标有关的全部费用。</w:t>
      </w:r>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kern w:val="0"/>
          <w:sz w:val="21"/>
          <w:szCs w:val="21"/>
        </w:rPr>
      </w:pPr>
      <w:bookmarkStart w:id="16" w:name="_Toc13036"/>
      <w:r>
        <w:rPr>
          <w:rFonts w:hint="eastAsia" w:ascii="宋体" w:hAnsi="宋体" w:eastAsia="宋体" w:cs="宋体"/>
          <w:b/>
          <w:kern w:val="0"/>
          <w:sz w:val="21"/>
          <w:szCs w:val="21"/>
        </w:rPr>
        <w:t>（八）答疑与澄清</w:t>
      </w:r>
      <w:bookmarkEnd w:id="16"/>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投标人如认为招标文件表述不清晰、存在歧视性、排他性或者其他违法内容的，应当于202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年</w:t>
      </w:r>
      <w:r>
        <w:rPr>
          <w:rFonts w:hint="eastAsia" w:hAnsi="宋体" w:eastAsia="宋体" w:cs="宋体"/>
          <w:kern w:val="0"/>
          <w:sz w:val="21"/>
          <w:szCs w:val="21"/>
          <w:lang w:val="en-US" w:eastAsia="zh-CN"/>
        </w:rPr>
        <w:t>11</w:t>
      </w:r>
      <w:r>
        <w:rPr>
          <w:rFonts w:hint="eastAsia" w:ascii="宋体" w:hAnsi="宋体" w:eastAsia="宋体" w:cs="宋体"/>
          <w:kern w:val="0"/>
          <w:sz w:val="21"/>
          <w:szCs w:val="21"/>
        </w:rPr>
        <w:t>月</w:t>
      </w:r>
      <w:r>
        <w:rPr>
          <w:rFonts w:hint="eastAsia" w:hAnsi="宋体" w:eastAsia="宋体" w:cs="宋体"/>
          <w:kern w:val="0"/>
          <w:sz w:val="21"/>
          <w:szCs w:val="21"/>
          <w:lang w:val="en-US" w:eastAsia="zh-CN"/>
        </w:rPr>
        <w:t>25</w:t>
      </w:r>
      <w:r>
        <w:rPr>
          <w:rFonts w:hint="eastAsia" w:ascii="宋体" w:hAnsi="宋体" w:eastAsia="宋体" w:cs="宋体"/>
          <w:kern w:val="0"/>
          <w:sz w:val="21"/>
          <w:szCs w:val="21"/>
        </w:rPr>
        <w:t>日</w:t>
      </w:r>
      <w:r>
        <w:rPr>
          <w:rFonts w:hint="eastAsia" w:ascii="宋体" w:hAnsi="宋体" w:eastAsia="宋体" w:cs="宋体"/>
          <w:kern w:val="0"/>
          <w:sz w:val="21"/>
          <w:szCs w:val="21"/>
          <w:lang w:val="en-US" w:eastAsia="zh-CN"/>
        </w:rPr>
        <w:t>17</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00</w:t>
      </w:r>
      <w:r>
        <w:rPr>
          <w:rFonts w:hint="eastAsia" w:ascii="宋体" w:hAnsi="宋体" w:eastAsia="宋体" w:cs="宋体"/>
          <w:kern w:val="0"/>
          <w:sz w:val="21"/>
          <w:szCs w:val="21"/>
        </w:rPr>
        <w:t>前，以书面形式要求采购人作出书面解释、澄清或者向采购人提出一次性书面质疑；采购人将组织答疑；答疑内容是招标文件的</w:t>
      </w:r>
      <w:r>
        <w:rPr>
          <w:rFonts w:hint="eastAsia" w:ascii="宋体" w:hAnsi="宋体" w:eastAsia="宋体" w:cs="宋体"/>
          <w:kern w:val="0"/>
          <w:sz w:val="21"/>
          <w:szCs w:val="21"/>
          <w:lang w:eastAsia="zh-CN"/>
        </w:rPr>
        <w:t>组成部分</w:t>
      </w:r>
      <w:r>
        <w:rPr>
          <w:rFonts w:hint="eastAsia" w:ascii="宋体" w:hAnsi="宋体" w:eastAsia="宋体" w:cs="宋体"/>
          <w:kern w:val="0"/>
          <w:sz w:val="21"/>
          <w:szCs w:val="21"/>
        </w:rPr>
        <w:t>，并将以书面形式送达所有已依法获取采购文件的投标人。</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1、根据《中华人民共和国政府采购法实施条例》第五十三条：政府采购法第五十二条规定的供应商应知其权益受到损害之日，是指：</w:t>
      </w:r>
    </w:p>
    <w:p>
      <w:pPr>
        <w:pStyle w:val="11"/>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①对可以质疑的采购文件提出质疑的，为收到采购文件之日或者采购文件公告期限届满之日；以联合体形式参加政府采购活动的，其投诉应当由组成联合体的所有供应商共同提出；</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②对采购过程提出质疑的，为各采购程序环节结束之日；</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③对中标或者成交结果提出质疑的，为中标或者成交结果公告期限届满之日。</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2、质疑书应包括下列主要内容：</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①质疑人的名称、地址、邮政编码、联系人、联系电话，以及被质疑人名称及联系方式；</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②被质疑采购项目名称、编号及采购内容；</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③具体的质疑事项及事实依据；</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④认为自己合法权益受到损害或可能受到损害的相关证据材料；</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⑤提出质疑的日期。</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4、质疑供应商对采购人、采购代理机构的答复不满意或者采购人、采购代理机构未在规定的时间内作出答复的，可以在答复期满后15个工作日内向同级政府采购监督管理部门投诉。</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kern w:val="0"/>
          <w:sz w:val="21"/>
          <w:szCs w:val="21"/>
        </w:rPr>
      </w:pPr>
      <w:r>
        <w:rPr>
          <w:rFonts w:hint="eastAsia" w:ascii="宋体"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17" w:name="_Toc20948"/>
      <w:r>
        <w:rPr>
          <w:rFonts w:hint="eastAsia" w:ascii="宋体" w:hAnsi="宋体" w:eastAsia="宋体" w:cs="宋体"/>
          <w:b/>
          <w:sz w:val="21"/>
          <w:szCs w:val="21"/>
        </w:rPr>
        <w:t>（九）信用记录：</w:t>
      </w:r>
      <w:bookmarkEnd w:id="17"/>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1、信用信息查询的截止时点：投标截止时间前查询；</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2、查询渠道：</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信用中国（www.creditchina.gov.cn）；</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中国政府采购网（www.ccgp.gov.cn）；</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3、信用信息查询记录和证据留存具体方式：采购代理机构经办人和监督人员将查询网页打印、签字与其他采购文件一并保存；</w:t>
      </w:r>
    </w:p>
    <w:p>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4、信用信息的使用规则：投标人存在不良信用记录的，其投标将被作为无效投标被拒绝</w:t>
      </w:r>
      <w:r>
        <w:rPr>
          <w:rFonts w:hint="eastAsia" w:ascii="宋体" w:hAnsi="宋体" w:cs="宋体"/>
          <w:sz w:val="21"/>
          <w:szCs w:val="21"/>
          <w:lang w:eastAsia="zh-CN"/>
        </w:rPr>
        <w:t>，</w:t>
      </w:r>
      <w:r>
        <w:rPr>
          <w:rFonts w:hint="eastAsia" w:ascii="宋体" w:hAnsi="宋体" w:cs="宋体"/>
          <w:szCs w:val="21"/>
        </w:rPr>
        <w:t>联合体成员存在不良信用信息记录的，视同联合体存在不良信用记录。</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不良信用记录指：被列入失信被执行人、重大税收违法失信主体、政府采购严重违法失信行为记录名单。</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sz w:val="21"/>
          <w:szCs w:val="21"/>
        </w:rPr>
      </w:pPr>
      <w:bookmarkStart w:id="18" w:name="_Toc2740"/>
      <w:r>
        <w:rPr>
          <w:rFonts w:hint="eastAsia" w:ascii="宋体" w:hAnsi="宋体" w:eastAsia="宋体" w:cs="宋体"/>
          <w:b/>
          <w:bCs/>
          <w:sz w:val="21"/>
          <w:szCs w:val="21"/>
        </w:rPr>
        <w:t>（十）信贷政策</w:t>
      </w:r>
      <w:bookmarkEnd w:id="18"/>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5"/>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4058"/>
        <w:gridCol w:w="2267"/>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64" w:type="dxa"/>
            <w:gridSpan w:val="4"/>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银行名称</w:t>
            </w:r>
          </w:p>
        </w:tc>
        <w:tc>
          <w:tcPr>
            <w:tcW w:w="4058"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各银行介绍的产品特点</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中国工商银行股份有限公司舟山分行</w:t>
            </w:r>
          </w:p>
        </w:tc>
        <w:tc>
          <w:tcPr>
            <w:tcW w:w="4058" w:type="dxa"/>
            <w:vAlign w:val="center"/>
          </w:tcPr>
          <w:p>
            <w:pPr>
              <w:keepNext w:val="0"/>
              <w:keepLines w:val="0"/>
              <w:pageBreakBefore w:val="0"/>
              <w:numPr>
                <w:ilvl w:val="0"/>
                <w:numId w:val="3"/>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融资额度高，融资金额最高可至订单金额70%，线上申请，随借随还。2.融资利率低，最低可至当期LPR利率。</w:t>
            </w:r>
          </w:p>
          <w:p>
            <w:pPr>
              <w:keepNext w:val="0"/>
              <w:keepLines w:val="0"/>
              <w:pageBreakBefore w:val="0"/>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3.担保方式灵活，以政府采购合同进行融资，无需另外抵押。</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柳超颖</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中国建设银行股份有限公司舟山分行</w:t>
            </w:r>
          </w:p>
        </w:tc>
        <w:tc>
          <w:tcPr>
            <w:tcW w:w="4058" w:type="dxa"/>
            <w:vAlign w:val="center"/>
          </w:tcPr>
          <w:p>
            <w:pPr>
              <w:keepNext w:val="0"/>
              <w:keepLines w:val="0"/>
              <w:pageBreakBefore w:val="0"/>
              <w:numPr>
                <w:ilvl w:val="0"/>
                <w:numId w:val="4"/>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快速便捷：全流程线上操作，通过浙江省政府采购网数据审核信用额度，建行供应链平台快速放款。</w:t>
            </w:r>
          </w:p>
          <w:p>
            <w:pPr>
              <w:keepNext w:val="0"/>
              <w:keepLines w:val="0"/>
              <w:pageBreakBefore w:val="0"/>
              <w:numPr>
                <w:ilvl w:val="0"/>
                <w:numId w:val="4"/>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申请额度高：单笔融资额度最高可达政府采购合同金额的90%，单户额度最高可达3000万。</w:t>
            </w:r>
          </w:p>
          <w:p>
            <w:pPr>
              <w:keepNext w:val="0"/>
              <w:keepLines w:val="0"/>
              <w:pageBreakBefore w:val="0"/>
              <w:numPr>
                <w:ilvl w:val="0"/>
                <w:numId w:val="4"/>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无需额外抵押：以浙江省政府采购网备案公示的政府采购合同进行融资，无需额外抵押担保。</w:t>
            </w:r>
          </w:p>
          <w:p>
            <w:pPr>
              <w:keepNext w:val="0"/>
              <w:keepLines w:val="0"/>
              <w:pageBreakBefore w:val="0"/>
              <w:numPr>
                <w:ilvl w:val="0"/>
                <w:numId w:val="4"/>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利率优惠：给予流动资金贷款最优惠利率。</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普陀片区：蔡妮妮</w:t>
            </w:r>
          </w:p>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定海片区：杨莹</w:t>
            </w:r>
          </w:p>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自贸区片区：方晓</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普陀片区：13957201791</w:t>
            </w:r>
          </w:p>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定海片区：13655803997</w:t>
            </w:r>
          </w:p>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杭州银行股份有限公司舟山市分行</w:t>
            </w:r>
          </w:p>
        </w:tc>
        <w:tc>
          <w:tcPr>
            <w:tcW w:w="4058" w:type="dxa"/>
            <w:vAlign w:val="center"/>
          </w:tcPr>
          <w:p>
            <w:pPr>
              <w:keepNext w:val="0"/>
              <w:keepLines w:val="0"/>
              <w:pageBreakBefore w:val="0"/>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方经理</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招商银行股份有限公司浙江自贸试验区舟山分行</w:t>
            </w:r>
          </w:p>
        </w:tc>
        <w:tc>
          <w:tcPr>
            <w:tcW w:w="4058" w:type="dxa"/>
            <w:vAlign w:val="center"/>
          </w:tcPr>
          <w:p>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李玲</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温州银行股份有限公司舟山市分行</w:t>
            </w:r>
          </w:p>
        </w:tc>
        <w:tc>
          <w:tcPr>
            <w:tcW w:w="4058" w:type="dxa"/>
            <w:vAlign w:val="center"/>
          </w:tcPr>
          <w:p>
            <w:pPr>
              <w:keepNext w:val="0"/>
              <w:keepLines w:val="0"/>
              <w:pageBreakBefore w:val="0"/>
              <w:numPr>
                <w:ilvl w:val="0"/>
                <w:numId w:val="5"/>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单户授信敞口最高不超过1000万元，且最高额度核定一般不超过借款人（含实际控制人控制的其他经营实体）最近13个月合计有效中标合同金额的70%。</w:t>
            </w:r>
          </w:p>
          <w:p>
            <w:pPr>
              <w:keepNext w:val="0"/>
              <w:keepLines w:val="0"/>
              <w:pageBreakBefore w:val="0"/>
              <w:numPr>
                <w:ilvl w:val="0"/>
                <w:numId w:val="5"/>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keepNext w:val="0"/>
              <w:keepLines w:val="0"/>
              <w:pageBreakBefore w:val="0"/>
              <w:numPr>
                <w:ilvl w:val="0"/>
                <w:numId w:val="5"/>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借款人中标采购人自行采购项目并向我行发起授信申请的，单笔业务授信敞口不超500万元，且不超过借款人中标通知书承载的中标金额或本次申请授信提供的采购合同的80%。</w:t>
            </w:r>
          </w:p>
          <w:p>
            <w:pPr>
              <w:keepNext w:val="0"/>
              <w:keepLines w:val="0"/>
              <w:pageBreakBefore w:val="0"/>
              <w:numPr>
                <w:ilvl w:val="0"/>
                <w:numId w:val="5"/>
              </w:numPr>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符合我行采购人资质的，且负债率不超75%，配合应收账款质押登记确认的，并可出具确认函，单笔借款额度可按不超过采购合同的90%办理。</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郑贤栋</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交通银行股份有限公司舟山分行</w:t>
            </w:r>
          </w:p>
        </w:tc>
        <w:tc>
          <w:tcPr>
            <w:tcW w:w="4058" w:type="dxa"/>
            <w:vAlign w:val="center"/>
          </w:tcPr>
          <w:p>
            <w:pPr>
              <w:keepNext w:val="0"/>
              <w:keepLines w:val="0"/>
              <w:pageBreakBefore w:val="0"/>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赵争艳</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0580-2260728</w:t>
            </w:r>
          </w:p>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中信银行股份有限公司舟山分行</w:t>
            </w:r>
          </w:p>
        </w:tc>
        <w:tc>
          <w:tcPr>
            <w:tcW w:w="4058" w:type="dxa"/>
            <w:vAlign w:val="center"/>
          </w:tcPr>
          <w:p>
            <w:pPr>
              <w:keepNext w:val="0"/>
              <w:keepLines w:val="0"/>
              <w:pageBreakBefore w:val="0"/>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黄丽</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泰隆银行舟山市分行</w:t>
            </w:r>
          </w:p>
        </w:tc>
        <w:tc>
          <w:tcPr>
            <w:tcW w:w="4058" w:type="dxa"/>
            <w:vAlign w:val="center"/>
          </w:tcPr>
          <w:p>
            <w:pPr>
              <w:keepNext w:val="0"/>
              <w:keepLines w:val="0"/>
              <w:pageBreakBefore w:val="0"/>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胡亢宇</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中国农业银行股份有限公司舟山分行</w:t>
            </w:r>
          </w:p>
        </w:tc>
        <w:tc>
          <w:tcPr>
            <w:tcW w:w="4058" w:type="dxa"/>
            <w:vAlign w:val="center"/>
          </w:tcPr>
          <w:p>
            <w:pPr>
              <w:keepNext w:val="0"/>
              <w:keepLines w:val="0"/>
              <w:pageBreakBefore w:val="0"/>
              <w:kinsoku/>
              <w:wordWrap/>
              <w:overflowPunct/>
              <w:topLinePunct w:val="0"/>
              <w:bidi w:val="0"/>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苏华瞻</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90"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中国邮政储蓄银行股份有限公司舟山市分行</w:t>
            </w:r>
          </w:p>
        </w:tc>
        <w:tc>
          <w:tcPr>
            <w:tcW w:w="4058" w:type="dxa"/>
            <w:vAlign w:val="center"/>
          </w:tcPr>
          <w:p>
            <w:pPr>
              <w:keepNext w:val="0"/>
              <w:keepLines w:val="0"/>
              <w:pageBreakBefore w:val="0"/>
              <w:tabs>
                <w:tab w:val="left" w:pos="0"/>
              </w:tabs>
              <w:kinsoku/>
              <w:wordWrap/>
              <w:overflowPunct/>
              <w:topLinePunct w:val="0"/>
              <w:bidi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符合我行基本准入，授信额度使用期最高为2年，单户授信最高为500万，担保方式享受信用贷款执行，利率最低可至当期LPR ，有无还本续贷，12月份线上产品可以自主自贷。</w:t>
            </w:r>
          </w:p>
        </w:tc>
        <w:tc>
          <w:tcPr>
            <w:tcW w:w="2267"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蒋志燕</w:t>
            </w:r>
          </w:p>
        </w:tc>
        <w:tc>
          <w:tcPr>
            <w:tcW w:w="1949" w:type="dxa"/>
            <w:vAlign w:val="center"/>
          </w:tcPr>
          <w:p>
            <w:pPr>
              <w:keepNext w:val="0"/>
              <w:keepLines w:val="0"/>
              <w:pageBreakBefore w:val="0"/>
              <w:kinsoku/>
              <w:wordWrap/>
              <w:overflowPunct/>
              <w:topLinePunct w:val="0"/>
              <w:bidi w:val="0"/>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13732527321</w:t>
            </w:r>
          </w:p>
        </w:tc>
      </w:tr>
    </w:tbl>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2、一般步骤</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（1）供应商先与银行对接，办理融资前期手续；</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（2）供应商中标后，凭中标通知书等材料，向相关合作银行发出融资申请；</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（3）银行、供应商线下办理审批、放贷事宜。</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3、注意事项</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（1）中标供应商需确保政府采购合同的收款账户与融资银行开户账户一致。</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（2）用于政府采购信用融资的政府采购合同，应当包含如下条款：“第   条：政府采购合同贷款</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本合同同时用于乙方向</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银行（金融机构）申请政府采购信用贷款。</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本合同一经签订，原则上不得更改乙方收款账户信息。确须更改的，乙方应取得原合同收款账户开户银行书面同意，否则修改后的合同不予备案，采购资金不予支付。”</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19" w:name="_Toc17854"/>
      <w:r>
        <w:rPr>
          <w:rFonts w:hint="eastAsia" w:ascii="宋体" w:hAnsi="宋体" w:eastAsia="宋体" w:cs="宋体"/>
          <w:b/>
          <w:bCs/>
          <w:sz w:val="21"/>
          <w:szCs w:val="21"/>
        </w:rPr>
        <w:t>（十一）中金招标有限责任公司拥有本招标文件最终解释权。</w:t>
      </w:r>
      <w:bookmarkEnd w:id="19"/>
      <w:bookmarkStart w:id="20" w:name="_Toc12368"/>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r>
        <w:rPr>
          <w:rFonts w:hint="eastAsia" w:ascii="宋体" w:hAnsi="宋体" w:eastAsia="宋体" w:cs="宋体"/>
          <w:b/>
          <w:sz w:val="21"/>
          <w:szCs w:val="21"/>
        </w:rPr>
        <w:t>二、招标文件</w:t>
      </w:r>
      <w:bookmarkEnd w:id="20"/>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21" w:name="_Toc30592"/>
      <w:r>
        <w:rPr>
          <w:rFonts w:hint="eastAsia" w:ascii="宋体" w:hAnsi="宋体" w:eastAsia="宋体" w:cs="宋体"/>
          <w:b/>
          <w:sz w:val="21"/>
          <w:szCs w:val="21"/>
        </w:rPr>
        <w:t>（一）招标文件的构成</w:t>
      </w:r>
      <w:bookmarkEnd w:id="21"/>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第一章  招标公告</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第二章  采购需求</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第三章  投标人须知</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第四章  评标办法及标准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第五章  合同主要条款</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第六章  投标文件组成</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其他有关补充文件</w:t>
      </w:r>
    </w:p>
    <w:p>
      <w:pPr>
        <w:pStyle w:val="5"/>
        <w:keepNext w:val="0"/>
        <w:keepLines w:val="0"/>
        <w:pageBreakBefore w:val="0"/>
        <w:widowControl w:val="0"/>
        <w:kinsoku/>
        <w:wordWrap/>
        <w:overflowPunct/>
        <w:topLinePunct w:val="0"/>
        <w:bidi w:val="0"/>
        <w:snapToGrid w:val="0"/>
        <w:spacing w:after="0" w:afterLines="0" w:line="360" w:lineRule="auto"/>
        <w:ind w:left="0" w:firstLine="422" w:firstLineChars="200"/>
        <w:jc w:val="both"/>
        <w:outlineLvl w:val="9"/>
        <w:rPr>
          <w:rFonts w:hint="eastAsia" w:ascii="宋体" w:hAnsi="宋体" w:eastAsia="宋体" w:cs="宋体"/>
          <w:b/>
          <w:kern w:val="2"/>
          <w:sz w:val="21"/>
          <w:szCs w:val="21"/>
        </w:rPr>
      </w:pPr>
      <w:bookmarkStart w:id="22" w:name="_Toc16234"/>
      <w:r>
        <w:rPr>
          <w:rFonts w:hint="eastAsia" w:ascii="宋体" w:hAnsi="宋体" w:eastAsia="宋体" w:cs="宋体"/>
          <w:b/>
          <w:sz w:val="21"/>
          <w:szCs w:val="21"/>
        </w:rPr>
        <w:t>（</w:t>
      </w:r>
      <w:r>
        <w:rPr>
          <w:rFonts w:hint="eastAsia" w:ascii="宋体" w:hAnsi="宋体" w:eastAsia="宋体" w:cs="宋体"/>
          <w:b/>
          <w:kern w:val="2"/>
          <w:sz w:val="21"/>
          <w:szCs w:val="21"/>
        </w:rPr>
        <w:t>二）招标文件的澄清与修改</w:t>
      </w:r>
      <w:bookmarkEnd w:id="22"/>
      <w:r>
        <w:rPr>
          <w:rFonts w:hint="eastAsia" w:ascii="宋体" w:hAnsi="宋体" w:eastAsia="宋体" w:cs="宋体"/>
          <w:b/>
          <w:kern w:val="2"/>
          <w:sz w:val="21"/>
          <w:szCs w:val="21"/>
        </w:rPr>
        <w:t xml:space="preserve"> </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5、招标文件的澄清、答复、修改或补充都应该通过本采购代理机构以法定形式发布，采购人非通过本采购代理机构的，不得擅自澄清、答复、修改或补充招标文件。</w:t>
      </w: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bookmarkStart w:id="23" w:name="_Toc14506"/>
      <w:r>
        <w:rPr>
          <w:rFonts w:hint="eastAsia" w:ascii="宋体" w:hAnsi="宋体" w:eastAsia="宋体" w:cs="宋体"/>
          <w:b/>
          <w:sz w:val="21"/>
          <w:szCs w:val="21"/>
        </w:rPr>
        <w:t>三、投标文件的编制</w:t>
      </w:r>
      <w:bookmarkEnd w:id="23"/>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24" w:name="_Toc7588"/>
      <w:r>
        <w:rPr>
          <w:rFonts w:hint="eastAsia" w:ascii="宋体" w:hAnsi="宋体" w:eastAsia="宋体" w:cs="宋体"/>
          <w:b/>
          <w:sz w:val="21"/>
          <w:szCs w:val="21"/>
        </w:rPr>
        <w:t>（一）投标文件的形式和效力</w:t>
      </w:r>
      <w:bookmarkEnd w:id="24"/>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投标文件分为电子投标文件以及备份投标文件，备份投标文件为以介质存储的数据电文形式的投标文件。</w:t>
      </w:r>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1、电子投标文件，按“政采云供应商项目采购-电子招投标操作指南”及本招标文件要求制作、加密并递交。</w:t>
      </w:r>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2、以介质存储的数据电文形式的备份投标文件，按政采云供应商项目采购-电子招投标操作指南中制作的电子投标文件。</w:t>
      </w:r>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投标文件的启用，按先后顺位分别为电子投标文件、以介质存储的数据电文形式的备份投标文件。在下一顺位的投标文件启用时，前一顺位的投标文件自动失效。</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25" w:name="_Toc29052"/>
      <w:r>
        <w:rPr>
          <w:rFonts w:hint="eastAsia" w:ascii="宋体" w:hAnsi="宋体" w:eastAsia="宋体" w:cs="宋体"/>
          <w:b/>
          <w:sz w:val="21"/>
          <w:szCs w:val="21"/>
        </w:rPr>
        <w:t>（二）投标文件的组成</w:t>
      </w:r>
      <w:bookmarkEnd w:id="25"/>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投标文件由投标报价文件、资格证明文件、商务文件、技术文件组成。电子投标文件中所须加盖公章部分均采用CA签章。（具体要求详见第六章 投标文件组成）</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26" w:name="_Toc20175"/>
      <w:r>
        <w:rPr>
          <w:rFonts w:hint="eastAsia" w:ascii="宋体" w:hAnsi="宋体" w:eastAsia="宋体" w:cs="宋体"/>
          <w:b/>
          <w:sz w:val="21"/>
          <w:szCs w:val="21"/>
        </w:rPr>
        <w:t>（三）投标文件的语言及计量</w:t>
      </w:r>
      <w:bookmarkEnd w:id="26"/>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2、投标计量单位，应采用中华人民共和国法定计量单位（货币单位：人民币元），否则视同未响应。</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27" w:name="_Toc18609"/>
      <w:r>
        <w:rPr>
          <w:rFonts w:hint="eastAsia" w:ascii="宋体" w:hAnsi="宋体" w:eastAsia="宋体" w:cs="宋体"/>
          <w:b/>
          <w:sz w:val="21"/>
          <w:szCs w:val="21"/>
        </w:rPr>
        <w:t>（四）投标报价与相关费用</w:t>
      </w:r>
      <w:bookmarkEnd w:id="27"/>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详见《投标人须知前附表》</w:t>
      </w:r>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28" w:name="_Toc4138"/>
      <w:r>
        <w:rPr>
          <w:rFonts w:hint="eastAsia" w:ascii="宋体" w:hAnsi="宋体" w:eastAsia="宋体" w:cs="宋体"/>
          <w:b/>
          <w:sz w:val="21"/>
          <w:szCs w:val="21"/>
        </w:rPr>
        <w:t>（五）投标文件的有效期</w:t>
      </w:r>
      <w:bookmarkEnd w:id="28"/>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1、自投标截止日起90天投标文件应保持有效。有效期不足的投标文件将被拒绝。</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2、在特殊情况下，采购人可与投标人协商延长投标文件的有效期，这种要求和答复均以书面形式进行。</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3、中标人的投标文件自开标之日起至合同履行完毕止均应保持有效。</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29" w:name="_Toc6736"/>
      <w:r>
        <w:rPr>
          <w:rFonts w:hint="eastAsia" w:ascii="宋体" w:hAnsi="宋体" w:eastAsia="宋体" w:cs="宋体"/>
          <w:b/>
          <w:sz w:val="21"/>
          <w:szCs w:val="21"/>
        </w:rPr>
        <w:t>（六）投标文件的签署和编制</w:t>
      </w:r>
      <w:bookmarkEnd w:id="29"/>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1、电子投标文件部分：</w:t>
      </w:r>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投标人应根据“政采云供应商项目采购-电子招投标操作指南”及本招标文件规定的格式和顺序编制电子投标文件并进行关联定位。</w:t>
      </w:r>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2、以介质存储的数据电文形式的备份投标文件部分：</w:t>
      </w:r>
    </w:p>
    <w:p>
      <w:pPr>
        <w:keepNext w:val="0"/>
        <w:keepLines w:val="0"/>
        <w:pageBreakBefore w:val="0"/>
        <w:kinsoku/>
        <w:wordWrap/>
        <w:overflowPunct/>
        <w:topLinePunct w:val="0"/>
        <w:bidi w:val="0"/>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备份电子投标文件，以DVD光盘、U盘形式存储。</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0" w:name="_Toc6744"/>
      <w:r>
        <w:rPr>
          <w:rFonts w:hint="eastAsia" w:ascii="宋体" w:hAnsi="宋体" w:eastAsia="宋体" w:cs="宋体"/>
          <w:b/>
          <w:sz w:val="21"/>
          <w:szCs w:val="21"/>
        </w:rPr>
        <w:t>（七）备份投标文件的修改和撤回</w:t>
      </w:r>
      <w:bookmarkEnd w:id="30"/>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1" w:name="_Toc15941"/>
      <w:r>
        <w:rPr>
          <w:rFonts w:hint="eastAsia" w:ascii="宋体" w:hAnsi="宋体" w:eastAsia="宋体" w:cs="宋体"/>
          <w:b/>
          <w:sz w:val="21"/>
          <w:szCs w:val="21"/>
        </w:rPr>
        <w:t>（八）投标无效的情形</w:t>
      </w:r>
      <w:bookmarkEnd w:id="31"/>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1、在符合性审查和商务评审时，如发现下列情形之一的，投标文件将被视为无效投标：</w:t>
      </w:r>
    </w:p>
    <w:p>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1.1电子投标文件解密失败的，且未在规定时间内提交有效备份投标文件的；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1.2未按招标文件要求密封、签字、盖章的；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1.3资格证明文件不全的，或者不符合招标文件标明的资格要求的；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1.4投标文件组成不全的；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1.6投标文件的关键内容字迹模糊、无法辨认的，或者投标文件中经修正的内容字迹模糊或者修改处未按规定签名盖章的；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1.7实质性条款不能满足招标文件要求的；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1.8不响应招标文件要求或者投标文件有采购人不能接受的附加条件的；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1.9投标文件没有按招标文件要求提供有标“</w:t>
      </w:r>
      <w:r>
        <w:rPr>
          <w:rFonts w:hint="eastAsia" w:ascii="宋体" w:hAnsi="宋体" w:eastAsia="宋体" w:cs="宋体"/>
          <w:b/>
          <w:sz w:val="21"/>
          <w:szCs w:val="21"/>
        </w:rPr>
        <w:t>▲</w:t>
      </w:r>
      <w:r>
        <w:rPr>
          <w:rFonts w:hint="eastAsia" w:ascii="宋体" w:hAnsi="宋体" w:eastAsia="宋体" w:cs="宋体"/>
          <w:sz w:val="21"/>
          <w:szCs w:val="21"/>
        </w:rPr>
        <w:t>”的条款的资料和材料的；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1.10投标文件资格证明、商务、技术部分中出现投标报价信息的；</w:t>
      </w:r>
    </w:p>
    <w:p>
      <w:pPr>
        <w:pStyle w:val="11"/>
        <w:snapToGrid w:val="0"/>
        <w:spacing w:line="360" w:lineRule="auto"/>
        <w:ind w:firstLine="415" w:firstLineChars="198"/>
        <w:rPr>
          <w:rFonts w:hint="eastAsia" w:ascii="宋体" w:hAnsi="宋体" w:eastAsia="宋体" w:cs="宋体"/>
          <w:sz w:val="21"/>
          <w:szCs w:val="21"/>
        </w:rPr>
      </w:pPr>
      <w:r>
        <w:rPr>
          <w:rFonts w:hint="eastAsia" w:hAnsi="宋体" w:eastAsia="宋体" w:cs="宋体"/>
          <w:sz w:val="21"/>
          <w:szCs w:val="21"/>
        </w:rPr>
        <w:t>1.11联合体协议中仅约定由联合体主办单位或成员单位中某一方与采购人签订合同的，或联合体协议中仅约定由联合体主办单位或成员单位中某一方就采购合同约定的事项对采购人承担责任的，视为联合体协议不成立。</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w:t>
      </w:r>
      <w:r>
        <w:rPr>
          <w:rFonts w:hint="eastAsia" w:hAnsi="宋体" w:eastAsia="宋体" w:cs="宋体"/>
          <w:sz w:val="21"/>
          <w:szCs w:val="21"/>
          <w:lang w:val="en-US" w:eastAsia="zh-CN"/>
        </w:rPr>
        <w:t>2</w:t>
      </w:r>
      <w:r>
        <w:rPr>
          <w:rFonts w:hint="eastAsia" w:ascii="宋体" w:hAnsi="宋体" w:eastAsia="宋体" w:cs="宋体"/>
          <w:sz w:val="21"/>
          <w:szCs w:val="21"/>
        </w:rPr>
        <w:t>在不影响公平竞争的前提下，采购文件中参与同一标段（包）的供应商存在以下情形的，其投标文件相应无效：MAC地址相同、计算机硬盘序列号相同、</w:t>
      </w:r>
      <w:r>
        <w:rPr>
          <w:rFonts w:hint="eastAsia" w:hAnsi="宋体" w:eastAsia="宋体" w:cs="宋体"/>
          <w:sz w:val="21"/>
          <w:szCs w:val="21"/>
          <w:lang w:val="en-US" w:eastAsia="zh-CN"/>
        </w:rPr>
        <w:t>投标</w:t>
      </w:r>
      <w:r>
        <w:rPr>
          <w:rFonts w:hint="eastAsia" w:ascii="宋体" w:hAnsi="宋体" w:eastAsia="宋体" w:cs="宋体"/>
          <w:sz w:val="21"/>
          <w:szCs w:val="21"/>
        </w:rPr>
        <w:t>文件细节错误一致且无合理解释。</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2、在技术评审时，如发现下列情形之一的，投标文件将被视为无效投标：</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2.1投标文件标明的响应或偏离与事实不符或虚假投标的；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2.2明显不符合招标文件中标“</w:t>
      </w:r>
      <w:r>
        <w:rPr>
          <w:rFonts w:hint="eastAsia" w:ascii="宋体" w:hAnsi="宋体" w:eastAsia="宋体" w:cs="宋体"/>
          <w:b/>
          <w:sz w:val="21"/>
          <w:szCs w:val="21"/>
        </w:rPr>
        <w:t>▲</w:t>
      </w:r>
      <w:r>
        <w:rPr>
          <w:rFonts w:hint="eastAsia" w:ascii="宋体" w:hAnsi="宋体" w:eastAsia="宋体" w:cs="宋体"/>
          <w:sz w:val="21"/>
          <w:szCs w:val="21"/>
        </w:rPr>
        <w:t>”的技术指标、主要功能项目发生实质性偏离的；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2.3投标技术方案不明确，存在一个或一个以上备选（替代）投标的；</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3、在投标报价文件评审时，如发现下列情形之一的，投标文件将被视为无效投标：</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3.1超过项目的最高限价</w:t>
      </w:r>
      <w:r>
        <w:rPr>
          <w:rFonts w:hint="eastAsia" w:ascii="宋体" w:hAnsi="宋体" w:eastAsia="宋体" w:cs="宋体"/>
          <w:b/>
          <w:sz w:val="21"/>
          <w:szCs w:val="21"/>
          <w:lang w:val="en-US" w:eastAsia="zh-CN"/>
        </w:rPr>
        <w:t>或预算金额的</w:t>
      </w:r>
      <w:r>
        <w:rPr>
          <w:rFonts w:hint="eastAsia" w:ascii="宋体" w:hAnsi="宋体" w:eastAsia="宋体" w:cs="宋体"/>
          <w:b/>
          <w:sz w:val="21"/>
          <w:szCs w:val="21"/>
        </w:rPr>
        <w:t>；</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3.2有选择或有条件的报价的；</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3.3报价文件中缺失报价的。</w:t>
      </w:r>
    </w:p>
    <w:p>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4、被拒绝的投标文件为无效。</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（九）出现以下情形，导致电子交易平台无法正常运行，或者无法保证电子交易的公平、公正和安全时，中止电子交易活动：</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1、电子交易平台发生故障而无法登录访问的；</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2、电子交易平台应用或数据库出现错误，不能进行正常操作的；</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3、电子交易平台发现严重安全漏洞，有潜在泄密危险的；</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4、病毒发作导致不能进行正常操作的；</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5、其他无法保证电子交易的公平、公正和安全的情况。</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出现前款规定情形，不影响采购公平、公正性的，采购代理机构可以待上述情形消除后继续组织电子交易活动，也可以决定某些环节以纸质形式进行；影响或可能影响采购公平、公正性的，重新采购。</w:t>
      </w: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bookmarkStart w:id="32" w:name="_Toc10273"/>
      <w:r>
        <w:rPr>
          <w:rFonts w:hint="eastAsia" w:ascii="宋体" w:hAnsi="宋体" w:eastAsia="宋体" w:cs="宋体"/>
          <w:b/>
          <w:sz w:val="21"/>
          <w:szCs w:val="21"/>
        </w:rPr>
        <w:t>四、开标</w:t>
      </w:r>
      <w:bookmarkEnd w:id="32"/>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3" w:name="_Toc25751"/>
      <w:r>
        <w:rPr>
          <w:rFonts w:hint="eastAsia" w:ascii="宋体" w:hAnsi="宋体" w:eastAsia="宋体" w:cs="宋体"/>
          <w:b/>
          <w:sz w:val="21"/>
          <w:szCs w:val="21"/>
        </w:rPr>
        <w:t>（一）开标准备</w:t>
      </w:r>
      <w:bookmarkEnd w:id="33"/>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采购代理机构将在规定的时间和地点进行开标。本项目不要求供应商授权代表参加现场开标、开启响应文件活动。</w:t>
      </w:r>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4" w:name="_Toc4167"/>
      <w:r>
        <w:rPr>
          <w:rFonts w:hint="eastAsia" w:ascii="宋体" w:hAnsi="宋体" w:eastAsia="宋体" w:cs="宋体"/>
          <w:b/>
          <w:sz w:val="21"/>
          <w:szCs w:val="21"/>
        </w:rPr>
        <w:t>（二）开标程序</w:t>
      </w:r>
      <w:bookmarkEnd w:id="34"/>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1、开标会由采购代理机构相关工作人员主持，主持人宣布开标会议开始。</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2、介绍参加开标会的人员名单。</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3、宣布开标纪律和有关事项，告知应当回避的情形，提请有关人员回避。</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4、电子招投标开标及评审程序</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4.1投标截止时间后，投标人登录政采云平台，用“项目采购-开标评标”功能对电子投标文件进行在线解密。</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4.2各投标人的资格由采购代理机构人员负责初审；</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4.3评标委员会对商务技术响应文件进行评审；</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4.4在系统上公开资格和商务技术评审结果；</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4.5在系统上公开报价开标情况；</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4.6评标委员会对报价情况进行评审；</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4.7在系统上公布评审结果。</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特别说明：政采云公司如对电子化开标及评审程序有调整的，按调整后的程序操作。</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5、如遇电子招投标系统故障的，启用备份投标文件</w:t>
      </w:r>
    </w:p>
    <w:p>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bCs/>
          <w:sz w:val="21"/>
          <w:szCs w:val="21"/>
        </w:rPr>
        <w:t>6、本项目原则上采用政采云电子招投标开标及评审程序，但若投标人在规定时间内无法解密或解密失败，采购代理机构将开启未能在规定时间内解密的投标人递交的备份投标文件。</w:t>
      </w: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bookmarkStart w:id="35" w:name="_Toc15474"/>
      <w:r>
        <w:rPr>
          <w:rFonts w:hint="eastAsia" w:ascii="宋体" w:hAnsi="宋体" w:eastAsia="宋体" w:cs="宋体"/>
          <w:b/>
          <w:sz w:val="21"/>
          <w:szCs w:val="21"/>
        </w:rPr>
        <w:t>五、评标</w:t>
      </w:r>
      <w:bookmarkEnd w:id="35"/>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6" w:name="_Toc29426"/>
      <w:r>
        <w:rPr>
          <w:rFonts w:hint="eastAsia" w:ascii="宋体" w:hAnsi="宋体" w:eastAsia="宋体" w:cs="宋体"/>
          <w:b/>
          <w:sz w:val="21"/>
          <w:szCs w:val="21"/>
        </w:rPr>
        <w:t>（一）组建评审小组</w:t>
      </w:r>
      <w:bookmarkEnd w:id="36"/>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评标委员会由采购人代表和评审专家组成，成员人数为 5 人以上单数，其中评审专家不少于成员总数的三分之二。</w:t>
      </w:r>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7" w:name="_Toc1120"/>
      <w:r>
        <w:rPr>
          <w:rFonts w:hint="eastAsia" w:ascii="宋体" w:hAnsi="宋体" w:eastAsia="宋体" w:cs="宋体"/>
          <w:b/>
          <w:sz w:val="21"/>
          <w:szCs w:val="21"/>
        </w:rPr>
        <w:t>（二）评标程序</w:t>
      </w:r>
      <w:bookmarkEnd w:id="37"/>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1、资格审查</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代理机构对投标人的资格进行审查。</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2、实质审查与比较</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2.1评审小组审查投标文件的实质性内容是否符合招标文件的实质性要求。</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2.2评审小组将根据投标人的投标文件进行审查、核对，如有疑问，将对投标人进行询标，投标人要向评审小组澄清有关问题，并最终以书面形式进行答复。</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2.3投标人代表未到场或者拒绝澄清或者澄清的内容改变了投标文件的实质性内容的，评审小组有权对该投标文件作出不利于投标人的评判。</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2.4各投标人的商务技术得分由指定专人进行计算复核。</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2.5各投标人报价得分根据评分标准计算。</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2.6评审小组完成评标后，对各部分得分汇总，得出本项目最终得分，评审小组按评标原则推荐中标候选人同时起草评审报告。</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8" w:name="_Toc16252"/>
      <w:r>
        <w:rPr>
          <w:rFonts w:hint="eastAsia" w:ascii="宋体" w:hAnsi="宋体" w:eastAsia="宋体" w:cs="宋体"/>
          <w:b/>
          <w:sz w:val="21"/>
          <w:szCs w:val="21"/>
        </w:rPr>
        <w:t>（三）澄清问题的形式</w:t>
      </w:r>
      <w:bookmarkEnd w:id="38"/>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39" w:name="_Toc21859"/>
      <w:r>
        <w:rPr>
          <w:rFonts w:hint="eastAsia" w:ascii="宋体" w:hAnsi="宋体" w:eastAsia="宋体" w:cs="宋体"/>
          <w:b/>
          <w:sz w:val="21"/>
          <w:szCs w:val="21"/>
        </w:rPr>
        <w:t>（四）报价错误修正</w:t>
      </w:r>
      <w:bookmarkEnd w:id="39"/>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评标委员会对确定投标文件为实质上响应招标文件要求的，投标文件报价出现前后不一致的，按照下列规定修正：</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1、投标文件开标一览表（报价表）内容与投标文件中相应内容不一致的，以开标一览表（报价表）为准；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2、大写金额和小写金额不一致的，以大写金额为准；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3、单价金额小数点或者百分比有明显错位的，以开标一览表的总价为准，并修改单价；</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4、总价金额与按单价汇总金额不一致的，以单价金额计算结果为准；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5、电子交易平台客户端里开标一览表录入的信息与投标文件不一致的，以投标文件为准。</w:t>
      </w:r>
    </w:p>
    <w:p>
      <w:pPr>
        <w:pStyle w:val="11"/>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40" w:name="_Toc15786"/>
      <w:r>
        <w:rPr>
          <w:rFonts w:hint="eastAsia" w:ascii="宋体" w:hAnsi="宋体" w:eastAsia="宋体" w:cs="宋体"/>
          <w:b/>
          <w:sz w:val="21"/>
          <w:szCs w:val="21"/>
        </w:rPr>
        <w:t>（五）评标原则和评标办法</w:t>
      </w:r>
      <w:bookmarkEnd w:id="40"/>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2、评标办法。本项目评标办法是</w:t>
      </w:r>
      <w:r>
        <w:rPr>
          <w:rFonts w:hint="eastAsia" w:ascii="宋体" w:hAnsi="宋体" w:eastAsia="宋体" w:cs="宋体"/>
          <w:sz w:val="21"/>
          <w:szCs w:val="21"/>
          <w:u w:val="single"/>
        </w:rPr>
        <w:t>综合评分法</w:t>
      </w:r>
      <w:r>
        <w:rPr>
          <w:rFonts w:hint="eastAsia" w:ascii="宋体" w:hAnsi="宋体" w:eastAsia="宋体" w:cs="宋体"/>
          <w:sz w:val="21"/>
          <w:szCs w:val="21"/>
        </w:rPr>
        <w:t>，具体评标内容及评分标准等详见《第四章：评标办法及评分标准》。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3、《政府采购货物和服务招标投标管理办法》</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（一）招标文件存在不合理条款或者招标程序不符合规定的，采购人、采购代理机构改正后依法重新招标；</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（二）招标文件没有不合理条款、招标程序符合规定，需要采用其他采购方式采购的，采购人应当依法报财政部门批准。</w:t>
      </w:r>
    </w:p>
    <w:p>
      <w:pPr>
        <w:pStyle w:val="11"/>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sz w:val="21"/>
          <w:szCs w:val="21"/>
        </w:rPr>
      </w:pPr>
      <w:bookmarkStart w:id="41" w:name="_Toc18387"/>
      <w:r>
        <w:rPr>
          <w:rFonts w:hint="eastAsia" w:ascii="宋体" w:hAnsi="宋体" w:eastAsia="宋体" w:cs="宋体"/>
          <w:b/>
          <w:sz w:val="21"/>
          <w:szCs w:val="21"/>
        </w:rPr>
        <w:t>（六）评标过程的监控</w:t>
      </w:r>
      <w:bookmarkEnd w:id="41"/>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本项目评标过程实行全程录音、录像监控，投标人在评标过程中所进行的试图影响评标结果的不公正活动，可能导致其投标被拒绝。</w:t>
      </w: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bookmarkStart w:id="42" w:name="_Toc23950"/>
      <w:r>
        <w:rPr>
          <w:rFonts w:hint="eastAsia" w:ascii="宋体" w:hAnsi="宋体" w:eastAsia="宋体" w:cs="宋体"/>
          <w:b/>
          <w:sz w:val="21"/>
          <w:szCs w:val="21"/>
        </w:rPr>
        <w:t>六、废标</w:t>
      </w:r>
      <w:bookmarkEnd w:id="42"/>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根据《中华人民共和国政府采购法》第三十六条，出现下列情形之一的，应予以废标：</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1、符合专业条件的供应商或者对招标文件作实质响应的供应商不足三家的；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2、出现影响采购公正的违法、违规行为的；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3、投标人的报价均超过了采购预算，采购人不能支付的；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4、因重大变故，采购任务取消的。</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废标后，采购人应当将废标理由通知所有投标人，废标后，除采购任务取消情形外，应当重新组织招标。</w:t>
      </w: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bookmarkStart w:id="43" w:name="_Toc18472"/>
      <w:bookmarkStart w:id="44" w:name="_Toc27564"/>
      <w:r>
        <w:rPr>
          <w:rFonts w:hint="eastAsia" w:ascii="宋体" w:hAnsi="宋体" w:eastAsia="宋体" w:cs="宋体"/>
          <w:b/>
          <w:sz w:val="21"/>
          <w:szCs w:val="21"/>
        </w:rPr>
        <w:t>七、定标</w:t>
      </w:r>
      <w:bookmarkEnd w:id="43"/>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1、采购代理机构在评标结束后在2个工作日内将评审报告交采购人确认。</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2、采购人应当自收到评审报告之日起5个工作日内在评审报告推荐的中标或者成交候选人中按顺序确定中标或者成交供应商。</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1"/>
          <w:szCs w:val="21"/>
        </w:rPr>
      </w:pPr>
      <w:r>
        <w:rPr>
          <w:rFonts w:hint="eastAsia" w:ascii="宋体" w:hAnsi="宋体" w:eastAsia="宋体" w:cs="宋体"/>
          <w:b/>
          <w:sz w:val="21"/>
          <w:szCs w:val="21"/>
        </w:rPr>
        <w:t>八、合同授予</w:t>
      </w:r>
      <w:bookmarkEnd w:id="44"/>
    </w:p>
    <w:p>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sz w:val="21"/>
          <w:szCs w:val="21"/>
        </w:rPr>
      </w:pPr>
      <w:bookmarkStart w:id="45" w:name="_Toc25368"/>
      <w:r>
        <w:rPr>
          <w:rFonts w:hint="eastAsia" w:ascii="宋体" w:hAnsi="宋体" w:eastAsia="宋体" w:cs="宋体"/>
          <w:sz w:val="21"/>
          <w:szCs w:val="21"/>
        </w:rPr>
        <w:t>（一）签订合同</w:t>
      </w:r>
      <w:bookmarkEnd w:id="45"/>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1、中标人应自接到中标通知书后30日内与采购人</w:t>
      </w:r>
      <w:r>
        <w:rPr>
          <w:rFonts w:hint="eastAsia" w:ascii="宋体" w:hAnsi="宋体" w:eastAsia="宋体" w:cs="宋体"/>
          <w:sz w:val="21"/>
          <w:szCs w:val="21"/>
          <w:lang w:eastAsia="zh-CN"/>
        </w:rPr>
        <w:t>签订合同</w:t>
      </w:r>
      <w:r>
        <w:rPr>
          <w:rFonts w:hint="eastAsia" w:ascii="宋体" w:hAnsi="宋体" w:eastAsia="宋体" w:cs="宋体"/>
          <w:sz w:val="21"/>
          <w:szCs w:val="21"/>
        </w:rPr>
        <w:t>。同时，采购代理机构对合同内容进行审查，如发现与采购结果和投标承诺内容不一致的，应予以纠正。</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2、中标人拖延、拒签合同的，将被取消中标资格。</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3、中标人和采购人签订合同，按合同约定执行。</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pPr>
        <w:pStyle w:val="11"/>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sectPr>
          <w:pgSz w:w="11906" w:h="16838"/>
          <w:pgMar w:top="1531" w:right="1179" w:bottom="737" w:left="1179" w:header="851" w:footer="584"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pPr>
        <w:pStyle w:val="11"/>
        <w:keepNext w:val="0"/>
        <w:keepLines w:val="0"/>
        <w:pageBreakBefore w:val="0"/>
        <w:kinsoku/>
        <w:wordWrap/>
        <w:overflowPunct/>
        <w:topLinePunct w:val="0"/>
        <w:bidi w:val="0"/>
        <w:snapToGrid w:val="0"/>
        <w:spacing w:line="360" w:lineRule="auto"/>
        <w:ind w:firstLine="562" w:firstLineChars="200"/>
        <w:jc w:val="center"/>
        <w:outlineLvl w:val="0"/>
        <w:rPr>
          <w:rFonts w:hAnsi="宋体" w:eastAsia="宋体" w:cs="宋体"/>
          <w:b/>
          <w:sz w:val="28"/>
          <w:szCs w:val="28"/>
        </w:rPr>
      </w:pPr>
      <w:bookmarkStart w:id="46" w:name="_Toc29466"/>
      <w:r>
        <w:rPr>
          <w:rFonts w:hint="eastAsia" w:hAnsi="宋体" w:eastAsia="宋体" w:cs="宋体"/>
          <w:b/>
          <w:sz w:val="28"/>
          <w:szCs w:val="28"/>
        </w:rPr>
        <w:t>第四章  评标办法及标准</w:t>
      </w:r>
      <w:bookmarkEnd w:id="46"/>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为公正、公平、科学地选择中标人，根据《中华人民共和国政府采购法》等有关法律法规的规定，并结合本项目的实际，制定本办法，本办法适用本项目的评标。</w:t>
      </w:r>
    </w:p>
    <w:p>
      <w:pPr>
        <w:keepNext w:val="0"/>
        <w:keepLines w:val="0"/>
        <w:pageBreakBefore w:val="0"/>
        <w:kinsoku/>
        <w:wordWrap/>
        <w:overflowPunct/>
        <w:topLinePunct w:val="0"/>
        <w:autoSpaceDE w:val="0"/>
        <w:autoSpaceDN w:val="0"/>
        <w:bidi w:val="0"/>
        <w:adjustRightInd w:val="0"/>
        <w:spacing w:line="360" w:lineRule="auto"/>
        <w:outlineLvl w:val="1"/>
        <w:rPr>
          <w:rFonts w:hint="eastAsia" w:ascii="宋体" w:hAnsi="宋体" w:eastAsia="宋体" w:cs="宋体"/>
          <w:b/>
          <w:sz w:val="21"/>
          <w:szCs w:val="21"/>
        </w:rPr>
      </w:pPr>
      <w:bookmarkStart w:id="47" w:name="_Toc19382"/>
      <w:r>
        <w:rPr>
          <w:rFonts w:hint="eastAsia" w:ascii="宋体" w:hAnsi="宋体" w:eastAsia="宋体" w:cs="宋体"/>
          <w:b/>
          <w:sz w:val="21"/>
          <w:szCs w:val="21"/>
        </w:rPr>
        <w:t>一、资格审查</w:t>
      </w:r>
      <w:bookmarkEnd w:id="47"/>
    </w:p>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1、由采购代理机构对投标人的资格进行审查。</w:t>
      </w:r>
    </w:p>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2、按以下内容审核投标文件是否符合招标文件的资格文件要求。</w:t>
      </w:r>
    </w:p>
    <w:tbl>
      <w:tblPr>
        <w:tblStyle w:val="25"/>
        <w:tblpPr w:leftFromText="180" w:rightFromText="180" w:vertAnchor="text" w:tblpXSpec="center" w:tblpY="1"/>
        <w:tblOverlap w:val="never"/>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431"/>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7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431" w:type="dxa"/>
            <w:tcBorders>
              <w:tl2br w:val="single" w:color="auto" w:sz="4" w:space="0"/>
            </w:tcBorders>
            <w:noWrap w:val="0"/>
            <w:vAlign w:val="top"/>
          </w:tcPr>
          <w:p>
            <w:pPr>
              <w:keepNext w:val="0"/>
              <w:keepLines w:val="0"/>
              <w:pageBreakBefore w:val="0"/>
              <w:kinsoku/>
              <w:wordWrap/>
              <w:overflowPunct/>
              <w:topLinePunct w:val="0"/>
              <w:bidi w:val="0"/>
              <w:spacing w:line="360" w:lineRule="auto"/>
              <w:jc w:val="right"/>
              <w:rPr>
                <w:rFonts w:hint="eastAsia" w:ascii="宋体" w:hAnsi="宋体" w:eastAsia="宋体" w:cs="宋体"/>
                <w:b/>
                <w:sz w:val="21"/>
                <w:szCs w:val="21"/>
              </w:rPr>
            </w:pPr>
            <w:r>
              <w:rPr>
                <w:rFonts w:hint="eastAsia" w:ascii="宋体" w:hAnsi="宋体" w:eastAsia="宋体" w:cs="宋体"/>
                <w:b/>
                <w:sz w:val="21"/>
                <w:szCs w:val="21"/>
              </w:rPr>
              <w:t>投标人</w:t>
            </w:r>
          </w:p>
          <w:p>
            <w:pPr>
              <w:keepNext w:val="0"/>
              <w:keepLines w:val="0"/>
              <w:pageBreakBefore w:val="0"/>
              <w:kinsoku/>
              <w:wordWrap/>
              <w:overflowPunct/>
              <w:topLinePunct w:val="0"/>
              <w:bidi w:val="0"/>
              <w:spacing w:line="360" w:lineRule="auto"/>
              <w:rPr>
                <w:rFonts w:hint="eastAsia" w:ascii="宋体" w:hAnsi="宋体" w:eastAsia="宋体" w:cs="宋体"/>
                <w:b/>
                <w:sz w:val="21"/>
                <w:szCs w:val="21"/>
              </w:rPr>
            </w:pPr>
            <w:r>
              <w:rPr>
                <w:rFonts w:hint="eastAsia" w:ascii="宋体" w:hAnsi="宋体" w:eastAsia="宋体" w:cs="宋体"/>
                <w:b/>
                <w:sz w:val="21"/>
                <w:szCs w:val="21"/>
              </w:rPr>
              <w:t>内容</w:t>
            </w:r>
          </w:p>
        </w:tc>
        <w:tc>
          <w:tcPr>
            <w:tcW w:w="20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7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431" w:type="dxa"/>
            <w:noWrap w:val="0"/>
            <w:vAlign w:val="center"/>
          </w:tcPr>
          <w:p>
            <w:pPr>
              <w:spacing w:line="360" w:lineRule="auto"/>
              <w:jc w:val="left"/>
              <w:rPr>
                <w:rFonts w:hint="eastAsia" w:ascii="宋体" w:hAnsi="宋体" w:eastAsia="宋体" w:cs="宋体"/>
                <w:sz w:val="21"/>
                <w:szCs w:val="21"/>
              </w:rPr>
            </w:pPr>
            <w:r>
              <w:rPr>
                <w:rFonts w:hint="eastAsia" w:ascii="宋体" w:hAnsi="宋体" w:cs="宋体"/>
                <w:szCs w:val="21"/>
              </w:rPr>
              <w:t>落实政府采购政策需满足的资格要求相关证明文件</w:t>
            </w:r>
          </w:p>
        </w:tc>
        <w:tc>
          <w:tcPr>
            <w:tcW w:w="20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27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431" w:type="dxa"/>
            <w:noWrap w:val="0"/>
            <w:vAlign w:val="center"/>
          </w:tcPr>
          <w:p>
            <w:pPr>
              <w:spacing w:line="360" w:lineRule="auto"/>
              <w:jc w:val="left"/>
              <w:rPr>
                <w:rFonts w:hint="eastAsia" w:ascii="宋体" w:hAnsi="宋体" w:eastAsia="宋体" w:cs="宋体"/>
                <w:sz w:val="21"/>
                <w:szCs w:val="21"/>
                <w:highlight w:val="none"/>
              </w:rPr>
            </w:pPr>
            <w:r>
              <w:rPr>
                <w:rFonts w:hint="eastAsia" w:ascii="宋体" w:hAnsi="宋体" w:cs="宋体"/>
                <w:szCs w:val="21"/>
              </w:rPr>
              <w:t>投标人（联合体各成员）具有独立承担民事责任的能力证明资料</w:t>
            </w:r>
          </w:p>
        </w:tc>
        <w:tc>
          <w:tcPr>
            <w:tcW w:w="20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7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431" w:type="dxa"/>
            <w:noWrap w:val="0"/>
            <w:vAlign w:val="center"/>
          </w:tcPr>
          <w:p>
            <w:pPr>
              <w:spacing w:line="360" w:lineRule="auto"/>
              <w:jc w:val="left"/>
              <w:rPr>
                <w:rFonts w:hint="eastAsia" w:ascii="宋体" w:hAnsi="宋体" w:eastAsia="宋体" w:cs="宋体"/>
                <w:sz w:val="21"/>
                <w:szCs w:val="21"/>
              </w:rPr>
            </w:pPr>
            <w:r>
              <w:rPr>
                <w:rFonts w:hint="eastAsia" w:ascii="宋体" w:hAnsi="宋体" w:cs="宋体"/>
                <w:szCs w:val="21"/>
              </w:rPr>
              <w:t>投标人（联合体各成员）法定代表人身份证复印件</w:t>
            </w:r>
          </w:p>
        </w:tc>
        <w:tc>
          <w:tcPr>
            <w:tcW w:w="20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7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431" w:type="dxa"/>
            <w:noWrap w:val="0"/>
            <w:vAlign w:val="center"/>
          </w:tcPr>
          <w:p>
            <w:pPr>
              <w:spacing w:line="360" w:lineRule="auto"/>
              <w:jc w:val="left"/>
              <w:rPr>
                <w:rFonts w:hint="eastAsia" w:ascii="宋体" w:hAnsi="宋体" w:eastAsia="宋体" w:cs="宋体"/>
                <w:sz w:val="21"/>
                <w:szCs w:val="21"/>
              </w:rPr>
            </w:pPr>
            <w:r>
              <w:rPr>
                <w:rFonts w:hint="eastAsia" w:ascii="宋体" w:hAnsi="宋体" w:cs="宋体"/>
                <w:szCs w:val="21"/>
              </w:rPr>
              <w:t>投标人（联合体牵头人）法定代表人授权函，非法定代表人参加投标时提供</w:t>
            </w:r>
          </w:p>
        </w:tc>
        <w:tc>
          <w:tcPr>
            <w:tcW w:w="20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7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431" w:type="dxa"/>
            <w:noWrap w:val="0"/>
            <w:vAlign w:val="center"/>
          </w:tcPr>
          <w:p>
            <w:pPr>
              <w:spacing w:line="360" w:lineRule="auto"/>
              <w:jc w:val="left"/>
              <w:rPr>
                <w:rFonts w:hint="eastAsia" w:ascii="宋体" w:hAnsi="宋体" w:eastAsia="宋体" w:cs="宋体"/>
                <w:sz w:val="21"/>
                <w:szCs w:val="21"/>
              </w:rPr>
            </w:pPr>
            <w:r>
              <w:rPr>
                <w:rFonts w:hint="eastAsia" w:ascii="宋体" w:hAnsi="宋体" w:cs="宋体"/>
                <w:szCs w:val="21"/>
              </w:rPr>
              <w:t>投标</w:t>
            </w:r>
            <w:r>
              <w:rPr>
                <w:rFonts w:ascii="宋体" w:hAnsi="宋体" w:cs="宋体"/>
                <w:szCs w:val="21"/>
              </w:rPr>
              <w:t>人</w:t>
            </w:r>
            <w:r>
              <w:rPr>
                <w:rFonts w:hint="eastAsia" w:ascii="宋体" w:hAnsi="宋体" w:cs="宋体"/>
                <w:szCs w:val="21"/>
              </w:rPr>
              <w:t>（联合体牵头人）</w:t>
            </w:r>
            <w:r>
              <w:rPr>
                <w:rFonts w:ascii="宋体" w:hAnsi="宋体" w:cs="宋体"/>
                <w:szCs w:val="21"/>
              </w:rPr>
              <w:t>代表身份证复印件，非法定代表人参加</w:t>
            </w:r>
            <w:r>
              <w:rPr>
                <w:rFonts w:hint="eastAsia" w:ascii="宋体" w:hAnsi="宋体" w:cs="宋体"/>
                <w:szCs w:val="21"/>
              </w:rPr>
              <w:t>投标</w:t>
            </w:r>
            <w:r>
              <w:rPr>
                <w:rFonts w:ascii="宋体" w:hAnsi="宋体" w:cs="宋体"/>
                <w:szCs w:val="21"/>
              </w:rPr>
              <w:t>时提供</w:t>
            </w:r>
          </w:p>
        </w:tc>
        <w:tc>
          <w:tcPr>
            <w:tcW w:w="20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7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6431" w:type="dxa"/>
            <w:noWrap w:val="0"/>
            <w:vAlign w:val="center"/>
          </w:tcPr>
          <w:p>
            <w:pPr>
              <w:spacing w:line="360" w:lineRule="auto"/>
              <w:jc w:val="left"/>
              <w:rPr>
                <w:rFonts w:hint="eastAsia" w:ascii="宋体" w:hAnsi="宋体" w:eastAsia="宋体" w:cs="宋体"/>
                <w:sz w:val="21"/>
                <w:szCs w:val="21"/>
              </w:rPr>
            </w:pPr>
            <w:r>
              <w:rPr>
                <w:rFonts w:hint="eastAsia" w:ascii="宋体" w:hAnsi="宋体" w:cs="宋体"/>
                <w:szCs w:val="21"/>
              </w:rPr>
              <w:t>投标人（联合体牵头人）投标函</w:t>
            </w:r>
          </w:p>
        </w:tc>
        <w:tc>
          <w:tcPr>
            <w:tcW w:w="20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06" w:type="dxa"/>
            <w:gridSpan w:val="2"/>
            <w:noWrap w:val="0"/>
            <w:vAlign w:val="top"/>
          </w:tcPr>
          <w:p>
            <w:pPr>
              <w:pStyle w:val="12"/>
              <w:keepNext w:val="0"/>
              <w:keepLines w:val="0"/>
              <w:pageBreakBefore w:val="0"/>
              <w:kinsoku/>
              <w:wordWrap/>
              <w:overflowPunct/>
              <w:topLinePunct w:val="0"/>
              <w:bidi w:val="0"/>
              <w:spacing w:line="360" w:lineRule="auto"/>
              <w:ind w:left="0" w:firstLine="0" w:firstLineChars="0"/>
              <w:jc w:val="center"/>
              <w:rPr>
                <w:rFonts w:hint="eastAsia" w:ascii="宋体" w:hAnsi="宋体" w:eastAsia="宋体" w:cs="宋体"/>
                <w:b/>
                <w:sz w:val="21"/>
                <w:szCs w:val="21"/>
              </w:rPr>
            </w:pPr>
            <w:r>
              <w:rPr>
                <w:rFonts w:hint="eastAsia" w:ascii="宋体" w:hAnsi="宋体" w:eastAsia="宋体" w:cs="宋体"/>
                <w:b/>
                <w:sz w:val="21"/>
                <w:szCs w:val="21"/>
              </w:rPr>
              <w:t>结   论</w:t>
            </w:r>
          </w:p>
        </w:tc>
        <w:tc>
          <w:tcPr>
            <w:tcW w:w="2056" w:type="dxa"/>
            <w:noWrap w:val="0"/>
            <w:vAlign w:val="center"/>
          </w:tcPr>
          <w:p>
            <w:pPr>
              <w:keepNext w:val="0"/>
              <w:keepLines w:val="0"/>
              <w:pageBreakBefore w:val="0"/>
              <w:kinsoku/>
              <w:wordWrap/>
              <w:overflowPunct/>
              <w:topLinePunct w:val="0"/>
              <w:bidi w:val="0"/>
              <w:spacing w:line="360" w:lineRule="auto"/>
              <w:ind w:left="180"/>
              <w:jc w:val="center"/>
              <w:rPr>
                <w:rFonts w:hint="eastAsia" w:ascii="宋体" w:hAnsi="宋体" w:eastAsia="宋体" w:cs="宋体"/>
                <w:b/>
                <w:sz w:val="21"/>
                <w:szCs w:val="21"/>
              </w:rPr>
            </w:pPr>
          </w:p>
        </w:tc>
      </w:tr>
    </w:tbl>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注：1、表中只需填写“√”或“×”；</w:t>
      </w:r>
      <w:r>
        <w:rPr>
          <w:rFonts w:hint="eastAsia" w:ascii="宋体" w:hAnsi="宋体" w:eastAsia="宋体" w:cs="宋体"/>
          <w:sz w:val="21"/>
          <w:szCs w:val="21"/>
        </w:rPr>
        <w:t xml:space="preserve"> </w:t>
      </w:r>
      <w:r>
        <w:rPr>
          <w:rFonts w:hint="eastAsia" w:ascii="宋体" w:hAnsi="宋体" w:eastAsia="宋体" w:cs="宋体"/>
          <w:sz w:val="21"/>
          <w:szCs w:val="21"/>
          <w:lang w:val="zh-CN"/>
        </w:rPr>
        <w:t>2、在结论栏中填写“合格”或“不合格”。</w:t>
      </w:r>
    </w:p>
    <w:p>
      <w:pPr>
        <w:keepNext w:val="0"/>
        <w:keepLines w:val="0"/>
        <w:pageBreakBefore w:val="0"/>
        <w:kinsoku/>
        <w:wordWrap/>
        <w:overflowPunct/>
        <w:topLinePunct w:val="0"/>
        <w:autoSpaceDE w:val="0"/>
        <w:autoSpaceDN w:val="0"/>
        <w:bidi w:val="0"/>
        <w:adjustRightInd w:val="0"/>
        <w:spacing w:line="360" w:lineRule="auto"/>
        <w:outlineLvl w:val="1"/>
        <w:rPr>
          <w:rFonts w:hint="eastAsia" w:ascii="宋体" w:hAnsi="宋体" w:eastAsia="宋体" w:cs="宋体"/>
          <w:b/>
          <w:sz w:val="21"/>
          <w:szCs w:val="21"/>
        </w:rPr>
      </w:pPr>
      <w:bookmarkStart w:id="48" w:name="_Toc9640"/>
      <w:r>
        <w:rPr>
          <w:rFonts w:hint="eastAsia" w:ascii="宋体" w:hAnsi="宋体" w:eastAsia="宋体" w:cs="宋体"/>
          <w:b/>
          <w:sz w:val="21"/>
          <w:szCs w:val="21"/>
        </w:rPr>
        <w:t>二、中标候选人的选取</w:t>
      </w:r>
      <w:bookmarkEnd w:id="48"/>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sz w:val="21"/>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pPr>
        <w:keepNext w:val="0"/>
        <w:keepLines w:val="0"/>
        <w:pageBreakBefore w:val="0"/>
        <w:kinsoku/>
        <w:wordWrap/>
        <w:overflowPunct/>
        <w:topLinePunct w:val="0"/>
        <w:bidi w:val="0"/>
        <w:spacing w:line="360" w:lineRule="auto"/>
        <w:outlineLvl w:val="1"/>
        <w:rPr>
          <w:rFonts w:hint="eastAsia" w:ascii="宋体" w:hAnsi="宋体" w:eastAsia="宋体" w:cs="宋体"/>
          <w:b/>
          <w:sz w:val="21"/>
          <w:szCs w:val="21"/>
        </w:rPr>
      </w:pPr>
      <w:bookmarkStart w:id="49" w:name="_Toc13172"/>
      <w:r>
        <w:rPr>
          <w:rFonts w:hint="eastAsia" w:ascii="宋体" w:hAnsi="宋体" w:eastAsia="宋体" w:cs="宋体"/>
          <w:b/>
          <w:sz w:val="21"/>
          <w:szCs w:val="21"/>
        </w:rPr>
        <w:t>三、中标人选取依据</w:t>
      </w:r>
      <w:bookmarkEnd w:id="49"/>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评审小组根据综合评估分得分排序，推荐第一名中标候选人为中标人，经采购人确认后，确定项目中标人，同时发布采购结果公告，发出中标通知书。</w:t>
      </w:r>
    </w:p>
    <w:p>
      <w:pPr>
        <w:keepNext w:val="0"/>
        <w:keepLines w:val="0"/>
        <w:pageBreakBefore w:val="0"/>
        <w:kinsoku/>
        <w:wordWrap/>
        <w:overflowPunct/>
        <w:topLinePunct w:val="0"/>
        <w:bidi w:val="0"/>
        <w:spacing w:line="360" w:lineRule="auto"/>
        <w:outlineLvl w:val="1"/>
        <w:rPr>
          <w:rFonts w:hint="eastAsia" w:ascii="宋体" w:hAnsi="宋体" w:eastAsia="宋体" w:cs="宋体"/>
          <w:b/>
          <w:sz w:val="21"/>
          <w:szCs w:val="21"/>
        </w:rPr>
      </w:pPr>
      <w:bookmarkStart w:id="50" w:name="_Toc8795"/>
      <w:r>
        <w:rPr>
          <w:rFonts w:hint="eastAsia" w:ascii="宋体" w:hAnsi="宋体" w:eastAsia="宋体" w:cs="宋体"/>
          <w:b/>
          <w:sz w:val="21"/>
          <w:szCs w:val="21"/>
        </w:rPr>
        <w:t>四、综合评估分计分方法</w:t>
      </w:r>
      <w:bookmarkEnd w:id="50"/>
    </w:p>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满足招标文件要求且报价最低的投标报价（折扣率）为评标基准价，其价格分为满分，其他投标人的价格分按下列公式计算：投标报价得分＝（评标基准价/投标报价）×价格权重×100。</w:t>
      </w:r>
    </w:p>
    <w:p>
      <w:pPr>
        <w:autoSpaceDE w:val="0"/>
        <w:autoSpaceDN w:val="0"/>
        <w:adjustRightInd w:val="0"/>
        <w:spacing w:line="360" w:lineRule="auto"/>
        <w:ind w:firstLine="422" w:firstLineChars="200"/>
        <w:rPr>
          <w:rFonts w:ascii="宋体" w:hAnsi="宋体"/>
          <w:b/>
          <w:bCs/>
        </w:rPr>
      </w:pPr>
      <w:r>
        <w:rPr>
          <w:rFonts w:hint="eastAsia" w:ascii="宋体" w:hAnsi="宋体"/>
          <w:b/>
          <w:bCs/>
        </w:rPr>
        <w:t>根据相关规定：</w:t>
      </w:r>
    </w:p>
    <w:p>
      <w:pPr>
        <w:autoSpaceDE w:val="0"/>
        <w:autoSpaceDN w:val="0"/>
        <w:adjustRightInd w:val="0"/>
        <w:spacing w:line="360" w:lineRule="auto"/>
        <w:ind w:firstLine="422" w:firstLineChars="200"/>
        <w:rPr>
          <w:rFonts w:ascii="宋体" w:hAnsi="宋体"/>
          <w:b/>
          <w:kern w:val="0"/>
        </w:rPr>
      </w:pPr>
      <w:r>
        <w:rPr>
          <w:rFonts w:hint="eastAsia" w:ascii="宋体" w:hAnsi="宋体"/>
          <w:b/>
          <w:bCs/>
          <w:kern w:val="0"/>
        </w:rPr>
        <w:t>1、本</w:t>
      </w:r>
      <w:r>
        <w:rPr>
          <w:rFonts w:hint="eastAsia" w:ascii="宋体" w:hAnsi="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pPr>
        <w:autoSpaceDE w:val="0"/>
        <w:autoSpaceDN w:val="0"/>
        <w:adjustRightInd w:val="0"/>
        <w:spacing w:line="360" w:lineRule="auto"/>
        <w:ind w:firstLine="422" w:firstLineChars="200"/>
        <w:rPr>
          <w:rFonts w:ascii="宋体" w:hAnsi="宋体"/>
          <w:b/>
          <w:kern w:val="0"/>
        </w:rPr>
      </w:pPr>
      <w:r>
        <w:rPr>
          <w:rFonts w:hint="eastAsia" w:ascii="宋体" w:hAnsi="宋体"/>
          <w:b/>
          <w:kern w:val="0"/>
        </w:rPr>
        <w:t>2、大中型企业与小微企业组成联合体的政府采购货物或服务项目，对于《联合体协议书》约定小微企业的合同份额占到合同总金额30%以上的，对联合体的报价给予4%的扣除，用扣除后的价格参加评审。须提供《联合体协议书》和《中小企业声明函》附在报价文件处，否则不享受评审中价格扣除政策。组成联合体的中小企业与联合体内其他企业之间不得存在直接控股、管理关系，否则评审中价格扣除政策。（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ind w:firstLine="422" w:firstLineChars="200"/>
        <w:rPr>
          <w:rFonts w:hint="eastAsia" w:ascii="宋体" w:hAnsi="宋体" w:eastAsia="宋体" w:cs="宋体"/>
          <w:sz w:val="21"/>
          <w:szCs w:val="21"/>
        </w:rPr>
      </w:pPr>
      <w:r>
        <w:rPr>
          <w:rFonts w:hint="eastAsia" w:ascii="宋体" w:hAnsi="宋体"/>
          <w:b/>
          <w:kern w:val="0"/>
        </w:rPr>
        <w:t>注：参加本项目投标的供应商不能重复享受以上价格扣除优惠政策。</w:t>
      </w:r>
    </w:p>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w:t>
      </w:r>
      <w:r>
        <w:rPr>
          <w:rFonts w:hint="eastAsia" w:ascii="宋体" w:hAnsi="宋体" w:eastAsia="宋体" w:cs="宋体"/>
          <w:sz w:val="21"/>
          <w:szCs w:val="21"/>
          <w:highlight w:val="none"/>
        </w:rPr>
        <w:t>不能证明其报价合理性的，评标委员会应当将其作为无效投标处理。</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pPr>
        <w:keepNext w:val="0"/>
        <w:keepLines w:val="0"/>
        <w:pageBreakBefore w:val="0"/>
        <w:kinsoku/>
        <w:wordWrap/>
        <w:overflowPunct/>
        <w:topLinePunct w:val="0"/>
        <w:autoSpaceDE w:val="0"/>
        <w:autoSpaceDN w:val="0"/>
        <w:bidi w:val="0"/>
        <w:adjustRightInd w:val="0"/>
        <w:snapToGrid/>
        <w:spacing w:line="360" w:lineRule="auto"/>
        <w:textAlignment w:val="auto"/>
        <w:outlineLvl w:val="1"/>
        <w:rPr>
          <w:rFonts w:hint="eastAsia" w:ascii="宋体" w:hAnsi="宋体" w:eastAsia="宋体" w:cs="宋体"/>
          <w:b/>
          <w:sz w:val="21"/>
          <w:szCs w:val="21"/>
          <w:lang w:val="zh-CN"/>
        </w:rPr>
      </w:pPr>
      <w:bookmarkStart w:id="51" w:name="_Toc2863"/>
      <w:r>
        <w:rPr>
          <w:rFonts w:hint="eastAsia" w:ascii="宋体" w:hAnsi="宋体" w:eastAsia="宋体" w:cs="宋体"/>
          <w:b/>
          <w:sz w:val="21"/>
          <w:szCs w:val="21"/>
        </w:rPr>
        <w:t>五、</w:t>
      </w:r>
      <w:r>
        <w:rPr>
          <w:rFonts w:hint="eastAsia" w:ascii="宋体" w:hAnsi="宋体" w:eastAsia="宋体" w:cs="宋体"/>
          <w:b/>
          <w:sz w:val="21"/>
          <w:szCs w:val="21"/>
          <w:lang w:val="zh-CN"/>
        </w:rPr>
        <w:t>评分表</w:t>
      </w:r>
      <w:bookmarkEnd w:id="51"/>
    </w:p>
    <w:tbl>
      <w:tblPr>
        <w:tblStyle w:val="25"/>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2379"/>
        <w:gridCol w:w="3352"/>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3"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评标指标</w:t>
            </w:r>
          </w:p>
        </w:tc>
        <w:tc>
          <w:tcPr>
            <w:tcW w:w="2379"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3352"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商务技术部分</w:t>
            </w:r>
          </w:p>
        </w:tc>
        <w:tc>
          <w:tcPr>
            <w:tcW w:w="1408"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3"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2379"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3352"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408"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spacing w:val="6"/>
          <w:sz w:val="21"/>
          <w:szCs w:val="21"/>
        </w:rPr>
      </w:pPr>
      <w:bookmarkStart w:id="52" w:name="_Toc29895"/>
      <w:r>
        <w:rPr>
          <w:rFonts w:hint="eastAsia" w:ascii="宋体" w:hAnsi="宋体" w:eastAsia="宋体" w:cs="宋体"/>
          <w:b/>
          <w:bCs/>
          <w:spacing w:val="6"/>
          <w:sz w:val="21"/>
          <w:szCs w:val="21"/>
          <w:lang w:eastAsia="zh-CN"/>
        </w:rPr>
        <w:t>2024年本岛红绿灯一体化维保项目</w:t>
      </w:r>
      <w:r>
        <w:rPr>
          <w:rFonts w:hint="eastAsia" w:ascii="宋体" w:hAnsi="宋体" w:eastAsia="宋体" w:cs="宋体"/>
          <w:b/>
          <w:bCs/>
          <w:spacing w:val="6"/>
          <w:sz w:val="21"/>
          <w:szCs w:val="21"/>
        </w:rPr>
        <w:t>商务技术评分表</w:t>
      </w:r>
      <w:bookmarkEnd w:id="52"/>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244"/>
        <w:gridCol w:w="6398"/>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color w:val="auto"/>
                <w:spacing w:val="4"/>
                <w:sz w:val="21"/>
                <w:szCs w:val="21"/>
                <w:highlight w:val="none"/>
              </w:rPr>
              <w:t>评审项目</w:t>
            </w:r>
          </w:p>
        </w:tc>
        <w:tc>
          <w:tcPr>
            <w:tcW w:w="637"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color w:val="auto"/>
                <w:spacing w:val="4"/>
                <w:sz w:val="21"/>
                <w:szCs w:val="21"/>
                <w:highlight w:val="none"/>
              </w:rPr>
              <w:t>评分类别</w:t>
            </w:r>
          </w:p>
        </w:tc>
        <w:tc>
          <w:tcPr>
            <w:tcW w:w="3277"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color w:val="auto"/>
                <w:spacing w:val="4"/>
                <w:sz w:val="21"/>
                <w:szCs w:val="21"/>
                <w:highlight w:val="none"/>
              </w:rPr>
              <w:t>评分标准</w:t>
            </w:r>
          </w:p>
        </w:tc>
        <w:tc>
          <w:tcPr>
            <w:tcW w:w="382"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color w:val="auto"/>
                <w:spacing w:val="4"/>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rPr>
              <w:t>类似业绩</w:t>
            </w:r>
          </w:p>
        </w:tc>
        <w:tc>
          <w:tcPr>
            <w:tcW w:w="637"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客观</w:t>
            </w: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根据投标人自2021年1月1日以来（以合同签订时间为准）承担过类似项目业绩的，每提供一份合同得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分，最高得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kinsoku/>
              <w:wordWrap/>
              <w:overflowPunct/>
              <w:topLinePunct w:val="0"/>
              <w:bidi w:val="0"/>
              <w:snapToGrid/>
              <w:spacing w:line="360" w:lineRule="auto"/>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b/>
                <w:bCs/>
                <w:color w:val="auto"/>
                <w:kern w:val="2"/>
                <w:sz w:val="21"/>
                <w:szCs w:val="21"/>
                <w:highlight w:val="none"/>
                <w:lang w:val="en-US" w:eastAsia="zh-CN" w:bidi="ar-SA"/>
              </w:rPr>
              <w:t>注：提供合同复印件并加盖公章，不提供不得分</w:t>
            </w:r>
            <w:r>
              <w:rPr>
                <w:rFonts w:hint="eastAsia" w:ascii="宋体" w:hAnsi="宋体" w:cs="宋体"/>
                <w:b/>
                <w:bCs/>
                <w:color w:val="auto"/>
                <w:kern w:val="2"/>
                <w:sz w:val="21"/>
                <w:szCs w:val="21"/>
                <w:highlight w:val="none"/>
                <w:lang w:val="en-US" w:eastAsia="zh-CN" w:bidi="ar-SA"/>
              </w:rPr>
              <w:t>；若为联合体投标，双方业绩均认可。</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03" w:type="pct"/>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vertAlign w:val="baseline"/>
                <w:lang w:val="en-US" w:eastAsia="zh-CN"/>
              </w:rPr>
              <w:t>人员和机械设备的配置</w:t>
            </w:r>
          </w:p>
        </w:tc>
        <w:tc>
          <w:tcPr>
            <w:tcW w:w="637" w:type="pct"/>
            <w:vMerge w:val="restar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客观</w:t>
            </w: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根据投标人针对本项目拟派的专业维护人员</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Times New Roman"/>
                <w:szCs w:val="21"/>
                <w:highlight w:val="none"/>
              </w:rPr>
              <w:t>至少配备4名专业维护人员</w:t>
            </w:r>
            <w:r>
              <w:rPr>
                <w:rFonts w:hint="eastAsia" w:ascii="宋体" w:hAnsi="宋体" w:cs="宋体"/>
                <w:b w:val="0"/>
                <w:bCs w:val="0"/>
                <w:color w:val="auto"/>
                <w:kern w:val="2"/>
                <w:sz w:val="21"/>
                <w:szCs w:val="21"/>
                <w:highlight w:val="none"/>
                <w:lang w:val="en-US" w:eastAsia="zh-CN" w:bidi="ar-SA"/>
              </w:rPr>
              <w:t>）中</w:t>
            </w:r>
            <w:r>
              <w:rPr>
                <w:rFonts w:hint="eastAsia" w:ascii="宋体" w:hAnsi="宋体" w:eastAsia="宋体" w:cs="宋体"/>
                <w:b w:val="0"/>
                <w:bCs w:val="0"/>
                <w:color w:val="auto"/>
                <w:kern w:val="2"/>
                <w:sz w:val="21"/>
                <w:szCs w:val="21"/>
                <w:highlight w:val="none"/>
                <w:lang w:val="en-US" w:eastAsia="zh-CN" w:bidi="ar-SA"/>
              </w:rPr>
              <w:t>：</w:t>
            </w:r>
          </w:p>
          <w:p>
            <w:pPr>
              <w:spacing w:line="312"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1、具有应急管理部门监制的特种作业操作证（高空作业证）的，，在最低要求2名的基础上，每增加一名人员得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分，最高得</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分；</w:t>
            </w:r>
          </w:p>
          <w:p>
            <w:pPr>
              <w:keepNext w:val="0"/>
              <w:keepLines w:val="0"/>
              <w:pageBreakBefore w:val="0"/>
              <w:kinsoku/>
              <w:wordWrap/>
              <w:overflowPunct/>
              <w:topLinePunct w:val="0"/>
              <w:bidi w:val="0"/>
              <w:snapToGrid/>
              <w:spacing w:line="360" w:lineRule="auto"/>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2、具有应急管理部门监制的特种作业操作证（高、低电工证）的，在最低要求2名的基础上，每增加一名人员得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分，最高得</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分</w:t>
            </w:r>
            <w:r>
              <w:rPr>
                <w:rFonts w:hint="eastAsia" w:ascii="宋体" w:hAnsi="宋体" w:cs="宋体"/>
                <w:b w:val="0"/>
                <w:bCs w:val="0"/>
                <w:color w:val="auto"/>
                <w:kern w:val="2"/>
                <w:sz w:val="21"/>
                <w:szCs w:val="21"/>
                <w:highlight w:val="none"/>
                <w:lang w:val="en-US" w:eastAsia="zh-CN" w:bidi="ar-SA"/>
              </w:rPr>
              <w:t>。</w:t>
            </w:r>
          </w:p>
          <w:p>
            <w:pPr>
              <w:keepNext w:val="0"/>
              <w:keepLines w:val="0"/>
              <w:pageBreakBefore w:val="0"/>
              <w:kinsoku/>
              <w:wordWrap/>
              <w:overflowPunct/>
              <w:topLinePunct w:val="0"/>
              <w:bidi w:val="0"/>
              <w:snapToGrid/>
              <w:spacing w:line="360" w:lineRule="auto"/>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注：提供项目组成员相关证书，以及</w:t>
            </w:r>
            <w:r>
              <w:rPr>
                <w:rFonts w:hint="eastAsia" w:ascii="宋体" w:hAnsi="宋体" w:eastAsia="宋体" w:cs="宋体"/>
                <w:b/>
                <w:bCs/>
                <w:color w:val="auto"/>
                <w:sz w:val="21"/>
                <w:szCs w:val="21"/>
                <w:highlight w:val="none"/>
                <w:lang w:val="en-US" w:eastAsia="zh-CN"/>
              </w:rPr>
              <w:t>投标人为其缴纳的</w:t>
            </w:r>
            <w:r>
              <w:rPr>
                <w:rFonts w:hint="eastAsia" w:ascii="宋体" w:hAnsi="宋体" w:eastAsia="宋体" w:cs="宋体"/>
                <w:b/>
                <w:bCs/>
                <w:color w:val="auto"/>
                <w:kern w:val="2"/>
                <w:sz w:val="21"/>
                <w:szCs w:val="21"/>
                <w:highlight w:val="none"/>
                <w:lang w:val="en-US" w:eastAsia="zh-CN" w:bidi="ar-SA"/>
              </w:rPr>
              <w:t>近三个月任意一个月的社保和意外人身保险的相关证明材料</w:t>
            </w:r>
            <w:r>
              <w:rPr>
                <w:rFonts w:hint="eastAsia" w:ascii="宋体" w:hAnsi="宋体" w:eastAsia="宋体" w:cs="宋体"/>
                <w:b/>
                <w:bCs/>
                <w:color w:val="auto"/>
                <w:sz w:val="21"/>
                <w:szCs w:val="21"/>
                <w:highlight w:val="none"/>
                <w:lang w:val="en-US" w:eastAsia="zh-CN"/>
              </w:rPr>
              <w:t>并加盖公章</w:t>
            </w:r>
            <w:r>
              <w:rPr>
                <w:rFonts w:hint="eastAsia" w:ascii="宋体" w:hAnsi="宋体" w:eastAsia="宋体" w:cs="宋体"/>
                <w:b/>
                <w:bCs/>
                <w:color w:val="auto"/>
                <w:kern w:val="2"/>
                <w:sz w:val="21"/>
                <w:szCs w:val="21"/>
                <w:highlight w:val="none"/>
                <w:lang w:val="en-US" w:eastAsia="zh-CN" w:bidi="ar-SA"/>
              </w:rPr>
              <w:t>，不提供不得分</w:t>
            </w:r>
            <w:r>
              <w:rPr>
                <w:rFonts w:hint="eastAsia" w:ascii="宋体" w:hAnsi="宋体" w:cs="宋体"/>
                <w:b/>
                <w:bCs/>
                <w:color w:val="auto"/>
                <w:kern w:val="2"/>
                <w:sz w:val="21"/>
                <w:szCs w:val="21"/>
                <w:highlight w:val="none"/>
                <w:lang w:val="en-US" w:eastAsia="zh-CN" w:bidi="ar-SA"/>
              </w:rPr>
              <w:t>，若为联合体投标，双方人员均认可。</w:t>
            </w:r>
          </w:p>
        </w:tc>
        <w:tc>
          <w:tcPr>
            <w:tcW w:w="382" w:type="pct"/>
            <w:vMerge w:val="restart"/>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03" w:type="pct"/>
            <w:vMerge w:val="continue"/>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rPr>
            </w:pPr>
          </w:p>
        </w:tc>
        <w:tc>
          <w:tcPr>
            <w:tcW w:w="637" w:type="pct"/>
            <w:vMerge w:val="continue"/>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rPr>
            </w:pP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根据投标人提供</w:t>
            </w:r>
            <w:r>
              <w:rPr>
                <w:rFonts w:hint="eastAsia" w:ascii="宋体" w:hAnsi="宋体" w:cs="宋体"/>
                <w:b w:val="0"/>
                <w:bCs w:val="0"/>
                <w:color w:val="auto"/>
                <w:kern w:val="2"/>
                <w:sz w:val="21"/>
                <w:szCs w:val="21"/>
                <w:highlight w:val="none"/>
                <w:lang w:val="en-US" w:eastAsia="zh-CN" w:bidi="ar-SA"/>
              </w:rPr>
              <w:t>的</w:t>
            </w:r>
            <w:r>
              <w:rPr>
                <w:rFonts w:hint="eastAsia" w:ascii="宋体" w:hAnsi="宋体" w:eastAsia="宋体" w:cs="宋体"/>
                <w:b w:val="0"/>
                <w:bCs w:val="0"/>
                <w:color w:val="auto"/>
                <w:kern w:val="2"/>
                <w:sz w:val="21"/>
                <w:szCs w:val="21"/>
                <w:highlight w:val="none"/>
                <w:lang w:val="en-US" w:eastAsia="zh-CN" w:bidi="ar-SA"/>
              </w:rPr>
              <w:t>与本项目相适用的专用维护车辆，</w:t>
            </w:r>
            <w:r>
              <w:rPr>
                <w:rFonts w:hint="eastAsia" w:ascii="宋体" w:hAnsi="宋体" w:cs="宋体"/>
                <w:b w:val="0"/>
                <w:bCs w:val="0"/>
                <w:color w:val="auto"/>
                <w:kern w:val="2"/>
                <w:sz w:val="21"/>
                <w:szCs w:val="21"/>
                <w:highlight w:val="none"/>
                <w:lang w:val="en-US" w:eastAsia="zh-CN" w:bidi="ar-SA"/>
              </w:rPr>
              <w:t>在</w:t>
            </w:r>
            <w:r>
              <w:rPr>
                <w:rFonts w:hint="eastAsia" w:ascii="宋体" w:hAnsi="宋体" w:eastAsia="宋体" w:cs="宋体"/>
                <w:b w:val="0"/>
                <w:bCs w:val="0"/>
                <w:color w:val="auto"/>
                <w:kern w:val="2"/>
                <w:sz w:val="21"/>
                <w:szCs w:val="21"/>
                <w:highlight w:val="none"/>
                <w:lang w:val="en-US" w:eastAsia="zh-CN" w:bidi="ar-SA"/>
              </w:rPr>
              <w:t>至少配备2辆带升降平台功能的专用维护车辆</w:t>
            </w:r>
            <w:r>
              <w:rPr>
                <w:rFonts w:hint="eastAsia" w:ascii="宋体" w:hAnsi="宋体" w:cs="宋体"/>
                <w:b w:val="0"/>
                <w:bCs w:val="0"/>
                <w:color w:val="auto"/>
                <w:kern w:val="2"/>
                <w:sz w:val="21"/>
                <w:szCs w:val="21"/>
                <w:highlight w:val="none"/>
                <w:lang w:val="en-US" w:eastAsia="zh-CN" w:bidi="ar-SA"/>
              </w:rPr>
              <w:t>基础上，每多</w:t>
            </w:r>
            <w:r>
              <w:rPr>
                <w:rFonts w:hint="eastAsia" w:ascii="宋体" w:hAnsi="宋体" w:eastAsia="宋体" w:cs="宋体"/>
                <w:b w:val="0"/>
                <w:bCs w:val="0"/>
                <w:color w:val="auto"/>
                <w:kern w:val="2"/>
                <w:sz w:val="21"/>
                <w:szCs w:val="21"/>
                <w:highlight w:val="none"/>
                <w:lang w:val="en-US" w:eastAsia="zh-CN" w:bidi="ar-SA"/>
              </w:rPr>
              <w:t>提供1辆得2分，最高得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r>
              <w:rPr>
                <w:rFonts w:hint="eastAsia" w:ascii="宋体" w:hAnsi="宋体" w:cs="宋体"/>
                <w:b w:val="0"/>
                <w:bCs w:val="0"/>
                <w:color w:val="auto"/>
                <w:kern w:val="2"/>
                <w:sz w:val="21"/>
                <w:szCs w:val="21"/>
                <w:highlight w:val="none"/>
                <w:lang w:val="en-US" w:eastAsia="zh-CN" w:bidi="ar-SA"/>
              </w:rPr>
              <w:t>。</w:t>
            </w:r>
          </w:p>
          <w:p>
            <w:pPr>
              <w:keepNext w:val="0"/>
              <w:keepLines w:val="0"/>
              <w:pageBreakBefore w:val="0"/>
              <w:kinsoku/>
              <w:wordWrap/>
              <w:overflowPunct/>
              <w:topLinePunct w:val="0"/>
              <w:bidi w:val="0"/>
              <w:snapToGrid/>
              <w:spacing w:line="360" w:lineRule="auto"/>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注：在中标后签订合同时提供投标人自有的机动车车辆行驶证和车辆购置发票复印件及清晰照片（如为租赁的另需提供车辆租赁合同复印件）。投标人虚假应标的，取消中标资格</w:t>
            </w:r>
            <w:r>
              <w:rPr>
                <w:rFonts w:hint="eastAsia" w:ascii="宋体" w:hAnsi="宋体" w:cs="宋体"/>
                <w:b/>
                <w:bCs/>
                <w:color w:val="auto"/>
                <w:kern w:val="2"/>
                <w:sz w:val="21"/>
                <w:szCs w:val="21"/>
                <w:highlight w:val="none"/>
                <w:lang w:val="en-US" w:eastAsia="zh-CN" w:bidi="ar-SA"/>
              </w:rPr>
              <w:t>；若为联合体投标，双方提供的车辆均认可。</w:t>
            </w:r>
          </w:p>
        </w:tc>
        <w:tc>
          <w:tcPr>
            <w:tcW w:w="382" w:type="pct"/>
            <w:vMerge w:val="continue"/>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03" w:type="pct"/>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none"/>
              </w:rPr>
              <w:t>团队实力</w:t>
            </w:r>
          </w:p>
        </w:tc>
        <w:tc>
          <w:tcPr>
            <w:tcW w:w="637" w:type="pct"/>
            <w:vMerge w:val="restar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主观</w:t>
            </w: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根据投标人</w:t>
            </w:r>
            <w:r>
              <w:rPr>
                <w:rFonts w:hint="eastAsia" w:ascii="宋体" w:hAnsi="宋体" w:eastAsia="宋体" w:cs="宋体"/>
                <w:color w:val="000000"/>
                <w:sz w:val="21"/>
                <w:szCs w:val="21"/>
                <w:highlight w:val="none"/>
                <w:lang w:val="en-US" w:eastAsia="zh-CN"/>
              </w:rPr>
              <w:t>针对</w:t>
            </w:r>
            <w:r>
              <w:rPr>
                <w:rFonts w:hint="eastAsia" w:ascii="宋体" w:hAnsi="宋体" w:eastAsia="宋体" w:cs="宋体"/>
                <w:color w:val="000000"/>
                <w:sz w:val="21"/>
                <w:szCs w:val="21"/>
                <w:highlight w:val="none"/>
              </w:rPr>
              <w:t>本项目拟派</w:t>
            </w:r>
            <w:r>
              <w:rPr>
                <w:rFonts w:hint="eastAsia" w:ascii="宋体" w:hAnsi="宋体" w:eastAsia="宋体" w:cs="宋体"/>
                <w:color w:val="000000"/>
                <w:sz w:val="21"/>
                <w:szCs w:val="21"/>
                <w:highlight w:val="none"/>
                <w:lang w:val="en-US" w:eastAsia="zh-CN"/>
              </w:rPr>
              <w:t>的</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负责人</w:t>
            </w:r>
            <w:r>
              <w:rPr>
                <w:rFonts w:hint="eastAsia" w:ascii="宋体" w:hAnsi="宋体" w:eastAsia="宋体" w:cs="宋体"/>
                <w:sz w:val="21"/>
                <w:szCs w:val="21"/>
                <w:highlight w:val="none"/>
              </w:rPr>
              <w:t>（有且仅有1名）</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1、专业素质、资格等级、技术能力</w:t>
            </w:r>
            <w:r>
              <w:rPr>
                <w:rFonts w:hint="eastAsia" w:ascii="宋体" w:hAnsi="宋体" w:cs="宋体"/>
                <w:b w:val="0"/>
                <w:bCs w:val="0"/>
                <w:color w:val="auto"/>
                <w:kern w:val="2"/>
                <w:sz w:val="21"/>
                <w:szCs w:val="21"/>
                <w:highlight w:val="none"/>
                <w:lang w:val="en-US" w:eastAsia="zh-CN" w:bidi="ar-SA"/>
              </w:rPr>
              <w:t>强</w:t>
            </w:r>
            <w:r>
              <w:rPr>
                <w:rFonts w:hint="eastAsia" w:ascii="宋体" w:hAnsi="宋体" w:eastAsia="宋体" w:cs="宋体"/>
                <w:b w:val="0"/>
                <w:bCs w:val="0"/>
                <w:color w:val="auto"/>
                <w:kern w:val="2"/>
                <w:sz w:val="21"/>
                <w:szCs w:val="21"/>
                <w:highlight w:val="none"/>
                <w:lang w:val="en-US" w:eastAsia="zh-CN" w:bidi="ar-SA"/>
              </w:rPr>
              <w:t>、同类工作经验丰富，对信号灯项目非常熟悉的得5分；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2、专业素质、资格等级、技术能力较</w:t>
            </w:r>
            <w:r>
              <w:rPr>
                <w:rFonts w:hint="eastAsia" w:ascii="宋体" w:hAnsi="宋体" w:cs="宋体"/>
                <w:b w:val="0"/>
                <w:bCs w:val="0"/>
                <w:color w:val="auto"/>
                <w:kern w:val="2"/>
                <w:sz w:val="21"/>
                <w:szCs w:val="21"/>
                <w:highlight w:val="none"/>
                <w:lang w:val="en-US" w:eastAsia="zh-CN" w:bidi="ar-SA"/>
              </w:rPr>
              <w:t>强</w:t>
            </w:r>
            <w:r>
              <w:rPr>
                <w:rFonts w:hint="eastAsia" w:ascii="宋体" w:hAnsi="宋体" w:eastAsia="宋体" w:cs="宋体"/>
                <w:b w:val="0"/>
                <w:bCs w:val="0"/>
                <w:color w:val="auto"/>
                <w:kern w:val="2"/>
                <w:sz w:val="21"/>
                <w:szCs w:val="21"/>
                <w:highlight w:val="none"/>
                <w:lang w:val="en-US" w:eastAsia="zh-CN" w:bidi="ar-SA"/>
              </w:rPr>
              <w:t>、同类工作经验较丰富，对信号灯项目较熟悉的得3分；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3、专业素质、资格等级、技术能力相对较弱，同类工作经验较少，对信号灯项目熟悉度一般的得1分。</w:t>
            </w:r>
          </w:p>
          <w:p>
            <w:pPr>
              <w:keepNext w:val="0"/>
              <w:keepLines w:val="0"/>
              <w:pageBreakBefore w:val="0"/>
              <w:kinsoku/>
              <w:wordWrap/>
              <w:overflowPunct/>
              <w:topLinePunct w:val="0"/>
              <w:bidi w:val="0"/>
              <w:snapToGrid/>
              <w:spacing w:line="360" w:lineRule="auto"/>
              <w:textAlignment w:val="auto"/>
              <w:rPr>
                <w:rFonts w:hint="default"/>
                <w:highlight w:val="none"/>
                <w:lang w:val="en-US" w:eastAsia="zh-CN"/>
              </w:rPr>
            </w:pPr>
            <w:r>
              <w:rPr>
                <w:rFonts w:hint="eastAsia" w:ascii="宋体" w:hAnsi="宋体" w:eastAsia="宋体" w:cs="宋体"/>
                <w:b/>
                <w:bCs/>
                <w:color w:val="auto"/>
                <w:sz w:val="21"/>
                <w:szCs w:val="21"/>
                <w:highlight w:val="none"/>
                <w:lang w:val="en-US" w:eastAsia="zh-CN"/>
              </w:rPr>
              <w:t>注：提供投标人为项目负责人缴纳的近三个月中任意一个月的社保证明材料并加盖公章</w:t>
            </w:r>
            <w:r>
              <w:rPr>
                <w:rFonts w:hint="eastAsia" w:ascii="宋体" w:hAnsi="宋体" w:cs="宋体"/>
                <w:b/>
                <w:bCs/>
                <w:color w:val="auto"/>
                <w:sz w:val="21"/>
                <w:szCs w:val="21"/>
                <w:highlight w:val="none"/>
                <w:lang w:val="en-US" w:eastAsia="zh-CN"/>
              </w:rPr>
              <w:t>；</w:t>
            </w:r>
            <w:r>
              <w:rPr>
                <w:rFonts w:hint="eastAsia" w:ascii="宋体" w:hAnsi="宋体" w:cs="宋体"/>
                <w:b/>
                <w:bCs/>
                <w:color w:val="auto"/>
                <w:kern w:val="2"/>
                <w:sz w:val="21"/>
                <w:szCs w:val="21"/>
                <w:highlight w:val="none"/>
                <w:lang w:val="en-US" w:eastAsia="zh-CN" w:bidi="ar-SA"/>
              </w:rPr>
              <w:t>若为联合体投标，项目负责人需为联合体牵头人提供，否则不得分。</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03" w:type="pct"/>
            <w:vMerge w:val="continue"/>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rPr>
            </w:pPr>
          </w:p>
        </w:tc>
        <w:tc>
          <w:tcPr>
            <w:tcW w:w="637" w:type="pct"/>
            <w:vMerge w:val="continue"/>
            <w:noWrap w:val="0"/>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rPr>
            </w:pP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根据投标人针对本项目拟派的项目组人员：</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1、岗位配置合理、专业素质、资格等级、技术能力高、同类工作经验丰富，对信号灯项目非常熟悉的得5分；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2、岗位配置较合理、专业素质、资格等级、技术能力较高、同类工作经验较丰富，对信号灯项目较熟悉的得3分；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3、岗位配置不佳、专业素质、资格等级、技术能力较弱、同类工作经验较少，对信号灯项目熟悉度一般的得1分。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注：提供投标人为项目组成员缴纳的近三个月中任意一个月的社保证明材料并加盖公章。</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熟悉程度</w:t>
            </w:r>
          </w:p>
        </w:tc>
        <w:tc>
          <w:tcPr>
            <w:tcW w:w="637"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主观</w:t>
            </w:r>
          </w:p>
        </w:tc>
        <w:tc>
          <w:tcPr>
            <w:tcW w:w="3277" w:type="pct"/>
            <w:noWrap w:val="0"/>
            <w:vAlign w:val="top"/>
          </w:tcPr>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根据投标人对现有系统维护现状的熟悉程度，如现有路口信号灯的基础设施（信号机类型、接电等）情况进行综合评分：</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1、内容详实，对现有基础设施非常熟悉得</w:t>
            </w:r>
            <w:r>
              <w:rPr>
                <w:rFonts w:hint="eastAsia" w:ascii="宋体" w:hAnsi="宋体" w:cs="宋体"/>
                <w:b w:val="0"/>
                <w:bCs/>
                <w:sz w:val="21"/>
                <w:szCs w:val="21"/>
                <w:highlight w:val="none"/>
                <w:lang w:val="en-US" w:eastAsia="zh-CN"/>
              </w:rPr>
              <w:t>9</w:t>
            </w:r>
            <w:r>
              <w:rPr>
                <w:rFonts w:hint="eastAsia" w:ascii="宋体" w:hAnsi="宋体" w:eastAsia="宋体" w:cs="宋体"/>
                <w:b w:val="0"/>
                <w:bCs/>
                <w:sz w:val="21"/>
                <w:szCs w:val="21"/>
                <w:highlight w:val="none"/>
                <w:lang w:val="en-US" w:eastAsia="zh-CN"/>
              </w:rPr>
              <w:t>分；</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2、内容尚可，对现有基础设施较为熟悉得</w:t>
            </w: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val="en-US" w:eastAsia="zh-CN"/>
              </w:rPr>
              <w:t>分；</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3、内容较粗糙，对现有基础设施了解甚少得</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r>
              <w:rPr>
                <w:rFonts w:hint="eastAsia" w:ascii="宋体" w:hAnsi="宋体" w:cs="宋体"/>
                <w:b w:val="0"/>
                <w:bCs/>
                <w:sz w:val="21"/>
                <w:szCs w:val="21"/>
                <w:highlight w:val="none"/>
                <w:lang w:val="en-US" w:eastAsia="zh-CN"/>
              </w:rPr>
              <w:t>；</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color w:val="000000"/>
                <w:kern w:val="0"/>
                <w:sz w:val="21"/>
                <w:szCs w:val="21"/>
                <w:highlight w:val="none"/>
                <w:lang w:val="en-US" w:eastAsia="zh-CN"/>
              </w:rPr>
              <w:t>4、未提供本项不得分。</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重点难点阐述</w:t>
            </w:r>
          </w:p>
        </w:tc>
        <w:tc>
          <w:tcPr>
            <w:tcW w:w="637"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主观</w:t>
            </w:r>
          </w:p>
        </w:tc>
        <w:tc>
          <w:tcPr>
            <w:tcW w:w="3277" w:type="pct"/>
            <w:noWrap w:val="0"/>
            <w:vAlign w:val="top"/>
          </w:tcPr>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根据投标人提供的项目重难点阐述，从有效性、可行性、对本项目实施的有利程度及优化程度，运维实施中的一体化保障能力进行综合评分：</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1、投标人的阐述分析合理可靠、描述完整详细，具备一体化实施运维能力保障得6分；</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2、投标人提出的分析较合理可靠、描述较详细，综合实施运维保障能力一般得4分；</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3、投标人提出的分析基本合理、描述简单、综合实施运维保障能力较差得2分；</w:t>
            </w:r>
          </w:p>
          <w:p>
            <w:pPr>
              <w:keepNext w:val="0"/>
              <w:keepLines w:val="0"/>
              <w:pageBreakBefore w:val="0"/>
              <w:numPr>
                <w:ilvl w:val="0"/>
                <w:numId w:val="0"/>
              </w:numPr>
              <w:kinsoku/>
              <w:wordWrap/>
              <w:overflowPunct/>
              <w:topLinePunct w:val="0"/>
              <w:bidi w:val="0"/>
              <w:spacing w:line="360" w:lineRule="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sz w:val="21"/>
                <w:szCs w:val="21"/>
                <w:highlight w:val="none"/>
                <w:lang w:val="en-US" w:eastAsia="zh-CN"/>
              </w:rPr>
              <w:t xml:space="preserve">4、未提供不得分。 </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03"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维护方案</w:t>
            </w:r>
          </w:p>
        </w:tc>
        <w:tc>
          <w:tcPr>
            <w:tcW w:w="637"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lang w:val="en-US" w:eastAsia="zh-CN"/>
              </w:rPr>
              <w:t>主观</w:t>
            </w: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根据</w:t>
            </w:r>
            <w:r>
              <w:rPr>
                <w:rFonts w:hint="eastAsia" w:ascii="宋体" w:hAnsi="宋体" w:eastAsia="宋体" w:cs="宋体"/>
                <w:b w:val="0"/>
                <w:bCs/>
                <w:sz w:val="21"/>
                <w:szCs w:val="21"/>
              </w:rPr>
              <w:t>投标人制定的详细的维护方案</w:t>
            </w:r>
            <w:r>
              <w:rPr>
                <w:rFonts w:hint="eastAsia" w:ascii="宋体" w:hAnsi="宋体" w:eastAsia="宋体" w:cs="宋体"/>
                <w:b w:val="0"/>
                <w:bCs/>
                <w:sz w:val="21"/>
                <w:szCs w:val="21"/>
                <w:lang w:val="en-US" w:eastAsia="zh-CN"/>
              </w:rPr>
              <w:t>进行</w:t>
            </w:r>
            <w:r>
              <w:rPr>
                <w:rFonts w:hint="eastAsia" w:ascii="宋体" w:hAnsi="宋体" w:eastAsia="宋体" w:cs="宋体"/>
                <w:b w:val="0"/>
                <w:bCs/>
                <w:sz w:val="21"/>
                <w:szCs w:val="21"/>
                <w:highlight w:val="none"/>
                <w:lang w:val="en-US" w:eastAsia="zh-CN"/>
              </w:rPr>
              <w:t>综合评分</w:t>
            </w:r>
            <w:r>
              <w:rPr>
                <w:rFonts w:hint="eastAsia" w:ascii="宋体" w:hAnsi="宋体" w:eastAsia="宋体" w:cs="宋体"/>
                <w:b w:val="0"/>
                <w:bCs/>
                <w:sz w:val="21"/>
                <w:szCs w:val="21"/>
              </w:rPr>
              <w:t xml:space="preserve">： </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1、方案科学、合理、有针对性得</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2、方案较科学、合理得</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3、方案较粗糙，与本项目契合度不高得</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分</w:t>
            </w:r>
            <w:r>
              <w:rPr>
                <w:rFonts w:hint="eastAsia" w:ascii="宋体" w:hAnsi="宋体" w:cs="宋体"/>
                <w:b w:val="0"/>
                <w:bCs/>
                <w:sz w:val="21"/>
                <w:szCs w:val="21"/>
                <w:lang w:eastAsia="zh-CN"/>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val="en-US" w:eastAsia="zh-CN"/>
              </w:rPr>
              <w:t>4、未提供本项不得分。</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03"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rPr>
              <w:t>应急</w:t>
            </w:r>
            <w:r>
              <w:rPr>
                <w:rFonts w:hint="eastAsia" w:ascii="宋体" w:hAnsi="宋体" w:eastAsia="宋体" w:cs="宋体"/>
                <w:sz w:val="21"/>
                <w:szCs w:val="21"/>
                <w:highlight w:val="none"/>
                <w:lang w:val="en-US" w:eastAsia="zh-CN"/>
              </w:rPr>
              <w:t>措施</w:t>
            </w:r>
          </w:p>
        </w:tc>
        <w:tc>
          <w:tcPr>
            <w:tcW w:w="637"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highlight w:val="none"/>
              </w:rPr>
              <w:t>主观</w:t>
            </w: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根据投标人针对本项目，对设备损坏、应急响应速度等应急措施及方案进行</w:t>
            </w:r>
            <w:r>
              <w:rPr>
                <w:rFonts w:hint="eastAsia" w:ascii="宋体" w:hAnsi="宋体" w:eastAsia="宋体" w:cs="宋体"/>
                <w:b w:val="0"/>
                <w:bCs/>
                <w:sz w:val="21"/>
                <w:szCs w:val="21"/>
                <w:highlight w:val="none"/>
                <w:lang w:val="en-US" w:eastAsia="zh-CN"/>
              </w:rPr>
              <w:t>综合评分</w:t>
            </w:r>
            <w:r>
              <w:rPr>
                <w:rFonts w:hint="eastAsia" w:ascii="宋体" w:hAnsi="宋体" w:eastAsia="宋体" w:cs="宋体"/>
                <w:b w:val="0"/>
                <w:bCs w:val="0"/>
                <w:sz w:val="21"/>
                <w:szCs w:val="21"/>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color w:val="000000"/>
                <w:kern w:val="0"/>
                <w:sz w:val="21"/>
                <w:szCs w:val="21"/>
              </w:rPr>
              <w:t>保障措施</w:t>
            </w:r>
            <w:r>
              <w:rPr>
                <w:rFonts w:hint="eastAsia" w:ascii="宋体" w:hAnsi="宋体" w:eastAsia="宋体" w:cs="宋体"/>
                <w:b w:val="0"/>
                <w:bCs w:val="0"/>
                <w:color w:val="000000"/>
                <w:kern w:val="0"/>
                <w:sz w:val="21"/>
                <w:szCs w:val="21"/>
                <w:lang w:val="en-US" w:eastAsia="zh-CN"/>
              </w:rPr>
              <w:t>科学全面</w:t>
            </w:r>
            <w:r>
              <w:rPr>
                <w:rFonts w:hint="eastAsia" w:ascii="宋体" w:hAnsi="宋体" w:eastAsia="宋体" w:cs="宋体"/>
                <w:b w:val="0"/>
                <w:bCs w:val="0"/>
                <w:sz w:val="21"/>
                <w:szCs w:val="21"/>
                <w:highlight w:val="none"/>
                <w:lang w:val="en-US" w:eastAsia="zh-CN"/>
              </w:rPr>
              <w:t>方案明确完善，措施合理可行得</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2、方案及措施基本可行得</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3、方案及措施</w:t>
            </w:r>
            <w:r>
              <w:rPr>
                <w:rFonts w:hint="eastAsia" w:ascii="宋体" w:hAnsi="宋体" w:cs="宋体"/>
                <w:b w:val="0"/>
                <w:bCs w:val="0"/>
                <w:sz w:val="21"/>
                <w:szCs w:val="21"/>
                <w:highlight w:val="none"/>
                <w:lang w:val="en-US" w:eastAsia="zh-CN"/>
              </w:rPr>
              <w:t>比</w:t>
            </w:r>
            <w:r>
              <w:rPr>
                <w:rFonts w:hint="eastAsia" w:ascii="宋体" w:hAnsi="宋体" w:eastAsia="宋体" w:cs="宋体"/>
                <w:b w:val="0"/>
                <w:bCs w:val="0"/>
                <w:sz w:val="21"/>
                <w:szCs w:val="21"/>
                <w:highlight w:val="none"/>
                <w:lang w:val="en-US" w:eastAsia="zh-CN"/>
              </w:rPr>
              <w:t>较粗糙，实施起来较困难得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val="0"/>
                <w:color w:val="000000"/>
                <w:kern w:val="0"/>
                <w:sz w:val="21"/>
                <w:szCs w:val="21"/>
                <w:lang w:val="en-US" w:eastAsia="zh-CN"/>
              </w:rPr>
              <w:t>4、未提供本项不得分。</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03"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none"/>
                <w:lang w:val="en-US" w:eastAsia="zh-CN"/>
              </w:rPr>
              <w:t>售后</w:t>
            </w:r>
            <w:r>
              <w:rPr>
                <w:rFonts w:hint="eastAsia" w:ascii="宋体" w:hAnsi="宋体" w:eastAsia="宋体" w:cs="宋体"/>
                <w:kern w:val="0"/>
                <w:sz w:val="21"/>
                <w:szCs w:val="21"/>
                <w:highlight w:val="none"/>
              </w:rPr>
              <w:t>服务</w:t>
            </w:r>
            <w:r>
              <w:rPr>
                <w:rFonts w:hint="eastAsia" w:ascii="宋体" w:hAnsi="宋体" w:eastAsia="宋体" w:cs="宋体"/>
                <w:kern w:val="0"/>
                <w:sz w:val="21"/>
                <w:szCs w:val="21"/>
                <w:highlight w:val="none"/>
                <w:lang w:val="en-US" w:eastAsia="zh-CN"/>
              </w:rPr>
              <w:t>方案</w:t>
            </w:r>
          </w:p>
        </w:tc>
        <w:tc>
          <w:tcPr>
            <w:tcW w:w="637"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highlight w:val="none"/>
              </w:rPr>
              <w:t>主观</w:t>
            </w:r>
          </w:p>
        </w:tc>
        <w:tc>
          <w:tcPr>
            <w:tcW w:w="3277" w:type="pct"/>
            <w:noWrap w:val="0"/>
            <w:vAlign w:val="top"/>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根据投标人针对本项目提供的服务方案（包括服务标准、服务响应能力、售后技术人员配备、备品备件、服务便捷程度等）进行综合评分：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1、服务体系完整，服务响应时间及时，售后技术人员配备完善，优于本项目实际需求得</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2、服务体系较完整，服务响应时间、售后技术人员配备基本满足本项目实际需求得</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3、服务体系不完整，服务响应时间较难满足本项目实际需求得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val="0"/>
                <w:color w:val="000000"/>
                <w:kern w:val="0"/>
                <w:sz w:val="21"/>
                <w:szCs w:val="21"/>
                <w:lang w:val="en-US" w:eastAsia="zh-CN"/>
              </w:rPr>
              <w:t>4、未提供本项不得分。</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617" w:type="pct"/>
            <w:gridSpan w:val="3"/>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合计</w:t>
            </w:r>
          </w:p>
        </w:tc>
        <w:tc>
          <w:tcPr>
            <w:tcW w:w="382" w:type="pct"/>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w:t>
            </w:r>
          </w:p>
        </w:tc>
      </w:tr>
    </w:tbl>
    <w:p>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b/>
          <w:bCs/>
          <w:spacing w:val="6"/>
          <w:sz w:val="21"/>
          <w:szCs w:val="21"/>
        </w:rPr>
      </w:pPr>
    </w:p>
    <w:p>
      <w:pPr>
        <w:keepNext w:val="0"/>
        <w:keepLines w:val="0"/>
        <w:pageBreakBefore w:val="0"/>
        <w:kinsoku/>
        <w:wordWrap/>
        <w:overflowPunct/>
        <w:topLinePunct w:val="0"/>
        <w:bidi w:val="0"/>
        <w:spacing w:line="360" w:lineRule="auto"/>
        <w:rPr>
          <w:rFonts w:ascii="宋体" w:hAnsi="宋体" w:cs="宋体"/>
          <w:b/>
          <w:sz w:val="28"/>
          <w:szCs w:val="28"/>
        </w:rPr>
      </w:pPr>
      <w:r>
        <w:rPr>
          <w:rFonts w:hint="eastAsia" w:ascii="宋体" w:hAnsi="宋体" w:cs="宋体"/>
          <w:b/>
          <w:sz w:val="28"/>
          <w:szCs w:val="28"/>
        </w:rPr>
        <w:br w:type="page"/>
      </w:r>
    </w:p>
    <w:p>
      <w:pPr>
        <w:keepNext w:val="0"/>
        <w:keepLines w:val="0"/>
        <w:pageBreakBefore w:val="0"/>
        <w:kinsoku/>
        <w:wordWrap/>
        <w:overflowPunct/>
        <w:topLinePunct w:val="0"/>
        <w:bidi w:val="0"/>
        <w:snapToGrid w:val="0"/>
        <w:spacing w:line="360" w:lineRule="auto"/>
        <w:jc w:val="center"/>
        <w:outlineLvl w:val="0"/>
        <w:rPr>
          <w:rFonts w:ascii="宋体" w:hAnsi="宋体" w:cs="宋体"/>
          <w:b/>
          <w:sz w:val="28"/>
          <w:szCs w:val="28"/>
        </w:rPr>
      </w:pPr>
      <w:bookmarkStart w:id="53" w:name="_Toc15797"/>
      <w:r>
        <w:rPr>
          <w:rFonts w:hint="eastAsia" w:ascii="宋体" w:hAnsi="宋体" w:cs="宋体"/>
          <w:b/>
          <w:sz w:val="28"/>
          <w:szCs w:val="28"/>
        </w:rPr>
        <w:t>第五章  合同主要条款</w:t>
      </w:r>
      <w:bookmarkEnd w:id="53"/>
    </w:p>
    <w:p>
      <w:pPr>
        <w:keepNext w:val="0"/>
        <w:keepLines w:val="0"/>
        <w:pageBreakBefore w:val="0"/>
        <w:kinsoku/>
        <w:wordWrap/>
        <w:overflowPunct/>
        <w:topLinePunct w:val="0"/>
        <w:bidi w:val="0"/>
        <w:snapToGrid w:val="0"/>
        <w:spacing w:before="156" w:beforeLines="50" w:after="156" w:afterLines="50" w:line="360" w:lineRule="auto"/>
        <w:jc w:val="center"/>
        <w:outlineLvl w:val="9"/>
        <w:rPr>
          <w:rFonts w:ascii="宋体" w:hAnsi="宋体" w:cs="宋体"/>
          <w:b/>
          <w:sz w:val="30"/>
          <w:szCs w:val="30"/>
        </w:rPr>
      </w:pPr>
      <w:bookmarkStart w:id="54" w:name="_Toc15355"/>
      <w:r>
        <w:rPr>
          <w:rFonts w:hint="eastAsia" w:ascii="宋体" w:hAnsi="宋体" w:cs="宋体"/>
          <w:b/>
          <w:sz w:val="24"/>
          <w:szCs w:val="24"/>
        </w:rPr>
        <w:t>（具体条款以甲方为主协商确定）</w:t>
      </w:r>
      <w:bookmarkEnd w:id="54"/>
    </w:p>
    <w:p>
      <w:pPr>
        <w:keepNext w:val="0"/>
        <w:keepLines w:val="0"/>
        <w:pageBreakBefore w:val="0"/>
        <w:kinsoku/>
        <w:wordWrap/>
        <w:overflowPunct/>
        <w:topLinePunct w:val="0"/>
        <w:bidi w:val="0"/>
        <w:spacing w:line="360" w:lineRule="auto"/>
        <w:jc w:val="center"/>
        <w:rPr>
          <w:rFonts w:ascii="宋体" w:hAnsi="宋体" w:cs="宋体"/>
          <w:sz w:val="44"/>
        </w:rPr>
      </w:pPr>
    </w:p>
    <w:p>
      <w:pPr>
        <w:keepNext w:val="0"/>
        <w:keepLines w:val="0"/>
        <w:pageBreakBefore w:val="0"/>
        <w:kinsoku/>
        <w:wordWrap/>
        <w:overflowPunct/>
        <w:topLinePunct w:val="0"/>
        <w:bidi w:val="0"/>
        <w:spacing w:line="360" w:lineRule="auto"/>
        <w:rPr>
          <w:rFonts w:ascii="宋体" w:hAnsi="宋体" w:cs="宋体"/>
          <w:sz w:val="44"/>
        </w:rPr>
      </w:pPr>
    </w:p>
    <w:p>
      <w:pPr>
        <w:keepNext w:val="0"/>
        <w:keepLines w:val="0"/>
        <w:pageBreakBefore w:val="0"/>
        <w:kinsoku/>
        <w:wordWrap/>
        <w:overflowPunct/>
        <w:topLinePunct w:val="0"/>
        <w:bidi w:val="0"/>
        <w:spacing w:line="360" w:lineRule="auto"/>
        <w:jc w:val="center"/>
        <w:rPr>
          <w:rFonts w:ascii="宋体" w:hAnsi="宋体" w:cs="宋体"/>
          <w:sz w:val="44"/>
        </w:rPr>
      </w:pPr>
      <w:r>
        <w:rPr>
          <w:rFonts w:hint="eastAsia" w:ascii="宋体" w:hAnsi="宋体" w:cs="宋体"/>
          <w:sz w:val="44"/>
        </w:rPr>
        <w:t>项目合同</w:t>
      </w:r>
    </w:p>
    <w:p>
      <w:pPr>
        <w:keepNext w:val="0"/>
        <w:keepLines w:val="0"/>
        <w:pageBreakBefore w:val="0"/>
        <w:kinsoku/>
        <w:wordWrap/>
        <w:overflowPunct/>
        <w:topLinePunct w:val="0"/>
        <w:bidi w:val="0"/>
        <w:spacing w:line="360" w:lineRule="auto"/>
        <w:jc w:val="center"/>
        <w:rPr>
          <w:rFonts w:ascii="宋体" w:hAnsi="宋体" w:cs="宋体"/>
          <w:sz w:val="30"/>
          <w:szCs w:val="30"/>
        </w:rPr>
      </w:pPr>
    </w:p>
    <w:p>
      <w:pPr>
        <w:keepNext w:val="0"/>
        <w:keepLines w:val="0"/>
        <w:pageBreakBefore w:val="0"/>
        <w:kinsoku/>
        <w:wordWrap/>
        <w:overflowPunct/>
        <w:topLinePunct w:val="0"/>
        <w:bidi w:val="0"/>
        <w:spacing w:line="360" w:lineRule="auto"/>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pPr>
        <w:keepNext w:val="0"/>
        <w:keepLines w:val="0"/>
        <w:pageBreakBefore w:val="0"/>
        <w:kinsoku/>
        <w:wordWrap/>
        <w:overflowPunct/>
        <w:topLinePunct w:val="0"/>
        <w:bidi w:val="0"/>
        <w:spacing w:line="360" w:lineRule="auto"/>
        <w:ind w:firstLine="354" w:firstLineChars="118"/>
        <w:rPr>
          <w:rFonts w:ascii="宋体" w:hAnsi="宋体" w:cs="宋体"/>
          <w:sz w:val="30"/>
          <w:szCs w:val="30"/>
        </w:rPr>
      </w:pPr>
    </w:p>
    <w:p>
      <w:pPr>
        <w:keepNext w:val="0"/>
        <w:keepLines w:val="0"/>
        <w:pageBreakBefore w:val="0"/>
        <w:kinsoku/>
        <w:wordWrap/>
        <w:overflowPunct/>
        <w:topLinePunct w:val="0"/>
        <w:bidi w:val="0"/>
        <w:spacing w:line="360" w:lineRule="auto"/>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pPr>
        <w:keepNext w:val="0"/>
        <w:keepLines w:val="0"/>
        <w:pageBreakBefore w:val="0"/>
        <w:kinsoku/>
        <w:wordWrap/>
        <w:overflowPunct/>
        <w:topLinePunct w:val="0"/>
        <w:bidi w:val="0"/>
        <w:spacing w:line="360" w:lineRule="auto"/>
        <w:rPr>
          <w:rFonts w:ascii="宋体" w:hAnsi="宋体" w:cs="宋体"/>
          <w:sz w:val="28"/>
          <w:szCs w:val="28"/>
        </w:rPr>
      </w:pPr>
    </w:p>
    <w:p>
      <w:pPr>
        <w:keepNext w:val="0"/>
        <w:keepLines w:val="0"/>
        <w:pageBreakBefore w:val="0"/>
        <w:kinsoku/>
        <w:wordWrap/>
        <w:overflowPunct/>
        <w:topLinePunct w:val="0"/>
        <w:bidi w:val="0"/>
        <w:spacing w:line="360" w:lineRule="auto"/>
        <w:rPr>
          <w:rFonts w:ascii="宋体" w:hAnsi="宋体" w:cs="宋体"/>
          <w:sz w:val="30"/>
          <w:szCs w:val="30"/>
        </w:rPr>
      </w:pPr>
    </w:p>
    <w:p>
      <w:pPr>
        <w:keepNext w:val="0"/>
        <w:keepLines w:val="0"/>
        <w:pageBreakBefore w:val="0"/>
        <w:kinsoku/>
        <w:wordWrap/>
        <w:overflowPunct/>
        <w:topLinePunct w:val="0"/>
        <w:bidi w:val="0"/>
        <w:spacing w:line="360" w:lineRule="auto"/>
        <w:rPr>
          <w:rFonts w:ascii="宋体" w:hAnsi="宋体" w:cs="宋体"/>
          <w:sz w:val="30"/>
          <w:szCs w:val="30"/>
        </w:rPr>
      </w:pPr>
    </w:p>
    <w:p>
      <w:pPr>
        <w:keepNext w:val="0"/>
        <w:keepLines w:val="0"/>
        <w:pageBreakBefore w:val="0"/>
        <w:kinsoku/>
        <w:wordWrap/>
        <w:overflowPunct/>
        <w:topLinePunct w:val="0"/>
        <w:bidi w:val="0"/>
        <w:spacing w:line="360" w:lineRule="auto"/>
        <w:rPr>
          <w:rFonts w:ascii="宋体" w:hAnsi="宋体" w:cs="宋体"/>
          <w:sz w:val="30"/>
          <w:szCs w:val="30"/>
        </w:rPr>
      </w:pPr>
    </w:p>
    <w:p>
      <w:pPr>
        <w:keepNext w:val="0"/>
        <w:keepLines w:val="0"/>
        <w:pageBreakBefore w:val="0"/>
        <w:kinsoku/>
        <w:wordWrap/>
        <w:overflowPunct/>
        <w:topLinePunct w:val="0"/>
        <w:bidi w:val="0"/>
        <w:spacing w:line="360" w:lineRule="auto"/>
        <w:rPr>
          <w:rFonts w:ascii="宋体" w:hAnsi="宋体" w:cs="宋体"/>
          <w:sz w:val="30"/>
          <w:szCs w:val="30"/>
        </w:rPr>
      </w:pPr>
    </w:p>
    <w:p>
      <w:pPr>
        <w:pStyle w:val="10"/>
        <w:keepNext w:val="0"/>
        <w:keepLines w:val="0"/>
        <w:pageBreakBefore w:val="0"/>
        <w:kinsoku/>
        <w:wordWrap/>
        <w:overflowPunct/>
        <w:topLinePunct w:val="0"/>
        <w:bidi w:val="0"/>
        <w:spacing w:line="360" w:lineRule="auto"/>
        <w:ind w:left="1470" w:right="-252"/>
        <w:rPr>
          <w:rFonts w:ascii="Times New Roman" w:hAnsi="Times New Roman"/>
        </w:rPr>
      </w:pPr>
    </w:p>
    <w:p>
      <w:pPr>
        <w:keepNext w:val="0"/>
        <w:keepLines w:val="0"/>
        <w:pageBreakBefore w:val="0"/>
        <w:kinsoku/>
        <w:wordWrap/>
        <w:overflowPunct/>
        <w:topLinePunct w:val="0"/>
        <w:bidi w:val="0"/>
        <w:spacing w:line="360" w:lineRule="auto"/>
        <w:ind w:firstLine="1026" w:firstLineChars="342"/>
        <w:rPr>
          <w:rFonts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pPr>
        <w:keepNext w:val="0"/>
        <w:keepLines w:val="0"/>
        <w:pageBreakBefore w:val="0"/>
        <w:kinsoku/>
        <w:wordWrap/>
        <w:overflowPunct/>
        <w:topLinePunct w:val="0"/>
        <w:bidi w:val="0"/>
        <w:spacing w:line="360" w:lineRule="auto"/>
        <w:ind w:firstLine="1026" w:firstLineChars="342"/>
        <w:rPr>
          <w:rFonts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pPr>
        <w:keepNext w:val="0"/>
        <w:keepLines w:val="0"/>
        <w:pageBreakBefore w:val="0"/>
        <w:kinsoku/>
        <w:wordWrap/>
        <w:overflowPunct/>
        <w:topLinePunct w:val="0"/>
        <w:bidi w:val="0"/>
        <w:spacing w:line="360" w:lineRule="auto"/>
        <w:ind w:firstLine="1026" w:firstLineChars="342"/>
        <w:rPr>
          <w:rFonts w:ascii="宋体" w:hAnsi="宋体" w:cs="宋体"/>
          <w:sz w:val="30"/>
          <w:szCs w:val="30"/>
        </w:rPr>
      </w:pPr>
      <w:r>
        <w:rPr>
          <w:rFonts w:hint="eastAsia" w:ascii="宋体" w:hAnsi="宋体" w:cs="宋体"/>
          <w:sz w:val="30"/>
          <w:szCs w:val="30"/>
        </w:rPr>
        <w:t>合同签</w:t>
      </w:r>
      <w:r>
        <w:rPr>
          <w:rFonts w:hint="eastAsia" w:ascii="宋体" w:hAnsi="宋体" w:cs="宋体"/>
          <w:sz w:val="30"/>
          <w:szCs w:val="30"/>
          <w:lang w:val="en-US" w:eastAsia="zh-CN"/>
        </w:rPr>
        <w:t>订</w:t>
      </w:r>
      <w:r>
        <w:rPr>
          <w:rFonts w:hint="eastAsia" w:ascii="宋体" w:hAnsi="宋体" w:cs="宋体"/>
          <w:sz w:val="30"/>
          <w:szCs w:val="30"/>
        </w:rPr>
        <w:t>日：</w:t>
      </w:r>
      <w:r>
        <w:rPr>
          <w:rFonts w:hint="eastAsia" w:ascii="宋体" w:hAnsi="宋体" w:cs="宋体"/>
          <w:sz w:val="36"/>
          <w:szCs w:val="36"/>
          <w:u w:val="single"/>
        </w:rPr>
        <w:t xml:space="preserve">20  年   月   日                </w:t>
      </w:r>
    </w:p>
    <w:p>
      <w:pPr>
        <w:keepNext w:val="0"/>
        <w:keepLines w:val="0"/>
        <w:pageBreakBefore w:val="0"/>
        <w:tabs>
          <w:tab w:val="left" w:pos="8610"/>
        </w:tabs>
        <w:kinsoku/>
        <w:wordWrap/>
        <w:overflowPunct/>
        <w:topLinePunct w:val="0"/>
        <w:bidi w:val="0"/>
        <w:spacing w:line="360" w:lineRule="auto"/>
        <w:ind w:firstLine="1026" w:firstLineChars="342"/>
        <w:rPr>
          <w:rFonts w:ascii="宋体" w:hAnsi="宋体" w:cs="宋体"/>
          <w:sz w:val="30"/>
          <w:szCs w:val="30"/>
          <w:u w:val="single"/>
        </w:rPr>
      </w:pPr>
      <w:r>
        <w:rPr>
          <w:rFonts w:hint="eastAsia" w:ascii="宋体" w:hAnsi="宋体" w:cs="宋体"/>
          <w:sz w:val="30"/>
          <w:szCs w:val="30"/>
        </w:rPr>
        <w:t>合同签</w:t>
      </w:r>
      <w:r>
        <w:rPr>
          <w:rFonts w:hint="eastAsia" w:ascii="宋体" w:hAnsi="宋体" w:cs="宋体"/>
          <w:sz w:val="30"/>
          <w:szCs w:val="30"/>
          <w:lang w:val="en-US" w:eastAsia="zh-CN"/>
        </w:rPr>
        <w:t>订</w:t>
      </w:r>
      <w:r>
        <w:rPr>
          <w:rFonts w:hint="eastAsia" w:ascii="宋体" w:hAnsi="宋体" w:cs="宋体"/>
          <w:sz w:val="30"/>
          <w:szCs w:val="30"/>
        </w:rPr>
        <w:t>地点：</w:t>
      </w:r>
      <w:r>
        <w:rPr>
          <w:rFonts w:hint="eastAsia" w:ascii="宋体" w:hAnsi="宋体" w:cs="宋体"/>
          <w:sz w:val="30"/>
          <w:szCs w:val="30"/>
          <w:u w:val="single"/>
        </w:rPr>
        <w:t>舟山市</w:t>
      </w:r>
      <w:r>
        <w:rPr>
          <w:rFonts w:hint="eastAsia" w:ascii="宋体" w:hAnsi="宋体" w:cs="宋体"/>
          <w:sz w:val="36"/>
          <w:szCs w:val="36"/>
          <w:u w:val="single"/>
        </w:rPr>
        <w:t xml:space="preserve">                         </w:t>
      </w:r>
    </w:p>
    <w:p>
      <w:pPr>
        <w:keepNext w:val="0"/>
        <w:keepLines w:val="0"/>
        <w:pageBreakBefore w:val="0"/>
        <w:kinsoku/>
        <w:wordWrap/>
        <w:overflowPunct/>
        <w:topLinePunct w:val="0"/>
        <w:bidi w:val="0"/>
        <w:spacing w:line="360" w:lineRule="auto"/>
        <w:ind w:right="6"/>
        <w:rPr>
          <w:rFonts w:ascii="宋体" w:hAnsi="宋体"/>
          <w:spacing w:val="4"/>
          <w:sz w:val="24"/>
          <w:szCs w:val="24"/>
        </w:rPr>
      </w:pPr>
    </w:p>
    <w:p>
      <w:pPr>
        <w:keepNext w:val="0"/>
        <w:keepLines w:val="0"/>
        <w:pageBreakBefore w:val="0"/>
        <w:kinsoku/>
        <w:wordWrap/>
        <w:overflowPunct/>
        <w:topLinePunct w:val="0"/>
        <w:bidi w:val="0"/>
        <w:spacing w:line="360" w:lineRule="auto"/>
        <w:ind w:firstLine="436" w:firstLineChars="200"/>
        <w:rPr>
          <w:rFonts w:ascii="宋体" w:hAnsi="宋体" w:cs="宋体"/>
          <w:spacing w:val="4"/>
          <w:szCs w:val="21"/>
        </w:rPr>
      </w:pPr>
    </w:p>
    <w:p>
      <w:pPr>
        <w:keepNext w:val="0"/>
        <w:keepLines w:val="0"/>
        <w:pageBreakBefore w:val="0"/>
        <w:kinsoku/>
        <w:wordWrap/>
        <w:overflowPunct/>
        <w:topLinePunct w:val="0"/>
        <w:bidi w:val="0"/>
        <w:spacing w:line="360" w:lineRule="auto"/>
        <w:rPr>
          <w:rFonts w:ascii="宋体" w:hAnsi="宋体" w:cs="宋体"/>
          <w:spacing w:val="4"/>
          <w:szCs w:val="21"/>
        </w:rPr>
      </w:pPr>
      <w:r>
        <w:rPr>
          <w:rFonts w:hint="eastAsia" w:ascii="宋体" w:hAnsi="宋体" w:cs="宋体"/>
          <w:spacing w:val="4"/>
          <w:szCs w:val="21"/>
        </w:rPr>
        <w:br w:type="page"/>
      </w:r>
    </w:p>
    <w:p>
      <w:pPr>
        <w:keepNext w:val="0"/>
        <w:keepLines w:val="0"/>
        <w:pageBreakBefore w:val="0"/>
        <w:widowControl w:val="0"/>
        <w:kinsoku/>
        <w:wordWrap/>
        <w:overflowPunct/>
        <w:topLinePunct w:val="0"/>
        <w:autoSpaceDE/>
        <w:autoSpaceDN/>
        <w:bidi w:val="0"/>
        <w:spacing w:line="360" w:lineRule="auto"/>
        <w:ind w:firstLine="436" w:firstLineChars="200"/>
        <w:rPr>
          <w:rFonts w:hint="eastAsia" w:ascii="宋体" w:hAnsi="宋体" w:eastAsia="宋体" w:cs="宋体"/>
          <w:spacing w:val="4"/>
          <w:sz w:val="21"/>
          <w:szCs w:val="21"/>
        </w:rPr>
      </w:pPr>
      <w:r>
        <w:rPr>
          <w:rFonts w:hint="eastAsia" w:ascii="宋体" w:hAnsi="宋体" w:eastAsia="宋体" w:cs="宋体"/>
          <w:spacing w:val="4"/>
          <w:sz w:val="21"/>
          <w:szCs w:val="21"/>
        </w:rPr>
        <w:t>甲方对</w:t>
      </w:r>
      <w:r>
        <w:rPr>
          <w:rFonts w:hint="eastAsia" w:ascii="宋体" w:hAnsi="宋体" w:eastAsia="宋体" w:cs="宋体"/>
          <w:sz w:val="21"/>
          <w:szCs w:val="21"/>
          <w:u w:val="single"/>
        </w:rPr>
        <w:t xml:space="preserve">                                                </w:t>
      </w:r>
      <w:r>
        <w:rPr>
          <w:rFonts w:hint="eastAsia" w:ascii="宋体" w:hAnsi="宋体" w:eastAsia="宋体" w:cs="宋体"/>
          <w:spacing w:val="4"/>
          <w:sz w:val="21"/>
          <w:szCs w:val="21"/>
        </w:rPr>
        <w:t>进行公开招标。经评审小组评定并最终审核通过，确定乙方为本项采购项目的中标人。甲乙双方根据《中华人民共和国政府采购法》、《中华人民共和国</w:t>
      </w:r>
      <w:r>
        <w:rPr>
          <w:rFonts w:hint="eastAsia" w:ascii="宋体" w:hAnsi="宋体" w:eastAsia="宋体" w:cs="宋体"/>
          <w:spacing w:val="4"/>
          <w:sz w:val="21"/>
          <w:szCs w:val="21"/>
          <w:lang w:val="en-US" w:eastAsia="zh-CN"/>
        </w:rPr>
        <w:t>民法典</w:t>
      </w:r>
      <w:r>
        <w:rPr>
          <w:rFonts w:hint="eastAsia" w:ascii="宋体" w:hAnsi="宋体" w:eastAsia="宋体" w:cs="宋体"/>
          <w:spacing w:val="4"/>
          <w:sz w:val="21"/>
          <w:szCs w:val="21"/>
        </w:rPr>
        <w:t>》等相关法律法规及本项目招标文件的规定，双方经平等协商达成一致意见，订立本合同。</w:t>
      </w:r>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55" w:name="_Toc14180"/>
      <w:r>
        <w:rPr>
          <w:rFonts w:hint="eastAsia" w:ascii="宋体" w:hAnsi="宋体" w:eastAsia="宋体" w:cs="宋体"/>
          <w:b/>
          <w:sz w:val="21"/>
          <w:szCs w:val="21"/>
        </w:rPr>
        <w:t>一、合同文件</w:t>
      </w:r>
      <w:bookmarkEnd w:id="55"/>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下列文件构成本合同的组成部分：</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招标文件</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投标文件</w:t>
      </w:r>
    </w:p>
    <w:p>
      <w:pPr>
        <w:keepNext w:val="0"/>
        <w:keepLines w:val="0"/>
        <w:pageBreakBefore w:val="0"/>
        <w:widowControl w:val="0"/>
        <w:numPr>
          <w:ilvl w:val="0"/>
          <w:numId w:val="6"/>
        </w:numPr>
        <w:kinsoku/>
        <w:wordWrap/>
        <w:overflowPunct/>
        <w:topLinePunct w:val="0"/>
        <w:autoSpaceDE/>
        <w:autoSpaceDN/>
        <w:bidi w:val="0"/>
        <w:adjustRightInd w:val="0"/>
        <w:spacing w:line="360" w:lineRule="auto"/>
        <w:ind w:lef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相关补充文件（如有）</w:t>
      </w:r>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56" w:name="_Toc7720"/>
      <w:r>
        <w:rPr>
          <w:rFonts w:hint="eastAsia" w:ascii="宋体" w:hAnsi="宋体" w:eastAsia="宋体" w:cs="宋体"/>
          <w:b/>
          <w:sz w:val="21"/>
          <w:szCs w:val="21"/>
        </w:rPr>
        <w:t>二、合同范围和条件</w:t>
      </w:r>
      <w:bookmarkEnd w:id="56"/>
    </w:p>
    <w:p>
      <w:pPr>
        <w:keepNext w:val="0"/>
        <w:keepLines w:val="0"/>
        <w:pageBreakBefore w:val="0"/>
        <w:widowControl w:val="0"/>
        <w:kinsoku/>
        <w:wordWrap/>
        <w:overflowPunct/>
        <w:topLinePunct w:val="0"/>
        <w:autoSpaceDE/>
        <w:autoSpaceDN/>
        <w:bidi w:val="0"/>
        <w:spacing w:line="360" w:lineRule="auto"/>
        <w:ind w:firstLine="436" w:firstLineChars="200"/>
        <w:rPr>
          <w:rFonts w:hint="eastAsia" w:ascii="宋体" w:hAnsi="宋体" w:eastAsia="宋体" w:cs="宋体"/>
          <w:spacing w:val="4"/>
          <w:sz w:val="21"/>
          <w:szCs w:val="21"/>
        </w:rPr>
      </w:pPr>
      <w:r>
        <w:rPr>
          <w:rFonts w:hint="eastAsia" w:ascii="宋体" w:hAnsi="宋体" w:eastAsia="宋体" w:cs="宋体"/>
          <w:spacing w:val="4"/>
          <w:sz w:val="21"/>
          <w:szCs w:val="21"/>
        </w:rPr>
        <w:t>本合同的范围和条件与上述规定的合同文件内容一致。</w:t>
      </w:r>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57" w:name="_Toc27601"/>
      <w:r>
        <w:rPr>
          <w:rFonts w:hint="eastAsia" w:ascii="宋体" w:hAnsi="宋体" w:eastAsia="宋体" w:cs="宋体"/>
          <w:b/>
          <w:sz w:val="21"/>
          <w:szCs w:val="21"/>
        </w:rPr>
        <w:t>三、产品的技术要求</w:t>
      </w:r>
      <w:bookmarkEnd w:id="57"/>
    </w:p>
    <w:p>
      <w:pPr>
        <w:keepNext w:val="0"/>
        <w:keepLines w:val="0"/>
        <w:pageBreakBefore w:val="0"/>
        <w:widowControl w:val="0"/>
        <w:kinsoku/>
        <w:wordWrap/>
        <w:overflowPunct/>
        <w:topLinePunct w:val="0"/>
        <w:autoSpaceDE/>
        <w:autoSpaceDN/>
        <w:bidi w:val="0"/>
        <w:spacing w:line="360" w:lineRule="auto"/>
        <w:ind w:firstLine="436" w:firstLineChars="200"/>
        <w:rPr>
          <w:rFonts w:hint="eastAsia" w:ascii="宋体" w:hAnsi="宋体" w:eastAsia="宋体" w:cs="宋体"/>
          <w:spacing w:val="4"/>
          <w:sz w:val="21"/>
          <w:szCs w:val="21"/>
        </w:rPr>
      </w:pPr>
      <w:r>
        <w:rPr>
          <w:rFonts w:hint="eastAsia" w:ascii="宋体" w:hAnsi="宋体" w:eastAsia="宋体" w:cs="宋体"/>
          <w:spacing w:val="4"/>
          <w:sz w:val="21"/>
          <w:szCs w:val="21"/>
        </w:rPr>
        <w:t>本产品的技术要求同招标文件第二章</w:t>
      </w:r>
      <w:r>
        <w:rPr>
          <w:rFonts w:hint="eastAsia" w:ascii="宋体" w:hAnsi="宋体" w:eastAsia="宋体" w:cs="宋体"/>
          <w:spacing w:val="4"/>
          <w:sz w:val="21"/>
          <w:szCs w:val="21"/>
          <w:lang w:val="en-US" w:eastAsia="zh-CN"/>
        </w:rPr>
        <w:t>采购</w:t>
      </w:r>
      <w:r>
        <w:rPr>
          <w:rFonts w:hint="eastAsia" w:ascii="宋体" w:hAnsi="宋体" w:eastAsia="宋体" w:cs="宋体"/>
          <w:spacing w:val="4"/>
          <w:sz w:val="21"/>
          <w:szCs w:val="21"/>
        </w:rPr>
        <w:t>需求相同。</w:t>
      </w:r>
    </w:p>
    <w:p>
      <w:pPr>
        <w:keepNext w:val="0"/>
        <w:keepLines w:val="0"/>
        <w:pageBreakBefore w:val="0"/>
        <w:widowControl w:val="0"/>
        <w:numPr>
          <w:ilvl w:val="0"/>
          <w:numId w:val="7"/>
        </w:numPr>
        <w:kinsoku/>
        <w:wordWrap/>
        <w:overflowPunct/>
        <w:topLinePunct w:val="0"/>
        <w:autoSpaceDE/>
        <w:autoSpaceDN/>
        <w:bidi w:val="0"/>
        <w:spacing w:line="360" w:lineRule="auto"/>
        <w:rPr>
          <w:rFonts w:hint="eastAsia" w:ascii="宋体" w:hAnsi="宋体" w:eastAsia="宋体" w:cs="宋体"/>
          <w:b/>
          <w:sz w:val="21"/>
          <w:szCs w:val="21"/>
        </w:rPr>
      </w:pPr>
      <w:bookmarkStart w:id="58" w:name="_Toc5673"/>
      <w:r>
        <w:rPr>
          <w:rFonts w:hint="eastAsia" w:ascii="宋体" w:hAnsi="宋体" w:eastAsia="宋体" w:cs="宋体"/>
          <w:b/>
          <w:sz w:val="21"/>
          <w:szCs w:val="21"/>
        </w:rPr>
        <w:t>合同金额</w:t>
      </w:r>
      <w:bookmarkEnd w:id="58"/>
    </w:p>
    <w:tbl>
      <w:tblPr>
        <w:tblStyle w:val="26"/>
        <w:tblW w:w="9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1740"/>
        <w:gridCol w:w="705"/>
        <w:gridCol w:w="705"/>
        <w:gridCol w:w="891"/>
        <w:gridCol w:w="2805"/>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2" w:type="dxa"/>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740"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建设内容</w:t>
            </w:r>
          </w:p>
        </w:tc>
        <w:tc>
          <w:tcPr>
            <w:tcW w:w="705" w:type="dxa"/>
            <w:tcBorders>
              <w:left w:val="single" w:color="auto" w:sz="4" w:space="0"/>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705" w:type="dxa"/>
            <w:tcBorders>
              <w:lef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891"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质保期</w:t>
            </w:r>
          </w:p>
        </w:tc>
        <w:tc>
          <w:tcPr>
            <w:tcW w:w="2805"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tc>
        <w:tc>
          <w:tcPr>
            <w:tcW w:w="2190"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统一折扣率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2" w:type="dxa"/>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740"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红绿灯维修保养</w:t>
            </w:r>
          </w:p>
        </w:tc>
        <w:tc>
          <w:tcPr>
            <w:tcW w:w="705" w:type="dxa"/>
            <w:tcBorders>
              <w:left w:val="single" w:color="auto" w:sz="4" w:space="0"/>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705" w:type="dxa"/>
            <w:tcBorders>
              <w:lef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w:t>
            </w:r>
          </w:p>
        </w:tc>
        <w:tc>
          <w:tcPr>
            <w:tcW w:w="891"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c>
          <w:tcPr>
            <w:tcW w:w="2805"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总价最高限价：1</w:t>
            </w:r>
            <w:r>
              <w:rPr>
                <w:rFonts w:hint="eastAsia" w:ascii="宋体" w:hAnsi="宋体" w:cs="宋体"/>
                <w:b w:val="0"/>
                <w:bCs w:val="0"/>
                <w:sz w:val="21"/>
                <w:szCs w:val="21"/>
                <w:highlight w:val="none"/>
                <w:lang w:val="en-US" w:eastAsia="zh-CN"/>
              </w:rPr>
              <w:t>57.7</w:t>
            </w:r>
            <w:r>
              <w:rPr>
                <w:rFonts w:hint="eastAsia" w:ascii="宋体" w:hAnsi="宋体" w:eastAsia="宋体" w:cs="宋体"/>
                <w:b w:val="0"/>
                <w:bCs w:val="0"/>
                <w:sz w:val="21"/>
                <w:szCs w:val="21"/>
                <w:highlight w:val="none"/>
                <w:lang w:val="en-US" w:eastAsia="zh-CN"/>
              </w:rPr>
              <w:t>万元</w:t>
            </w:r>
          </w:p>
        </w:tc>
        <w:tc>
          <w:tcPr>
            <w:tcW w:w="2190" w:type="dxa"/>
            <w:vMerge w:val="restart"/>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2" w:type="dxa"/>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740"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信号灯、标志、标线配套设施</w:t>
            </w:r>
            <w:r>
              <w:rPr>
                <w:rFonts w:hint="eastAsia" w:ascii="宋体" w:hAnsi="宋体" w:eastAsia="宋体" w:cs="宋体"/>
                <w:kern w:val="0"/>
                <w:sz w:val="21"/>
                <w:szCs w:val="21"/>
              </w:rPr>
              <w:t>按需维保建设</w:t>
            </w:r>
          </w:p>
        </w:tc>
        <w:tc>
          <w:tcPr>
            <w:tcW w:w="705" w:type="dxa"/>
            <w:tcBorders>
              <w:left w:val="single" w:color="auto" w:sz="4" w:space="0"/>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705" w:type="dxa"/>
            <w:tcBorders>
              <w:lef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w:t>
            </w:r>
          </w:p>
        </w:tc>
        <w:tc>
          <w:tcPr>
            <w:tcW w:w="891"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c>
          <w:tcPr>
            <w:tcW w:w="2805"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单价最高限价：</w:t>
            </w:r>
          </w:p>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详见红绿灯改造服务内容（表3）</w:t>
            </w:r>
          </w:p>
        </w:tc>
        <w:tc>
          <w:tcPr>
            <w:tcW w:w="2190" w:type="dxa"/>
            <w:vMerge w:val="continue"/>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p>
        </w:tc>
      </w:tr>
    </w:tbl>
    <w:p>
      <w:pPr>
        <w:pStyle w:val="35"/>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1、投标报价：乙方针对以上建设内容的最高限价填报统一折扣率；</w:t>
      </w:r>
    </w:p>
    <w:p>
      <w:pPr>
        <w:pStyle w:val="35"/>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2、红绿灯维修保养部分合同总价=总价最高限价×中标折扣率；</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highlight w:val="none"/>
          <w:lang w:val="en-US" w:eastAsia="zh-CN"/>
        </w:rPr>
        <w:t>3、信号灯、标志、标线配套设施按需维保建设合同单价=单价最高限价×中标折扣率，根据实际数量结算。</w:t>
      </w:r>
    </w:p>
    <w:p>
      <w:pPr>
        <w:pStyle w:val="35"/>
        <w:keepNext w:val="0"/>
        <w:keepLines w:val="0"/>
        <w:pageBreakBefore w:val="0"/>
        <w:widowControl w:val="0"/>
        <w:kinsoku/>
        <w:wordWrap/>
        <w:overflowPunct/>
        <w:topLinePunct w:val="0"/>
        <w:autoSpaceDE/>
        <w:autoSpaceDN/>
        <w:bidi w:val="0"/>
        <w:snapToGrid/>
        <w:spacing w:line="360" w:lineRule="auto"/>
        <w:outlineLvl w:val="1"/>
        <w:rPr>
          <w:rFonts w:hint="eastAsia" w:ascii="宋体" w:hAnsi="宋体" w:eastAsia="宋体" w:cs="宋体"/>
          <w:b/>
          <w:sz w:val="21"/>
          <w:szCs w:val="21"/>
        </w:rPr>
      </w:pPr>
      <w:bookmarkStart w:id="59" w:name="_Toc20889"/>
      <w:r>
        <w:rPr>
          <w:rFonts w:hint="eastAsia" w:ascii="宋体" w:hAnsi="宋体" w:eastAsia="宋体" w:cs="宋体"/>
          <w:b/>
          <w:kern w:val="2"/>
          <w:sz w:val="21"/>
          <w:szCs w:val="21"/>
          <w:lang w:val="en-US" w:eastAsia="zh-CN" w:bidi="ar-SA"/>
        </w:rPr>
        <w:t>五、</w:t>
      </w:r>
      <w:r>
        <w:rPr>
          <w:rFonts w:hint="eastAsia" w:ascii="宋体" w:hAnsi="宋体" w:eastAsia="宋体" w:cs="宋体"/>
          <w:b/>
          <w:sz w:val="21"/>
          <w:szCs w:val="21"/>
        </w:rPr>
        <w:t>付款方式</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highlight w:val="none"/>
          <w:lang w:val="en-US" w:eastAsia="zh-CN" w:bidi="ar-SA"/>
        </w:rPr>
      </w:pPr>
      <w:bookmarkStart w:id="60" w:name="_Toc21136"/>
      <w:r>
        <w:rPr>
          <w:rFonts w:hint="eastAsia" w:ascii="宋体" w:hAnsi="宋体" w:eastAsia="宋体" w:cs="宋体"/>
          <w:b w:val="0"/>
          <w:bCs w:val="0"/>
          <w:kern w:val="2"/>
          <w:sz w:val="21"/>
          <w:szCs w:val="21"/>
          <w:highlight w:val="none"/>
          <w:lang w:val="en-US" w:eastAsia="zh-CN" w:bidi="ar-SA"/>
        </w:rPr>
        <w:t>合同生效以及具备实施条件后7个工作日内，支付合同中红绿灯维修保养服务金额的70%做为预付款。项目完成验收且通过内部审计后，自收到发票后7个工作日内，支付项目剩余费用，最终项目结算费用由内部审计确定。</w:t>
      </w:r>
    </w:p>
    <w:p>
      <w:pPr>
        <w:keepNext w:val="0"/>
        <w:keepLines w:val="0"/>
        <w:pageBreakBefore w:val="0"/>
        <w:widowControl w:val="0"/>
        <w:numPr>
          <w:ilvl w:val="0"/>
          <w:numId w:val="0"/>
        </w:numPr>
        <w:kinsoku/>
        <w:wordWrap/>
        <w:overflowPunct/>
        <w:topLinePunct w:val="0"/>
        <w:autoSpaceDE/>
        <w:autoSpaceDN/>
        <w:bidi w:val="0"/>
        <w:snapToGrid/>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六、</w:t>
      </w:r>
      <w:r>
        <w:rPr>
          <w:rFonts w:hint="eastAsia" w:ascii="宋体" w:hAnsi="宋体" w:eastAsia="宋体" w:cs="宋体"/>
          <w:b/>
          <w:bCs/>
          <w:sz w:val="21"/>
          <w:szCs w:val="21"/>
          <w:lang w:val="en-US" w:eastAsia="zh-CN"/>
        </w:rPr>
        <w:t>验收标准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甲方根据乙方服务情况进行评价，若达到甲方要求，即为验收通过。</w:t>
      </w:r>
    </w:p>
    <w:p>
      <w:pPr>
        <w:numPr>
          <w:ilvl w:val="0"/>
          <w:numId w:val="0"/>
        </w:numPr>
        <w:outlineLvl w:val="1"/>
        <w:rPr>
          <w:rFonts w:hint="eastAsia"/>
          <w:b/>
          <w:bCs/>
          <w:lang w:val="en-US" w:eastAsia="zh-CN"/>
        </w:rPr>
      </w:pPr>
      <w:r>
        <w:rPr>
          <w:rFonts w:hint="eastAsia" w:ascii="Times New Roman" w:hAnsi="Times New Roman" w:eastAsia="宋体" w:cs="Times New Roman"/>
          <w:b/>
          <w:bCs/>
          <w:kern w:val="2"/>
          <w:sz w:val="21"/>
          <w:lang w:val="en-US" w:eastAsia="zh-CN" w:bidi="ar-SA"/>
        </w:rPr>
        <w:t>七、</w:t>
      </w:r>
      <w:r>
        <w:rPr>
          <w:rFonts w:hint="eastAsia"/>
          <w:b/>
          <w:bCs/>
          <w:lang w:val="en-US" w:eastAsia="zh-CN"/>
        </w:rPr>
        <w:t>追加设备或服务处理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在本合同履行过程中，甲方有权对合同中所列的设备及服务予以增加（不超过本合同金额的10%），但不对单价或其他的条款作任何改变。</w:t>
      </w:r>
    </w:p>
    <w:bookmarkEnd w:id="60"/>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八、服务期限</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sz w:val="21"/>
          <w:szCs w:val="21"/>
        </w:rPr>
      </w:pPr>
      <w:bookmarkStart w:id="61" w:name="_Toc23020"/>
      <w:r>
        <w:rPr>
          <w:rFonts w:hint="eastAsia" w:cs="宋体"/>
          <w:i w:val="0"/>
          <w:iCs w:val="0"/>
          <w:caps w:val="0"/>
          <w:color w:val="000000"/>
          <w:spacing w:val="0"/>
          <w:sz w:val="21"/>
          <w:szCs w:val="21"/>
          <w:lang w:eastAsia="zh-CN"/>
        </w:rPr>
        <w:t>服务期为2024年12月7日至2025年12月6日</w:t>
      </w:r>
      <w:r>
        <w:rPr>
          <w:rFonts w:hint="eastAsia" w:ascii="宋体" w:hAnsi="宋体" w:eastAsia="宋体" w:cs="宋体"/>
          <w:i w:val="0"/>
          <w:iCs w:val="0"/>
          <w:caps w:val="0"/>
          <w:color w:val="000000"/>
          <w:spacing w:val="0"/>
          <w:sz w:val="21"/>
          <w:szCs w:val="21"/>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九、</w:t>
      </w:r>
      <w:r>
        <w:rPr>
          <w:rFonts w:hint="eastAsia" w:ascii="宋体" w:hAnsi="宋体" w:eastAsia="宋体" w:cs="宋体"/>
          <w:b/>
          <w:bCs/>
          <w:sz w:val="21"/>
          <w:szCs w:val="21"/>
          <w:lang w:val="en-US" w:eastAsia="zh-CN"/>
        </w:rPr>
        <w:t>服务质量要求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1、甲方按照乙方售后服务承诺的故障修复时间进行抽查，每个超过一小时扣维护服务费50元。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2、甲方按照乙方售后服务承诺的对设备故障修复情况进行抽查，未修复完成的每一次路口扣维护服务费500元。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3、每月1次路口信号灯及其附属设施巡检，在巡检后24小时内，被抽查发现非突发性故障（如外观破损、灯盘遮挡等）巡检未发现的，每一处扣维护服务费500元。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4、因乙方未按合同规定履行维护义务，由此发生责任事故的，由乙方承担相应的法律责任。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5、甲方有权按照乙方售后服务承诺及合同文件的要求对其他维护事项进行考核及处罚。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6、处罚款从维护服务费中扣除。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十、</w:t>
      </w:r>
      <w:r>
        <w:rPr>
          <w:rFonts w:hint="eastAsia" w:ascii="宋体" w:hAnsi="宋体" w:eastAsia="宋体" w:cs="宋体"/>
          <w:b/>
          <w:bCs/>
          <w:sz w:val="21"/>
          <w:szCs w:val="21"/>
          <w:lang w:val="en-US" w:eastAsia="zh-CN"/>
        </w:rPr>
        <w:t>服务地点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舟山本岛（不含岱山、嵊泗）区域，详见</w:t>
      </w:r>
      <w:r>
        <w:rPr>
          <w:rFonts w:hint="eastAsia" w:ascii="宋体" w:hAnsi="宋体" w:eastAsia="宋体" w:cs="宋体"/>
          <w:spacing w:val="4"/>
          <w:sz w:val="21"/>
          <w:szCs w:val="21"/>
        </w:rPr>
        <w:t>招标文件第二章</w:t>
      </w:r>
      <w:r>
        <w:rPr>
          <w:rFonts w:hint="eastAsia" w:ascii="宋体" w:hAnsi="宋体" w:eastAsia="宋体" w:cs="宋体"/>
          <w:spacing w:val="4"/>
          <w:sz w:val="21"/>
          <w:szCs w:val="21"/>
          <w:lang w:val="en-US" w:eastAsia="zh-CN"/>
        </w:rPr>
        <w:t>采购</w:t>
      </w:r>
      <w:r>
        <w:rPr>
          <w:rFonts w:hint="eastAsia" w:ascii="宋体" w:hAnsi="宋体" w:eastAsia="宋体" w:cs="宋体"/>
          <w:spacing w:val="4"/>
          <w:sz w:val="21"/>
          <w:szCs w:val="21"/>
        </w:rPr>
        <w:t>需求</w:t>
      </w:r>
      <w:r>
        <w:rPr>
          <w:rFonts w:hint="eastAsia" w:ascii="宋体" w:hAnsi="宋体" w:eastAsia="宋体" w:cs="宋体"/>
          <w:sz w:val="21"/>
          <w:szCs w:val="21"/>
          <w:lang w:val="en-US" w:eastAsia="zh-CN"/>
        </w:rPr>
        <w:t>。</w:t>
      </w:r>
    </w:p>
    <w:bookmarkEnd w:id="61"/>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62" w:name="_Toc1629"/>
      <w:r>
        <w:rPr>
          <w:rFonts w:hint="eastAsia" w:ascii="宋体" w:hAnsi="宋体" w:eastAsia="宋体" w:cs="宋体"/>
          <w:b/>
          <w:sz w:val="21"/>
          <w:szCs w:val="21"/>
          <w:lang w:val="en-US" w:eastAsia="zh-CN"/>
        </w:rPr>
        <w:t>十一</w:t>
      </w:r>
      <w:r>
        <w:rPr>
          <w:rFonts w:hint="eastAsia" w:ascii="宋体" w:hAnsi="宋体" w:eastAsia="宋体" w:cs="宋体"/>
          <w:b/>
          <w:sz w:val="21"/>
          <w:szCs w:val="21"/>
        </w:rPr>
        <w:t>、项目实施团队</w:t>
      </w:r>
      <w:bookmarkEnd w:id="62"/>
    </w:p>
    <w:tbl>
      <w:tblPr>
        <w:tblStyle w:val="2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2769"/>
        <w:gridCol w:w="253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序号</w:t>
            </w:r>
          </w:p>
        </w:tc>
        <w:tc>
          <w:tcPr>
            <w:tcW w:w="276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姓名</w:t>
            </w: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职责</w:t>
            </w: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r>
              <w:rPr>
                <w:rFonts w:hint="eastAsia" w:ascii="宋体" w:hAnsi="宋体" w:eastAsia="宋体" w:cs="宋体"/>
                <w:spacing w:val="4"/>
                <w:sz w:val="21"/>
                <w:szCs w:val="21"/>
              </w:rPr>
              <w:t>1</w:t>
            </w:r>
          </w:p>
        </w:tc>
        <w:tc>
          <w:tcPr>
            <w:tcW w:w="276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r>
              <w:rPr>
                <w:rFonts w:hint="eastAsia" w:ascii="宋体" w:hAnsi="宋体" w:eastAsia="宋体" w:cs="宋体"/>
                <w:spacing w:val="4"/>
                <w:sz w:val="21"/>
                <w:szCs w:val="21"/>
              </w:rPr>
              <w:t>项目负责人</w:t>
            </w: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r>
              <w:rPr>
                <w:rFonts w:hint="eastAsia" w:ascii="宋体" w:hAnsi="宋体" w:eastAsia="宋体" w:cs="宋体"/>
                <w:spacing w:val="4"/>
                <w:sz w:val="21"/>
                <w:szCs w:val="21"/>
              </w:rPr>
              <w:t>2</w:t>
            </w:r>
          </w:p>
        </w:tc>
        <w:tc>
          <w:tcPr>
            <w:tcW w:w="276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项目实施人员</w:t>
            </w: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lang w:val="en-US" w:eastAsia="zh-CN"/>
              </w:rPr>
            </w:pPr>
            <w:bookmarkStart w:id="63" w:name="_Toc25044"/>
            <w:r>
              <w:rPr>
                <w:rFonts w:hint="eastAsia" w:ascii="宋体" w:hAnsi="宋体" w:eastAsia="宋体" w:cs="宋体"/>
                <w:spacing w:val="4"/>
                <w:sz w:val="21"/>
                <w:szCs w:val="21"/>
                <w:lang w:val="en-US" w:eastAsia="zh-CN"/>
              </w:rPr>
              <w:t>...</w:t>
            </w:r>
          </w:p>
        </w:tc>
        <w:tc>
          <w:tcPr>
            <w:tcW w:w="2769"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w:t>
            </w:r>
          </w:p>
        </w:tc>
        <w:tc>
          <w:tcPr>
            <w:tcW w:w="2530" w:type="dxa"/>
            <w:vAlign w:val="center"/>
          </w:tcPr>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spacing w:val="4"/>
                <w:sz w:val="21"/>
                <w:szCs w:val="21"/>
              </w:rPr>
            </w:pPr>
          </w:p>
        </w:tc>
      </w:tr>
      <w:bookmarkEnd w:id="63"/>
    </w:tbl>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64" w:name="_Toc894"/>
      <w:r>
        <w:rPr>
          <w:rFonts w:hint="eastAsia" w:ascii="宋体" w:hAnsi="宋体" w:eastAsia="宋体" w:cs="宋体"/>
          <w:b/>
          <w:sz w:val="21"/>
          <w:szCs w:val="21"/>
          <w:lang w:val="en-US" w:eastAsia="zh-CN"/>
        </w:rPr>
        <w:t>十二</w:t>
      </w:r>
      <w:r>
        <w:rPr>
          <w:rFonts w:hint="eastAsia" w:ascii="宋体" w:hAnsi="宋体" w:eastAsia="宋体" w:cs="宋体"/>
          <w:b/>
          <w:sz w:val="21"/>
          <w:szCs w:val="21"/>
        </w:rPr>
        <w:t>、争议的解决</w:t>
      </w:r>
      <w:bookmarkEnd w:id="64"/>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1、甲乙双方应通过友好协商，解决在执行本合同中所发生的或与本合同有关的一切争端，如果协商得不到解决，任何一方均可按</w:t>
      </w:r>
      <w:r>
        <w:rPr>
          <w:rFonts w:hint="eastAsia" w:ascii="宋体" w:hAnsi="宋体" w:eastAsia="宋体" w:cs="宋体"/>
          <w:sz w:val="21"/>
          <w:szCs w:val="21"/>
          <w:highlight w:val="none"/>
        </w:rPr>
        <w:t>《中华人民共和国</w:t>
      </w:r>
      <w:r>
        <w:rPr>
          <w:rFonts w:hint="eastAsia" w:ascii="宋体" w:hAnsi="宋体" w:eastAsia="宋体" w:cs="宋体"/>
          <w:sz w:val="21"/>
          <w:szCs w:val="21"/>
          <w:highlight w:val="none"/>
          <w:lang w:val="en-US" w:eastAsia="zh-CN"/>
        </w:rPr>
        <w:t>民事诉讼法</w:t>
      </w:r>
      <w:r>
        <w:rPr>
          <w:rFonts w:hint="eastAsia" w:ascii="宋体" w:hAnsi="宋体" w:eastAsia="宋体" w:cs="宋体"/>
          <w:sz w:val="21"/>
          <w:szCs w:val="21"/>
          <w:highlight w:val="none"/>
        </w:rPr>
        <w:t>》</w:t>
      </w:r>
      <w:r>
        <w:rPr>
          <w:rFonts w:hint="eastAsia" w:ascii="宋体" w:hAnsi="宋体" w:eastAsia="宋体" w:cs="宋体"/>
          <w:sz w:val="21"/>
          <w:szCs w:val="21"/>
        </w:rPr>
        <w:t>规定提交诉讼，诉讼应在甲方所在地进行。</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sz w:val="21"/>
          <w:szCs w:val="21"/>
        </w:rPr>
      </w:pPr>
      <w:bookmarkStart w:id="65" w:name="_Toc27270"/>
      <w:r>
        <w:rPr>
          <w:rFonts w:hint="eastAsia" w:ascii="宋体" w:hAnsi="宋体" w:eastAsia="宋体" w:cs="宋体"/>
          <w:sz w:val="21"/>
          <w:szCs w:val="21"/>
        </w:rPr>
        <w:t>2、诉讼费应由败诉方负担。</w:t>
      </w:r>
      <w:bookmarkEnd w:id="65"/>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66" w:name="_Toc25428"/>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、合同修改</w:t>
      </w:r>
      <w:bookmarkEnd w:id="66"/>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合同条款的任何改动，均须由合同签署双方签署合同修改书或合同补充协议。该合同修改或补充被视为本合同的组成部分，具有与本合同同等法律效力。</w:t>
      </w:r>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67" w:name="_Toc19939"/>
      <w:r>
        <w:rPr>
          <w:rFonts w:hint="eastAsia" w:ascii="宋体" w:hAnsi="宋体" w:eastAsia="宋体" w:cs="宋体"/>
          <w:b/>
          <w:sz w:val="21"/>
          <w:szCs w:val="21"/>
        </w:rPr>
        <w:t>十</w:t>
      </w:r>
      <w:r>
        <w:rPr>
          <w:rFonts w:hint="eastAsia" w:ascii="宋体" w:hAnsi="宋体" w:eastAsia="宋体" w:cs="宋体"/>
          <w:b/>
          <w:sz w:val="21"/>
          <w:szCs w:val="21"/>
          <w:lang w:val="en-US" w:eastAsia="zh-CN"/>
        </w:rPr>
        <w:t>四</w:t>
      </w:r>
      <w:r>
        <w:rPr>
          <w:rFonts w:hint="eastAsia" w:ascii="宋体" w:hAnsi="宋体" w:eastAsia="宋体" w:cs="宋体"/>
          <w:b/>
          <w:sz w:val="21"/>
          <w:szCs w:val="21"/>
        </w:rPr>
        <w:t>、不可抗力的处理</w:t>
      </w:r>
      <w:bookmarkEnd w:id="67"/>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2、不可抗力的事故发生后尽快通知另一方，将有关部门出具的证明文件用挂号信邮寄或派人送达另一方。</w:t>
      </w:r>
    </w:p>
    <w:p>
      <w:pPr>
        <w:keepNext w:val="0"/>
        <w:keepLines w:val="0"/>
        <w:pageBreakBefore w:val="0"/>
        <w:widowControl w:val="0"/>
        <w:kinsoku/>
        <w:wordWrap/>
        <w:overflowPunct/>
        <w:topLinePunct w:val="0"/>
        <w:autoSpaceDE/>
        <w:autoSpaceDN/>
        <w:bidi w:val="0"/>
        <w:snapToGrid w:val="0"/>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五</w:t>
      </w:r>
      <w:r>
        <w:rPr>
          <w:rFonts w:hint="eastAsia" w:ascii="宋体" w:hAnsi="宋体" w:eastAsia="宋体" w:cs="宋体"/>
          <w:b/>
          <w:sz w:val="21"/>
          <w:szCs w:val="21"/>
        </w:rPr>
        <w:t>、违约条款</w:t>
      </w:r>
    </w:p>
    <w:p>
      <w:pPr>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1、如乙方无法如期完成运行维护服务、项目验收等情况的，甲方可单方面解除本合同。乙方因未能如期提供相关服务或其他违约行为导致甲方解除合同的，乙方应向甲方支付合同额的20%作为违约金，如造成甲方损失超过违约金的，超出部分由乙方继续承担赔付责任</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2、若由于甲方的原因致使乙方不能按期提供服务的，乙方不承担相应的违约责任。</w:t>
      </w:r>
    </w:p>
    <w:p>
      <w:pPr>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3、经甲乙双方友好协商同意，</w:t>
      </w:r>
      <w:r>
        <w:rPr>
          <w:rFonts w:hint="eastAsia" w:ascii="宋体" w:hAnsi="宋体" w:eastAsia="宋体" w:cs="宋体"/>
          <w:sz w:val="21"/>
          <w:szCs w:val="21"/>
        </w:rPr>
        <w:t>延期服务、延期支付资金且无须罚款者可不受上述条款约束。</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4、在诉讼期间，除正在进行诉讼的部分外，本合同其他部分可继续执行。</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5、如果在甲方发出索赔通知后10天内，乙方未作答复，上述索赔应视为已被乙方接受。甲方有权在甲方需支付给乙方的合同金额中直接扣除。</w:t>
      </w:r>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68" w:name="_Toc13120"/>
      <w:r>
        <w:rPr>
          <w:rFonts w:hint="eastAsia" w:ascii="宋体" w:hAnsi="宋体" w:eastAsia="宋体" w:cs="宋体"/>
          <w:b/>
          <w:sz w:val="21"/>
          <w:szCs w:val="21"/>
          <w:lang w:val="en-US" w:eastAsia="zh-CN"/>
        </w:rPr>
        <w:t>十六</w:t>
      </w:r>
      <w:r>
        <w:rPr>
          <w:rFonts w:hint="eastAsia" w:ascii="宋体" w:hAnsi="宋体" w:eastAsia="宋体" w:cs="宋体"/>
          <w:b/>
          <w:sz w:val="21"/>
          <w:szCs w:val="21"/>
        </w:rPr>
        <w:t>、适用法律</w:t>
      </w:r>
      <w:bookmarkEnd w:id="68"/>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甲乙双方所订立的合同应按照中华人民共和国的法律进行解释。</w:t>
      </w:r>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lang w:val="en-US" w:eastAsia="zh-CN"/>
        </w:rPr>
      </w:pPr>
      <w:bookmarkStart w:id="69" w:name="_Toc26691"/>
      <w:r>
        <w:rPr>
          <w:rFonts w:hint="eastAsia" w:ascii="宋体" w:hAnsi="宋体" w:eastAsia="宋体" w:cs="宋体"/>
          <w:b/>
          <w:sz w:val="21"/>
          <w:szCs w:val="21"/>
          <w:lang w:val="en-US" w:eastAsia="zh-CN"/>
        </w:rPr>
        <w:t>十七、合同生效及其它</w:t>
      </w:r>
      <w:bookmarkEnd w:id="69"/>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2、合同执行中涉及采购资金和采购内容修改或补充的，须经财政部门审批，并</w:t>
      </w:r>
      <w:r>
        <w:rPr>
          <w:rFonts w:hint="eastAsia" w:ascii="宋体" w:hAnsi="宋体" w:eastAsia="宋体" w:cs="宋体"/>
          <w:sz w:val="21"/>
          <w:szCs w:val="21"/>
          <w:lang w:eastAsia="zh-CN"/>
        </w:rPr>
        <w:t>签订</w:t>
      </w:r>
      <w:r>
        <w:rPr>
          <w:rFonts w:hint="eastAsia" w:ascii="宋体" w:hAnsi="宋体" w:eastAsia="宋体" w:cs="宋体"/>
          <w:sz w:val="21"/>
          <w:szCs w:val="21"/>
        </w:rPr>
        <w:t>书面补充协议</w:t>
      </w:r>
      <w:r>
        <w:rPr>
          <w:rFonts w:hint="eastAsia" w:ascii="宋体" w:hAnsi="宋体" w:eastAsia="宋体" w:cs="宋体"/>
          <w:sz w:val="21"/>
          <w:szCs w:val="21"/>
          <w:lang w:val="en-US" w:eastAsia="zh-CN"/>
        </w:rPr>
        <w:t>报财政部门备案</w:t>
      </w:r>
      <w:r>
        <w:rPr>
          <w:rFonts w:hint="eastAsia" w:ascii="宋体" w:hAnsi="宋体" w:eastAsia="宋体" w:cs="宋体"/>
          <w:sz w:val="21"/>
          <w:szCs w:val="21"/>
        </w:rPr>
        <w:t>，方可作为主合同不可分割的一部分。</w:t>
      </w:r>
    </w:p>
    <w:p>
      <w:pPr>
        <w:keepNext w:val="0"/>
        <w:keepLines w:val="0"/>
        <w:pageBreakBefore w:val="0"/>
        <w:widowControl w:val="0"/>
        <w:kinsoku/>
        <w:wordWrap/>
        <w:overflowPunct/>
        <w:topLinePunct w:val="0"/>
        <w:autoSpaceDE/>
        <w:autoSpaceDN/>
        <w:bidi w:val="0"/>
        <w:spacing w:line="360" w:lineRule="auto"/>
        <w:ind w:firstLine="420" w:firstLineChars="200"/>
        <w:outlineLvl w:val="9"/>
        <w:rPr>
          <w:rFonts w:hint="eastAsia" w:ascii="宋体" w:hAnsi="宋体" w:eastAsia="宋体" w:cs="宋体"/>
          <w:sz w:val="21"/>
          <w:szCs w:val="21"/>
        </w:rPr>
      </w:pPr>
      <w:bookmarkStart w:id="70" w:name="_Toc23898"/>
      <w:r>
        <w:rPr>
          <w:rFonts w:hint="eastAsia" w:ascii="宋体" w:hAnsi="宋体" w:eastAsia="宋体" w:cs="宋体"/>
          <w:sz w:val="21"/>
          <w:szCs w:val="21"/>
        </w:rPr>
        <w:t>3、本合同未尽事宜，遵照中华人民共和国有关法律条文执行。</w:t>
      </w:r>
      <w:bookmarkEnd w:id="70"/>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4、本合同正本一式五份，具有同等法律效力，甲乙双方各执两份，中金招标有限责任公司执一份。</w:t>
      </w:r>
    </w:p>
    <w:p>
      <w:pPr>
        <w:keepNext w:val="0"/>
        <w:keepLines w:val="0"/>
        <w:pageBreakBefore w:val="0"/>
        <w:widowControl w:val="0"/>
        <w:kinsoku/>
        <w:wordWrap/>
        <w:overflowPunct/>
        <w:topLinePunct w:val="0"/>
        <w:autoSpaceDE/>
        <w:autoSpaceDN/>
        <w:bidi w:val="0"/>
        <w:spacing w:line="360" w:lineRule="auto"/>
        <w:outlineLvl w:val="1"/>
        <w:rPr>
          <w:rFonts w:hint="eastAsia" w:ascii="宋体" w:hAnsi="宋体" w:eastAsia="宋体" w:cs="宋体"/>
          <w:b/>
          <w:sz w:val="21"/>
          <w:szCs w:val="21"/>
        </w:rPr>
      </w:pPr>
      <w:bookmarkStart w:id="71" w:name="_Toc14175"/>
      <w:r>
        <w:rPr>
          <w:rFonts w:hint="eastAsia" w:ascii="宋体" w:hAnsi="宋体" w:eastAsia="宋体" w:cs="宋体"/>
          <w:b/>
          <w:sz w:val="21"/>
          <w:szCs w:val="21"/>
          <w:lang w:val="en-US" w:eastAsia="zh-CN"/>
        </w:rPr>
        <w:t>十八</w:t>
      </w:r>
      <w:r>
        <w:rPr>
          <w:rFonts w:hint="eastAsia" w:ascii="宋体" w:hAnsi="宋体" w:eastAsia="宋体" w:cs="宋体"/>
          <w:b/>
          <w:sz w:val="21"/>
          <w:szCs w:val="21"/>
        </w:rPr>
        <w:t>、中小企业预留合同</w:t>
      </w:r>
      <w:bookmarkEnd w:id="71"/>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w:t>
      </w: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合同为中小企业预留合同。</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甲方：（盖章）                             乙方：（盖章） </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地址：                                     地址： </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法定代表人或授权签字代表：                 法定代表人或授权签字代表：</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签订日期：   年  月  日                    签订日期：   年  月  日</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甲方收款银行：                             乙方收款银行：</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甲方收款开户账号：                         乙方收款开户账号：</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鉴证方：（盖章）</w:t>
      </w: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注意事项：</w:t>
      </w:r>
    </w:p>
    <w:p>
      <w:pPr>
        <w:keepNext w:val="0"/>
        <w:keepLines w:val="0"/>
        <w:pageBreakBefore w:val="0"/>
        <w:widowControl w:val="0"/>
        <w:kinsoku/>
        <w:wordWrap/>
        <w:overflowPunct/>
        <w:topLinePunct w:val="0"/>
        <w:autoSpaceDE/>
        <w:autoSpaceDN/>
        <w:bidi w:val="0"/>
        <w:snapToGrid w:val="0"/>
        <w:spacing w:line="360" w:lineRule="auto"/>
        <w:ind w:firstLine="422" w:firstLineChars="200"/>
        <w:outlineLvl w:val="9"/>
        <w:rPr>
          <w:rFonts w:hint="eastAsia" w:ascii="宋体" w:hAnsi="宋体" w:eastAsia="宋体" w:cs="宋体"/>
          <w:b/>
          <w:bCs/>
          <w:color w:val="000000"/>
          <w:sz w:val="21"/>
          <w:szCs w:val="21"/>
          <w:highlight w:val="none"/>
        </w:rPr>
      </w:pPr>
      <w:bookmarkStart w:id="72" w:name="_Toc23648"/>
      <w:r>
        <w:rPr>
          <w:rFonts w:hint="eastAsia" w:ascii="宋体" w:hAnsi="宋体" w:eastAsia="宋体" w:cs="宋体"/>
          <w:b/>
          <w:bCs/>
          <w:color w:val="000000"/>
          <w:sz w:val="21"/>
          <w:szCs w:val="21"/>
          <w:highlight w:val="none"/>
        </w:rPr>
        <w:t>1.用于政府采购信用融资的政府采购合同：</w:t>
      </w:r>
      <w:bookmarkEnd w:id="72"/>
    </w:p>
    <w:p>
      <w:pPr>
        <w:keepNext w:val="0"/>
        <w:keepLines w:val="0"/>
        <w:pageBreakBefore w:val="0"/>
        <w:widowControl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（1）应当包含如下条款：</w:t>
      </w:r>
    </w:p>
    <w:p>
      <w:pPr>
        <w:keepNext w:val="0"/>
        <w:keepLines w:val="0"/>
        <w:pageBreakBefore w:val="0"/>
        <w:widowControl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“第</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
          <w:bCs/>
          <w:color w:val="000000"/>
          <w:sz w:val="21"/>
          <w:szCs w:val="21"/>
          <w:highlight w:val="none"/>
        </w:rPr>
        <w:t>条：政府采购合同贷款</w:t>
      </w:r>
    </w:p>
    <w:p>
      <w:pPr>
        <w:keepNext w:val="0"/>
        <w:keepLines w:val="0"/>
        <w:pageBreakBefore w:val="0"/>
        <w:widowControl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本合同同时用于乙方向</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
          <w:bCs/>
          <w:color w:val="000000"/>
          <w:sz w:val="21"/>
          <w:szCs w:val="21"/>
          <w:highlight w:val="none"/>
        </w:rPr>
        <w:t>银行（金融机构）申请政府采购信用贷款。</w:t>
      </w:r>
    </w:p>
    <w:p>
      <w:pPr>
        <w:keepNext w:val="0"/>
        <w:keepLines w:val="0"/>
        <w:pageBreakBefore w:val="0"/>
        <w:widowControl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本合同一经签订，原则上不得更改乙方收款账户信息。确须更改的，乙方应取得原合同收款账户开户银行书面同意，否则修改后的合同不予备案，采购资金不予支付。”</w:t>
      </w:r>
    </w:p>
    <w:p>
      <w:pPr>
        <w:keepNext w:val="0"/>
        <w:keepLines w:val="0"/>
        <w:pageBreakBefore w:val="0"/>
        <w:widowControl w:val="0"/>
        <w:kinsoku/>
        <w:wordWrap/>
        <w:overflowPunct/>
        <w:topLinePunct w:val="0"/>
        <w:autoSpaceDE/>
        <w:autoSpaceDN/>
        <w:bidi w:val="0"/>
        <w:snapToGrid w:val="0"/>
        <w:spacing w:line="36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（2）乙方需确保政府采购合同的收款账户与融资银行开户账户一致。</w:t>
      </w:r>
    </w:p>
    <w:p>
      <w:pPr>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 w:val="21"/>
          <w:szCs w:val="21"/>
          <w:highlight w:val="yellow"/>
        </w:rPr>
      </w:pPr>
    </w:p>
    <w:p>
      <w:pPr>
        <w:keepNext w:val="0"/>
        <w:keepLines w:val="0"/>
        <w:pageBreakBefore w:val="0"/>
        <w:widowControl w:val="0"/>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 w:val="21"/>
          <w:szCs w:val="21"/>
          <w:highlight w:val="yellow"/>
        </w:rPr>
      </w:pPr>
    </w:p>
    <w:p>
      <w:pPr>
        <w:keepNext w:val="0"/>
        <w:keepLines w:val="0"/>
        <w:pageBreakBefore w:val="0"/>
        <w:kinsoku/>
        <w:wordWrap/>
        <w:overflowPunct/>
        <w:topLinePunct w:val="0"/>
        <w:bidi w:val="0"/>
        <w:snapToGrid w:val="0"/>
        <w:spacing w:line="360" w:lineRule="auto"/>
        <w:jc w:val="center"/>
        <w:outlineLvl w:val="9"/>
        <w:rPr>
          <w:rFonts w:ascii="宋体" w:hAnsi="宋体" w:cs="宋体"/>
          <w:b/>
          <w:sz w:val="28"/>
          <w:szCs w:val="28"/>
        </w:rPr>
        <w:sectPr>
          <w:pgSz w:w="11906" w:h="16838"/>
          <w:pgMar w:top="1531" w:right="1179" w:bottom="737" w:left="1179" w:header="851" w:footer="58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kinsoku/>
        <w:wordWrap/>
        <w:overflowPunct/>
        <w:topLinePunct w:val="0"/>
        <w:bidi w:val="0"/>
        <w:snapToGrid w:val="0"/>
        <w:spacing w:line="360" w:lineRule="auto"/>
        <w:jc w:val="center"/>
        <w:outlineLvl w:val="0"/>
        <w:rPr>
          <w:rFonts w:ascii="宋体" w:hAnsi="宋体" w:cs="宋体"/>
          <w:b/>
          <w:sz w:val="28"/>
          <w:szCs w:val="28"/>
        </w:rPr>
      </w:pPr>
      <w:bookmarkStart w:id="73" w:name="_Toc30559"/>
      <w:r>
        <w:rPr>
          <w:rFonts w:hint="eastAsia" w:ascii="宋体" w:hAnsi="宋体" w:cs="宋体"/>
          <w:b/>
          <w:sz w:val="28"/>
          <w:szCs w:val="28"/>
        </w:rPr>
        <w:t>第六章  投标文件组成</w:t>
      </w:r>
      <w:bookmarkEnd w:id="73"/>
    </w:p>
    <w:p>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pPr>
        <w:keepNext w:val="0"/>
        <w:keepLines w:val="0"/>
        <w:pageBreakBefore w:val="0"/>
        <w:kinsoku/>
        <w:wordWrap/>
        <w:overflowPunct/>
        <w:topLinePunct w:val="0"/>
        <w:bidi w:val="0"/>
        <w:snapToGrid w:val="0"/>
        <w:spacing w:line="360" w:lineRule="auto"/>
        <w:jc w:val="left"/>
        <w:outlineLvl w:val="1"/>
        <w:rPr>
          <w:rFonts w:hint="eastAsia" w:ascii="宋体" w:hAnsi="宋体" w:eastAsia="宋体" w:cs="宋体"/>
          <w:b/>
          <w:bCs w:val="0"/>
          <w:szCs w:val="21"/>
        </w:rPr>
      </w:pPr>
      <w:bookmarkStart w:id="74" w:name="_Toc24267"/>
      <w:r>
        <w:rPr>
          <w:rFonts w:hint="eastAsia" w:ascii="宋体" w:hAnsi="宋体" w:eastAsia="宋体" w:cs="宋体"/>
          <w:b/>
          <w:bCs w:val="0"/>
          <w:szCs w:val="21"/>
        </w:rPr>
        <w:t>▲1、投标报价文件部分</w:t>
      </w:r>
      <w:bookmarkEnd w:id="74"/>
    </w:p>
    <w:p>
      <w:pPr>
        <w:keepNext w:val="0"/>
        <w:keepLines w:val="0"/>
        <w:pageBreakBefore w:val="0"/>
        <w:kinsoku/>
        <w:wordWrap/>
        <w:overflowPunct/>
        <w:topLinePunct w:val="0"/>
        <w:bidi w:val="0"/>
        <w:snapToGrid w:val="0"/>
        <w:spacing w:line="360" w:lineRule="auto"/>
        <w:jc w:val="left"/>
        <w:rPr>
          <w:rFonts w:hint="eastAsia" w:ascii="宋体" w:hAnsi="宋体" w:eastAsia="宋体" w:cs="宋体"/>
          <w:b w:val="0"/>
          <w:bCs/>
          <w:szCs w:val="21"/>
        </w:rPr>
      </w:pPr>
      <w:r>
        <w:rPr>
          <w:rFonts w:hint="eastAsia" w:ascii="宋体" w:hAnsi="宋体" w:eastAsia="宋体" w:cs="宋体"/>
          <w:b w:val="0"/>
          <w:bCs/>
          <w:szCs w:val="21"/>
        </w:rPr>
        <w:t>（投标报价信息不得出现在资格证明、商务、技术文件中，否则将导致投标无效。）</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1.1开标一览表；（格式一）</w:t>
      </w:r>
    </w:p>
    <w:p>
      <w:pPr>
        <w:keepNext w:val="0"/>
        <w:keepLines w:val="0"/>
        <w:pageBreakBefore w:val="0"/>
        <w:kinsoku/>
        <w:wordWrap/>
        <w:overflowPunct/>
        <w:topLinePunct w:val="0"/>
        <w:bidi w:val="0"/>
        <w:snapToGrid w:val="0"/>
        <w:spacing w:line="360" w:lineRule="auto"/>
        <w:outlineLvl w:val="1"/>
        <w:rPr>
          <w:rFonts w:hint="eastAsia" w:ascii="宋体" w:hAnsi="宋体" w:eastAsia="宋体" w:cs="宋体"/>
          <w:b/>
          <w:szCs w:val="21"/>
          <w:lang w:val="en-US" w:eastAsia="zh-CN"/>
        </w:rPr>
      </w:pPr>
      <w:r>
        <w:rPr>
          <w:rFonts w:hint="eastAsia" w:ascii="宋体" w:hAnsi="宋体" w:eastAsia="宋体" w:cs="宋体"/>
          <w:b/>
          <w:szCs w:val="21"/>
          <w:lang w:val="en-US" w:eastAsia="zh-CN"/>
        </w:rPr>
        <w:t>▲2、资格证明文件部分</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Cs/>
          <w:szCs w:val="21"/>
          <w:highlight w:val="none"/>
          <w:lang w:eastAsia="zh-CN"/>
        </w:rPr>
      </w:pPr>
      <w:r>
        <w:rPr>
          <w:rFonts w:hint="eastAsia" w:ascii="宋体" w:hAnsi="宋体" w:cs="宋体"/>
          <w:bCs/>
          <w:szCs w:val="21"/>
          <w:highlight w:val="none"/>
        </w:rPr>
        <w:t>2.1落实政府采购政策需满足的资格要求相关证明文件</w:t>
      </w:r>
      <w:r>
        <w:rPr>
          <w:rFonts w:hint="eastAsia" w:ascii="宋体" w:hAnsi="宋体" w:cs="宋体"/>
          <w:bCs/>
          <w:szCs w:val="21"/>
          <w:highlight w:val="none"/>
          <w:lang w:eastAsia="zh-CN"/>
        </w:rPr>
        <w:t>：包括但不限于《</w:t>
      </w:r>
      <w:r>
        <w:rPr>
          <w:rFonts w:hint="eastAsia" w:ascii="宋体" w:hAnsi="宋体" w:cs="宋体"/>
          <w:bCs/>
          <w:szCs w:val="21"/>
          <w:highlight w:val="none"/>
          <w:lang w:val="en-US" w:eastAsia="zh-CN"/>
        </w:rPr>
        <w:t>联合体协议书</w:t>
      </w:r>
      <w:r>
        <w:rPr>
          <w:rFonts w:hint="eastAsia" w:ascii="宋体" w:hAnsi="宋体" w:cs="宋体"/>
          <w:bCs/>
          <w:szCs w:val="21"/>
          <w:highlight w:val="none"/>
          <w:lang w:eastAsia="zh-CN"/>
        </w:rPr>
        <w:t>》、中小企业：《中小企业声明函》</w:t>
      </w:r>
      <w:r>
        <w:rPr>
          <w:rFonts w:hint="eastAsia" w:ascii="宋体" w:hAnsi="宋体" w:cs="宋体"/>
          <w:bCs/>
          <w:szCs w:val="21"/>
          <w:highlight w:val="none"/>
        </w:rPr>
        <w:t>（格式</w:t>
      </w:r>
      <w:r>
        <w:rPr>
          <w:rFonts w:hint="eastAsia" w:ascii="宋体" w:hAnsi="宋体" w:cs="宋体"/>
          <w:bCs/>
          <w:szCs w:val="21"/>
          <w:highlight w:val="none"/>
          <w:lang w:val="en-US" w:eastAsia="zh-CN"/>
        </w:rPr>
        <w:t>二、三、五</w:t>
      </w:r>
      <w:r>
        <w:rPr>
          <w:rFonts w:hint="eastAsia" w:ascii="宋体" w:hAnsi="宋体" w:cs="宋体"/>
          <w:bCs/>
          <w:szCs w:val="21"/>
          <w:highlight w:val="none"/>
        </w:rPr>
        <w:t>）</w:t>
      </w:r>
      <w:r>
        <w:rPr>
          <w:rFonts w:hint="eastAsia" w:ascii="宋体" w:hAnsi="宋体" w:cs="宋体"/>
          <w:bCs/>
          <w:szCs w:val="21"/>
          <w:highlight w:val="none"/>
          <w:lang w:eastAsia="zh-CN"/>
        </w:rPr>
        <w:t>；</w:t>
      </w:r>
    </w:p>
    <w:p>
      <w:pPr>
        <w:widowControl/>
        <w:spacing w:line="360" w:lineRule="auto"/>
        <w:ind w:firstLine="422" w:firstLineChars="200"/>
        <w:jc w:val="both"/>
        <w:rPr>
          <w:rFonts w:hint="eastAsia" w:ascii="宋体" w:hAnsi="宋体" w:cs="宋体"/>
          <w:bCs/>
          <w:kern w:val="0"/>
          <w:szCs w:val="21"/>
          <w:highlight w:val="none"/>
          <w:lang w:eastAsia="zh-CN"/>
        </w:rPr>
      </w:pPr>
      <w:r>
        <w:rPr>
          <w:rFonts w:hint="eastAsia" w:hAnsi="宋体" w:eastAsia="宋体" w:cs="宋体"/>
          <w:b/>
          <w:bCs/>
          <w:color w:val="auto"/>
          <w:sz w:val="21"/>
          <w:szCs w:val="21"/>
          <w:highlight w:val="none"/>
        </w:rPr>
        <w:t>注：</w:t>
      </w:r>
      <w:r>
        <w:rPr>
          <w:rFonts w:hint="eastAsia" w:ascii="宋体" w:hAnsi="宋体" w:cs="宋体"/>
          <w:b/>
          <w:bCs w:val="0"/>
          <w:kern w:val="0"/>
          <w:szCs w:val="21"/>
          <w:highlight w:val="none"/>
        </w:rPr>
        <w:t>无论以何种形式参与投标，需</w:t>
      </w:r>
      <w:r>
        <w:rPr>
          <w:rFonts w:hint="eastAsia" w:ascii="宋体" w:hAnsi="宋体" w:cs="宋体"/>
          <w:b/>
          <w:bCs w:val="0"/>
          <w:kern w:val="0"/>
          <w:szCs w:val="21"/>
          <w:highlight w:val="none"/>
          <w:lang w:val="zh-CN"/>
        </w:rPr>
        <w:t>满足政府采购预留份额政策要求，</w:t>
      </w:r>
      <w:r>
        <w:rPr>
          <w:rFonts w:hint="eastAsia" w:ascii="宋体" w:hAnsi="宋体" w:cs="宋体"/>
          <w:b/>
          <w:bCs w:val="0"/>
          <w:kern w:val="0"/>
          <w:szCs w:val="21"/>
          <w:highlight w:val="none"/>
          <w:lang w:val="en-US" w:eastAsia="zh-CN"/>
        </w:rPr>
        <w:t>即</w:t>
      </w:r>
      <w:r>
        <w:rPr>
          <w:rFonts w:hint="eastAsia" w:ascii="宋体" w:hAnsi="宋体" w:cs="宋体"/>
          <w:b/>
          <w:bCs w:val="0"/>
          <w:kern w:val="0"/>
          <w:szCs w:val="21"/>
          <w:highlight w:val="none"/>
        </w:rPr>
        <w:t>预留该部分采购项目预算总额的40%专门面向中小企业采购，其中本项目预留给小微企业的比例不低于70%</w:t>
      </w:r>
      <w:r>
        <w:rPr>
          <w:rFonts w:hint="eastAsia" w:ascii="宋体" w:hAnsi="宋体" w:cs="宋体"/>
          <w:b/>
          <w:bCs w:val="0"/>
          <w:kern w:val="0"/>
          <w:szCs w:val="21"/>
          <w:highlight w:val="none"/>
          <w:lang w:eastAsia="zh-CN"/>
        </w:rPr>
        <w:t>。</w:t>
      </w:r>
    </w:p>
    <w:p>
      <w:pPr>
        <w:widowControl/>
        <w:spacing w:line="360" w:lineRule="auto"/>
        <w:ind w:firstLine="420" w:firstLineChars="200"/>
        <w:jc w:val="both"/>
        <w:rPr>
          <w:rFonts w:hint="default" w:ascii="宋体" w:hAnsi="宋体" w:cs="宋体"/>
          <w:b w:val="0"/>
          <w:bCs/>
          <w:kern w:val="0"/>
          <w:szCs w:val="21"/>
          <w:highlight w:val="none"/>
          <w:lang w:val="en-US" w:eastAsia="zh-CN"/>
        </w:rPr>
      </w:pPr>
      <w:r>
        <w:rPr>
          <w:rFonts w:hint="eastAsia" w:ascii="宋体" w:hAnsi="宋体" w:cs="宋体"/>
          <w:b w:val="0"/>
          <w:bCs/>
          <w:kern w:val="0"/>
          <w:szCs w:val="21"/>
          <w:highlight w:val="none"/>
          <w:lang w:val="en-US" w:eastAsia="zh-CN"/>
        </w:rPr>
        <w:t>（以下2种方式均可</w:t>
      </w:r>
      <w:r>
        <w:rPr>
          <w:rFonts w:hint="eastAsia" w:ascii="宋体" w:hAnsi="宋体" w:cs="宋体"/>
          <w:b w:val="0"/>
          <w:bCs/>
          <w:kern w:val="0"/>
          <w:szCs w:val="21"/>
          <w:highlight w:val="none"/>
          <w:lang w:eastAsia="zh-CN"/>
        </w:rPr>
        <w:t>视同符合了政府采购政策要求：</w:t>
      </w:r>
    </w:p>
    <w:p>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rPr>
          <w:rFonts w:hint="eastAsia" w:ascii="宋体" w:hAnsi="宋体" w:cs="宋体"/>
          <w:b w:val="0"/>
          <w:bCs/>
          <w:kern w:val="0"/>
          <w:szCs w:val="21"/>
          <w:highlight w:val="none"/>
          <w:lang w:eastAsia="zh-CN"/>
        </w:rPr>
      </w:pPr>
      <w:r>
        <w:rPr>
          <w:rFonts w:hint="eastAsia" w:ascii="宋体" w:hAnsi="宋体" w:cs="宋体"/>
          <w:bCs/>
          <w:szCs w:val="21"/>
          <w:highlight w:val="none"/>
        </w:rPr>
        <w:t>a)</w:t>
      </w:r>
      <w:r>
        <w:rPr>
          <w:rFonts w:hint="eastAsia" w:ascii="宋体" w:hAnsi="宋体" w:cs="宋体"/>
          <w:b w:val="0"/>
          <w:bCs/>
          <w:kern w:val="0"/>
          <w:szCs w:val="21"/>
          <w:highlight w:val="none"/>
          <w:lang w:eastAsia="zh-CN"/>
        </w:rPr>
        <w:t>如以联合体形式参加的</w:t>
      </w:r>
      <w:r>
        <w:rPr>
          <w:rFonts w:hint="eastAsia" w:ascii="宋体" w:hAnsi="宋体" w:cs="宋体"/>
          <w:color w:val="auto"/>
          <w:szCs w:val="21"/>
          <w:highlight w:val="none"/>
          <w:lang w:val="en-US" w:eastAsia="zh-CN"/>
        </w:rPr>
        <w:t>，联合体组成单位不得超过两家</w:t>
      </w:r>
      <w:r>
        <w:rPr>
          <w:rFonts w:hint="eastAsia" w:ascii="宋体" w:hAnsi="宋体" w:cs="宋体"/>
          <w:b/>
          <w:bCs/>
          <w:color w:val="auto"/>
          <w:szCs w:val="21"/>
          <w:highlight w:val="none"/>
          <w:lang w:val="en-US" w:eastAsia="zh-CN"/>
        </w:rPr>
        <w:t>（双方均需满足《中华人民共和国政府采购法》第二十二条规定</w:t>
      </w:r>
      <w:r>
        <w:rPr>
          <w:rFonts w:hint="eastAsia" w:ascii="宋体" w:hAnsi="宋体" w:cs="宋体"/>
          <w:b/>
          <w:bCs/>
          <w:kern w:val="0"/>
          <w:szCs w:val="21"/>
          <w:highlight w:val="none"/>
          <w:lang w:val="en-US" w:eastAsia="zh-CN"/>
        </w:rPr>
        <w:t>）</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lang w:eastAsia="zh-CN"/>
        </w:rPr>
        <w:t>提供《联合体协议书》和</w:t>
      </w:r>
      <w:r>
        <w:rPr>
          <w:rFonts w:hint="eastAsia" w:ascii="宋体" w:hAnsi="宋体" w:eastAsia="宋体" w:cs="宋体"/>
          <w:color w:val="auto"/>
          <w:szCs w:val="21"/>
          <w:highlight w:val="none"/>
          <w:lang w:val="en-US" w:eastAsia="zh-CN"/>
        </w:rPr>
        <w:t>《中小企业声明函》</w:t>
      </w:r>
      <w:r>
        <w:rPr>
          <w:rFonts w:hint="eastAsia" w:ascii="宋体" w:hAnsi="宋体" w:cs="宋体"/>
          <w:b w:val="0"/>
          <w:bCs/>
          <w:kern w:val="0"/>
          <w:szCs w:val="21"/>
          <w:highlight w:val="none"/>
          <w:lang w:eastAsia="zh-CN"/>
        </w:rPr>
        <w:t>，联合体协议书中小企业合同金额应达到40%</w:t>
      </w:r>
      <w:r>
        <w:rPr>
          <w:rFonts w:hint="eastAsia" w:ascii="宋体" w:hAnsi="宋体" w:cs="宋体"/>
          <w:b w:val="0"/>
          <w:bCs/>
          <w:kern w:val="0"/>
          <w:szCs w:val="21"/>
          <w:highlight w:val="none"/>
        </w:rPr>
        <w:t>，其中小微企业的比例不低于70%</w:t>
      </w:r>
      <w:r>
        <w:rPr>
          <w:rFonts w:hint="eastAsia" w:ascii="宋体" w:hAnsi="宋体" w:cs="宋体"/>
          <w:b/>
          <w:bCs/>
          <w:color w:val="auto"/>
          <w:szCs w:val="21"/>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eastAsia="宋体" w:cs="宋体"/>
          <w:b w:val="0"/>
          <w:bCs/>
          <w:kern w:val="0"/>
          <w:sz w:val="21"/>
          <w:szCs w:val="21"/>
          <w:highlight w:val="none"/>
          <w:lang w:val="en-US" w:eastAsia="zh-CN" w:bidi="ar-SA"/>
        </w:rPr>
      </w:pPr>
      <w:r>
        <w:rPr>
          <w:rFonts w:hint="eastAsia" w:ascii="宋体" w:hAnsi="宋体" w:cs="宋体"/>
          <w:bCs/>
          <w:szCs w:val="21"/>
          <w:highlight w:val="none"/>
        </w:rPr>
        <w:t>b)</w:t>
      </w:r>
      <w:r>
        <w:rPr>
          <w:rFonts w:hint="eastAsia" w:ascii="宋体" w:hAnsi="宋体" w:eastAsia="宋体" w:cs="宋体"/>
          <w:b w:val="0"/>
          <w:bCs/>
          <w:kern w:val="0"/>
          <w:sz w:val="21"/>
          <w:szCs w:val="21"/>
          <w:highlight w:val="none"/>
          <w:lang w:val="en-US" w:eastAsia="zh-CN" w:bidi="ar-SA"/>
        </w:rPr>
        <w:t>如果供应商本身提供所有标的均由小微企业承接，视同符合了政府采购政策要求，提供《中小企业声明函》</w:t>
      </w:r>
      <w:r>
        <w:rPr>
          <w:rFonts w:hint="eastAsia" w:ascii="宋体" w:hAnsi="宋体" w:cs="宋体"/>
          <w:bCs/>
          <w:szCs w:val="21"/>
          <w:highlight w:val="none"/>
        </w:rPr>
        <w:t>（监狱企业须提供由省级以上监狱管理局、戒毒管理局（含新疆生产建设兵团）出具的属于监狱企业的证明文件；残疾人福利性单位须提供《残疾人福利性单位声明函》）</w:t>
      </w:r>
      <w:r>
        <w:rPr>
          <w:rFonts w:hint="eastAsia" w:hAnsi="宋体" w:eastAsia="宋体" w:cs="宋体"/>
          <w:b w:val="0"/>
          <w:bCs/>
          <w:kern w:val="0"/>
          <w:sz w:val="21"/>
          <w:szCs w:val="21"/>
          <w:highlight w:val="none"/>
          <w:lang w:val="en-US" w:eastAsia="zh-CN" w:bidi="ar-SA"/>
        </w:rPr>
        <w:t>。</w:t>
      </w:r>
    </w:p>
    <w:p>
      <w:pPr>
        <w:snapToGrid w:val="0"/>
        <w:spacing w:line="360" w:lineRule="auto"/>
        <w:ind w:firstLine="420" w:firstLineChars="200"/>
        <w:rPr>
          <w:rFonts w:ascii="宋体" w:hAnsi="宋体" w:cs="宋体"/>
          <w:bCs/>
          <w:szCs w:val="21"/>
        </w:rPr>
      </w:pPr>
      <w:bookmarkStart w:id="75" w:name="_Toc15359"/>
      <w:r>
        <w:rPr>
          <w:rFonts w:hint="eastAsia" w:ascii="宋体" w:hAnsi="宋体" w:cs="宋体"/>
          <w:bCs/>
          <w:szCs w:val="21"/>
        </w:rPr>
        <w:t>2.2投标人（联合体各成员）具有独立承担民事责任的能力证明材料（若为联合体投标，联合体各方成员均需提供）：投标人须在投标文件中出具符合以下情况的证明材料复印件（五选一）</w:t>
      </w:r>
    </w:p>
    <w:p>
      <w:pPr>
        <w:snapToGrid w:val="0"/>
        <w:spacing w:line="360" w:lineRule="auto"/>
        <w:ind w:firstLine="210" w:firstLineChars="100"/>
        <w:rPr>
          <w:rFonts w:ascii="宋体" w:hAnsi="宋体" w:cs="宋体"/>
          <w:bCs/>
          <w:szCs w:val="21"/>
        </w:rPr>
      </w:pPr>
      <w:r>
        <w:rPr>
          <w:rFonts w:hint="eastAsia" w:ascii="宋体" w:hAnsi="宋体" w:cs="宋体"/>
          <w:bCs/>
          <w:szCs w:val="21"/>
        </w:rPr>
        <w:t>a)如供应商是企业（包括合伙企业），提供在工商部门注册的有效“企业法人营业执照”或“营业执照”；</w:t>
      </w:r>
    </w:p>
    <w:p>
      <w:pPr>
        <w:snapToGrid w:val="0"/>
        <w:spacing w:line="360" w:lineRule="auto"/>
        <w:ind w:firstLine="210" w:firstLineChars="100"/>
        <w:rPr>
          <w:rFonts w:ascii="宋体" w:hAnsi="宋体" w:cs="宋体"/>
          <w:bCs/>
          <w:szCs w:val="21"/>
        </w:rPr>
      </w:pPr>
      <w:r>
        <w:rPr>
          <w:rFonts w:hint="eastAsia" w:ascii="宋体" w:hAnsi="宋体" w:cs="宋体"/>
          <w:bCs/>
          <w:szCs w:val="21"/>
        </w:rPr>
        <w:t>b)如供应商是事业单位，提供有效的“事业单位法人证书”；</w:t>
      </w:r>
    </w:p>
    <w:p>
      <w:pPr>
        <w:snapToGrid w:val="0"/>
        <w:spacing w:line="360" w:lineRule="auto"/>
        <w:ind w:firstLine="210" w:firstLineChars="100"/>
        <w:rPr>
          <w:rFonts w:ascii="宋体" w:hAnsi="宋体" w:cs="宋体"/>
          <w:bCs/>
          <w:szCs w:val="21"/>
        </w:rPr>
      </w:pPr>
      <w:r>
        <w:rPr>
          <w:rFonts w:hint="eastAsia" w:ascii="宋体" w:hAnsi="宋体" w:cs="宋体"/>
          <w:bCs/>
          <w:szCs w:val="21"/>
        </w:rPr>
        <w:t>c)如供应商是非企业专业服务机构的，提供执业许可证等证明文件；</w:t>
      </w:r>
    </w:p>
    <w:p>
      <w:pPr>
        <w:snapToGrid w:val="0"/>
        <w:spacing w:line="360" w:lineRule="auto"/>
        <w:ind w:firstLine="210" w:firstLineChars="100"/>
        <w:rPr>
          <w:rFonts w:ascii="宋体" w:hAnsi="宋体" w:cs="宋体"/>
          <w:bCs/>
          <w:szCs w:val="21"/>
        </w:rPr>
      </w:pPr>
      <w:r>
        <w:rPr>
          <w:rFonts w:hint="eastAsia" w:ascii="宋体" w:hAnsi="宋体" w:cs="宋体"/>
          <w:bCs/>
          <w:szCs w:val="21"/>
        </w:rPr>
        <w:t>d)如供应商是个体工商户，提供有效的“个体工商户营业执照”；</w:t>
      </w:r>
    </w:p>
    <w:p>
      <w:pPr>
        <w:snapToGrid w:val="0"/>
        <w:spacing w:line="360" w:lineRule="auto"/>
        <w:ind w:firstLine="210" w:firstLineChars="100"/>
        <w:rPr>
          <w:rFonts w:ascii="宋体" w:hAnsi="宋体" w:cs="宋体"/>
          <w:bCs/>
          <w:szCs w:val="21"/>
        </w:rPr>
      </w:pPr>
      <w:r>
        <w:rPr>
          <w:rFonts w:hint="eastAsia" w:ascii="宋体" w:hAnsi="宋体" w:cs="宋体"/>
          <w:bCs/>
          <w:szCs w:val="21"/>
        </w:rPr>
        <w:t>e)如供应商是自然人，提供有效的自然人身份证明（居民身份证正反面或公安机关出具的临时居民身份证正反面或港澳台胞证或证照）。</w:t>
      </w:r>
    </w:p>
    <w:p>
      <w:pPr>
        <w:snapToGrid w:val="0"/>
        <w:spacing w:line="360" w:lineRule="auto"/>
        <w:ind w:firstLine="420" w:firstLineChars="200"/>
        <w:rPr>
          <w:rFonts w:ascii="宋体" w:hAnsi="宋体" w:cs="宋体"/>
          <w:bCs/>
          <w:szCs w:val="21"/>
        </w:rPr>
      </w:pPr>
      <w:r>
        <w:rPr>
          <w:rFonts w:hint="eastAsia" w:ascii="宋体" w:hAnsi="宋体" w:cs="宋体"/>
          <w:bCs/>
          <w:szCs w:val="21"/>
        </w:rPr>
        <w:t>2.3投标</w:t>
      </w:r>
      <w:r>
        <w:rPr>
          <w:rFonts w:hint="eastAsia" w:ascii="宋体" w:hAnsi="宋体" w:cs="宋体"/>
          <w:szCs w:val="21"/>
        </w:rPr>
        <w:t>人（联合体各成员）</w:t>
      </w:r>
      <w:r>
        <w:rPr>
          <w:rFonts w:hint="eastAsia" w:ascii="宋体" w:hAnsi="宋体" w:cs="宋体"/>
          <w:bCs/>
          <w:szCs w:val="21"/>
        </w:rPr>
        <w:t>法定代表人身份证复印件；</w:t>
      </w:r>
    </w:p>
    <w:p>
      <w:pPr>
        <w:snapToGrid w:val="0"/>
        <w:spacing w:line="360" w:lineRule="auto"/>
        <w:ind w:firstLine="420" w:firstLineChars="200"/>
        <w:rPr>
          <w:rFonts w:ascii="宋体" w:hAnsi="宋体" w:cs="宋体"/>
          <w:bCs/>
          <w:szCs w:val="21"/>
        </w:rPr>
      </w:pPr>
      <w:r>
        <w:rPr>
          <w:rFonts w:hint="eastAsia" w:ascii="宋体" w:hAnsi="宋体" w:cs="宋体"/>
          <w:bCs/>
          <w:szCs w:val="21"/>
        </w:rPr>
        <w:t>2.4投标</w:t>
      </w:r>
      <w:r>
        <w:rPr>
          <w:rFonts w:hint="eastAsia" w:ascii="宋体" w:hAnsi="宋体" w:cs="宋体"/>
          <w:szCs w:val="21"/>
        </w:rPr>
        <w:t>人（联合体牵头人）</w:t>
      </w:r>
      <w:r>
        <w:rPr>
          <w:rFonts w:hint="eastAsia" w:ascii="宋体" w:hAnsi="宋体" w:cs="宋体"/>
          <w:bCs/>
          <w:szCs w:val="21"/>
        </w:rPr>
        <w:t>法定代表人授权函，非法定代表人参加投标时提供；（格式六）</w:t>
      </w:r>
    </w:p>
    <w:p>
      <w:pPr>
        <w:snapToGrid w:val="0"/>
        <w:spacing w:line="360" w:lineRule="auto"/>
        <w:ind w:firstLine="420" w:firstLineChars="200"/>
        <w:rPr>
          <w:rFonts w:ascii="宋体" w:hAnsi="宋体" w:cs="宋体"/>
          <w:bCs/>
          <w:szCs w:val="21"/>
        </w:rPr>
      </w:pPr>
      <w:r>
        <w:rPr>
          <w:rFonts w:hint="eastAsia" w:ascii="宋体" w:hAnsi="宋体" w:cs="宋体"/>
          <w:bCs/>
          <w:szCs w:val="21"/>
        </w:rPr>
        <w:t>2.5投标人</w:t>
      </w:r>
      <w:r>
        <w:rPr>
          <w:rFonts w:hint="eastAsia" w:ascii="宋体" w:hAnsi="宋体" w:cs="宋体"/>
          <w:szCs w:val="21"/>
        </w:rPr>
        <w:t>（联合体牵头人）</w:t>
      </w:r>
      <w:r>
        <w:rPr>
          <w:rFonts w:hint="eastAsia" w:ascii="宋体" w:hAnsi="宋体" w:cs="宋体"/>
          <w:bCs/>
          <w:szCs w:val="21"/>
        </w:rPr>
        <w:t>代表身份证复印件，非法定代表人参加投标时提供；</w:t>
      </w:r>
    </w:p>
    <w:p>
      <w:pPr>
        <w:snapToGrid w:val="0"/>
        <w:spacing w:line="360" w:lineRule="auto"/>
        <w:ind w:firstLine="420" w:firstLineChars="200"/>
        <w:rPr>
          <w:rFonts w:ascii="宋体" w:hAnsi="宋体" w:cs="宋体"/>
          <w:bCs/>
          <w:szCs w:val="21"/>
        </w:rPr>
      </w:pPr>
      <w:r>
        <w:rPr>
          <w:rFonts w:hint="eastAsia" w:ascii="宋体" w:hAnsi="宋体" w:cs="宋体"/>
          <w:bCs/>
          <w:szCs w:val="21"/>
        </w:rPr>
        <w:t>2.6投标</w:t>
      </w:r>
      <w:r>
        <w:rPr>
          <w:rFonts w:hint="eastAsia" w:ascii="宋体" w:hAnsi="宋体" w:cs="宋体"/>
          <w:szCs w:val="21"/>
        </w:rPr>
        <w:t>人（联合体牵头人）</w:t>
      </w:r>
      <w:r>
        <w:rPr>
          <w:rFonts w:hint="eastAsia" w:ascii="宋体" w:hAnsi="宋体" w:cs="宋体"/>
          <w:bCs/>
          <w:szCs w:val="21"/>
        </w:rPr>
        <w:t>投标函；（格式</w:t>
      </w:r>
      <w:r>
        <w:rPr>
          <w:rFonts w:hint="eastAsia" w:ascii="宋体" w:hAnsi="宋体" w:cs="宋体"/>
          <w:bCs/>
          <w:szCs w:val="21"/>
          <w:lang w:val="en-US" w:eastAsia="zh-CN"/>
        </w:rPr>
        <w:t>四</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bCs w:val="0"/>
          <w:szCs w:val="21"/>
        </w:rPr>
      </w:pPr>
      <w:r>
        <w:rPr>
          <w:rFonts w:hint="eastAsia" w:ascii="宋体" w:hAnsi="宋体" w:eastAsia="宋体" w:cs="宋体"/>
          <w:b/>
          <w:bCs w:val="0"/>
          <w:szCs w:val="21"/>
          <w:lang w:val="en-US" w:eastAsia="zh-CN"/>
        </w:rPr>
        <w:t>3</w:t>
      </w:r>
      <w:r>
        <w:rPr>
          <w:rFonts w:hint="eastAsia" w:ascii="宋体" w:hAnsi="宋体" w:eastAsia="宋体" w:cs="宋体"/>
          <w:b/>
          <w:bCs w:val="0"/>
          <w:szCs w:val="21"/>
        </w:rPr>
        <w:t>、商务技术文件部分</w:t>
      </w:r>
      <w:bookmarkEnd w:id="75"/>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szCs w:val="21"/>
        </w:rPr>
      </w:pPr>
      <w:bookmarkStart w:id="76" w:name="_Toc29671"/>
      <w:r>
        <w:rPr>
          <w:rFonts w:hint="eastAsia" w:ascii="宋体" w:hAnsi="宋体" w:eastAsia="宋体" w:cs="宋体"/>
          <w:b w:val="0"/>
          <w:bCs/>
          <w:szCs w:val="21"/>
          <w:lang w:val="en-US" w:eastAsia="zh-CN"/>
        </w:rPr>
        <w:t>3</w:t>
      </w:r>
      <w:r>
        <w:rPr>
          <w:rFonts w:hint="eastAsia" w:ascii="宋体" w:hAnsi="宋体" w:eastAsia="宋体" w:cs="宋体"/>
          <w:b w:val="0"/>
          <w:bCs/>
          <w:szCs w:val="21"/>
        </w:rPr>
        <w:t>.1评分标准页码索引；</w:t>
      </w:r>
      <w:bookmarkEnd w:id="76"/>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rPr>
      </w:pPr>
      <w:r>
        <w:rPr>
          <w:rFonts w:hint="eastAsia" w:ascii="宋体" w:hAnsi="宋体" w:eastAsia="宋体" w:cs="宋体"/>
          <w:b w:val="0"/>
          <w:bCs/>
          <w:lang w:val="en-US" w:eastAsia="zh-CN"/>
        </w:rPr>
        <w:t>3</w:t>
      </w:r>
      <w:r>
        <w:rPr>
          <w:rFonts w:hint="eastAsia" w:ascii="宋体" w:hAnsi="宋体" w:eastAsia="宋体" w:cs="宋体"/>
          <w:b w:val="0"/>
          <w:bCs/>
        </w:rPr>
        <w:t>.</w:t>
      </w:r>
      <w:r>
        <w:rPr>
          <w:rFonts w:hint="eastAsia" w:ascii="宋体" w:hAnsi="宋体" w:eastAsia="宋体" w:cs="宋体"/>
          <w:b w:val="0"/>
          <w:bCs/>
          <w:lang w:val="en-US" w:eastAsia="zh-CN"/>
        </w:rPr>
        <w:t>2</w:t>
      </w:r>
      <w:r>
        <w:rPr>
          <w:rFonts w:hint="eastAsia" w:ascii="宋体" w:hAnsi="宋体" w:eastAsia="宋体" w:cs="宋体"/>
          <w:b w:val="0"/>
          <w:bCs/>
        </w:rPr>
        <w:t>投标人相关业绩；（格式</w:t>
      </w:r>
      <w:r>
        <w:rPr>
          <w:rFonts w:hint="eastAsia" w:ascii="宋体" w:hAnsi="宋体" w:cs="宋体"/>
          <w:b w:val="0"/>
          <w:bCs/>
          <w:lang w:val="en-US" w:eastAsia="zh-CN"/>
        </w:rPr>
        <w:t>七</w:t>
      </w:r>
      <w:r>
        <w:rPr>
          <w:rFonts w:hint="eastAsia" w:ascii="宋体" w:hAnsi="宋体" w:eastAsia="宋体" w:cs="宋体"/>
          <w:b w:val="0"/>
          <w:bCs/>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rPr>
      </w:pPr>
      <w:r>
        <w:rPr>
          <w:rFonts w:hint="eastAsia" w:ascii="宋体" w:hAnsi="宋体" w:eastAsia="宋体" w:cs="宋体"/>
          <w:b w:val="0"/>
          <w:bCs/>
          <w:lang w:val="en-US" w:eastAsia="zh-CN"/>
        </w:rPr>
        <w:t>3</w:t>
      </w:r>
      <w:r>
        <w:rPr>
          <w:rFonts w:hint="eastAsia" w:ascii="宋体" w:hAnsi="宋体" w:eastAsia="宋体" w:cs="宋体"/>
          <w:b w:val="0"/>
          <w:bCs/>
        </w:rPr>
        <w:t>.</w:t>
      </w:r>
      <w:r>
        <w:rPr>
          <w:rFonts w:hint="eastAsia" w:ascii="宋体" w:hAnsi="宋体" w:eastAsia="宋体" w:cs="宋体"/>
          <w:b w:val="0"/>
          <w:bCs/>
          <w:lang w:val="en-US" w:eastAsia="zh-CN"/>
        </w:rPr>
        <w:t>3</w:t>
      </w:r>
      <w:r>
        <w:rPr>
          <w:rFonts w:hint="eastAsia" w:ascii="宋体" w:hAnsi="宋体" w:eastAsia="宋体" w:cs="宋体"/>
          <w:b w:val="0"/>
          <w:bCs/>
        </w:rPr>
        <w:t>投标人拟派项目团队；（格式</w:t>
      </w:r>
      <w:r>
        <w:rPr>
          <w:rFonts w:hint="eastAsia" w:ascii="宋体" w:hAnsi="宋体" w:cs="宋体"/>
          <w:b w:val="0"/>
          <w:bCs/>
          <w:lang w:val="en-US" w:eastAsia="zh-CN"/>
        </w:rPr>
        <w:t>八</w:t>
      </w:r>
      <w:r>
        <w:rPr>
          <w:rFonts w:hint="eastAsia" w:ascii="宋体" w:hAnsi="宋体" w:eastAsia="宋体" w:cs="宋体"/>
          <w:b w:val="0"/>
          <w:bCs/>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lang w:val="en-US" w:eastAsia="zh-CN"/>
        </w:rPr>
        <w:t>3</w:t>
      </w:r>
      <w:r>
        <w:rPr>
          <w:rFonts w:hint="eastAsia" w:ascii="宋体" w:hAnsi="宋体" w:eastAsia="宋体" w:cs="宋体"/>
          <w:b w:val="0"/>
          <w:bCs/>
        </w:rPr>
        <w:t>.</w:t>
      </w:r>
      <w:r>
        <w:rPr>
          <w:rFonts w:hint="eastAsia" w:ascii="宋体" w:hAnsi="宋体" w:eastAsia="宋体" w:cs="宋体"/>
          <w:b w:val="0"/>
          <w:bCs/>
          <w:lang w:val="en-US" w:eastAsia="zh-CN"/>
        </w:rPr>
        <w:t>4</w:t>
      </w:r>
      <w:r>
        <w:rPr>
          <w:rFonts w:hint="eastAsia" w:ascii="宋体" w:hAnsi="宋体" w:eastAsia="宋体" w:cs="宋体"/>
          <w:b w:val="0"/>
          <w:bCs/>
        </w:rPr>
        <w:t>商务条款响应表；（格式</w:t>
      </w:r>
      <w:r>
        <w:rPr>
          <w:rFonts w:hint="eastAsia" w:ascii="宋体" w:hAnsi="宋体" w:cs="宋体"/>
          <w:b w:val="0"/>
          <w:bCs/>
          <w:lang w:val="en-US" w:eastAsia="zh-CN"/>
        </w:rPr>
        <w:t>九</w:t>
      </w:r>
      <w:r>
        <w:rPr>
          <w:rFonts w:hint="eastAsia" w:ascii="宋体" w:hAnsi="宋体" w:eastAsia="宋体" w:cs="宋体"/>
          <w:b w:val="0"/>
          <w:bCs/>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rPr>
      </w:pPr>
      <w:r>
        <w:rPr>
          <w:rFonts w:hint="eastAsia" w:ascii="宋体" w:hAnsi="宋体" w:eastAsia="宋体" w:cs="宋体"/>
          <w:b w:val="0"/>
          <w:bCs/>
          <w:lang w:val="en-US" w:eastAsia="zh-CN"/>
        </w:rPr>
        <w:t>3</w:t>
      </w:r>
      <w:r>
        <w:rPr>
          <w:rFonts w:hint="eastAsia" w:ascii="宋体" w:hAnsi="宋体" w:eastAsia="宋体" w:cs="宋体"/>
          <w:b w:val="0"/>
          <w:bCs/>
        </w:rPr>
        <w:t>.</w:t>
      </w:r>
      <w:r>
        <w:rPr>
          <w:rFonts w:hint="eastAsia" w:ascii="宋体" w:hAnsi="宋体" w:eastAsia="宋体" w:cs="宋体"/>
          <w:b w:val="0"/>
          <w:bCs/>
          <w:lang w:val="en-US" w:eastAsia="zh-CN"/>
        </w:rPr>
        <w:t>5</w:t>
      </w:r>
      <w:r>
        <w:rPr>
          <w:rFonts w:hint="eastAsia" w:ascii="宋体" w:hAnsi="宋体" w:eastAsia="宋体" w:cs="宋体"/>
          <w:b w:val="0"/>
          <w:bCs/>
        </w:rPr>
        <w:t>按照评分标准依次编制相应的说明、证明材料复印件；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szCs w:val="21"/>
        </w:rPr>
      </w:pPr>
      <w:r>
        <w:rPr>
          <w:rFonts w:hint="eastAsia" w:ascii="宋体" w:hAnsi="宋体" w:eastAsia="宋体" w:cs="宋体"/>
          <w:b w:val="0"/>
          <w:bCs/>
          <w:lang w:val="en-US" w:eastAsia="zh-CN"/>
        </w:rPr>
        <w:t>3</w:t>
      </w:r>
      <w:r>
        <w:rPr>
          <w:rFonts w:hint="eastAsia" w:ascii="宋体" w:hAnsi="宋体" w:eastAsia="宋体" w:cs="宋体"/>
          <w:b w:val="0"/>
          <w:bCs/>
        </w:rPr>
        <w:t>.</w:t>
      </w:r>
      <w:r>
        <w:rPr>
          <w:rFonts w:hint="eastAsia" w:ascii="宋体" w:hAnsi="宋体" w:eastAsia="宋体" w:cs="宋体"/>
          <w:b w:val="0"/>
          <w:bCs/>
          <w:lang w:val="en-US" w:eastAsia="zh-CN"/>
        </w:rPr>
        <w:t>6</w:t>
      </w:r>
      <w:r>
        <w:rPr>
          <w:rFonts w:hint="eastAsia" w:ascii="宋体" w:hAnsi="宋体" w:eastAsia="宋体" w:cs="宋体"/>
          <w:b w:val="0"/>
          <w:bCs/>
        </w:rPr>
        <w:t>本招标文件要求提供的和投标人认为需要提供的其它说明和资料/文件。</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sz w:val="28"/>
          <w:szCs w:val="28"/>
        </w:rPr>
      </w:pPr>
    </w:p>
    <w:p>
      <w:pPr>
        <w:keepNext w:val="0"/>
        <w:keepLines w:val="0"/>
        <w:pageBreakBefore w:val="0"/>
        <w:kinsoku/>
        <w:wordWrap/>
        <w:topLinePunct w:val="0"/>
        <w:bidi w:val="0"/>
        <w:spacing w:line="360" w:lineRule="auto"/>
        <w:rPr>
          <w:rFonts w:hint="eastAsia"/>
        </w:rPr>
      </w:pPr>
    </w:p>
    <w:p>
      <w:pPr>
        <w:keepNext w:val="0"/>
        <w:keepLines w:val="0"/>
        <w:pageBreakBefore w:val="0"/>
        <w:kinsoku/>
        <w:wordWrap/>
        <w:overflowPunct/>
        <w:topLinePunct w:val="0"/>
        <w:bidi w:val="0"/>
        <w:snapToGrid w:val="0"/>
        <w:spacing w:line="360" w:lineRule="auto"/>
        <w:jc w:val="center"/>
        <w:outlineLvl w:val="9"/>
        <w:rPr>
          <w:rFonts w:hint="eastAsia"/>
          <w:b/>
          <w:bCs/>
          <w:sz w:val="28"/>
          <w:szCs w:val="28"/>
        </w:rPr>
      </w:pPr>
      <w:bookmarkStart w:id="77" w:name="_Toc32726"/>
    </w:p>
    <w:p>
      <w:pPr>
        <w:rPr>
          <w:rFonts w:hint="eastAsia"/>
          <w:b/>
          <w:bCs/>
          <w:sz w:val="28"/>
          <w:szCs w:val="28"/>
        </w:rPr>
      </w:pPr>
      <w:r>
        <w:rPr>
          <w:rFonts w:hint="eastAsia"/>
          <w:b/>
          <w:bCs/>
          <w:sz w:val="28"/>
          <w:szCs w:val="28"/>
        </w:rPr>
        <w:br w:type="page"/>
      </w:r>
    </w:p>
    <w:p>
      <w:pPr>
        <w:keepNext w:val="0"/>
        <w:keepLines w:val="0"/>
        <w:pageBreakBefore w:val="0"/>
        <w:kinsoku/>
        <w:wordWrap/>
        <w:overflowPunct/>
        <w:topLinePunct w:val="0"/>
        <w:bidi w:val="0"/>
        <w:snapToGrid w:val="0"/>
        <w:spacing w:line="360" w:lineRule="auto"/>
        <w:jc w:val="center"/>
        <w:outlineLvl w:val="1"/>
        <w:rPr>
          <w:rFonts w:hint="eastAsia" w:ascii="宋体" w:hAnsi="宋体" w:eastAsia="宋体" w:cs="宋体"/>
          <w:b/>
          <w:sz w:val="28"/>
          <w:szCs w:val="28"/>
          <w:lang w:val="en-US" w:eastAsia="zh-CN"/>
        </w:rPr>
      </w:pPr>
      <w:r>
        <w:rPr>
          <w:rFonts w:hint="eastAsia"/>
          <w:b/>
          <w:bCs/>
          <w:sz w:val="28"/>
          <w:szCs w:val="28"/>
        </w:rPr>
        <w:t>投标文件格式</w:t>
      </w:r>
      <w:bookmarkEnd w:id="77"/>
      <w:r>
        <w:rPr>
          <w:rFonts w:hint="eastAsia"/>
          <w:b/>
          <w:bCs/>
          <w:sz w:val="28"/>
          <w:szCs w:val="28"/>
          <w:lang w:val="en-US" w:eastAsia="zh-CN"/>
        </w:rPr>
        <w:tab/>
      </w:r>
    </w:p>
    <w:p>
      <w:pPr>
        <w:keepNext w:val="0"/>
        <w:keepLines w:val="0"/>
        <w:pageBreakBefore w:val="0"/>
        <w:kinsoku/>
        <w:wordWrap/>
        <w:overflowPunct/>
        <w:topLinePunct w:val="0"/>
        <w:bidi w:val="0"/>
        <w:snapToGrid w:val="0"/>
        <w:spacing w:line="360" w:lineRule="auto"/>
        <w:outlineLvl w:val="2"/>
        <w:rPr>
          <w:rFonts w:hint="eastAsia" w:ascii="宋体" w:hAnsi="宋体" w:eastAsia="宋体" w:cs="宋体"/>
          <w:b/>
          <w:spacing w:val="20"/>
          <w:sz w:val="21"/>
          <w:szCs w:val="21"/>
        </w:rPr>
      </w:pPr>
      <w:r>
        <w:rPr>
          <w:rFonts w:hint="eastAsia" w:ascii="宋体" w:hAnsi="宋体" w:eastAsia="宋体" w:cs="宋体"/>
          <w:b/>
          <w:spacing w:val="20"/>
          <w:sz w:val="21"/>
          <w:szCs w:val="21"/>
        </w:rPr>
        <w:t>格式</w:t>
      </w:r>
      <w:r>
        <w:rPr>
          <w:rFonts w:hint="eastAsia" w:ascii="宋体" w:hAnsi="宋体" w:eastAsia="宋体" w:cs="宋体"/>
          <w:b/>
          <w:spacing w:val="20"/>
          <w:sz w:val="21"/>
          <w:szCs w:val="21"/>
          <w:lang w:val="en-US" w:eastAsia="zh-CN"/>
        </w:rPr>
        <w:t>一</w:t>
      </w:r>
      <w:r>
        <w:rPr>
          <w:rFonts w:hint="eastAsia" w:ascii="宋体" w:hAnsi="宋体" w:eastAsia="宋体" w:cs="宋体"/>
          <w:b/>
          <w:spacing w:val="20"/>
          <w:sz w:val="21"/>
          <w:szCs w:val="21"/>
        </w:rPr>
        <w:t>、开标一览表</w:t>
      </w:r>
    </w:p>
    <w:p>
      <w:pPr>
        <w:pStyle w:val="34"/>
        <w:keepNext w:val="0"/>
        <w:keepLines w:val="0"/>
        <w:pageBreakBefore w:val="0"/>
        <w:kinsoku/>
        <w:wordWrap/>
        <w:topLinePunct w:val="0"/>
        <w:bidi w:val="0"/>
        <w:spacing w:line="360" w:lineRule="auto"/>
        <w:rPr>
          <w:rFonts w:hint="eastAsia" w:ascii="宋体" w:hAnsi="宋体" w:eastAsia="宋体" w:cs="宋体"/>
          <w:sz w:val="21"/>
          <w:szCs w:val="21"/>
        </w:rPr>
      </w:pPr>
    </w:p>
    <w:tbl>
      <w:tblPr>
        <w:tblStyle w:val="26"/>
        <w:tblW w:w="9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2445"/>
        <w:gridCol w:w="988"/>
        <w:gridCol w:w="988"/>
        <w:gridCol w:w="1250"/>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0" w:type="dxa"/>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2445"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建设内容</w:t>
            </w:r>
          </w:p>
        </w:tc>
        <w:tc>
          <w:tcPr>
            <w:tcW w:w="988" w:type="dxa"/>
            <w:tcBorders>
              <w:left w:val="single" w:color="auto" w:sz="4" w:space="0"/>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tc>
        <w:tc>
          <w:tcPr>
            <w:tcW w:w="988" w:type="dxa"/>
            <w:tcBorders>
              <w:lef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w:t>
            </w:r>
          </w:p>
        </w:tc>
        <w:tc>
          <w:tcPr>
            <w:tcW w:w="1250"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质保期</w:t>
            </w:r>
          </w:p>
        </w:tc>
        <w:tc>
          <w:tcPr>
            <w:tcW w:w="3079"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统一折扣率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0" w:type="dxa"/>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2445"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红绿灯维修保养</w:t>
            </w:r>
          </w:p>
        </w:tc>
        <w:tc>
          <w:tcPr>
            <w:tcW w:w="988" w:type="dxa"/>
            <w:tcBorders>
              <w:left w:val="single" w:color="auto" w:sz="4" w:space="0"/>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988" w:type="dxa"/>
            <w:tcBorders>
              <w:lef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w:t>
            </w:r>
          </w:p>
        </w:tc>
        <w:tc>
          <w:tcPr>
            <w:tcW w:w="1250"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c>
          <w:tcPr>
            <w:tcW w:w="3079" w:type="dxa"/>
            <w:vMerge w:val="restart"/>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0" w:type="dxa"/>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2445"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信号灯、标志、标线配套设施</w:t>
            </w:r>
            <w:r>
              <w:rPr>
                <w:rFonts w:hint="eastAsia" w:ascii="宋体" w:hAnsi="宋体" w:eastAsia="宋体" w:cs="宋体"/>
                <w:kern w:val="0"/>
                <w:sz w:val="21"/>
                <w:szCs w:val="21"/>
              </w:rPr>
              <w:t>按需维保建设</w:t>
            </w:r>
          </w:p>
        </w:tc>
        <w:tc>
          <w:tcPr>
            <w:tcW w:w="988" w:type="dxa"/>
            <w:tcBorders>
              <w:left w:val="single" w:color="auto" w:sz="4" w:space="0"/>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988" w:type="dxa"/>
            <w:tcBorders>
              <w:lef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w:t>
            </w:r>
          </w:p>
        </w:tc>
        <w:tc>
          <w:tcPr>
            <w:tcW w:w="1250" w:type="dxa"/>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c>
          <w:tcPr>
            <w:tcW w:w="3079" w:type="dxa"/>
            <w:vMerge w:val="continue"/>
            <w:tcBorders>
              <w:right w:val="single" w:color="auto" w:sz="4" w:space="0"/>
            </w:tcBorders>
            <w:noWrap w:val="0"/>
            <w:vAlign w:val="center"/>
          </w:tcPr>
          <w:p>
            <w:pPr>
              <w:keepNext w:val="0"/>
              <w:keepLines w:val="0"/>
              <w:pageBreakBefore w:val="0"/>
              <w:widowControl w:val="0"/>
              <w:tabs>
                <w:tab w:val="left" w:pos="3720"/>
              </w:tabs>
              <w:kinsoku/>
              <w:wordWrap/>
              <w:overflowPunct/>
              <w:topLinePunct w:val="0"/>
              <w:autoSpaceDE/>
              <w:autoSpaceDN/>
              <w:bidi w:val="0"/>
              <w:snapToGrid/>
              <w:spacing w:line="360" w:lineRule="auto"/>
              <w:jc w:val="center"/>
              <w:rPr>
                <w:rFonts w:hint="eastAsia" w:ascii="宋体" w:hAnsi="宋体" w:eastAsia="宋体" w:cs="宋体"/>
                <w:b w:val="0"/>
                <w:bCs w:val="0"/>
                <w:sz w:val="21"/>
                <w:szCs w:val="21"/>
                <w:highlight w:val="none"/>
                <w:lang w:val="en-US" w:eastAsia="zh-CN"/>
              </w:rPr>
            </w:pPr>
          </w:p>
        </w:tc>
      </w:tr>
    </w:tbl>
    <w:p>
      <w:pPr>
        <w:pStyle w:val="35"/>
        <w:keepNext w:val="0"/>
        <w:keepLines w:val="0"/>
        <w:pageBreakBefore w:val="0"/>
        <w:widowControl w:val="0"/>
        <w:kinsoku/>
        <w:wordWrap/>
        <w:overflowPunct/>
        <w:topLinePunct w:val="0"/>
        <w:autoSpaceDE/>
        <w:autoSpaceDN/>
        <w:bidi w:val="0"/>
        <w:snapToGrid/>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1、投标报价：投标人针对以上建设内容的最高限价填报统一折扣率；</w:t>
      </w:r>
    </w:p>
    <w:p>
      <w:pPr>
        <w:pStyle w:val="35"/>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2、红绿灯维修保养部分合同总价=总价最高限价×中标折扣率；</w:t>
      </w:r>
    </w:p>
    <w:p>
      <w:pPr>
        <w:keepNext w:val="0"/>
        <w:keepLines w:val="0"/>
        <w:pageBreakBefore w:val="0"/>
        <w:widowControl w:val="0"/>
        <w:kinsoku/>
        <w:wordWrap/>
        <w:overflowPunct/>
        <w:topLinePunct w:val="0"/>
        <w:autoSpaceDE/>
        <w:autoSpaceDN/>
        <w:bidi w:val="0"/>
        <w:snapToGrid/>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3、信号灯、标志、标线配套设施按需维保建设合同单价=单价最高限价×中标折扣率，根据实际数量结算。</w:t>
      </w: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（加盖公章）  </w:t>
      </w: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投标人代表：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p>
    <w:p>
      <w:pPr>
        <w:keepNext w:val="0"/>
        <w:keepLines w:val="0"/>
        <w:pageBreakBefore w:val="0"/>
        <w:kinsoku/>
        <w:wordWrap/>
        <w:overflowPunct/>
        <w:topLinePunct w:val="0"/>
        <w:bidi w:val="0"/>
        <w:snapToGrid w:val="0"/>
        <w:spacing w:before="50" w:after="50"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napToGrid w:val="0"/>
        <w:spacing w:before="50" w:after="50" w:line="360" w:lineRule="auto"/>
        <w:rPr>
          <w:rFonts w:ascii="宋体" w:hAnsi="宋体" w:cs="宋体"/>
          <w:b/>
          <w:spacing w:val="20"/>
          <w:szCs w:val="21"/>
        </w:rPr>
      </w:pPr>
    </w:p>
    <w:p>
      <w:pPr>
        <w:keepNext w:val="0"/>
        <w:keepLines w:val="0"/>
        <w:pageBreakBefore w:val="0"/>
        <w:kinsoku/>
        <w:wordWrap/>
        <w:overflowPunct/>
        <w:topLinePunct w:val="0"/>
        <w:bidi w:val="0"/>
        <w:snapToGrid w:val="0"/>
        <w:spacing w:line="360" w:lineRule="auto"/>
        <w:rPr>
          <w:rFonts w:ascii="宋体" w:hAnsi="宋体" w:cs="宋体"/>
          <w:spacing w:val="20"/>
          <w:szCs w:val="21"/>
          <w:highlight w:val="yellow"/>
        </w:rPr>
      </w:pPr>
    </w:p>
    <w:p>
      <w:pPr>
        <w:keepNext w:val="0"/>
        <w:keepLines w:val="0"/>
        <w:pageBreakBefore w:val="0"/>
        <w:kinsoku/>
        <w:wordWrap/>
        <w:overflowPunct/>
        <w:topLinePunct w:val="0"/>
        <w:bidi w:val="0"/>
        <w:spacing w:line="360" w:lineRule="auto"/>
        <w:rPr>
          <w:rFonts w:hint="eastAsia" w:ascii="宋体" w:hAnsi="宋体" w:cs="宋体"/>
          <w:b/>
          <w:szCs w:val="21"/>
        </w:rPr>
      </w:pPr>
      <w:r>
        <w:rPr>
          <w:rFonts w:hint="eastAsia" w:ascii="宋体" w:hAnsi="宋体" w:cs="宋体"/>
          <w:b/>
          <w:szCs w:val="21"/>
        </w:rPr>
        <w:br w:type="page"/>
      </w:r>
    </w:p>
    <w:p>
      <w:pPr>
        <w:keepNext w:val="0"/>
        <w:keepLines w:val="0"/>
        <w:pageBreakBefore w:val="0"/>
        <w:kinsoku/>
        <w:wordWrap/>
        <w:overflowPunct/>
        <w:topLinePunct w:val="0"/>
        <w:autoSpaceDE/>
        <w:autoSpaceDN/>
        <w:bidi w:val="0"/>
        <w:adjustRightInd/>
        <w:snapToGrid w:val="0"/>
        <w:spacing w:before="50" w:after="156" w:afterLines="50" w:line="360" w:lineRule="auto"/>
        <w:jc w:val="left"/>
        <w:textAlignment w:val="auto"/>
        <w:outlineLvl w:val="2"/>
        <w:rPr>
          <w:rFonts w:hint="eastAsia" w:ascii="宋体" w:hAnsi="宋体" w:eastAsia="宋体" w:cs="宋体"/>
          <w:b/>
          <w:sz w:val="21"/>
          <w:szCs w:val="21"/>
        </w:rPr>
      </w:pPr>
      <w:r>
        <w:rPr>
          <w:rFonts w:hint="eastAsia" w:ascii="宋体" w:hAnsi="宋体" w:eastAsia="宋体" w:cs="宋体"/>
          <w:b/>
          <w:sz w:val="21"/>
          <w:szCs w:val="21"/>
        </w:rPr>
        <w:t>格式</w:t>
      </w:r>
      <w:r>
        <w:rPr>
          <w:rFonts w:hint="eastAsia" w:ascii="宋体" w:hAnsi="宋体" w:eastAsia="宋体" w:cs="宋体"/>
          <w:b/>
          <w:sz w:val="21"/>
          <w:szCs w:val="21"/>
          <w:lang w:val="en-US" w:eastAsia="zh-CN"/>
        </w:rPr>
        <w:t>二</w:t>
      </w:r>
      <w:r>
        <w:rPr>
          <w:rFonts w:hint="eastAsia" w:ascii="宋体" w:hAnsi="宋体" w:eastAsia="宋体" w:cs="宋体"/>
          <w:b/>
          <w:sz w:val="21"/>
          <w:szCs w:val="21"/>
        </w:rPr>
        <w:t>、中小企业声明函</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bidi="ar"/>
        </w:rPr>
        <w:t>中小企业声明函（</w:t>
      </w:r>
      <w:r>
        <w:rPr>
          <w:rFonts w:hint="eastAsia" w:ascii="宋体" w:hAnsi="宋体" w:eastAsia="宋体" w:cs="宋体"/>
          <w:b/>
          <w:color w:val="000000"/>
          <w:kern w:val="0"/>
          <w:sz w:val="21"/>
          <w:szCs w:val="21"/>
          <w:lang w:val="en-US" w:eastAsia="zh-CN" w:bidi="ar"/>
        </w:rPr>
        <w:t>服务</w:t>
      </w:r>
      <w:r>
        <w:rPr>
          <w:rFonts w:hint="eastAsia" w:ascii="宋体" w:hAnsi="宋体" w:eastAsia="宋体" w:cs="宋体"/>
          <w:b/>
          <w:color w:val="000000"/>
          <w:kern w:val="0"/>
          <w:sz w:val="21"/>
          <w:szCs w:val="21"/>
          <w:lang w:bidi="ar"/>
        </w:rPr>
        <w:t>）</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本公司郑重声明，根据《政府采购促进中小企业发展管理办法》（财库﹝2020﹞46 号）的规定，本公司参加</w:t>
      </w:r>
      <w:r>
        <w:rPr>
          <w:rFonts w:hint="eastAsia" w:ascii="宋体" w:hAnsi="宋体" w:eastAsia="宋体" w:cs="宋体"/>
          <w:color w:val="000000"/>
          <w:kern w:val="0"/>
          <w:sz w:val="21"/>
          <w:szCs w:val="21"/>
          <w:u w:val="single"/>
          <w:lang w:bidi="ar"/>
        </w:rPr>
        <w:t>（单位名称）</w:t>
      </w:r>
      <w:r>
        <w:rPr>
          <w:rFonts w:hint="eastAsia" w:ascii="宋体" w:hAnsi="宋体" w:eastAsia="宋体" w:cs="宋体"/>
          <w:color w:val="000000"/>
          <w:kern w:val="0"/>
          <w:sz w:val="21"/>
          <w:szCs w:val="21"/>
          <w:lang w:bidi="ar"/>
        </w:rPr>
        <w:t>的</w:t>
      </w:r>
      <w:r>
        <w:rPr>
          <w:rFonts w:hint="eastAsia" w:ascii="宋体" w:hAnsi="宋体" w:eastAsia="宋体" w:cs="宋体"/>
          <w:color w:val="000000"/>
          <w:kern w:val="0"/>
          <w:sz w:val="21"/>
          <w:szCs w:val="21"/>
          <w:u w:val="single"/>
          <w:lang w:bidi="ar"/>
        </w:rPr>
        <w:t>（项目名称）</w:t>
      </w:r>
      <w:r>
        <w:rPr>
          <w:rFonts w:hint="eastAsia" w:ascii="宋体" w:hAnsi="宋体" w:eastAsia="宋体" w:cs="宋体"/>
          <w:color w:val="000000"/>
          <w:kern w:val="0"/>
          <w:sz w:val="21"/>
          <w:szCs w:val="21"/>
          <w:lang w:bidi="ar"/>
        </w:rPr>
        <w:t>采购活动，</w:t>
      </w:r>
      <w:r>
        <w:rPr>
          <w:rFonts w:hint="eastAsia" w:ascii="宋体" w:hAnsi="宋体" w:eastAsia="宋体" w:cs="宋体"/>
          <w:color w:val="000000"/>
          <w:kern w:val="0"/>
          <w:sz w:val="21"/>
          <w:szCs w:val="21"/>
          <w:highlight w:val="none"/>
          <w:lang w:bidi="ar"/>
        </w:rPr>
        <w:t>服务全部由符合政策要求的中小企业承接</w:t>
      </w:r>
      <w:r>
        <w:rPr>
          <w:rFonts w:hint="eastAsia" w:ascii="宋体" w:hAnsi="宋体" w:eastAsia="宋体" w:cs="宋体"/>
          <w:color w:val="000000"/>
          <w:kern w:val="0"/>
          <w:sz w:val="21"/>
          <w:szCs w:val="21"/>
          <w:lang w:bidi="ar"/>
        </w:rPr>
        <w:t>。相关企业的具体情况如下：</w:t>
      </w:r>
    </w:p>
    <w:p>
      <w:pPr>
        <w:keepNext w:val="0"/>
        <w:keepLines w:val="0"/>
        <w:pageBreakBefore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w:t>
      </w:r>
      <w:r>
        <w:rPr>
          <w:rFonts w:hint="eastAsia" w:ascii="宋体" w:hAnsi="宋体" w:eastAsia="宋体" w:cs="宋体"/>
          <w:spacing w:val="6"/>
          <w:sz w:val="21"/>
          <w:szCs w:val="21"/>
          <w:u w:val="single"/>
        </w:rPr>
        <w:t>（标的名称）</w:t>
      </w:r>
      <w:r>
        <w:rPr>
          <w:rFonts w:hint="eastAsia" w:ascii="宋体" w:hAnsi="宋体" w:eastAsia="宋体" w:cs="宋体"/>
          <w:spacing w:val="6"/>
          <w:sz w:val="21"/>
          <w:szCs w:val="21"/>
        </w:rPr>
        <w:t>，属于</w:t>
      </w:r>
      <w:r>
        <w:rPr>
          <w:rFonts w:hint="eastAsia" w:ascii="宋体" w:hAnsi="宋体" w:eastAsia="宋体" w:cs="宋体"/>
          <w:spacing w:val="6"/>
          <w:sz w:val="21"/>
          <w:szCs w:val="21"/>
          <w:u w:val="single"/>
        </w:rPr>
        <w:t>（</w:t>
      </w:r>
      <w:r>
        <w:rPr>
          <w:rFonts w:hint="eastAsia" w:ascii="宋体" w:hAnsi="宋体" w:eastAsia="宋体" w:cs="宋体"/>
          <w:spacing w:val="6"/>
          <w:sz w:val="21"/>
          <w:szCs w:val="21"/>
          <w:u w:val="single"/>
          <w:lang w:val="en-US" w:eastAsia="zh-CN"/>
        </w:rPr>
        <w:t>采购</w:t>
      </w:r>
      <w:r>
        <w:rPr>
          <w:rFonts w:hint="eastAsia" w:ascii="宋体" w:hAnsi="宋体" w:eastAsia="宋体" w:cs="宋体"/>
          <w:spacing w:val="6"/>
          <w:sz w:val="21"/>
          <w:szCs w:val="21"/>
          <w:u w:val="single"/>
        </w:rPr>
        <w:t>文件中明确的所属行业）行业</w:t>
      </w:r>
      <w:r>
        <w:rPr>
          <w:rFonts w:hint="eastAsia" w:ascii="宋体" w:hAnsi="宋体" w:eastAsia="宋体" w:cs="宋体"/>
          <w:spacing w:val="6"/>
          <w:sz w:val="21"/>
          <w:szCs w:val="21"/>
        </w:rPr>
        <w:t>；承建（承接）企业为</w:t>
      </w:r>
      <w:r>
        <w:rPr>
          <w:rFonts w:hint="eastAsia" w:ascii="宋体" w:hAnsi="宋体" w:eastAsia="宋体" w:cs="宋体"/>
          <w:spacing w:val="6"/>
          <w:sz w:val="21"/>
          <w:szCs w:val="21"/>
          <w:u w:val="single"/>
        </w:rPr>
        <w:t>（企业名称）</w:t>
      </w:r>
      <w:r>
        <w:rPr>
          <w:rFonts w:hint="eastAsia" w:ascii="宋体" w:hAnsi="宋体" w:eastAsia="宋体" w:cs="宋体"/>
          <w:spacing w:val="6"/>
          <w:sz w:val="21"/>
          <w:szCs w:val="21"/>
        </w:rPr>
        <w:t>，从业人员</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人，营业收入为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万元，属于</w:t>
      </w:r>
      <w:r>
        <w:rPr>
          <w:rFonts w:hint="eastAsia" w:ascii="宋体" w:hAnsi="宋体" w:eastAsia="宋体" w:cs="宋体"/>
          <w:spacing w:val="6"/>
          <w:sz w:val="21"/>
          <w:szCs w:val="21"/>
          <w:u w:val="single"/>
        </w:rPr>
        <w:t>（中型企业、小型企业、微型企业）</w:t>
      </w:r>
      <w:r>
        <w:rPr>
          <w:rFonts w:hint="eastAsia" w:ascii="宋体" w:hAnsi="宋体" w:eastAsia="宋体" w:cs="宋体"/>
          <w:spacing w:val="6"/>
          <w:sz w:val="21"/>
          <w:szCs w:val="21"/>
        </w:rPr>
        <w:t>；</w:t>
      </w:r>
    </w:p>
    <w:p>
      <w:pPr>
        <w:keepNext w:val="0"/>
        <w:keepLines w:val="0"/>
        <w:pageBreakBefore w:val="0"/>
        <w:kinsoku/>
        <w:wordWrap/>
        <w:overflowPunct/>
        <w:topLinePunct w:val="0"/>
        <w:autoSpaceDE/>
        <w:autoSpaceDN/>
        <w:bidi w:val="0"/>
        <w:adjustRightInd/>
        <w:spacing w:line="360" w:lineRule="auto"/>
        <w:ind w:firstLine="444"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u w:val="single"/>
        </w:rPr>
        <w:t>（标的名称）</w:t>
      </w:r>
      <w:r>
        <w:rPr>
          <w:rFonts w:hint="eastAsia" w:ascii="宋体" w:hAnsi="宋体" w:eastAsia="宋体" w:cs="宋体"/>
          <w:spacing w:val="6"/>
          <w:sz w:val="21"/>
          <w:szCs w:val="21"/>
        </w:rPr>
        <w:t>，属于</w:t>
      </w:r>
      <w:r>
        <w:rPr>
          <w:rFonts w:hint="eastAsia" w:ascii="宋体" w:hAnsi="宋体" w:eastAsia="宋体" w:cs="宋体"/>
          <w:spacing w:val="6"/>
          <w:sz w:val="21"/>
          <w:szCs w:val="21"/>
          <w:u w:val="single"/>
        </w:rPr>
        <w:t>（</w:t>
      </w:r>
      <w:r>
        <w:rPr>
          <w:rFonts w:hint="eastAsia" w:ascii="宋体" w:hAnsi="宋体" w:eastAsia="宋体" w:cs="宋体"/>
          <w:spacing w:val="6"/>
          <w:sz w:val="21"/>
          <w:szCs w:val="21"/>
          <w:u w:val="single"/>
          <w:lang w:val="en-US" w:eastAsia="zh-CN"/>
        </w:rPr>
        <w:t>采购</w:t>
      </w:r>
      <w:r>
        <w:rPr>
          <w:rFonts w:hint="eastAsia" w:ascii="宋体" w:hAnsi="宋体" w:eastAsia="宋体" w:cs="宋体"/>
          <w:spacing w:val="6"/>
          <w:sz w:val="21"/>
          <w:szCs w:val="21"/>
          <w:u w:val="single"/>
        </w:rPr>
        <w:t>文件中明确的所属行业）行业</w:t>
      </w:r>
      <w:r>
        <w:rPr>
          <w:rFonts w:hint="eastAsia" w:ascii="宋体" w:hAnsi="宋体" w:eastAsia="宋体" w:cs="宋体"/>
          <w:spacing w:val="6"/>
          <w:sz w:val="21"/>
          <w:szCs w:val="21"/>
        </w:rPr>
        <w:t>；承建（承接）企业为</w:t>
      </w:r>
      <w:r>
        <w:rPr>
          <w:rFonts w:hint="eastAsia" w:ascii="宋体" w:hAnsi="宋体" w:eastAsia="宋体" w:cs="宋体"/>
          <w:spacing w:val="6"/>
          <w:sz w:val="21"/>
          <w:szCs w:val="21"/>
          <w:u w:val="single"/>
        </w:rPr>
        <w:t>（企业名称）</w:t>
      </w:r>
      <w:r>
        <w:rPr>
          <w:rFonts w:hint="eastAsia" w:ascii="宋体" w:hAnsi="宋体" w:eastAsia="宋体" w:cs="宋体"/>
          <w:spacing w:val="6"/>
          <w:sz w:val="21"/>
          <w:szCs w:val="21"/>
        </w:rPr>
        <w:t>，从业人员</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人，营业收入为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万元，属于</w:t>
      </w:r>
      <w:r>
        <w:rPr>
          <w:rFonts w:hint="eastAsia" w:ascii="宋体" w:hAnsi="宋体" w:eastAsia="宋体" w:cs="宋体"/>
          <w:spacing w:val="6"/>
          <w:sz w:val="21"/>
          <w:szCs w:val="21"/>
          <w:u w:val="single"/>
        </w:rPr>
        <w:t>（中型企业、小型 企业、微型企业）</w:t>
      </w:r>
      <w:r>
        <w:rPr>
          <w:rFonts w:hint="eastAsia" w:ascii="宋体" w:hAnsi="宋体" w:eastAsia="宋体" w:cs="宋体"/>
          <w:spacing w:val="6"/>
          <w:sz w:val="21"/>
          <w:szCs w:val="21"/>
        </w:rPr>
        <w:t xml:space="preserve">； </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本企业对上述声明内容的真实性负责。如有虚假，将依法承担相应责任。 </w:t>
      </w:r>
    </w:p>
    <w:p>
      <w:pPr>
        <w:keepNext w:val="0"/>
        <w:keepLines w:val="0"/>
        <w:pageBreakBefore w:val="0"/>
        <w:widowControl/>
        <w:kinsoku/>
        <w:wordWrap/>
        <w:overflowPunct/>
        <w:topLinePunct w:val="0"/>
        <w:autoSpaceDE/>
        <w:autoSpaceDN/>
        <w:bidi w:val="0"/>
        <w:adjustRightInd/>
        <w:spacing w:line="360" w:lineRule="auto"/>
        <w:ind w:firstLine="3780" w:firstLineChars="1800"/>
        <w:jc w:val="righ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企业名称（盖章）：</w:t>
      </w:r>
    </w:p>
    <w:p>
      <w:pPr>
        <w:keepNext w:val="0"/>
        <w:keepLines w:val="0"/>
        <w:pageBreakBefore w:val="0"/>
        <w:widowControl/>
        <w:kinsoku/>
        <w:wordWrap/>
        <w:overflowPunct/>
        <w:topLinePunct w:val="0"/>
        <w:autoSpaceDE/>
        <w:autoSpaceDN/>
        <w:bidi w:val="0"/>
        <w:adjustRightInd/>
        <w:spacing w:line="360" w:lineRule="auto"/>
        <w:ind w:firstLine="3780" w:firstLineChars="1800"/>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日 期：</w:t>
      </w:r>
      <w:bookmarkStart w:id="78" w:name="_Toc6786"/>
    </w:p>
    <w:p>
      <w:pPr>
        <w:pStyle w:val="34"/>
        <w:keepNext w:val="0"/>
        <w:keepLines w:val="0"/>
        <w:pageBreakBefore w:val="0"/>
        <w:kinsoku/>
        <w:wordWrap/>
        <w:topLinePunct w:val="0"/>
        <w:bidi w:val="0"/>
        <w:spacing w:line="360" w:lineRule="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pacing w:val="20"/>
          <w:sz w:val="21"/>
          <w:szCs w:val="21"/>
        </w:rPr>
      </w:pPr>
      <w:r>
        <w:rPr>
          <w:rFonts w:hint="eastAsia" w:ascii="宋体" w:hAnsi="宋体" w:eastAsia="宋体" w:cs="宋体"/>
          <w:b/>
          <w:spacing w:val="20"/>
          <w:sz w:val="21"/>
          <w:szCs w:val="21"/>
        </w:rPr>
        <w:t>注：1.从业人员、营业收入、资产总额填报上一年度数据，无上一年度数据的新成立企业可不填报。</w:t>
      </w:r>
    </w:p>
    <w:p>
      <w:pPr>
        <w:keepNext w:val="0"/>
        <w:keepLines w:val="0"/>
        <w:pageBreakBefore w:val="0"/>
        <w:kinsoku/>
        <w:wordWrap/>
        <w:overflowPunct/>
        <w:topLinePunct w:val="0"/>
        <w:autoSpaceDE/>
        <w:autoSpaceDN/>
        <w:bidi w:val="0"/>
        <w:adjustRightInd/>
        <w:snapToGrid w:val="0"/>
        <w:spacing w:line="360" w:lineRule="auto"/>
        <w:ind w:firstLine="502" w:firstLineChars="200"/>
        <w:textAlignment w:val="auto"/>
        <w:rPr>
          <w:rFonts w:hint="eastAsia" w:ascii="宋体" w:hAnsi="宋体" w:eastAsia="宋体" w:cs="宋体"/>
          <w:b/>
          <w:spacing w:val="20"/>
          <w:sz w:val="21"/>
          <w:szCs w:val="21"/>
        </w:rPr>
      </w:pPr>
      <w:r>
        <w:rPr>
          <w:rFonts w:hint="eastAsia" w:ascii="宋体" w:hAnsi="宋体" w:eastAsia="宋体" w:cs="宋体"/>
          <w:b/>
          <w:spacing w:val="20"/>
          <w:sz w:val="21"/>
          <w:szCs w:val="21"/>
        </w:rPr>
        <w:t>2.中标、成交供应商享受《政府采购促进中小企业发展管理办法》（财库[2020]46号）规定的中小企业扶持政策的，《中小企业声明函》随中标、成交结果公开。</w:t>
      </w:r>
    </w:p>
    <w:p>
      <w:pPr>
        <w:keepNext w:val="0"/>
        <w:keepLines w:val="0"/>
        <w:pageBreakBefore w:val="0"/>
        <w:kinsoku/>
        <w:wordWrap/>
        <w:overflowPunct/>
        <w:topLinePunct w:val="0"/>
        <w:autoSpaceDE/>
        <w:autoSpaceDN/>
        <w:bidi w:val="0"/>
        <w:adjustRightInd/>
        <w:snapToGrid w:val="0"/>
        <w:spacing w:line="360" w:lineRule="auto"/>
        <w:ind w:firstLine="502" w:firstLineChars="200"/>
        <w:textAlignment w:val="auto"/>
        <w:rPr>
          <w:rFonts w:hint="eastAsia" w:ascii="宋体" w:hAnsi="宋体" w:eastAsia="宋体" w:cs="宋体"/>
          <w:b/>
          <w:spacing w:val="20"/>
          <w:sz w:val="21"/>
          <w:szCs w:val="21"/>
        </w:rPr>
      </w:pPr>
      <w:r>
        <w:rPr>
          <w:rFonts w:hint="eastAsia" w:ascii="宋体" w:hAnsi="宋体" w:eastAsia="宋体" w:cs="宋体"/>
          <w:b/>
          <w:spacing w:val="20"/>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keepNext w:val="0"/>
        <w:keepLines w:val="0"/>
        <w:pageBreakBefore w:val="0"/>
        <w:kinsoku/>
        <w:wordWrap/>
        <w:overflowPunct/>
        <w:topLinePunct w:val="0"/>
        <w:autoSpaceDE/>
        <w:autoSpaceDN/>
        <w:bidi w:val="0"/>
        <w:adjustRightInd/>
        <w:snapToGrid w:val="0"/>
        <w:spacing w:line="360" w:lineRule="auto"/>
        <w:ind w:firstLine="502" w:firstLineChars="200"/>
        <w:textAlignment w:val="auto"/>
        <w:rPr>
          <w:rFonts w:hint="eastAsia" w:ascii="宋体" w:hAnsi="宋体" w:eastAsia="宋体" w:cs="宋体"/>
          <w:b/>
          <w:sz w:val="21"/>
          <w:szCs w:val="21"/>
        </w:rPr>
      </w:pPr>
      <w:r>
        <w:rPr>
          <w:rFonts w:hint="eastAsia" w:ascii="宋体" w:hAnsi="宋体" w:eastAsia="宋体" w:cs="宋体"/>
          <w:b/>
          <w:spacing w:val="20"/>
          <w:sz w:val="21"/>
          <w:szCs w:val="21"/>
          <w:highlight w:val="none"/>
          <w:lang w:val="en-US" w:eastAsia="zh-CN"/>
        </w:rPr>
        <w:t>4</w:t>
      </w:r>
      <w:r>
        <w:rPr>
          <w:rFonts w:hint="eastAsia" w:ascii="宋体" w:hAnsi="宋体" w:eastAsia="宋体" w:cs="宋体"/>
          <w:b/>
          <w:spacing w:val="20"/>
          <w:sz w:val="21"/>
          <w:szCs w:val="21"/>
          <w:highlight w:val="none"/>
        </w:rPr>
        <w:t>.本项目采购标的对应的中小企业划分标准所属行业：</w:t>
      </w:r>
      <w:r>
        <w:rPr>
          <w:rFonts w:hint="eastAsia" w:ascii="宋体" w:hAnsi="宋体" w:cs="宋体"/>
          <w:b/>
          <w:kern w:val="0"/>
          <w:sz w:val="21"/>
          <w:szCs w:val="21"/>
          <w:highlight w:val="none"/>
          <w:u w:val="none"/>
          <w:lang w:val="en-US" w:eastAsia="zh-CN"/>
        </w:rPr>
        <w:t>工业。</w:t>
      </w:r>
      <w:r>
        <w:rPr>
          <w:rFonts w:hint="eastAsia" w:ascii="宋体" w:hAnsi="宋体" w:eastAsia="宋体" w:cs="宋体"/>
          <w:b/>
          <w:sz w:val="21"/>
          <w:szCs w:val="21"/>
        </w:rPr>
        <w:br w:type="page"/>
      </w:r>
      <w:bookmarkEnd w:id="78"/>
    </w:p>
    <w:p>
      <w:pPr>
        <w:keepNext w:val="0"/>
        <w:keepLines w:val="0"/>
        <w:pageBreakBefore w:val="0"/>
        <w:kinsoku/>
        <w:wordWrap/>
        <w:overflowPunct/>
        <w:topLinePunct w:val="0"/>
        <w:bidi w:val="0"/>
        <w:snapToGrid w:val="0"/>
        <w:spacing w:line="360" w:lineRule="auto"/>
        <w:outlineLvl w:val="2"/>
        <w:rPr>
          <w:rFonts w:hint="eastAsia" w:ascii="宋体" w:hAnsi="宋体" w:eastAsia="宋体" w:cs="宋体"/>
          <w:b/>
          <w:sz w:val="21"/>
          <w:szCs w:val="21"/>
        </w:rPr>
      </w:pPr>
      <w:bookmarkStart w:id="79" w:name="_Toc17091"/>
      <w:r>
        <w:rPr>
          <w:rFonts w:hint="eastAsia" w:ascii="宋体" w:hAnsi="宋体" w:eastAsia="宋体" w:cs="宋体"/>
          <w:b/>
          <w:sz w:val="21"/>
          <w:szCs w:val="21"/>
        </w:rPr>
        <w:t>格式</w:t>
      </w:r>
      <w:r>
        <w:rPr>
          <w:rFonts w:hint="eastAsia" w:ascii="宋体" w:hAnsi="宋体" w:eastAsia="宋体" w:cs="宋体"/>
          <w:b/>
          <w:sz w:val="21"/>
          <w:szCs w:val="21"/>
          <w:lang w:val="en-US" w:eastAsia="zh-CN"/>
        </w:rPr>
        <w:t>三</w:t>
      </w:r>
      <w:r>
        <w:rPr>
          <w:rFonts w:hint="eastAsia" w:ascii="宋体" w:hAnsi="宋体" w:eastAsia="宋体" w:cs="宋体"/>
          <w:b/>
          <w:sz w:val="21"/>
          <w:szCs w:val="21"/>
        </w:rPr>
        <w:t>、</w:t>
      </w:r>
      <w:r>
        <w:rPr>
          <w:rFonts w:hint="eastAsia" w:ascii="宋体" w:hAnsi="宋体" w:eastAsia="宋体" w:cs="宋体"/>
          <w:b/>
          <w:bCs/>
          <w:sz w:val="21"/>
          <w:szCs w:val="21"/>
        </w:rPr>
        <w:t>残疾人福利性单位声明函</w:t>
      </w:r>
      <w:bookmarkEnd w:id="79"/>
    </w:p>
    <w:p>
      <w:pPr>
        <w:keepNext w:val="0"/>
        <w:keepLines w:val="0"/>
        <w:pageBreakBefore w:val="0"/>
        <w:widowControl/>
        <w:kinsoku/>
        <w:wordWrap/>
        <w:overflowPunct/>
        <w:topLinePunct w:val="0"/>
        <w:bidi w:val="0"/>
        <w:spacing w:line="360" w:lineRule="auto"/>
        <w:jc w:val="center"/>
        <w:rPr>
          <w:rFonts w:hint="eastAsia" w:ascii="宋体" w:hAnsi="宋体" w:eastAsia="宋体" w:cs="宋体"/>
          <w:b/>
          <w:spacing w:val="6"/>
          <w:kern w:val="0"/>
          <w:sz w:val="21"/>
          <w:szCs w:val="21"/>
        </w:rPr>
      </w:pPr>
      <w:r>
        <w:rPr>
          <w:rFonts w:hint="eastAsia" w:ascii="宋体" w:hAnsi="宋体" w:eastAsia="宋体" w:cs="宋体"/>
          <w:b/>
          <w:spacing w:val="6"/>
          <w:kern w:val="0"/>
          <w:sz w:val="21"/>
          <w:szCs w:val="21"/>
        </w:rPr>
        <w:t>残疾人福利性单位声明函（</w:t>
      </w:r>
      <w:r>
        <w:rPr>
          <w:rFonts w:hint="eastAsia" w:ascii="宋体" w:hAnsi="宋体" w:eastAsia="宋体" w:cs="宋体"/>
          <w:b/>
          <w:spacing w:val="6"/>
          <w:kern w:val="0"/>
          <w:sz w:val="21"/>
          <w:szCs w:val="21"/>
          <w:lang w:val="en-US" w:eastAsia="zh-CN"/>
        </w:rPr>
        <w:t>服务</w:t>
      </w:r>
      <w:r>
        <w:rPr>
          <w:rFonts w:hint="eastAsia" w:ascii="宋体" w:hAnsi="宋体" w:eastAsia="宋体" w:cs="宋体"/>
          <w:b/>
          <w:spacing w:val="6"/>
          <w:kern w:val="0"/>
          <w:sz w:val="21"/>
          <w:szCs w:val="21"/>
        </w:rPr>
        <w:t>）</w:t>
      </w:r>
    </w:p>
    <w:p>
      <w:pPr>
        <w:keepNext w:val="0"/>
        <w:keepLines w:val="0"/>
        <w:pageBreakBefore w:val="0"/>
        <w:widowControl/>
        <w:kinsoku/>
        <w:wordWrap/>
        <w:overflowPunct/>
        <w:topLinePunct w:val="0"/>
        <w:bidi w:val="0"/>
        <w:spacing w:before="312" w:beforeLines="100" w:line="360" w:lineRule="auto"/>
        <w:ind w:firstLine="601"/>
        <w:rPr>
          <w:rFonts w:hint="eastAsia" w:ascii="宋体" w:hAnsi="宋体" w:eastAsia="宋体" w:cs="宋体"/>
          <w:sz w:val="21"/>
          <w:szCs w:val="21"/>
        </w:rPr>
      </w:pPr>
      <w:r>
        <w:rPr>
          <w:rFonts w:hint="eastAsia" w:ascii="宋体" w:hAnsi="宋体" w:eastAsia="宋体" w:cs="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keepNext w:val="0"/>
        <w:keepLines w:val="0"/>
        <w:pageBreakBefore w:val="0"/>
        <w:widowControl/>
        <w:kinsoku/>
        <w:wordWrap/>
        <w:overflowPunct/>
        <w:topLinePunct w:val="0"/>
        <w:bidi w:val="0"/>
        <w:spacing w:line="360" w:lineRule="auto"/>
        <w:ind w:firstLine="600"/>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keepNext w:val="0"/>
        <w:keepLines w:val="0"/>
        <w:pageBreakBefore w:val="0"/>
        <w:widowControl/>
        <w:kinsoku/>
        <w:wordWrap/>
        <w:overflowPunct/>
        <w:topLinePunct w:val="0"/>
        <w:bidi w:val="0"/>
        <w:spacing w:line="360" w:lineRule="auto"/>
        <w:rPr>
          <w:rFonts w:hint="eastAsia" w:ascii="宋体" w:hAnsi="宋体" w:eastAsia="宋体" w:cs="宋体"/>
          <w:spacing w:val="6"/>
          <w:kern w:val="0"/>
          <w:sz w:val="21"/>
          <w:szCs w:val="21"/>
        </w:rPr>
      </w:pPr>
    </w:p>
    <w:p>
      <w:pPr>
        <w:keepNext w:val="0"/>
        <w:keepLines w:val="0"/>
        <w:pageBreakBefore w:val="0"/>
        <w:widowControl/>
        <w:kinsoku/>
        <w:wordWrap/>
        <w:overflowPunct/>
        <w:topLinePunct w:val="0"/>
        <w:bidi w:val="0"/>
        <w:spacing w:line="360" w:lineRule="auto"/>
        <w:ind w:firstLine="2520" w:firstLineChars="1200"/>
        <w:jc w:val="righ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单位名称（盖章）：</w:t>
      </w:r>
    </w:p>
    <w:p>
      <w:pPr>
        <w:keepNext w:val="0"/>
        <w:keepLines w:val="0"/>
        <w:pageBreakBefore w:val="0"/>
        <w:widowControl/>
        <w:kinsoku/>
        <w:wordWrap/>
        <w:overflowPunct/>
        <w:topLinePunct w:val="0"/>
        <w:bidi w:val="0"/>
        <w:spacing w:line="360" w:lineRule="auto"/>
        <w:ind w:firstLine="2520" w:firstLineChars="1200"/>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日  期：</w:t>
      </w:r>
    </w:p>
    <w:p>
      <w:pPr>
        <w:keepNext w:val="0"/>
        <w:keepLines w:val="0"/>
        <w:pageBreakBefore w:val="0"/>
        <w:widowControl/>
        <w:kinsoku/>
        <w:wordWrap/>
        <w:overflowPunct/>
        <w:topLinePunct w:val="0"/>
        <w:bidi w:val="0"/>
        <w:spacing w:line="360" w:lineRule="auto"/>
        <w:ind w:firstLine="2520" w:firstLineChars="1200"/>
        <w:jc w:val="right"/>
        <w:rPr>
          <w:rFonts w:hint="eastAsia" w:ascii="宋体" w:hAnsi="宋体" w:eastAsia="宋体" w:cs="宋体"/>
          <w:color w:val="000000"/>
          <w:kern w:val="0"/>
          <w:sz w:val="21"/>
          <w:szCs w:val="21"/>
          <w:lang w:bidi="ar"/>
        </w:rPr>
      </w:pPr>
    </w:p>
    <w:p>
      <w:pPr>
        <w:keepNext w:val="0"/>
        <w:keepLines w:val="0"/>
        <w:pageBreakBefore w:val="0"/>
        <w:kinsoku/>
        <w:wordWrap/>
        <w:overflowPunct/>
        <w:topLinePunct w:val="0"/>
        <w:bidi w:val="0"/>
        <w:spacing w:before="312" w:beforeLines="100" w:line="360" w:lineRule="auto"/>
        <w:ind w:firstLine="444" w:firstLineChars="200"/>
        <w:rPr>
          <w:rFonts w:hint="eastAsia" w:ascii="宋体" w:hAnsi="宋体" w:eastAsia="宋体" w:cs="宋体"/>
          <w:spacing w:val="6"/>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t>注：</w:t>
      </w:r>
    </w:p>
    <w:p>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1.中标、成交供应商为残疾人福利性单位的，《残疾人福利性单位声明函》随中标、成交结果同时公告，接受社会监督。</w:t>
      </w:r>
    </w:p>
    <w:p>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2.供应商提供的《残疾人福利性单位声明函》与事实不符的，依照《政府采购法》第七十七条第一款的规定追究法律责任。</w:t>
      </w: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br w:type="page"/>
      </w:r>
    </w:p>
    <w:p>
      <w:pPr>
        <w:keepNext w:val="0"/>
        <w:keepLines w:val="0"/>
        <w:pageBreakBefore w:val="0"/>
        <w:kinsoku/>
        <w:wordWrap/>
        <w:overflowPunct/>
        <w:topLinePunct w:val="0"/>
        <w:bidi w:val="0"/>
        <w:spacing w:line="360" w:lineRule="auto"/>
        <w:outlineLvl w:val="2"/>
        <w:rPr>
          <w:rFonts w:hint="eastAsia" w:ascii="宋体" w:hAnsi="宋体" w:eastAsia="宋体" w:cs="宋体"/>
          <w:sz w:val="21"/>
          <w:szCs w:val="21"/>
        </w:rPr>
      </w:pPr>
      <w:r>
        <w:rPr>
          <w:rFonts w:hint="eastAsia" w:ascii="宋体" w:hAnsi="宋体" w:eastAsia="宋体" w:cs="宋体"/>
          <w:b/>
          <w:spacing w:val="20"/>
          <w:sz w:val="21"/>
          <w:szCs w:val="21"/>
        </w:rPr>
        <w:t>格式</w:t>
      </w:r>
      <w:r>
        <w:rPr>
          <w:rFonts w:hint="eastAsia" w:ascii="宋体" w:hAnsi="宋体" w:eastAsia="宋体" w:cs="宋体"/>
          <w:b/>
          <w:spacing w:val="20"/>
          <w:sz w:val="21"/>
          <w:szCs w:val="21"/>
          <w:lang w:val="en-US" w:eastAsia="zh-CN"/>
        </w:rPr>
        <w:t>四</w:t>
      </w:r>
      <w:r>
        <w:rPr>
          <w:rFonts w:hint="eastAsia" w:ascii="宋体" w:hAnsi="宋体" w:eastAsia="宋体" w:cs="宋体"/>
          <w:b/>
          <w:spacing w:val="20"/>
          <w:sz w:val="21"/>
          <w:szCs w:val="21"/>
        </w:rPr>
        <w:t>、投标函</w:t>
      </w:r>
    </w:p>
    <w:p>
      <w:pPr>
        <w:keepNext w:val="0"/>
        <w:keepLines w:val="0"/>
        <w:pageBreakBefore w:val="0"/>
        <w:kinsoku/>
        <w:wordWrap/>
        <w:overflowPunct/>
        <w:topLinePunct w:val="0"/>
        <w:bidi w:val="0"/>
        <w:spacing w:line="360" w:lineRule="auto"/>
        <w:jc w:val="left"/>
        <w:rPr>
          <w:rFonts w:hint="eastAsia" w:ascii="宋体" w:hAnsi="宋体" w:eastAsia="宋体" w:cs="宋体"/>
          <w:sz w:val="21"/>
          <w:szCs w:val="21"/>
          <w:lang w:eastAsia="zh-CN"/>
        </w:rPr>
      </w:pPr>
      <w:r>
        <w:rPr>
          <w:rFonts w:hint="eastAsia" w:ascii="宋体" w:hAnsi="宋体" w:eastAsia="宋体" w:cs="宋体"/>
          <w:spacing w:val="-4"/>
          <w:sz w:val="21"/>
          <w:szCs w:val="21"/>
        </w:rPr>
        <w:t>致：</w:t>
      </w:r>
      <w:r>
        <w:rPr>
          <w:rFonts w:hint="eastAsia" w:ascii="宋体" w:hAnsi="宋体" w:eastAsia="宋体" w:cs="宋体"/>
          <w:sz w:val="21"/>
          <w:szCs w:val="21"/>
        </w:rPr>
        <w:t>舟山市公安局交通警察支队</w:t>
      </w:r>
    </w:p>
    <w:p>
      <w:pPr>
        <w:keepNext w:val="0"/>
        <w:keepLines w:val="0"/>
        <w:pageBreakBefore w:val="0"/>
        <w:kinsoku/>
        <w:wordWrap/>
        <w:overflowPunct/>
        <w:topLinePunct w:val="0"/>
        <w:bidi w:val="0"/>
        <w:spacing w:line="360" w:lineRule="auto"/>
        <w:ind w:firstLine="420" w:firstLineChars="200"/>
        <w:jc w:val="left"/>
        <w:rPr>
          <w:rFonts w:hint="eastAsia" w:ascii="宋体" w:hAnsi="宋体" w:eastAsia="宋体" w:cs="宋体"/>
          <w:spacing w:val="-4"/>
          <w:sz w:val="21"/>
          <w:szCs w:val="21"/>
        </w:rPr>
      </w:pPr>
      <w:r>
        <w:rPr>
          <w:rFonts w:hint="eastAsia" w:ascii="宋体" w:hAnsi="宋体" w:eastAsia="宋体" w:cs="宋体"/>
          <w:sz w:val="21"/>
          <w:szCs w:val="21"/>
        </w:rPr>
        <w:t>中金招标有限责任公司</w:t>
      </w:r>
    </w:p>
    <w:p>
      <w:pPr>
        <w:keepNext w:val="0"/>
        <w:keepLines w:val="0"/>
        <w:pageBreakBefore w:val="0"/>
        <w:tabs>
          <w:tab w:val="left" w:pos="7140"/>
        </w:tabs>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b/>
          <w:sz w:val="21"/>
          <w:szCs w:val="21"/>
          <w:u w:val="single"/>
        </w:rPr>
        <w:t>（投标人名称）</w:t>
      </w:r>
      <w:r>
        <w:rPr>
          <w:rFonts w:hint="eastAsia" w:ascii="宋体" w:hAnsi="宋体" w:eastAsia="宋体" w:cs="宋体"/>
          <w:sz w:val="21"/>
          <w:szCs w:val="21"/>
        </w:rPr>
        <w:t>已详细审查了</w:t>
      </w:r>
      <w:r>
        <w:rPr>
          <w:rFonts w:hint="eastAsia" w:ascii="宋体" w:hAnsi="宋体" w:eastAsia="宋体" w:cs="宋体"/>
          <w:b/>
          <w:sz w:val="21"/>
          <w:szCs w:val="21"/>
          <w:u w:val="single"/>
        </w:rPr>
        <w:t xml:space="preserve">（项目编号）（项目名称）    </w:t>
      </w:r>
      <w:r>
        <w:rPr>
          <w:rFonts w:hint="eastAsia" w:ascii="宋体" w:hAnsi="宋体" w:eastAsia="宋体" w:cs="宋体"/>
          <w:sz w:val="21"/>
          <w:szCs w:val="21"/>
        </w:rPr>
        <w:t>的招标文件及其相关补充文件</w:t>
      </w:r>
      <w:r>
        <w:rPr>
          <w:rFonts w:hint="eastAsia" w:ascii="宋体" w:hAnsi="宋体" w:eastAsia="宋体" w:cs="宋体"/>
          <w:b/>
          <w:sz w:val="21"/>
          <w:szCs w:val="21"/>
        </w:rPr>
        <w:t>（若有）</w:t>
      </w:r>
      <w:r>
        <w:rPr>
          <w:rFonts w:hint="eastAsia" w:ascii="宋体" w:hAnsi="宋体" w:eastAsia="宋体" w:cs="宋体"/>
          <w:sz w:val="21"/>
          <w:szCs w:val="21"/>
        </w:rPr>
        <w:t>，并正式授权我公司的</w:t>
      </w:r>
      <w:r>
        <w:rPr>
          <w:rFonts w:hint="eastAsia" w:ascii="宋体" w:hAnsi="宋体" w:eastAsia="宋体" w:cs="宋体"/>
          <w:b/>
          <w:sz w:val="21"/>
          <w:szCs w:val="21"/>
          <w:u w:val="single"/>
        </w:rPr>
        <w:t>（被授权人姓名）</w:t>
      </w:r>
      <w:r>
        <w:rPr>
          <w:rFonts w:hint="eastAsia" w:ascii="宋体" w:hAnsi="宋体" w:eastAsia="宋体" w:cs="宋体"/>
          <w:sz w:val="21"/>
          <w:szCs w:val="21"/>
        </w:rPr>
        <w:t>以本公司名义，全权代表我方自愿参加上述采购项目的投标，现就有关事项向采购代理机构郑重承诺如下：</w:t>
      </w:r>
    </w:p>
    <w:p>
      <w:pPr>
        <w:keepNext w:val="0"/>
        <w:keepLines w:val="0"/>
        <w:pageBreakBefore w:val="0"/>
        <w:kinsoku/>
        <w:wordWrap/>
        <w:overflowPunct/>
        <w:topLinePunct w:val="0"/>
        <w:bidi w:val="0"/>
        <w:spacing w:line="360" w:lineRule="auto"/>
        <w:ind w:right="-91" w:firstLine="420" w:firstLineChars="200"/>
        <w:rPr>
          <w:rFonts w:hint="eastAsia" w:ascii="宋体" w:hAnsi="宋体" w:eastAsia="宋体" w:cs="宋体"/>
          <w:sz w:val="21"/>
          <w:szCs w:val="21"/>
        </w:rPr>
      </w:pPr>
      <w:r>
        <w:rPr>
          <w:rFonts w:hint="eastAsia" w:ascii="宋体" w:hAnsi="宋体" w:eastAsia="宋体" w:cs="宋体"/>
          <w:sz w:val="21"/>
          <w:szCs w:val="21"/>
        </w:rPr>
        <w:t>1、我方已详细审查了招标文件的全部内容及其相关补充文件</w:t>
      </w:r>
      <w:r>
        <w:rPr>
          <w:rFonts w:hint="eastAsia" w:ascii="宋体" w:hAnsi="宋体" w:eastAsia="宋体" w:cs="宋体"/>
          <w:b/>
          <w:sz w:val="21"/>
          <w:szCs w:val="21"/>
        </w:rPr>
        <w:t>（若有）</w:t>
      </w:r>
      <w:r>
        <w:rPr>
          <w:rFonts w:hint="eastAsia" w:ascii="宋体" w:hAnsi="宋体" w:eastAsia="宋体" w:cs="宋体"/>
          <w:sz w:val="21"/>
          <w:szCs w:val="21"/>
        </w:rPr>
        <w:t>，并完全清晰理解全部内容及相关的补充文件</w:t>
      </w:r>
      <w:r>
        <w:rPr>
          <w:rFonts w:hint="eastAsia" w:ascii="宋体" w:hAnsi="宋体" w:eastAsia="宋体" w:cs="宋体"/>
          <w:b/>
          <w:sz w:val="21"/>
          <w:szCs w:val="21"/>
        </w:rPr>
        <w:t>（若有）</w:t>
      </w:r>
      <w:r>
        <w:rPr>
          <w:rFonts w:hint="eastAsia" w:ascii="宋体" w:hAnsi="宋体" w:eastAsia="宋体" w:cs="宋体"/>
          <w:sz w:val="21"/>
          <w:szCs w:val="21"/>
        </w:rPr>
        <w:t>，不存在任何误解之处，同意放弃提出异议和质疑的权利。</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2、在项目实施过程中，我方完全响应招标文件的所有条款，履行合同义务。执行标准绝不低于招标文件的标准要求。</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3、我方遵守《中华人民共和国政府采购法》及相关法律法规的规定。同意招标文件中所提到的无效标条款，并服从有关开标现场的会议纪律。否则，同意被废除投标资格。</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4、我方承诺具有良好的商业信誉和健全的财务会计制度；具备履行合同所必需的设备和专业技术能力；具有依法缴纳税收和社会保障资金的良好记录；参加本次政府采购活动前3年内</w:t>
      </w:r>
      <w:r>
        <w:rPr>
          <w:rFonts w:hint="eastAsia" w:ascii="宋体" w:hAnsi="宋体" w:eastAsia="宋体" w:cs="宋体"/>
          <w:spacing w:val="-4"/>
          <w:sz w:val="21"/>
          <w:szCs w:val="21"/>
          <w:lang w:val="en-US" w:eastAsia="zh-CN"/>
        </w:rPr>
        <w:t>的</w:t>
      </w:r>
      <w:r>
        <w:rPr>
          <w:rFonts w:hint="eastAsia" w:ascii="宋体" w:hAnsi="宋体" w:eastAsia="宋体" w:cs="宋体"/>
          <w:spacing w:val="-4"/>
          <w:sz w:val="21"/>
          <w:szCs w:val="21"/>
        </w:rPr>
        <w:t>经营活动中没有重大违法记录。</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5、我方所提供的一次性投标报价具有充分的合理性和准确性，保证不存在低于成本的恶意报价行为，同时清楚理解到报价最低并非意味着必定获得合同授予资格。</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6、投标有效期为自开标之日起90天内，如在投标有效期内撤回投标，我方同意被废除投标资格。</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lang w:val="en-US" w:eastAsia="zh-CN"/>
        </w:rPr>
        <w:t>7</w:t>
      </w:r>
      <w:r>
        <w:rPr>
          <w:rFonts w:hint="eastAsia" w:ascii="宋体" w:hAnsi="宋体" w:eastAsia="宋体" w:cs="宋体"/>
          <w:spacing w:val="-4"/>
          <w:sz w:val="21"/>
          <w:szCs w:val="21"/>
        </w:rPr>
        <w:t>、我方承诺所提供的一切投标文件均已认真严格审核，内容均为全面真实、准确有效且毫无保留，绝无任何遗漏、虚假、伪造和夸大的成分，若出现违背诚实信用和无如实告知之处，同意被废除投标资格和相关的处罚。</w:t>
      </w:r>
    </w:p>
    <w:p>
      <w:pPr>
        <w:pStyle w:val="7"/>
        <w:keepNext w:val="0"/>
        <w:keepLines w:val="0"/>
        <w:pageBreakBefore w:val="0"/>
        <w:kinsoku/>
        <w:wordWrap/>
        <w:overflowPunct/>
        <w:topLinePunct w:val="0"/>
        <w:bidi w:val="0"/>
        <w:spacing w:line="360" w:lineRule="auto"/>
        <w:rPr>
          <w:rFonts w:hint="eastAsia" w:ascii="宋体" w:hAnsi="宋体" w:eastAsia="宋体" w:cs="宋体"/>
          <w:spacing w:val="-4"/>
          <w:sz w:val="21"/>
          <w:szCs w:val="21"/>
          <w:highlight w:val="yellow"/>
          <w:lang w:val="en-US" w:eastAsia="zh-CN"/>
        </w:rPr>
      </w:pPr>
    </w:p>
    <w:p>
      <w:pPr>
        <w:pStyle w:val="7"/>
        <w:keepNext w:val="0"/>
        <w:keepLines w:val="0"/>
        <w:pageBreakBefore w:val="0"/>
        <w:kinsoku/>
        <w:wordWrap/>
        <w:overflowPunct/>
        <w:topLinePunct w:val="0"/>
        <w:bidi w:val="0"/>
        <w:spacing w:line="360" w:lineRule="auto"/>
        <w:rPr>
          <w:rFonts w:hint="eastAsia" w:ascii="宋体" w:hAnsi="宋体" w:eastAsia="宋体" w:cs="宋体"/>
          <w:spacing w:val="-4"/>
          <w:sz w:val="21"/>
          <w:szCs w:val="21"/>
          <w:highlight w:val="yellow"/>
          <w:lang w:val="en-US" w:eastAsia="zh-CN"/>
        </w:rPr>
      </w:pPr>
    </w:p>
    <w:p>
      <w:pPr>
        <w:keepNext w:val="0"/>
        <w:keepLines w:val="0"/>
        <w:pageBreakBefore w:val="0"/>
        <w:kinsoku/>
        <w:wordWrap/>
        <w:overflowPunct/>
        <w:topLinePunct w:val="0"/>
        <w:bidi w:val="0"/>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投标人名称：</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 xml:space="preserve">（加盖公章） </w:t>
      </w:r>
    </w:p>
    <w:p>
      <w:pPr>
        <w:keepNext w:val="0"/>
        <w:keepLines w:val="0"/>
        <w:pageBreakBefore w:val="0"/>
        <w:kinsoku/>
        <w:wordWrap/>
        <w:overflowPunct/>
        <w:topLinePunct w:val="0"/>
        <w:bidi w:val="0"/>
        <w:spacing w:line="360" w:lineRule="auto"/>
        <w:ind w:firstLine="404" w:firstLineChars="200"/>
        <w:rPr>
          <w:rFonts w:hint="eastAsia" w:ascii="宋体" w:hAnsi="宋体" w:eastAsia="宋体" w:cs="宋体"/>
          <w:sz w:val="21"/>
          <w:szCs w:val="21"/>
        </w:rPr>
      </w:pPr>
      <w:r>
        <w:rPr>
          <w:rFonts w:hint="eastAsia" w:ascii="宋体" w:hAnsi="宋体" w:eastAsia="宋体" w:cs="宋体"/>
          <w:spacing w:val="-4"/>
          <w:sz w:val="21"/>
          <w:szCs w:val="21"/>
        </w:rPr>
        <w:t>法定代表人</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pPr>
        <w:keepNext w:val="0"/>
        <w:keepLines w:val="0"/>
        <w:pageBreakBefore w:val="0"/>
        <w:kinsoku/>
        <w:wordWrap/>
        <w:overflowPunct/>
        <w:topLinePunct w:val="0"/>
        <w:bidi w:val="0"/>
        <w:spacing w:line="360"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投标人代表：</w:t>
      </w:r>
      <w:r>
        <w:rPr>
          <w:rFonts w:hint="eastAsia" w:ascii="宋体" w:hAnsi="宋体" w:eastAsia="宋体" w:cs="宋体"/>
          <w:spacing w:val="20"/>
          <w:sz w:val="21"/>
          <w:szCs w:val="21"/>
          <w:u w:val="single"/>
        </w:rPr>
        <w:t xml:space="preserve">                  </w:t>
      </w:r>
      <w:r>
        <w:rPr>
          <w:rFonts w:hint="eastAsia" w:ascii="宋体" w:hAnsi="宋体" w:eastAsia="宋体" w:cs="宋体"/>
          <w:spacing w:val="-4"/>
          <w:sz w:val="21"/>
          <w:szCs w:val="21"/>
        </w:rPr>
        <w:t xml:space="preserve">（签字） </w:t>
      </w:r>
    </w:p>
    <w:p>
      <w:pPr>
        <w:keepNext w:val="0"/>
        <w:keepLines w:val="0"/>
        <w:pageBreakBefore w:val="0"/>
        <w:kinsoku/>
        <w:wordWrap/>
        <w:overflowPunct/>
        <w:topLinePunct w:val="0"/>
        <w:bidi w:val="0"/>
        <w:spacing w:line="360" w:lineRule="auto"/>
        <w:ind w:firstLine="404" w:firstLineChars="200"/>
        <w:rPr>
          <w:rFonts w:hint="eastAsia" w:ascii="宋体" w:hAnsi="宋体" w:eastAsia="宋体" w:cs="宋体"/>
          <w:spacing w:val="20"/>
          <w:sz w:val="21"/>
          <w:szCs w:val="21"/>
          <w:u w:val="single"/>
        </w:rPr>
      </w:pPr>
      <w:r>
        <w:rPr>
          <w:rFonts w:hint="eastAsia" w:ascii="宋体" w:hAnsi="宋体" w:eastAsia="宋体" w:cs="宋体"/>
          <w:spacing w:val="-4"/>
          <w:sz w:val="21"/>
          <w:szCs w:val="21"/>
        </w:rPr>
        <w:t>投标人地址：</w:t>
      </w:r>
      <w:r>
        <w:rPr>
          <w:rFonts w:hint="eastAsia" w:ascii="宋体" w:hAnsi="宋体" w:eastAsia="宋体" w:cs="宋体"/>
          <w:spacing w:val="20"/>
          <w:sz w:val="21"/>
          <w:szCs w:val="21"/>
          <w:u w:val="single"/>
        </w:rPr>
        <w:t xml:space="preserve">                  </w:t>
      </w:r>
    </w:p>
    <w:p>
      <w:pPr>
        <w:keepNext w:val="0"/>
        <w:keepLines w:val="0"/>
        <w:pageBreakBefore w:val="0"/>
        <w:kinsoku/>
        <w:wordWrap/>
        <w:overflowPunct/>
        <w:topLinePunct w:val="0"/>
        <w:bidi w:val="0"/>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日期：</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 xml:space="preserve">日 </w:t>
      </w: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lang w:eastAsia="zh-CN"/>
        </w:rPr>
      </w:pPr>
      <w:r>
        <w:rPr>
          <w:rFonts w:hint="eastAsia" w:ascii="宋体" w:hAnsi="宋体" w:eastAsia="宋体" w:cs="宋体"/>
          <w:b/>
          <w:spacing w:val="20"/>
          <w:sz w:val="21"/>
          <w:szCs w:val="21"/>
        </w:rPr>
        <w:br w:type="page"/>
      </w:r>
    </w:p>
    <w:p>
      <w:pPr>
        <w:outlineLvl w:val="2"/>
        <w:rPr>
          <w:rFonts w:ascii="宋体" w:hAnsi="宋体" w:cs="宋体"/>
          <w:b/>
          <w:spacing w:val="6"/>
          <w:szCs w:val="21"/>
        </w:rPr>
      </w:pPr>
      <w:r>
        <w:rPr>
          <w:rFonts w:hint="eastAsia" w:ascii="宋体" w:hAnsi="宋体" w:cs="宋体"/>
          <w:b/>
          <w:spacing w:val="20"/>
          <w:szCs w:val="21"/>
        </w:rPr>
        <w:t>格式五、《联合体协议书》</w:t>
      </w:r>
    </w:p>
    <w:p>
      <w:pPr>
        <w:topLinePunct/>
        <w:spacing w:line="360" w:lineRule="auto"/>
        <w:ind w:firstLine="446" w:firstLineChars="200"/>
        <w:jc w:val="center"/>
        <w:rPr>
          <w:rFonts w:ascii="宋体" w:hAnsi="宋体" w:cs="宋体"/>
          <w:b/>
          <w:spacing w:val="6"/>
          <w:szCs w:val="21"/>
        </w:rPr>
      </w:pPr>
    </w:p>
    <w:p>
      <w:pPr>
        <w:topLinePunct/>
        <w:spacing w:line="360" w:lineRule="auto"/>
        <w:ind w:firstLine="446" w:firstLineChars="200"/>
        <w:jc w:val="center"/>
        <w:rPr>
          <w:rFonts w:ascii="宋体" w:hAnsi="宋体" w:cs="宋体"/>
          <w:szCs w:val="21"/>
          <w:u w:val="single"/>
        </w:rPr>
      </w:pPr>
      <w:r>
        <w:rPr>
          <w:rFonts w:hint="eastAsia" w:ascii="宋体" w:hAnsi="宋体" w:cs="宋体"/>
          <w:b/>
          <w:spacing w:val="6"/>
          <w:szCs w:val="21"/>
        </w:rPr>
        <w:t>《联合体协议书》</w:t>
      </w:r>
    </w:p>
    <w:p>
      <w:pPr>
        <w:topLinePunct/>
        <w:spacing w:line="360" w:lineRule="auto"/>
        <w:ind w:firstLine="420" w:firstLineChars="200"/>
        <w:rPr>
          <w:rFonts w:ascii="宋体" w:hAnsi="宋体" w:cs="宋体"/>
          <w:szCs w:val="21"/>
        </w:rPr>
      </w:pPr>
      <w:r>
        <w:rPr>
          <w:rFonts w:hint="eastAsia" w:ascii="宋体" w:hAnsi="宋体" w:cs="宋体"/>
          <w:szCs w:val="21"/>
        </w:rPr>
        <w:t>（所有成员单位名称）自愿组成（联合体名称）联合体，共同参加（项目名称）（项目编号）投标。现就联合体投标事宜订立如下协议。</w:t>
      </w:r>
    </w:p>
    <w:p>
      <w:pPr>
        <w:topLinePunct/>
        <w:spacing w:line="360" w:lineRule="auto"/>
        <w:ind w:firstLine="420" w:firstLineChars="200"/>
        <w:rPr>
          <w:rFonts w:ascii="宋体" w:hAnsi="宋体" w:cs="宋体"/>
          <w:szCs w:val="21"/>
        </w:rPr>
      </w:pPr>
      <w:r>
        <w:rPr>
          <w:rFonts w:hint="eastAsia" w:ascii="宋体" w:hAnsi="宋体" w:cs="宋体"/>
          <w:szCs w:val="21"/>
        </w:rPr>
        <w:t>1、（某成员单位名称）为（联合体名称）牵头人。（某成员单位名称）为（联合体名称）成员……</w:t>
      </w:r>
    </w:p>
    <w:p>
      <w:pPr>
        <w:topLinePunct/>
        <w:spacing w:line="360" w:lineRule="auto"/>
        <w:ind w:firstLine="420" w:firstLineChars="200"/>
        <w:rPr>
          <w:rFonts w:ascii="宋体" w:hAnsi="宋体" w:cs="宋体"/>
          <w:szCs w:val="21"/>
        </w:rPr>
      </w:pPr>
      <w:r>
        <w:rPr>
          <w:rFonts w:hint="eastAsia" w:ascii="宋体" w:hAnsi="宋体" w:cs="宋体"/>
          <w:szCs w:val="21"/>
        </w:rPr>
        <w:t>2、联合体牵头人合法代表联合体各成员负责本招标项目投标文件编制和合同谈判及签署活动，代表联合体提交和接收相关的资料、信息及指示，处理与之有关的一切事务，并负责合同实施阶段的主办、组织和协调工作。</w:t>
      </w:r>
    </w:p>
    <w:p>
      <w:pPr>
        <w:topLinePunct/>
        <w:spacing w:line="360" w:lineRule="auto"/>
        <w:ind w:firstLine="420" w:firstLineChars="200"/>
        <w:rPr>
          <w:rFonts w:ascii="宋体" w:hAnsi="宋体" w:cs="宋体"/>
          <w:szCs w:val="21"/>
        </w:rPr>
      </w:pPr>
      <w:r>
        <w:rPr>
          <w:rFonts w:hint="eastAsia" w:ascii="宋体" w:hAnsi="宋体" w:cs="宋体"/>
          <w:szCs w:val="21"/>
        </w:rPr>
        <w:t>3、联合体将严格按照招标文件的各项要求，递交投标文件，履行投标义务和中标后的合同，共同承担合同规定的一切义务和责任，并对外承担连带责任。</w:t>
      </w:r>
    </w:p>
    <w:p>
      <w:pPr>
        <w:topLinePunct/>
        <w:spacing w:line="360" w:lineRule="auto"/>
        <w:ind w:firstLine="420" w:firstLineChars="200"/>
        <w:rPr>
          <w:rFonts w:ascii="宋体" w:hAnsi="宋体" w:cs="宋体"/>
          <w:szCs w:val="21"/>
        </w:rPr>
      </w:pPr>
      <w:r>
        <w:rPr>
          <w:rFonts w:hint="eastAsia" w:ascii="宋体" w:hAnsi="宋体" w:cs="宋体"/>
          <w:szCs w:val="21"/>
        </w:rPr>
        <w:t>4、联合体中标后，联合体各方应按招标文件要求签订项目合同。若一方退出本联合体、拒签项目合同的，应当承担违约责任，并赔偿对其他方造成的损失。</w:t>
      </w:r>
    </w:p>
    <w:p>
      <w:pPr>
        <w:topLinePunct/>
        <w:spacing w:line="360" w:lineRule="auto"/>
        <w:ind w:firstLine="420" w:firstLineChars="200"/>
        <w:rPr>
          <w:rFonts w:ascii="宋体" w:hAnsi="宋体" w:cs="宋体"/>
          <w:szCs w:val="21"/>
        </w:rPr>
      </w:pPr>
      <w:r>
        <w:rPr>
          <w:rFonts w:hint="eastAsia" w:ascii="宋体" w:hAnsi="宋体" w:cs="宋体"/>
          <w:szCs w:val="21"/>
        </w:rPr>
        <w:t>5、联合体各成员单位职责、企业性质及合同份额占到合同总金额的比例如下：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00"/>
        <w:gridCol w:w="3099"/>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79" w:type="dxa"/>
            <w:noWrap/>
            <w:vAlign w:val="center"/>
          </w:tcPr>
          <w:p>
            <w:pPr>
              <w:spacing w:line="360" w:lineRule="auto"/>
              <w:jc w:val="center"/>
              <w:rPr>
                <w:rFonts w:ascii="宋体" w:hAnsi="宋体" w:cs="宋体"/>
                <w:szCs w:val="21"/>
              </w:rPr>
            </w:pPr>
            <w:r>
              <w:rPr>
                <w:rFonts w:hint="eastAsia" w:ascii="宋体" w:hAnsi="宋体" w:cs="宋体"/>
                <w:szCs w:val="21"/>
              </w:rPr>
              <w:t>序号</w:t>
            </w:r>
          </w:p>
        </w:tc>
        <w:tc>
          <w:tcPr>
            <w:tcW w:w="2200" w:type="dxa"/>
            <w:noWrap/>
            <w:vAlign w:val="center"/>
          </w:tcPr>
          <w:p>
            <w:pPr>
              <w:spacing w:line="360" w:lineRule="auto"/>
              <w:jc w:val="center"/>
              <w:rPr>
                <w:rFonts w:ascii="宋体" w:hAnsi="宋体" w:cs="宋体"/>
                <w:szCs w:val="21"/>
              </w:rPr>
            </w:pPr>
            <w:r>
              <w:rPr>
                <w:rFonts w:hint="eastAsia" w:ascii="宋体" w:hAnsi="宋体" w:cs="宋体"/>
                <w:szCs w:val="21"/>
              </w:rPr>
              <w:t>联合体成员单位名称</w:t>
            </w:r>
          </w:p>
        </w:tc>
        <w:tc>
          <w:tcPr>
            <w:tcW w:w="3099" w:type="dxa"/>
            <w:noWrap/>
            <w:vAlign w:val="center"/>
          </w:tcPr>
          <w:p>
            <w:pPr>
              <w:spacing w:line="360" w:lineRule="auto"/>
              <w:jc w:val="center"/>
              <w:rPr>
                <w:rFonts w:ascii="宋体" w:hAnsi="宋体" w:cs="宋体"/>
                <w:szCs w:val="21"/>
              </w:rPr>
            </w:pPr>
            <w:r>
              <w:rPr>
                <w:rFonts w:hint="eastAsia" w:ascii="宋体" w:hAnsi="宋体" w:cs="宋体"/>
                <w:szCs w:val="21"/>
              </w:rPr>
              <w:t>承担的工作内容</w:t>
            </w:r>
          </w:p>
        </w:tc>
        <w:tc>
          <w:tcPr>
            <w:tcW w:w="2028" w:type="dxa"/>
            <w:noWrap/>
            <w:vAlign w:val="center"/>
          </w:tcPr>
          <w:p>
            <w:pPr>
              <w:spacing w:line="360" w:lineRule="auto"/>
              <w:jc w:val="center"/>
              <w:rPr>
                <w:rFonts w:ascii="宋体" w:hAnsi="宋体" w:cs="宋体"/>
                <w:szCs w:val="21"/>
              </w:rPr>
            </w:pPr>
            <w:r>
              <w:rPr>
                <w:rFonts w:hint="eastAsia" w:ascii="宋体" w:hAnsi="宋体" w:cs="宋体"/>
                <w:szCs w:val="21"/>
              </w:rPr>
              <w:t>企业性质</w:t>
            </w:r>
          </w:p>
          <w:p>
            <w:pPr>
              <w:spacing w:line="360" w:lineRule="auto"/>
              <w:jc w:val="center"/>
              <w:rPr>
                <w:rFonts w:ascii="宋体" w:hAnsi="宋体" w:cs="宋体"/>
                <w:szCs w:val="21"/>
              </w:rPr>
            </w:pPr>
            <w:r>
              <w:rPr>
                <w:rFonts w:hint="eastAsia" w:ascii="宋体" w:hAnsi="宋体" w:cs="宋体"/>
                <w:szCs w:val="21"/>
              </w:rPr>
              <w:t>（大型、中型、小型、微型企业或其他）</w:t>
            </w:r>
          </w:p>
        </w:tc>
        <w:tc>
          <w:tcPr>
            <w:tcW w:w="2028" w:type="dxa"/>
            <w:noWrap/>
            <w:vAlign w:val="center"/>
          </w:tcPr>
          <w:p>
            <w:pPr>
              <w:spacing w:line="360" w:lineRule="auto"/>
              <w:jc w:val="center"/>
              <w:rPr>
                <w:rFonts w:ascii="宋体" w:hAnsi="宋体" w:cs="宋体"/>
                <w:szCs w:val="21"/>
              </w:rPr>
            </w:pPr>
            <w:r>
              <w:rPr>
                <w:rFonts w:hint="eastAsia" w:ascii="宋体" w:hAnsi="宋体" w:cs="宋体"/>
                <w:szCs w:val="21"/>
              </w:rPr>
              <w:t>合同份额占比</w:t>
            </w:r>
          </w:p>
          <w:p>
            <w:pPr>
              <w:spacing w:line="36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ign w:val="center"/>
          </w:tcPr>
          <w:p>
            <w:pPr>
              <w:spacing w:line="360" w:lineRule="auto"/>
              <w:jc w:val="center"/>
              <w:rPr>
                <w:rFonts w:ascii="宋体" w:hAnsi="宋体" w:cs="宋体"/>
                <w:szCs w:val="21"/>
              </w:rPr>
            </w:pPr>
            <w:r>
              <w:rPr>
                <w:rFonts w:hint="eastAsia" w:ascii="宋体" w:hAnsi="宋体" w:cs="宋体"/>
                <w:szCs w:val="21"/>
              </w:rPr>
              <w:t>1</w:t>
            </w:r>
          </w:p>
        </w:tc>
        <w:tc>
          <w:tcPr>
            <w:tcW w:w="2200" w:type="dxa"/>
            <w:noWrap/>
            <w:vAlign w:val="center"/>
          </w:tcPr>
          <w:p>
            <w:pPr>
              <w:spacing w:line="360" w:lineRule="auto"/>
              <w:rPr>
                <w:rFonts w:ascii="宋体" w:hAnsi="宋体" w:cs="宋体"/>
                <w:szCs w:val="21"/>
              </w:rPr>
            </w:pPr>
          </w:p>
        </w:tc>
        <w:tc>
          <w:tcPr>
            <w:tcW w:w="3099"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ign w:val="center"/>
          </w:tcPr>
          <w:p>
            <w:pPr>
              <w:spacing w:line="360" w:lineRule="auto"/>
              <w:jc w:val="center"/>
              <w:rPr>
                <w:rFonts w:ascii="宋体" w:hAnsi="宋体" w:cs="宋体"/>
                <w:szCs w:val="21"/>
              </w:rPr>
            </w:pPr>
            <w:r>
              <w:rPr>
                <w:rFonts w:hint="eastAsia" w:ascii="宋体" w:hAnsi="宋体" w:cs="宋体"/>
                <w:szCs w:val="21"/>
              </w:rPr>
              <w:t>2</w:t>
            </w:r>
          </w:p>
        </w:tc>
        <w:tc>
          <w:tcPr>
            <w:tcW w:w="2200" w:type="dxa"/>
            <w:noWrap/>
            <w:vAlign w:val="center"/>
          </w:tcPr>
          <w:p>
            <w:pPr>
              <w:spacing w:line="360" w:lineRule="auto"/>
              <w:rPr>
                <w:rFonts w:ascii="宋体" w:hAnsi="宋体" w:cs="宋体"/>
                <w:szCs w:val="21"/>
              </w:rPr>
            </w:pPr>
          </w:p>
        </w:tc>
        <w:tc>
          <w:tcPr>
            <w:tcW w:w="3099"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ign w:val="center"/>
          </w:tcPr>
          <w:p>
            <w:pPr>
              <w:spacing w:line="360" w:lineRule="auto"/>
              <w:jc w:val="center"/>
              <w:rPr>
                <w:rFonts w:ascii="宋体" w:hAnsi="宋体" w:cs="宋体"/>
                <w:szCs w:val="21"/>
              </w:rPr>
            </w:pPr>
            <w:r>
              <w:rPr>
                <w:rFonts w:hint="eastAsia" w:ascii="宋体" w:hAnsi="宋体" w:cs="宋体"/>
                <w:szCs w:val="21"/>
              </w:rPr>
              <w:t>3</w:t>
            </w:r>
          </w:p>
        </w:tc>
        <w:tc>
          <w:tcPr>
            <w:tcW w:w="2200" w:type="dxa"/>
            <w:noWrap/>
            <w:vAlign w:val="center"/>
          </w:tcPr>
          <w:p>
            <w:pPr>
              <w:spacing w:line="360" w:lineRule="auto"/>
              <w:rPr>
                <w:rFonts w:ascii="宋体" w:hAnsi="宋体" w:cs="宋体"/>
                <w:szCs w:val="21"/>
              </w:rPr>
            </w:pPr>
          </w:p>
        </w:tc>
        <w:tc>
          <w:tcPr>
            <w:tcW w:w="3099"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ign w:val="center"/>
          </w:tcPr>
          <w:p>
            <w:pPr>
              <w:spacing w:line="360" w:lineRule="auto"/>
              <w:jc w:val="center"/>
              <w:rPr>
                <w:rFonts w:ascii="宋体" w:hAnsi="宋体" w:cs="宋体"/>
                <w:szCs w:val="21"/>
              </w:rPr>
            </w:pPr>
            <w:r>
              <w:rPr>
                <w:rFonts w:hint="eastAsia" w:ascii="宋体" w:hAnsi="宋体" w:cs="宋体"/>
                <w:szCs w:val="21"/>
              </w:rPr>
              <w:t>...</w:t>
            </w:r>
          </w:p>
        </w:tc>
        <w:tc>
          <w:tcPr>
            <w:tcW w:w="2200" w:type="dxa"/>
            <w:noWrap/>
            <w:vAlign w:val="center"/>
          </w:tcPr>
          <w:p>
            <w:pPr>
              <w:spacing w:line="360" w:lineRule="auto"/>
              <w:rPr>
                <w:rFonts w:ascii="宋体" w:hAnsi="宋体" w:cs="宋体"/>
                <w:szCs w:val="21"/>
              </w:rPr>
            </w:pPr>
          </w:p>
        </w:tc>
        <w:tc>
          <w:tcPr>
            <w:tcW w:w="3099"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c>
          <w:tcPr>
            <w:tcW w:w="2028" w:type="dxa"/>
            <w:noWrap/>
            <w:vAlign w:val="center"/>
          </w:tcPr>
          <w:p>
            <w:pPr>
              <w:spacing w:line="360" w:lineRule="auto"/>
              <w:rPr>
                <w:rFonts w:ascii="宋体" w:hAnsi="宋体" w:cs="宋体"/>
                <w:szCs w:val="21"/>
              </w:rPr>
            </w:pPr>
          </w:p>
        </w:tc>
      </w:tr>
    </w:tbl>
    <w:p>
      <w:pPr>
        <w:topLinePunct/>
        <w:spacing w:line="360" w:lineRule="auto"/>
        <w:ind w:firstLine="420" w:firstLineChars="200"/>
        <w:rPr>
          <w:rFonts w:ascii="宋体" w:hAnsi="宋体" w:cs="宋体"/>
          <w:szCs w:val="21"/>
        </w:rPr>
      </w:pPr>
      <w:r>
        <w:rPr>
          <w:rFonts w:hint="eastAsia" w:ascii="宋体" w:hAnsi="宋体" w:cs="宋体"/>
          <w:szCs w:val="21"/>
        </w:rPr>
        <w:t>6、其他约定：</w:t>
      </w:r>
    </w:p>
    <w:p>
      <w:pPr>
        <w:topLinePunct/>
        <w:spacing w:line="360" w:lineRule="auto"/>
        <w:ind w:firstLine="420" w:firstLineChars="200"/>
        <w:rPr>
          <w:rFonts w:ascii="宋体" w:hAnsi="宋体" w:cs="宋体"/>
          <w:szCs w:val="21"/>
        </w:rPr>
      </w:pPr>
      <w:r>
        <w:rPr>
          <w:rFonts w:hint="eastAsia" w:ascii="宋体" w:hAnsi="宋体" w:cs="宋体"/>
          <w:szCs w:val="21"/>
        </w:rPr>
        <w:t xml:space="preserve">7、本协议书自签署之日起生效，至各方履行完合同全部义务后自行失效，并随合同的终止而终止。 </w:t>
      </w:r>
    </w:p>
    <w:p>
      <w:pPr>
        <w:topLinePunct/>
        <w:spacing w:line="360" w:lineRule="auto"/>
        <w:ind w:firstLine="420" w:firstLineChars="200"/>
        <w:rPr>
          <w:rFonts w:ascii="宋体" w:hAnsi="宋体" w:cs="宋体"/>
          <w:szCs w:val="21"/>
        </w:rPr>
      </w:pPr>
      <w:r>
        <w:rPr>
          <w:rFonts w:hint="eastAsia" w:ascii="宋体" w:hAnsi="宋体" w:cs="宋体"/>
          <w:szCs w:val="21"/>
        </w:rPr>
        <w:t>8、本协议书一式份，联合体成员和采购人各执一份。</w:t>
      </w:r>
    </w:p>
    <w:p>
      <w:pPr>
        <w:topLinePunct/>
        <w:spacing w:line="360" w:lineRule="auto"/>
        <w:rPr>
          <w:rFonts w:ascii="宋体" w:hAnsi="宋体" w:cs="宋体"/>
          <w:szCs w:val="21"/>
        </w:rPr>
      </w:pPr>
    </w:p>
    <w:p>
      <w:pPr>
        <w:topLinePunct/>
        <w:spacing w:line="360" w:lineRule="auto"/>
        <w:rPr>
          <w:rFonts w:ascii="宋体" w:hAnsi="宋体" w:cs="宋体"/>
          <w:szCs w:val="21"/>
        </w:rPr>
      </w:pPr>
    </w:p>
    <w:p>
      <w:pPr>
        <w:topLinePunct/>
        <w:spacing w:line="360" w:lineRule="auto"/>
        <w:rPr>
          <w:rFonts w:ascii="宋体" w:hAnsi="宋体" w:cs="宋体"/>
          <w:szCs w:val="21"/>
        </w:rPr>
      </w:pPr>
    </w:p>
    <w:p>
      <w:pPr>
        <w:topLinePunct/>
        <w:spacing w:line="360" w:lineRule="auto"/>
        <w:rPr>
          <w:rFonts w:ascii="宋体" w:hAnsi="宋体" w:cs="宋体"/>
          <w:szCs w:val="21"/>
        </w:rPr>
      </w:pPr>
    </w:p>
    <w:p>
      <w:pPr>
        <w:topLinePunct/>
        <w:spacing w:line="360" w:lineRule="auto"/>
        <w:rPr>
          <w:rFonts w:ascii="宋体" w:hAnsi="宋体" w:cs="宋体"/>
          <w:szCs w:val="21"/>
        </w:rPr>
      </w:pPr>
    </w:p>
    <w:p>
      <w:pPr>
        <w:topLinePunct/>
        <w:spacing w:line="360" w:lineRule="auto"/>
        <w:rPr>
          <w:rFonts w:ascii="宋体" w:hAnsi="宋体" w:cs="宋体"/>
          <w:szCs w:val="21"/>
        </w:rPr>
      </w:pPr>
    </w:p>
    <w:p>
      <w:pPr>
        <w:topLinePunct/>
        <w:spacing w:line="360" w:lineRule="auto"/>
        <w:rPr>
          <w:rFonts w:ascii="宋体" w:hAnsi="宋体" w:cs="宋体"/>
          <w:szCs w:val="21"/>
        </w:rPr>
      </w:pPr>
      <w:r>
        <w:rPr>
          <w:rFonts w:hint="eastAsia" w:ascii="宋体" w:hAnsi="宋体" w:cs="宋体"/>
          <w:szCs w:val="21"/>
        </w:rPr>
        <w:t>牵头人名称：（盖章）</w:t>
      </w:r>
    </w:p>
    <w:p>
      <w:pPr>
        <w:topLinePunct/>
        <w:spacing w:line="360" w:lineRule="auto"/>
        <w:rPr>
          <w:rFonts w:ascii="宋体" w:hAnsi="宋体" w:cs="宋体"/>
          <w:szCs w:val="21"/>
        </w:rPr>
      </w:pPr>
      <w:r>
        <w:rPr>
          <w:rFonts w:hint="eastAsia" w:ascii="宋体" w:hAnsi="宋体" w:cs="宋体"/>
          <w:szCs w:val="21"/>
        </w:rPr>
        <w:t>法定代表人或其委托代理人：（签字）</w:t>
      </w:r>
    </w:p>
    <w:p>
      <w:pPr>
        <w:topLinePunct/>
        <w:spacing w:line="360" w:lineRule="auto"/>
        <w:rPr>
          <w:rFonts w:ascii="宋体" w:hAnsi="宋体" w:cs="宋体"/>
          <w:szCs w:val="21"/>
        </w:rPr>
      </w:pPr>
      <w:r>
        <w:rPr>
          <w:rFonts w:hint="eastAsia" w:ascii="宋体" w:hAnsi="宋体" w:cs="宋体"/>
          <w:szCs w:val="21"/>
        </w:rPr>
        <w:t>成员名称：（盖章）</w:t>
      </w:r>
    </w:p>
    <w:p>
      <w:pPr>
        <w:topLinePunct/>
        <w:spacing w:line="360" w:lineRule="auto"/>
        <w:rPr>
          <w:rFonts w:ascii="宋体" w:hAnsi="宋体" w:cs="宋体"/>
          <w:szCs w:val="21"/>
        </w:rPr>
      </w:pPr>
      <w:r>
        <w:rPr>
          <w:rFonts w:hint="eastAsia" w:ascii="宋体" w:hAnsi="宋体" w:cs="宋体"/>
          <w:szCs w:val="21"/>
        </w:rPr>
        <w:t>法定代表人或其委托代理人：（签字）</w:t>
      </w:r>
    </w:p>
    <w:p>
      <w:pPr>
        <w:topLinePunct/>
        <w:spacing w:line="360" w:lineRule="auto"/>
        <w:rPr>
          <w:rFonts w:ascii="宋体" w:hAnsi="宋体" w:cs="宋体"/>
          <w:szCs w:val="21"/>
        </w:rPr>
      </w:pPr>
    </w:p>
    <w:p>
      <w:pPr>
        <w:topLinePunct/>
        <w:spacing w:line="360" w:lineRule="auto"/>
        <w:rPr>
          <w:rFonts w:ascii="宋体" w:hAnsi="宋体" w:cs="宋体"/>
          <w:szCs w:val="21"/>
        </w:rPr>
      </w:pPr>
      <w:r>
        <w:rPr>
          <w:rFonts w:hint="eastAsia" w:ascii="宋体" w:hAnsi="宋体" w:cs="宋体"/>
          <w:szCs w:val="21"/>
        </w:rPr>
        <w:t>……</w:t>
      </w:r>
    </w:p>
    <w:p>
      <w:pPr>
        <w:widowControl/>
        <w:spacing w:line="360" w:lineRule="auto"/>
        <w:jc w:val="right"/>
        <w:rPr>
          <w:rFonts w:ascii="宋体" w:hAnsi="宋体"/>
          <w:kern w:val="0"/>
          <w:sz w:val="24"/>
          <w:szCs w:val="24"/>
        </w:rPr>
      </w:pP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p>
      <w:pPr>
        <w:rPr>
          <w:rFonts w:hint="eastAsia" w:ascii="宋体" w:hAnsi="宋体" w:eastAsia="宋体" w:cs="宋体"/>
          <w:b/>
          <w:spacing w:val="20"/>
          <w:sz w:val="21"/>
          <w:szCs w:val="21"/>
        </w:rPr>
      </w:pPr>
      <w:r>
        <w:rPr>
          <w:rFonts w:hint="eastAsia" w:ascii="宋体" w:hAnsi="宋体" w:eastAsia="宋体" w:cs="宋体"/>
          <w:b/>
          <w:spacing w:val="20"/>
          <w:sz w:val="21"/>
          <w:szCs w:val="21"/>
        </w:rPr>
        <w:br w:type="page"/>
      </w:r>
    </w:p>
    <w:p>
      <w:pPr>
        <w:keepNext w:val="0"/>
        <w:keepLines w:val="0"/>
        <w:pageBreakBefore w:val="0"/>
        <w:kinsoku/>
        <w:wordWrap/>
        <w:overflowPunct/>
        <w:topLinePunct w:val="0"/>
        <w:bidi w:val="0"/>
        <w:spacing w:line="360" w:lineRule="auto"/>
        <w:jc w:val="left"/>
        <w:outlineLvl w:val="2"/>
        <w:rPr>
          <w:rFonts w:hint="eastAsia" w:ascii="宋体" w:hAnsi="宋体" w:eastAsia="宋体" w:cs="宋体"/>
          <w:b/>
          <w:sz w:val="21"/>
          <w:szCs w:val="21"/>
        </w:rPr>
      </w:pPr>
      <w:r>
        <w:rPr>
          <w:rFonts w:hint="eastAsia" w:ascii="宋体" w:hAnsi="宋体" w:eastAsia="宋体" w:cs="宋体"/>
          <w:b/>
          <w:spacing w:val="20"/>
          <w:sz w:val="21"/>
          <w:szCs w:val="21"/>
        </w:rPr>
        <w:t>格式</w:t>
      </w:r>
      <w:r>
        <w:rPr>
          <w:rFonts w:hint="eastAsia" w:ascii="宋体" w:hAnsi="宋体" w:cs="宋体"/>
          <w:b/>
          <w:spacing w:val="20"/>
          <w:sz w:val="21"/>
          <w:szCs w:val="21"/>
          <w:lang w:val="en-US" w:eastAsia="zh-CN"/>
        </w:rPr>
        <w:t>六</w:t>
      </w:r>
      <w:r>
        <w:rPr>
          <w:rFonts w:hint="eastAsia" w:ascii="宋体" w:hAnsi="宋体" w:eastAsia="宋体" w:cs="宋体"/>
          <w:b/>
          <w:spacing w:val="20"/>
          <w:sz w:val="21"/>
          <w:szCs w:val="21"/>
        </w:rPr>
        <w:t>、法定代表人授权函</w:t>
      </w:r>
    </w:p>
    <w:p>
      <w:pPr>
        <w:keepNext w:val="0"/>
        <w:keepLines w:val="0"/>
        <w:pageBreakBefore w:val="0"/>
        <w:kinsoku/>
        <w:wordWrap/>
        <w:overflowPunct/>
        <w:topLinePunct w:val="0"/>
        <w:bidi w:val="0"/>
        <w:spacing w:line="360" w:lineRule="auto"/>
        <w:jc w:val="left"/>
        <w:rPr>
          <w:rFonts w:hint="eastAsia" w:ascii="宋体" w:hAnsi="宋体" w:eastAsia="宋体" w:cs="宋体"/>
          <w:spacing w:val="-4"/>
          <w:sz w:val="21"/>
          <w:szCs w:val="21"/>
          <w:lang w:eastAsia="zh-CN"/>
        </w:rPr>
      </w:pPr>
      <w:r>
        <w:rPr>
          <w:rFonts w:hint="eastAsia" w:ascii="宋体" w:hAnsi="宋体" w:eastAsia="宋体" w:cs="宋体"/>
          <w:spacing w:val="-4"/>
          <w:sz w:val="21"/>
          <w:szCs w:val="21"/>
        </w:rPr>
        <w:t>致：</w:t>
      </w:r>
      <w:r>
        <w:rPr>
          <w:rFonts w:hint="eastAsia" w:ascii="宋体" w:hAnsi="宋体" w:eastAsia="宋体" w:cs="宋体"/>
          <w:sz w:val="21"/>
          <w:szCs w:val="21"/>
        </w:rPr>
        <w:t>舟山市公安局交通警察支队</w:t>
      </w:r>
    </w:p>
    <w:p>
      <w:pPr>
        <w:keepNext w:val="0"/>
        <w:keepLines w:val="0"/>
        <w:pageBreakBefore w:val="0"/>
        <w:kinsoku/>
        <w:wordWrap/>
        <w:overflowPunct/>
        <w:topLinePunct w:val="0"/>
        <w:bidi w:val="0"/>
        <w:spacing w:line="360" w:lineRule="auto"/>
        <w:ind w:right="-89" w:firstLine="420" w:firstLineChars="200"/>
        <w:jc w:val="left"/>
        <w:rPr>
          <w:rFonts w:hint="eastAsia" w:ascii="宋体" w:hAnsi="宋体" w:eastAsia="宋体" w:cs="宋体"/>
          <w:sz w:val="21"/>
          <w:szCs w:val="21"/>
        </w:rPr>
      </w:pPr>
      <w:r>
        <w:rPr>
          <w:rFonts w:hint="eastAsia" w:ascii="宋体" w:hAnsi="宋体" w:eastAsia="宋体" w:cs="宋体"/>
          <w:sz w:val="21"/>
          <w:szCs w:val="21"/>
        </w:rPr>
        <w:t>中金招标有限责任公司</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（姓名）系</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（投标人名称）的法定代表人，现授权委托本单位在职职工</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（姓名）(身份证号码：</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)以我方的名义参加</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（项目名称）（项目编号）的投标活动，并代表我方全权办理针对上述项目的投标、开标、评标、签约等具体事务和签署相关文件。</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我方对被授权人的签名负全部责任。</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在撤销授权的书面通知以前，本授权函一直有效。被授权人在授权函有效期内签署的所有文件不因授权的撤销而失效。</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被授权人无转委托权，特此委托。</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 xml:space="preserve">被授权人（签字）：                           法定代表人（签字或盖章）：          </w:t>
      </w:r>
    </w:p>
    <w:p>
      <w:pPr>
        <w:keepNext w:val="0"/>
        <w:keepLines w:val="0"/>
        <w:pageBreakBefore w:val="0"/>
        <w:kinsoku/>
        <w:wordWrap/>
        <w:overflowPunct/>
        <w:topLinePunct w:val="0"/>
        <w:bidi w:val="0"/>
        <w:spacing w:line="360" w:lineRule="auto"/>
        <w:ind w:right="-89"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被授权人联系电话：                           法定代表人联系电话：</w:t>
      </w:r>
    </w:p>
    <w:p>
      <w:pPr>
        <w:keepNext w:val="0"/>
        <w:keepLines w:val="0"/>
        <w:pageBreakBefore w:val="0"/>
        <w:kinsoku/>
        <w:wordWrap/>
        <w:overflowPunct/>
        <w:topLinePunct w:val="0"/>
        <w:bidi w:val="0"/>
        <w:spacing w:line="360" w:lineRule="auto"/>
        <w:ind w:right="-89" w:firstLine="4444" w:firstLineChars="2200"/>
        <w:jc w:val="left"/>
        <w:rPr>
          <w:rFonts w:hint="eastAsia" w:ascii="宋体" w:hAnsi="宋体" w:eastAsia="宋体" w:cs="宋体"/>
          <w:spacing w:val="-4"/>
          <w:sz w:val="21"/>
          <w:szCs w:val="21"/>
        </w:rPr>
      </w:pPr>
    </w:p>
    <w:p>
      <w:pPr>
        <w:keepNext w:val="0"/>
        <w:keepLines w:val="0"/>
        <w:pageBreakBefore w:val="0"/>
        <w:kinsoku/>
        <w:wordWrap/>
        <w:overflowPunct/>
        <w:topLinePunct w:val="0"/>
        <w:bidi w:val="0"/>
        <w:spacing w:line="360" w:lineRule="auto"/>
        <w:ind w:right="-89" w:firstLine="4444" w:firstLineChars="2200"/>
        <w:jc w:val="left"/>
        <w:rPr>
          <w:rFonts w:hint="eastAsia" w:ascii="宋体" w:hAnsi="宋体" w:eastAsia="宋体" w:cs="宋体"/>
          <w:spacing w:val="-4"/>
          <w:sz w:val="21"/>
          <w:szCs w:val="21"/>
        </w:rPr>
      </w:pPr>
    </w:p>
    <w:p>
      <w:pPr>
        <w:keepNext w:val="0"/>
        <w:keepLines w:val="0"/>
        <w:pageBreakBefore w:val="0"/>
        <w:kinsoku/>
        <w:wordWrap/>
        <w:overflowPunct/>
        <w:topLinePunct w:val="0"/>
        <w:bidi w:val="0"/>
        <w:spacing w:line="360" w:lineRule="auto"/>
        <w:ind w:right="-89" w:firstLine="4444" w:firstLineChars="2200"/>
        <w:jc w:val="left"/>
        <w:rPr>
          <w:rFonts w:hint="eastAsia" w:ascii="宋体" w:hAnsi="宋体" w:eastAsia="宋体" w:cs="宋体"/>
          <w:spacing w:val="-4"/>
          <w:sz w:val="21"/>
          <w:szCs w:val="21"/>
        </w:rPr>
      </w:pPr>
      <w:r>
        <w:rPr>
          <w:rFonts w:hint="eastAsia" w:ascii="宋体" w:hAnsi="宋体" w:eastAsia="宋体" w:cs="宋体"/>
          <w:spacing w:val="-4"/>
          <w:sz w:val="21"/>
          <w:szCs w:val="21"/>
        </w:rPr>
        <w:t xml:space="preserve">                              投标人公章：</w:t>
      </w:r>
    </w:p>
    <w:p>
      <w:pPr>
        <w:keepNext w:val="0"/>
        <w:keepLines w:val="0"/>
        <w:pageBreakBefore w:val="0"/>
        <w:kinsoku/>
        <w:wordWrap/>
        <w:overflowPunct/>
        <w:topLinePunct w:val="0"/>
        <w:bidi w:val="0"/>
        <w:spacing w:line="360" w:lineRule="auto"/>
        <w:rPr>
          <w:rFonts w:hint="eastAsia" w:ascii="宋体" w:hAnsi="宋体" w:eastAsia="宋体" w:cs="宋体"/>
          <w:spacing w:val="-4"/>
          <w:sz w:val="21"/>
          <w:szCs w:val="21"/>
        </w:rPr>
      </w:pPr>
      <w:r>
        <w:rPr>
          <w:rFonts w:hint="eastAsia" w:ascii="宋体" w:hAnsi="宋体" w:eastAsia="宋体" w:cs="宋体"/>
          <w:spacing w:val="-4"/>
          <w:sz w:val="21"/>
          <w:szCs w:val="21"/>
        </w:rPr>
        <w:t xml:space="preserve">                                                                           </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 xml:space="preserve"> 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月</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日</w:t>
      </w:r>
    </w:p>
    <w:p>
      <w:pPr>
        <w:keepNext w:val="0"/>
        <w:keepLines w:val="0"/>
        <w:pageBreakBefore w:val="0"/>
        <w:kinsoku/>
        <w:wordWrap/>
        <w:overflowPunct/>
        <w:topLinePunct w:val="0"/>
        <w:bidi w:val="0"/>
        <w:snapToGrid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kinsoku/>
        <w:wordWrap/>
        <w:overflowPunct/>
        <w:topLinePunct w:val="0"/>
        <w:bidi w:val="0"/>
        <w:spacing w:line="360" w:lineRule="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七</w:t>
      </w:r>
      <w:r>
        <w:rPr>
          <w:rFonts w:hint="eastAsia" w:ascii="宋体" w:hAnsi="宋体" w:eastAsia="宋体" w:cs="宋体"/>
          <w:b/>
          <w:sz w:val="21"/>
          <w:szCs w:val="21"/>
          <w:highlight w:val="none"/>
        </w:rPr>
        <w:t>、投标人相关业绩</w:t>
      </w:r>
    </w:p>
    <w:tbl>
      <w:tblPr>
        <w:tblStyle w:val="2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1"/>
        <w:gridCol w:w="2380"/>
        <w:gridCol w:w="1240"/>
        <w:gridCol w:w="1240"/>
        <w:gridCol w:w="161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1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业主名称</w:t>
            </w:r>
          </w:p>
        </w:tc>
        <w:tc>
          <w:tcPr>
            <w:tcW w:w="238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项目内容</w:t>
            </w:r>
          </w:p>
        </w:tc>
        <w:tc>
          <w:tcPr>
            <w:tcW w:w="124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签订日期</w:t>
            </w:r>
          </w:p>
        </w:tc>
        <w:tc>
          <w:tcPr>
            <w:tcW w:w="124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合同金额</w:t>
            </w:r>
          </w:p>
        </w:tc>
        <w:tc>
          <w:tcPr>
            <w:tcW w:w="1611"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业主联系人及联系方式</w:t>
            </w:r>
          </w:p>
        </w:tc>
        <w:tc>
          <w:tcPr>
            <w:tcW w:w="842" w:type="dxa"/>
            <w:noWrap w:val="0"/>
            <w:vAlign w:val="center"/>
          </w:tcPr>
          <w:p>
            <w:pPr>
              <w:keepNext w:val="0"/>
              <w:keepLines w:val="0"/>
              <w:pageBreakBefore w:val="0"/>
              <w:kinsoku/>
              <w:wordWrap/>
              <w:topLinePunct w:val="0"/>
              <w:bidi w:val="0"/>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附件</w:t>
            </w:r>
          </w:p>
          <w:p>
            <w:pPr>
              <w:keepNext w:val="0"/>
              <w:keepLines w:val="0"/>
              <w:pageBreakBefore w:val="0"/>
              <w:kinsoku/>
              <w:wordWrap/>
              <w:topLinePunct w:val="0"/>
              <w:bidi w:val="0"/>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238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842"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238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842"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238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842"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238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842"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238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842"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238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240"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1611"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c>
          <w:tcPr>
            <w:tcW w:w="842" w:type="dxa"/>
            <w:noWrap w:val="0"/>
            <w:vAlign w:val="top"/>
          </w:tcPr>
          <w:p>
            <w:pPr>
              <w:keepNext w:val="0"/>
              <w:keepLines w:val="0"/>
              <w:pageBreakBefore w:val="0"/>
              <w:kinsoku/>
              <w:wordWrap/>
              <w:topLinePunct w:val="0"/>
              <w:bidi w:val="0"/>
              <w:spacing w:line="360" w:lineRule="auto"/>
              <w:rPr>
                <w:rFonts w:hint="eastAsia" w:ascii="宋体" w:hAnsi="宋体" w:eastAsia="宋体" w:cs="宋体"/>
                <w:b/>
                <w:sz w:val="21"/>
                <w:szCs w:val="21"/>
              </w:rPr>
            </w:pPr>
          </w:p>
        </w:tc>
      </w:tr>
    </w:tbl>
    <w:p>
      <w:pPr>
        <w:keepNext w:val="0"/>
        <w:keepLines w:val="0"/>
        <w:pageBreakBefore w:val="0"/>
        <w:kinsoku/>
        <w:wordWrap/>
        <w:overflowPunct/>
        <w:topLinePunct w:val="0"/>
        <w:bidi w:val="0"/>
        <w:spacing w:line="360" w:lineRule="auto"/>
        <w:ind w:firstLine="426" w:firstLineChars="202"/>
        <w:rPr>
          <w:rFonts w:hint="eastAsia" w:ascii="宋体" w:hAnsi="宋体" w:eastAsia="宋体" w:cs="宋体"/>
          <w:b/>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pacing w:val="-4"/>
          <w:sz w:val="21"/>
          <w:szCs w:val="21"/>
        </w:rPr>
        <w:t>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w:t>
      </w:r>
    </w:p>
    <w:p>
      <w:pPr>
        <w:keepNext w:val="0"/>
        <w:keepLines w:val="0"/>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pPr>
        <w:keepNext w:val="0"/>
        <w:keepLines w:val="0"/>
        <w:pageBreakBefore w:val="0"/>
        <w:kinsoku/>
        <w:wordWrap/>
        <w:overflowPunct/>
        <w:topLinePunct w:val="0"/>
        <w:bidi w:val="0"/>
        <w:spacing w:line="360" w:lineRule="auto"/>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kinsoku/>
        <w:wordWrap/>
        <w:overflowPunct/>
        <w:topLinePunct w:val="0"/>
        <w:bidi w:val="0"/>
        <w:snapToGrid w:val="0"/>
        <w:spacing w:line="360" w:lineRule="auto"/>
        <w:jc w:val="left"/>
        <w:outlineLvl w:val="2"/>
        <w:rPr>
          <w:rFonts w:hint="eastAsia" w:ascii="宋体" w:hAnsi="宋体" w:eastAsia="宋体" w:cs="宋体"/>
          <w:sz w:val="21"/>
          <w:szCs w:val="21"/>
          <w:highlight w:val="none"/>
        </w:rPr>
      </w:pP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八</w:t>
      </w:r>
      <w:r>
        <w:rPr>
          <w:rFonts w:hint="eastAsia" w:ascii="宋体" w:hAnsi="宋体" w:eastAsia="宋体" w:cs="宋体"/>
          <w:b/>
          <w:sz w:val="21"/>
          <w:szCs w:val="21"/>
          <w:highlight w:val="none"/>
        </w:rPr>
        <w:t>、投标人拟派项目团队</w:t>
      </w: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tbl>
      <w:tblPr>
        <w:tblStyle w:val="2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475"/>
        <w:gridCol w:w="1020"/>
        <w:gridCol w:w="1635"/>
        <w:gridCol w:w="1635"/>
        <w:gridCol w:w="113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本项目负责情况</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姓名</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履历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资质</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从事该</w:t>
            </w:r>
          </w:p>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工作年限</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340"/>
                <w:tab w:val="left" w:pos="2520"/>
                <w:tab w:val="left" w:pos="2700"/>
                <w:tab w:val="left" w:pos="3060"/>
              </w:tabs>
              <w:kinsoku/>
              <w:wordWrap/>
              <w:topLinePunct w:val="0"/>
              <w:bidi w:val="0"/>
              <w:spacing w:line="360" w:lineRule="auto"/>
              <w:jc w:val="center"/>
              <w:rPr>
                <w:rFonts w:hint="eastAsia" w:ascii="宋体" w:hAnsi="宋体" w:eastAsia="宋体" w:cs="宋体"/>
                <w:b/>
                <w:sz w:val="21"/>
                <w:szCs w:val="21"/>
                <w:highlight w:val="none"/>
              </w:rPr>
            </w:pPr>
          </w:p>
        </w:tc>
      </w:tr>
    </w:tbl>
    <w:p>
      <w:pPr>
        <w:keepNext w:val="0"/>
        <w:keepLines w:val="0"/>
        <w:pageBreakBefore w:val="0"/>
        <w:kinsoku/>
        <w:wordWrap/>
        <w:topLinePunct w:val="0"/>
        <w:bidi w:val="0"/>
        <w:spacing w:line="360" w:lineRule="auto"/>
        <w:ind w:firstLine="426" w:firstLineChars="202"/>
        <w:rPr>
          <w:rFonts w:hint="eastAsia" w:ascii="宋体" w:hAnsi="宋体" w:eastAsia="宋体" w:cs="宋体"/>
          <w:b/>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sz w:val="21"/>
          <w:szCs w:val="21"/>
          <w:highlight w:val="none"/>
        </w:rPr>
      </w:pPr>
    </w:p>
    <w:p>
      <w:pPr>
        <w:keepNext w:val="0"/>
        <w:keepLines w:val="0"/>
        <w:pageBreakBefore w:val="0"/>
        <w:kinsoku/>
        <w:wordWrap/>
        <w:topLinePunct w:val="0"/>
        <w:bidi w:val="0"/>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投标人名称：</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 xml:space="preserve">（加盖公章）  </w:t>
      </w:r>
    </w:p>
    <w:p>
      <w:pPr>
        <w:keepNext w:val="0"/>
        <w:keepLines w:val="0"/>
        <w:pageBreakBefore w:val="0"/>
        <w:kinsoku/>
        <w:wordWrap/>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投标人代表</w:t>
      </w:r>
      <w:r>
        <w:rPr>
          <w:rFonts w:hint="eastAsia" w:ascii="宋体" w:hAnsi="宋体" w:eastAsia="宋体" w:cs="宋体"/>
          <w:sz w:val="21"/>
          <w:szCs w:val="21"/>
          <w:highlight w:val="none"/>
        </w:rPr>
        <w:t>：</w:t>
      </w:r>
      <w:r>
        <w:rPr>
          <w:rFonts w:hint="eastAsia" w:ascii="宋体" w:hAnsi="宋体" w:eastAsia="宋体" w:cs="宋体"/>
          <w:b/>
          <w:spacing w:val="20"/>
          <w:sz w:val="21"/>
          <w:szCs w:val="21"/>
          <w:highlight w:val="none"/>
          <w:u w:val="single"/>
        </w:rPr>
        <w:t xml:space="preserve">           </w:t>
      </w:r>
      <w:r>
        <w:rPr>
          <w:rFonts w:hint="eastAsia" w:ascii="宋体" w:hAnsi="宋体" w:eastAsia="宋体" w:cs="宋体"/>
          <w:sz w:val="21"/>
          <w:szCs w:val="21"/>
          <w:highlight w:val="none"/>
        </w:rPr>
        <w:t>（签字）</w:t>
      </w:r>
    </w:p>
    <w:p>
      <w:pPr>
        <w:keepNext w:val="0"/>
        <w:keepLines w:val="0"/>
        <w:pageBreakBefore w:val="0"/>
        <w:kinsoku/>
        <w:wordWrap/>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日期：</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年</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月</w:t>
      </w:r>
      <w:r>
        <w:rPr>
          <w:rFonts w:hint="eastAsia" w:ascii="宋体" w:hAnsi="宋体" w:eastAsia="宋体" w:cs="宋体"/>
          <w:spacing w:val="20"/>
          <w:sz w:val="21"/>
          <w:szCs w:val="21"/>
          <w:highlight w:val="none"/>
          <w:u w:val="single"/>
        </w:rPr>
        <w:t xml:space="preserve">   </w:t>
      </w:r>
      <w:r>
        <w:rPr>
          <w:rFonts w:hint="eastAsia" w:ascii="宋体" w:hAnsi="宋体" w:eastAsia="宋体" w:cs="宋体"/>
          <w:spacing w:val="20"/>
          <w:sz w:val="21"/>
          <w:szCs w:val="21"/>
          <w:highlight w:val="none"/>
        </w:rPr>
        <w:t>日</w:t>
      </w:r>
    </w:p>
    <w:p>
      <w:pPr>
        <w:keepNext w:val="0"/>
        <w:keepLines w:val="0"/>
        <w:pageBreakBefore w:val="0"/>
        <w:kinsoku/>
        <w:wordWrap/>
        <w:overflowPunct/>
        <w:topLinePunct w:val="0"/>
        <w:bidi w:val="0"/>
        <w:snapToGrid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p>
    <w:p>
      <w:pPr>
        <w:keepNext w:val="0"/>
        <w:keepLines w:val="0"/>
        <w:pageBreakBefore w:val="0"/>
        <w:kinsoku/>
        <w:wordWrap/>
        <w:topLinePunct w:val="0"/>
        <w:bidi w:val="0"/>
        <w:spacing w:line="360" w:lineRule="auto"/>
        <w:outlineLvl w:val="2"/>
        <w:rPr>
          <w:rFonts w:hint="eastAsia" w:ascii="宋体" w:hAnsi="宋体" w:eastAsia="宋体" w:cs="宋体"/>
          <w:b/>
          <w:sz w:val="21"/>
          <w:szCs w:val="21"/>
          <w:highlight w:val="none"/>
        </w:rPr>
      </w:pPr>
      <w:r>
        <w:rPr>
          <w:rFonts w:hint="eastAsia" w:ascii="宋体" w:hAnsi="宋体" w:eastAsia="宋体" w:cs="宋体"/>
          <w:b/>
          <w:sz w:val="21"/>
          <w:szCs w:val="21"/>
          <w:highlight w:val="none"/>
        </w:rPr>
        <w:t>格式</w:t>
      </w:r>
      <w:r>
        <w:rPr>
          <w:rFonts w:hint="eastAsia" w:ascii="宋体" w:hAnsi="宋体" w:cs="宋体"/>
          <w:b/>
          <w:sz w:val="21"/>
          <w:szCs w:val="21"/>
          <w:highlight w:val="none"/>
          <w:lang w:val="en-US" w:eastAsia="zh-CN"/>
        </w:rPr>
        <w:t>九</w:t>
      </w:r>
      <w:r>
        <w:rPr>
          <w:rFonts w:hint="eastAsia" w:ascii="宋体" w:hAnsi="宋体" w:eastAsia="宋体" w:cs="宋体"/>
          <w:b/>
          <w:sz w:val="21"/>
          <w:szCs w:val="21"/>
          <w:highlight w:val="none"/>
        </w:rPr>
        <w:t>、商务条款响应表</w:t>
      </w:r>
    </w:p>
    <w:p>
      <w:pPr>
        <w:keepNext w:val="0"/>
        <w:keepLines w:val="0"/>
        <w:pageBreakBefore w:val="0"/>
        <w:kinsoku/>
        <w:wordWrap/>
        <w:topLinePunct w:val="0"/>
        <w:bidi w:val="0"/>
        <w:spacing w:line="360" w:lineRule="auto"/>
        <w:rPr>
          <w:rFonts w:hint="eastAsia" w:ascii="宋体" w:hAnsi="宋体" w:eastAsia="宋体" w:cs="宋体"/>
          <w:b/>
          <w:sz w:val="21"/>
          <w:szCs w:val="21"/>
          <w:highlight w:val="none"/>
        </w:rPr>
      </w:pPr>
    </w:p>
    <w:tbl>
      <w:tblPr>
        <w:tblStyle w:val="25"/>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0"/>
        <w:gridCol w:w="223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招标文件要求</w:t>
            </w:r>
          </w:p>
        </w:tc>
        <w:tc>
          <w:tcPr>
            <w:tcW w:w="2232"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投标人响应</w:t>
            </w:r>
          </w:p>
        </w:tc>
        <w:tc>
          <w:tcPr>
            <w:tcW w:w="2514"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偏离情况（负偏离/无偏离/正偏离）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390" w:type="dxa"/>
            <w:noWrap w:val="0"/>
            <w:vAlign w:val="center"/>
          </w:tcPr>
          <w:p>
            <w:pPr>
              <w:keepNext w:val="0"/>
              <w:keepLines w:val="0"/>
              <w:pageBreakBefore w:val="0"/>
              <w:kinsoku/>
              <w:wordWrap/>
              <w:topLinePunct w:val="0"/>
              <w:bidi w:val="0"/>
              <w:spacing w:line="360" w:lineRule="auto"/>
              <w:jc w:val="center"/>
              <w:rPr>
                <w:rFonts w:hint="eastAsia" w:ascii="宋体" w:hAnsi="宋体" w:eastAsia="宋体" w:cs="宋体"/>
                <w:b/>
                <w:spacing w:val="20"/>
                <w:sz w:val="21"/>
                <w:szCs w:val="21"/>
                <w:highlight w:val="none"/>
              </w:rPr>
            </w:pPr>
            <w:r>
              <w:rPr>
                <w:rFonts w:hint="eastAsia" w:ascii="宋体" w:hAnsi="宋体" w:eastAsia="宋体" w:cs="宋体"/>
                <w:kern w:val="0"/>
                <w:sz w:val="21"/>
                <w:szCs w:val="21"/>
                <w:highlight w:val="none"/>
                <w:lang w:val="en-US" w:eastAsia="zh-CN" w:bidi="zh-CN"/>
              </w:rPr>
              <w:t>项目工期：</w:t>
            </w:r>
            <w:r>
              <w:rPr>
                <w:rFonts w:hint="eastAsia" w:ascii="宋体" w:hAnsi="宋体" w:eastAsia="宋体" w:cs="宋体"/>
                <w:b w:val="0"/>
                <w:bCs/>
                <w:spacing w:val="20"/>
                <w:sz w:val="21"/>
                <w:szCs w:val="21"/>
                <w:highlight w:val="none"/>
                <w:lang w:val="en-US" w:eastAsia="zh-CN"/>
              </w:rPr>
              <w:t>2024年12月7日至2025年12月6日</w:t>
            </w:r>
          </w:p>
        </w:tc>
        <w:tc>
          <w:tcPr>
            <w:tcW w:w="2232" w:type="dxa"/>
            <w:noWrap w:val="0"/>
            <w:vAlign w:val="top"/>
          </w:tcPr>
          <w:p>
            <w:pPr>
              <w:keepNext w:val="0"/>
              <w:keepLines w:val="0"/>
              <w:pageBreakBefore w:val="0"/>
              <w:kinsoku/>
              <w:wordWrap/>
              <w:topLinePunct w:val="0"/>
              <w:bidi w:val="0"/>
              <w:spacing w:line="360" w:lineRule="auto"/>
              <w:rPr>
                <w:rFonts w:hint="eastAsia" w:ascii="宋体" w:hAnsi="宋体" w:eastAsia="宋体" w:cs="宋体"/>
                <w:b/>
                <w:spacing w:val="20"/>
                <w:sz w:val="21"/>
                <w:szCs w:val="21"/>
                <w:highlight w:val="none"/>
              </w:rPr>
            </w:pPr>
          </w:p>
        </w:tc>
        <w:tc>
          <w:tcPr>
            <w:tcW w:w="2514" w:type="dxa"/>
            <w:noWrap w:val="0"/>
            <w:vAlign w:val="top"/>
          </w:tcPr>
          <w:p>
            <w:pPr>
              <w:keepNext w:val="0"/>
              <w:keepLines w:val="0"/>
              <w:pageBreakBefore w:val="0"/>
              <w:kinsoku/>
              <w:wordWrap/>
              <w:topLinePunct w:val="0"/>
              <w:bidi w:val="0"/>
              <w:spacing w:line="360" w:lineRule="auto"/>
              <w:rPr>
                <w:rFonts w:hint="eastAsia" w:ascii="宋体" w:hAnsi="宋体" w:eastAsia="宋体" w:cs="宋体"/>
                <w:b/>
                <w:spacing w:val="20"/>
                <w:sz w:val="21"/>
                <w:szCs w:val="21"/>
                <w:highlight w:val="none"/>
              </w:rPr>
            </w:pPr>
          </w:p>
        </w:tc>
      </w:tr>
    </w:tbl>
    <w:p>
      <w:pPr>
        <w:keepNext w:val="0"/>
        <w:keepLines w:val="0"/>
        <w:pageBreakBefore w:val="0"/>
        <w:kinsoku/>
        <w:wordWrap/>
        <w:topLinePunct w:val="0"/>
        <w:bidi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注：“▲”条款为本项目实质性条款，负偏离或未响应将导致投标无效。</w:t>
      </w:r>
    </w:p>
    <w:p>
      <w:pPr>
        <w:keepNext w:val="0"/>
        <w:keepLines w:val="0"/>
        <w:pageBreakBefore w:val="0"/>
        <w:kinsoku/>
        <w:wordWrap/>
        <w:overflowPunct/>
        <w:topLinePunct w:val="0"/>
        <w:bidi w:val="0"/>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br w:type="page"/>
      </w:r>
    </w:p>
    <w:p>
      <w:pPr>
        <w:keepNext w:val="0"/>
        <w:keepLines w:val="0"/>
        <w:pageBreakBefore w:val="0"/>
        <w:kinsoku/>
        <w:wordWrap/>
        <w:overflowPunct/>
        <w:topLinePunct w:val="0"/>
        <w:bidi w:val="0"/>
        <w:snapToGrid w:val="0"/>
        <w:spacing w:before="50" w:after="156" w:afterLines="50" w:line="360" w:lineRule="auto"/>
        <w:jc w:val="left"/>
        <w:outlineLvl w:val="2"/>
        <w:rPr>
          <w:rFonts w:hint="eastAsia" w:ascii="宋体" w:hAnsi="宋体" w:eastAsia="宋体" w:cs="宋体"/>
          <w:b/>
          <w:bCs/>
          <w:sz w:val="21"/>
          <w:szCs w:val="21"/>
        </w:rPr>
      </w:pPr>
      <w:r>
        <w:rPr>
          <w:rFonts w:hint="eastAsia" w:ascii="宋体" w:hAnsi="宋体" w:eastAsia="宋体" w:cs="宋体"/>
          <w:b/>
          <w:bCs/>
          <w:sz w:val="21"/>
          <w:szCs w:val="21"/>
        </w:rPr>
        <w:t>格式</w:t>
      </w:r>
      <w:r>
        <w:rPr>
          <w:rFonts w:hint="eastAsia" w:ascii="宋体" w:hAnsi="宋体" w:cs="宋体"/>
          <w:b/>
          <w:bCs/>
          <w:sz w:val="21"/>
          <w:szCs w:val="21"/>
          <w:lang w:val="en-US" w:eastAsia="zh-CN"/>
        </w:rPr>
        <w:t>十</w:t>
      </w:r>
      <w:r>
        <w:rPr>
          <w:rFonts w:hint="eastAsia" w:ascii="宋体" w:hAnsi="宋体" w:eastAsia="宋体" w:cs="宋体"/>
          <w:b/>
          <w:bCs/>
          <w:sz w:val="21"/>
          <w:szCs w:val="21"/>
        </w:rPr>
        <w:t>、质疑函（范本）</w:t>
      </w:r>
    </w:p>
    <w:p>
      <w:pPr>
        <w:keepNext w:val="0"/>
        <w:keepLines w:val="0"/>
        <w:pageBreakBefore w:val="0"/>
        <w:kinsoku/>
        <w:wordWrap/>
        <w:overflowPunct/>
        <w:topLinePunct w:val="0"/>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质疑函（范本）</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质疑供应商：</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联系人：</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授权代表：</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联系电话：</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地址：</w:t>
      </w:r>
      <w:r>
        <w:rPr>
          <w:rFonts w:hint="eastAsia" w:ascii="宋体" w:hAnsi="宋体" w:eastAsia="宋体" w:cs="宋体"/>
          <w:kern w:val="0"/>
          <w:sz w:val="21"/>
          <w:szCs w:val="21"/>
          <w:u w:val="single"/>
          <w:shd w:val="clear" w:color="auto" w:fill="FFFFFF"/>
          <w:lang w:bidi="ar"/>
        </w:rPr>
        <w:t xml:space="preserve">                                                             </w:t>
      </w:r>
      <w:r>
        <w:rPr>
          <w:rFonts w:hint="eastAsia" w:ascii="宋体" w:hAnsi="宋体" w:eastAsia="宋体" w:cs="宋体"/>
          <w:kern w:val="0"/>
          <w:sz w:val="21"/>
          <w:szCs w:val="21"/>
          <w:shd w:val="clear" w:color="auto" w:fill="FFFFFF"/>
          <w:lang w:bidi="ar"/>
        </w:rPr>
        <w:t>邮编：</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p>
    <w:p>
      <w:pPr>
        <w:keepNext w:val="0"/>
        <w:keepLines w:val="0"/>
        <w:pageBreakBefore w:val="0"/>
        <w:widowControl/>
        <w:kinsoku/>
        <w:wordWrap/>
        <w:overflowPunct/>
        <w:topLinePunct w:val="0"/>
        <w:bidi w:val="0"/>
        <w:spacing w:before="100" w:beforeAutospacing="1" w:after="100" w:afterAutospacing="1" w:line="360" w:lineRule="auto"/>
        <w:jc w:val="left"/>
        <w:outlineLvl w:val="9"/>
        <w:rPr>
          <w:rFonts w:hint="eastAsia" w:ascii="宋体" w:hAnsi="宋体" w:eastAsia="宋体" w:cs="宋体"/>
          <w:sz w:val="21"/>
          <w:szCs w:val="21"/>
        </w:rPr>
      </w:pPr>
      <w:bookmarkStart w:id="80" w:name="_Toc1571"/>
      <w:r>
        <w:rPr>
          <w:rFonts w:hint="eastAsia" w:ascii="宋体" w:hAnsi="宋体" w:eastAsia="宋体" w:cs="宋体"/>
          <w:kern w:val="0"/>
          <w:sz w:val="21"/>
          <w:szCs w:val="21"/>
          <w:shd w:val="clear" w:color="auto" w:fill="FFFFFF"/>
          <w:lang w:bidi="ar"/>
        </w:rPr>
        <w:t>二、质疑项目基本情况</w:t>
      </w:r>
      <w:bookmarkEnd w:id="80"/>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质疑项目的名称：</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质疑项目的编号：</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采购人名称：</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采购文件获取日期：</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outlineLvl w:val="9"/>
        <w:rPr>
          <w:rFonts w:hint="eastAsia" w:ascii="宋体" w:hAnsi="宋体" w:eastAsia="宋体" w:cs="宋体"/>
          <w:sz w:val="21"/>
          <w:szCs w:val="21"/>
        </w:rPr>
      </w:pPr>
      <w:bookmarkStart w:id="81" w:name="_Toc22730"/>
      <w:r>
        <w:rPr>
          <w:rFonts w:hint="eastAsia" w:ascii="宋体" w:hAnsi="宋体" w:eastAsia="宋体" w:cs="宋体"/>
          <w:kern w:val="0"/>
          <w:sz w:val="21"/>
          <w:szCs w:val="21"/>
          <w:shd w:val="clear" w:color="auto" w:fill="FFFFFF"/>
          <w:lang w:bidi="ar"/>
        </w:rPr>
        <w:t>三、质疑事项具体内容</w:t>
      </w:r>
      <w:bookmarkEnd w:id="81"/>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质疑事项1：</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事实依据：</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法律依据：</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质疑事项2</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w:t>
      </w:r>
    </w:p>
    <w:p>
      <w:pPr>
        <w:keepNext w:val="0"/>
        <w:keepLines w:val="0"/>
        <w:pageBreakBefore w:val="0"/>
        <w:widowControl/>
        <w:kinsoku/>
        <w:wordWrap/>
        <w:overflowPunct/>
        <w:topLinePunct w:val="0"/>
        <w:bidi w:val="0"/>
        <w:spacing w:before="100" w:beforeAutospacing="1" w:after="100" w:afterAutospacing="1" w:line="360" w:lineRule="auto"/>
        <w:jc w:val="left"/>
        <w:outlineLvl w:val="9"/>
        <w:rPr>
          <w:rFonts w:hint="eastAsia" w:ascii="宋体" w:hAnsi="宋体" w:eastAsia="宋体" w:cs="宋体"/>
          <w:sz w:val="21"/>
          <w:szCs w:val="21"/>
        </w:rPr>
      </w:pPr>
      <w:bookmarkStart w:id="82" w:name="_Toc22252"/>
      <w:r>
        <w:rPr>
          <w:rFonts w:hint="eastAsia" w:ascii="宋体" w:hAnsi="宋体" w:eastAsia="宋体" w:cs="宋体"/>
          <w:kern w:val="0"/>
          <w:sz w:val="21"/>
          <w:szCs w:val="21"/>
          <w:shd w:val="clear" w:color="auto" w:fill="FFFFFF"/>
          <w:lang w:bidi="ar"/>
        </w:rPr>
        <w:t>四、与质疑事项相关的质疑请求</w:t>
      </w:r>
      <w:bookmarkEnd w:id="82"/>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kern w:val="0"/>
          <w:sz w:val="21"/>
          <w:szCs w:val="21"/>
          <w:u w:val="single"/>
          <w:shd w:val="clear" w:color="auto" w:fill="FFFFFF"/>
          <w:lang w:bidi="ar"/>
        </w:rPr>
      </w:pPr>
      <w:r>
        <w:rPr>
          <w:rFonts w:hint="eastAsia" w:ascii="宋体" w:hAnsi="宋体" w:eastAsia="宋体" w:cs="宋体"/>
          <w:kern w:val="0"/>
          <w:sz w:val="21"/>
          <w:szCs w:val="21"/>
          <w:shd w:val="clear" w:color="auto" w:fill="FFFFFF"/>
          <w:lang w:bidi="ar"/>
        </w:rPr>
        <w:t>请求：</w:t>
      </w:r>
      <w:r>
        <w:rPr>
          <w:rFonts w:hint="eastAsia" w:ascii="宋体" w:hAnsi="宋体" w:eastAsia="宋体" w:cs="宋体"/>
          <w:kern w:val="0"/>
          <w:sz w:val="21"/>
          <w:szCs w:val="21"/>
          <w:u w:val="single"/>
          <w:shd w:val="clear" w:color="auto" w:fill="FFFFFF"/>
          <w:lang w:bidi="ar"/>
        </w:rPr>
        <w:t xml:space="preserve">                                                                            </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签字(签章)：</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公章：</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日期：</w:t>
      </w: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p>
    <w:p>
      <w:pPr>
        <w:keepNext w:val="0"/>
        <w:keepLines w:val="0"/>
        <w:pageBreakBefore w:val="0"/>
        <w:widowControl/>
        <w:kinsoku/>
        <w:wordWrap/>
        <w:overflowPunct/>
        <w:topLinePunct w:val="0"/>
        <w:bidi w:val="0"/>
        <w:spacing w:before="100" w:beforeAutospacing="1" w:after="100" w:afterAutospacing="1" w:line="360" w:lineRule="auto"/>
        <w:jc w:val="left"/>
        <w:rPr>
          <w:rFonts w:hint="eastAsia" w:ascii="宋体" w:hAnsi="宋体" w:eastAsia="宋体" w:cs="宋体"/>
          <w:sz w:val="21"/>
          <w:szCs w:val="21"/>
        </w:rPr>
      </w:pPr>
      <w:r>
        <w:rPr>
          <w:rFonts w:hint="eastAsia" w:ascii="宋体" w:hAnsi="宋体" w:eastAsia="宋体" w:cs="宋体"/>
          <w:b/>
          <w:kern w:val="0"/>
          <w:sz w:val="21"/>
          <w:szCs w:val="21"/>
          <w:shd w:val="clear" w:color="auto" w:fill="FFFFFF"/>
          <w:lang w:bidi="ar"/>
        </w:rPr>
        <w:t>质疑函制作说明：</w:t>
      </w:r>
    </w:p>
    <w:p>
      <w:pPr>
        <w:keepNext w:val="0"/>
        <w:keepLines w:val="0"/>
        <w:pageBreakBefore w:val="0"/>
        <w:widowControl/>
        <w:kinsoku/>
        <w:wordWrap/>
        <w:overflowPunct/>
        <w:topLinePunct w:val="0"/>
        <w:bidi w:val="0"/>
        <w:spacing w:before="100" w:beforeAutospacing="1" w:after="100" w:afterAutospacing="1" w:line="360" w:lineRule="auto"/>
        <w:ind w:firstLine="640"/>
        <w:jc w:val="left"/>
        <w:outlineLvl w:val="9"/>
        <w:rPr>
          <w:rFonts w:hint="eastAsia" w:ascii="宋体" w:hAnsi="宋体" w:eastAsia="宋体" w:cs="宋体"/>
          <w:sz w:val="21"/>
          <w:szCs w:val="21"/>
        </w:rPr>
      </w:pPr>
      <w:bookmarkStart w:id="83" w:name="_Toc21745"/>
      <w:r>
        <w:rPr>
          <w:rFonts w:hint="eastAsia" w:ascii="宋体" w:hAnsi="宋体" w:eastAsia="宋体" w:cs="宋体"/>
          <w:kern w:val="0"/>
          <w:sz w:val="21"/>
          <w:szCs w:val="21"/>
          <w:shd w:val="clear" w:color="auto" w:fill="FFFFFF"/>
          <w:lang w:bidi="ar"/>
        </w:rPr>
        <w:t>1.供应商提出质疑时，应提交质疑函和必要的证明材料。</w:t>
      </w:r>
      <w:bookmarkEnd w:id="83"/>
    </w:p>
    <w:p>
      <w:pPr>
        <w:keepNext w:val="0"/>
        <w:keepLines w:val="0"/>
        <w:pageBreakBefore w:val="0"/>
        <w:widowControl/>
        <w:kinsoku/>
        <w:wordWrap/>
        <w:overflowPunct/>
        <w:topLinePunct w:val="0"/>
        <w:bidi w:val="0"/>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bidi w:val="0"/>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3.质疑供应商若对项目的某一标项进行质疑，质疑函中应列明具体标项。</w:t>
      </w:r>
    </w:p>
    <w:p>
      <w:pPr>
        <w:keepNext w:val="0"/>
        <w:keepLines w:val="0"/>
        <w:pageBreakBefore w:val="0"/>
        <w:widowControl/>
        <w:kinsoku/>
        <w:wordWrap/>
        <w:overflowPunct/>
        <w:topLinePunct w:val="0"/>
        <w:bidi w:val="0"/>
        <w:spacing w:before="100" w:beforeAutospacing="1" w:after="100" w:afterAutospacing="1" w:line="360" w:lineRule="auto"/>
        <w:ind w:firstLine="640"/>
        <w:jc w:val="left"/>
        <w:rPr>
          <w:rFonts w:hint="eastAsia" w:ascii="宋体" w:hAnsi="宋体" w:eastAsia="宋体" w:cs="宋体"/>
          <w:sz w:val="21"/>
          <w:szCs w:val="21"/>
        </w:rPr>
      </w:pPr>
      <w:r>
        <w:rPr>
          <w:rFonts w:hint="eastAsia" w:ascii="宋体" w:hAnsi="宋体" w:eastAsia="宋体" w:cs="宋体"/>
          <w:kern w:val="0"/>
          <w:sz w:val="21"/>
          <w:szCs w:val="21"/>
          <w:shd w:val="clear" w:color="auto" w:fill="FFFFFF"/>
          <w:lang w:bidi="ar"/>
        </w:rPr>
        <w:t>4.质疑函的质疑事项应具体、明确，并有必要的事实依据和法律依据。</w:t>
      </w:r>
    </w:p>
    <w:p>
      <w:pPr>
        <w:keepNext w:val="0"/>
        <w:keepLines w:val="0"/>
        <w:pageBreakBefore w:val="0"/>
        <w:widowControl/>
        <w:kinsoku/>
        <w:wordWrap/>
        <w:overflowPunct/>
        <w:topLinePunct w:val="0"/>
        <w:bidi w:val="0"/>
        <w:spacing w:before="100" w:beforeAutospacing="1" w:after="100" w:afterAutospacing="1" w:line="360" w:lineRule="auto"/>
        <w:ind w:firstLine="640"/>
        <w:jc w:val="left"/>
        <w:outlineLvl w:val="9"/>
        <w:rPr>
          <w:rFonts w:hint="eastAsia" w:ascii="宋体" w:hAnsi="宋体" w:eastAsia="宋体" w:cs="宋体"/>
          <w:sz w:val="21"/>
          <w:szCs w:val="21"/>
        </w:rPr>
      </w:pPr>
      <w:bookmarkStart w:id="84" w:name="_Toc8594"/>
      <w:r>
        <w:rPr>
          <w:rFonts w:hint="eastAsia" w:ascii="宋体" w:hAnsi="宋体" w:eastAsia="宋体" w:cs="宋体"/>
          <w:kern w:val="0"/>
          <w:sz w:val="21"/>
          <w:szCs w:val="21"/>
          <w:shd w:val="clear" w:color="auto" w:fill="FFFFFF"/>
          <w:lang w:bidi="ar"/>
        </w:rPr>
        <w:t>5.质疑函的质疑请求应与质疑事项相关。</w:t>
      </w:r>
      <w:bookmarkEnd w:id="84"/>
    </w:p>
    <w:p>
      <w:pPr>
        <w:keepNext w:val="0"/>
        <w:keepLines w:val="0"/>
        <w:pageBreakBefore w:val="0"/>
        <w:widowControl/>
        <w:kinsoku/>
        <w:wordWrap/>
        <w:overflowPunct/>
        <w:topLinePunct w:val="0"/>
        <w:bidi w:val="0"/>
        <w:spacing w:before="100" w:beforeAutospacing="1" w:after="100" w:afterAutospacing="1" w:line="360" w:lineRule="auto"/>
        <w:ind w:firstLine="640"/>
        <w:jc w:val="left"/>
        <w:rPr>
          <w:rFonts w:hint="eastAsia" w:ascii="宋体" w:hAnsi="宋体" w:eastAsia="宋体" w:cs="宋体"/>
          <w:kern w:val="0"/>
          <w:sz w:val="21"/>
          <w:szCs w:val="21"/>
          <w:shd w:val="clear" w:color="auto" w:fill="FFFFFF"/>
          <w:lang w:bidi="ar"/>
        </w:rPr>
      </w:pPr>
      <w:r>
        <w:rPr>
          <w:rFonts w:hint="eastAsia" w:ascii="宋体" w:hAnsi="宋体" w:eastAsia="宋体" w:cs="宋体"/>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bookmarkStart w:id="85" w:name="_GoBack"/>
      <w:bookmarkEnd w:id="85"/>
    </w:p>
    <w:p>
      <w:pPr>
        <w:keepNext w:val="0"/>
        <w:keepLines w:val="0"/>
        <w:pageBreakBefore w:val="0"/>
        <w:widowControl/>
        <w:kinsoku/>
        <w:overflowPunct/>
        <w:topLinePunct w:val="0"/>
        <w:bidi w:val="0"/>
        <w:spacing w:before="100" w:beforeAutospacing="1" w:after="100" w:afterAutospacing="1" w:line="360" w:lineRule="auto"/>
        <w:jc w:val="left"/>
        <w:rPr>
          <w:rFonts w:hint="eastAsia" w:ascii="宋体" w:hAnsi="宋体" w:eastAsia="宋体" w:cs="宋体"/>
          <w:sz w:val="21"/>
          <w:szCs w:val="21"/>
        </w:rPr>
      </w:pPr>
    </w:p>
    <w:p>
      <w:pPr>
        <w:pStyle w:val="11"/>
        <w:keepNext w:val="0"/>
        <w:keepLines w:val="0"/>
        <w:pageBreakBefore w:val="0"/>
        <w:kinsoku/>
        <w:overflowPunct/>
        <w:topLinePunct w:val="0"/>
        <w:bidi w:val="0"/>
        <w:snapToGrid w:val="0"/>
        <w:spacing w:line="360" w:lineRule="auto"/>
        <w:rPr>
          <w:rFonts w:hint="eastAsia" w:ascii="宋体" w:hAnsi="宋体" w:eastAsia="宋体" w:cs="宋体"/>
          <w:sz w:val="21"/>
          <w:szCs w:val="21"/>
        </w:rPr>
      </w:pPr>
    </w:p>
    <w:sectPr>
      <w:pgSz w:w="11906" w:h="16838"/>
      <w:pgMar w:top="1531" w:right="1179" w:bottom="737" w:left="1179" w:header="851" w:footer="58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70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70</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ascii="宋体" w:eastAsia="宋体"/>
        <w:lang w:eastAsia="zh-CN"/>
      </w:rPr>
    </w:pPr>
    <w:r>
      <w:rPr>
        <w:rFonts w:hint="eastAsia" w:ascii="宋体"/>
      </w:rPr>
      <w:drawing>
        <wp:inline distT="0" distB="0" distL="114300" distR="114300">
          <wp:extent cx="1602105" cy="293370"/>
          <wp:effectExtent l="0" t="0" r="17145" b="11430"/>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rPr>
      <w:t xml:space="preserve">  </w:t>
    </w:r>
    <w:r>
      <w:rPr>
        <w:rFonts w:hint="eastAsia" w:ascii="宋体"/>
        <w:lang w:val="en-US" w:eastAsia="zh-CN"/>
      </w:rPr>
      <w:t xml:space="preserve">        2024年本岛红绿灯一体化维保项目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eastAsia="宋体"/>
        <w:lang w:eastAsia="zh-CN"/>
      </w:rPr>
    </w:pPr>
    <w:r>
      <w:rPr>
        <w:rFonts w:hint="eastAsia" w:ascii="宋体"/>
      </w:rPr>
      <w:drawing>
        <wp:inline distT="0" distB="0" distL="114300" distR="114300">
          <wp:extent cx="1602105" cy="293370"/>
          <wp:effectExtent l="0" t="0" r="17145" b="11430"/>
          <wp:docPr id="7"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lang w:eastAsia="zh-CN"/>
      </w:rPr>
      <w:t>舟山市公安局交通警察支队委托审计服务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36BCD"/>
    <w:multiLevelType w:val="singleLevel"/>
    <w:tmpl w:val="E6736BCD"/>
    <w:lvl w:ilvl="0" w:tentative="0">
      <w:start w:val="4"/>
      <w:numFmt w:val="chineseCounting"/>
      <w:suff w:val="nothing"/>
      <w:lvlText w:val="%1、"/>
      <w:lvlJc w:val="left"/>
      <w:rPr>
        <w:rFonts w:hint="eastAsia"/>
      </w:rPr>
    </w:lvl>
  </w:abstractNum>
  <w:abstractNum w:abstractNumId="1">
    <w:nsid w:val="08653DA4"/>
    <w:multiLevelType w:val="multilevel"/>
    <w:tmpl w:val="08653DA4"/>
    <w:lvl w:ilvl="0" w:tentative="0">
      <w:start w:val="1"/>
      <w:numFmt w:val="lowerLetter"/>
      <w:lvlText w:val="%1．"/>
      <w:lvlJc w:val="left"/>
      <w:pPr>
        <w:tabs>
          <w:tab w:val="left" w:pos="840"/>
        </w:tabs>
        <w:ind w:left="840" w:hanging="360"/>
      </w:pPr>
      <w:rPr>
        <w:rFonts w:hint="default" w:ascii="宋体" w:hAnsi="宋体" w:eastAsia="宋体" w:cs="宋体"/>
        <w:sz w:val="21"/>
        <w:szCs w:val="21"/>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abstractNum w:abstractNumId="5">
    <w:nsid w:val="560E1F0D"/>
    <w:multiLevelType w:val="multilevel"/>
    <w:tmpl w:val="560E1F0D"/>
    <w:lvl w:ilvl="0" w:tentative="0">
      <w:start w:val="1"/>
      <w:numFmt w:val="decimal"/>
      <w:pStyle w:val="96"/>
      <w:suff w:val="space"/>
      <w:lvlText w:val="第%1章"/>
      <w:lvlJc w:val="left"/>
      <w:pPr>
        <w:ind w:left="432" w:hanging="432"/>
      </w:pPr>
      <w:rPr>
        <w:rFonts w:hint="default" w:ascii="宋体" w:hAnsi="宋体" w:eastAsia="宋体" w:cs="宋体"/>
        <w:b/>
      </w:rPr>
    </w:lvl>
    <w:lvl w:ilvl="1" w:tentative="0">
      <w:start w:val="1"/>
      <w:numFmt w:val="decimal"/>
      <w:pStyle w:val="95"/>
      <w:isLgl/>
      <w:suff w:val="space"/>
      <w:lvlText w:val="%1.%2"/>
      <w:lvlJc w:val="left"/>
      <w:pPr>
        <w:ind w:left="576" w:hanging="576"/>
      </w:pPr>
      <w:rPr>
        <w:rFonts w:hint="eastAsia" w:ascii="宋体" w:hAnsi="宋体" w:eastAsia="宋体" w:cs="宋体"/>
      </w:rPr>
    </w:lvl>
    <w:lvl w:ilvl="2" w:tentative="0">
      <w:start w:val="1"/>
      <w:numFmt w:val="decimal"/>
      <w:pStyle w:val="94"/>
      <w:isLgl/>
      <w:suff w:val="space"/>
      <w:lvlText w:val="%1.%2.%3"/>
      <w:lvlJc w:val="left"/>
      <w:pPr>
        <w:ind w:left="720" w:hanging="720"/>
      </w:pPr>
      <w:rPr>
        <w:rFonts w:hint="default" w:ascii="宋体" w:hAnsi="宋体" w:eastAsia="宋体" w:cs="宋体"/>
        <w:lang w:eastAsia="zh-CN"/>
      </w:rPr>
    </w:lvl>
    <w:lvl w:ilvl="3" w:tentative="0">
      <w:start w:val="1"/>
      <w:numFmt w:val="decimal"/>
      <w:pStyle w:val="99"/>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eastAsia"/>
      </w:rPr>
    </w:lvl>
    <w:lvl w:ilvl="5" w:tentative="0">
      <w:start w:val="1"/>
      <w:numFmt w:val="decimal"/>
      <w:isLgl/>
      <w:suff w:val="space"/>
      <w:lvlText w:val="%1.%2.%3.%4.%5.%6"/>
      <w:lvlJc w:val="left"/>
      <w:pPr>
        <w:ind w:left="1152"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6">
    <w:nsid w:val="75A1741F"/>
    <w:multiLevelType w:val="singleLevel"/>
    <w:tmpl w:val="75A1741F"/>
    <w:lvl w:ilvl="0" w:tentative="0">
      <w:start w:val="1"/>
      <w:numFmt w:val="decimal"/>
      <w:pStyle w:val="97"/>
      <w:suff w:val="space"/>
      <w:lvlText w:val="%1."/>
      <w:lvlJc w:val="left"/>
      <w:pPr>
        <w:ind w:left="0" w:firstLine="567"/>
      </w:pPr>
      <w:rPr>
        <w:rFonts w:hint="default" w:ascii="Times New Roman" w:hAnsi="Times New Roman" w:cs="Times New Roman"/>
      </w:rPr>
    </w:lvl>
  </w:abstractNum>
  <w:num w:numId="1">
    <w:abstractNumId w:val="5"/>
  </w:num>
  <w:num w:numId="2">
    <w:abstractNumId w:val="6"/>
  </w:num>
  <w:num w:numId="3">
    <w:abstractNumId w:val="3"/>
  </w:num>
  <w:num w:numId="4">
    <w:abstractNumId w:val="4"/>
  </w:num>
  <w:num w:numId="5">
    <w:abstractNumId w:val="2"/>
  </w:num>
  <w:num w:numId="6">
    <w:abstractNumId w:val="1"/>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ZjQwOGQ1OTliMGE2ZTFjMzY3YjI1NTM0NTljYm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B7C69"/>
    <w:rsid w:val="000C021F"/>
    <w:rsid w:val="000C0E70"/>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862"/>
    <w:rsid w:val="000E2BC0"/>
    <w:rsid w:val="000E3EEF"/>
    <w:rsid w:val="000E416C"/>
    <w:rsid w:val="000E56DE"/>
    <w:rsid w:val="000E706B"/>
    <w:rsid w:val="000F02E6"/>
    <w:rsid w:val="000F0550"/>
    <w:rsid w:val="000F1074"/>
    <w:rsid w:val="000F13AF"/>
    <w:rsid w:val="000F27F8"/>
    <w:rsid w:val="000F2A94"/>
    <w:rsid w:val="000F2E5E"/>
    <w:rsid w:val="000F421C"/>
    <w:rsid w:val="000F4472"/>
    <w:rsid w:val="000F4C37"/>
    <w:rsid w:val="000F4F94"/>
    <w:rsid w:val="000F55ED"/>
    <w:rsid w:val="000F5680"/>
    <w:rsid w:val="000F5897"/>
    <w:rsid w:val="000F6027"/>
    <w:rsid w:val="000F6E50"/>
    <w:rsid w:val="001007C1"/>
    <w:rsid w:val="00101001"/>
    <w:rsid w:val="00101417"/>
    <w:rsid w:val="001025A6"/>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2B"/>
    <w:rsid w:val="001306EE"/>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4731"/>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3F8"/>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43C9"/>
    <w:rsid w:val="00265BF6"/>
    <w:rsid w:val="00267758"/>
    <w:rsid w:val="00267846"/>
    <w:rsid w:val="00267917"/>
    <w:rsid w:val="00270ABA"/>
    <w:rsid w:val="00270AC8"/>
    <w:rsid w:val="00270BEF"/>
    <w:rsid w:val="00271361"/>
    <w:rsid w:val="0027237A"/>
    <w:rsid w:val="00272DBA"/>
    <w:rsid w:val="00273D91"/>
    <w:rsid w:val="00274924"/>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3A14"/>
    <w:rsid w:val="002C49B8"/>
    <w:rsid w:val="002C4CBD"/>
    <w:rsid w:val="002C4F37"/>
    <w:rsid w:val="002C595B"/>
    <w:rsid w:val="002C68F3"/>
    <w:rsid w:val="002C6BE7"/>
    <w:rsid w:val="002C6F18"/>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4D32"/>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3A51"/>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3190"/>
    <w:rsid w:val="00383A60"/>
    <w:rsid w:val="003847DC"/>
    <w:rsid w:val="00390A14"/>
    <w:rsid w:val="003916DE"/>
    <w:rsid w:val="00391B33"/>
    <w:rsid w:val="0039215F"/>
    <w:rsid w:val="00392486"/>
    <w:rsid w:val="003951E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3C0E"/>
    <w:rsid w:val="003B483E"/>
    <w:rsid w:val="003B4C85"/>
    <w:rsid w:val="003B5149"/>
    <w:rsid w:val="003B736A"/>
    <w:rsid w:val="003C04C3"/>
    <w:rsid w:val="003C16A3"/>
    <w:rsid w:val="003C1722"/>
    <w:rsid w:val="003C31BC"/>
    <w:rsid w:val="003C3482"/>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576A"/>
    <w:rsid w:val="003F6578"/>
    <w:rsid w:val="003F65BC"/>
    <w:rsid w:val="003F771B"/>
    <w:rsid w:val="004000E0"/>
    <w:rsid w:val="004006B3"/>
    <w:rsid w:val="00400784"/>
    <w:rsid w:val="00400CA4"/>
    <w:rsid w:val="00400FD2"/>
    <w:rsid w:val="00401676"/>
    <w:rsid w:val="004020AC"/>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08"/>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67CAC"/>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38C4"/>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2942"/>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88A"/>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26FC8"/>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5FCE"/>
    <w:rsid w:val="00766053"/>
    <w:rsid w:val="00766FA8"/>
    <w:rsid w:val="007703FE"/>
    <w:rsid w:val="00770B14"/>
    <w:rsid w:val="00771928"/>
    <w:rsid w:val="00771B62"/>
    <w:rsid w:val="00773AFA"/>
    <w:rsid w:val="0077449D"/>
    <w:rsid w:val="00774A2E"/>
    <w:rsid w:val="007803E6"/>
    <w:rsid w:val="00781B16"/>
    <w:rsid w:val="0078270A"/>
    <w:rsid w:val="00782FD6"/>
    <w:rsid w:val="00783AA6"/>
    <w:rsid w:val="00783BE7"/>
    <w:rsid w:val="00783EC5"/>
    <w:rsid w:val="007856F9"/>
    <w:rsid w:val="0078571B"/>
    <w:rsid w:val="00785D24"/>
    <w:rsid w:val="007865C4"/>
    <w:rsid w:val="00787650"/>
    <w:rsid w:val="00787B67"/>
    <w:rsid w:val="00790169"/>
    <w:rsid w:val="007913AE"/>
    <w:rsid w:val="0079247D"/>
    <w:rsid w:val="007928E4"/>
    <w:rsid w:val="00793A0F"/>
    <w:rsid w:val="00796E2A"/>
    <w:rsid w:val="007A05E0"/>
    <w:rsid w:val="007A0C45"/>
    <w:rsid w:val="007A1061"/>
    <w:rsid w:val="007A2386"/>
    <w:rsid w:val="007A3F71"/>
    <w:rsid w:val="007A42D5"/>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12BE"/>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19F"/>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3D5"/>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152"/>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5A2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B4C"/>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4DA"/>
    <w:rsid w:val="00A235A2"/>
    <w:rsid w:val="00A23749"/>
    <w:rsid w:val="00A24359"/>
    <w:rsid w:val="00A24594"/>
    <w:rsid w:val="00A25CCE"/>
    <w:rsid w:val="00A266B9"/>
    <w:rsid w:val="00A27AE0"/>
    <w:rsid w:val="00A30ED6"/>
    <w:rsid w:val="00A311E1"/>
    <w:rsid w:val="00A31DCE"/>
    <w:rsid w:val="00A33DEB"/>
    <w:rsid w:val="00A3401E"/>
    <w:rsid w:val="00A3445F"/>
    <w:rsid w:val="00A3507E"/>
    <w:rsid w:val="00A35471"/>
    <w:rsid w:val="00A35C4F"/>
    <w:rsid w:val="00A36880"/>
    <w:rsid w:val="00A36C44"/>
    <w:rsid w:val="00A377E9"/>
    <w:rsid w:val="00A40A4A"/>
    <w:rsid w:val="00A40E64"/>
    <w:rsid w:val="00A4158A"/>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08C"/>
    <w:rsid w:val="00AA165D"/>
    <w:rsid w:val="00AA1E21"/>
    <w:rsid w:val="00AA1FF5"/>
    <w:rsid w:val="00AA2D9D"/>
    <w:rsid w:val="00AA39B0"/>
    <w:rsid w:val="00AA3DD7"/>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51F"/>
    <w:rsid w:val="00AC3957"/>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7E7"/>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3FCF"/>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9AB"/>
    <w:rsid w:val="00BE2D84"/>
    <w:rsid w:val="00BE2F95"/>
    <w:rsid w:val="00BE4AAB"/>
    <w:rsid w:val="00BE4F39"/>
    <w:rsid w:val="00BE692F"/>
    <w:rsid w:val="00BF0216"/>
    <w:rsid w:val="00BF0845"/>
    <w:rsid w:val="00BF08D2"/>
    <w:rsid w:val="00BF24B7"/>
    <w:rsid w:val="00BF270E"/>
    <w:rsid w:val="00BF340F"/>
    <w:rsid w:val="00BF3499"/>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B9D"/>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5B"/>
    <w:rsid w:val="00C570A2"/>
    <w:rsid w:val="00C60664"/>
    <w:rsid w:val="00C60B61"/>
    <w:rsid w:val="00C61574"/>
    <w:rsid w:val="00C645E2"/>
    <w:rsid w:val="00C65232"/>
    <w:rsid w:val="00C6664C"/>
    <w:rsid w:val="00C6674B"/>
    <w:rsid w:val="00C67D1F"/>
    <w:rsid w:val="00C67E5D"/>
    <w:rsid w:val="00C702C1"/>
    <w:rsid w:val="00C703AD"/>
    <w:rsid w:val="00C70B20"/>
    <w:rsid w:val="00C70C3A"/>
    <w:rsid w:val="00C70E1C"/>
    <w:rsid w:val="00C71C7B"/>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6B7"/>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99"/>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2F2C"/>
    <w:rsid w:val="00D33081"/>
    <w:rsid w:val="00D339DE"/>
    <w:rsid w:val="00D33CC9"/>
    <w:rsid w:val="00D34801"/>
    <w:rsid w:val="00D3618F"/>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5CC8"/>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A6A"/>
    <w:rsid w:val="00DC5B42"/>
    <w:rsid w:val="00DC680D"/>
    <w:rsid w:val="00DC68C7"/>
    <w:rsid w:val="00DC77EB"/>
    <w:rsid w:val="00DC7C57"/>
    <w:rsid w:val="00DD05AD"/>
    <w:rsid w:val="00DD11B3"/>
    <w:rsid w:val="00DD1401"/>
    <w:rsid w:val="00DD14E3"/>
    <w:rsid w:val="00DD1F4A"/>
    <w:rsid w:val="00DD1F9F"/>
    <w:rsid w:val="00DD25D7"/>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37B90"/>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5A55"/>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4CD"/>
    <w:rsid w:val="00FA2B7C"/>
    <w:rsid w:val="00FA314C"/>
    <w:rsid w:val="00FA39CF"/>
    <w:rsid w:val="00FA3CA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47755"/>
    <w:rsid w:val="01303F65"/>
    <w:rsid w:val="01312F8E"/>
    <w:rsid w:val="013A09C4"/>
    <w:rsid w:val="014033C1"/>
    <w:rsid w:val="014C5266"/>
    <w:rsid w:val="016005C1"/>
    <w:rsid w:val="01683BB5"/>
    <w:rsid w:val="018351D3"/>
    <w:rsid w:val="018710A3"/>
    <w:rsid w:val="01A7086A"/>
    <w:rsid w:val="01A93A5A"/>
    <w:rsid w:val="01AD7D01"/>
    <w:rsid w:val="01D17056"/>
    <w:rsid w:val="01E462AD"/>
    <w:rsid w:val="02060918"/>
    <w:rsid w:val="02293759"/>
    <w:rsid w:val="022D25F8"/>
    <w:rsid w:val="02575AC1"/>
    <w:rsid w:val="02635C67"/>
    <w:rsid w:val="0271589A"/>
    <w:rsid w:val="02776147"/>
    <w:rsid w:val="02901DBD"/>
    <w:rsid w:val="02B32C00"/>
    <w:rsid w:val="02B43AAA"/>
    <w:rsid w:val="02C32F68"/>
    <w:rsid w:val="02F21EEB"/>
    <w:rsid w:val="02FA132F"/>
    <w:rsid w:val="030F1E54"/>
    <w:rsid w:val="03261EB9"/>
    <w:rsid w:val="0334599F"/>
    <w:rsid w:val="03470120"/>
    <w:rsid w:val="035D7AD7"/>
    <w:rsid w:val="035D7D75"/>
    <w:rsid w:val="035E5F74"/>
    <w:rsid w:val="0365592C"/>
    <w:rsid w:val="036B7E52"/>
    <w:rsid w:val="0372035D"/>
    <w:rsid w:val="03744E73"/>
    <w:rsid w:val="037C7C55"/>
    <w:rsid w:val="03831553"/>
    <w:rsid w:val="03A47FAC"/>
    <w:rsid w:val="03B04CEA"/>
    <w:rsid w:val="03B15391"/>
    <w:rsid w:val="03ED2838"/>
    <w:rsid w:val="03F75236"/>
    <w:rsid w:val="041A5A24"/>
    <w:rsid w:val="04302795"/>
    <w:rsid w:val="043729FA"/>
    <w:rsid w:val="04591A2E"/>
    <w:rsid w:val="045D44FB"/>
    <w:rsid w:val="0461422D"/>
    <w:rsid w:val="046A060F"/>
    <w:rsid w:val="046E7456"/>
    <w:rsid w:val="047D1ED6"/>
    <w:rsid w:val="04826CFA"/>
    <w:rsid w:val="04976926"/>
    <w:rsid w:val="04A05494"/>
    <w:rsid w:val="04A22F2C"/>
    <w:rsid w:val="04A9499D"/>
    <w:rsid w:val="04AF5B65"/>
    <w:rsid w:val="04B45435"/>
    <w:rsid w:val="04B54D1A"/>
    <w:rsid w:val="04D55D13"/>
    <w:rsid w:val="04D92FA4"/>
    <w:rsid w:val="04DC666C"/>
    <w:rsid w:val="04EA5B3C"/>
    <w:rsid w:val="04EC78FC"/>
    <w:rsid w:val="04FF46D6"/>
    <w:rsid w:val="052B2F21"/>
    <w:rsid w:val="05301C5F"/>
    <w:rsid w:val="05447943"/>
    <w:rsid w:val="05471C86"/>
    <w:rsid w:val="054D67F1"/>
    <w:rsid w:val="055A5917"/>
    <w:rsid w:val="055F06BF"/>
    <w:rsid w:val="057A69BF"/>
    <w:rsid w:val="057B0E62"/>
    <w:rsid w:val="0580785F"/>
    <w:rsid w:val="058E43D8"/>
    <w:rsid w:val="05BA296C"/>
    <w:rsid w:val="05CB0E27"/>
    <w:rsid w:val="05CC0218"/>
    <w:rsid w:val="05D05124"/>
    <w:rsid w:val="05E509F9"/>
    <w:rsid w:val="05F33C03"/>
    <w:rsid w:val="0608114D"/>
    <w:rsid w:val="061B7444"/>
    <w:rsid w:val="063C7A07"/>
    <w:rsid w:val="063F5949"/>
    <w:rsid w:val="065036EF"/>
    <w:rsid w:val="066A2A78"/>
    <w:rsid w:val="066F5174"/>
    <w:rsid w:val="06706E5D"/>
    <w:rsid w:val="0678463D"/>
    <w:rsid w:val="06792D62"/>
    <w:rsid w:val="06A238AF"/>
    <w:rsid w:val="06AD4DCE"/>
    <w:rsid w:val="06C70A28"/>
    <w:rsid w:val="06D84107"/>
    <w:rsid w:val="06DA6645"/>
    <w:rsid w:val="06E930F9"/>
    <w:rsid w:val="070841B7"/>
    <w:rsid w:val="070E1192"/>
    <w:rsid w:val="07143613"/>
    <w:rsid w:val="07144D03"/>
    <w:rsid w:val="076707A0"/>
    <w:rsid w:val="076B7FB5"/>
    <w:rsid w:val="07846FA7"/>
    <w:rsid w:val="078801B7"/>
    <w:rsid w:val="07981A91"/>
    <w:rsid w:val="079B4158"/>
    <w:rsid w:val="07A47AA8"/>
    <w:rsid w:val="07B76AFB"/>
    <w:rsid w:val="07CB2146"/>
    <w:rsid w:val="07CE525D"/>
    <w:rsid w:val="07CF512D"/>
    <w:rsid w:val="07D04F64"/>
    <w:rsid w:val="07E17544"/>
    <w:rsid w:val="080001B0"/>
    <w:rsid w:val="08044ECC"/>
    <w:rsid w:val="0806636F"/>
    <w:rsid w:val="080E5F49"/>
    <w:rsid w:val="081661AF"/>
    <w:rsid w:val="082223BA"/>
    <w:rsid w:val="083F0ECA"/>
    <w:rsid w:val="08664345"/>
    <w:rsid w:val="086A2A9A"/>
    <w:rsid w:val="086C1F56"/>
    <w:rsid w:val="08723626"/>
    <w:rsid w:val="08751056"/>
    <w:rsid w:val="088505BC"/>
    <w:rsid w:val="089C5B28"/>
    <w:rsid w:val="08C57572"/>
    <w:rsid w:val="08CE3215"/>
    <w:rsid w:val="08E75733"/>
    <w:rsid w:val="08EE7CFD"/>
    <w:rsid w:val="08FE4DC1"/>
    <w:rsid w:val="09046931"/>
    <w:rsid w:val="090C2147"/>
    <w:rsid w:val="091C337A"/>
    <w:rsid w:val="09271C52"/>
    <w:rsid w:val="0927512D"/>
    <w:rsid w:val="09573866"/>
    <w:rsid w:val="0960347E"/>
    <w:rsid w:val="09652590"/>
    <w:rsid w:val="096E130F"/>
    <w:rsid w:val="097653E7"/>
    <w:rsid w:val="097C0DEA"/>
    <w:rsid w:val="097E16AA"/>
    <w:rsid w:val="09812BB0"/>
    <w:rsid w:val="0984207B"/>
    <w:rsid w:val="09917881"/>
    <w:rsid w:val="099536FE"/>
    <w:rsid w:val="09A06A75"/>
    <w:rsid w:val="09F92B47"/>
    <w:rsid w:val="0A0E2098"/>
    <w:rsid w:val="0A1B5312"/>
    <w:rsid w:val="0A375B90"/>
    <w:rsid w:val="0A4505E9"/>
    <w:rsid w:val="0A54175E"/>
    <w:rsid w:val="0A6B56FC"/>
    <w:rsid w:val="0A9347FB"/>
    <w:rsid w:val="0A9F3ACB"/>
    <w:rsid w:val="0AAB0902"/>
    <w:rsid w:val="0AB440A4"/>
    <w:rsid w:val="0AC21C32"/>
    <w:rsid w:val="0AE21571"/>
    <w:rsid w:val="0AE4227C"/>
    <w:rsid w:val="0AE77A0C"/>
    <w:rsid w:val="0AE81B19"/>
    <w:rsid w:val="0AFB755B"/>
    <w:rsid w:val="0B043FBF"/>
    <w:rsid w:val="0B046039"/>
    <w:rsid w:val="0B076BF9"/>
    <w:rsid w:val="0B6A78FF"/>
    <w:rsid w:val="0B821434"/>
    <w:rsid w:val="0B854DCD"/>
    <w:rsid w:val="0B9A2BAF"/>
    <w:rsid w:val="0BC40744"/>
    <w:rsid w:val="0BDC1CE9"/>
    <w:rsid w:val="0BF810FA"/>
    <w:rsid w:val="0C026895"/>
    <w:rsid w:val="0C0B6D68"/>
    <w:rsid w:val="0C0C3F82"/>
    <w:rsid w:val="0C1A3D59"/>
    <w:rsid w:val="0C257B40"/>
    <w:rsid w:val="0C2C064B"/>
    <w:rsid w:val="0C3E34A5"/>
    <w:rsid w:val="0C546315"/>
    <w:rsid w:val="0C812DED"/>
    <w:rsid w:val="0C950BA6"/>
    <w:rsid w:val="0CAF695A"/>
    <w:rsid w:val="0CB12611"/>
    <w:rsid w:val="0CE13110"/>
    <w:rsid w:val="0CEF2175"/>
    <w:rsid w:val="0D124D83"/>
    <w:rsid w:val="0D203DB4"/>
    <w:rsid w:val="0D2E24AB"/>
    <w:rsid w:val="0D422A1C"/>
    <w:rsid w:val="0D43075A"/>
    <w:rsid w:val="0D434BB0"/>
    <w:rsid w:val="0D4E642E"/>
    <w:rsid w:val="0D5A37DD"/>
    <w:rsid w:val="0D5D17E3"/>
    <w:rsid w:val="0D5E1D12"/>
    <w:rsid w:val="0D8C68E2"/>
    <w:rsid w:val="0D9943EA"/>
    <w:rsid w:val="0DB545D2"/>
    <w:rsid w:val="0DC7118E"/>
    <w:rsid w:val="0DD423A8"/>
    <w:rsid w:val="0DE40111"/>
    <w:rsid w:val="0DE56FE8"/>
    <w:rsid w:val="0DED34C2"/>
    <w:rsid w:val="0DF47AE0"/>
    <w:rsid w:val="0DF77F0D"/>
    <w:rsid w:val="0E1E3AB1"/>
    <w:rsid w:val="0E1E3B63"/>
    <w:rsid w:val="0E245078"/>
    <w:rsid w:val="0E2D7D0A"/>
    <w:rsid w:val="0E331822"/>
    <w:rsid w:val="0E5B7068"/>
    <w:rsid w:val="0E671431"/>
    <w:rsid w:val="0E710B71"/>
    <w:rsid w:val="0E9A3AF2"/>
    <w:rsid w:val="0EB37C49"/>
    <w:rsid w:val="0EB72DE1"/>
    <w:rsid w:val="0ED42113"/>
    <w:rsid w:val="0ED6340D"/>
    <w:rsid w:val="0EEE56EB"/>
    <w:rsid w:val="0EF04DE5"/>
    <w:rsid w:val="0EFF43BA"/>
    <w:rsid w:val="0F092CD6"/>
    <w:rsid w:val="0F143963"/>
    <w:rsid w:val="0F205C5E"/>
    <w:rsid w:val="0F2F4388"/>
    <w:rsid w:val="0F3E4C19"/>
    <w:rsid w:val="0F4425B0"/>
    <w:rsid w:val="0F5B6AB1"/>
    <w:rsid w:val="0F777651"/>
    <w:rsid w:val="0F7A0B89"/>
    <w:rsid w:val="0F7A203F"/>
    <w:rsid w:val="0F7A481C"/>
    <w:rsid w:val="0FA37114"/>
    <w:rsid w:val="100C34AE"/>
    <w:rsid w:val="100D5F57"/>
    <w:rsid w:val="10354C54"/>
    <w:rsid w:val="103665E1"/>
    <w:rsid w:val="103C154A"/>
    <w:rsid w:val="10454916"/>
    <w:rsid w:val="10672A16"/>
    <w:rsid w:val="107F13A6"/>
    <w:rsid w:val="10953945"/>
    <w:rsid w:val="109B49D8"/>
    <w:rsid w:val="109E27B7"/>
    <w:rsid w:val="10A76C07"/>
    <w:rsid w:val="10B4070D"/>
    <w:rsid w:val="10BC6211"/>
    <w:rsid w:val="10C20616"/>
    <w:rsid w:val="10C80A2B"/>
    <w:rsid w:val="10D10E21"/>
    <w:rsid w:val="10E723F2"/>
    <w:rsid w:val="10E832B4"/>
    <w:rsid w:val="111369C6"/>
    <w:rsid w:val="11172FFF"/>
    <w:rsid w:val="111934E7"/>
    <w:rsid w:val="112172C2"/>
    <w:rsid w:val="114D7618"/>
    <w:rsid w:val="116F6BC1"/>
    <w:rsid w:val="11816530"/>
    <w:rsid w:val="11983D3E"/>
    <w:rsid w:val="11AE39F8"/>
    <w:rsid w:val="11C42733"/>
    <w:rsid w:val="11C53F61"/>
    <w:rsid w:val="11D65B7A"/>
    <w:rsid w:val="11F8380E"/>
    <w:rsid w:val="121767DB"/>
    <w:rsid w:val="122327D1"/>
    <w:rsid w:val="12276759"/>
    <w:rsid w:val="12445E42"/>
    <w:rsid w:val="12465C21"/>
    <w:rsid w:val="12550B18"/>
    <w:rsid w:val="12663BE0"/>
    <w:rsid w:val="12735753"/>
    <w:rsid w:val="129610C5"/>
    <w:rsid w:val="12CA084D"/>
    <w:rsid w:val="12DE6746"/>
    <w:rsid w:val="12E928B6"/>
    <w:rsid w:val="130E11A0"/>
    <w:rsid w:val="130F6DBF"/>
    <w:rsid w:val="133D6799"/>
    <w:rsid w:val="136007E7"/>
    <w:rsid w:val="13663C00"/>
    <w:rsid w:val="136B6F88"/>
    <w:rsid w:val="136E327B"/>
    <w:rsid w:val="13A07738"/>
    <w:rsid w:val="13A55508"/>
    <w:rsid w:val="13AB36C5"/>
    <w:rsid w:val="13B43589"/>
    <w:rsid w:val="13BB0808"/>
    <w:rsid w:val="13BC175F"/>
    <w:rsid w:val="14060571"/>
    <w:rsid w:val="1426082A"/>
    <w:rsid w:val="142C3534"/>
    <w:rsid w:val="144A24F4"/>
    <w:rsid w:val="145A5FD6"/>
    <w:rsid w:val="146A0E3C"/>
    <w:rsid w:val="1474690C"/>
    <w:rsid w:val="1481614D"/>
    <w:rsid w:val="1494463F"/>
    <w:rsid w:val="14B856A7"/>
    <w:rsid w:val="14C66854"/>
    <w:rsid w:val="14DE0C0F"/>
    <w:rsid w:val="14EE1A04"/>
    <w:rsid w:val="14F134BB"/>
    <w:rsid w:val="151350A2"/>
    <w:rsid w:val="15367333"/>
    <w:rsid w:val="153C255C"/>
    <w:rsid w:val="154304FD"/>
    <w:rsid w:val="154923E9"/>
    <w:rsid w:val="156952E9"/>
    <w:rsid w:val="157D32D4"/>
    <w:rsid w:val="15924B9F"/>
    <w:rsid w:val="15957D8F"/>
    <w:rsid w:val="15AB4BE4"/>
    <w:rsid w:val="15AD349E"/>
    <w:rsid w:val="15B10392"/>
    <w:rsid w:val="15BD5E7C"/>
    <w:rsid w:val="15C924F4"/>
    <w:rsid w:val="15D14E57"/>
    <w:rsid w:val="15DA10CC"/>
    <w:rsid w:val="15DF7B3C"/>
    <w:rsid w:val="15EF3AF7"/>
    <w:rsid w:val="15FE2DA3"/>
    <w:rsid w:val="1606775E"/>
    <w:rsid w:val="160D0514"/>
    <w:rsid w:val="162A1705"/>
    <w:rsid w:val="162C39B4"/>
    <w:rsid w:val="1631337C"/>
    <w:rsid w:val="16462E87"/>
    <w:rsid w:val="16683B51"/>
    <w:rsid w:val="169F561C"/>
    <w:rsid w:val="16A63826"/>
    <w:rsid w:val="16A90C06"/>
    <w:rsid w:val="16BC04A0"/>
    <w:rsid w:val="16C8192A"/>
    <w:rsid w:val="171A332F"/>
    <w:rsid w:val="17251EAC"/>
    <w:rsid w:val="172F5A62"/>
    <w:rsid w:val="174602F3"/>
    <w:rsid w:val="174B3433"/>
    <w:rsid w:val="175201A4"/>
    <w:rsid w:val="17534A80"/>
    <w:rsid w:val="17581F6D"/>
    <w:rsid w:val="17644C4B"/>
    <w:rsid w:val="177A1481"/>
    <w:rsid w:val="177B2B64"/>
    <w:rsid w:val="17844E8E"/>
    <w:rsid w:val="179914B3"/>
    <w:rsid w:val="17A116AE"/>
    <w:rsid w:val="17B33E4D"/>
    <w:rsid w:val="17B9066E"/>
    <w:rsid w:val="17C65DEF"/>
    <w:rsid w:val="17CB371D"/>
    <w:rsid w:val="17CE061A"/>
    <w:rsid w:val="17D252F9"/>
    <w:rsid w:val="17E92F0B"/>
    <w:rsid w:val="17EF5266"/>
    <w:rsid w:val="17F36C58"/>
    <w:rsid w:val="18071B33"/>
    <w:rsid w:val="180E5A00"/>
    <w:rsid w:val="181B2BBC"/>
    <w:rsid w:val="183F3519"/>
    <w:rsid w:val="1841459E"/>
    <w:rsid w:val="184A01D4"/>
    <w:rsid w:val="185F775C"/>
    <w:rsid w:val="186F7BC5"/>
    <w:rsid w:val="187C546C"/>
    <w:rsid w:val="188C47E4"/>
    <w:rsid w:val="189039E8"/>
    <w:rsid w:val="18B157FE"/>
    <w:rsid w:val="18C66D91"/>
    <w:rsid w:val="18C675D3"/>
    <w:rsid w:val="18CD45C3"/>
    <w:rsid w:val="18D32F39"/>
    <w:rsid w:val="18E73329"/>
    <w:rsid w:val="190467FC"/>
    <w:rsid w:val="19104A6E"/>
    <w:rsid w:val="193957B5"/>
    <w:rsid w:val="194818B4"/>
    <w:rsid w:val="195828F6"/>
    <w:rsid w:val="195C2DAE"/>
    <w:rsid w:val="196846B9"/>
    <w:rsid w:val="197949FD"/>
    <w:rsid w:val="1979599D"/>
    <w:rsid w:val="19A65C35"/>
    <w:rsid w:val="19A86CE9"/>
    <w:rsid w:val="19B579D5"/>
    <w:rsid w:val="19C72EE6"/>
    <w:rsid w:val="19CA559D"/>
    <w:rsid w:val="19D55685"/>
    <w:rsid w:val="19D63097"/>
    <w:rsid w:val="19D63F3D"/>
    <w:rsid w:val="19E26679"/>
    <w:rsid w:val="19FC3D38"/>
    <w:rsid w:val="1A0D2A4A"/>
    <w:rsid w:val="1A22040D"/>
    <w:rsid w:val="1A2F6045"/>
    <w:rsid w:val="1A400204"/>
    <w:rsid w:val="1A4C2D0F"/>
    <w:rsid w:val="1A5F6468"/>
    <w:rsid w:val="1A66082C"/>
    <w:rsid w:val="1A685EB8"/>
    <w:rsid w:val="1A6A1556"/>
    <w:rsid w:val="1A80431D"/>
    <w:rsid w:val="1A817DEA"/>
    <w:rsid w:val="1A8B7BFC"/>
    <w:rsid w:val="1A977783"/>
    <w:rsid w:val="1A994D33"/>
    <w:rsid w:val="1A9E4B47"/>
    <w:rsid w:val="1ABE7DC8"/>
    <w:rsid w:val="1AD35B55"/>
    <w:rsid w:val="1AD928F8"/>
    <w:rsid w:val="1B440441"/>
    <w:rsid w:val="1B571741"/>
    <w:rsid w:val="1B6F33E5"/>
    <w:rsid w:val="1B7F2276"/>
    <w:rsid w:val="1B871004"/>
    <w:rsid w:val="1B963FA6"/>
    <w:rsid w:val="1B9734BC"/>
    <w:rsid w:val="1B9B5BFE"/>
    <w:rsid w:val="1BA94E24"/>
    <w:rsid w:val="1BAD2DBB"/>
    <w:rsid w:val="1BB362E2"/>
    <w:rsid w:val="1BB37A2A"/>
    <w:rsid w:val="1BBA15EF"/>
    <w:rsid w:val="1BC162E8"/>
    <w:rsid w:val="1BC27142"/>
    <w:rsid w:val="1BD47A17"/>
    <w:rsid w:val="1BD83779"/>
    <w:rsid w:val="1C000FBC"/>
    <w:rsid w:val="1C010D1D"/>
    <w:rsid w:val="1C033570"/>
    <w:rsid w:val="1C154BFE"/>
    <w:rsid w:val="1C282F6F"/>
    <w:rsid w:val="1C357448"/>
    <w:rsid w:val="1C37427B"/>
    <w:rsid w:val="1C3B4A23"/>
    <w:rsid w:val="1C3C4D04"/>
    <w:rsid w:val="1C47767C"/>
    <w:rsid w:val="1C4F709D"/>
    <w:rsid w:val="1C57773B"/>
    <w:rsid w:val="1C69002D"/>
    <w:rsid w:val="1C762B3D"/>
    <w:rsid w:val="1C8D776B"/>
    <w:rsid w:val="1CA0383F"/>
    <w:rsid w:val="1CB21A03"/>
    <w:rsid w:val="1CCC1EBA"/>
    <w:rsid w:val="1CFB7BD4"/>
    <w:rsid w:val="1D1D1A05"/>
    <w:rsid w:val="1D1D4E2E"/>
    <w:rsid w:val="1D272B36"/>
    <w:rsid w:val="1D52669D"/>
    <w:rsid w:val="1D5E4918"/>
    <w:rsid w:val="1D8645B5"/>
    <w:rsid w:val="1D9A259A"/>
    <w:rsid w:val="1D9D725D"/>
    <w:rsid w:val="1DBB1C42"/>
    <w:rsid w:val="1DE103FA"/>
    <w:rsid w:val="1DE72F8B"/>
    <w:rsid w:val="1DF41671"/>
    <w:rsid w:val="1E102DDA"/>
    <w:rsid w:val="1E1F7ED7"/>
    <w:rsid w:val="1E2E6377"/>
    <w:rsid w:val="1E3104EB"/>
    <w:rsid w:val="1E37446D"/>
    <w:rsid w:val="1E464E05"/>
    <w:rsid w:val="1E6D128D"/>
    <w:rsid w:val="1E722C69"/>
    <w:rsid w:val="1E821BFB"/>
    <w:rsid w:val="1E82375A"/>
    <w:rsid w:val="1E9B0CC0"/>
    <w:rsid w:val="1EB072B1"/>
    <w:rsid w:val="1EB50BBD"/>
    <w:rsid w:val="1EB51D82"/>
    <w:rsid w:val="1EC06BEC"/>
    <w:rsid w:val="1EC935E4"/>
    <w:rsid w:val="1ED32B20"/>
    <w:rsid w:val="1F5B5733"/>
    <w:rsid w:val="1F5F2F92"/>
    <w:rsid w:val="1F677541"/>
    <w:rsid w:val="1F6F5384"/>
    <w:rsid w:val="1F8574CF"/>
    <w:rsid w:val="1F894C50"/>
    <w:rsid w:val="1FA31C4E"/>
    <w:rsid w:val="1FA75925"/>
    <w:rsid w:val="1FAA1EEE"/>
    <w:rsid w:val="1FB20C2C"/>
    <w:rsid w:val="1FCD35E0"/>
    <w:rsid w:val="1FD02EE8"/>
    <w:rsid w:val="1FD2597E"/>
    <w:rsid w:val="1FD47D67"/>
    <w:rsid w:val="1FDD3AC3"/>
    <w:rsid w:val="1FF13814"/>
    <w:rsid w:val="1FF20FA0"/>
    <w:rsid w:val="1FFF6B0A"/>
    <w:rsid w:val="2004034F"/>
    <w:rsid w:val="200B13E8"/>
    <w:rsid w:val="201E1EB2"/>
    <w:rsid w:val="203F0AAD"/>
    <w:rsid w:val="2044159C"/>
    <w:rsid w:val="20492558"/>
    <w:rsid w:val="20560B41"/>
    <w:rsid w:val="205E38F0"/>
    <w:rsid w:val="2075089D"/>
    <w:rsid w:val="20786659"/>
    <w:rsid w:val="208070AE"/>
    <w:rsid w:val="20AA0500"/>
    <w:rsid w:val="20AD3BEB"/>
    <w:rsid w:val="21003493"/>
    <w:rsid w:val="210920EF"/>
    <w:rsid w:val="210F5BFE"/>
    <w:rsid w:val="21392153"/>
    <w:rsid w:val="213D3995"/>
    <w:rsid w:val="213E63DA"/>
    <w:rsid w:val="21514B5B"/>
    <w:rsid w:val="215A3C30"/>
    <w:rsid w:val="21633E94"/>
    <w:rsid w:val="21646BDA"/>
    <w:rsid w:val="217F7026"/>
    <w:rsid w:val="21992531"/>
    <w:rsid w:val="21A32342"/>
    <w:rsid w:val="21A4757C"/>
    <w:rsid w:val="21BD7A67"/>
    <w:rsid w:val="21D132BC"/>
    <w:rsid w:val="21F0010E"/>
    <w:rsid w:val="22041B8C"/>
    <w:rsid w:val="221D1804"/>
    <w:rsid w:val="221E460B"/>
    <w:rsid w:val="222E1B58"/>
    <w:rsid w:val="2253337B"/>
    <w:rsid w:val="22753104"/>
    <w:rsid w:val="2278053A"/>
    <w:rsid w:val="22A50CDA"/>
    <w:rsid w:val="22A5231E"/>
    <w:rsid w:val="22C54964"/>
    <w:rsid w:val="22C766FC"/>
    <w:rsid w:val="22DE7B73"/>
    <w:rsid w:val="22E76AE9"/>
    <w:rsid w:val="22F310EC"/>
    <w:rsid w:val="230B3186"/>
    <w:rsid w:val="231B447E"/>
    <w:rsid w:val="232A7F55"/>
    <w:rsid w:val="2340785C"/>
    <w:rsid w:val="2363312E"/>
    <w:rsid w:val="236E7FC9"/>
    <w:rsid w:val="23704814"/>
    <w:rsid w:val="237A12F2"/>
    <w:rsid w:val="237F3F46"/>
    <w:rsid w:val="23A835D3"/>
    <w:rsid w:val="23DF4103"/>
    <w:rsid w:val="23E80019"/>
    <w:rsid w:val="24055FBC"/>
    <w:rsid w:val="240C3B19"/>
    <w:rsid w:val="241271DB"/>
    <w:rsid w:val="242F013F"/>
    <w:rsid w:val="24381601"/>
    <w:rsid w:val="24873705"/>
    <w:rsid w:val="24944FF6"/>
    <w:rsid w:val="2498033F"/>
    <w:rsid w:val="249C22E1"/>
    <w:rsid w:val="24BB0D8A"/>
    <w:rsid w:val="24E27A2C"/>
    <w:rsid w:val="24E52C95"/>
    <w:rsid w:val="24FD3B3B"/>
    <w:rsid w:val="25034EC9"/>
    <w:rsid w:val="25050981"/>
    <w:rsid w:val="251E464F"/>
    <w:rsid w:val="25493364"/>
    <w:rsid w:val="254F7A0F"/>
    <w:rsid w:val="255C378E"/>
    <w:rsid w:val="258A22CD"/>
    <w:rsid w:val="258C2F14"/>
    <w:rsid w:val="25937F25"/>
    <w:rsid w:val="259C58FE"/>
    <w:rsid w:val="25AF5084"/>
    <w:rsid w:val="25B152B5"/>
    <w:rsid w:val="25B862D0"/>
    <w:rsid w:val="25CB3A81"/>
    <w:rsid w:val="25D02C7B"/>
    <w:rsid w:val="25F9257C"/>
    <w:rsid w:val="26082373"/>
    <w:rsid w:val="262C5C6D"/>
    <w:rsid w:val="26431A21"/>
    <w:rsid w:val="265D48E5"/>
    <w:rsid w:val="265D5A85"/>
    <w:rsid w:val="266F480A"/>
    <w:rsid w:val="26755724"/>
    <w:rsid w:val="267D1FC5"/>
    <w:rsid w:val="26805560"/>
    <w:rsid w:val="26851044"/>
    <w:rsid w:val="26A24E49"/>
    <w:rsid w:val="26A71D59"/>
    <w:rsid w:val="26C14A80"/>
    <w:rsid w:val="26CA79B1"/>
    <w:rsid w:val="26E36DA9"/>
    <w:rsid w:val="26F81581"/>
    <w:rsid w:val="27005530"/>
    <w:rsid w:val="270D444F"/>
    <w:rsid w:val="271916C3"/>
    <w:rsid w:val="273A24AE"/>
    <w:rsid w:val="27456DDA"/>
    <w:rsid w:val="274704F7"/>
    <w:rsid w:val="274D564A"/>
    <w:rsid w:val="27506187"/>
    <w:rsid w:val="27512C81"/>
    <w:rsid w:val="27591CFC"/>
    <w:rsid w:val="27684747"/>
    <w:rsid w:val="276F63C2"/>
    <w:rsid w:val="276F6648"/>
    <w:rsid w:val="27703BAC"/>
    <w:rsid w:val="27816204"/>
    <w:rsid w:val="278909E9"/>
    <w:rsid w:val="278D77E9"/>
    <w:rsid w:val="27900E5F"/>
    <w:rsid w:val="27B039C8"/>
    <w:rsid w:val="27CB356E"/>
    <w:rsid w:val="27DB14E9"/>
    <w:rsid w:val="27E63708"/>
    <w:rsid w:val="27F95DF6"/>
    <w:rsid w:val="27FC68FC"/>
    <w:rsid w:val="28015AEC"/>
    <w:rsid w:val="280653FC"/>
    <w:rsid w:val="280B7F29"/>
    <w:rsid w:val="281F6326"/>
    <w:rsid w:val="28242737"/>
    <w:rsid w:val="28252058"/>
    <w:rsid w:val="283852CA"/>
    <w:rsid w:val="284101E2"/>
    <w:rsid w:val="286769BB"/>
    <w:rsid w:val="286D7EFB"/>
    <w:rsid w:val="286F6445"/>
    <w:rsid w:val="28710571"/>
    <w:rsid w:val="2880029E"/>
    <w:rsid w:val="28872154"/>
    <w:rsid w:val="288C3CA7"/>
    <w:rsid w:val="28AD4E25"/>
    <w:rsid w:val="28AE4ED6"/>
    <w:rsid w:val="28B214EF"/>
    <w:rsid w:val="28D74821"/>
    <w:rsid w:val="28E904BC"/>
    <w:rsid w:val="28F8088B"/>
    <w:rsid w:val="290D4165"/>
    <w:rsid w:val="291E414A"/>
    <w:rsid w:val="292661E0"/>
    <w:rsid w:val="292B0284"/>
    <w:rsid w:val="29326F94"/>
    <w:rsid w:val="293A5C24"/>
    <w:rsid w:val="29496672"/>
    <w:rsid w:val="29704239"/>
    <w:rsid w:val="297F5466"/>
    <w:rsid w:val="29851753"/>
    <w:rsid w:val="299710B2"/>
    <w:rsid w:val="29AB69C8"/>
    <w:rsid w:val="29C03002"/>
    <w:rsid w:val="29C341ED"/>
    <w:rsid w:val="29C45DAA"/>
    <w:rsid w:val="29D17C06"/>
    <w:rsid w:val="29D3340F"/>
    <w:rsid w:val="29E13C7C"/>
    <w:rsid w:val="29E26806"/>
    <w:rsid w:val="29F4710C"/>
    <w:rsid w:val="29FF0B07"/>
    <w:rsid w:val="2A0E00CA"/>
    <w:rsid w:val="2A1A11E8"/>
    <w:rsid w:val="2A2D064F"/>
    <w:rsid w:val="2A361B30"/>
    <w:rsid w:val="2A497078"/>
    <w:rsid w:val="2A4B3C6C"/>
    <w:rsid w:val="2A615D77"/>
    <w:rsid w:val="2A630D17"/>
    <w:rsid w:val="2A6A6763"/>
    <w:rsid w:val="2A74726B"/>
    <w:rsid w:val="2A791B21"/>
    <w:rsid w:val="2A87357D"/>
    <w:rsid w:val="2A8B5FC9"/>
    <w:rsid w:val="2AA5169E"/>
    <w:rsid w:val="2AE57AC4"/>
    <w:rsid w:val="2AED38FF"/>
    <w:rsid w:val="2AF13218"/>
    <w:rsid w:val="2AFD3174"/>
    <w:rsid w:val="2B344142"/>
    <w:rsid w:val="2B364526"/>
    <w:rsid w:val="2B3F4CDB"/>
    <w:rsid w:val="2B475678"/>
    <w:rsid w:val="2B5406EA"/>
    <w:rsid w:val="2B5934AE"/>
    <w:rsid w:val="2B626BBA"/>
    <w:rsid w:val="2B6A7E50"/>
    <w:rsid w:val="2B7A5423"/>
    <w:rsid w:val="2B853CF9"/>
    <w:rsid w:val="2B914B5D"/>
    <w:rsid w:val="2BA724C0"/>
    <w:rsid w:val="2BA9469B"/>
    <w:rsid w:val="2BDC3546"/>
    <w:rsid w:val="2BE529C4"/>
    <w:rsid w:val="2BF3579D"/>
    <w:rsid w:val="2BF544D2"/>
    <w:rsid w:val="2C071743"/>
    <w:rsid w:val="2C146A13"/>
    <w:rsid w:val="2C1B3CAB"/>
    <w:rsid w:val="2C3D1CE0"/>
    <w:rsid w:val="2C9E0649"/>
    <w:rsid w:val="2CAD5B1F"/>
    <w:rsid w:val="2CB571FD"/>
    <w:rsid w:val="2CD17CCF"/>
    <w:rsid w:val="2CDD7171"/>
    <w:rsid w:val="2CF81347"/>
    <w:rsid w:val="2D15396B"/>
    <w:rsid w:val="2D1C517B"/>
    <w:rsid w:val="2D2824B2"/>
    <w:rsid w:val="2D346567"/>
    <w:rsid w:val="2D355A17"/>
    <w:rsid w:val="2D4A2F3A"/>
    <w:rsid w:val="2D6138B7"/>
    <w:rsid w:val="2D666BF9"/>
    <w:rsid w:val="2D833B32"/>
    <w:rsid w:val="2D896548"/>
    <w:rsid w:val="2D8C1F00"/>
    <w:rsid w:val="2D917EAF"/>
    <w:rsid w:val="2DA466A1"/>
    <w:rsid w:val="2DB0030F"/>
    <w:rsid w:val="2DCA0BF2"/>
    <w:rsid w:val="2DD02FC8"/>
    <w:rsid w:val="2DE55A1E"/>
    <w:rsid w:val="2E002321"/>
    <w:rsid w:val="2E1C647D"/>
    <w:rsid w:val="2E21526E"/>
    <w:rsid w:val="2E2F2C62"/>
    <w:rsid w:val="2E3C37AA"/>
    <w:rsid w:val="2E3F37FA"/>
    <w:rsid w:val="2E414B35"/>
    <w:rsid w:val="2E4A1CAE"/>
    <w:rsid w:val="2E580F8F"/>
    <w:rsid w:val="2E7F07D9"/>
    <w:rsid w:val="2E8639C6"/>
    <w:rsid w:val="2EB4659A"/>
    <w:rsid w:val="2EB81807"/>
    <w:rsid w:val="2EC47A74"/>
    <w:rsid w:val="2ECC4AEA"/>
    <w:rsid w:val="2ED9015F"/>
    <w:rsid w:val="2EDB7001"/>
    <w:rsid w:val="2F0A4589"/>
    <w:rsid w:val="2F0E192E"/>
    <w:rsid w:val="2F57384E"/>
    <w:rsid w:val="2F5E5535"/>
    <w:rsid w:val="2F7A5F65"/>
    <w:rsid w:val="2F7F38EF"/>
    <w:rsid w:val="2F841DC0"/>
    <w:rsid w:val="2FAB044B"/>
    <w:rsid w:val="2FCF606D"/>
    <w:rsid w:val="2FDD7AA8"/>
    <w:rsid w:val="2FDF05E9"/>
    <w:rsid w:val="302A451F"/>
    <w:rsid w:val="302E0A39"/>
    <w:rsid w:val="30407780"/>
    <w:rsid w:val="30440B98"/>
    <w:rsid w:val="30587B21"/>
    <w:rsid w:val="305A76AB"/>
    <w:rsid w:val="305C2C5A"/>
    <w:rsid w:val="307E6D25"/>
    <w:rsid w:val="30841252"/>
    <w:rsid w:val="30AE5D9B"/>
    <w:rsid w:val="30BD5A46"/>
    <w:rsid w:val="30C670C4"/>
    <w:rsid w:val="30CA166B"/>
    <w:rsid w:val="30E87423"/>
    <w:rsid w:val="30ED1101"/>
    <w:rsid w:val="30F72E6E"/>
    <w:rsid w:val="30F857B9"/>
    <w:rsid w:val="31170894"/>
    <w:rsid w:val="31382575"/>
    <w:rsid w:val="313A36E5"/>
    <w:rsid w:val="314F6742"/>
    <w:rsid w:val="31554AE7"/>
    <w:rsid w:val="315C7F7F"/>
    <w:rsid w:val="31716284"/>
    <w:rsid w:val="31785A4E"/>
    <w:rsid w:val="31B76FE1"/>
    <w:rsid w:val="31BC7ECB"/>
    <w:rsid w:val="31CF2D29"/>
    <w:rsid w:val="31E1697E"/>
    <w:rsid w:val="31E82675"/>
    <w:rsid w:val="31FE41EC"/>
    <w:rsid w:val="32157CE1"/>
    <w:rsid w:val="321E6DA8"/>
    <w:rsid w:val="3236068C"/>
    <w:rsid w:val="323A4620"/>
    <w:rsid w:val="324139A8"/>
    <w:rsid w:val="32430512"/>
    <w:rsid w:val="3255551B"/>
    <w:rsid w:val="325869D8"/>
    <w:rsid w:val="326D7BCF"/>
    <w:rsid w:val="327A6BD0"/>
    <w:rsid w:val="32832ED6"/>
    <w:rsid w:val="329862E4"/>
    <w:rsid w:val="32A84D91"/>
    <w:rsid w:val="32AB0577"/>
    <w:rsid w:val="32AC1117"/>
    <w:rsid w:val="32C31B6B"/>
    <w:rsid w:val="32D45531"/>
    <w:rsid w:val="32D96982"/>
    <w:rsid w:val="32E521E0"/>
    <w:rsid w:val="33050AAD"/>
    <w:rsid w:val="33116608"/>
    <w:rsid w:val="332130EA"/>
    <w:rsid w:val="332C3F79"/>
    <w:rsid w:val="33392236"/>
    <w:rsid w:val="334530F3"/>
    <w:rsid w:val="335A2AA0"/>
    <w:rsid w:val="335D05C1"/>
    <w:rsid w:val="336626ED"/>
    <w:rsid w:val="336E02D4"/>
    <w:rsid w:val="337D11D0"/>
    <w:rsid w:val="33861D25"/>
    <w:rsid w:val="33C32064"/>
    <w:rsid w:val="33C96CCF"/>
    <w:rsid w:val="33D1513C"/>
    <w:rsid w:val="33D56AE0"/>
    <w:rsid w:val="33E136A3"/>
    <w:rsid w:val="33E97899"/>
    <w:rsid w:val="33EF1DDB"/>
    <w:rsid w:val="33F30E32"/>
    <w:rsid w:val="33F85143"/>
    <w:rsid w:val="340505DC"/>
    <w:rsid w:val="34052A0C"/>
    <w:rsid w:val="341E6594"/>
    <w:rsid w:val="342041F4"/>
    <w:rsid w:val="34270AC1"/>
    <w:rsid w:val="342927FC"/>
    <w:rsid w:val="3431787C"/>
    <w:rsid w:val="343F154C"/>
    <w:rsid w:val="344469FD"/>
    <w:rsid w:val="34562F70"/>
    <w:rsid w:val="34655231"/>
    <w:rsid w:val="347E3539"/>
    <w:rsid w:val="34830369"/>
    <w:rsid w:val="349E1AAD"/>
    <w:rsid w:val="34D96D0B"/>
    <w:rsid w:val="34DB48B8"/>
    <w:rsid w:val="34F256DC"/>
    <w:rsid w:val="34FC3C8F"/>
    <w:rsid w:val="350D407B"/>
    <w:rsid w:val="35211422"/>
    <w:rsid w:val="354503F4"/>
    <w:rsid w:val="35453CE8"/>
    <w:rsid w:val="35785C1F"/>
    <w:rsid w:val="35841377"/>
    <w:rsid w:val="358F1EC3"/>
    <w:rsid w:val="359A09ED"/>
    <w:rsid w:val="35AA1BCA"/>
    <w:rsid w:val="35AD29E0"/>
    <w:rsid w:val="35B33563"/>
    <w:rsid w:val="35BC4AB2"/>
    <w:rsid w:val="35E936E6"/>
    <w:rsid w:val="35EB0A3D"/>
    <w:rsid w:val="35F22391"/>
    <w:rsid w:val="35FA1982"/>
    <w:rsid w:val="35FE2F69"/>
    <w:rsid w:val="360C3486"/>
    <w:rsid w:val="36340C95"/>
    <w:rsid w:val="36441F53"/>
    <w:rsid w:val="364C0351"/>
    <w:rsid w:val="367E53BD"/>
    <w:rsid w:val="368559A2"/>
    <w:rsid w:val="36965FE1"/>
    <w:rsid w:val="36966BC7"/>
    <w:rsid w:val="36995CF0"/>
    <w:rsid w:val="36B15DF4"/>
    <w:rsid w:val="36B2752D"/>
    <w:rsid w:val="36C070E9"/>
    <w:rsid w:val="36D121F1"/>
    <w:rsid w:val="37163C53"/>
    <w:rsid w:val="37237201"/>
    <w:rsid w:val="37266331"/>
    <w:rsid w:val="37383C9E"/>
    <w:rsid w:val="37427AD3"/>
    <w:rsid w:val="375A58F9"/>
    <w:rsid w:val="375D0C35"/>
    <w:rsid w:val="376D0505"/>
    <w:rsid w:val="376D4567"/>
    <w:rsid w:val="37873738"/>
    <w:rsid w:val="37965470"/>
    <w:rsid w:val="37A058ED"/>
    <w:rsid w:val="37AB26BC"/>
    <w:rsid w:val="37B07E7F"/>
    <w:rsid w:val="37B1241A"/>
    <w:rsid w:val="37D56240"/>
    <w:rsid w:val="37E1109A"/>
    <w:rsid w:val="37E17558"/>
    <w:rsid w:val="37F609F5"/>
    <w:rsid w:val="37FA215C"/>
    <w:rsid w:val="38142EE2"/>
    <w:rsid w:val="382D35E2"/>
    <w:rsid w:val="38640B23"/>
    <w:rsid w:val="38682E90"/>
    <w:rsid w:val="38686BAC"/>
    <w:rsid w:val="386F2B4A"/>
    <w:rsid w:val="387F6F98"/>
    <w:rsid w:val="38890DD2"/>
    <w:rsid w:val="388F12E3"/>
    <w:rsid w:val="38A914AA"/>
    <w:rsid w:val="38AB470E"/>
    <w:rsid w:val="38AC2771"/>
    <w:rsid w:val="38B22C79"/>
    <w:rsid w:val="38C966C7"/>
    <w:rsid w:val="38CD71D1"/>
    <w:rsid w:val="38CF1737"/>
    <w:rsid w:val="38D90FB1"/>
    <w:rsid w:val="38DE0EB2"/>
    <w:rsid w:val="38EA7352"/>
    <w:rsid w:val="38EE54CC"/>
    <w:rsid w:val="391477F6"/>
    <w:rsid w:val="393001B1"/>
    <w:rsid w:val="3937628D"/>
    <w:rsid w:val="395154C0"/>
    <w:rsid w:val="397054D7"/>
    <w:rsid w:val="397131B7"/>
    <w:rsid w:val="3992274D"/>
    <w:rsid w:val="399536EF"/>
    <w:rsid w:val="399B3DDA"/>
    <w:rsid w:val="39C616EE"/>
    <w:rsid w:val="39CE69AB"/>
    <w:rsid w:val="39D178FD"/>
    <w:rsid w:val="39D20836"/>
    <w:rsid w:val="39E55C79"/>
    <w:rsid w:val="39F529BD"/>
    <w:rsid w:val="39FC3CDD"/>
    <w:rsid w:val="3A0E4A66"/>
    <w:rsid w:val="3A0F5041"/>
    <w:rsid w:val="3A3616B3"/>
    <w:rsid w:val="3A4458BD"/>
    <w:rsid w:val="3A465939"/>
    <w:rsid w:val="3A49697E"/>
    <w:rsid w:val="3A57248F"/>
    <w:rsid w:val="3A5930B4"/>
    <w:rsid w:val="3A770A2A"/>
    <w:rsid w:val="3A802BF5"/>
    <w:rsid w:val="3A9A21E4"/>
    <w:rsid w:val="3AAA1FCB"/>
    <w:rsid w:val="3AAD114A"/>
    <w:rsid w:val="3AC22C8F"/>
    <w:rsid w:val="3AE1101C"/>
    <w:rsid w:val="3AEA1F24"/>
    <w:rsid w:val="3B35287A"/>
    <w:rsid w:val="3B401F9F"/>
    <w:rsid w:val="3B596F6F"/>
    <w:rsid w:val="3B703203"/>
    <w:rsid w:val="3B754CFB"/>
    <w:rsid w:val="3B7823A5"/>
    <w:rsid w:val="3B8B4B82"/>
    <w:rsid w:val="3B91770A"/>
    <w:rsid w:val="3B951E85"/>
    <w:rsid w:val="3B967E52"/>
    <w:rsid w:val="3BB56FEB"/>
    <w:rsid w:val="3BB8683C"/>
    <w:rsid w:val="3BD76595"/>
    <w:rsid w:val="3BF03DD8"/>
    <w:rsid w:val="3C09606D"/>
    <w:rsid w:val="3C1C1508"/>
    <w:rsid w:val="3C266A0E"/>
    <w:rsid w:val="3C404ADE"/>
    <w:rsid w:val="3C4C47B5"/>
    <w:rsid w:val="3C4D6189"/>
    <w:rsid w:val="3C522566"/>
    <w:rsid w:val="3C85139E"/>
    <w:rsid w:val="3C8E7AB6"/>
    <w:rsid w:val="3CA337CC"/>
    <w:rsid w:val="3CB30A45"/>
    <w:rsid w:val="3CBE19AA"/>
    <w:rsid w:val="3CC76E43"/>
    <w:rsid w:val="3CC84549"/>
    <w:rsid w:val="3CF43DFA"/>
    <w:rsid w:val="3D080961"/>
    <w:rsid w:val="3D2321D5"/>
    <w:rsid w:val="3D631D18"/>
    <w:rsid w:val="3D8623B5"/>
    <w:rsid w:val="3D9B0FF3"/>
    <w:rsid w:val="3D9E12A1"/>
    <w:rsid w:val="3DAD274F"/>
    <w:rsid w:val="3DB836BF"/>
    <w:rsid w:val="3DBF54D1"/>
    <w:rsid w:val="3DCD3FB6"/>
    <w:rsid w:val="3DD0070F"/>
    <w:rsid w:val="3DD0314B"/>
    <w:rsid w:val="3DD24540"/>
    <w:rsid w:val="3DE40AF2"/>
    <w:rsid w:val="3DE9158C"/>
    <w:rsid w:val="3DFA21F0"/>
    <w:rsid w:val="3DFF6D97"/>
    <w:rsid w:val="3E0A6273"/>
    <w:rsid w:val="3E1C72D0"/>
    <w:rsid w:val="3E217778"/>
    <w:rsid w:val="3E4C2268"/>
    <w:rsid w:val="3E5553EF"/>
    <w:rsid w:val="3E5D2E08"/>
    <w:rsid w:val="3E65120B"/>
    <w:rsid w:val="3E6825AB"/>
    <w:rsid w:val="3E7338E1"/>
    <w:rsid w:val="3E990BCE"/>
    <w:rsid w:val="3EA74100"/>
    <w:rsid w:val="3EB3242B"/>
    <w:rsid w:val="3EC4153C"/>
    <w:rsid w:val="3ED42521"/>
    <w:rsid w:val="3ED71CC0"/>
    <w:rsid w:val="3F0C16B6"/>
    <w:rsid w:val="3F373E09"/>
    <w:rsid w:val="3F396430"/>
    <w:rsid w:val="3F3D51AB"/>
    <w:rsid w:val="3F46049A"/>
    <w:rsid w:val="3F483449"/>
    <w:rsid w:val="3F4C559B"/>
    <w:rsid w:val="3F6C2C96"/>
    <w:rsid w:val="3F80503B"/>
    <w:rsid w:val="3F8C483D"/>
    <w:rsid w:val="3F8F7D75"/>
    <w:rsid w:val="3F9738B9"/>
    <w:rsid w:val="3FA91189"/>
    <w:rsid w:val="3FB54320"/>
    <w:rsid w:val="3FD40286"/>
    <w:rsid w:val="3FD85B95"/>
    <w:rsid w:val="3FE1730C"/>
    <w:rsid w:val="3FF178F9"/>
    <w:rsid w:val="3FF611F8"/>
    <w:rsid w:val="40006203"/>
    <w:rsid w:val="401A0A3D"/>
    <w:rsid w:val="402B697A"/>
    <w:rsid w:val="402E0D38"/>
    <w:rsid w:val="404439DB"/>
    <w:rsid w:val="40457334"/>
    <w:rsid w:val="404A1C06"/>
    <w:rsid w:val="40517ED9"/>
    <w:rsid w:val="405E6311"/>
    <w:rsid w:val="40713C8B"/>
    <w:rsid w:val="40805696"/>
    <w:rsid w:val="408353E4"/>
    <w:rsid w:val="40945BD7"/>
    <w:rsid w:val="409F5F96"/>
    <w:rsid w:val="40A0732B"/>
    <w:rsid w:val="40BE0ADD"/>
    <w:rsid w:val="40BF4E0B"/>
    <w:rsid w:val="40C07E55"/>
    <w:rsid w:val="40C329EE"/>
    <w:rsid w:val="40CD3EC6"/>
    <w:rsid w:val="410127AD"/>
    <w:rsid w:val="410406EE"/>
    <w:rsid w:val="411A2CA9"/>
    <w:rsid w:val="411C1CDD"/>
    <w:rsid w:val="411F3D3C"/>
    <w:rsid w:val="41291087"/>
    <w:rsid w:val="4159217C"/>
    <w:rsid w:val="41601C98"/>
    <w:rsid w:val="417F3C04"/>
    <w:rsid w:val="41813302"/>
    <w:rsid w:val="418A2F70"/>
    <w:rsid w:val="41963683"/>
    <w:rsid w:val="41B33AA7"/>
    <w:rsid w:val="41BD7303"/>
    <w:rsid w:val="41C14E8F"/>
    <w:rsid w:val="42154867"/>
    <w:rsid w:val="421D3B80"/>
    <w:rsid w:val="421E197A"/>
    <w:rsid w:val="423D1EF4"/>
    <w:rsid w:val="425032DF"/>
    <w:rsid w:val="42553004"/>
    <w:rsid w:val="428B1BDB"/>
    <w:rsid w:val="428E0BC9"/>
    <w:rsid w:val="429121FE"/>
    <w:rsid w:val="42E6012C"/>
    <w:rsid w:val="42E63401"/>
    <w:rsid w:val="42F33C51"/>
    <w:rsid w:val="4324415B"/>
    <w:rsid w:val="432B2BDD"/>
    <w:rsid w:val="433A1A8F"/>
    <w:rsid w:val="433B24A0"/>
    <w:rsid w:val="434C6777"/>
    <w:rsid w:val="43676B3B"/>
    <w:rsid w:val="438172BC"/>
    <w:rsid w:val="438D7205"/>
    <w:rsid w:val="43A31501"/>
    <w:rsid w:val="43A51A0F"/>
    <w:rsid w:val="43A63ED9"/>
    <w:rsid w:val="43AD4526"/>
    <w:rsid w:val="43CA4ED5"/>
    <w:rsid w:val="43D3039E"/>
    <w:rsid w:val="440F5CB7"/>
    <w:rsid w:val="4410164C"/>
    <w:rsid w:val="4421190E"/>
    <w:rsid w:val="44387A96"/>
    <w:rsid w:val="443F6059"/>
    <w:rsid w:val="4440389E"/>
    <w:rsid w:val="44404FD8"/>
    <w:rsid w:val="44467B33"/>
    <w:rsid w:val="44471594"/>
    <w:rsid w:val="44507687"/>
    <w:rsid w:val="446108C6"/>
    <w:rsid w:val="448B2AB9"/>
    <w:rsid w:val="44983E14"/>
    <w:rsid w:val="44D101C0"/>
    <w:rsid w:val="44D37D84"/>
    <w:rsid w:val="44DC279E"/>
    <w:rsid w:val="44E7070D"/>
    <w:rsid w:val="44E96140"/>
    <w:rsid w:val="44FC4AEF"/>
    <w:rsid w:val="45062140"/>
    <w:rsid w:val="45151EC2"/>
    <w:rsid w:val="45176235"/>
    <w:rsid w:val="452D6EC8"/>
    <w:rsid w:val="452E7CA8"/>
    <w:rsid w:val="453533CB"/>
    <w:rsid w:val="4548375E"/>
    <w:rsid w:val="454C3C2C"/>
    <w:rsid w:val="455D6C0E"/>
    <w:rsid w:val="456237E3"/>
    <w:rsid w:val="45646473"/>
    <w:rsid w:val="45674650"/>
    <w:rsid w:val="45791EB3"/>
    <w:rsid w:val="458F1616"/>
    <w:rsid w:val="45996092"/>
    <w:rsid w:val="45A20D7F"/>
    <w:rsid w:val="45A52990"/>
    <w:rsid w:val="45A96BB7"/>
    <w:rsid w:val="45B70AB6"/>
    <w:rsid w:val="45BE1896"/>
    <w:rsid w:val="45C374F7"/>
    <w:rsid w:val="45CC00BF"/>
    <w:rsid w:val="45CF5588"/>
    <w:rsid w:val="45FD2A9F"/>
    <w:rsid w:val="46185997"/>
    <w:rsid w:val="463203C1"/>
    <w:rsid w:val="46480C46"/>
    <w:rsid w:val="464E5B22"/>
    <w:rsid w:val="465719BA"/>
    <w:rsid w:val="46591D60"/>
    <w:rsid w:val="466A2D2D"/>
    <w:rsid w:val="46854D6F"/>
    <w:rsid w:val="46B179A3"/>
    <w:rsid w:val="46B2658C"/>
    <w:rsid w:val="46C53057"/>
    <w:rsid w:val="46C7182E"/>
    <w:rsid w:val="46D11945"/>
    <w:rsid w:val="46D24AB3"/>
    <w:rsid w:val="46DD13C5"/>
    <w:rsid w:val="46DD6135"/>
    <w:rsid w:val="46EB56BB"/>
    <w:rsid w:val="470D6DF4"/>
    <w:rsid w:val="47117BC0"/>
    <w:rsid w:val="471609FC"/>
    <w:rsid w:val="473F2635"/>
    <w:rsid w:val="4753398A"/>
    <w:rsid w:val="47537F64"/>
    <w:rsid w:val="4761203F"/>
    <w:rsid w:val="476676F8"/>
    <w:rsid w:val="477E441C"/>
    <w:rsid w:val="477E64CE"/>
    <w:rsid w:val="478A2625"/>
    <w:rsid w:val="478D0FC4"/>
    <w:rsid w:val="47995509"/>
    <w:rsid w:val="479C6266"/>
    <w:rsid w:val="47BA075C"/>
    <w:rsid w:val="47BE498F"/>
    <w:rsid w:val="47BE6D02"/>
    <w:rsid w:val="47CF6EED"/>
    <w:rsid w:val="47DA3EE6"/>
    <w:rsid w:val="47E80D20"/>
    <w:rsid w:val="47F66132"/>
    <w:rsid w:val="47FE205C"/>
    <w:rsid w:val="48064ED6"/>
    <w:rsid w:val="48286180"/>
    <w:rsid w:val="484322A9"/>
    <w:rsid w:val="4843730A"/>
    <w:rsid w:val="484E10BE"/>
    <w:rsid w:val="485F529B"/>
    <w:rsid w:val="48662799"/>
    <w:rsid w:val="48701142"/>
    <w:rsid w:val="487B4BF3"/>
    <w:rsid w:val="48897354"/>
    <w:rsid w:val="48945E7F"/>
    <w:rsid w:val="489770C9"/>
    <w:rsid w:val="48CB623B"/>
    <w:rsid w:val="48D11CFD"/>
    <w:rsid w:val="48EC2987"/>
    <w:rsid w:val="49097795"/>
    <w:rsid w:val="490D0375"/>
    <w:rsid w:val="490F4371"/>
    <w:rsid w:val="492D2391"/>
    <w:rsid w:val="493059FB"/>
    <w:rsid w:val="4953099D"/>
    <w:rsid w:val="495D5A00"/>
    <w:rsid w:val="49656C49"/>
    <w:rsid w:val="496B2EB9"/>
    <w:rsid w:val="4989236D"/>
    <w:rsid w:val="49D62DD0"/>
    <w:rsid w:val="49DF7B2A"/>
    <w:rsid w:val="49ED3805"/>
    <w:rsid w:val="49F444EB"/>
    <w:rsid w:val="4A257010"/>
    <w:rsid w:val="4A285F26"/>
    <w:rsid w:val="4A3029FF"/>
    <w:rsid w:val="4A372D9B"/>
    <w:rsid w:val="4A3D76CC"/>
    <w:rsid w:val="4A495F64"/>
    <w:rsid w:val="4A5F5DCB"/>
    <w:rsid w:val="4A6361B0"/>
    <w:rsid w:val="4A6D5817"/>
    <w:rsid w:val="4A6D5A21"/>
    <w:rsid w:val="4A764CF9"/>
    <w:rsid w:val="4A780E6E"/>
    <w:rsid w:val="4A7D61F3"/>
    <w:rsid w:val="4A833C14"/>
    <w:rsid w:val="4A9C4AA6"/>
    <w:rsid w:val="4A9F67D2"/>
    <w:rsid w:val="4ABC5926"/>
    <w:rsid w:val="4AC13BA7"/>
    <w:rsid w:val="4AD43CC2"/>
    <w:rsid w:val="4ADE18B1"/>
    <w:rsid w:val="4AE44742"/>
    <w:rsid w:val="4AED48B9"/>
    <w:rsid w:val="4B03568E"/>
    <w:rsid w:val="4B073250"/>
    <w:rsid w:val="4B157281"/>
    <w:rsid w:val="4B1858FC"/>
    <w:rsid w:val="4B1B4D9A"/>
    <w:rsid w:val="4B244692"/>
    <w:rsid w:val="4B355D80"/>
    <w:rsid w:val="4B43338C"/>
    <w:rsid w:val="4B596AA2"/>
    <w:rsid w:val="4B6865B5"/>
    <w:rsid w:val="4B8455EB"/>
    <w:rsid w:val="4B845D24"/>
    <w:rsid w:val="4BBA1147"/>
    <w:rsid w:val="4C037012"/>
    <w:rsid w:val="4C2C12C3"/>
    <w:rsid w:val="4C3008D0"/>
    <w:rsid w:val="4C3679C6"/>
    <w:rsid w:val="4C390B55"/>
    <w:rsid w:val="4C5C5F9D"/>
    <w:rsid w:val="4C7A5603"/>
    <w:rsid w:val="4C7E2F03"/>
    <w:rsid w:val="4C8111CA"/>
    <w:rsid w:val="4C8220ED"/>
    <w:rsid w:val="4C961F41"/>
    <w:rsid w:val="4CA334F9"/>
    <w:rsid w:val="4CAB4709"/>
    <w:rsid w:val="4CCF5635"/>
    <w:rsid w:val="4CD27DDB"/>
    <w:rsid w:val="4CD951A0"/>
    <w:rsid w:val="4CE05184"/>
    <w:rsid w:val="4CE524B9"/>
    <w:rsid w:val="4CE61651"/>
    <w:rsid w:val="4CF2752F"/>
    <w:rsid w:val="4CFD72B8"/>
    <w:rsid w:val="4D271487"/>
    <w:rsid w:val="4D2A7EDF"/>
    <w:rsid w:val="4D2E3A04"/>
    <w:rsid w:val="4D341508"/>
    <w:rsid w:val="4D6166BF"/>
    <w:rsid w:val="4D636650"/>
    <w:rsid w:val="4D890E9D"/>
    <w:rsid w:val="4D8F7DD5"/>
    <w:rsid w:val="4D901638"/>
    <w:rsid w:val="4D930C30"/>
    <w:rsid w:val="4D9F6363"/>
    <w:rsid w:val="4DD80CDF"/>
    <w:rsid w:val="4DDF6B8F"/>
    <w:rsid w:val="4DE72F2C"/>
    <w:rsid w:val="4DF236E4"/>
    <w:rsid w:val="4DF75681"/>
    <w:rsid w:val="4DFA0703"/>
    <w:rsid w:val="4E120EBD"/>
    <w:rsid w:val="4E13432C"/>
    <w:rsid w:val="4E263853"/>
    <w:rsid w:val="4E67354A"/>
    <w:rsid w:val="4E73266B"/>
    <w:rsid w:val="4E7929BA"/>
    <w:rsid w:val="4E7B6778"/>
    <w:rsid w:val="4E9226C4"/>
    <w:rsid w:val="4EA847B3"/>
    <w:rsid w:val="4ED15497"/>
    <w:rsid w:val="4ED4741A"/>
    <w:rsid w:val="4EE5010A"/>
    <w:rsid w:val="4EEE643C"/>
    <w:rsid w:val="4EFD28C2"/>
    <w:rsid w:val="4F3B2DCB"/>
    <w:rsid w:val="4F3C0C95"/>
    <w:rsid w:val="4F4452A2"/>
    <w:rsid w:val="4F780638"/>
    <w:rsid w:val="4F7D3F49"/>
    <w:rsid w:val="4F7E44D9"/>
    <w:rsid w:val="4FC4795B"/>
    <w:rsid w:val="4FD25C82"/>
    <w:rsid w:val="4FD6135A"/>
    <w:rsid w:val="4FE00F0B"/>
    <w:rsid w:val="4FE32DD9"/>
    <w:rsid w:val="4FF379A4"/>
    <w:rsid w:val="4FFF16B7"/>
    <w:rsid w:val="500217A5"/>
    <w:rsid w:val="50050787"/>
    <w:rsid w:val="50220E8F"/>
    <w:rsid w:val="50500572"/>
    <w:rsid w:val="505C064C"/>
    <w:rsid w:val="50615016"/>
    <w:rsid w:val="50693ADF"/>
    <w:rsid w:val="506D5405"/>
    <w:rsid w:val="50950C9A"/>
    <w:rsid w:val="50AC4899"/>
    <w:rsid w:val="50B27ABC"/>
    <w:rsid w:val="50C07F8E"/>
    <w:rsid w:val="50CE1D73"/>
    <w:rsid w:val="50E920BD"/>
    <w:rsid w:val="50EE3B03"/>
    <w:rsid w:val="50F82A75"/>
    <w:rsid w:val="51053257"/>
    <w:rsid w:val="512C54FD"/>
    <w:rsid w:val="51384413"/>
    <w:rsid w:val="5142037F"/>
    <w:rsid w:val="51445241"/>
    <w:rsid w:val="51634A9A"/>
    <w:rsid w:val="517073FB"/>
    <w:rsid w:val="51852DBA"/>
    <w:rsid w:val="518825F8"/>
    <w:rsid w:val="518E3D0C"/>
    <w:rsid w:val="51906CB3"/>
    <w:rsid w:val="51A43A1D"/>
    <w:rsid w:val="51A947E6"/>
    <w:rsid w:val="51B15B29"/>
    <w:rsid w:val="51B318A1"/>
    <w:rsid w:val="51D20867"/>
    <w:rsid w:val="51D9122E"/>
    <w:rsid w:val="52003972"/>
    <w:rsid w:val="5201513B"/>
    <w:rsid w:val="52047653"/>
    <w:rsid w:val="52194A35"/>
    <w:rsid w:val="521C6DEF"/>
    <w:rsid w:val="5225368A"/>
    <w:rsid w:val="52302A73"/>
    <w:rsid w:val="52374081"/>
    <w:rsid w:val="52384E06"/>
    <w:rsid w:val="52387C4A"/>
    <w:rsid w:val="52535BCC"/>
    <w:rsid w:val="525647CE"/>
    <w:rsid w:val="52595712"/>
    <w:rsid w:val="52623D08"/>
    <w:rsid w:val="52757A71"/>
    <w:rsid w:val="527C7722"/>
    <w:rsid w:val="52863AC7"/>
    <w:rsid w:val="528B1ED6"/>
    <w:rsid w:val="529A1916"/>
    <w:rsid w:val="52BF212E"/>
    <w:rsid w:val="52DD6E6C"/>
    <w:rsid w:val="52F6155C"/>
    <w:rsid w:val="52F9655C"/>
    <w:rsid w:val="53052D5D"/>
    <w:rsid w:val="530834EE"/>
    <w:rsid w:val="530F51A1"/>
    <w:rsid w:val="531460EC"/>
    <w:rsid w:val="5315385C"/>
    <w:rsid w:val="531600F1"/>
    <w:rsid w:val="533162A1"/>
    <w:rsid w:val="533F6ACE"/>
    <w:rsid w:val="5342491C"/>
    <w:rsid w:val="5357017E"/>
    <w:rsid w:val="537E7B51"/>
    <w:rsid w:val="53870377"/>
    <w:rsid w:val="5396277D"/>
    <w:rsid w:val="53B86A58"/>
    <w:rsid w:val="53C56D73"/>
    <w:rsid w:val="53CC7CB4"/>
    <w:rsid w:val="53D233D8"/>
    <w:rsid w:val="53DD44AD"/>
    <w:rsid w:val="53E002AC"/>
    <w:rsid w:val="53FF5EFB"/>
    <w:rsid w:val="541A5A33"/>
    <w:rsid w:val="54217E20"/>
    <w:rsid w:val="542875FB"/>
    <w:rsid w:val="544822BD"/>
    <w:rsid w:val="545339F1"/>
    <w:rsid w:val="5499178F"/>
    <w:rsid w:val="54AF5270"/>
    <w:rsid w:val="54B1543D"/>
    <w:rsid w:val="54C27769"/>
    <w:rsid w:val="550D0AB6"/>
    <w:rsid w:val="551023C2"/>
    <w:rsid w:val="5511150D"/>
    <w:rsid w:val="55157F87"/>
    <w:rsid w:val="5519173E"/>
    <w:rsid w:val="55240514"/>
    <w:rsid w:val="5534121F"/>
    <w:rsid w:val="553714FE"/>
    <w:rsid w:val="55390B69"/>
    <w:rsid w:val="553B71F6"/>
    <w:rsid w:val="553F1E51"/>
    <w:rsid w:val="556E2AE5"/>
    <w:rsid w:val="5579725C"/>
    <w:rsid w:val="55890B98"/>
    <w:rsid w:val="559F30F0"/>
    <w:rsid w:val="559F398F"/>
    <w:rsid w:val="55A84BFE"/>
    <w:rsid w:val="55B12039"/>
    <w:rsid w:val="55B45F63"/>
    <w:rsid w:val="55B90C0A"/>
    <w:rsid w:val="55BD5C3D"/>
    <w:rsid w:val="55D63591"/>
    <w:rsid w:val="55F50340"/>
    <w:rsid w:val="560A087F"/>
    <w:rsid w:val="56122C31"/>
    <w:rsid w:val="561974BB"/>
    <w:rsid w:val="56281E78"/>
    <w:rsid w:val="562A4387"/>
    <w:rsid w:val="56334986"/>
    <w:rsid w:val="563608EB"/>
    <w:rsid w:val="56394FFE"/>
    <w:rsid w:val="563C7493"/>
    <w:rsid w:val="56533581"/>
    <w:rsid w:val="56556A86"/>
    <w:rsid w:val="56584821"/>
    <w:rsid w:val="565A2E32"/>
    <w:rsid w:val="565B607F"/>
    <w:rsid w:val="56692432"/>
    <w:rsid w:val="567A23C9"/>
    <w:rsid w:val="568858B4"/>
    <w:rsid w:val="568E05E7"/>
    <w:rsid w:val="56AE6CD3"/>
    <w:rsid w:val="56CE31FA"/>
    <w:rsid w:val="56CF1ADE"/>
    <w:rsid w:val="56F561BC"/>
    <w:rsid w:val="56FA2C95"/>
    <w:rsid w:val="56FF69BB"/>
    <w:rsid w:val="57045D3E"/>
    <w:rsid w:val="57075BF9"/>
    <w:rsid w:val="57082B77"/>
    <w:rsid w:val="5714693E"/>
    <w:rsid w:val="57172D90"/>
    <w:rsid w:val="57260DE0"/>
    <w:rsid w:val="57313A9F"/>
    <w:rsid w:val="57386662"/>
    <w:rsid w:val="5748483A"/>
    <w:rsid w:val="574F03D9"/>
    <w:rsid w:val="576F699C"/>
    <w:rsid w:val="577D2735"/>
    <w:rsid w:val="57850AAF"/>
    <w:rsid w:val="579D34E5"/>
    <w:rsid w:val="57A21B1B"/>
    <w:rsid w:val="57AD6121"/>
    <w:rsid w:val="57BC62D0"/>
    <w:rsid w:val="57CA249C"/>
    <w:rsid w:val="57DB7459"/>
    <w:rsid w:val="581D0F84"/>
    <w:rsid w:val="58290DC5"/>
    <w:rsid w:val="583170EE"/>
    <w:rsid w:val="58527FC8"/>
    <w:rsid w:val="58647470"/>
    <w:rsid w:val="586D3A7A"/>
    <w:rsid w:val="58723020"/>
    <w:rsid w:val="587303D7"/>
    <w:rsid w:val="58806C98"/>
    <w:rsid w:val="58961943"/>
    <w:rsid w:val="58B426B6"/>
    <w:rsid w:val="58B45DE2"/>
    <w:rsid w:val="58BE1F2C"/>
    <w:rsid w:val="58CB0566"/>
    <w:rsid w:val="58D411FE"/>
    <w:rsid w:val="58D46E6F"/>
    <w:rsid w:val="58E40C92"/>
    <w:rsid w:val="58E95186"/>
    <w:rsid w:val="58EC563B"/>
    <w:rsid w:val="58F44A96"/>
    <w:rsid w:val="59075CA5"/>
    <w:rsid w:val="590E217B"/>
    <w:rsid w:val="59121580"/>
    <w:rsid w:val="591946E0"/>
    <w:rsid w:val="59483B56"/>
    <w:rsid w:val="595B34CA"/>
    <w:rsid w:val="59715673"/>
    <w:rsid w:val="5975349D"/>
    <w:rsid w:val="597C5A50"/>
    <w:rsid w:val="59A3617F"/>
    <w:rsid w:val="59A41CA5"/>
    <w:rsid w:val="59A801F0"/>
    <w:rsid w:val="59B2180F"/>
    <w:rsid w:val="59C503C4"/>
    <w:rsid w:val="59D75EEB"/>
    <w:rsid w:val="59D949ED"/>
    <w:rsid w:val="59DB4DBE"/>
    <w:rsid w:val="59DD5217"/>
    <w:rsid w:val="59F82FAA"/>
    <w:rsid w:val="59FA6DBB"/>
    <w:rsid w:val="5A2F034B"/>
    <w:rsid w:val="5A334CA4"/>
    <w:rsid w:val="5A4C460E"/>
    <w:rsid w:val="5A4D497B"/>
    <w:rsid w:val="5A5046F7"/>
    <w:rsid w:val="5A805270"/>
    <w:rsid w:val="5A837DE0"/>
    <w:rsid w:val="5A874A8D"/>
    <w:rsid w:val="5A97386D"/>
    <w:rsid w:val="5A9A2F72"/>
    <w:rsid w:val="5AB250D9"/>
    <w:rsid w:val="5ABB4FF8"/>
    <w:rsid w:val="5ADF2AC5"/>
    <w:rsid w:val="5AE712BE"/>
    <w:rsid w:val="5AE96DAB"/>
    <w:rsid w:val="5B020EB4"/>
    <w:rsid w:val="5B2A3919"/>
    <w:rsid w:val="5B691FD4"/>
    <w:rsid w:val="5B6E6BA3"/>
    <w:rsid w:val="5B885E76"/>
    <w:rsid w:val="5B926846"/>
    <w:rsid w:val="5BA57414"/>
    <w:rsid w:val="5BB02F60"/>
    <w:rsid w:val="5BB8544A"/>
    <w:rsid w:val="5BC619FD"/>
    <w:rsid w:val="5BE85E0F"/>
    <w:rsid w:val="5C1C73FB"/>
    <w:rsid w:val="5C2A2C70"/>
    <w:rsid w:val="5C311A87"/>
    <w:rsid w:val="5C390EE8"/>
    <w:rsid w:val="5C51394C"/>
    <w:rsid w:val="5C621D5E"/>
    <w:rsid w:val="5C72662A"/>
    <w:rsid w:val="5C7B1930"/>
    <w:rsid w:val="5C850FC0"/>
    <w:rsid w:val="5C960E86"/>
    <w:rsid w:val="5C9A506F"/>
    <w:rsid w:val="5CA75F8F"/>
    <w:rsid w:val="5CC15D47"/>
    <w:rsid w:val="5CC92C03"/>
    <w:rsid w:val="5CCB125B"/>
    <w:rsid w:val="5CCF109C"/>
    <w:rsid w:val="5CCF199A"/>
    <w:rsid w:val="5CDE7166"/>
    <w:rsid w:val="5CE23177"/>
    <w:rsid w:val="5CE86B44"/>
    <w:rsid w:val="5CFD25D5"/>
    <w:rsid w:val="5D033BE7"/>
    <w:rsid w:val="5D072237"/>
    <w:rsid w:val="5D395931"/>
    <w:rsid w:val="5D3C2E5D"/>
    <w:rsid w:val="5D477E78"/>
    <w:rsid w:val="5D503C5C"/>
    <w:rsid w:val="5D604509"/>
    <w:rsid w:val="5D703211"/>
    <w:rsid w:val="5D9E1D99"/>
    <w:rsid w:val="5DA01B06"/>
    <w:rsid w:val="5DAD470E"/>
    <w:rsid w:val="5DC85EB7"/>
    <w:rsid w:val="5DD33B7E"/>
    <w:rsid w:val="5DE03167"/>
    <w:rsid w:val="5DFC0FC1"/>
    <w:rsid w:val="5E135FCC"/>
    <w:rsid w:val="5E257683"/>
    <w:rsid w:val="5E8D672F"/>
    <w:rsid w:val="5E9138DC"/>
    <w:rsid w:val="5EB22B13"/>
    <w:rsid w:val="5EC461DB"/>
    <w:rsid w:val="5EC64E6D"/>
    <w:rsid w:val="5EE44A5F"/>
    <w:rsid w:val="5EEB1665"/>
    <w:rsid w:val="5EEF0698"/>
    <w:rsid w:val="5F27533F"/>
    <w:rsid w:val="5F2A0360"/>
    <w:rsid w:val="5F3D3A6B"/>
    <w:rsid w:val="5F635AAB"/>
    <w:rsid w:val="5FB223E4"/>
    <w:rsid w:val="5FB34363"/>
    <w:rsid w:val="5FCB0E07"/>
    <w:rsid w:val="5FD62FEA"/>
    <w:rsid w:val="5FDD424F"/>
    <w:rsid w:val="5FDF6B44"/>
    <w:rsid w:val="5FF13B6D"/>
    <w:rsid w:val="5FF31011"/>
    <w:rsid w:val="600F52EB"/>
    <w:rsid w:val="60152B0C"/>
    <w:rsid w:val="603424E2"/>
    <w:rsid w:val="608655C1"/>
    <w:rsid w:val="609465DD"/>
    <w:rsid w:val="60A10BD7"/>
    <w:rsid w:val="60AC1E26"/>
    <w:rsid w:val="60EC31DD"/>
    <w:rsid w:val="611F60BE"/>
    <w:rsid w:val="6127216E"/>
    <w:rsid w:val="612826A2"/>
    <w:rsid w:val="613A5EC9"/>
    <w:rsid w:val="614B240F"/>
    <w:rsid w:val="616A45A8"/>
    <w:rsid w:val="6173715E"/>
    <w:rsid w:val="61767A26"/>
    <w:rsid w:val="61A41EF3"/>
    <w:rsid w:val="61AE49BE"/>
    <w:rsid w:val="61D672CA"/>
    <w:rsid w:val="61D90652"/>
    <w:rsid w:val="61E80983"/>
    <w:rsid w:val="61EF14EF"/>
    <w:rsid w:val="621974FF"/>
    <w:rsid w:val="622208CC"/>
    <w:rsid w:val="6224613E"/>
    <w:rsid w:val="62567799"/>
    <w:rsid w:val="626225C9"/>
    <w:rsid w:val="627574D8"/>
    <w:rsid w:val="62812FAA"/>
    <w:rsid w:val="628E5630"/>
    <w:rsid w:val="62903706"/>
    <w:rsid w:val="629358D4"/>
    <w:rsid w:val="62AC1B8A"/>
    <w:rsid w:val="62B947DE"/>
    <w:rsid w:val="62BC587D"/>
    <w:rsid w:val="62C570C0"/>
    <w:rsid w:val="62D17FA8"/>
    <w:rsid w:val="62E3484F"/>
    <w:rsid w:val="62EB02B5"/>
    <w:rsid w:val="62EB04C8"/>
    <w:rsid w:val="62F70039"/>
    <w:rsid w:val="62F77154"/>
    <w:rsid w:val="630C3D7D"/>
    <w:rsid w:val="630F0EC2"/>
    <w:rsid w:val="6318550E"/>
    <w:rsid w:val="63203694"/>
    <w:rsid w:val="63353B69"/>
    <w:rsid w:val="63353BCF"/>
    <w:rsid w:val="63461D37"/>
    <w:rsid w:val="637D1ECB"/>
    <w:rsid w:val="63853B0E"/>
    <w:rsid w:val="638958B7"/>
    <w:rsid w:val="63A75C59"/>
    <w:rsid w:val="63B768F7"/>
    <w:rsid w:val="63BA052F"/>
    <w:rsid w:val="63BE0AD3"/>
    <w:rsid w:val="63CD3785"/>
    <w:rsid w:val="63F221BC"/>
    <w:rsid w:val="63F6567C"/>
    <w:rsid w:val="64032C6B"/>
    <w:rsid w:val="64087A7B"/>
    <w:rsid w:val="640B57D3"/>
    <w:rsid w:val="64157FA6"/>
    <w:rsid w:val="64185CA3"/>
    <w:rsid w:val="641A5836"/>
    <w:rsid w:val="64235A38"/>
    <w:rsid w:val="64412DF3"/>
    <w:rsid w:val="64421735"/>
    <w:rsid w:val="644E1062"/>
    <w:rsid w:val="64526450"/>
    <w:rsid w:val="64585427"/>
    <w:rsid w:val="645B2788"/>
    <w:rsid w:val="646F5CE5"/>
    <w:rsid w:val="64B72E0C"/>
    <w:rsid w:val="64B86B2D"/>
    <w:rsid w:val="64C0118D"/>
    <w:rsid w:val="64C74A00"/>
    <w:rsid w:val="64CB244A"/>
    <w:rsid w:val="64DE711E"/>
    <w:rsid w:val="64E31C9A"/>
    <w:rsid w:val="64FE0A7A"/>
    <w:rsid w:val="652D26C7"/>
    <w:rsid w:val="65302064"/>
    <w:rsid w:val="653210C2"/>
    <w:rsid w:val="65571136"/>
    <w:rsid w:val="655A40B6"/>
    <w:rsid w:val="655F1F76"/>
    <w:rsid w:val="65604F99"/>
    <w:rsid w:val="65682F42"/>
    <w:rsid w:val="657131AE"/>
    <w:rsid w:val="6584208A"/>
    <w:rsid w:val="65947981"/>
    <w:rsid w:val="659A0AD3"/>
    <w:rsid w:val="659A4539"/>
    <w:rsid w:val="65BD418F"/>
    <w:rsid w:val="65C32871"/>
    <w:rsid w:val="65D51FB2"/>
    <w:rsid w:val="65DA4CF7"/>
    <w:rsid w:val="65DF0CA7"/>
    <w:rsid w:val="65E24BB0"/>
    <w:rsid w:val="65ED2B56"/>
    <w:rsid w:val="65F84DF4"/>
    <w:rsid w:val="66014227"/>
    <w:rsid w:val="660E3E13"/>
    <w:rsid w:val="661900C5"/>
    <w:rsid w:val="661C5600"/>
    <w:rsid w:val="661C7FF7"/>
    <w:rsid w:val="66206B4D"/>
    <w:rsid w:val="66214BD4"/>
    <w:rsid w:val="66530A5C"/>
    <w:rsid w:val="665836A7"/>
    <w:rsid w:val="666A4F83"/>
    <w:rsid w:val="667E108E"/>
    <w:rsid w:val="66C34609"/>
    <w:rsid w:val="66CD3EC1"/>
    <w:rsid w:val="671604B0"/>
    <w:rsid w:val="67187ECE"/>
    <w:rsid w:val="67320624"/>
    <w:rsid w:val="67346D80"/>
    <w:rsid w:val="673E76D0"/>
    <w:rsid w:val="67487BB1"/>
    <w:rsid w:val="67504513"/>
    <w:rsid w:val="67612084"/>
    <w:rsid w:val="677C5D92"/>
    <w:rsid w:val="677C68AC"/>
    <w:rsid w:val="679D7886"/>
    <w:rsid w:val="67A16DDF"/>
    <w:rsid w:val="67AD71F1"/>
    <w:rsid w:val="67B51A77"/>
    <w:rsid w:val="67B558B7"/>
    <w:rsid w:val="67B96881"/>
    <w:rsid w:val="67F44D9B"/>
    <w:rsid w:val="6804655B"/>
    <w:rsid w:val="680A12F6"/>
    <w:rsid w:val="682174E8"/>
    <w:rsid w:val="682928D9"/>
    <w:rsid w:val="6830025F"/>
    <w:rsid w:val="683318FD"/>
    <w:rsid w:val="68694A1F"/>
    <w:rsid w:val="687077F8"/>
    <w:rsid w:val="68727727"/>
    <w:rsid w:val="68786E71"/>
    <w:rsid w:val="68886F37"/>
    <w:rsid w:val="688B4389"/>
    <w:rsid w:val="68A0671B"/>
    <w:rsid w:val="68B93CC3"/>
    <w:rsid w:val="68B960C7"/>
    <w:rsid w:val="68DE2EBC"/>
    <w:rsid w:val="68EF7BE3"/>
    <w:rsid w:val="68F43176"/>
    <w:rsid w:val="68F83744"/>
    <w:rsid w:val="690A7899"/>
    <w:rsid w:val="69286279"/>
    <w:rsid w:val="692C1C8F"/>
    <w:rsid w:val="69304989"/>
    <w:rsid w:val="69320D51"/>
    <w:rsid w:val="69384D87"/>
    <w:rsid w:val="69452AD1"/>
    <w:rsid w:val="694B590C"/>
    <w:rsid w:val="694F16CF"/>
    <w:rsid w:val="696B2CBA"/>
    <w:rsid w:val="696F7F2A"/>
    <w:rsid w:val="698B577F"/>
    <w:rsid w:val="69966DB8"/>
    <w:rsid w:val="69972F92"/>
    <w:rsid w:val="69981827"/>
    <w:rsid w:val="69A60607"/>
    <w:rsid w:val="69B87748"/>
    <w:rsid w:val="69C23B52"/>
    <w:rsid w:val="69D72179"/>
    <w:rsid w:val="6A096FA5"/>
    <w:rsid w:val="6A0B6480"/>
    <w:rsid w:val="6A2F631C"/>
    <w:rsid w:val="6A3C13E7"/>
    <w:rsid w:val="6A426C8D"/>
    <w:rsid w:val="6A6432E1"/>
    <w:rsid w:val="6A68006A"/>
    <w:rsid w:val="6A6A371E"/>
    <w:rsid w:val="6A6E1944"/>
    <w:rsid w:val="6A876FCF"/>
    <w:rsid w:val="6A8F1412"/>
    <w:rsid w:val="6A903551"/>
    <w:rsid w:val="6A944812"/>
    <w:rsid w:val="6A9F203B"/>
    <w:rsid w:val="6AB11699"/>
    <w:rsid w:val="6ACC30C5"/>
    <w:rsid w:val="6ADE3F6B"/>
    <w:rsid w:val="6AEA587A"/>
    <w:rsid w:val="6AFF3CC9"/>
    <w:rsid w:val="6B0B793A"/>
    <w:rsid w:val="6B126DCB"/>
    <w:rsid w:val="6B132234"/>
    <w:rsid w:val="6B1C3BBC"/>
    <w:rsid w:val="6B3462B2"/>
    <w:rsid w:val="6B3B0782"/>
    <w:rsid w:val="6B7A3154"/>
    <w:rsid w:val="6B7B079E"/>
    <w:rsid w:val="6B7E1823"/>
    <w:rsid w:val="6B902E71"/>
    <w:rsid w:val="6BA12017"/>
    <w:rsid w:val="6BA41B56"/>
    <w:rsid w:val="6BA55399"/>
    <w:rsid w:val="6BAC3169"/>
    <w:rsid w:val="6BBC293F"/>
    <w:rsid w:val="6BC97482"/>
    <w:rsid w:val="6BDE7AE6"/>
    <w:rsid w:val="6BEF1E2F"/>
    <w:rsid w:val="6C11344C"/>
    <w:rsid w:val="6C2970BF"/>
    <w:rsid w:val="6C380E3A"/>
    <w:rsid w:val="6C596574"/>
    <w:rsid w:val="6C680298"/>
    <w:rsid w:val="6C6D5838"/>
    <w:rsid w:val="6C763848"/>
    <w:rsid w:val="6C7B0CBE"/>
    <w:rsid w:val="6C893DC0"/>
    <w:rsid w:val="6C8A5926"/>
    <w:rsid w:val="6C8E3319"/>
    <w:rsid w:val="6C952553"/>
    <w:rsid w:val="6C9F051B"/>
    <w:rsid w:val="6CA16C64"/>
    <w:rsid w:val="6CC22FFA"/>
    <w:rsid w:val="6CC74771"/>
    <w:rsid w:val="6CCB3E64"/>
    <w:rsid w:val="6CEF76A3"/>
    <w:rsid w:val="6CF879DA"/>
    <w:rsid w:val="6CFC6C1B"/>
    <w:rsid w:val="6CFE2E1D"/>
    <w:rsid w:val="6D0841F0"/>
    <w:rsid w:val="6D0E5CFF"/>
    <w:rsid w:val="6D1B0BFF"/>
    <w:rsid w:val="6D1E108F"/>
    <w:rsid w:val="6D207157"/>
    <w:rsid w:val="6D3D590E"/>
    <w:rsid w:val="6D3E5422"/>
    <w:rsid w:val="6D55344D"/>
    <w:rsid w:val="6D764E9C"/>
    <w:rsid w:val="6D7B66EA"/>
    <w:rsid w:val="6D7C5122"/>
    <w:rsid w:val="6D8222DF"/>
    <w:rsid w:val="6D963ECA"/>
    <w:rsid w:val="6DAC0B3C"/>
    <w:rsid w:val="6DB51690"/>
    <w:rsid w:val="6DCA1943"/>
    <w:rsid w:val="6DCB4E90"/>
    <w:rsid w:val="6DD70DE6"/>
    <w:rsid w:val="6DDE5E7F"/>
    <w:rsid w:val="6DED0138"/>
    <w:rsid w:val="6DF74044"/>
    <w:rsid w:val="6E090523"/>
    <w:rsid w:val="6E205FD6"/>
    <w:rsid w:val="6E2F26AE"/>
    <w:rsid w:val="6E471F93"/>
    <w:rsid w:val="6E4B18D2"/>
    <w:rsid w:val="6E585B4D"/>
    <w:rsid w:val="6E5E7234"/>
    <w:rsid w:val="6E6F2871"/>
    <w:rsid w:val="6E7921E8"/>
    <w:rsid w:val="6E871171"/>
    <w:rsid w:val="6E983779"/>
    <w:rsid w:val="6E9F5E9B"/>
    <w:rsid w:val="6EAA17BE"/>
    <w:rsid w:val="6EB8323D"/>
    <w:rsid w:val="6EEB3AF6"/>
    <w:rsid w:val="6EEE4ED9"/>
    <w:rsid w:val="6EF2110B"/>
    <w:rsid w:val="6F222A98"/>
    <w:rsid w:val="6F523436"/>
    <w:rsid w:val="6F6052EA"/>
    <w:rsid w:val="6F7166F6"/>
    <w:rsid w:val="6F933322"/>
    <w:rsid w:val="6F940239"/>
    <w:rsid w:val="6F9424E8"/>
    <w:rsid w:val="6FA27D4C"/>
    <w:rsid w:val="6FB241F8"/>
    <w:rsid w:val="6FCC5990"/>
    <w:rsid w:val="6FD26CAF"/>
    <w:rsid w:val="6FDC4FC3"/>
    <w:rsid w:val="6FFB7662"/>
    <w:rsid w:val="700625AE"/>
    <w:rsid w:val="70094ED2"/>
    <w:rsid w:val="7009744A"/>
    <w:rsid w:val="70331A9C"/>
    <w:rsid w:val="703D00F7"/>
    <w:rsid w:val="703D7CE6"/>
    <w:rsid w:val="70570FF5"/>
    <w:rsid w:val="706D5397"/>
    <w:rsid w:val="70894A34"/>
    <w:rsid w:val="709C1327"/>
    <w:rsid w:val="70AF0B0E"/>
    <w:rsid w:val="70B37CEE"/>
    <w:rsid w:val="70F35BF4"/>
    <w:rsid w:val="710A3193"/>
    <w:rsid w:val="711102D2"/>
    <w:rsid w:val="711F25AE"/>
    <w:rsid w:val="71535404"/>
    <w:rsid w:val="715541A6"/>
    <w:rsid w:val="717B05A6"/>
    <w:rsid w:val="71840E5C"/>
    <w:rsid w:val="7184489C"/>
    <w:rsid w:val="718E11EA"/>
    <w:rsid w:val="71902AE4"/>
    <w:rsid w:val="719B2383"/>
    <w:rsid w:val="719F428B"/>
    <w:rsid w:val="71A73234"/>
    <w:rsid w:val="71B06E02"/>
    <w:rsid w:val="71C15169"/>
    <w:rsid w:val="71D266D1"/>
    <w:rsid w:val="71D912D4"/>
    <w:rsid w:val="71F20DEA"/>
    <w:rsid w:val="72166175"/>
    <w:rsid w:val="7229032E"/>
    <w:rsid w:val="723430FA"/>
    <w:rsid w:val="72357A4A"/>
    <w:rsid w:val="72606A84"/>
    <w:rsid w:val="72693ACB"/>
    <w:rsid w:val="728269FA"/>
    <w:rsid w:val="7289422C"/>
    <w:rsid w:val="72953F04"/>
    <w:rsid w:val="72B27CB2"/>
    <w:rsid w:val="72CA1C8E"/>
    <w:rsid w:val="72F50F9C"/>
    <w:rsid w:val="72F62DED"/>
    <w:rsid w:val="730078FC"/>
    <w:rsid w:val="730A3E35"/>
    <w:rsid w:val="731B32C3"/>
    <w:rsid w:val="7332593D"/>
    <w:rsid w:val="733A5DD6"/>
    <w:rsid w:val="733B309E"/>
    <w:rsid w:val="736E2E36"/>
    <w:rsid w:val="73715367"/>
    <w:rsid w:val="73892A07"/>
    <w:rsid w:val="738C335A"/>
    <w:rsid w:val="73C9237F"/>
    <w:rsid w:val="73CA5314"/>
    <w:rsid w:val="73D24CA1"/>
    <w:rsid w:val="73DF7FDA"/>
    <w:rsid w:val="73E05650"/>
    <w:rsid w:val="742C2582"/>
    <w:rsid w:val="744F0B5E"/>
    <w:rsid w:val="745217CF"/>
    <w:rsid w:val="7453133C"/>
    <w:rsid w:val="7463506E"/>
    <w:rsid w:val="74801D1D"/>
    <w:rsid w:val="74835319"/>
    <w:rsid w:val="7496678D"/>
    <w:rsid w:val="74A01E17"/>
    <w:rsid w:val="74C70189"/>
    <w:rsid w:val="74C84547"/>
    <w:rsid w:val="74CE2B0B"/>
    <w:rsid w:val="74D6302D"/>
    <w:rsid w:val="74E03EAC"/>
    <w:rsid w:val="74F05C4D"/>
    <w:rsid w:val="74F35FA9"/>
    <w:rsid w:val="7507726C"/>
    <w:rsid w:val="75341056"/>
    <w:rsid w:val="7537599B"/>
    <w:rsid w:val="753D613E"/>
    <w:rsid w:val="75506001"/>
    <w:rsid w:val="755D5A0A"/>
    <w:rsid w:val="756D3B06"/>
    <w:rsid w:val="75724C91"/>
    <w:rsid w:val="75752FAA"/>
    <w:rsid w:val="7582310C"/>
    <w:rsid w:val="7587423B"/>
    <w:rsid w:val="758A609D"/>
    <w:rsid w:val="758F6833"/>
    <w:rsid w:val="759C3C2D"/>
    <w:rsid w:val="759E1D8F"/>
    <w:rsid w:val="75A35A28"/>
    <w:rsid w:val="75B81F99"/>
    <w:rsid w:val="75DE1737"/>
    <w:rsid w:val="75F33E38"/>
    <w:rsid w:val="75F8689A"/>
    <w:rsid w:val="75FA20BE"/>
    <w:rsid w:val="75FF7F78"/>
    <w:rsid w:val="76003BE2"/>
    <w:rsid w:val="762F6D3D"/>
    <w:rsid w:val="76343CA5"/>
    <w:rsid w:val="763D4F16"/>
    <w:rsid w:val="76593F16"/>
    <w:rsid w:val="76635A18"/>
    <w:rsid w:val="7684666A"/>
    <w:rsid w:val="768704C9"/>
    <w:rsid w:val="76934889"/>
    <w:rsid w:val="769C0E3E"/>
    <w:rsid w:val="76AF60AC"/>
    <w:rsid w:val="76B145E2"/>
    <w:rsid w:val="76BB69C2"/>
    <w:rsid w:val="76BC4508"/>
    <w:rsid w:val="76DB2CAA"/>
    <w:rsid w:val="76E9529A"/>
    <w:rsid w:val="76F26DE2"/>
    <w:rsid w:val="771016D8"/>
    <w:rsid w:val="7733706B"/>
    <w:rsid w:val="77385865"/>
    <w:rsid w:val="773A0EE5"/>
    <w:rsid w:val="773C2B77"/>
    <w:rsid w:val="776510C9"/>
    <w:rsid w:val="77653B81"/>
    <w:rsid w:val="7769030A"/>
    <w:rsid w:val="778511BB"/>
    <w:rsid w:val="77877C60"/>
    <w:rsid w:val="77AD4E15"/>
    <w:rsid w:val="77BA0EA6"/>
    <w:rsid w:val="77C2448A"/>
    <w:rsid w:val="77C822DD"/>
    <w:rsid w:val="781836F9"/>
    <w:rsid w:val="7822163F"/>
    <w:rsid w:val="782B7685"/>
    <w:rsid w:val="78374B57"/>
    <w:rsid w:val="78492CDB"/>
    <w:rsid w:val="784A3CD3"/>
    <w:rsid w:val="784E5FE9"/>
    <w:rsid w:val="78615480"/>
    <w:rsid w:val="78682163"/>
    <w:rsid w:val="78812164"/>
    <w:rsid w:val="788C2661"/>
    <w:rsid w:val="78A703AF"/>
    <w:rsid w:val="78AC1E9F"/>
    <w:rsid w:val="78BB2C66"/>
    <w:rsid w:val="78E73A5B"/>
    <w:rsid w:val="78FC3F71"/>
    <w:rsid w:val="79063F3E"/>
    <w:rsid w:val="791C1F6F"/>
    <w:rsid w:val="793801AE"/>
    <w:rsid w:val="79493484"/>
    <w:rsid w:val="795D308D"/>
    <w:rsid w:val="796850A8"/>
    <w:rsid w:val="79706ED0"/>
    <w:rsid w:val="79AC79FB"/>
    <w:rsid w:val="79AD1192"/>
    <w:rsid w:val="79B871A5"/>
    <w:rsid w:val="79DA2A1A"/>
    <w:rsid w:val="79FE700A"/>
    <w:rsid w:val="7A02599B"/>
    <w:rsid w:val="7A1547FF"/>
    <w:rsid w:val="7A1E34AC"/>
    <w:rsid w:val="7A481EBA"/>
    <w:rsid w:val="7A4F2B81"/>
    <w:rsid w:val="7A5507C4"/>
    <w:rsid w:val="7A8B1C79"/>
    <w:rsid w:val="7A931FB3"/>
    <w:rsid w:val="7A9F1116"/>
    <w:rsid w:val="7AB42307"/>
    <w:rsid w:val="7ACD1F36"/>
    <w:rsid w:val="7AD62AFA"/>
    <w:rsid w:val="7ADC07B4"/>
    <w:rsid w:val="7AFA5C24"/>
    <w:rsid w:val="7B097BDE"/>
    <w:rsid w:val="7B2630BE"/>
    <w:rsid w:val="7B2E06D9"/>
    <w:rsid w:val="7B376C34"/>
    <w:rsid w:val="7B3A0A78"/>
    <w:rsid w:val="7B484A08"/>
    <w:rsid w:val="7B675BAF"/>
    <w:rsid w:val="7BA65D51"/>
    <w:rsid w:val="7BBF53C8"/>
    <w:rsid w:val="7BC37918"/>
    <w:rsid w:val="7BC44B32"/>
    <w:rsid w:val="7BC90C1C"/>
    <w:rsid w:val="7BC970DB"/>
    <w:rsid w:val="7BD16478"/>
    <w:rsid w:val="7BDD0E17"/>
    <w:rsid w:val="7BE04FE4"/>
    <w:rsid w:val="7BE424D4"/>
    <w:rsid w:val="7BE85E4B"/>
    <w:rsid w:val="7C021D23"/>
    <w:rsid w:val="7C0C4CCC"/>
    <w:rsid w:val="7C0E1E70"/>
    <w:rsid w:val="7C1521C7"/>
    <w:rsid w:val="7C15390B"/>
    <w:rsid w:val="7C1B3232"/>
    <w:rsid w:val="7C2C2B9E"/>
    <w:rsid w:val="7C4D0D89"/>
    <w:rsid w:val="7C602641"/>
    <w:rsid w:val="7C8D6CF0"/>
    <w:rsid w:val="7C912334"/>
    <w:rsid w:val="7CB138FF"/>
    <w:rsid w:val="7CDB5685"/>
    <w:rsid w:val="7CDC699E"/>
    <w:rsid w:val="7CEA58C8"/>
    <w:rsid w:val="7CFE2404"/>
    <w:rsid w:val="7D1563E6"/>
    <w:rsid w:val="7D3E0B18"/>
    <w:rsid w:val="7D3E70D3"/>
    <w:rsid w:val="7D5C3EB4"/>
    <w:rsid w:val="7D5F0804"/>
    <w:rsid w:val="7D663E6F"/>
    <w:rsid w:val="7D71615B"/>
    <w:rsid w:val="7D912F29"/>
    <w:rsid w:val="7DB14677"/>
    <w:rsid w:val="7DBB030B"/>
    <w:rsid w:val="7DBD0F25"/>
    <w:rsid w:val="7DC5730E"/>
    <w:rsid w:val="7DCA57F6"/>
    <w:rsid w:val="7DD64891"/>
    <w:rsid w:val="7DD73BA6"/>
    <w:rsid w:val="7DD74E45"/>
    <w:rsid w:val="7DDB2E73"/>
    <w:rsid w:val="7DDE1DEF"/>
    <w:rsid w:val="7DED1DFF"/>
    <w:rsid w:val="7DF84014"/>
    <w:rsid w:val="7E192029"/>
    <w:rsid w:val="7E1C6248"/>
    <w:rsid w:val="7E2B5B66"/>
    <w:rsid w:val="7E3D279E"/>
    <w:rsid w:val="7E3D6F9A"/>
    <w:rsid w:val="7E4A40AD"/>
    <w:rsid w:val="7E5514BB"/>
    <w:rsid w:val="7E704832"/>
    <w:rsid w:val="7E761F9C"/>
    <w:rsid w:val="7E800C15"/>
    <w:rsid w:val="7E8F2119"/>
    <w:rsid w:val="7E953617"/>
    <w:rsid w:val="7E9E696A"/>
    <w:rsid w:val="7EC000ED"/>
    <w:rsid w:val="7ECA1657"/>
    <w:rsid w:val="7EEB2FC8"/>
    <w:rsid w:val="7EF1686D"/>
    <w:rsid w:val="7F0A4EC1"/>
    <w:rsid w:val="7F1629A4"/>
    <w:rsid w:val="7F3E07EB"/>
    <w:rsid w:val="7F593177"/>
    <w:rsid w:val="7F5B0CFF"/>
    <w:rsid w:val="7F6B0F97"/>
    <w:rsid w:val="7F96147F"/>
    <w:rsid w:val="7F9711EC"/>
    <w:rsid w:val="7F9814CA"/>
    <w:rsid w:val="7F9A524E"/>
    <w:rsid w:val="7FB53AF5"/>
    <w:rsid w:val="7FD3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1"/>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6">
    <w:name w:val="Normal Indent"/>
    <w:basedOn w:val="1"/>
    <w:next w:val="7"/>
    <w:qFormat/>
    <w:uiPriority w:val="0"/>
    <w:pPr>
      <w:spacing w:line="300" w:lineRule="auto"/>
      <w:ind w:firstLine="420"/>
    </w:pPr>
  </w:style>
  <w:style w:type="paragraph" w:styleId="7">
    <w:name w:val="Body Text Indent"/>
    <w:basedOn w:val="1"/>
    <w:next w:val="6"/>
    <w:link w:val="43"/>
    <w:qFormat/>
    <w:uiPriority w:val="0"/>
    <w:pPr>
      <w:spacing w:after="120"/>
      <w:ind w:left="420" w:leftChars="200"/>
    </w:pPr>
  </w:style>
  <w:style w:type="paragraph" w:styleId="8">
    <w:name w:val="annotation text"/>
    <w:basedOn w:val="1"/>
    <w:link w:val="42"/>
    <w:qFormat/>
    <w:uiPriority w:val="0"/>
    <w:pPr>
      <w:jc w:val="left"/>
    </w:pPr>
    <w:rPr>
      <w:szCs w:val="24"/>
    </w:rPr>
  </w:style>
  <w:style w:type="paragraph" w:styleId="9">
    <w:name w:val="Body Text"/>
    <w:basedOn w:val="1"/>
    <w:link w:val="40"/>
    <w:qFormat/>
    <w:uiPriority w:val="0"/>
    <w:pPr>
      <w:spacing w:after="120"/>
    </w:pPr>
    <w:rPr>
      <w:rFonts w:eastAsia="??"/>
      <w:sz w:val="28"/>
      <w:szCs w:val="28"/>
    </w:rPr>
  </w:style>
  <w:style w:type="paragraph" w:styleId="10">
    <w:name w:val="Block Text"/>
    <w:basedOn w:val="1"/>
    <w:qFormat/>
    <w:uiPriority w:val="99"/>
    <w:pPr>
      <w:adjustRightInd w:val="0"/>
      <w:spacing w:line="300" w:lineRule="auto"/>
      <w:ind w:left="958" w:right="-120" w:rightChars="-120"/>
      <w:jc w:val="left"/>
    </w:pPr>
    <w:rPr>
      <w:rFonts w:ascii="宋体" w:hAnsi="宋体"/>
      <w:sz w:val="28"/>
    </w:rPr>
  </w:style>
  <w:style w:type="paragraph" w:styleId="11">
    <w:name w:val="Plain Text"/>
    <w:basedOn w:val="1"/>
    <w:next w:val="1"/>
    <w:link w:val="44"/>
    <w:qFormat/>
    <w:uiPriority w:val="0"/>
    <w:rPr>
      <w:rFonts w:ascii="宋体" w:hAnsi="Courier New" w:eastAsia="仿宋_GB2312"/>
      <w:sz w:val="30"/>
    </w:rPr>
  </w:style>
  <w:style w:type="paragraph" w:styleId="12">
    <w:name w:val="Body Text Indent 2"/>
    <w:basedOn w:val="1"/>
    <w:link w:val="45"/>
    <w:qFormat/>
    <w:uiPriority w:val="0"/>
    <w:pPr>
      <w:spacing w:line="500" w:lineRule="exact"/>
      <w:ind w:left="105" w:firstLine="465" w:firstLineChars="166"/>
    </w:pPr>
    <w:rPr>
      <w:sz w:val="28"/>
    </w:rPr>
  </w:style>
  <w:style w:type="paragraph" w:styleId="13">
    <w:name w:val="Balloon Text"/>
    <w:basedOn w:val="1"/>
    <w:link w:val="46"/>
    <w:qFormat/>
    <w:uiPriority w:val="0"/>
    <w:rPr>
      <w:sz w:val="18"/>
      <w:szCs w:val="18"/>
    </w:rPr>
  </w:style>
  <w:style w:type="paragraph" w:styleId="14">
    <w:name w:val="footer"/>
    <w:basedOn w:val="1"/>
    <w:next w:val="15"/>
    <w:link w:val="47"/>
    <w:qFormat/>
    <w:uiPriority w:val="99"/>
    <w:pPr>
      <w:tabs>
        <w:tab w:val="center" w:pos="4153"/>
        <w:tab w:val="right" w:pos="8306"/>
      </w:tabs>
      <w:snapToGrid w:val="0"/>
      <w:jc w:val="left"/>
    </w:pPr>
    <w:rPr>
      <w:sz w:val="18"/>
      <w:szCs w:val="18"/>
    </w:rPr>
  </w:style>
  <w:style w:type="paragraph" w:styleId="15">
    <w:name w:val="toc 2"/>
    <w:basedOn w:val="1"/>
    <w:next w:val="1"/>
    <w:qFormat/>
    <w:uiPriority w:val="39"/>
    <w:pPr>
      <w:tabs>
        <w:tab w:val="right" w:leader="middleDot" w:pos="8948"/>
      </w:tabs>
      <w:spacing w:before="60" w:after="60"/>
      <w:ind w:left="210"/>
    </w:pPr>
    <w:rPr>
      <w:smallCaps/>
    </w:rPr>
  </w:style>
  <w:style w:type="paragraph" w:styleId="16">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toc 6"/>
    <w:basedOn w:val="1"/>
    <w:next w:val="1"/>
    <w:qFormat/>
    <w:uiPriority w:val="0"/>
    <w:pPr>
      <w:ind w:left="1000" w:leftChars="1000"/>
    </w:pPr>
  </w:style>
  <w:style w:type="paragraph" w:styleId="19">
    <w:name w:val="Body Text Indent 3"/>
    <w:basedOn w:val="1"/>
    <w:link w:val="49"/>
    <w:qFormat/>
    <w:uiPriority w:val="0"/>
    <w:pPr>
      <w:spacing w:after="120"/>
      <w:ind w:left="420" w:leftChars="200"/>
    </w:pPr>
    <w:rPr>
      <w:sz w:val="16"/>
      <w:szCs w:val="16"/>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link w:val="50"/>
    <w:qFormat/>
    <w:uiPriority w:val="0"/>
    <w:pPr>
      <w:jc w:val="center"/>
    </w:pPr>
    <w:rPr>
      <w:rFonts w:ascii="Calibri" w:hAnsi="Calibri"/>
      <w:sz w:val="30"/>
      <w:szCs w:val="30"/>
    </w:rPr>
  </w:style>
  <w:style w:type="paragraph" w:styleId="22">
    <w:name w:val="annotation subject"/>
    <w:basedOn w:val="8"/>
    <w:next w:val="8"/>
    <w:link w:val="51"/>
    <w:qFormat/>
    <w:uiPriority w:val="0"/>
    <w:rPr>
      <w:b/>
      <w:bCs/>
    </w:rPr>
  </w:style>
  <w:style w:type="paragraph" w:styleId="23">
    <w:name w:val="Body Text First Indent"/>
    <w:basedOn w:val="9"/>
    <w:next w:val="1"/>
    <w:qFormat/>
    <w:uiPriority w:val="0"/>
    <w:pPr>
      <w:ind w:firstLine="420" w:firstLineChars="100"/>
    </w:pPr>
    <w:rPr>
      <w:szCs w:val="24"/>
    </w:rPr>
  </w:style>
  <w:style w:type="paragraph" w:styleId="24">
    <w:name w:val="Body Text First Indent 2"/>
    <w:basedOn w:val="7"/>
    <w:next w:val="1"/>
    <w:link w:val="52"/>
    <w:qFormat/>
    <w:uiPriority w:val="0"/>
    <w:pPr>
      <w:ind w:firstLine="420" w:firstLineChars="2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qFormat/>
    <w:uiPriority w:val="0"/>
  </w:style>
  <w:style w:type="character" w:styleId="30">
    <w:name w:val="Emphasis"/>
    <w:basedOn w:val="27"/>
    <w:qFormat/>
    <w:uiPriority w:val="0"/>
    <w:rPr>
      <w:i/>
    </w:rPr>
  </w:style>
  <w:style w:type="character" w:styleId="31">
    <w:name w:val="Hyperlink"/>
    <w:qFormat/>
    <w:uiPriority w:val="0"/>
    <w:rPr>
      <w:color w:val="0000FF"/>
      <w:u w:val="single"/>
    </w:rPr>
  </w:style>
  <w:style w:type="character" w:styleId="32">
    <w:name w:val="annotation reference"/>
    <w:basedOn w:val="27"/>
    <w:qFormat/>
    <w:uiPriority w:val="0"/>
    <w:rPr>
      <w:sz w:val="21"/>
      <w:szCs w:val="21"/>
    </w:rPr>
  </w:style>
  <w:style w:type="character" w:styleId="33">
    <w:name w:val="HTML Sample"/>
    <w:basedOn w:val="27"/>
    <w:qFormat/>
    <w:uiPriority w:val="0"/>
    <w:rPr>
      <w:rFonts w:ascii="Courier New" w:hAnsi="Courier New"/>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表格文字"/>
    <w:basedOn w:val="11"/>
    <w:next w:val="9"/>
    <w:qFormat/>
    <w:uiPriority w:val="0"/>
    <w:pPr>
      <w:adjustRightInd w:val="0"/>
      <w:spacing w:line="420" w:lineRule="atLeast"/>
      <w:textAlignment w:val="baseline"/>
    </w:pPr>
    <w:rPr>
      <w:rFonts w:ascii="Calibri" w:hAnsi="Calibri"/>
      <w:sz w:val="28"/>
    </w:rPr>
  </w:style>
  <w:style w:type="character" w:customStyle="1" w:styleId="36">
    <w:name w:val="标题 1 字符"/>
    <w:link w:val="3"/>
    <w:qFormat/>
    <w:uiPriority w:val="9"/>
    <w:rPr>
      <w:b/>
      <w:bCs/>
      <w:kern w:val="44"/>
      <w:sz w:val="44"/>
      <w:szCs w:val="44"/>
    </w:rPr>
  </w:style>
  <w:style w:type="paragraph" w:customStyle="1" w:styleId="37">
    <w:name w:val="正文1"/>
    <w:basedOn w:val="1"/>
    <w:next w:val="1"/>
    <w:qFormat/>
    <w:uiPriority w:val="0"/>
    <w:pPr>
      <w:spacing w:before="156"/>
      <w:ind w:firstLine="510" w:firstLineChars="200"/>
    </w:pPr>
  </w:style>
  <w:style w:type="paragraph" w:customStyle="1" w:styleId="38">
    <w:name w:val="正文首行缩进 21"/>
    <w:basedOn w:val="39"/>
    <w:qFormat/>
    <w:uiPriority w:val="0"/>
    <w:pPr>
      <w:ind w:firstLine="420"/>
    </w:pPr>
  </w:style>
  <w:style w:type="paragraph" w:customStyle="1" w:styleId="39">
    <w:name w:val="正文文本缩进1"/>
    <w:basedOn w:val="1"/>
    <w:qFormat/>
    <w:uiPriority w:val="0"/>
    <w:pPr>
      <w:ind w:firstLine="200"/>
    </w:pPr>
    <w:rPr>
      <w:rFonts w:ascii="仿宋_GB2312" w:eastAsia="仿宋_GB2312"/>
      <w:sz w:val="32"/>
    </w:rPr>
  </w:style>
  <w:style w:type="character" w:customStyle="1" w:styleId="40">
    <w:name w:val="正文文本 字符"/>
    <w:link w:val="9"/>
    <w:qFormat/>
    <w:uiPriority w:val="0"/>
    <w:rPr>
      <w:rFonts w:eastAsia="??"/>
      <w:kern w:val="2"/>
      <w:sz w:val="28"/>
      <w:szCs w:val="28"/>
      <w:lang w:val="en-US" w:eastAsia="zh-CN" w:bidi="ar-SA"/>
    </w:rPr>
  </w:style>
  <w:style w:type="character" w:customStyle="1" w:styleId="41">
    <w:name w:val="标题 2 字符"/>
    <w:link w:val="2"/>
    <w:qFormat/>
    <w:uiPriority w:val="0"/>
    <w:rPr>
      <w:rFonts w:ascii="Arial" w:hAnsi="Arial" w:eastAsia="??"/>
      <w:b/>
      <w:kern w:val="2"/>
      <w:sz w:val="32"/>
      <w:szCs w:val="28"/>
      <w:lang w:val="en-US" w:eastAsia="zh-CN" w:bidi="ar-SA"/>
    </w:rPr>
  </w:style>
  <w:style w:type="character" w:customStyle="1" w:styleId="42">
    <w:name w:val="批注文字 字符"/>
    <w:link w:val="8"/>
    <w:qFormat/>
    <w:uiPriority w:val="0"/>
    <w:rPr>
      <w:kern w:val="2"/>
      <w:sz w:val="21"/>
      <w:szCs w:val="24"/>
    </w:rPr>
  </w:style>
  <w:style w:type="character" w:customStyle="1" w:styleId="43">
    <w:name w:val="正文文本缩进 字符"/>
    <w:link w:val="7"/>
    <w:qFormat/>
    <w:uiPriority w:val="0"/>
    <w:rPr>
      <w:kern w:val="2"/>
      <w:sz w:val="21"/>
    </w:rPr>
  </w:style>
  <w:style w:type="character" w:customStyle="1" w:styleId="44">
    <w:name w:val="纯文本 字符"/>
    <w:link w:val="11"/>
    <w:qFormat/>
    <w:uiPriority w:val="0"/>
    <w:rPr>
      <w:rFonts w:ascii="宋体" w:hAnsi="Courier New" w:eastAsia="仿宋_GB2312"/>
      <w:kern w:val="2"/>
      <w:sz w:val="30"/>
      <w:lang w:val="en-US" w:eastAsia="zh-CN" w:bidi="ar-SA"/>
    </w:rPr>
  </w:style>
  <w:style w:type="character" w:customStyle="1" w:styleId="45">
    <w:name w:val="正文文本缩进 2 字符"/>
    <w:link w:val="12"/>
    <w:qFormat/>
    <w:uiPriority w:val="0"/>
    <w:rPr>
      <w:kern w:val="2"/>
      <w:sz w:val="28"/>
    </w:rPr>
  </w:style>
  <w:style w:type="character" w:customStyle="1" w:styleId="46">
    <w:name w:val="批注框文本 字符"/>
    <w:link w:val="13"/>
    <w:qFormat/>
    <w:uiPriority w:val="0"/>
    <w:rPr>
      <w:kern w:val="2"/>
      <w:sz w:val="18"/>
      <w:szCs w:val="18"/>
    </w:rPr>
  </w:style>
  <w:style w:type="character" w:customStyle="1" w:styleId="47">
    <w:name w:val="页脚 字符"/>
    <w:link w:val="14"/>
    <w:qFormat/>
    <w:uiPriority w:val="99"/>
    <w:rPr>
      <w:kern w:val="2"/>
      <w:sz w:val="18"/>
      <w:szCs w:val="18"/>
    </w:rPr>
  </w:style>
  <w:style w:type="character" w:customStyle="1" w:styleId="48">
    <w:name w:val="页眉 字符"/>
    <w:link w:val="16"/>
    <w:qFormat/>
    <w:uiPriority w:val="99"/>
    <w:rPr>
      <w:kern w:val="2"/>
      <w:sz w:val="18"/>
      <w:szCs w:val="18"/>
    </w:rPr>
  </w:style>
  <w:style w:type="character" w:customStyle="1" w:styleId="49">
    <w:name w:val="正文文本缩进 3 字符"/>
    <w:link w:val="19"/>
    <w:qFormat/>
    <w:uiPriority w:val="0"/>
    <w:rPr>
      <w:kern w:val="2"/>
      <w:sz w:val="16"/>
      <w:szCs w:val="16"/>
    </w:rPr>
  </w:style>
  <w:style w:type="character" w:customStyle="1" w:styleId="50">
    <w:name w:val="标题 字符"/>
    <w:link w:val="21"/>
    <w:qFormat/>
    <w:uiPriority w:val="0"/>
    <w:rPr>
      <w:rFonts w:ascii="Calibri" w:hAnsi="Calibri"/>
      <w:kern w:val="2"/>
      <w:sz w:val="30"/>
      <w:szCs w:val="30"/>
    </w:rPr>
  </w:style>
  <w:style w:type="character" w:customStyle="1" w:styleId="51">
    <w:name w:val="批注主题 字符"/>
    <w:link w:val="22"/>
    <w:qFormat/>
    <w:uiPriority w:val="0"/>
    <w:rPr>
      <w:b/>
      <w:bCs/>
      <w:kern w:val="2"/>
      <w:sz w:val="21"/>
      <w:szCs w:val="24"/>
    </w:rPr>
  </w:style>
  <w:style w:type="character" w:customStyle="1" w:styleId="52">
    <w:name w:val="正文文本首行缩进 2 字符"/>
    <w:link w:val="24"/>
    <w:qFormat/>
    <w:uiPriority w:val="0"/>
  </w:style>
  <w:style w:type="character" w:customStyle="1" w:styleId="53">
    <w:name w:val="apple-style-span"/>
    <w:qFormat/>
    <w:uiPriority w:val="0"/>
    <w:rPr>
      <w:rFonts w:ascii="Tahoma" w:hAnsi="Tahoma"/>
      <w:sz w:val="24"/>
      <w:szCs w:val="20"/>
    </w:rPr>
  </w:style>
  <w:style w:type="character" w:customStyle="1" w:styleId="54">
    <w:name w:val="font51"/>
    <w:basedOn w:val="27"/>
    <w:qFormat/>
    <w:uiPriority w:val="0"/>
    <w:rPr>
      <w:rFonts w:hint="eastAsia" w:ascii="宋体" w:hAnsi="宋体" w:eastAsia="宋体" w:cs="宋体"/>
      <w:color w:val="000000"/>
      <w:sz w:val="22"/>
      <w:szCs w:val="22"/>
      <w:u w:val="none"/>
    </w:rPr>
  </w:style>
  <w:style w:type="character" w:customStyle="1" w:styleId="55">
    <w:name w:val="NormalCharacter"/>
    <w:qFormat/>
    <w:uiPriority w:val="0"/>
    <w:rPr>
      <w:rFonts w:ascii="Calibri" w:hAnsi="Calibri" w:eastAsia="宋体"/>
    </w:rPr>
  </w:style>
  <w:style w:type="character" w:customStyle="1" w:styleId="56">
    <w:name w:val="font01"/>
    <w:qFormat/>
    <w:uiPriority w:val="0"/>
    <w:rPr>
      <w:rFonts w:hint="eastAsia" w:ascii="宋体" w:hAnsi="宋体" w:eastAsia="宋体" w:cs="宋体"/>
      <w:b/>
      <w:color w:val="000000"/>
      <w:sz w:val="40"/>
      <w:szCs w:val="40"/>
      <w:u w:val="none"/>
    </w:rPr>
  </w:style>
  <w:style w:type="character" w:customStyle="1" w:styleId="57">
    <w:name w:val="font91"/>
    <w:qFormat/>
    <w:uiPriority w:val="0"/>
    <w:rPr>
      <w:rFonts w:hint="eastAsia" w:ascii="宋体" w:hAnsi="宋体" w:eastAsia="宋体" w:cs="宋体"/>
      <w:color w:val="000000"/>
      <w:sz w:val="20"/>
      <w:szCs w:val="20"/>
      <w:u w:val="none"/>
    </w:rPr>
  </w:style>
  <w:style w:type="character" w:customStyle="1" w:styleId="58">
    <w:name w:val="font11"/>
    <w:qFormat/>
    <w:uiPriority w:val="0"/>
    <w:rPr>
      <w:rFonts w:hint="eastAsia" w:ascii="宋体" w:hAnsi="宋体" w:eastAsia="宋体" w:cs="宋体"/>
      <w:b/>
      <w:color w:val="000000"/>
      <w:sz w:val="22"/>
      <w:szCs w:val="22"/>
      <w:u w:val="none"/>
    </w:rPr>
  </w:style>
  <w:style w:type="character" w:customStyle="1" w:styleId="59">
    <w:name w:val="font112"/>
    <w:qFormat/>
    <w:uiPriority w:val="0"/>
    <w:rPr>
      <w:rFonts w:hint="eastAsia" w:ascii="宋体" w:hAnsi="宋体" w:eastAsia="宋体" w:cs="宋体"/>
      <w:color w:val="000000"/>
      <w:sz w:val="22"/>
      <w:szCs w:val="22"/>
      <w:u w:val="none"/>
    </w:rPr>
  </w:style>
  <w:style w:type="character" w:customStyle="1" w:styleId="60">
    <w:name w:val="font61"/>
    <w:qFormat/>
    <w:uiPriority w:val="0"/>
    <w:rPr>
      <w:rFonts w:hint="default" w:ascii="Times New Roman" w:hAnsi="Times New Roman" w:cs="Times New Roman"/>
      <w:color w:val="000000"/>
      <w:sz w:val="20"/>
      <w:szCs w:val="20"/>
      <w:u w:val="none"/>
    </w:rPr>
  </w:style>
  <w:style w:type="character" w:customStyle="1" w:styleId="61">
    <w:name w:val="font81"/>
    <w:qFormat/>
    <w:uiPriority w:val="0"/>
    <w:rPr>
      <w:rFonts w:hint="eastAsia" w:ascii="宋体" w:hAnsi="宋体" w:eastAsia="宋体" w:cs="宋体"/>
      <w:color w:val="000000"/>
      <w:sz w:val="20"/>
      <w:szCs w:val="20"/>
      <w:u w:val="none"/>
    </w:rPr>
  </w:style>
  <w:style w:type="character" w:customStyle="1" w:styleId="62">
    <w:name w:val="Char Char7"/>
    <w:qFormat/>
    <w:uiPriority w:val="0"/>
    <w:rPr>
      <w:rFonts w:ascii="??" w:hAnsi="??" w:eastAsia="??" w:cs="宋体"/>
      <w:kern w:val="2"/>
      <w:sz w:val="24"/>
      <w:szCs w:val="28"/>
    </w:rPr>
  </w:style>
  <w:style w:type="character" w:customStyle="1" w:styleId="63">
    <w:name w:val="font71"/>
    <w:qFormat/>
    <w:uiPriority w:val="0"/>
    <w:rPr>
      <w:rFonts w:ascii="Arial" w:hAnsi="Arial" w:cs="Arial"/>
      <w:color w:val="000000"/>
      <w:sz w:val="20"/>
      <w:szCs w:val="20"/>
      <w:u w:val="none"/>
    </w:rPr>
  </w:style>
  <w:style w:type="paragraph" w:customStyle="1" w:styleId="64">
    <w:name w:val="中等深浅列表 2 - 强调文字颜色 41"/>
    <w:basedOn w:val="1"/>
    <w:qFormat/>
    <w:uiPriority w:val="34"/>
    <w:pPr>
      <w:ind w:firstLine="420" w:firstLineChars="200"/>
    </w:pPr>
    <w:rPr>
      <w:rFonts w:ascii="Calibri" w:hAnsi="Calibri"/>
      <w:szCs w:val="22"/>
    </w:rPr>
  </w:style>
  <w:style w:type="paragraph" w:customStyle="1" w:styleId="65">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66">
    <w:name w:val="p16"/>
    <w:basedOn w:val="1"/>
    <w:qFormat/>
    <w:uiPriority w:val="0"/>
    <w:pPr>
      <w:widowControl/>
    </w:pPr>
    <w:rPr>
      <w:rFonts w:ascii="宋体" w:hAnsi="宋体" w:cs="宋体"/>
      <w:kern w:val="0"/>
      <w:sz w:val="30"/>
      <w:szCs w:val="30"/>
    </w:rPr>
  </w:style>
  <w:style w:type="paragraph" w:customStyle="1" w:styleId="67">
    <w:name w:val="_Style 8"/>
    <w:basedOn w:val="1"/>
    <w:next w:val="68"/>
    <w:qFormat/>
    <w:uiPriority w:val="34"/>
    <w:pPr>
      <w:ind w:firstLine="420" w:firstLineChars="200"/>
    </w:pPr>
    <w:rPr>
      <w:rFonts w:ascii="Calibri" w:hAnsi="Calibri"/>
      <w:szCs w:val="22"/>
    </w:rPr>
  </w:style>
  <w:style w:type="paragraph" w:styleId="68">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69">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0">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2">
    <w:name w:val="正文2"/>
    <w:qFormat/>
    <w:uiPriority w:val="0"/>
    <w:pPr>
      <w:jc w:val="both"/>
    </w:pPr>
    <w:rPr>
      <w:rFonts w:ascii="Calibri" w:hAnsi="Calibri" w:eastAsia="宋体" w:cs="宋体"/>
      <w:kern w:val="2"/>
      <w:sz w:val="21"/>
      <w:szCs w:val="21"/>
      <w:lang w:val="en-US" w:eastAsia="zh-CN" w:bidi="ar-SA"/>
    </w:rPr>
  </w:style>
  <w:style w:type="paragraph" w:customStyle="1" w:styleId="73">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Body text|1"/>
    <w:basedOn w:val="1"/>
    <w:qFormat/>
    <w:uiPriority w:val="0"/>
    <w:pPr>
      <w:spacing w:line="413" w:lineRule="auto"/>
    </w:pPr>
    <w:rPr>
      <w:rFonts w:ascii="宋体" w:hAnsi="宋体" w:cs="宋体"/>
      <w:sz w:val="20"/>
      <w:lang w:val="zh-CN" w:bidi="zh-CN"/>
    </w:rPr>
  </w:style>
  <w:style w:type="paragraph" w:customStyle="1" w:styleId="77">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78">
    <w:name w:val="正文3"/>
    <w:basedOn w:val="1"/>
    <w:qFormat/>
    <w:uiPriority w:val="0"/>
    <w:pPr>
      <w:adjustRightInd w:val="0"/>
      <w:spacing w:line="318" w:lineRule="atLeast"/>
      <w:ind w:left="369" w:firstLine="369"/>
      <w:textAlignment w:val="baseline"/>
    </w:pPr>
    <w:rPr>
      <w:rFonts w:ascii="宋体"/>
    </w:rPr>
  </w:style>
  <w:style w:type="paragraph" w:customStyle="1" w:styleId="79">
    <w:name w:val="List Paragraph1"/>
    <w:basedOn w:val="1"/>
    <w:qFormat/>
    <w:uiPriority w:val="34"/>
    <w:pPr>
      <w:ind w:firstLine="420" w:firstLineChars="200"/>
    </w:pPr>
  </w:style>
  <w:style w:type="paragraph" w:customStyle="1" w:styleId="80">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2">
    <w:name w:val="Char"/>
    <w:basedOn w:val="1"/>
    <w:qFormat/>
    <w:uiPriority w:val="0"/>
    <w:rPr>
      <w:szCs w:val="24"/>
    </w:rPr>
  </w:style>
  <w:style w:type="paragraph" w:customStyle="1" w:styleId="83">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4">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p0"/>
    <w:basedOn w:val="1"/>
    <w:qFormat/>
    <w:uiPriority w:val="0"/>
    <w:pPr>
      <w:widowControl/>
    </w:pPr>
    <w:rPr>
      <w:kern w:val="0"/>
      <w:szCs w:val="21"/>
    </w:rPr>
  </w:style>
  <w:style w:type="table" w:customStyle="1" w:styleId="87">
    <w:name w:val="网格型1"/>
    <w:basedOn w:val="25"/>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8">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89">
    <w:name w:val="正文（首行缩进2字符）"/>
    <w:basedOn w:val="1"/>
    <w:qFormat/>
    <w:uiPriority w:val="0"/>
    <w:pPr>
      <w:spacing w:line="360" w:lineRule="auto"/>
      <w:ind w:firstLine="420" w:firstLineChars="200"/>
    </w:pPr>
    <w:rPr>
      <w:szCs w:val="21"/>
    </w:rPr>
  </w:style>
  <w:style w:type="paragraph" w:customStyle="1" w:styleId="90">
    <w:name w:val="文档正文"/>
    <w:basedOn w:val="1"/>
    <w:qFormat/>
    <w:uiPriority w:val="0"/>
    <w:rPr>
      <w:rFonts w:ascii="宋体" w:hAnsi="宋体" w:cs="Arial"/>
      <w:bCs/>
      <w:szCs w:val="21"/>
    </w:rPr>
  </w:style>
  <w:style w:type="paragraph" w:customStyle="1" w:styleId="9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2">
    <w:name w:val="正文21"/>
    <w:basedOn w:val="1"/>
    <w:qFormat/>
    <w:uiPriority w:val="0"/>
    <w:pPr>
      <w:spacing w:before="156" w:line="360" w:lineRule="auto"/>
      <w:ind w:firstLine="200" w:firstLineChars="200"/>
    </w:pPr>
    <w:rPr>
      <w:rFonts w:ascii="??" w:hAnsi="??" w:eastAsia="??" w:cstheme="minorBidi"/>
      <w:sz w:val="24"/>
      <w:szCs w:val="28"/>
    </w:rPr>
  </w:style>
  <w:style w:type="paragraph" w:customStyle="1" w:styleId="93">
    <w:name w:val="ZY-A-正文内容"/>
    <w:basedOn w:val="1"/>
    <w:qFormat/>
    <w:uiPriority w:val="0"/>
    <w:pPr>
      <w:tabs>
        <w:tab w:val="left" w:pos="0"/>
      </w:tabs>
      <w:ind w:firstLine="560" w:firstLineChars="200"/>
    </w:pPr>
    <w:rPr>
      <w:rFonts w:hint="eastAsia"/>
      <w:szCs w:val="21"/>
    </w:rPr>
  </w:style>
  <w:style w:type="paragraph" w:customStyle="1" w:styleId="94">
    <w:name w:val="ZY-A-正文标题3 x.x.x"/>
    <w:basedOn w:val="95"/>
    <w:next w:val="93"/>
    <w:qFormat/>
    <w:uiPriority w:val="0"/>
    <w:pPr>
      <w:numPr>
        <w:ilvl w:val="2"/>
      </w:numPr>
      <w:tabs>
        <w:tab w:val="left" w:pos="0"/>
        <w:tab w:val="left" w:pos="1009"/>
      </w:tabs>
      <w:outlineLvl w:val="2"/>
    </w:pPr>
    <w:rPr>
      <w:rFonts w:ascii="仿宋_GB2312" w:hAnsi="仿宋_GB2312"/>
      <w:sz w:val="28"/>
    </w:rPr>
  </w:style>
  <w:style w:type="paragraph" w:customStyle="1" w:styleId="95">
    <w:name w:val="ZY-A-正文标题2 x.x"/>
    <w:basedOn w:val="96"/>
    <w:next w:val="93"/>
    <w:qFormat/>
    <w:uiPriority w:val="0"/>
    <w:pPr>
      <w:numPr>
        <w:ilvl w:val="1"/>
      </w:numPr>
      <w:tabs>
        <w:tab w:val="left" w:pos="0"/>
      </w:tabs>
      <w:jc w:val="left"/>
      <w:outlineLvl w:val="1"/>
    </w:pPr>
    <w:rPr>
      <w:sz w:val="32"/>
      <w:szCs w:val="32"/>
    </w:rPr>
  </w:style>
  <w:style w:type="paragraph" w:customStyle="1" w:styleId="96">
    <w:name w:val="ZY-A-正文标题1 x"/>
    <w:basedOn w:val="93"/>
    <w:qFormat/>
    <w:uiPriority w:val="0"/>
    <w:pPr>
      <w:keepNext/>
      <w:keepLines/>
      <w:numPr>
        <w:ilvl w:val="0"/>
        <w:numId w:val="1"/>
      </w:numPr>
      <w:spacing w:before="50" w:beforeLines="50" w:after="50" w:afterLines="50"/>
      <w:ind w:firstLine="0" w:firstLineChars="0"/>
      <w:jc w:val="center"/>
      <w:outlineLvl w:val="0"/>
    </w:pPr>
    <w:rPr>
      <w:b/>
      <w:bCs/>
      <w:kern w:val="44"/>
      <w:sz w:val="44"/>
      <w:szCs w:val="44"/>
    </w:rPr>
  </w:style>
  <w:style w:type="paragraph" w:customStyle="1" w:styleId="97">
    <w:name w:val="ZY-B-正文 1 X. 排序"/>
    <w:basedOn w:val="93"/>
    <w:qFormat/>
    <w:uiPriority w:val="0"/>
    <w:pPr>
      <w:numPr>
        <w:ilvl w:val="0"/>
        <w:numId w:val="2"/>
      </w:numPr>
      <w:tabs>
        <w:tab w:val="left" w:pos="420"/>
      </w:tabs>
      <w:ind w:firstLine="0" w:firstLineChars="0"/>
    </w:pPr>
    <w:rPr>
      <w:rFonts w:hint="default"/>
    </w:rPr>
  </w:style>
  <w:style w:type="character" w:customStyle="1" w:styleId="98">
    <w:name w:val="font21"/>
    <w:basedOn w:val="27"/>
    <w:qFormat/>
    <w:uiPriority w:val="0"/>
    <w:rPr>
      <w:rFonts w:hint="eastAsia" w:ascii="宋体" w:hAnsi="宋体" w:eastAsia="宋体" w:cs="宋体"/>
      <w:b/>
      <w:bCs/>
      <w:color w:val="000000"/>
      <w:sz w:val="20"/>
      <w:szCs w:val="20"/>
      <w:u w:val="none"/>
    </w:rPr>
  </w:style>
  <w:style w:type="paragraph" w:customStyle="1" w:styleId="99">
    <w:name w:val="ZY-A-正文标题4 x.x.x.x"/>
    <w:basedOn w:val="1"/>
    <w:next w:val="93"/>
    <w:qFormat/>
    <w:uiPriority w:val="0"/>
    <w:pPr>
      <w:keepNext/>
      <w:keepLines/>
      <w:numPr>
        <w:ilvl w:val="3"/>
        <w:numId w:val="1"/>
      </w:numPr>
      <w:tabs>
        <w:tab w:val="left" w:pos="0"/>
        <w:tab w:val="left" w:pos="1009"/>
      </w:tabs>
      <w:spacing w:before="120" w:beforeLines="50" w:after="120" w:afterLines="50"/>
      <w:jc w:val="left"/>
      <w:outlineLvl w:val="3"/>
    </w:pPr>
    <w:rPr>
      <w:rFonts w:ascii="仿宋_GB2312" w:hAnsi="仿宋_GB2312"/>
      <w:b/>
      <w:bCs/>
      <w:kern w:val="44"/>
      <w:szCs w:val="32"/>
    </w:rPr>
  </w:style>
  <w:style w:type="paragraph" w:customStyle="1" w:styleId="100">
    <w:name w:val="WPSOffice手动目录 1"/>
    <w:qFormat/>
    <w:uiPriority w:val="0"/>
    <w:pPr>
      <w:ind w:leftChars="0"/>
    </w:pPr>
    <w:rPr>
      <w:rFonts w:ascii="Times New Roman" w:hAnsi="Times New Roman" w:eastAsia="宋体" w:cs="Times New Roman"/>
      <w:sz w:val="20"/>
      <w:szCs w:val="20"/>
    </w:rPr>
  </w:style>
  <w:style w:type="paragraph" w:customStyle="1" w:styleId="101">
    <w:name w:val="WPSOffice手动目录 2"/>
    <w:qFormat/>
    <w:uiPriority w:val="0"/>
    <w:pPr>
      <w:ind w:leftChars="200"/>
    </w:pPr>
    <w:rPr>
      <w:rFonts w:ascii="Times New Roman" w:hAnsi="Times New Roman" w:eastAsia="宋体" w:cs="Times New Roman"/>
      <w:sz w:val="20"/>
      <w:szCs w:val="20"/>
    </w:rPr>
  </w:style>
  <w:style w:type="paragraph" w:customStyle="1" w:styleId="10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3D312-67D7-4991-A834-D80F24049E3C}">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5269</Words>
  <Characters>6152</Characters>
  <Lines>329</Lines>
  <Paragraphs>92</Paragraphs>
  <TotalTime>13</TotalTime>
  <ScaleCrop>false</ScaleCrop>
  <LinksUpToDate>false</LinksUpToDate>
  <CharactersWithSpaces>6231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2023-08-18T06:25:00Z</dcterms:created>
  <dc:creator>Administrator</dc:creator>
  <cp:lastModifiedBy>南非人</cp:lastModifiedBy>
  <cp:lastPrinted>2021-08-13T08:34:00Z</cp:lastPrinted>
  <dcterms:modified xsi:type="dcterms:W3CDTF">2024-11-07T08:41:24Z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8E6D4E9F672D4D9F9BD398CDF7C66C6F_13</vt:lpwstr>
  </property>
  <property fmtid="{D5CDD505-2E9C-101B-9397-08002B2CF9AE}" pid="4" name="commondata">
    <vt:lpwstr>eyJoZGlkIjoiMTY3NmVmZDMzNjIyYzhhNDE2N2E5MmI0Mzg3OGM1YTYifQ==</vt:lpwstr>
  </property>
</Properties>
</file>